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941" w:rsidRPr="000F200D" w:rsidRDefault="00B1056A" w:rsidP="00147233">
      <w:pPr>
        <w:pStyle w:val="Heading1"/>
        <w:widowControl/>
        <w:jc w:val="left"/>
        <w:rPr>
          <w:rFonts w:eastAsia="Times New Roman"/>
          <w:caps w:val="0"/>
          <w:sz w:val="28"/>
          <w:szCs w:val="24"/>
        </w:rPr>
      </w:pPr>
      <w:bookmarkStart w:id="0" w:name="_Toc461627642"/>
      <w:bookmarkStart w:id="1" w:name="_GoBack"/>
      <w:bookmarkEnd w:id="1"/>
      <w:r w:rsidRPr="000F200D">
        <w:rPr>
          <w:rFonts w:eastAsia="Times New Roman"/>
          <w:caps w:val="0"/>
          <w:sz w:val="28"/>
          <w:szCs w:val="24"/>
        </w:rPr>
        <w:t>4</w:t>
      </w:r>
      <w:r w:rsidR="00B60939" w:rsidRPr="000F200D">
        <w:rPr>
          <w:rFonts w:eastAsia="Times New Roman"/>
          <w:caps w:val="0"/>
          <w:sz w:val="28"/>
          <w:szCs w:val="24"/>
        </w:rPr>
        <w:t>.</w:t>
      </w:r>
      <w:r w:rsidR="00C7757F" w:rsidRPr="000F200D">
        <w:rPr>
          <w:rFonts w:eastAsia="Times New Roman"/>
          <w:caps w:val="0"/>
          <w:sz w:val="28"/>
          <w:szCs w:val="24"/>
        </w:rPr>
        <w:t>0</w:t>
      </w:r>
      <w:r w:rsidRPr="000F200D">
        <w:rPr>
          <w:rFonts w:eastAsia="Times New Roman"/>
          <w:caps w:val="0"/>
          <w:sz w:val="28"/>
          <w:szCs w:val="24"/>
        </w:rPr>
        <w:t>1</w:t>
      </w:r>
      <w:r w:rsidR="00B60939" w:rsidRPr="000F200D">
        <w:rPr>
          <w:rFonts w:eastAsia="Times New Roman"/>
          <w:caps w:val="0"/>
          <w:sz w:val="28"/>
          <w:szCs w:val="24"/>
        </w:rPr>
        <w:tab/>
      </w:r>
      <w:r w:rsidR="008A52CE" w:rsidRPr="000F200D">
        <w:rPr>
          <w:rFonts w:eastAsia="Times New Roman"/>
          <w:caps w:val="0"/>
          <w:sz w:val="28"/>
          <w:szCs w:val="24"/>
        </w:rPr>
        <w:t>I</w:t>
      </w:r>
      <w:r w:rsidR="00147233" w:rsidRPr="000F200D">
        <w:rPr>
          <w:rFonts w:eastAsia="Times New Roman"/>
          <w:caps w:val="0"/>
          <w:sz w:val="28"/>
          <w:szCs w:val="24"/>
        </w:rPr>
        <w:t>CATIBANT</w:t>
      </w:r>
      <w:r w:rsidR="00147233" w:rsidRPr="000F200D">
        <w:rPr>
          <w:sz w:val="28"/>
        </w:rPr>
        <w:t xml:space="preserve">, </w:t>
      </w:r>
      <w:r w:rsidR="00147233" w:rsidRPr="000F200D">
        <w:rPr>
          <w:sz w:val="28"/>
        </w:rPr>
        <w:br/>
      </w:r>
      <w:r w:rsidR="00147233" w:rsidRPr="000F200D">
        <w:rPr>
          <w:rFonts w:eastAsia="Times New Roman"/>
          <w:caps w:val="0"/>
          <w:sz w:val="28"/>
          <w:szCs w:val="24"/>
        </w:rPr>
        <w:t>I</w:t>
      </w:r>
      <w:r w:rsidR="008A52CE" w:rsidRPr="000F200D">
        <w:rPr>
          <w:rFonts w:eastAsia="Times New Roman"/>
          <w:caps w:val="0"/>
          <w:sz w:val="28"/>
          <w:szCs w:val="24"/>
        </w:rPr>
        <w:t>njection, 3</w:t>
      </w:r>
      <w:r w:rsidR="00B51230" w:rsidRPr="000F200D">
        <w:rPr>
          <w:rFonts w:eastAsia="Times New Roman"/>
          <w:caps w:val="0"/>
          <w:sz w:val="28"/>
          <w:szCs w:val="24"/>
        </w:rPr>
        <w:t xml:space="preserve"> </w:t>
      </w:r>
      <w:r w:rsidR="008A52CE" w:rsidRPr="000F200D">
        <w:rPr>
          <w:rFonts w:eastAsia="Times New Roman"/>
          <w:caps w:val="0"/>
          <w:sz w:val="28"/>
          <w:szCs w:val="24"/>
        </w:rPr>
        <w:t>mg in 3 mL (as acetate), single use pre-filled syringe</w:t>
      </w:r>
      <w:r w:rsidR="00147233" w:rsidRPr="000F200D">
        <w:rPr>
          <w:sz w:val="28"/>
        </w:rPr>
        <w:t xml:space="preserve">, </w:t>
      </w:r>
      <w:r w:rsidR="009624DA" w:rsidRPr="000F200D">
        <w:rPr>
          <w:sz w:val="28"/>
        </w:rPr>
        <w:br/>
      </w:r>
      <w:r w:rsidR="008A52CE" w:rsidRPr="000F200D">
        <w:rPr>
          <w:rFonts w:eastAsia="Times New Roman"/>
          <w:caps w:val="0"/>
          <w:sz w:val="28"/>
          <w:szCs w:val="24"/>
        </w:rPr>
        <w:t>Firazyr®</w:t>
      </w:r>
      <w:r w:rsidR="00147233" w:rsidRPr="000F200D">
        <w:rPr>
          <w:sz w:val="28"/>
        </w:rPr>
        <w:t xml:space="preserve">, </w:t>
      </w:r>
      <w:r w:rsidR="009624DA" w:rsidRPr="000F200D">
        <w:rPr>
          <w:sz w:val="28"/>
        </w:rPr>
        <w:br/>
      </w:r>
      <w:r w:rsidR="008A52CE" w:rsidRPr="000F200D">
        <w:rPr>
          <w:rFonts w:eastAsia="Times New Roman"/>
          <w:caps w:val="0"/>
          <w:sz w:val="28"/>
          <w:szCs w:val="24"/>
        </w:rPr>
        <w:t>Shire Australia Pty Ltd</w:t>
      </w:r>
      <w:bookmarkEnd w:id="0"/>
      <w:r w:rsidR="00DD304F">
        <w:rPr>
          <w:rFonts w:eastAsia="Times New Roman"/>
          <w:caps w:val="0"/>
          <w:sz w:val="28"/>
          <w:szCs w:val="24"/>
        </w:rPr>
        <w:t>.</w:t>
      </w:r>
    </w:p>
    <w:p w:rsidR="000835B4" w:rsidRDefault="000835B4" w:rsidP="000835B4"/>
    <w:p w:rsidR="00FF3A92" w:rsidRPr="000835B4" w:rsidRDefault="00FF3A92" w:rsidP="000835B4"/>
    <w:p w:rsidR="002D0DB7" w:rsidRPr="007431A0" w:rsidRDefault="00FD3FF2" w:rsidP="00FA2355">
      <w:pPr>
        <w:pStyle w:val="PBACheading1"/>
        <w:keepNext/>
        <w:rPr>
          <w:b/>
        </w:rPr>
      </w:pPr>
      <w:bookmarkStart w:id="2" w:name="_Toc458681579"/>
      <w:bookmarkStart w:id="3" w:name="_Toc461627644"/>
      <w:r w:rsidRPr="007431A0">
        <w:rPr>
          <w:b/>
        </w:rPr>
        <w:t>Purpose of Application</w:t>
      </w:r>
      <w:bookmarkEnd w:id="2"/>
      <w:bookmarkEnd w:id="3"/>
    </w:p>
    <w:p w:rsidR="00702967" w:rsidRPr="006D6EC7" w:rsidRDefault="00702967" w:rsidP="00FA2355">
      <w:pPr>
        <w:pStyle w:val="PBACHeading10"/>
        <w:keepNext/>
        <w:ind w:firstLine="0"/>
      </w:pPr>
    </w:p>
    <w:p w:rsidR="00816530" w:rsidRPr="00854FD4" w:rsidRDefault="008D2C5B" w:rsidP="00E94114">
      <w:pPr>
        <w:pStyle w:val="ListParagraph"/>
        <w:widowControl/>
        <w:numPr>
          <w:ilvl w:val="1"/>
          <w:numId w:val="2"/>
        </w:numPr>
      </w:pPr>
      <w:r w:rsidRPr="00854FD4">
        <w:t xml:space="preserve">The submission presented </w:t>
      </w:r>
      <w:r w:rsidR="005923AF" w:rsidRPr="00854FD4">
        <w:t xml:space="preserve">a revised economic evaluation </w:t>
      </w:r>
      <w:r w:rsidRPr="00854FD4">
        <w:t xml:space="preserve">to support the </w:t>
      </w:r>
      <w:r w:rsidR="008C0153">
        <w:t>cost effective</w:t>
      </w:r>
      <w:r w:rsidRPr="00854FD4">
        <w:t>ness of the higher than expected number of icatibant injections per patient as reported by DUSC</w:t>
      </w:r>
      <w:r w:rsidR="00C0248E" w:rsidRPr="00854FD4">
        <w:t xml:space="preserve"> to the July </w:t>
      </w:r>
      <w:r w:rsidR="00B51230">
        <w:t xml:space="preserve">2015 </w:t>
      </w:r>
      <w:r w:rsidR="00C0248E" w:rsidRPr="00854FD4">
        <w:t>PBAC meeting</w:t>
      </w:r>
      <w:r w:rsidRPr="00854FD4">
        <w:t>.</w:t>
      </w:r>
      <w:r w:rsidRPr="00854FD4">
        <w:rPr>
          <w:i/>
        </w:rPr>
        <w:t xml:space="preserve"> </w:t>
      </w:r>
      <w:r w:rsidR="00C0248E" w:rsidRPr="00854FD4">
        <w:t xml:space="preserve">No new clinical data were presented in the submission. </w:t>
      </w:r>
      <w:r w:rsidR="00816530" w:rsidRPr="00854FD4">
        <w:t>Th</w:t>
      </w:r>
      <w:r w:rsidR="00C0248E" w:rsidRPr="00854FD4">
        <w:t>e</w:t>
      </w:r>
      <w:r w:rsidR="00816530" w:rsidRPr="00854FD4">
        <w:t xml:space="preserve"> </w:t>
      </w:r>
      <w:r w:rsidR="00C0248E" w:rsidRPr="00854FD4">
        <w:t xml:space="preserve">submission </w:t>
      </w:r>
      <w:r w:rsidRPr="00854FD4">
        <w:t>included</w:t>
      </w:r>
      <w:r w:rsidR="00816530" w:rsidRPr="00854FD4">
        <w:t xml:space="preserve"> </w:t>
      </w:r>
      <w:r w:rsidR="004C0FFC" w:rsidRPr="00854FD4">
        <w:t xml:space="preserve">a new </w:t>
      </w:r>
      <w:r w:rsidR="00816530" w:rsidRPr="00854FD4">
        <w:t xml:space="preserve">economic evaluation and </w:t>
      </w:r>
      <w:r w:rsidR="004C0FFC" w:rsidRPr="00854FD4">
        <w:t xml:space="preserve">updated </w:t>
      </w:r>
      <w:r w:rsidR="00816530" w:rsidRPr="00854FD4">
        <w:t xml:space="preserve">financial </w:t>
      </w:r>
      <w:r w:rsidR="00D16A65" w:rsidRPr="00854FD4">
        <w:t xml:space="preserve">impact </w:t>
      </w:r>
      <w:r w:rsidR="00816530" w:rsidRPr="00854FD4">
        <w:t xml:space="preserve">analysis in the context of </w:t>
      </w:r>
      <w:r w:rsidR="004C0FFC" w:rsidRPr="00854FD4">
        <w:t xml:space="preserve">the </w:t>
      </w:r>
      <w:r w:rsidR="00816530" w:rsidRPr="00854FD4">
        <w:t xml:space="preserve">revised treatment algorithm. The </w:t>
      </w:r>
      <w:r w:rsidR="00D24424" w:rsidRPr="00854FD4">
        <w:t>submission</w:t>
      </w:r>
      <w:r w:rsidR="00816530" w:rsidRPr="00854FD4">
        <w:t xml:space="preserve"> also </w:t>
      </w:r>
      <w:r w:rsidR="004C0FFC" w:rsidRPr="00854FD4">
        <w:t xml:space="preserve">requested a </w:t>
      </w:r>
      <w:r w:rsidR="00816530" w:rsidRPr="00854FD4">
        <w:t>re-negotiat</w:t>
      </w:r>
      <w:r w:rsidR="004C0FFC" w:rsidRPr="00854FD4">
        <w:t xml:space="preserve">ion of </w:t>
      </w:r>
      <w:r w:rsidR="00816530" w:rsidRPr="00854FD4">
        <w:t xml:space="preserve">the current risk </w:t>
      </w:r>
      <w:r w:rsidR="004C0FFC" w:rsidRPr="00854FD4">
        <w:t xml:space="preserve">sharing </w:t>
      </w:r>
      <w:r w:rsidR="00816530" w:rsidRPr="00854FD4">
        <w:t>arrangement (RSA)</w:t>
      </w:r>
      <w:r w:rsidR="004C0FFC" w:rsidRPr="00854FD4">
        <w:t xml:space="preserve"> applied to the funding of icatibant</w:t>
      </w:r>
      <w:r w:rsidR="00816530" w:rsidRPr="00854FD4">
        <w:t>.</w:t>
      </w:r>
    </w:p>
    <w:p w:rsidR="00816530" w:rsidRDefault="00816530" w:rsidP="00D53534">
      <w:pPr>
        <w:rPr>
          <w:b/>
        </w:rPr>
      </w:pPr>
      <w:bookmarkStart w:id="4" w:name="_Toc458775798"/>
    </w:p>
    <w:p w:rsidR="000075D9" w:rsidRDefault="000075D9" w:rsidP="00D53534">
      <w:pPr>
        <w:rPr>
          <w:b/>
        </w:rPr>
      </w:pPr>
    </w:p>
    <w:p w:rsidR="00816530" w:rsidRPr="002D0DB7" w:rsidRDefault="00816530" w:rsidP="000075D9">
      <w:pPr>
        <w:pStyle w:val="PBACheading1"/>
      </w:pPr>
      <w:bookmarkStart w:id="5" w:name="_Toc461627645"/>
      <w:r w:rsidRPr="00407F2D">
        <w:rPr>
          <w:b/>
        </w:rPr>
        <w:t>Requested listing</w:t>
      </w:r>
      <w:bookmarkEnd w:id="4"/>
      <w:bookmarkEnd w:id="5"/>
    </w:p>
    <w:p w:rsidR="002D0DB7" w:rsidRPr="009E39F8" w:rsidRDefault="002D0DB7" w:rsidP="00D53534"/>
    <w:p w:rsidR="00816530" w:rsidRPr="009E39F8" w:rsidRDefault="00816530" w:rsidP="00E94114">
      <w:pPr>
        <w:pStyle w:val="ListParagraph"/>
        <w:widowControl/>
        <w:numPr>
          <w:ilvl w:val="1"/>
          <w:numId w:val="2"/>
        </w:numPr>
        <w:rPr>
          <w:szCs w:val="22"/>
        </w:rPr>
      </w:pPr>
      <w:r w:rsidRPr="009E39F8">
        <w:rPr>
          <w:szCs w:val="22"/>
        </w:rPr>
        <w:t>The</w:t>
      </w:r>
      <w:r w:rsidR="00C0248E" w:rsidRPr="009E39F8">
        <w:rPr>
          <w:szCs w:val="22"/>
        </w:rPr>
        <w:t xml:space="preserve"> submission did not</w:t>
      </w:r>
      <w:r w:rsidRPr="009E39F8">
        <w:rPr>
          <w:szCs w:val="22"/>
        </w:rPr>
        <w:t xml:space="preserve"> request </w:t>
      </w:r>
      <w:r w:rsidR="00C0248E" w:rsidRPr="009E39F8">
        <w:rPr>
          <w:szCs w:val="22"/>
        </w:rPr>
        <w:t>any change to</w:t>
      </w:r>
      <w:r w:rsidRPr="009E39F8">
        <w:rPr>
          <w:szCs w:val="22"/>
        </w:rPr>
        <w:t xml:space="preserve"> the current PBS listing</w:t>
      </w:r>
      <w:r w:rsidR="004362F5" w:rsidRPr="009E39F8">
        <w:rPr>
          <w:szCs w:val="22"/>
        </w:rPr>
        <w:t>.</w:t>
      </w:r>
    </w:p>
    <w:p w:rsidR="00816530" w:rsidRPr="009E39F8" w:rsidRDefault="00816530" w:rsidP="00D53534"/>
    <w:p w:rsidR="00816530" w:rsidRPr="00854FD4" w:rsidRDefault="00816530" w:rsidP="00E94114">
      <w:pPr>
        <w:pStyle w:val="ListParagraph"/>
        <w:widowControl/>
        <w:numPr>
          <w:ilvl w:val="1"/>
          <w:numId w:val="3"/>
        </w:numPr>
        <w:rPr>
          <w:szCs w:val="22"/>
        </w:rPr>
      </w:pPr>
      <w:r w:rsidRPr="009E39F8">
        <w:t>The current listing does not specify either the site (i.e. cutaneous, abdominal or laryngeal) or the severity of HAE attacks to be treated</w:t>
      </w:r>
      <w:r w:rsidR="004C0FFC" w:rsidRPr="009E39F8">
        <w:t xml:space="preserve">. </w:t>
      </w:r>
      <w:r w:rsidR="004C0FFC" w:rsidRPr="00854FD4">
        <w:t>The intent of the listing is that a</w:t>
      </w:r>
      <w:r w:rsidRPr="00854FD4">
        <w:t xml:space="preserve">ppropriate use </w:t>
      </w:r>
      <w:r w:rsidR="004C0FFC" w:rsidRPr="00854FD4">
        <w:t xml:space="preserve">is </w:t>
      </w:r>
      <w:r w:rsidRPr="00854FD4">
        <w:t xml:space="preserve">covered by the ‘Note’ section of the PBS listing which recommends treatment according to the Australasian Society of Clinical Immunology and Allergy (ASCIA) </w:t>
      </w:r>
      <w:r w:rsidR="00B51230">
        <w:t>E</w:t>
      </w:r>
      <w:r w:rsidRPr="00854FD4">
        <w:t xml:space="preserve">mergency Action Plan. </w:t>
      </w:r>
    </w:p>
    <w:p w:rsidR="00816530" w:rsidRPr="009E39F8" w:rsidRDefault="00816530" w:rsidP="000075D9">
      <w:pPr>
        <w:pStyle w:val="ListParagraph"/>
        <w:widowControl/>
        <w:rPr>
          <w:szCs w:val="22"/>
        </w:rPr>
      </w:pPr>
    </w:p>
    <w:p w:rsidR="00816530" w:rsidRPr="009E39F8" w:rsidRDefault="005237A3" w:rsidP="00E94114">
      <w:pPr>
        <w:pStyle w:val="ListParagraph"/>
        <w:widowControl/>
        <w:numPr>
          <w:ilvl w:val="1"/>
          <w:numId w:val="3"/>
        </w:numPr>
        <w:rPr>
          <w:szCs w:val="22"/>
        </w:rPr>
      </w:pPr>
      <w:r>
        <w:rPr>
          <w:szCs w:val="22"/>
        </w:rPr>
        <w:t>At the March 2012 PBAC meeting</w:t>
      </w:r>
      <w:r w:rsidR="00B7030F" w:rsidRPr="009E39F8">
        <w:rPr>
          <w:szCs w:val="22"/>
        </w:rPr>
        <w:t xml:space="preserve">, </w:t>
      </w:r>
      <w:r w:rsidR="00B85052" w:rsidRPr="009E39F8">
        <w:rPr>
          <w:szCs w:val="22"/>
        </w:rPr>
        <w:t>l</w:t>
      </w:r>
      <w:r w:rsidR="00816530" w:rsidRPr="009E39F8">
        <w:rPr>
          <w:szCs w:val="22"/>
        </w:rPr>
        <w:t>isting was re</w:t>
      </w:r>
      <w:r>
        <w:rPr>
          <w:szCs w:val="22"/>
        </w:rPr>
        <w:t>commended</w:t>
      </w:r>
      <w:r w:rsidR="00816530" w:rsidRPr="009E39F8">
        <w:rPr>
          <w:szCs w:val="22"/>
        </w:rPr>
        <w:t xml:space="preserve"> </w:t>
      </w:r>
      <w:r>
        <w:rPr>
          <w:szCs w:val="22"/>
        </w:rPr>
        <w:t xml:space="preserve">on the basis of high but acceptable </w:t>
      </w:r>
      <w:r w:rsidR="008C0153">
        <w:rPr>
          <w:szCs w:val="22"/>
        </w:rPr>
        <w:t>cost effective</w:t>
      </w:r>
      <w:r>
        <w:rPr>
          <w:szCs w:val="22"/>
        </w:rPr>
        <w:t xml:space="preserve">ness in the context of high clinical need, compared to placebo </w:t>
      </w:r>
      <w:r w:rsidR="00B51230">
        <w:rPr>
          <w:szCs w:val="22"/>
        </w:rPr>
        <w:t xml:space="preserve">which was used </w:t>
      </w:r>
      <w:r>
        <w:rPr>
          <w:szCs w:val="22"/>
        </w:rPr>
        <w:t>as</w:t>
      </w:r>
      <w:r w:rsidR="00B51230">
        <w:rPr>
          <w:szCs w:val="22"/>
        </w:rPr>
        <w:t xml:space="preserve"> a</w:t>
      </w:r>
      <w:r>
        <w:rPr>
          <w:szCs w:val="22"/>
        </w:rPr>
        <w:t xml:space="preserve"> proxy for best supportive care</w:t>
      </w:r>
      <w:r w:rsidR="00816530" w:rsidRPr="009E39F8">
        <w:rPr>
          <w:bCs/>
          <w:szCs w:val="22"/>
        </w:rPr>
        <w:t xml:space="preserve"> (BSC), with delayed use of </w:t>
      </w:r>
      <w:r w:rsidR="00816530" w:rsidRPr="009E39F8">
        <w:rPr>
          <w:szCs w:val="22"/>
          <w:lang w:eastAsia="en-AU"/>
        </w:rPr>
        <w:t xml:space="preserve">C1-INH </w:t>
      </w:r>
      <w:r w:rsidR="00816530" w:rsidRPr="009E39F8">
        <w:rPr>
          <w:bCs/>
          <w:szCs w:val="22"/>
        </w:rPr>
        <w:t xml:space="preserve">if required. </w:t>
      </w:r>
      <w:r w:rsidR="00376613" w:rsidRPr="009E39F8">
        <w:rPr>
          <w:bCs/>
          <w:szCs w:val="22"/>
        </w:rPr>
        <w:t>The current submission also claimed cost effectiveness in the context of a comparison with delayed use of C1-INH.</w:t>
      </w:r>
    </w:p>
    <w:p w:rsidR="00816530" w:rsidRPr="009E39F8" w:rsidRDefault="00816530" w:rsidP="000075D9">
      <w:pPr>
        <w:widowControl/>
      </w:pPr>
    </w:p>
    <w:p w:rsidR="00147233" w:rsidRPr="009E39F8" w:rsidRDefault="00147233" w:rsidP="000075D9">
      <w:pPr>
        <w:widowControl/>
      </w:pPr>
    </w:p>
    <w:p w:rsidR="00816530" w:rsidRPr="002D0DB7" w:rsidRDefault="00816530" w:rsidP="000075D9">
      <w:pPr>
        <w:pStyle w:val="PBACheading1"/>
      </w:pPr>
      <w:bookmarkStart w:id="6" w:name="_Toc458775799"/>
      <w:bookmarkStart w:id="7" w:name="_Toc461627646"/>
      <w:r w:rsidRPr="00407F2D">
        <w:rPr>
          <w:b/>
        </w:rPr>
        <w:t>Background</w:t>
      </w:r>
      <w:bookmarkEnd w:id="6"/>
      <w:bookmarkEnd w:id="7"/>
    </w:p>
    <w:p w:rsidR="002D0DB7" w:rsidRPr="00CB2C1C" w:rsidRDefault="002D0DB7" w:rsidP="00D53534"/>
    <w:p w:rsidR="00850138" w:rsidRDefault="00850138" w:rsidP="00E94114">
      <w:pPr>
        <w:pStyle w:val="ListParagraph"/>
        <w:widowControl/>
        <w:numPr>
          <w:ilvl w:val="1"/>
          <w:numId w:val="2"/>
        </w:numPr>
        <w:ind w:left="709" w:hanging="709"/>
      </w:pPr>
      <w:r w:rsidRPr="00850138">
        <w:t>Icatibant was TGA registered on 3 September 2010 for symptomatic treatment of acute attacks of hereditary angioedema (HAE) in adults (with C1-esterase-inhibitor deficiency).</w:t>
      </w:r>
    </w:p>
    <w:p w:rsidR="00850138" w:rsidRDefault="00850138" w:rsidP="00850138">
      <w:pPr>
        <w:pStyle w:val="ListParagraph"/>
        <w:widowControl/>
        <w:ind w:left="709"/>
      </w:pPr>
    </w:p>
    <w:p w:rsidR="00816530" w:rsidRPr="00850138" w:rsidRDefault="00816530" w:rsidP="00E94114">
      <w:pPr>
        <w:pStyle w:val="ListParagraph"/>
        <w:widowControl/>
        <w:numPr>
          <w:ilvl w:val="1"/>
          <w:numId w:val="2"/>
        </w:numPr>
        <w:ind w:left="709" w:hanging="709"/>
      </w:pPr>
      <w:r>
        <w:t xml:space="preserve">Icatibant was listed on the </w:t>
      </w:r>
      <w:r w:rsidRPr="00854FD4">
        <w:t>PBS for HAE treatment in August 2012 following</w:t>
      </w:r>
      <w:r>
        <w:t xml:space="preserve"> two major </w:t>
      </w:r>
      <w:r w:rsidR="004C0FFC">
        <w:t>(re)</w:t>
      </w:r>
      <w:r>
        <w:t>submissions considered at the July 2010 and July 2011 PBAC meetings</w:t>
      </w:r>
      <w:r w:rsidR="00D16A65">
        <w:t>,</w:t>
      </w:r>
      <w:r>
        <w:t xml:space="preserve"> and two minor </w:t>
      </w:r>
      <w:r w:rsidR="00D16A65">
        <w:t>re-</w:t>
      </w:r>
      <w:r>
        <w:t xml:space="preserve">submissions considered </w:t>
      </w:r>
      <w:r w:rsidR="000E4554">
        <w:t>at</w:t>
      </w:r>
      <w:r>
        <w:t xml:space="preserve"> the November 2011 and March 2012 PBAC meetings</w:t>
      </w:r>
      <w:r w:rsidRPr="00850138">
        <w:t>.</w:t>
      </w:r>
      <w:r w:rsidR="00784DB2" w:rsidRPr="00850138">
        <w:t xml:space="preserve"> </w:t>
      </w:r>
      <w:r w:rsidR="00854FD4" w:rsidRPr="00850138">
        <w:t>The ESC recalled that, at that time, a</w:t>
      </w:r>
      <w:r w:rsidR="00784DB2" w:rsidRPr="00850138">
        <w:t xml:space="preserve"> 5-year, single-tiered subsidisation cap RSA was negotiated to mitigate the </w:t>
      </w:r>
      <w:r w:rsidR="00BD59CD" w:rsidRPr="00850138">
        <w:t xml:space="preserve">risk of </w:t>
      </w:r>
      <w:r w:rsidR="00784DB2" w:rsidRPr="00850138">
        <w:t xml:space="preserve">use of icatibant beyond the intended PBS restriction. </w:t>
      </w:r>
    </w:p>
    <w:p w:rsidR="00816530" w:rsidRPr="00850138" w:rsidRDefault="00816530" w:rsidP="000075D9">
      <w:pPr>
        <w:pStyle w:val="ListParagraph"/>
        <w:widowControl/>
      </w:pPr>
    </w:p>
    <w:p w:rsidR="00816530" w:rsidRPr="00DF756F" w:rsidRDefault="00816530" w:rsidP="00E94114">
      <w:pPr>
        <w:pStyle w:val="ListParagraph"/>
        <w:widowControl/>
        <w:numPr>
          <w:ilvl w:val="1"/>
          <w:numId w:val="2"/>
        </w:numPr>
      </w:pPr>
      <w:r>
        <w:t xml:space="preserve">At the July 2015 meeting, the </w:t>
      </w:r>
      <w:r w:rsidRPr="00854FD4">
        <w:t xml:space="preserve">PBAC considered the DUSC report for the 24 months predicted versus actual (PvA) use of icatibant as a PBS item. </w:t>
      </w:r>
      <w:r w:rsidR="004C0FFC" w:rsidRPr="00854FD4">
        <w:t>T</w:t>
      </w:r>
      <w:r w:rsidRPr="00854FD4">
        <w:t>he PvA report</w:t>
      </w:r>
      <w:r w:rsidR="004C0FFC" w:rsidRPr="00854FD4">
        <w:t xml:space="preserve"> </w:t>
      </w:r>
      <w:r w:rsidR="000625B9" w:rsidRPr="00854FD4">
        <w:t>showed</w:t>
      </w:r>
      <w:r w:rsidR="00CA2F46" w:rsidRPr="00854FD4">
        <w:t xml:space="preserve"> </w:t>
      </w:r>
      <w:r w:rsidRPr="00854FD4">
        <w:lastRenderedPageBreak/>
        <w:t xml:space="preserve">that the number of patients dispensed icatibant </w:t>
      </w:r>
      <w:r w:rsidR="00D16A65" w:rsidRPr="00854FD4">
        <w:t>was</w:t>
      </w:r>
      <w:r w:rsidRPr="00854FD4">
        <w:t xml:space="preserve"> lower than expected (</w:t>
      </w:r>
      <w:r w:rsidR="00FA27CE">
        <w:rPr>
          <w:noProof/>
          <w:color w:val="000000"/>
          <w:highlight w:val="black"/>
        </w:rPr>
        <w:t>''''''</w:t>
      </w:r>
      <w:r w:rsidRPr="00854FD4">
        <w:t xml:space="preserve">% of </w:t>
      </w:r>
      <w:r w:rsidR="004C0FFC" w:rsidRPr="00854FD4">
        <w:t>predicted</w:t>
      </w:r>
      <w:r w:rsidRPr="00854FD4">
        <w:t>)</w:t>
      </w:r>
      <w:r w:rsidR="004C0FFC" w:rsidRPr="00854FD4">
        <w:t>.</w:t>
      </w:r>
      <w:r w:rsidRPr="00854FD4">
        <w:t xml:space="preserve"> </w:t>
      </w:r>
      <w:r w:rsidR="004C0FFC" w:rsidRPr="00854FD4">
        <w:t>H</w:t>
      </w:r>
      <w:r w:rsidRPr="00854FD4">
        <w:t xml:space="preserve">owever, the number of injections supplied per patient </w:t>
      </w:r>
      <w:r w:rsidR="004C0FFC" w:rsidRPr="00854FD4">
        <w:t xml:space="preserve">was </w:t>
      </w:r>
      <w:r w:rsidRPr="00854FD4">
        <w:t xml:space="preserve">higher than </w:t>
      </w:r>
      <w:r w:rsidRPr="00FF3A92">
        <w:t>predicted</w:t>
      </w:r>
      <w:r w:rsidR="00730F85" w:rsidRPr="00FF3A92">
        <w:t xml:space="preserve"> (</w:t>
      </w:r>
      <w:r w:rsidR="00FA27CE">
        <w:rPr>
          <w:noProof/>
          <w:color w:val="000000"/>
          <w:highlight w:val="black"/>
        </w:rPr>
        <w:t>'''''''</w:t>
      </w:r>
      <w:r w:rsidR="00730F85" w:rsidRPr="00FF3A92">
        <w:t xml:space="preserve">% more in year 1 and </w:t>
      </w:r>
      <w:r w:rsidR="00FA27CE">
        <w:rPr>
          <w:noProof/>
          <w:color w:val="000000"/>
          <w:highlight w:val="black"/>
        </w:rPr>
        <w:t>''''''</w:t>
      </w:r>
      <w:r w:rsidR="00730F85" w:rsidRPr="00FF3A92">
        <w:t>% more in year 2) but within the upper bound of the range considered by the PBAC</w:t>
      </w:r>
      <w:r w:rsidRPr="00FF3A92">
        <w:t>.</w:t>
      </w:r>
      <w:r w:rsidRPr="00854FD4">
        <w:t xml:space="preserve"> </w:t>
      </w:r>
      <w:r w:rsidR="00FB496A">
        <w:t>In July 2015, t</w:t>
      </w:r>
      <w:r w:rsidRPr="00854FD4">
        <w:t>he PBAC noted that while a</w:t>
      </w:r>
      <w:r w:rsidR="004C0FFC" w:rsidRPr="00854FD4">
        <w:t xml:space="preserve">n RSA </w:t>
      </w:r>
      <w:r w:rsidRPr="00854FD4">
        <w:t xml:space="preserve">was in place to mitigate the risk </w:t>
      </w:r>
      <w:r w:rsidR="004C0FFC" w:rsidRPr="00854FD4">
        <w:t xml:space="preserve">to Government of higher </w:t>
      </w:r>
      <w:r w:rsidRPr="00854FD4">
        <w:t xml:space="preserve">overall expenditure, it may not ensure </w:t>
      </w:r>
      <w:r w:rsidR="008C0153">
        <w:t>cost effective</w:t>
      </w:r>
      <w:r w:rsidRPr="00854FD4">
        <w:t xml:space="preserve"> use. The PBAC </w:t>
      </w:r>
      <w:r w:rsidRPr="00854FD4">
        <w:rPr>
          <w:bCs/>
        </w:rPr>
        <w:t xml:space="preserve">recommended </w:t>
      </w:r>
      <w:r w:rsidR="004C0FFC" w:rsidRPr="00854FD4">
        <w:rPr>
          <w:bCs/>
        </w:rPr>
        <w:t xml:space="preserve">that </w:t>
      </w:r>
      <w:r w:rsidRPr="00854FD4">
        <w:rPr>
          <w:bCs/>
        </w:rPr>
        <w:t xml:space="preserve">the Department may wish to revise the </w:t>
      </w:r>
      <w:r w:rsidR="004C0FFC" w:rsidRPr="00854FD4">
        <w:rPr>
          <w:bCs/>
        </w:rPr>
        <w:t xml:space="preserve">subsidisation </w:t>
      </w:r>
      <w:r w:rsidRPr="00854FD4">
        <w:rPr>
          <w:bCs/>
        </w:rPr>
        <w:t xml:space="preserve">caps in the </w:t>
      </w:r>
      <w:r w:rsidR="004C0FFC" w:rsidRPr="00854FD4">
        <w:rPr>
          <w:bCs/>
        </w:rPr>
        <w:t xml:space="preserve">corresponding </w:t>
      </w:r>
      <w:r w:rsidRPr="00854FD4">
        <w:rPr>
          <w:bCs/>
        </w:rPr>
        <w:t xml:space="preserve">Deed of Agreement. </w:t>
      </w:r>
      <w:r w:rsidRPr="00854FD4">
        <w:t xml:space="preserve">The PBAC also considered that a major submission would be required to assess the </w:t>
      </w:r>
      <w:r w:rsidR="008C0153">
        <w:t>cost effective</w:t>
      </w:r>
      <w:r w:rsidRPr="00854FD4">
        <w:t>ness of icatibant in the context of an updated treatment algorithm and to support any proposed change in the PBS restriction.</w:t>
      </w:r>
      <w:r w:rsidRPr="00DF756F">
        <w:t xml:space="preserve"> </w:t>
      </w:r>
    </w:p>
    <w:p w:rsidR="00FC00C2" w:rsidRPr="00ED0F04" w:rsidRDefault="00FC00C2" w:rsidP="000075D9">
      <w:pPr>
        <w:keepNext/>
        <w:widowControl/>
        <w:ind w:firstLine="720"/>
        <w:rPr>
          <w:rStyle w:val="CommentReference"/>
        </w:rPr>
      </w:pPr>
      <w:r w:rsidRPr="00ED0F04">
        <w:rPr>
          <w:rStyle w:val="CommentReference"/>
        </w:rPr>
        <w:lastRenderedPageBreak/>
        <w:t>Summary of the previous submission</w:t>
      </w:r>
      <w:r w:rsidR="00BD5B54">
        <w:rPr>
          <w:rStyle w:val="CommentReference"/>
        </w:rPr>
        <w:t>s</w:t>
      </w:r>
      <w:r w:rsidRPr="00ED0F04">
        <w:rPr>
          <w:rStyle w:val="CommentReference"/>
        </w:rPr>
        <w:t xml:space="preserve"> and current </w:t>
      </w:r>
      <w:r w:rsidR="00D24424">
        <w:rPr>
          <w:rStyle w:val="CommentReference"/>
        </w:rPr>
        <w:t>submission</w:t>
      </w:r>
    </w:p>
    <w:tbl>
      <w:tblPr>
        <w:tblW w:w="829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6"/>
        <w:gridCol w:w="4536"/>
        <w:gridCol w:w="2479"/>
      </w:tblGrid>
      <w:tr w:rsidR="00FC00C2" w:rsidRPr="00854FD4" w:rsidTr="007A593A">
        <w:trPr>
          <w:trHeight w:val="220"/>
          <w:tblHeader/>
        </w:trPr>
        <w:tc>
          <w:tcPr>
            <w:tcW w:w="1276" w:type="dxa"/>
          </w:tcPr>
          <w:p w:rsidR="00FC00C2" w:rsidRPr="009E39F8" w:rsidRDefault="00FC00C2" w:rsidP="000075D9">
            <w:pPr>
              <w:keepNext/>
              <w:widowControl/>
              <w:jc w:val="left"/>
              <w:rPr>
                <w:rFonts w:ascii="Arial Narrow" w:hAnsi="Arial Narrow"/>
                <w:sz w:val="19"/>
                <w:szCs w:val="19"/>
              </w:rPr>
            </w:pPr>
          </w:p>
        </w:tc>
        <w:tc>
          <w:tcPr>
            <w:tcW w:w="4536" w:type="dxa"/>
            <w:vAlign w:val="center"/>
          </w:tcPr>
          <w:p w:rsidR="00FC00C2" w:rsidRPr="00854FD4" w:rsidRDefault="00FC00C2" w:rsidP="000075D9">
            <w:pPr>
              <w:keepNext/>
              <w:widowControl/>
              <w:jc w:val="center"/>
              <w:rPr>
                <w:rFonts w:ascii="Arial Narrow" w:hAnsi="Arial Narrow"/>
                <w:b/>
                <w:sz w:val="19"/>
                <w:szCs w:val="19"/>
              </w:rPr>
            </w:pPr>
            <w:r w:rsidRPr="00854FD4">
              <w:rPr>
                <w:rFonts w:ascii="Arial Narrow" w:hAnsi="Arial Narrow"/>
                <w:b/>
                <w:sz w:val="19"/>
                <w:szCs w:val="19"/>
              </w:rPr>
              <w:t>Icatibant July 2011 and March 2012 re-submission</w:t>
            </w:r>
          </w:p>
        </w:tc>
        <w:tc>
          <w:tcPr>
            <w:tcW w:w="2479" w:type="dxa"/>
            <w:vAlign w:val="center"/>
          </w:tcPr>
          <w:p w:rsidR="00FC00C2" w:rsidRPr="00854FD4" w:rsidRDefault="00FC00C2" w:rsidP="000075D9">
            <w:pPr>
              <w:keepNext/>
              <w:widowControl/>
              <w:jc w:val="center"/>
              <w:rPr>
                <w:rFonts w:ascii="Arial Narrow" w:hAnsi="Arial Narrow"/>
                <w:b/>
                <w:sz w:val="19"/>
                <w:szCs w:val="19"/>
              </w:rPr>
            </w:pPr>
            <w:r w:rsidRPr="00854FD4">
              <w:rPr>
                <w:rFonts w:ascii="Arial Narrow" w:hAnsi="Arial Narrow"/>
                <w:b/>
                <w:sz w:val="19"/>
                <w:szCs w:val="19"/>
              </w:rPr>
              <w:t xml:space="preserve">Current </w:t>
            </w:r>
            <w:r w:rsidR="00D24424" w:rsidRPr="00854FD4">
              <w:rPr>
                <w:rFonts w:ascii="Arial Narrow" w:hAnsi="Arial Narrow"/>
                <w:b/>
                <w:sz w:val="19"/>
                <w:szCs w:val="19"/>
              </w:rPr>
              <w:t>submission</w:t>
            </w:r>
          </w:p>
        </w:tc>
      </w:tr>
      <w:tr w:rsidR="00FC00C2" w:rsidRPr="00854FD4" w:rsidTr="007A593A">
        <w:trPr>
          <w:trHeight w:val="409"/>
        </w:trPr>
        <w:tc>
          <w:tcPr>
            <w:tcW w:w="1276" w:type="dxa"/>
          </w:tcPr>
          <w:p w:rsidR="00FC00C2" w:rsidRPr="00854FD4" w:rsidRDefault="00FC00C2" w:rsidP="000075D9">
            <w:pPr>
              <w:keepNext/>
              <w:widowControl/>
              <w:jc w:val="left"/>
              <w:rPr>
                <w:rFonts w:ascii="Arial Narrow" w:hAnsi="Arial Narrow"/>
                <w:sz w:val="19"/>
                <w:szCs w:val="19"/>
              </w:rPr>
            </w:pPr>
            <w:r w:rsidRPr="00854FD4">
              <w:rPr>
                <w:rFonts w:ascii="Arial Narrow" w:hAnsi="Arial Narrow"/>
                <w:sz w:val="19"/>
                <w:szCs w:val="19"/>
              </w:rPr>
              <w:t>Current PBS listing</w:t>
            </w:r>
          </w:p>
        </w:tc>
        <w:tc>
          <w:tcPr>
            <w:tcW w:w="4536" w:type="dxa"/>
          </w:tcPr>
          <w:p w:rsidR="00FC00C2" w:rsidRPr="00854FD4" w:rsidRDefault="00FC00C2" w:rsidP="000075D9">
            <w:pPr>
              <w:keepNext/>
              <w:widowControl/>
              <w:jc w:val="left"/>
              <w:rPr>
                <w:rFonts w:ascii="Arial Narrow" w:hAnsi="Arial Narrow"/>
                <w:sz w:val="19"/>
                <w:szCs w:val="19"/>
              </w:rPr>
            </w:pPr>
            <w:r w:rsidRPr="00854FD4">
              <w:rPr>
                <w:rFonts w:ascii="Arial Narrow" w:hAnsi="Arial Narrow"/>
                <w:sz w:val="19"/>
                <w:szCs w:val="19"/>
              </w:rPr>
              <w:t>Authority re</w:t>
            </w:r>
            <w:r w:rsidR="00D16A65" w:rsidRPr="00854FD4">
              <w:rPr>
                <w:rFonts w:ascii="Arial Narrow" w:hAnsi="Arial Narrow"/>
                <w:sz w:val="19"/>
                <w:szCs w:val="19"/>
              </w:rPr>
              <w:t>q</w:t>
            </w:r>
            <w:r w:rsidRPr="00854FD4">
              <w:rPr>
                <w:rFonts w:ascii="Arial Narrow" w:hAnsi="Arial Narrow"/>
                <w:sz w:val="19"/>
                <w:szCs w:val="19"/>
              </w:rPr>
              <w:t>u</w:t>
            </w:r>
            <w:r w:rsidR="00D16A65" w:rsidRPr="00854FD4">
              <w:rPr>
                <w:rFonts w:ascii="Arial Narrow" w:hAnsi="Arial Narrow"/>
                <w:sz w:val="19"/>
                <w:szCs w:val="19"/>
              </w:rPr>
              <w:t>i</w:t>
            </w:r>
            <w:r w:rsidRPr="00854FD4">
              <w:rPr>
                <w:rFonts w:ascii="Arial Narrow" w:hAnsi="Arial Narrow"/>
                <w:sz w:val="19"/>
                <w:szCs w:val="19"/>
              </w:rPr>
              <w:t xml:space="preserve">red listing for Anticipated emergency treatment of an acute attack of hereditary angioedema. </w:t>
            </w:r>
          </w:p>
        </w:tc>
        <w:tc>
          <w:tcPr>
            <w:tcW w:w="2479" w:type="dxa"/>
          </w:tcPr>
          <w:p w:rsidR="00FC00C2" w:rsidRPr="00854FD4" w:rsidRDefault="00FC00C2" w:rsidP="000075D9">
            <w:pPr>
              <w:keepNext/>
              <w:widowControl/>
              <w:jc w:val="left"/>
              <w:rPr>
                <w:rFonts w:ascii="Arial Narrow" w:hAnsi="Arial Narrow"/>
                <w:sz w:val="19"/>
                <w:szCs w:val="19"/>
              </w:rPr>
            </w:pPr>
            <w:r w:rsidRPr="00854FD4">
              <w:rPr>
                <w:rFonts w:ascii="Arial Narrow" w:hAnsi="Arial Narrow"/>
                <w:sz w:val="19"/>
                <w:szCs w:val="19"/>
              </w:rPr>
              <w:t xml:space="preserve">Unchanged </w:t>
            </w:r>
          </w:p>
        </w:tc>
      </w:tr>
      <w:tr w:rsidR="00FC00C2" w:rsidRPr="00854FD4" w:rsidTr="007A593A">
        <w:trPr>
          <w:trHeight w:val="232"/>
        </w:trPr>
        <w:tc>
          <w:tcPr>
            <w:tcW w:w="1276" w:type="dxa"/>
          </w:tcPr>
          <w:p w:rsidR="00FC00C2" w:rsidRPr="00854FD4" w:rsidRDefault="00FC00C2" w:rsidP="000075D9">
            <w:pPr>
              <w:keepNext/>
              <w:widowControl/>
              <w:jc w:val="left"/>
              <w:rPr>
                <w:rFonts w:ascii="Arial Narrow" w:hAnsi="Arial Narrow"/>
                <w:sz w:val="19"/>
                <w:szCs w:val="19"/>
              </w:rPr>
            </w:pPr>
            <w:r w:rsidRPr="00854FD4">
              <w:rPr>
                <w:rFonts w:ascii="Arial Narrow" w:hAnsi="Arial Narrow"/>
                <w:sz w:val="19"/>
                <w:szCs w:val="19"/>
              </w:rPr>
              <w:t>Current price</w:t>
            </w:r>
          </w:p>
        </w:tc>
        <w:tc>
          <w:tcPr>
            <w:tcW w:w="4536" w:type="dxa"/>
          </w:tcPr>
          <w:p w:rsidR="00FC00C2" w:rsidRPr="00854FD4" w:rsidRDefault="00FC00C2" w:rsidP="000075D9">
            <w:pPr>
              <w:keepNext/>
              <w:widowControl/>
              <w:jc w:val="left"/>
              <w:rPr>
                <w:rFonts w:ascii="Arial Narrow" w:hAnsi="Arial Narrow"/>
                <w:sz w:val="19"/>
                <w:szCs w:val="19"/>
              </w:rPr>
            </w:pPr>
            <w:r w:rsidRPr="00854FD4">
              <w:rPr>
                <w:rFonts w:ascii="Arial Narrow" w:hAnsi="Arial Narrow"/>
                <w:sz w:val="19"/>
                <w:szCs w:val="19"/>
              </w:rPr>
              <w:t>DPMQ: $</w:t>
            </w:r>
            <w:r w:rsidR="00FA27CE">
              <w:rPr>
                <w:rFonts w:ascii="Arial Narrow" w:hAnsi="Arial Narrow"/>
                <w:noProof/>
                <w:color w:val="000000"/>
                <w:sz w:val="19"/>
                <w:szCs w:val="19"/>
                <w:highlight w:val="black"/>
              </w:rPr>
              <w:t>''''''''''''''''''</w:t>
            </w:r>
          </w:p>
        </w:tc>
        <w:tc>
          <w:tcPr>
            <w:tcW w:w="2479" w:type="dxa"/>
          </w:tcPr>
          <w:p w:rsidR="00FC00C2" w:rsidRPr="00854FD4" w:rsidRDefault="00FC00C2" w:rsidP="000075D9">
            <w:pPr>
              <w:keepNext/>
              <w:widowControl/>
              <w:jc w:val="left"/>
              <w:rPr>
                <w:rFonts w:ascii="Arial Narrow" w:hAnsi="Arial Narrow"/>
                <w:sz w:val="19"/>
                <w:szCs w:val="19"/>
              </w:rPr>
            </w:pPr>
            <w:r w:rsidRPr="00854FD4">
              <w:rPr>
                <w:rFonts w:ascii="Arial Narrow" w:hAnsi="Arial Narrow"/>
                <w:sz w:val="19"/>
                <w:szCs w:val="19"/>
              </w:rPr>
              <w:t xml:space="preserve">Unchanged </w:t>
            </w:r>
          </w:p>
        </w:tc>
      </w:tr>
      <w:tr w:rsidR="00FC00C2" w:rsidRPr="00854FD4" w:rsidTr="007A593A">
        <w:trPr>
          <w:trHeight w:val="642"/>
        </w:trPr>
        <w:tc>
          <w:tcPr>
            <w:tcW w:w="1276" w:type="dxa"/>
          </w:tcPr>
          <w:p w:rsidR="00FC00C2" w:rsidRPr="00854FD4" w:rsidRDefault="00FC00C2" w:rsidP="000075D9">
            <w:pPr>
              <w:keepNext/>
              <w:widowControl/>
              <w:jc w:val="left"/>
              <w:rPr>
                <w:rFonts w:ascii="Arial Narrow" w:hAnsi="Arial Narrow"/>
                <w:sz w:val="19"/>
                <w:szCs w:val="19"/>
              </w:rPr>
            </w:pPr>
            <w:r w:rsidRPr="00854FD4">
              <w:rPr>
                <w:rFonts w:ascii="Arial Narrow" w:hAnsi="Arial Narrow"/>
                <w:sz w:val="19"/>
                <w:szCs w:val="19"/>
              </w:rPr>
              <w:t>Main comparator</w:t>
            </w:r>
          </w:p>
        </w:tc>
        <w:tc>
          <w:tcPr>
            <w:tcW w:w="4536" w:type="dxa"/>
          </w:tcPr>
          <w:p w:rsidR="00FC00C2" w:rsidRPr="00854FD4" w:rsidRDefault="00FC00C2" w:rsidP="000075D9">
            <w:pPr>
              <w:keepNext/>
              <w:widowControl/>
              <w:jc w:val="left"/>
              <w:rPr>
                <w:rFonts w:ascii="Arial Narrow" w:hAnsi="Arial Narrow"/>
                <w:sz w:val="19"/>
                <w:szCs w:val="19"/>
              </w:rPr>
            </w:pPr>
            <w:r w:rsidRPr="00854FD4">
              <w:rPr>
                <w:rFonts w:ascii="Arial Narrow" w:hAnsi="Arial Narrow"/>
                <w:sz w:val="19"/>
                <w:szCs w:val="19"/>
              </w:rPr>
              <w:t xml:space="preserve">Placebo as proxy for best supportive care (BSC), with delayed use of C1-INH if required </w:t>
            </w:r>
          </w:p>
          <w:p w:rsidR="00FC00C2" w:rsidRPr="00854FD4" w:rsidRDefault="00FC00C2" w:rsidP="000075D9">
            <w:pPr>
              <w:keepNext/>
              <w:widowControl/>
              <w:jc w:val="left"/>
              <w:rPr>
                <w:rFonts w:ascii="Arial Narrow" w:hAnsi="Arial Narrow"/>
                <w:sz w:val="19"/>
                <w:szCs w:val="19"/>
              </w:rPr>
            </w:pPr>
            <w:r w:rsidRPr="00854FD4">
              <w:rPr>
                <w:rFonts w:ascii="Arial Narrow" w:hAnsi="Arial Narrow"/>
                <w:b/>
                <w:sz w:val="19"/>
                <w:szCs w:val="19"/>
              </w:rPr>
              <w:t>PBAC accepted</w:t>
            </w:r>
          </w:p>
        </w:tc>
        <w:tc>
          <w:tcPr>
            <w:tcW w:w="2479" w:type="dxa"/>
          </w:tcPr>
          <w:p w:rsidR="00FC00C2" w:rsidRPr="00854FD4" w:rsidRDefault="00FC00C2" w:rsidP="000075D9">
            <w:pPr>
              <w:keepNext/>
              <w:widowControl/>
              <w:jc w:val="left"/>
              <w:rPr>
                <w:rFonts w:ascii="Arial Narrow" w:hAnsi="Arial Narrow"/>
                <w:sz w:val="19"/>
                <w:szCs w:val="19"/>
              </w:rPr>
            </w:pPr>
            <w:r w:rsidRPr="00854FD4">
              <w:rPr>
                <w:rFonts w:ascii="Arial Narrow" w:hAnsi="Arial Narrow"/>
                <w:sz w:val="19"/>
                <w:szCs w:val="19"/>
              </w:rPr>
              <w:t xml:space="preserve">Unchanged </w:t>
            </w:r>
          </w:p>
        </w:tc>
      </w:tr>
      <w:tr w:rsidR="00FC00C2" w:rsidRPr="00854FD4" w:rsidTr="007A593A">
        <w:trPr>
          <w:trHeight w:val="860"/>
        </w:trPr>
        <w:tc>
          <w:tcPr>
            <w:tcW w:w="1276" w:type="dxa"/>
          </w:tcPr>
          <w:p w:rsidR="00FC00C2" w:rsidRPr="00854FD4" w:rsidRDefault="00FC00C2" w:rsidP="000075D9">
            <w:pPr>
              <w:keepNext/>
              <w:widowControl/>
              <w:jc w:val="left"/>
              <w:rPr>
                <w:rFonts w:ascii="Arial Narrow" w:hAnsi="Arial Narrow"/>
                <w:sz w:val="19"/>
                <w:szCs w:val="19"/>
              </w:rPr>
            </w:pPr>
            <w:r w:rsidRPr="00854FD4">
              <w:rPr>
                <w:rFonts w:ascii="Arial Narrow" w:hAnsi="Arial Narrow"/>
                <w:sz w:val="19"/>
                <w:szCs w:val="19"/>
              </w:rPr>
              <w:t>Clinical evidence and clinical claim</w:t>
            </w:r>
          </w:p>
        </w:tc>
        <w:tc>
          <w:tcPr>
            <w:tcW w:w="4536" w:type="dxa"/>
          </w:tcPr>
          <w:p w:rsidR="00FC00C2" w:rsidRPr="00854FD4" w:rsidRDefault="00FC00C2" w:rsidP="000075D9">
            <w:pPr>
              <w:keepNext/>
              <w:widowControl/>
              <w:jc w:val="left"/>
              <w:rPr>
                <w:rFonts w:ascii="Arial Narrow" w:hAnsi="Arial Narrow"/>
                <w:sz w:val="19"/>
                <w:szCs w:val="19"/>
              </w:rPr>
            </w:pPr>
            <w:r w:rsidRPr="00854FD4">
              <w:rPr>
                <w:rFonts w:ascii="Arial Narrow" w:hAnsi="Arial Narrow"/>
                <w:sz w:val="19"/>
                <w:szCs w:val="19"/>
              </w:rPr>
              <w:t>In total six randomised trials were considered by the PBAC. Icatibant is described as superior in terms of comparative effectiveness and inferior in terms of comparative safety over placebo. This is unchanged.</w:t>
            </w:r>
          </w:p>
          <w:p w:rsidR="00FC00C2" w:rsidRPr="00854FD4" w:rsidRDefault="00FC00C2" w:rsidP="000075D9">
            <w:pPr>
              <w:keepNext/>
              <w:widowControl/>
              <w:jc w:val="left"/>
              <w:rPr>
                <w:rFonts w:ascii="Arial Narrow" w:hAnsi="Arial Narrow"/>
                <w:sz w:val="19"/>
                <w:szCs w:val="19"/>
              </w:rPr>
            </w:pPr>
            <w:r w:rsidRPr="00854FD4">
              <w:rPr>
                <w:rFonts w:ascii="Arial Narrow" w:hAnsi="Arial Narrow"/>
                <w:b/>
                <w:sz w:val="19"/>
                <w:szCs w:val="19"/>
              </w:rPr>
              <w:t xml:space="preserve">PBAC comment: </w:t>
            </w:r>
            <w:r w:rsidRPr="00854FD4">
              <w:rPr>
                <w:rFonts w:ascii="Arial Narrow" w:hAnsi="Arial Narrow"/>
                <w:sz w:val="19"/>
                <w:szCs w:val="19"/>
              </w:rPr>
              <w:t xml:space="preserve">accepted but noted that applicability of the clinical results to the requested PBS population remains uncertain and </w:t>
            </w:r>
            <w:r w:rsidR="00D16A65" w:rsidRPr="00854FD4">
              <w:rPr>
                <w:rFonts w:ascii="Arial Narrow" w:hAnsi="Arial Narrow"/>
                <w:sz w:val="19"/>
                <w:szCs w:val="19"/>
              </w:rPr>
              <w:t>some</w:t>
            </w:r>
            <w:r w:rsidRPr="00854FD4">
              <w:rPr>
                <w:rFonts w:ascii="Arial Narrow" w:hAnsi="Arial Narrow"/>
                <w:sz w:val="19"/>
                <w:szCs w:val="19"/>
              </w:rPr>
              <w:t xml:space="preserve"> uncertainty remained regarding the safety of the self-administration of icatibant.</w:t>
            </w:r>
          </w:p>
        </w:tc>
        <w:tc>
          <w:tcPr>
            <w:tcW w:w="2479" w:type="dxa"/>
          </w:tcPr>
          <w:p w:rsidR="00FC00C2" w:rsidRPr="00854FD4" w:rsidRDefault="00FC00C2" w:rsidP="000075D9">
            <w:pPr>
              <w:keepNext/>
              <w:widowControl/>
              <w:jc w:val="left"/>
              <w:rPr>
                <w:rFonts w:ascii="Arial Narrow" w:hAnsi="Arial Narrow"/>
                <w:sz w:val="19"/>
                <w:szCs w:val="19"/>
              </w:rPr>
            </w:pPr>
            <w:r w:rsidRPr="00854FD4">
              <w:rPr>
                <w:rFonts w:ascii="Arial Narrow" w:hAnsi="Arial Narrow"/>
                <w:sz w:val="19"/>
                <w:szCs w:val="19"/>
              </w:rPr>
              <w:t xml:space="preserve">No additional evidence presented </w:t>
            </w:r>
          </w:p>
          <w:p w:rsidR="00FC00C2" w:rsidRPr="00854FD4" w:rsidRDefault="00FC00C2" w:rsidP="000075D9">
            <w:pPr>
              <w:keepNext/>
              <w:widowControl/>
              <w:jc w:val="left"/>
              <w:rPr>
                <w:rFonts w:ascii="Arial Narrow" w:hAnsi="Arial Narrow"/>
                <w:color w:val="0000FF"/>
                <w:sz w:val="19"/>
                <w:szCs w:val="19"/>
              </w:rPr>
            </w:pPr>
          </w:p>
        </w:tc>
      </w:tr>
      <w:tr w:rsidR="00FC00C2" w:rsidRPr="00854FD4" w:rsidTr="007A593A">
        <w:trPr>
          <w:trHeight w:val="1298"/>
        </w:trPr>
        <w:tc>
          <w:tcPr>
            <w:tcW w:w="1276" w:type="dxa"/>
          </w:tcPr>
          <w:p w:rsidR="00FC00C2" w:rsidRPr="00854FD4" w:rsidRDefault="00FC00C2" w:rsidP="000075D9">
            <w:pPr>
              <w:keepNext/>
              <w:widowControl/>
              <w:jc w:val="left"/>
              <w:rPr>
                <w:rFonts w:ascii="Arial Narrow" w:hAnsi="Arial Narrow"/>
                <w:sz w:val="19"/>
                <w:szCs w:val="19"/>
              </w:rPr>
            </w:pPr>
            <w:r w:rsidRPr="00854FD4">
              <w:rPr>
                <w:rFonts w:ascii="Arial Narrow" w:hAnsi="Arial Narrow"/>
                <w:sz w:val="19"/>
                <w:szCs w:val="19"/>
              </w:rPr>
              <w:t>Economic evaluation</w:t>
            </w:r>
          </w:p>
        </w:tc>
        <w:tc>
          <w:tcPr>
            <w:tcW w:w="4536" w:type="dxa"/>
          </w:tcPr>
          <w:p w:rsidR="00FC00C2" w:rsidRPr="00854FD4" w:rsidRDefault="00FC00C2" w:rsidP="000075D9">
            <w:pPr>
              <w:keepNext/>
              <w:widowControl/>
              <w:jc w:val="left"/>
              <w:rPr>
                <w:rFonts w:ascii="Arial Narrow" w:hAnsi="Arial Narrow"/>
                <w:sz w:val="19"/>
                <w:szCs w:val="19"/>
              </w:rPr>
            </w:pPr>
            <w:r w:rsidRPr="00854FD4">
              <w:rPr>
                <w:rFonts w:ascii="Arial Narrow" w:hAnsi="Arial Narrow"/>
                <w:sz w:val="19"/>
                <w:szCs w:val="19"/>
              </w:rPr>
              <w:t>Using July 2011 model and the reduced price proposed in March 2012 minor submission:</w:t>
            </w:r>
          </w:p>
          <w:p w:rsidR="00FC00C2" w:rsidRPr="00854FD4" w:rsidRDefault="00FC00C2" w:rsidP="000075D9">
            <w:pPr>
              <w:keepNext/>
              <w:widowControl/>
              <w:jc w:val="left"/>
              <w:rPr>
                <w:rFonts w:ascii="Arial Narrow" w:hAnsi="Arial Narrow"/>
                <w:sz w:val="19"/>
                <w:szCs w:val="19"/>
              </w:rPr>
            </w:pPr>
          </w:p>
          <w:p w:rsidR="00FC00C2" w:rsidRPr="00854FD4" w:rsidRDefault="00FC00C2" w:rsidP="000075D9">
            <w:pPr>
              <w:keepNext/>
              <w:widowControl/>
              <w:jc w:val="left"/>
              <w:rPr>
                <w:rFonts w:ascii="Arial Narrow" w:hAnsi="Arial Narrow"/>
                <w:sz w:val="19"/>
                <w:szCs w:val="19"/>
              </w:rPr>
            </w:pPr>
            <w:r w:rsidRPr="00854FD4">
              <w:rPr>
                <w:rFonts w:ascii="Arial Narrow" w:hAnsi="Arial Narrow"/>
                <w:sz w:val="19"/>
                <w:szCs w:val="19"/>
              </w:rPr>
              <w:t xml:space="preserve">Cost-utility model with cost/QALY </w:t>
            </w:r>
            <w:r w:rsidR="00410EB8">
              <w:rPr>
                <w:rFonts w:ascii="Arial Narrow" w:hAnsi="Arial Narrow"/>
                <w:sz w:val="19"/>
                <w:szCs w:val="19"/>
              </w:rPr>
              <w:t>$45,000/QALY - $75,000/QALY</w:t>
            </w:r>
          </w:p>
          <w:p w:rsidR="002C5F8D" w:rsidRPr="00854FD4" w:rsidRDefault="002C5F8D" w:rsidP="000075D9">
            <w:pPr>
              <w:keepNext/>
              <w:widowControl/>
              <w:jc w:val="left"/>
              <w:rPr>
                <w:rFonts w:ascii="Arial Narrow" w:hAnsi="Arial Narrow"/>
                <w:b/>
                <w:sz w:val="19"/>
                <w:szCs w:val="19"/>
              </w:rPr>
            </w:pPr>
          </w:p>
          <w:p w:rsidR="00FC00C2" w:rsidRPr="00854FD4" w:rsidRDefault="00FC00C2" w:rsidP="000075D9">
            <w:pPr>
              <w:keepNext/>
              <w:widowControl/>
              <w:jc w:val="left"/>
              <w:rPr>
                <w:rFonts w:ascii="Arial Narrow" w:hAnsi="Arial Narrow"/>
                <w:sz w:val="19"/>
                <w:szCs w:val="19"/>
              </w:rPr>
            </w:pPr>
            <w:r w:rsidRPr="00854FD4">
              <w:rPr>
                <w:rFonts w:ascii="Arial Narrow" w:hAnsi="Arial Narrow"/>
                <w:b/>
                <w:sz w:val="19"/>
                <w:szCs w:val="19"/>
              </w:rPr>
              <w:t>PBAC Comment:</w:t>
            </w:r>
            <w:r w:rsidRPr="00854FD4">
              <w:rPr>
                <w:rFonts w:ascii="Arial Narrow" w:hAnsi="Arial Narrow"/>
                <w:sz w:val="19"/>
                <w:szCs w:val="19"/>
              </w:rPr>
              <w:t xml:space="preserve"> The ICER is very sensitive to the proportion of use in lower risk episodes. The base case estimate included 3.25 treated attack</w:t>
            </w:r>
            <w:r w:rsidR="00343E61" w:rsidRPr="00854FD4">
              <w:rPr>
                <w:rFonts w:ascii="Arial Narrow" w:hAnsi="Arial Narrow"/>
                <w:sz w:val="19"/>
                <w:szCs w:val="19"/>
              </w:rPr>
              <w:t>s</w:t>
            </w:r>
            <w:r w:rsidRPr="00854FD4">
              <w:rPr>
                <w:rFonts w:ascii="Arial Narrow" w:hAnsi="Arial Narrow"/>
                <w:sz w:val="19"/>
                <w:szCs w:val="19"/>
              </w:rPr>
              <w:t xml:space="preserve"> per year with 0% cutaneous attacks being treated. If </w:t>
            </w:r>
            <w:r w:rsidR="00FA27CE">
              <w:rPr>
                <w:rFonts w:ascii="Arial Narrow" w:hAnsi="Arial Narrow"/>
                <w:noProof/>
                <w:color w:val="000000"/>
                <w:sz w:val="19"/>
                <w:szCs w:val="19"/>
                <w:highlight w:val="black"/>
              </w:rPr>
              <w:t>''''''</w:t>
            </w:r>
            <w:r w:rsidRPr="00854FD4">
              <w:rPr>
                <w:rFonts w:ascii="Arial Narrow" w:hAnsi="Arial Narrow"/>
                <w:sz w:val="19"/>
                <w:szCs w:val="19"/>
              </w:rPr>
              <w:t xml:space="preserve">% of cutaneous attacks are treated the ICER is </w:t>
            </w:r>
            <w:r w:rsidR="00410EB8">
              <w:rPr>
                <w:rFonts w:ascii="Arial Narrow" w:hAnsi="Arial Narrow"/>
                <w:sz w:val="19"/>
                <w:szCs w:val="19"/>
              </w:rPr>
              <w:t>$75,000/QALY - $105,000/QALY</w:t>
            </w:r>
            <w:r w:rsidR="00D16A65" w:rsidRPr="00854FD4">
              <w:rPr>
                <w:rFonts w:ascii="Arial Narrow" w:hAnsi="Arial Narrow"/>
                <w:sz w:val="19"/>
                <w:szCs w:val="19"/>
              </w:rPr>
              <w:t>.</w:t>
            </w:r>
          </w:p>
          <w:p w:rsidR="002C5F8D" w:rsidRPr="00854FD4" w:rsidRDefault="002C5F8D" w:rsidP="002C5F8D">
            <w:pPr>
              <w:keepNext/>
              <w:widowControl/>
              <w:jc w:val="left"/>
              <w:rPr>
                <w:rFonts w:ascii="Arial Narrow" w:hAnsi="Arial Narrow"/>
                <w:i/>
                <w:sz w:val="19"/>
                <w:szCs w:val="19"/>
              </w:rPr>
            </w:pPr>
            <w:r w:rsidRPr="00854FD4">
              <w:rPr>
                <w:rFonts w:ascii="Arial Narrow" w:hAnsi="Arial Narrow"/>
                <w:i/>
                <w:sz w:val="19"/>
                <w:szCs w:val="19"/>
              </w:rPr>
              <w:t>The incremental benefits over BSC were almost entirely due to elements not relating to an attack (e.g. convenience and reduction of anxiety)</w:t>
            </w:r>
          </w:p>
        </w:tc>
        <w:tc>
          <w:tcPr>
            <w:tcW w:w="2479" w:type="dxa"/>
          </w:tcPr>
          <w:p w:rsidR="00FC00C2" w:rsidRPr="00854FD4" w:rsidRDefault="00FC00C2" w:rsidP="000075D9">
            <w:pPr>
              <w:keepNext/>
              <w:widowControl/>
              <w:jc w:val="left"/>
              <w:rPr>
                <w:rFonts w:ascii="Arial Narrow" w:hAnsi="Arial Narrow"/>
                <w:sz w:val="19"/>
                <w:szCs w:val="19"/>
              </w:rPr>
            </w:pPr>
            <w:r w:rsidRPr="00854FD4">
              <w:rPr>
                <w:rFonts w:ascii="Arial Narrow" w:hAnsi="Arial Narrow"/>
                <w:sz w:val="19"/>
                <w:szCs w:val="19"/>
              </w:rPr>
              <w:t>Cost-utility model with cost/QALY</w:t>
            </w:r>
            <w:r w:rsidR="00D16A65" w:rsidRPr="00854FD4">
              <w:rPr>
                <w:rFonts w:ascii="Arial Narrow" w:hAnsi="Arial Narrow"/>
                <w:sz w:val="19"/>
                <w:szCs w:val="19"/>
              </w:rPr>
              <w:t>:</w:t>
            </w:r>
            <w:r w:rsidRPr="00854FD4">
              <w:rPr>
                <w:rFonts w:ascii="Arial Narrow" w:hAnsi="Arial Narrow"/>
                <w:sz w:val="19"/>
                <w:szCs w:val="19"/>
              </w:rPr>
              <w:t xml:space="preserve"> </w:t>
            </w:r>
            <w:r w:rsidR="00410EB8">
              <w:rPr>
                <w:rFonts w:ascii="Arial Narrow" w:hAnsi="Arial Narrow"/>
                <w:sz w:val="19"/>
                <w:szCs w:val="19"/>
              </w:rPr>
              <w:t>$45,000/QALY - $75,000/QALY</w:t>
            </w:r>
            <w:r w:rsidR="00410EB8" w:rsidRPr="00854FD4" w:rsidDel="00410EB8">
              <w:rPr>
                <w:rFonts w:ascii="Arial Narrow" w:hAnsi="Arial Narrow"/>
                <w:sz w:val="19"/>
                <w:szCs w:val="19"/>
              </w:rPr>
              <w:t xml:space="preserve"> </w:t>
            </w:r>
            <w:r w:rsidR="000777DC" w:rsidRPr="00854FD4">
              <w:rPr>
                <w:rFonts w:ascii="Arial Narrow" w:hAnsi="Arial Narrow"/>
                <w:sz w:val="19"/>
                <w:szCs w:val="19"/>
              </w:rPr>
              <w:t xml:space="preserve">(Microsimulation analysis with an average of 6.33 treated attacks/year) </w:t>
            </w:r>
          </w:p>
          <w:p w:rsidR="00FC00C2" w:rsidRPr="00854FD4" w:rsidRDefault="00410EB8" w:rsidP="000075D9">
            <w:pPr>
              <w:keepNext/>
              <w:widowControl/>
              <w:jc w:val="left"/>
              <w:rPr>
                <w:rFonts w:ascii="Arial Narrow" w:hAnsi="Arial Narrow"/>
                <w:b/>
                <w:sz w:val="19"/>
                <w:szCs w:val="19"/>
              </w:rPr>
            </w:pPr>
            <w:r>
              <w:rPr>
                <w:rFonts w:ascii="Arial Narrow" w:hAnsi="Arial Narrow"/>
                <w:sz w:val="19"/>
                <w:szCs w:val="19"/>
              </w:rPr>
              <w:t>$45,000/QALY - $75,000/QALY</w:t>
            </w:r>
            <w:r w:rsidRPr="00854FD4" w:rsidDel="00410EB8">
              <w:rPr>
                <w:rFonts w:ascii="Arial Narrow" w:hAnsi="Arial Narrow"/>
                <w:sz w:val="19"/>
                <w:szCs w:val="19"/>
              </w:rPr>
              <w:t xml:space="preserve"> </w:t>
            </w:r>
            <w:r w:rsidR="000777DC" w:rsidRPr="00854FD4">
              <w:rPr>
                <w:rFonts w:ascii="Arial Narrow" w:hAnsi="Arial Narrow"/>
                <w:sz w:val="19"/>
                <w:szCs w:val="19"/>
              </w:rPr>
              <w:t>(Cohort analysis with an average of 5.49 treated attacks/year)</w:t>
            </w:r>
          </w:p>
        </w:tc>
      </w:tr>
      <w:tr w:rsidR="00FC00C2" w:rsidRPr="00854FD4" w:rsidTr="007A593A">
        <w:trPr>
          <w:trHeight w:val="621"/>
        </w:trPr>
        <w:tc>
          <w:tcPr>
            <w:tcW w:w="1276" w:type="dxa"/>
          </w:tcPr>
          <w:p w:rsidR="00FC00C2" w:rsidRPr="00854FD4" w:rsidRDefault="00FC00C2" w:rsidP="000075D9">
            <w:pPr>
              <w:keepNext/>
              <w:widowControl/>
              <w:jc w:val="left"/>
              <w:rPr>
                <w:rFonts w:ascii="Arial Narrow" w:hAnsi="Arial Narrow"/>
                <w:sz w:val="19"/>
                <w:szCs w:val="19"/>
              </w:rPr>
            </w:pPr>
            <w:r w:rsidRPr="00854FD4">
              <w:rPr>
                <w:rFonts w:ascii="Arial Narrow" w:hAnsi="Arial Narrow"/>
                <w:sz w:val="19"/>
                <w:szCs w:val="19"/>
              </w:rPr>
              <w:t>Number of patients</w:t>
            </w:r>
          </w:p>
        </w:tc>
        <w:tc>
          <w:tcPr>
            <w:tcW w:w="4536" w:type="dxa"/>
          </w:tcPr>
          <w:p w:rsidR="00FC00C2" w:rsidRPr="00854FD4" w:rsidRDefault="00410EB8" w:rsidP="000075D9">
            <w:pPr>
              <w:keepNext/>
              <w:widowControl/>
              <w:jc w:val="left"/>
              <w:rPr>
                <w:rFonts w:ascii="Arial Narrow" w:hAnsi="Arial Narrow"/>
                <w:sz w:val="19"/>
                <w:szCs w:val="19"/>
              </w:rPr>
            </w:pPr>
            <w:r>
              <w:rPr>
                <w:rFonts w:ascii="Arial Narrow" w:hAnsi="Arial Narrow"/>
                <w:sz w:val="19"/>
                <w:szCs w:val="19"/>
              </w:rPr>
              <w:t>Less than 10,000</w:t>
            </w:r>
            <w:r w:rsidRPr="00410EB8">
              <w:rPr>
                <w:rFonts w:ascii="Arial Narrow" w:hAnsi="Arial Narrow"/>
                <w:sz w:val="19"/>
                <w:szCs w:val="19"/>
              </w:rPr>
              <w:t xml:space="preserve"> </w:t>
            </w:r>
            <w:r w:rsidR="00FC00C2" w:rsidRPr="00854FD4">
              <w:rPr>
                <w:rFonts w:ascii="Arial Narrow" w:hAnsi="Arial Narrow"/>
                <w:sz w:val="19"/>
                <w:szCs w:val="19"/>
              </w:rPr>
              <w:t xml:space="preserve">in Year 1 (2012) increasing to </w:t>
            </w:r>
            <w:r>
              <w:rPr>
                <w:rFonts w:ascii="Arial Narrow" w:hAnsi="Arial Narrow"/>
                <w:sz w:val="19"/>
                <w:szCs w:val="19"/>
              </w:rPr>
              <w:t>less than 10,000</w:t>
            </w:r>
            <w:r w:rsidRPr="00854FD4">
              <w:rPr>
                <w:rFonts w:ascii="Arial Narrow" w:hAnsi="Arial Narrow"/>
                <w:sz w:val="19"/>
                <w:szCs w:val="19"/>
              </w:rPr>
              <w:t xml:space="preserve"> </w:t>
            </w:r>
            <w:r w:rsidR="00FC00C2" w:rsidRPr="00854FD4">
              <w:rPr>
                <w:rFonts w:ascii="Arial Narrow" w:hAnsi="Arial Narrow"/>
                <w:sz w:val="19"/>
                <w:szCs w:val="19"/>
              </w:rPr>
              <w:t xml:space="preserve">in Year 5 (2016) </w:t>
            </w:r>
          </w:p>
          <w:p w:rsidR="00FC00C2" w:rsidRPr="00854FD4" w:rsidRDefault="00FC00C2" w:rsidP="000075D9">
            <w:pPr>
              <w:keepNext/>
              <w:widowControl/>
              <w:jc w:val="left"/>
              <w:rPr>
                <w:rFonts w:ascii="Arial Narrow" w:hAnsi="Arial Narrow"/>
                <w:sz w:val="19"/>
                <w:szCs w:val="19"/>
              </w:rPr>
            </w:pPr>
          </w:p>
        </w:tc>
        <w:tc>
          <w:tcPr>
            <w:tcW w:w="2479" w:type="dxa"/>
          </w:tcPr>
          <w:p w:rsidR="00FC00C2" w:rsidRPr="00854FD4" w:rsidRDefault="00410EB8" w:rsidP="000075D9">
            <w:pPr>
              <w:keepNext/>
              <w:widowControl/>
              <w:jc w:val="left"/>
              <w:rPr>
                <w:rFonts w:ascii="Arial Narrow" w:hAnsi="Arial Narrow"/>
                <w:sz w:val="19"/>
                <w:szCs w:val="19"/>
              </w:rPr>
            </w:pPr>
            <w:r w:rsidRPr="00410EB8">
              <w:rPr>
                <w:rFonts w:ascii="Arial Narrow" w:hAnsi="Arial Narrow"/>
                <w:sz w:val="19"/>
                <w:szCs w:val="19"/>
              </w:rPr>
              <w:t>3</w:t>
            </w:r>
            <w:r>
              <w:rPr>
                <w:rFonts w:ascii="Arial Narrow" w:hAnsi="Arial Narrow"/>
                <w:sz w:val="19"/>
                <w:szCs w:val="19"/>
              </w:rPr>
              <w:t>Less than 10,000</w:t>
            </w:r>
            <w:r w:rsidRPr="00854FD4">
              <w:rPr>
                <w:rFonts w:ascii="Arial Narrow" w:hAnsi="Arial Narrow"/>
                <w:sz w:val="19"/>
                <w:szCs w:val="19"/>
              </w:rPr>
              <w:t xml:space="preserve"> </w:t>
            </w:r>
            <w:r w:rsidR="00FC00C2" w:rsidRPr="00854FD4">
              <w:rPr>
                <w:rFonts w:ascii="Arial Narrow" w:hAnsi="Arial Narrow"/>
                <w:sz w:val="19"/>
                <w:szCs w:val="19"/>
              </w:rPr>
              <w:t xml:space="preserve">in Year 1 (Aug 2016-July 2017) increasing to </w:t>
            </w:r>
            <w:r>
              <w:rPr>
                <w:rFonts w:ascii="Arial Narrow" w:hAnsi="Arial Narrow"/>
                <w:sz w:val="19"/>
                <w:szCs w:val="19"/>
              </w:rPr>
              <w:t>less than 10,000</w:t>
            </w:r>
            <w:r w:rsidR="00FC00C2" w:rsidRPr="00854FD4">
              <w:rPr>
                <w:rFonts w:ascii="Arial Narrow" w:hAnsi="Arial Narrow"/>
                <w:sz w:val="19"/>
                <w:szCs w:val="19"/>
              </w:rPr>
              <w:t xml:space="preserve"> in Year 5.</w:t>
            </w:r>
          </w:p>
          <w:p w:rsidR="00444766" w:rsidRPr="00854FD4" w:rsidRDefault="00FC00C2" w:rsidP="000075D9">
            <w:pPr>
              <w:keepNext/>
              <w:widowControl/>
              <w:jc w:val="left"/>
              <w:rPr>
                <w:rFonts w:ascii="Arial Narrow" w:hAnsi="Arial Narrow"/>
                <w:sz w:val="19"/>
                <w:szCs w:val="19"/>
              </w:rPr>
            </w:pPr>
            <w:r w:rsidRPr="00854FD4">
              <w:rPr>
                <w:rFonts w:ascii="Arial Narrow" w:hAnsi="Arial Narrow"/>
                <w:sz w:val="19"/>
                <w:szCs w:val="19"/>
              </w:rPr>
              <w:t>Not used to estimate cost to PBS</w:t>
            </w:r>
            <w:r w:rsidR="00444766" w:rsidRPr="00854FD4">
              <w:rPr>
                <w:rFonts w:ascii="Arial Narrow" w:hAnsi="Arial Narrow"/>
                <w:sz w:val="19"/>
                <w:szCs w:val="19"/>
              </w:rPr>
              <w:t xml:space="preserve">. </w:t>
            </w:r>
          </w:p>
          <w:p w:rsidR="00FC00C2" w:rsidRPr="00854FD4" w:rsidRDefault="00B7030F" w:rsidP="000075D9">
            <w:pPr>
              <w:keepNext/>
              <w:widowControl/>
              <w:ind w:right="135"/>
              <w:jc w:val="left"/>
              <w:rPr>
                <w:rFonts w:ascii="Arial Narrow" w:hAnsi="Arial Narrow"/>
                <w:color w:val="0000FF"/>
                <w:sz w:val="19"/>
                <w:szCs w:val="19"/>
              </w:rPr>
            </w:pPr>
            <w:r w:rsidRPr="00854FD4">
              <w:rPr>
                <w:rFonts w:ascii="Arial Narrow" w:hAnsi="Arial Narrow"/>
                <w:sz w:val="19"/>
                <w:szCs w:val="19"/>
              </w:rPr>
              <w:t xml:space="preserve">Estimates of use and financial impact prepared during the evaluation using </w:t>
            </w:r>
            <w:r w:rsidR="00BA446C" w:rsidRPr="00854FD4">
              <w:rPr>
                <w:rFonts w:ascii="Arial Narrow" w:hAnsi="Arial Narrow"/>
                <w:sz w:val="19"/>
                <w:szCs w:val="19"/>
              </w:rPr>
              <w:t xml:space="preserve">a </w:t>
            </w:r>
            <w:r w:rsidRPr="00854FD4">
              <w:rPr>
                <w:rFonts w:ascii="Arial Narrow" w:hAnsi="Arial Narrow"/>
                <w:sz w:val="19"/>
                <w:szCs w:val="19"/>
              </w:rPr>
              <w:t xml:space="preserve">patient estimates approach based on the DUSC data </w:t>
            </w:r>
            <w:r w:rsidR="00BA446C" w:rsidRPr="00854FD4">
              <w:rPr>
                <w:rFonts w:ascii="Arial Narrow" w:hAnsi="Arial Narrow"/>
                <w:sz w:val="19"/>
                <w:szCs w:val="19"/>
              </w:rPr>
              <w:t>we</w:t>
            </w:r>
            <w:r w:rsidRPr="00854FD4">
              <w:rPr>
                <w:rFonts w:ascii="Arial Narrow" w:hAnsi="Arial Narrow"/>
                <w:sz w:val="19"/>
                <w:szCs w:val="19"/>
              </w:rPr>
              <w:t>re lower than those provided in the submission.</w:t>
            </w:r>
            <w:r w:rsidR="00444766" w:rsidRPr="00854FD4">
              <w:rPr>
                <w:rFonts w:ascii="Arial Narrow" w:hAnsi="Arial Narrow"/>
                <w:sz w:val="19"/>
                <w:szCs w:val="19"/>
              </w:rPr>
              <w:t xml:space="preserve"> </w:t>
            </w:r>
          </w:p>
        </w:tc>
      </w:tr>
      <w:tr w:rsidR="00FC00C2" w:rsidRPr="00854FD4" w:rsidTr="007A593A">
        <w:trPr>
          <w:trHeight w:val="1080"/>
        </w:trPr>
        <w:tc>
          <w:tcPr>
            <w:tcW w:w="1276" w:type="dxa"/>
          </w:tcPr>
          <w:p w:rsidR="00FC00C2" w:rsidRPr="00854FD4" w:rsidRDefault="00FC00C2" w:rsidP="000075D9">
            <w:pPr>
              <w:keepNext/>
              <w:widowControl/>
              <w:jc w:val="left"/>
              <w:rPr>
                <w:rFonts w:ascii="Arial Narrow" w:hAnsi="Arial Narrow"/>
                <w:sz w:val="19"/>
                <w:szCs w:val="19"/>
              </w:rPr>
            </w:pPr>
            <w:r w:rsidRPr="00854FD4">
              <w:rPr>
                <w:rFonts w:ascii="Arial Narrow" w:hAnsi="Arial Narrow"/>
                <w:sz w:val="19"/>
                <w:szCs w:val="19"/>
              </w:rPr>
              <w:t>Estimated cost to PBS</w:t>
            </w:r>
          </w:p>
        </w:tc>
        <w:tc>
          <w:tcPr>
            <w:tcW w:w="4536" w:type="dxa"/>
          </w:tcPr>
          <w:p w:rsidR="00FC00C2" w:rsidRPr="00854FD4" w:rsidRDefault="00410EB8" w:rsidP="000075D9">
            <w:pPr>
              <w:keepNext/>
              <w:widowControl/>
              <w:jc w:val="left"/>
              <w:rPr>
                <w:rFonts w:ascii="Arial Narrow" w:hAnsi="Arial Narrow"/>
                <w:sz w:val="19"/>
                <w:szCs w:val="19"/>
              </w:rPr>
            </w:pPr>
            <w:r>
              <w:rPr>
                <w:rFonts w:ascii="Arial Narrow" w:hAnsi="Arial Narrow"/>
                <w:sz w:val="19"/>
                <w:szCs w:val="19"/>
              </w:rPr>
              <w:t>Less than $10</w:t>
            </w:r>
            <w:r w:rsidR="00FC00C2" w:rsidRPr="00410EB8">
              <w:rPr>
                <w:rFonts w:ascii="Arial Narrow" w:hAnsi="Arial Narrow"/>
                <w:sz w:val="19"/>
                <w:szCs w:val="19"/>
              </w:rPr>
              <w:t xml:space="preserve"> million</w:t>
            </w:r>
            <w:r w:rsidR="00FC00C2" w:rsidRPr="00854FD4">
              <w:rPr>
                <w:rFonts w:ascii="Arial Narrow" w:hAnsi="Arial Narrow"/>
                <w:sz w:val="19"/>
                <w:szCs w:val="19"/>
              </w:rPr>
              <w:t xml:space="preserve"> in Year 1 increasing to </w:t>
            </w:r>
            <w:r>
              <w:rPr>
                <w:rFonts w:ascii="Arial Narrow" w:hAnsi="Arial Narrow"/>
                <w:sz w:val="19"/>
                <w:szCs w:val="19"/>
              </w:rPr>
              <w:t>less than $10</w:t>
            </w:r>
            <w:r w:rsidR="00FC00C2" w:rsidRPr="00410EB8">
              <w:rPr>
                <w:rFonts w:ascii="Arial Narrow" w:hAnsi="Arial Narrow"/>
                <w:sz w:val="19"/>
                <w:szCs w:val="19"/>
              </w:rPr>
              <w:t xml:space="preserve"> million</w:t>
            </w:r>
            <w:r w:rsidR="00FC00C2" w:rsidRPr="00854FD4">
              <w:rPr>
                <w:rFonts w:ascii="Arial Narrow" w:hAnsi="Arial Narrow"/>
                <w:sz w:val="19"/>
                <w:szCs w:val="19"/>
              </w:rPr>
              <w:t xml:space="preserve"> in Year 5 for a total of </w:t>
            </w:r>
            <w:r>
              <w:rPr>
                <w:rFonts w:ascii="Arial Narrow" w:hAnsi="Arial Narrow"/>
                <w:sz w:val="19"/>
                <w:szCs w:val="19"/>
              </w:rPr>
              <w:t xml:space="preserve">$10 - $20 </w:t>
            </w:r>
            <w:r w:rsidR="00FC00C2" w:rsidRPr="00410EB8">
              <w:rPr>
                <w:rFonts w:ascii="Arial Narrow" w:hAnsi="Arial Narrow"/>
                <w:sz w:val="19"/>
                <w:szCs w:val="19"/>
              </w:rPr>
              <w:t xml:space="preserve"> million</w:t>
            </w:r>
            <w:r w:rsidR="00FC00C2" w:rsidRPr="00854FD4">
              <w:rPr>
                <w:rFonts w:ascii="Arial Narrow" w:hAnsi="Arial Narrow"/>
                <w:sz w:val="19"/>
                <w:szCs w:val="19"/>
              </w:rPr>
              <w:t xml:space="preserve"> over the first 5 years of listing.</w:t>
            </w:r>
          </w:p>
          <w:p w:rsidR="00FC00C2" w:rsidRPr="00854FD4" w:rsidRDefault="00FC00C2" w:rsidP="000075D9">
            <w:pPr>
              <w:keepNext/>
              <w:widowControl/>
              <w:jc w:val="left"/>
              <w:rPr>
                <w:rFonts w:ascii="Arial Narrow" w:hAnsi="Arial Narrow"/>
                <w:sz w:val="19"/>
                <w:szCs w:val="19"/>
              </w:rPr>
            </w:pPr>
            <w:r w:rsidRPr="00854FD4">
              <w:rPr>
                <w:rFonts w:ascii="Arial Narrow" w:hAnsi="Arial Narrow"/>
                <w:b/>
                <w:sz w:val="19"/>
                <w:szCs w:val="19"/>
              </w:rPr>
              <w:t>PBAC Comment:</w:t>
            </w:r>
            <w:r w:rsidRPr="00854FD4">
              <w:rPr>
                <w:rFonts w:ascii="Arial Narrow" w:hAnsi="Arial Narrow"/>
                <w:sz w:val="19"/>
                <w:szCs w:val="19"/>
              </w:rPr>
              <w:t xml:space="preserve"> considered the proposed </w:t>
            </w:r>
            <w:r w:rsidR="00D16A65" w:rsidRPr="00854FD4">
              <w:rPr>
                <w:rFonts w:ascii="Arial Narrow" w:hAnsi="Arial Narrow"/>
                <w:sz w:val="19"/>
                <w:szCs w:val="19"/>
              </w:rPr>
              <w:t>RSA</w:t>
            </w:r>
            <w:r w:rsidRPr="00854FD4">
              <w:rPr>
                <w:rFonts w:ascii="Arial Narrow" w:hAnsi="Arial Narrow"/>
                <w:sz w:val="19"/>
                <w:szCs w:val="19"/>
              </w:rPr>
              <w:t xml:space="preserve"> options were sufficient to reassure the Committee regarding its concerns about the potential use for treatment of less severe attacks.</w:t>
            </w:r>
          </w:p>
        </w:tc>
        <w:tc>
          <w:tcPr>
            <w:tcW w:w="2479" w:type="dxa"/>
          </w:tcPr>
          <w:p w:rsidR="00FC00C2" w:rsidRPr="00854FD4" w:rsidRDefault="00410EB8" w:rsidP="00410EB8">
            <w:pPr>
              <w:keepNext/>
              <w:widowControl/>
              <w:jc w:val="left"/>
              <w:rPr>
                <w:rFonts w:ascii="Arial Narrow" w:hAnsi="Arial Narrow"/>
                <w:color w:val="0000FF"/>
                <w:sz w:val="19"/>
                <w:szCs w:val="19"/>
              </w:rPr>
            </w:pPr>
            <w:r>
              <w:rPr>
                <w:rFonts w:ascii="Arial Narrow" w:hAnsi="Arial Narrow"/>
                <w:sz w:val="19"/>
                <w:szCs w:val="19"/>
              </w:rPr>
              <w:t>Less than $10</w:t>
            </w:r>
            <w:r w:rsidRPr="00410EB8">
              <w:rPr>
                <w:rFonts w:ascii="Arial Narrow" w:hAnsi="Arial Narrow"/>
                <w:sz w:val="19"/>
                <w:szCs w:val="19"/>
              </w:rPr>
              <w:t xml:space="preserve"> </w:t>
            </w:r>
            <w:r w:rsidR="00FC00C2" w:rsidRPr="00410EB8">
              <w:rPr>
                <w:rFonts w:ascii="Arial Narrow" w:hAnsi="Arial Narrow"/>
                <w:sz w:val="19"/>
                <w:szCs w:val="19"/>
              </w:rPr>
              <w:t>million</w:t>
            </w:r>
            <w:r w:rsidR="00FC00C2" w:rsidRPr="00854FD4">
              <w:rPr>
                <w:rFonts w:ascii="Arial Narrow" w:hAnsi="Arial Narrow"/>
                <w:sz w:val="19"/>
                <w:szCs w:val="19"/>
              </w:rPr>
              <w:t xml:space="preserve"> in Year 1 (Aug 2016-July 2017) increasing to </w:t>
            </w:r>
            <w:r>
              <w:rPr>
                <w:rFonts w:ascii="Arial Narrow" w:hAnsi="Arial Narrow"/>
                <w:sz w:val="19"/>
                <w:szCs w:val="19"/>
              </w:rPr>
              <w:t>less than $10</w:t>
            </w:r>
            <w:r w:rsidRPr="00410EB8">
              <w:rPr>
                <w:rFonts w:ascii="Arial Narrow" w:hAnsi="Arial Narrow"/>
                <w:sz w:val="19"/>
                <w:szCs w:val="19"/>
              </w:rPr>
              <w:t xml:space="preserve"> </w:t>
            </w:r>
            <w:r w:rsidR="00FC00C2" w:rsidRPr="00410EB8">
              <w:rPr>
                <w:rFonts w:ascii="Arial Narrow" w:hAnsi="Arial Narrow"/>
                <w:sz w:val="19"/>
                <w:szCs w:val="19"/>
              </w:rPr>
              <w:t>million</w:t>
            </w:r>
            <w:r w:rsidR="00FC00C2" w:rsidRPr="00854FD4">
              <w:rPr>
                <w:rFonts w:ascii="Arial Narrow" w:hAnsi="Arial Narrow"/>
                <w:sz w:val="19"/>
                <w:szCs w:val="19"/>
              </w:rPr>
              <w:t xml:space="preserve"> in Year 5 for a total of $</w:t>
            </w:r>
            <w:r>
              <w:rPr>
                <w:rFonts w:ascii="Arial Narrow" w:hAnsi="Arial Narrow"/>
                <w:sz w:val="19"/>
                <w:szCs w:val="19"/>
              </w:rPr>
              <w:t>30 - $60</w:t>
            </w:r>
            <w:r w:rsidR="00FC00C2" w:rsidRPr="00410EB8">
              <w:rPr>
                <w:rFonts w:ascii="Arial Narrow" w:hAnsi="Arial Narrow"/>
                <w:sz w:val="19"/>
                <w:szCs w:val="19"/>
              </w:rPr>
              <w:t xml:space="preserve"> million</w:t>
            </w:r>
            <w:r w:rsidR="00FC00C2" w:rsidRPr="00854FD4">
              <w:rPr>
                <w:rFonts w:ascii="Arial Narrow" w:hAnsi="Arial Narrow"/>
                <w:sz w:val="19"/>
                <w:szCs w:val="19"/>
              </w:rPr>
              <w:t xml:space="preserve"> over the first 5 years of listing. </w:t>
            </w:r>
          </w:p>
        </w:tc>
      </w:tr>
      <w:tr w:rsidR="00FC00C2" w:rsidRPr="009E39F8" w:rsidTr="007A593A">
        <w:trPr>
          <w:trHeight w:val="438"/>
        </w:trPr>
        <w:tc>
          <w:tcPr>
            <w:tcW w:w="1276" w:type="dxa"/>
          </w:tcPr>
          <w:p w:rsidR="00FC00C2" w:rsidRPr="00854FD4" w:rsidRDefault="00FC00C2" w:rsidP="000075D9">
            <w:pPr>
              <w:keepNext/>
              <w:widowControl/>
              <w:jc w:val="left"/>
              <w:rPr>
                <w:rFonts w:ascii="Arial Narrow" w:hAnsi="Arial Narrow"/>
                <w:sz w:val="19"/>
                <w:szCs w:val="19"/>
              </w:rPr>
            </w:pPr>
            <w:r w:rsidRPr="00854FD4">
              <w:rPr>
                <w:rFonts w:ascii="Arial Narrow" w:hAnsi="Arial Narrow"/>
              </w:rPr>
              <w:br w:type="page"/>
            </w:r>
            <w:r w:rsidRPr="00854FD4">
              <w:rPr>
                <w:rFonts w:ascii="Arial Narrow" w:hAnsi="Arial Narrow"/>
                <w:sz w:val="19"/>
                <w:szCs w:val="19"/>
              </w:rPr>
              <w:t>PBAC decision</w:t>
            </w:r>
          </w:p>
        </w:tc>
        <w:tc>
          <w:tcPr>
            <w:tcW w:w="4536" w:type="dxa"/>
          </w:tcPr>
          <w:p w:rsidR="00FC00C2" w:rsidRPr="00854FD4" w:rsidRDefault="00FC00C2" w:rsidP="000075D9">
            <w:pPr>
              <w:keepNext/>
              <w:widowControl/>
              <w:jc w:val="left"/>
              <w:rPr>
                <w:rFonts w:ascii="Arial Narrow" w:hAnsi="Arial Narrow"/>
                <w:sz w:val="19"/>
                <w:szCs w:val="19"/>
              </w:rPr>
            </w:pPr>
            <w:r w:rsidRPr="00854FD4">
              <w:rPr>
                <w:rFonts w:ascii="Arial Narrow" w:hAnsi="Arial Narrow"/>
                <w:sz w:val="19"/>
                <w:szCs w:val="19"/>
              </w:rPr>
              <w:t>The PBAC rejected the July 2011 major re-submission on the basis that uncertainty remains over the extent of clinical benefit in the self-administration setting and on the basis of the resultant uncertain, as well as unacceptably high, cost effectiveness ratio.</w:t>
            </w:r>
          </w:p>
          <w:p w:rsidR="00FC00C2" w:rsidRPr="00854FD4" w:rsidRDefault="00FC00C2" w:rsidP="000075D9">
            <w:pPr>
              <w:keepNext/>
              <w:widowControl/>
              <w:jc w:val="left"/>
              <w:rPr>
                <w:rFonts w:ascii="Arial Narrow" w:hAnsi="Arial Narrow"/>
                <w:sz w:val="19"/>
                <w:szCs w:val="19"/>
              </w:rPr>
            </w:pPr>
          </w:p>
          <w:p w:rsidR="00FC00C2" w:rsidRPr="009E39F8" w:rsidRDefault="00FC00C2" w:rsidP="000075D9">
            <w:pPr>
              <w:keepNext/>
              <w:widowControl/>
              <w:jc w:val="left"/>
              <w:rPr>
                <w:rFonts w:ascii="Arial Narrow" w:hAnsi="Arial Narrow"/>
                <w:sz w:val="19"/>
                <w:szCs w:val="19"/>
              </w:rPr>
            </w:pPr>
            <w:r w:rsidRPr="00854FD4">
              <w:rPr>
                <w:rFonts w:ascii="Arial Narrow" w:hAnsi="Arial Narrow"/>
                <w:sz w:val="19"/>
                <w:szCs w:val="19"/>
              </w:rPr>
              <w:t>There were two minor re-submissions following this rejection in which reduced prices were offered without other change. The PBAC recommended the listing at March 2012 meeting.</w:t>
            </w:r>
          </w:p>
        </w:tc>
        <w:tc>
          <w:tcPr>
            <w:tcW w:w="2479" w:type="dxa"/>
          </w:tcPr>
          <w:p w:rsidR="00FC00C2" w:rsidRPr="009E39F8" w:rsidRDefault="00FC00C2" w:rsidP="000075D9">
            <w:pPr>
              <w:keepNext/>
              <w:widowControl/>
              <w:jc w:val="left"/>
              <w:rPr>
                <w:rFonts w:ascii="Arial Narrow" w:hAnsi="Arial Narrow"/>
                <w:color w:val="0000FF"/>
                <w:sz w:val="19"/>
                <w:szCs w:val="19"/>
              </w:rPr>
            </w:pPr>
          </w:p>
        </w:tc>
      </w:tr>
    </w:tbl>
    <w:p w:rsidR="00FC00C2" w:rsidRDefault="00FC00C2" w:rsidP="000075D9">
      <w:pPr>
        <w:pStyle w:val="TableFooter"/>
        <w:widowControl/>
        <w:ind w:firstLine="720"/>
      </w:pPr>
      <w:r w:rsidRPr="001D112E">
        <w:t>Source: Compiled during the evaluation</w:t>
      </w:r>
    </w:p>
    <w:p w:rsidR="006D116A" w:rsidRPr="001D112E" w:rsidRDefault="006D116A" w:rsidP="000075D9">
      <w:pPr>
        <w:pStyle w:val="TableFooter"/>
        <w:widowControl/>
        <w:ind w:firstLine="720"/>
      </w:pPr>
    </w:p>
    <w:p w:rsidR="004C0BD5" w:rsidRPr="00FF3A92" w:rsidRDefault="004C0BD5" w:rsidP="00E94114">
      <w:pPr>
        <w:pStyle w:val="ListParagraph"/>
        <w:widowControl/>
        <w:numPr>
          <w:ilvl w:val="1"/>
          <w:numId w:val="2"/>
        </w:numPr>
      </w:pPr>
      <w:r w:rsidRPr="00854FD4">
        <w:lastRenderedPageBreak/>
        <w:t>Th</w:t>
      </w:r>
      <w:r w:rsidR="00850138">
        <w:t>e</w:t>
      </w:r>
      <w:r w:rsidRPr="00854FD4">
        <w:t xml:space="preserve"> submission presented a new economic evaluation to support the </w:t>
      </w:r>
      <w:r w:rsidR="008C0153">
        <w:t>cost effective</w:t>
      </w:r>
      <w:r w:rsidRPr="00854FD4">
        <w:t xml:space="preserve">ness of the higher than expected number of icatibant injections per patient as reported by DUSC to the July 2015 PBAC meeting. The updated Australasian Society of Clinical Immunology and Allergy (ASCIA) </w:t>
      </w:r>
      <w:r w:rsidR="00FB496A">
        <w:t>E</w:t>
      </w:r>
      <w:r w:rsidRPr="00854FD4">
        <w:t xml:space="preserve">mergency Action Plan recommends icatibant treatment in moderate to severe peripheral </w:t>
      </w:r>
      <w:r w:rsidR="002C5F8D" w:rsidRPr="00854FD4">
        <w:t xml:space="preserve">(cutaneous) </w:t>
      </w:r>
      <w:r w:rsidRPr="00854FD4">
        <w:t xml:space="preserve">swelling, and the submission assumed the reason for the higher than predicted average utilisation per patient was solely due to use in moderate to severe cutaneous attacks. Other potential reasons for the increased use noted by DUSC such as the treatment of mild attacks, a higher number of injections per attack, and possible </w:t>
      </w:r>
      <w:r w:rsidRPr="00FF3A92">
        <w:t xml:space="preserve">stockpiling and wastage were not addressed in the submission or the economic evaluation. </w:t>
      </w:r>
      <w:r w:rsidR="008409AD" w:rsidRPr="00FF3A92">
        <w:t>The PSCR state</w:t>
      </w:r>
      <w:r w:rsidR="000D677C" w:rsidRPr="00FF3A92">
        <w:t>d</w:t>
      </w:r>
      <w:r w:rsidR="008409AD" w:rsidRPr="00FF3A92">
        <w:t xml:space="preserve"> that as the model include</w:t>
      </w:r>
      <w:r w:rsidR="000D677C" w:rsidRPr="00FF3A92">
        <w:t>d</w:t>
      </w:r>
      <w:r w:rsidR="008409AD" w:rsidRPr="00FF3A92">
        <w:t xml:space="preserve"> the costs of all injections irrespective of how the injections were used, the derived </w:t>
      </w:r>
      <w:r w:rsidR="006754F8">
        <w:t>Incremental Cost Effectiveness Ratios (</w:t>
      </w:r>
      <w:r w:rsidR="008409AD" w:rsidRPr="00FF3A92">
        <w:t>ICERs</w:t>
      </w:r>
      <w:r w:rsidR="006754F8">
        <w:t>)</w:t>
      </w:r>
      <w:r w:rsidR="008409AD" w:rsidRPr="00FF3A92">
        <w:t xml:space="preserve"> capture the costs of potential ‘inappropriate’ use with ‘leakage’ incorporated into the base case.</w:t>
      </w:r>
      <w:r w:rsidR="00AC2418" w:rsidRPr="00FF3A92">
        <w:t xml:space="preserve"> The PSCR further state</w:t>
      </w:r>
      <w:r w:rsidR="000D677C" w:rsidRPr="00FF3A92">
        <w:t>d</w:t>
      </w:r>
      <w:r w:rsidR="00AC2418" w:rsidRPr="00FF3A92">
        <w:t xml:space="preserve"> that the model assume</w:t>
      </w:r>
      <w:r w:rsidR="000D677C" w:rsidRPr="00FF3A92">
        <w:t>d</w:t>
      </w:r>
      <w:r w:rsidR="00AC2418" w:rsidRPr="00FF3A92">
        <w:t xml:space="preserve"> all use of icatibant is at the discretion of the patient, and by definition, so-called ‘mild’ attacks are those attacks which the patient decides do not require treatment. The ESC considered the types of attacks treated would </w:t>
      </w:r>
      <w:r w:rsidR="0025461A" w:rsidRPr="00FF3A92">
        <w:t xml:space="preserve">potentially </w:t>
      </w:r>
      <w:r w:rsidR="00AC2418" w:rsidRPr="00FF3A92">
        <w:t>impact on the benefits of treatment</w:t>
      </w:r>
      <w:r w:rsidR="000D06BE" w:rsidRPr="00FF3A92">
        <w:t>.</w:t>
      </w:r>
    </w:p>
    <w:p w:rsidR="004C0BD5" w:rsidRPr="00854FD4" w:rsidRDefault="004C0BD5" w:rsidP="000075D9">
      <w:pPr>
        <w:pStyle w:val="ListParagraph"/>
        <w:widowControl/>
      </w:pPr>
    </w:p>
    <w:p w:rsidR="004C0BD5" w:rsidRPr="00854FD4" w:rsidRDefault="004C0BD5" w:rsidP="00E94114">
      <w:pPr>
        <w:pStyle w:val="ListParagraph"/>
        <w:widowControl/>
        <w:numPr>
          <w:ilvl w:val="1"/>
          <w:numId w:val="2"/>
        </w:numPr>
      </w:pPr>
      <w:r w:rsidRPr="00854FD4">
        <w:t xml:space="preserve">HAE attacks are relatively short in duration. </w:t>
      </w:r>
      <w:r w:rsidR="00FB496A">
        <w:t>I</w:t>
      </w:r>
      <w:r w:rsidRPr="00854FD4">
        <w:t xml:space="preserve">n the model the </w:t>
      </w:r>
      <w:r w:rsidR="008C0153">
        <w:t>cost effective</w:t>
      </w:r>
      <w:r w:rsidRPr="00854FD4">
        <w:t>ness of icatibant is driven by difference in quality of life outside of the acute attack period which can be attributed to access to self-administration with icatibant</w:t>
      </w:r>
      <w:r w:rsidR="00584D12">
        <w:t>. Hence</w:t>
      </w:r>
      <w:r w:rsidRPr="00854FD4">
        <w:t xml:space="preserve"> the number of attacks treated affects the incremental costs but has little effect on the incremental effectiveness</w:t>
      </w:r>
      <w:r w:rsidR="00584D12">
        <w:t>, and</w:t>
      </w:r>
      <w:r w:rsidRPr="00854FD4">
        <w:t xml:space="preserve"> increasing the number of attacks treated reduces the </w:t>
      </w:r>
      <w:r w:rsidR="008C0153">
        <w:t>cost effective</w:t>
      </w:r>
      <w:r w:rsidRPr="00854FD4">
        <w:t>ness of icatibant.</w:t>
      </w:r>
      <w:r w:rsidR="00C160F5">
        <w:t xml:space="preserve"> </w:t>
      </w:r>
      <w:r w:rsidR="00C160F5" w:rsidRPr="00D53534">
        <w:t xml:space="preserve">The ESC noted the model </w:t>
      </w:r>
      <w:r w:rsidR="000D677C" w:rsidRPr="00D53534">
        <w:t xml:space="preserve">essentially </w:t>
      </w:r>
      <w:r w:rsidR="00C160F5" w:rsidRPr="00D53534">
        <w:t xml:space="preserve">assumed </w:t>
      </w:r>
      <w:r w:rsidR="000D677C" w:rsidRPr="00D53534">
        <w:t xml:space="preserve">that </w:t>
      </w:r>
      <w:r w:rsidR="00C160F5" w:rsidRPr="00D53534">
        <w:t xml:space="preserve">the quality of life benefit of icatibant treatment </w:t>
      </w:r>
      <w:r w:rsidR="000D677C" w:rsidRPr="00D53534">
        <w:t>i</w:t>
      </w:r>
      <w:r w:rsidR="00C160F5" w:rsidRPr="00D53534">
        <w:t>s independent of the number of attacks treated</w:t>
      </w:r>
      <w:r w:rsidR="0005775D" w:rsidRPr="00D53534">
        <w:t xml:space="preserve"> (</w:t>
      </w:r>
      <w:r w:rsidR="000D677C" w:rsidRPr="00D53534">
        <w:t xml:space="preserve">and in fact </w:t>
      </w:r>
      <w:r w:rsidR="0005775D" w:rsidRPr="00D53534">
        <w:t xml:space="preserve">the </w:t>
      </w:r>
      <w:r w:rsidR="000D677C" w:rsidRPr="00D53534">
        <w:t xml:space="preserve">overall </w:t>
      </w:r>
      <w:r w:rsidR="0005775D" w:rsidRPr="00D53534">
        <w:t>benefit actually reduces with more attacks due to a reduced period between attacks)</w:t>
      </w:r>
      <w:r w:rsidR="00C160F5" w:rsidRPr="00D53534">
        <w:t>. This was considered implausible, and an increase in the quality of life benefits would be expected with an increase in the number of attacks. This meant that the model did not appropriately asse</w:t>
      </w:r>
      <w:r w:rsidR="002C20C4" w:rsidRPr="00D53534">
        <w:t xml:space="preserve">ss the impact of </w:t>
      </w:r>
      <w:r w:rsidR="00584D12">
        <w:t xml:space="preserve">changing </w:t>
      </w:r>
      <w:r w:rsidR="002C20C4" w:rsidRPr="00D53534">
        <w:t>the number of attacks per patient.</w:t>
      </w:r>
      <w:r w:rsidR="00C160F5">
        <w:rPr>
          <w:i/>
        </w:rPr>
        <w:t xml:space="preserve"> </w:t>
      </w:r>
    </w:p>
    <w:p w:rsidR="004C0BD5" w:rsidRPr="009E39F8" w:rsidRDefault="004C0BD5" w:rsidP="000075D9">
      <w:pPr>
        <w:pStyle w:val="ListParagraph"/>
        <w:widowControl/>
      </w:pPr>
    </w:p>
    <w:p w:rsidR="001877CC" w:rsidRDefault="004C0BD5" w:rsidP="00E94114">
      <w:pPr>
        <w:pStyle w:val="ListParagraph"/>
        <w:widowControl/>
        <w:numPr>
          <w:ilvl w:val="1"/>
          <w:numId w:val="2"/>
        </w:numPr>
      </w:pPr>
      <w:r w:rsidRPr="009E39F8">
        <w:t>This approach was consistent with the model</w:t>
      </w:r>
      <w:r w:rsidR="00584D12">
        <w:t xml:space="preserve"> in previous submissions</w:t>
      </w:r>
      <w:r w:rsidRPr="009E39F8">
        <w:t>, however, the current model included additional benefits for each attack treated with icatibant that were not previously accounted for</w:t>
      </w:r>
      <w:r w:rsidR="00D57715" w:rsidRPr="009E39F8">
        <w:t>, stating: “The original modelling may have been overly simplistic by not considering the severity of an attack, and the persistence of attack disutility between HAE attacks. Recent published evidence has shown both factors to be important determinants of health utility between attacks”. (p2, Executive Summary of Icatibant submission).</w:t>
      </w:r>
      <w:r w:rsidR="002C20C4">
        <w:t xml:space="preserve"> </w:t>
      </w:r>
      <w:r w:rsidR="002C20C4" w:rsidRPr="00D53534">
        <w:t xml:space="preserve">The ESC noted the cost per QALY gained increased </w:t>
      </w:r>
      <w:r w:rsidR="003B3329" w:rsidRPr="00D53534">
        <w:t xml:space="preserve">with an </w:t>
      </w:r>
      <w:r w:rsidR="002C20C4" w:rsidRPr="00D53534">
        <w:t>increase in the number of attacks treated and that additional benefits</w:t>
      </w:r>
      <w:r w:rsidR="0005775D" w:rsidRPr="00D53534">
        <w:t xml:space="preserve"> modelled in the current submission</w:t>
      </w:r>
      <w:r w:rsidR="008D0075">
        <w:t xml:space="preserve"> versus the previous submission</w:t>
      </w:r>
      <w:r w:rsidR="002C20C4" w:rsidRPr="00D53534">
        <w:t xml:space="preserve"> countered this increase.</w:t>
      </w:r>
    </w:p>
    <w:p w:rsidR="00854FD4" w:rsidRDefault="00854FD4" w:rsidP="004A51E1">
      <w:pPr>
        <w:widowControl/>
        <w:jc w:val="left"/>
      </w:pPr>
    </w:p>
    <w:p w:rsidR="00854FD4" w:rsidRPr="00D53534" w:rsidRDefault="00854FD4" w:rsidP="00E94114">
      <w:pPr>
        <w:pStyle w:val="ListParagraph"/>
        <w:widowControl/>
        <w:numPr>
          <w:ilvl w:val="1"/>
          <w:numId w:val="2"/>
        </w:numPr>
      </w:pPr>
      <w:r w:rsidRPr="00D53534">
        <w:t xml:space="preserve">With regard to the RSA, at their July 2015 meeting the PBAC recommended that the Department may wish to revise the subsidisation cap to reflect the actual number of people treated with icatibant, and the number of injections per patient accepted as </w:t>
      </w:r>
      <w:r w:rsidR="008C0153">
        <w:t>cost effective</w:t>
      </w:r>
      <w:r w:rsidRPr="00D53534">
        <w:t xml:space="preserve"> by the PBAC at the time of recommending listing. The ESC noted that this would mean a reduction in the subsidisation cap (since </w:t>
      </w:r>
      <w:r w:rsidR="003B3329" w:rsidRPr="00D53534">
        <w:t>fewer</w:t>
      </w:r>
      <w:r w:rsidRPr="00D53534">
        <w:t xml:space="preserve"> patients are being treated </w:t>
      </w:r>
      <w:r w:rsidR="00186335" w:rsidRPr="00D53534">
        <w:t xml:space="preserve">than estimated as the basis of the current RSA). The submission, however, proposed increasing the cap for the years 2015-2021 based on the predicted icatibant expenditure estimated in Section E. The estimates were based on the real </w:t>
      </w:r>
      <w:r w:rsidR="00186335" w:rsidRPr="00D53534">
        <w:lastRenderedPageBreak/>
        <w:t>world utilisation data from the DUSC dataset and the Medicare Statistics PBS item report.</w:t>
      </w:r>
    </w:p>
    <w:p w:rsidR="002C5F8D" w:rsidRDefault="002C5F8D" w:rsidP="002C5F8D">
      <w:pPr>
        <w:pStyle w:val="ListParagraph"/>
      </w:pPr>
    </w:p>
    <w:p w:rsidR="005237A3" w:rsidRDefault="005237A3" w:rsidP="002C5F8D">
      <w:pPr>
        <w:pStyle w:val="ListParagraph"/>
      </w:pPr>
    </w:p>
    <w:p w:rsidR="009A4308" w:rsidRPr="002D0DB7" w:rsidRDefault="009A4308" w:rsidP="000075D9">
      <w:pPr>
        <w:pStyle w:val="PBACheading1"/>
      </w:pPr>
      <w:bookmarkStart w:id="8" w:name="_Toc458775800"/>
      <w:bookmarkStart w:id="9" w:name="_Toc461627647"/>
      <w:r w:rsidRPr="00407F2D">
        <w:rPr>
          <w:b/>
        </w:rPr>
        <w:t>Clinical place for the proposed therapy</w:t>
      </w:r>
      <w:bookmarkEnd w:id="8"/>
      <w:bookmarkEnd w:id="9"/>
    </w:p>
    <w:p w:rsidR="002D0DB7" w:rsidRPr="009E39F8" w:rsidRDefault="002D0DB7" w:rsidP="00D53534"/>
    <w:p w:rsidR="009A4308" w:rsidRPr="009E39F8" w:rsidRDefault="009A4308" w:rsidP="00E94114">
      <w:pPr>
        <w:pStyle w:val="ListParagraph"/>
        <w:widowControl/>
        <w:numPr>
          <w:ilvl w:val="1"/>
          <w:numId w:val="2"/>
        </w:numPr>
        <w:rPr>
          <w:szCs w:val="22"/>
        </w:rPr>
      </w:pPr>
      <w:r w:rsidRPr="009E39F8">
        <w:t xml:space="preserve">HAE is a rare, potentially fatal autosomal dominant disease caused by deficiency of </w:t>
      </w:r>
      <w:r w:rsidR="004C0FFC" w:rsidRPr="009E39F8">
        <w:t xml:space="preserve">the </w:t>
      </w:r>
      <w:r w:rsidRPr="009E39F8">
        <w:t>C1 esterase inhibitor (C1-INH) due to mutations of the C1-INH gene. HAE is characterised by spontaneous, unpredictable and recurrent attacks of oedema of the extremities, face, trunk, abdominal viscera and upper airways that can be painful and debilitating. Symptoms worsen in the first 12-36 hours as the oedema develops then gradually subside with untreated attacks usually lasting for 2-5 days.</w:t>
      </w:r>
    </w:p>
    <w:p w:rsidR="009A4308" w:rsidRPr="009E39F8" w:rsidRDefault="009A4308" w:rsidP="000075D9">
      <w:pPr>
        <w:pStyle w:val="ListParagraph"/>
        <w:widowControl/>
        <w:rPr>
          <w:szCs w:val="22"/>
        </w:rPr>
      </w:pPr>
    </w:p>
    <w:p w:rsidR="009A4308" w:rsidRPr="009E39F8" w:rsidRDefault="009A4308" w:rsidP="00E94114">
      <w:pPr>
        <w:pStyle w:val="ListParagraph"/>
        <w:widowControl/>
        <w:numPr>
          <w:ilvl w:val="1"/>
          <w:numId w:val="2"/>
        </w:numPr>
        <w:ind w:right="-154"/>
      </w:pPr>
      <w:r w:rsidRPr="009E39F8">
        <w:t xml:space="preserve">The clinical algorithm is set out in the ASCIA treatment Action Plan (2013) and is based on the revised ASCIA Position Paper on HAE (2012). </w:t>
      </w:r>
      <w:r w:rsidR="004C0FFC" w:rsidRPr="009E39F8">
        <w:t xml:space="preserve">Icatibant or C1-INH </w:t>
      </w:r>
      <w:r w:rsidR="0077418B" w:rsidRPr="009E39F8">
        <w:t>concentrate</w:t>
      </w:r>
      <w:r w:rsidR="004C0FFC" w:rsidRPr="009E39F8">
        <w:t xml:space="preserve"> </w:t>
      </w:r>
      <w:r w:rsidR="000028EF" w:rsidRPr="009E39F8">
        <w:t>is</w:t>
      </w:r>
      <w:r w:rsidR="004C0FFC" w:rsidRPr="009E39F8">
        <w:t xml:space="preserve"> not recommended for use in m</w:t>
      </w:r>
      <w:r w:rsidRPr="009E39F8">
        <w:t>ild attacks</w:t>
      </w:r>
      <w:r w:rsidR="004C0FFC" w:rsidRPr="009E39F8">
        <w:t>.</w:t>
      </w:r>
      <w:r w:rsidRPr="009E39F8">
        <w:t xml:space="preserve"> The current Action Plan recommends icatibant or C1-INH treatment for:</w:t>
      </w:r>
    </w:p>
    <w:p w:rsidR="009A4308" w:rsidRPr="009E39F8" w:rsidRDefault="009A4308" w:rsidP="00BF2E22">
      <w:pPr>
        <w:pStyle w:val="Default"/>
        <w:numPr>
          <w:ilvl w:val="0"/>
          <w:numId w:val="20"/>
        </w:numPr>
        <w:ind w:right="-154"/>
        <w:jc w:val="both"/>
        <w:rPr>
          <w:rFonts w:ascii="Arial" w:hAnsi="Arial" w:cs="Arial"/>
          <w:snapToGrid w:val="0"/>
          <w:color w:val="auto"/>
          <w:sz w:val="22"/>
          <w:szCs w:val="20"/>
          <w:lang w:val="en-AU"/>
        </w:rPr>
      </w:pPr>
      <w:r w:rsidRPr="009E39F8">
        <w:rPr>
          <w:rFonts w:ascii="Arial" w:hAnsi="Arial" w:cs="Arial"/>
          <w:snapToGrid w:val="0"/>
          <w:color w:val="auto"/>
          <w:sz w:val="22"/>
          <w:szCs w:val="20"/>
          <w:lang w:val="en-AU"/>
        </w:rPr>
        <w:t xml:space="preserve">Moderate to severe peripheral swelling. Cutaneous swelling regardless of severity was not eligible for treatment in the previous Action Plan. </w:t>
      </w:r>
      <w:r w:rsidR="00584D12">
        <w:rPr>
          <w:rFonts w:ascii="Arial" w:hAnsi="Arial" w:cs="Arial"/>
          <w:snapToGrid w:val="0"/>
          <w:color w:val="auto"/>
          <w:sz w:val="22"/>
          <w:szCs w:val="20"/>
          <w:lang w:val="en-AU"/>
        </w:rPr>
        <w:t xml:space="preserve">The </w:t>
      </w:r>
      <w:r w:rsidRPr="009E39F8">
        <w:rPr>
          <w:rFonts w:ascii="Arial" w:hAnsi="Arial" w:cs="Arial"/>
          <w:snapToGrid w:val="0"/>
          <w:color w:val="auto"/>
          <w:sz w:val="22"/>
          <w:szCs w:val="20"/>
          <w:lang w:val="en-AU"/>
        </w:rPr>
        <w:t xml:space="preserve">PBAC recommended the listing of icatibant based on </w:t>
      </w:r>
      <w:r w:rsidR="00CB2C1C" w:rsidRPr="009E39F8">
        <w:rPr>
          <w:rFonts w:ascii="Arial" w:hAnsi="Arial" w:cs="Arial"/>
          <w:snapToGrid w:val="0"/>
          <w:color w:val="auto"/>
          <w:sz w:val="22"/>
          <w:szCs w:val="20"/>
          <w:lang w:val="en-AU"/>
        </w:rPr>
        <w:t>a</w:t>
      </w:r>
      <w:r w:rsidR="00AA7C20" w:rsidRPr="009E39F8">
        <w:rPr>
          <w:rFonts w:ascii="Arial" w:hAnsi="Arial" w:cs="Arial"/>
          <w:snapToGrid w:val="0"/>
          <w:color w:val="auto"/>
          <w:sz w:val="22"/>
          <w:szCs w:val="20"/>
          <w:lang w:val="en-AU"/>
        </w:rPr>
        <w:t>n economic</w:t>
      </w:r>
      <w:r w:rsidR="00CB2C1C" w:rsidRPr="009E39F8">
        <w:rPr>
          <w:rFonts w:ascii="Arial" w:hAnsi="Arial" w:cs="Arial"/>
          <w:snapToGrid w:val="0"/>
          <w:color w:val="auto"/>
          <w:sz w:val="22"/>
          <w:szCs w:val="20"/>
          <w:lang w:val="en-AU"/>
        </w:rPr>
        <w:t xml:space="preserve"> model that excluded treatment of </w:t>
      </w:r>
      <w:r w:rsidRPr="009E39F8">
        <w:rPr>
          <w:rFonts w:ascii="Arial" w:hAnsi="Arial" w:cs="Arial"/>
          <w:snapToGrid w:val="0"/>
          <w:color w:val="auto"/>
          <w:sz w:val="22"/>
          <w:szCs w:val="20"/>
          <w:lang w:val="en-AU"/>
        </w:rPr>
        <w:t xml:space="preserve">cutaneous attacks </w:t>
      </w:r>
      <w:r w:rsidR="0021417D" w:rsidRPr="009E39F8">
        <w:rPr>
          <w:rFonts w:ascii="Arial" w:hAnsi="Arial" w:cs="Arial"/>
          <w:snapToGrid w:val="0"/>
          <w:color w:val="auto"/>
          <w:sz w:val="22"/>
          <w:szCs w:val="20"/>
          <w:lang w:val="en-AU"/>
        </w:rPr>
        <w:t>(</w:t>
      </w:r>
      <w:r w:rsidR="00CB2C1C" w:rsidRPr="009E39F8">
        <w:rPr>
          <w:rFonts w:ascii="Arial" w:hAnsi="Arial" w:cs="Arial"/>
          <w:snapToGrid w:val="0"/>
          <w:color w:val="auto"/>
          <w:sz w:val="22"/>
          <w:szCs w:val="20"/>
          <w:lang w:val="en-AU"/>
        </w:rPr>
        <w:t>March 2012</w:t>
      </w:r>
      <w:r w:rsidR="00C72777" w:rsidRPr="009E39F8">
        <w:rPr>
          <w:rFonts w:ascii="Arial" w:hAnsi="Arial" w:cs="Arial"/>
          <w:snapToGrid w:val="0"/>
          <w:color w:val="auto"/>
          <w:sz w:val="22"/>
          <w:szCs w:val="20"/>
          <w:lang w:val="en-AU"/>
        </w:rPr>
        <w:t xml:space="preserve"> PSD</w:t>
      </w:r>
      <w:r w:rsidR="0021417D" w:rsidRPr="009E39F8">
        <w:rPr>
          <w:rFonts w:ascii="Arial" w:hAnsi="Arial" w:cs="Arial"/>
          <w:snapToGrid w:val="0"/>
          <w:color w:val="auto"/>
          <w:sz w:val="22"/>
          <w:szCs w:val="20"/>
          <w:lang w:val="en-AU"/>
        </w:rPr>
        <w:t>)</w:t>
      </w:r>
      <w:r w:rsidRPr="009E39F8">
        <w:rPr>
          <w:rFonts w:ascii="Arial" w:hAnsi="Arial" w:cs="Arial"/>
          <w:snapToGrid w:val="0"/>
          <w:color w:val="auto"/>
          <w:sz w:val="22"/>
          <w:szCs w:val="20"/>
          <w:lang w:val="en-AU"/>
        </w:rPr>
        <w:t>;</w:t>
      </w:r>
    </w:p>
    <w:p w:rsidR="009A4308" w:rsidRPr="009E39F8" w:rsidRDefault="009A4308" w:rsidP="00BF2E22">
      <w:pPr>
        <w:pStyle w:val="Default"/>
        <w:numPr>
          <w:ilvl w:val="0"/>
          <w:numId w:val="20"/>
        </w:numPr>
        <w:ind w:right="-154"/>
        <w:jc w:val="both"/>
        <w:rPr>
          <w:rFonts w:ascii="Arial" w:hAnsi="Arial" w:cs="Arial"/>
          <w:snapToGrid w:val="0"/>
          <w:color w:val="auto"/>
          <w:sz w:val="22"/>
          <w:szCs w:val="20"/>
          <w:lang w:val="en-AU"/>
        </w:rPr>
      </w:pPr>
      <w:r w:rsidRPr="009E39F8">
        <w:rPr>
          <w:rFonts w:ascii="Arial" w:hAnsi="Arial" w:cs="Arial"/>
          <w:snapToGrid w:val="0"/>
          <w:color w:val="auto"/>
          <w:sz w:val="22"/>
          <w:szCs w:val="20"/>
          <w:lang w:val="en-AU"/>
        </w:rPr>
        <w:t>Moderate to severe abdominal symptoms. If symptoms worsen or last longer than 2 hours, patients need to seek urgent hospital treatment;</w:t>
      </w:r>
      <w:r w:rsidR="00CB2C1C" w:rsidRPr="009E39F8">
        <w:rPr>
          <w:rFonts w:ascii="Arial" w:hAnsi="Arial" w:cs="Arial"/>
          <w:snapToGrid w:val="0"/>
          <w:color w:val="auto"/>
          <w:sz w:val="22"/>
          <w:szCs w:val="20"/>
          <w:lang w:val="en-AU"/>
        </w:rPr>
        <w:t xml:space="preserve"> and</w:t>
      </w:r>
    </w:p>
    <w:p w:rsidR="009A4308" w:rsidRPr="009E39F8" w:rsidRDefault="009A4308" w:rsidP="00BF2E22">
      <w:pPr>
        <w:pStyle w:val="Default"/>
        <w:numPr>
          <w:ilvl w:val="0"/>
          <w:numId w:val="20"/>
        </w:numPr>
        <w:ind w:right="-154"/>
        <w:jc w:val="both"/>
        <w:rPr>
          <w:rFonts w:ascii="Arial" w:hAnsi="Arial" w:cs="Arial"/>
          <w:snapToGrid w:val="0"/>
          <w:color w:val="auto"/>
          <w:sz w:val="22"/>
          <w:szCs w:val="20"/>
          <w:lang w:val="en-AU"/>
        </w:rPr>
      </w:pPr>
      <w:r w:rsidRPr="009E39F8">
        <w:rPr>
          <w:rFonts w:ascii="Arial" w:hAnsi="Arial" w:cs="Arial"/>
          <w:snapToGrid w:val="0"/>
          <w:color w:val="auto"/>
          <w:sz w:val="22"/>
          <w:szCs w:val="20"/>
          <w:lang w:val="en-AU"/>
        </w:rPr>
        <w:t>Moderate to severe airway swelling, for which patients need to seek urgent hospital treatment immediately.</w:t>
      </w:r>
    </w:p>
    <w:p w:rsidR="009A4308" w:rsidRDefault="009A4308" w:rsidP="000075D9">
      <w:pPr>
        <w:pStyle w:val="ListParagraph"/>
        <w:widowControl/>
        <w:ind w:left="0"/>
        <w:rPr>
          <w:szCs w:val="22"/>
        </w:rPr>
      </w:pPr>
    </w:p>
    <w:p w:rsidR="005237A3" w:rsidRPr="00882085" w:rsidRDefault="005237A3" w:rsidP="000075D9">
      <w:pPr>
        <w:pStyle w:val="ListParagraph"/>
        <w:widowControl/>
        <w:ind w:left="0"/>
        <w:rPr>
          <w:szCs w:val="22"/>
        </w:rPr>
      </w:pPr>
    </w:p>
    <w:p w:rsidR="009A4308" w:rsidRPr="007431A0" w:rsidRDefault="009A4308" w:rsidP="000075D9">
      <w:pPr>
        <w:pStyle w:val="PBACheading1"/>
        <w:keepNext/>
        <w:rPr>
          <w:b/>
        </w:rPr>
      </w:pPr>
      <w:bookmarkStart w:id="10" w:name="_Toc458775801"/>
      <w:bookmarkStart w:id="11" w:name="_Toc461627648"/>
      <w:r w:rsidRPr="00407F2D">
        <w:rPr>
          <w:b/>
        </w:rPr>
        <w:t>Comparator</w:t>
      </w:r>
      <w:bookmarkEnd w:id="10"/>
      <w:bookmarkEnd w:id="11"/>
    </w:p>
    <w:p w:rsidR="002D0DB7" w:rsidRPr="009E39F8" w:rsidRDefault="002D0DB7" w:rsidP="00D53534"/>
    <w:p w:rsidR="009A4308" w:rsidRPr="009E39F8" w:rsidRDefault="009A4308" w:rsidP="00E94114">
      <w:pPr>
        <w:pStyle w:val="ListParagraph"/>
        <w:widowControl/>
        <w:numPr>
          <w:ilvl w:val="1"/>
          <w:numId w:val="2"/>
        </w:numPr>
      </w:pPr>
      <w:r w:rsidRPr="009E39F8">
        <w:rPr>
          <w:szCs w:val="22"/>
        </w:rPr>
        <w:t xml:space="preserve">Placebo as proxy for </w:t>
      </w:r>
      <w:r w:rsidRPr="009E39F8">
        <w:rPr>
          <w:bCs/>
          <w:szCs w:val="22"/>
        </w:rPr>
        <w:t xml:space="preserve">best supportive care (BSC), with delayed use of </w:t>
      </w:r>
      <w:r w:rsidRPr="009E39F8">
        <w:rPr>
          <w:szCs w:val="22"/>
          <w:lang w:eastAsia="en-AU"/>
        </w:rPr>
        <w:t xml:space="preserve">C1-INH </w:t>
      </w:r>
      <w:r w:rsidRPr="009E39F8">
        <w:rPr>
          <w:bCs/>
          <w:szCs w:val="22"/>
        </w:rPr>
        <w:t>if required</w:t>
      </w:r>
      <w:r w:rsidRPr="009E39F8">
        <w:rPr>
          <w:szCs w:val="22"/>
        </w:rPr>
        <w:t>.</w:t>
      </w:r>
      <w:r w:rsidRPr="009E39F8">
        <w:rPr>
          <w:color w:val="3366FF"/>
        </w:rPr>
        <w:t xml:space="preserve"> </w:t>
      </w:r>
      <w:r w:rsidRPr="009E39F8">
        <w:rPr>
          <w:bCs/>
          <w:szCs w:val="22"/>
        </w:rPr>
        <w:t xml:space="preserve">This is as previously accepted by the PBAC. </w:t>
      </w:r>
    </w:p>
    <w:p w:rsidR="009A4308" w:rsidRPr="009E39F8" w:rsidRDefault="009A4308" w:rsidP="000075D9">
      <w:pPr>
        <w:pStyle w:val="ListParagraph"/>
        <w:widowControl/>
      </w:pPr>
    </w:p>
    <w:p w:rsidR="009A4308" w:rsidRPr="009E39F8" w:rsidRDefault="0021417D" w:rsidP="00E94114">
      <w:pPr>
        <w:pStyle w:val="ListParagraph"/>
        <w:widowControl/>
        <w:numPr>
          <w:ilvl w:val="1"/>
          <w:numId w:val="2"/>
        </w:numPr>
      </w:pPr>
      <w:r w:rsidRPr="009E39F8">
        <w:t xml:space="preserve">Currently, </w:t>
      </w:r>
      <w:r w:rsidR="009A4308" w:rsidRPr="009E39F8">
        <w:t xml:space="preserve">C1-INH is not reimbursed by the Commonwealth Government. In July 2015, MSAC recommended listing of C1-INH </w:t>
      </w:r>
      <w:r w:rsidR="006754F8">
        <w:t>through</w:t>
      </w:r>
      <w:r w:rsidR="009A4308" w:rsidRPr="009E39F8">
        <w:t xml:space="preserve"> the N</w:t>
      </w:r>
      <w:r w:rsidR="006754F8">
        <w:t xml:space="preserve">ational </w:t>
      </w:r>
      <w:r w:rsidR="009A4308" w:rsidRPr="009E39F8">
        <w:t>P</w:t>
      </w:r>
      <w:r w:rsidR="006754F8">
        <w:t xml:space="preserve">roducts and </w:t>
      </w:r>
      <w:r w:rsidR="009A4308" w:rsidRPr="009E39F8">
        <w:t>S</w:t>
      </w:r>
      <w:r w:rsidR="006754F8">
        <w:t xml:space="preserve">ervices </w:t>
      </w:r>
      <w:r w:rsidR="009A4308" w:rsidRPr="009E39F8">
        <w:t>L</w:t>
      </w:r>
      <w:r w:rsidR="006754F8">
        <w:t>ist (NPSL)</w:t>
      </w:r>
      <w:r w:rsidR="009A4308" w:rsidRPr="009E39F8">
        <w:t xml:space="preserve"> under the National Blood Agreement (NBA) for the treatment of acute attacks of HAE, with the recommended price determined on a cost-minimisation </w:t>
      </w:r>
      <w:r w:rsidRPr="009E39F8">
        <w:t xml:space="preserve">basis </w:t>
      </w:r>
      <w:r w:rsidR="009A4308" w:rsidRPr="009E39F8">
        <w:t xml:space="preserve">against icatibant. </w:t>
      </w:r>
      <w:r w:rsidR="00376613" w:rsidRPr="009E39F8">
        <w:t xml:space="preserve">The MSAC recommendation included the possibility of </w:t>
      </w:r>
      <w:r w:rsidR="00D53027">
        <w:t xml:space="preserve">intravenous </w:t>
      </w:r>
      <w:r w:rsidR="00376613" w:rsidRPr="009E39F8">
        <w:t>s</w:t>
      </w:r>
      <w:r w:rsidR="009A4308" w:rsidRPr="009E39F8">
        <w:t>elf-administration with C1-INH</w:t>
      </w:r>
      <w:r w:rsidR="00D53027">
        <w:t xml:space="preserve">, </w:t>
      </w:r>
      <w:r w:rsidR="00D53027" w:rsidRPr="008B2763">
        <w:t>but considered icatibant given by the subcutaneous route would be more common in remote and emergency situations</w:t>
      </w:r>
      <w:r w:rsidR="00186335" w:rsidRPr="008B2763">
        <w:t>.</w:t>
      </w:r>
    </w:p>
    <w:p w:rsidR="000075D9" w:rsidRDefault="000075D9" w:rsidP="000075D9">
      <w:pPr>
        <w:widowControl/>
      </w:pPr>
    </w:p>
    <w:p w:rsidR="006D116A" w:rsidRPr="00506E16" w:rsidRDefault="006D116A" w:rsidP="000075D9">
      <w:pPr>
        <w:widowControl/>
      </w:pPr>
    </w:p>
    <w:p w:rsidR="00D35BE4" w:rsidRDefault="009A4308" w:rsidP="00FA2355">
      <w:pPr>
        <w:pStyle w:val="PBACheading1"/>
        <w:keepNext/>
        <w:rPr>
          <w:b/>
        </w:rPr>
      </w:pPr>
      <w:bookmarkStart w:id="12" w:name="_Toc458775802"/>
      <w:bookmarkStart w:id="13" w:name="_Toc461627649"/>
      <w:r>
        <w:rPr>
          <w:b/>
        </w:rPr>
        <w:t>C</w:t>
      </w:r>
      <w:r w:rsidRPr="00407F2D">
        <w:rPr>
          <w:b/>
        </w:rPr>
        <w:t>onsideration of the evidence</w:t>
      </w:r>
      <w:bookmarkEnd w:id="12"/>
      <w:bookmarkEnd w:id="13"/>
    </w:p>
    <w:p w:rsidR="002D0DB7" w:rsidRDefault="002D0DB7" w:rsidP="00D53534">
      <w:pPr>
        <w:rPr>
          <w:b/>
        </w:rPr>
      </w:pPr>
    </w:p>
    <w:p w:rsidR="00BD2457" w:rsidRDefault="00BD2457" w:rsidP="00B13724">
      <w:pPr>
        <w:pStyle w:val="Heading2"/>
      </w:pPr>
      <w:r w:rsidRPr="00B13724">
        <w:t>Sponsor hearing</w:t>
      </w:r>
    </w:p>
    <w:p w:rsidR="00B13724" w:rsidRPr="00B13724" w:rsidRDefault="00B13724" w:rsidP="00B13724"/>
    <w:p w:rsidR="00BD2457" w:rsidRPr="00060A20" w:rsidRDefault="00BD2457" w:rsidP="00E94114">
      <w:pPr>
        <w:widowControl/>
        <w:numPr>
          <w:ilvl w:val="1"/>
          <w:numId w:val="2"/>
        </w:numPr>
        <w:spacing w:after="120"/>
        <w:contextualSpacing/>
        <w:jc w:val="left"/>
        <w:rPr>
          <w:rFonts w:eastAsia="Times New Roman"/>
          <w:bCs/>
          <w:szCs w:val="22"/>
        </w:rPr>
      </w:pPr>
      <w:r w:rsidRPr="00060A20">
        <w:rPr>
          <w:rFonts w:eastAsia="Times New Roman"/>
          <w:bCs/>
          <w:szCs w:val="22"/>
        </w:rPr>
        <w:t>There was no hearing for this item.</w:t>
      </w:r>
    </w:p>
    <w:p w:rsidR="00BD2457" w:rsidRPr="00060A20" w:rsidRDefault="00BD2457" w:rsidP="00BD2457">
      <w:pPr>
        <w:widowControl/>
        <w:rPr>
          <w:rFonts w:eastAsia="Times New Roman"/>
          <w:bCs/>
          <w:szCs w:val="22"/>
        </w:rPr>
      </w:pPr>
    </w:p>
    <w:p w:rsidR="00BD2457" w:rsidRDefault="00BD2457" w:rsidP="00B13724">
      <w:pPr>
        <w:pStyle w:val="Heading2"/>
      </w:pPr>
      <w:r w:rsidRPr="00B13724">
        <w:t>Consumer comments</w:t>
      </w:r>
    </w:p>
    <w:p w:rsidR="00B13724" w:rsidRPr="00B13724" w:rsidRDefault="00B13724" w:rsidP="00B13724"/>
    <w:p w:rsidR="00BD2457" w:rsidRPr="00060A20" w:rsidRDefault="00BD2457" w:rsidP="005237A3">
      <w:pPr>
        <w:widowControl/>
        <w:numPr>
          <w:ilvl w:val="1"/>
          <w:numId w:val="2"/>
        </w:numPr>
        <w:spacing w:after="120"/>
        <w:contextualSpacing/>
        <w:rPr>
          <w:rFonts w:eastAsia="Times New Roman"/>
          <w:bCs/>
          <w:szCs w:val="22"/>
        </w:rPr>
      </w:pPr>
      <w:r w:rsidRPr="00060A20">
        <w:rPr>
          <w:rFonts w:eastAsia="Times New Roman"/>
          <w:bCs/>
          <w:szCs w:val="22"/>
        </w:rPr>
        <w:lastRenderedPageBreak/>
        <w:t xml:space="preserve">The PBAC noted and welcomed the input from </w:t>
      </w:r>
      <w:r w:rsidR="00060A20" w:rsidRPr="00060A20">
        <w:rPr>
          <w:rFonts w:eastAsia="Times New Roman"/>
          <w:bCs/>
          <w:szCs w:val="22"/>
        </w:rPr>
        <w:t xml:space="preserve">one (1) </w:t>
      </w:r>
      <w:r w:rsidRPr="00060A20">
        <w:rPr>
          <w:rFonts w:eastAsia="Times New Roman"/>
          <w:bCs/>
          <w:szCs w:val="22"/>
        </w:rPr>
        <w:t xml:space="preserve">individual, </w:t>
      </w:r>
      <w:r w:rsidR="00060A20" w:rsidRPr="00060A20">
        <w:rPr>
          <w:rFonts w:eastAsia="Times New Roman"/>
          <w:bCs/>
          <w:szCs w:val="22"/>
        </w:rPr>
        <w:t>and one (1) organisation</w:t>
      </w:r>
      <w:r w:rsidRPr="00060A20">
        <w:rPr>
          <w:rFonts w:eastAsia="Times New Roman"/>
          <w:bCs/>
          <w:szCs w:val="22"/>
        </w:rPr>
        <w:t xml:space="preserve"> via the Consumer Comments facility on the PBS website.  The comments described a range of benefits of treatment with </w:t>
      </w:r>
      <w:r w:rsidR="00060A20" w:rsidRPr="00060A20">
        <w:rPr>
          <w:rFonts w:eastAsia="Times New Roman"/>
          <w:bCs/>
          <w:szCs w:val="22"/>
        </w:rPr>
        <w:t>icatibant including</w:t>
      </w:r>
      <w:r w:rsidRPr="00060A20">
        <w:rPr>
          <w:rFonts w:eastAsia="Times New Roman"/>
          <w:bCs/>
          <w:szCs w:val="22"/>
        </w:rPr>
        <w:t xml:space="preserve"> </w:t>
      </w:r>
      <w:r w:rsidR="00060A20" w:rsidRPr="00060A20">
        <w:rPr>
          <w:rFonts w:eastAsia="Times New Roman"/>
          <w:bCs/>
          <w:szCs w:val="22"/>
        </w:rPr>
        <w:t xml:space="preserve">the sense of security provided to patients by having the treatment on hand should attacks occur. The comments also noted that the availability of icatibant can help patients </w:t>
      </w:r>
      <w:r w:rsidR="00F475DB">
        <w:rPr>
          <w:rFonts w:eastAsia="Times New Roman"/>
          <w:bCs/>
          <w:szCs w:val="22"/>
        </w:rPr>
        <w:t xml:space="preserve">recover from attacks </w:t>
      </w:r>
      <w:r w:rsidR="00060A20" w:rsidRPr="00060A20">
        <w:rPr>
          <w:rFonts w:eastAsia="Times New Roman"/>
          <w:bCs/>
          <w:szCs w:val="22"/>
        </w:rPr>
        <w:t>to carry ou</w:t>
      </w:r>
      <w:r w:rsidR="00F475DB">
        <w:rPr>
          <w:rFonts w:eastAsia="Times New Roman"/>
          <w:bCs/>
          <w:szCs w:val="22"/>
        </w:rPr>
        <w:t>t normal daily functions, and gives patients the ability to travel away from their local hospital as they can take their treatment with them. The comments from HAE Australia stated that icatibant has minimal side effects, and reduces the need for patients to be treated in hospital.</w:t>
      </w:r>
    </w:p>
    <w:p w:rsidR="001502E6" w:rsidRPr="00CB2C1C" w:rsidRDefault="001502E6" w:rsidP="00D53534">
      <w:pPr>
        <w:rPr>
          <w:b/>
        </w:rPr>
      </w:pPr>
    </w:p>
    <w:p w:rsidR="009A4308" w:rsidRPr="00B13724" w:rsidRDefault="009A4308" w:rsidP="00B13724">
      <w:pPr>
        <w:pStyle w:val="Heading2"/>
      </w:pPr>
      <w:bookmarkStart w:id="14" w:name="_Toc440902201"/>
      <w:bookmarkStart w:id="15" w:name="_Toc461627650"/>
      <w:r w:rsidRPr="00B13724">
        <w:t>Clinical trials</w:t>
      </w:r>
      <w:bookmarkEnd w:id="14"/>
      <w:bookmarkEnd w:id="15"/>
    </w:p>
    <w:p w:rsidR="009A4308" w:rsidRPr="009E39F8" w:rsidRDefault="009A4308" w:rsidP="00FA2355">
      <w:pPr>
        <w:keepNext/>
        <w:widowControl/>
        <w:rPr>
          <w:b/>
          <w:szCs w:val="22"/>
        </w:rPr>
      </w:pPr>
    </w:p>
    <w:p w:rsidR="009A4308" w:rsidRPr="009E39F8" w:rsidRDefault="009A4308" w:rsidP="00E94114">
      <w:pPr>
        <w:pStyle w:val="ListParagraph"/>
        <w:widowControl/>
        <w:numPr>
          <w:ilvl w:val="1"/>
          <w:numId w:val="2"/>
        </w:numPr>
        <w:rPr>
          <w:szCs w:val="22"/>
        </w:rPr>
      </w:pPr>
      <w:bookmarkStart w:id="16" w:name="_Toc458775803"/>
      <w:r w:rsidRPr="009E39F8">
        <w:t xml:space="preserve">The </w:t>
      </w:r>
      <w:r w:rsidR="00D24424" w:rsidRPr="009E39F8">
        <w:t>submission</w:t>
      </w:r>
      <w:r w:rsidRPr="009E39F8">
        <w:t xml:space="preserve"> </w:t>
      </w:r>
      <w:r w:rsidR="008D0075">
        <w:t>did</w:t>
      </w:r>
      <w:r w:rsidR="008D0075" w:rsidRPr="009E39F8">
        <w:t xml:space="preserve"> </w:t>
      </w:r>
      <w:r w:rsidRPr="009E39F8">
        <w:t xml:space="preserve">not present </w:t>
      </w:r>
      <w:r w:rsidR="00F475DB">
        <w:t xml:space="preserve">new </w:t>
      </w:r>
      <w:r w:rsidRPr="009E39F8">
        <w:t>clinical evidence</w:t>
      </w:r>
      <w:r w:rsidR="0021417D" w:rsidRPr="009E39F8">
        <w:t xml:space="preserve"> on the efficacy and safety </w:t>
      </w:r>
      <w:r w:rsidR="00CB2C1C" w:rsidRPr="009E39F8">
        <w:t xml:space="preserve">of </w:t>
      </w:r>
      <w:r w:rsidR="0021417D" w:rsidRPr="009E39F8">
        <w:t xml:space="preserve">icatibant for HAE </w:t>
      </w:r>
      <w:r w:rsidR="008D0075">
        <w:t>on the basis that it had</w:t>
      </w:r>
      <w:r w:rsidR="0021417D" w:rsidRPr="009E39F8">
        <w:t xml:space="preserve"> been previously assessed by the PBAC</w:t>
      </w:r>
      <w:r w:rsidRPr="009E39F8">
        <w:t>. A literature search conducted as part of the evaluation did not identify any further studies of direct interest.</w:t>
      </w:r>
    </w:p>
    <w:p w:rsidR="009A4308" w:rsidRPr="009F5374" w:rsidRDefault="009A4308" w:rsidP="000075D9">
      <w:pPr>
        <w:widowControl/>
        <w:rPr>
          <w:szCs w:val="22"/>
        </w:rPr>
      </w:pPr>
    </w:p>
    <w:p w:rsidR="009A4308" w:rsidRDefault="009A4308" w:rsidP="00B13724">
      <w:pPr>
        <w:pStyle w:val="Heading2"/>
      </w:pPr>
      <w:bookmarkStart w:id="17" w:name="_Toc440902202"/>
      <w:bookmarkStart w:id="18" w:name="_Toc461627651"/>
      <w:r w:rsidRPr="002C2775">
        <w:t>Comparative effectiveness</w:t>
      </w:r>
      <w:bookmarkEnd w:id="17"/>
      <w:bookmarkEnd w:id="18"/>
    </w:p>
    <w:p w:rsidR="00FC28EC" w:rsidRPr="00FC28EC" w:rsidRDefault="00FC28EC" w:rsidP="000075D9">
      <w:pPr>
        <w:widowControl/>
      </w:pPr>
    </w:p>
    <w:p w:rsidR="009A4308" w:rsidRDefault="009A4308" w:rsidP="00E94114">
      <w:pPr>
        <w:pStyle w:val="ListParagraph"/>
        <w:widowControl/>
        <w:numPr>
          <w:ilvl w:val="1"/>
          <w:numId w:val="2"/>
        </w:numPr>
      </w:pPr>
      <w:r>
        <w:t xml:space="preserve">In </w:t>
      </w:r>
      <w:r w:rsidRPr="00071C8B">
        <w:t>total</w:t>
      </w:r>
      <w:r>
        <w:t>, there were six randomised controlled trials considered by the PBAC</w:t>
      </w:r>
      <w:r w:rsidR="00283754">
        <w:t xml:space="preserve"> previously</w:t>
      </w:r>
      <w:r>
        <w:t>:</w:t>
      </w:r>
    </w:p>
    <w:p w:rsidR="009A4308" w:rsidRPr="003275A0" w:rsidRDefault="009A4308" w:rsidP="00E94114">
      <w:pPr>
        <w:widowControl/>
        <w:numPr>
          <w:ilvl w:val="0"/>
          <w:numId w:val="6"/>
        </w:numPr>
      </w:pPr>
      <w:r>
        <w:t>FAST-1:</w:t>
      </w:r>
      <w:r w:rsidR="003853A6">
        <w:t xml:space="preserve"> </w:t>
      </w:r>
      <w:r w:rsidRPr="003275A0">
        <w:t>Icatibant (30</w:t>
      </w:r>
      <w:r>
        <w:t xml:space="preserve"> </w:t>
      </w:r>
      <w:r w:rsidRPr="003275A0">
        <w:t xml:space="preserve">mg) vs placebo (patients were given delayed rescue, as required, after </w:t>
      </w:r>
      <w:r>
        <w:t>8-9 hours of placebo treatment)</w:t>
      </w:r>
      <w:r w:rsidR="003853A6">
        <w:t>.</w:t>
      </w:r>
    </w:p>
    <w:p w:rsidR="009A4308" w:rsidRDefault="009A4308" w:rsidP="00E94114">
      <w:pPr>
        <w:widowControl/>
        <w:numPr>
          <w:ilvl w:val="0"/>
          <w:numId w:val="6"/>
        </w:numPr>
      </w:pPr>
      <w:r w:rsidRPr="003275A0">
        <w:t>FAST-2: Icatibant (30</w:t>
      </w:r>
      <w:r>
        <w:t xml:space="preserve"> </w:t>
      </w:r>
      <w:r w:rsidRPr="003275A0">
        <w:t>mg) vs tranexamic acid (2x500</w:t>
      </w:r>
      <w:r>
        <w:t xml:space="preserve"> </w:t>
      </w:r>
      <w:r w:rsidRPr="003275A0">
        <w:t xml:space="preserve">mg capsules). </w:t>
      </w:r>
    </w:p>
    <w:p w:rsidR="009A4308" w:rsidRPr="003275A0" w:rsidRDefault="009A4308" w:rsidP="00E94114">
      <w:pPr>
        <w:widowControl/>
        <w:numPr>
          <w:ilvl w:val="0"/>
          <w:numId w:val="6"/>
        </w:numPr>
      </w:pPr>
      <w:r>
        <w:t xml:space="preserve">FAST-3: </w:t>
      </w:r>
      <w:r w:rsidRPr="003275A0">
        <w:t>Icatibant (30</w:t>
      </w:r>
      <w:r>
        <w:t xml:space="preserve"> </w:t>
      </w:r>
      <w:r w:rsidRPr="003275A0">
        <w:t>mg) vs placebo</w:t>
      </w:r>
      <w:r w:rsidR="003853A6">
        <w:t>.</w:t>
      </w:r>
    </w:p>
    <w:p w:rsidR="009A4308" w:rsidRPr="003275A0" w:rsidRDefault="009A4308" w:rsidP="00E94114">
      <w:pPr>
        <w:widowControl/>
        <w:numPr>
          <w:ilvl w:val="0"/>
          <w:numId w:val="6"/>
        </w:numPr>
      </w:pPr>
      <w:r w:rsidRPr="003275A0">
        <w:t xml:space="preserve">IMPACT 1: </w:t>
      </w:r>
      <w:r w:rsidR="003853A6">
        <w:t>C</w:t>
      </w:r>
      <w:r w:rsidR="003853A6" w:rsidRPr="003275A0">
        <w:t xml:space="preserve">ompared </w:t>
      </w:r>
      <w:r w:rsidRPr="003275A0">
        <w:t>two doses of C1-INH (10U/kg and 20U/kg) vs placebo (delayed rescue after 4</w:t>
      </w:r>
      <w:r>
        <w:t xml:space="preserve"> hours of intervention therapy)</w:t>
      </w:r>
      <w:r w:rsidR="003853A6">
        <w:t>.</w:t>
      </w:r>
    </w:p>
    <w:p w:rsidR="009A4308" w:rsidRPr="003275A0" w:rsidRDefault="009A4308" w:rsidP="00E94114">
      <w:pPr>
        <w:widowControl/>
        <w:numPr>
          <w:ilvl w:val="0"/>
          <w:numId w:val="6"/>
        </w:numPr>
      </w:pPr>
      <w:r w:rsidRPr="003275A0">
        <w:t>Kunschak (1998): C1-INH (25U/kg) v placebo (rescue therapy al</w:t>
      </w:r>
      <w:r>
        <w:t>lowed under certain conditions)</w:t>
      </w:r>
      <w:r w:rsidR="003853A6">
        <w:t>.</w:t>
      </w:r>
    </w:p>
    <w:p w:rsidR="009A4308" w:rsidRPr="003275A0" w:rsidRDefault="009A4308" w:rsidP="00E94114">
      <w:pPr>
        <w:widowControl/>
        <w:numPr>
          <w:ilvl w:val="0"/>
          <w:numId w:val="6"/>
        </w:numPr>
      </w:pPr>
      <w:r w:rsidRPr="003275A0">
        <w:t>Zurow (2008): C1-INH (dose and form of administration were not specified in the published abstract) vs placebo (rescue al</w:t>
      </w:r>
      <w:r>
        <w:t>lowed after 4 hours of therapy)</w:t>
      </w:r>
    </w:p>
    <w:p w:rsidR="00283754" w:rsidRPr="009E39F8" w:rsidRDefault="00283754" w:rsidP="000075D9">
      <w:pPr>
        <w:widowControl/>
        <w:ind w:left="709"/>
      </w:pPr>
    </w:p>
    <w:p w:rsidR="009A4308" w:rsidRDefault="009A4308" w:rsidP="00E94114">
      <w:pPr>
        <w:pStyle w:val="ListParagraph"/>
        <w:keepNext/>
        <w:widowControl/>
        <w:numPr>
          <w:ilvl w:val="1"/>
          <w:numId w:val="2"/>
        </w:numPr>
      </w:pPr>
      <w:r>
        <w:t>T</w:t>
      </w:r>
      <w:r w:rsidRPr="006F6160">
        <w:t xml:space="preserve">he key results </w:t>
      </w:r>
      <w:r>
        <w:t>are summarised in Table 1:</w:t>
      </w:r>
    </w:p>
    <w:p w:rsidR="009A4308" w:rsidRDefault="009A4308" w:rsidP="00707C16">
      <w:pPr>
        <w:keepNext/>
        <w:widowControl/>
        <w:ind w:left="709"/>
        <w:rPr>
          <w:b/>
        </w:rPr>
      </w:pPr>
    </w:p>
    <w:p w:rsidR="009A4308" w:rsidRPr="007F0FD9" w:rsidRDefault="009A4308" w:rsidP="000075D9">
      <w:pPr>
        <w:keepNext/>
        <w:widowControl/>
        <w:ind w:left="709"/>
        <w:rPr>
          <w:rFonts w:ascii="Arial Narrow" w:hAnsi="Arial Narrow"/>
          <w:b/>
          <w:sz w:val="20"/>
        </w:rPr>
      </w:pPr>
      <w:r>
        <w:rPr>
          <w:rFonts w:ascii="Arial Narrow" w:hAnsi="Arial Narrow"/>
          <w:b/>
          <w:sz w:val="20"/>
        </w:rPr>
        <w:t xml:space="preserve">Table 1: </w:t>
      </w:r>
      <w:r w:rsidRPr="007F0FD9">
        <w:rPr>
          <w:rFonts w:ascii="Arial Narrow" w:hAnsi="Arial Narrow"/>
          <w:b/>
          <w:sz w:val="20"/>
        </w:rPr>
        <w:t>Time in hours to onset of relief following icatibant or placebo across the direct randomised trials</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2681"/>
        <w:gridCol w:w="2694"/>
        <w:gridCol w:w="1275"/>
      </w:tblGrid>
      <w:tr w:rsidR="009A4308" w:rsidRPr="007F0FD9" w:rsidTr="00FD3FF2">
        <w:tc>
          <w:tcPr>
            <w:tcW w:w="1713" w:type="dxa"/>
          </w:tcPr>
          <w:p w:rsidR="009A4308" w:rsidRPr="007F0FD9" w:rsidRDefault="009A4308" w:rsidP="000075D9">
            <w:pPr>
              <w:keepNext/>
              <w:widowControl/>
              <w:rPr>
                <w:rFonts w:ascii="Arial Narrow" w:hAnsi="Arial Narrow"/>
                <w:b/>
                <w:sz w:val="20"/>
              </w:rPr>
            </w:pPr>
          </w:p>
        </w:tc>
        <w:tc>
          <w:tcPr>
            <w:tcW w:w="2681" w:type="dxa"/>
          </w:tcPr>
          <w:p w:rsidR="009A4308" w:rsidRPr="007F0FD9" w:rsidRDefault="009A4308" w:rsidP="000075D9">
            <w:pPr>
              <w:keepNext/>
              <w:widowControl/>
              <w:jc w:val="left"/>
              <w:rPr>
                <w:rFonts w:ascii="Arial Narrow" w:hAnsi="Arial Narrow"/>
                <w:b/>
                <w:sz w:val="20"/>
              </w:rPr>
            </w:pPr>
            <w:r w:rsidRPr="007F0FD9">
              <w:rPr>
                <w:rFonts w:ascii="Arial Narrow" w:hAnsi="Arial Narrow"/>
                <w:b/>
                <w:sz w:val="20"/>
              </w:rPr>
              <w:t>Median [IQR] hours</w:t>
            </w:r>
          </w:p>
        </w:tc>
        <w:tc>
          <w:tcPr>
            <w:tcW w:w="2694" w:type="dxa"/>
          </w:tcPr>
          <w:p w:rsidR="009A4308" w:rsidRPr="007F0FD9" w:rsidRDefault="009A4308" w:rsidP="000075D9">
            <w:pPr>
              <w:keepNext/>
              <w:widowControl/>
              <w:jc w:val="left"/>
              <w:rPr>
                <w:rFonts w:ascii="Arial Narrow" w:hAnsi="Arial Narrow"/>
                <w:b/>
                <w:sz w:val="20"/>
              </w:rPr>
            </w:pPr>
            <w:r w:rsidRPr="007F0FD9">
              <w:rPr>
                <w:rFonts w:ascii="Arial Narrow" w:hAnsi="Arial Narrow"/>
                <w:b/>
                <w:sz w:val="20"/>
              </w:rPr>
              <w:t>Median [IQR] hours</w:t>
            </w:r>
          </w:p>
        </w:tc>
        <w:tc>
          <w:tcPr>
            <w:tcW w:w="1275" w:type="dxa"/>
          </w:tcPr>
          <w:p w:rsidR="009A4308" w:rsidRPr="007F0FD9" w:rsidRDefault="009A4308" w:rsidP="000075D9">
            <w:pPr>
              <w:keepNext/>
              <w:widowControl/>
              <w:jc w:val="left"/>
              <w:rPr>
                <w:rFonts w:ascii="Arial Narrow" w:hAnsi="Arial Narrow"/>
                <w:b/>
                <w:sz w:val="20"/>
              </w:rPr>
            </w:pPr>
          </w:p>
        </w:tc>
      </w:tr>
      <w:tr w:rsidR="009A4308" w:rsidRPr="007F0FD9" w:rsidTr="00FD3FF2">
        <w:tc>
          <w:tcPr>
            <w:tcW w:w="1713" w:type="dxa"/>
          </w:tcPr>
          <w:p w:rsidR="009A4308" w:rsidRPr="007F0FD9" w:rsidRDefault="009A4308" w:rsidP="000075D9">
            <w:pPr>
              <w:keepNext/>
              <w:widowControl/>
              <w:rPr>
                <w:rFonts w:ascii="Arial Narrow" w:hAnsi="Arial Narrow"/>
                <w:sz w:val="20"/>
              </w:rPr>
            </w:pPr>
            <w:r w:rsidRPr="007F0FD9">
              <w:rPr>
                <w:rFonts w:ascii="Arial Narrow" w:hAnsi="Arial Narrow"/>
                <w:b/>
                <w:sz w:val="20"/>
              </w:rPr>
              <w:t>Trial ID</w:t>
            </w:r>
          </w:p>
        </w:tc>
        <w:tc>
          <w:tcPr>
            <w:tcW w:w="2681" w:type="dxa"/>
          </w:tcPr>
          <w:p w:rsidR="009A4308" w:rsidRPr="007F0FD9" w:rsidRDefault="009A4308" w:rsidP="000075D9">
            <w:pPr>
              <w:keepNext/>
              <w:widowControl/>
              <w:jc w:val="left"/>
              <w:rPr>
                <w:rFonts w:ascii="Arial Narrow" w:hAnsi="Arial Narrow"/>
                <w:b/>
                <w:sz w:val="20"/>
              </w:rPr>
            </w:pPr>
            <w:r w:rsidRPr="007F0FD9">
              <w:rPr>
                <w:rFonts w:ascii="Arial Narrow" w:hAnsi="Arial Narrow"/>
                <w:b/>
                <w:sz w:val="20"/>
              </w:rPr>
              <w:t>Icatibant TOR30+</w:t>
            </w:r>
          </w:p>
        </w:tc>
        <w:tc>
          <w:tcPr>
            <w:tcW w:w="2694" w:type="dxa"/>
          </w:tcPr>
          <w:p w:rsidR="009A4308" w:rsidRPr="007F0FD9" w:rsidRDefault="009A4308" w:rsidP="000075D9">
            <w:pPr>
              <w:keepNext/>
              <w:widowControl/>
              <w:jc w:val="left"/>
              <w:rPr>
                <w:rFonts w:ascii="Arial Narrow" w:hAnsi="Arial Narrow"/>
                <w:b/>
                <w:sz w:val="20"/>
              </w:rPr>
            </w:pPr>
            <w:r w:rsidRPr="007F0FD9">
              <w:rPr>
                <w:rFonts w:ascii="Arial Narrow" w:hAnsi="Arial Narrow"/>
                <w:b/>
                <w:sz w:val="20"/>
              </w:rPr>
              <w:t>Comparator</w:t>
            </w:r>
            <w:r w:rsidR="00071C8B">
              <w:rPr>
                <w:rFonts w:ascii="Arial Narrow" w:hAnsi="Arial Narrow"/>
                <w:b/>
                <w:sz w:val="20"/>
              </w:rPr>
              <w:t xml:space="preserve"> </w:t>
            </w:r>
            <w:r w:rsidRPr="007F0FD9">
              <w:rPr>
                <w:rFonts w:ascii="Arial Narrow" w:hAnsi="Arial Narrow"/>
                <w:b/>
                <w:sz w:val="20"/>
              </w:rPr>
              <w:t>TOR30+</w:t>
            </w:r>
          </w:p>
        </w:tc>
        <w:tc>
          <w:tcPr>
            <w:tcW w:w="1275" w:type="dxa"/>
          </w:tcPr>
          <w:p w:rsidR="009A4308" w:rsidRPr="007F0FD9" w:rsidRDefault="009A4308" w:rsidP="000075D9">
            <w:pPr>
              <w:keepNext/>
              <w:widowControl/>
              <w:jc w:val="left"/>
              <w:rPr>
                <w:rFonts w:ascii="Arial Narrow" w:hAnsi="Arial Narrow"/>
                <w:b/>
                <w:sz w:val="20"/>
              </w:rPr>
            </w:pPr>
            <w:r w:rsidRPr="007F0FD9">
              <w:rPr>
                <w:rFonts w:ascii="Arial Narrow" w:hAnsi="Arial Narrow"/>
                <w:b/>
                <w:sz w:val="20"/>
              </w:rPr>
              <w:t>p-value</w:t>
            </w:r>
          </w:p>
        </w:tc>
      </w:tr>
      <w:tr w:rsidR="009A4308" w:rsidRPr="007F0FD9" w:rsidTr="00FD3FF2">
        <w:tc>
          <w:tcPr>
            <w:tcW w:w="1713" w:type="dxa"/>
          </w:tcPr>
          <w:p w:rsidR="009A4308" w:rsidRPr="007F0FD9" w:rsidRDefault="009A4308" w:rsidP="000075D9">
            <w:pPr>
              <w:keepNext/>
              <w:widowControl/>
              <w:jc w:val="left"/>
              <w:rPr>
                <w:rFonts w:ascii="Arial Narrow" w:hAnsi="Arial Narrow"/>
                <w:sz w:val="20"/>
              </w:rPr>
            </w:pPr>
            <w:r w:rsidRPr="007F0FD9">
              <w:rPr>
                <w:rFonts w:ascii="Arial Narrow" w:hAnsi="Arial Narrow"/>
                <w:sz w:val="20"/>
              </w:rPr>
              <w:t>FAST-1</w:t>
            </w:r>
          </w:p>
        </w:tc>
        <w:tc>
          <w:tcPr>
            <w:tcW w:w="2681" w:type="dxa"/>
          </w:tcPr>
          <w:p w:rsidR="009A4308" w:rsidRPr="007F0FD9" w:rsidRDefault="009A4308" w:rsidP="000075D9">
            <w:pPr>
              <w:keepNext/>
              <w:widowControl/>
              <w:jc w:val="left"/>
              <w:rPr>
                <w:rFonts w:ascii="Arial Narrow" w:hAnsi="Arial Narrow"/>
                <w:sz w:val="20"/>
              </w:rPr>
            </w:pPr>
            <w:r w:rsidRPr="007F0FD9">
              <w:rPr>
                <w:rFonts w:ascii="Arial Narrow" w:hAnsi="Arial Narrow"/>
                <w:sz w:val="20"/>
              </w:rPr>
              <w:t>2.5 [1.1, 6.0]</w:t>
            </w:r>
          </w:p>
        </w:tc>
        <w:tc>
          <w:tcPr>
            <w:tcW w:w="2694" w:type="dxa"/>
          </w:tcPr>
          <w:p w:rsidR="009A4308" w:rsidRPr="007F0FD9" w:rsidRDefault="009A4308" w:rsidP="000075D9">
            <w:pPr>
              <w:keepNext/>
              <w:widowControl/>
              <w:jc w:val="left"/>
              <w:rPr>
                <w:rFonts w:ascii="Arial Narrow" w:hAnsi="Arial Narrow"/>
                <w:sz w:val="20"/>
              </w:rPr>
            </w:pPr>
            <w:r w:rsidRPr="007F0FD9">
              <w:rPr>
                <w:rFonts w:ascii="Arial Narrow" w:hAnsi="Arial Narrow"/>
                <w:sz w:val="20"/>
              </w:rPr>
              <w:t>4.6 [1.8, 10.2]</w:t>
            </w:r>
          </w:p>
        </w:tc>
        <w:tc>
          <w:tcPr>
            <w:tcW w:w="1275" w:type="dxa"/>
          </w:tcPr>
          <w:p w:rsidR="009A4308" w:rsidRPr="007F0FD9" w:rsidRDefault="009A4308" w:rsidP="000075D9">
            <w:pPr>
              <w:keepNext/>
              <w:widowControl/>
              <w:jc w:val="left"/>
              <w:rPr>
                <w:rFonts w:ascii="Arial Narrow" w:hAnsi="Arial Narrow"/>
                <w:sz w:val="20"/>
              </w:rPr>
            </w:pPr>
            <w:r w:rsidRPr="007F0FD9">
              <w:rPr>
                <w:rFonts w:ascii="Arial Narrow" w:hAnsi="Arial Narrow"/>
                <w:sz w:val="20"/>
              </w:rPr>
              <w:t>0.142</w:t>
            </w:r>
          </w:p>
        </w:tc>
      </w:tr>
      <w:tr w:rsidR="009A4308" w:rsidRPr="007F0FD9" w:rsidTr="00FD3FF2">
        <w:tc>
          <w:tcPr>
            <w:tcW w:w="1713" w:type="dxa"/>
          </w:tcPr>
          <w:p w:rsidR="009A4308" w:rsidRPr="007F0FD9" w:rsidRDefault="009A4308" w:rsidP="000075D9">
            <w:pPr>
              <w:keepNext/>
              <w:widowControl/>
              <w:jc w:val="left"/>
              <w:rPr>
                <w:rFonts w:ascii="Arial Narrow" w:hAnsi="Arial Narrow"/>
                <w:sz w:val="20"/>
              </w:rPr>
            </w:pPr>
            <w:r w:rsidRPr="007F0FD9">
              <w:rPr>
                <w:rFonts w:ascii="Arial Narrow" w:hAnsi="Arial Narrow"/>
                <w:sz w:val="20"/>
              </w:rPr>
              <w:t>FAST-2</w:t>
            </w:r>
          </w:p>
        </w:tc>
        <w:tc>
          <w:tcPr>
            <w:tcW w:w="2681" w:type="dxa"/>
          </w:tcPr>
          <w:p w:rsidR="009A4308" w:rsidRPr="007F0FD9" w:rsidRDefault="009A4308" w:rsidP="000075D9">
            <w:pPr>
              <w:keepNext/>
              <w:widowControl/>
              <w:jc w:val="left"/>
              <w:rPr>
                <w:rFonts w:ascii="Arial Narrow" w:hAnsi="Arial Narrow"/>
                <w:sz w:val="20"/>
              </w:rPr>
            </w:pPr>
            <w:r w:rsidRPr="007F0FD9">
              <w:rPr>
                <w:rFonts w:ascii="Arial Narrow" w:hAnsi="Arial Narrow"/>
                <w:sz w:val="20"/>
              </w:rPr>
              <w:t>2.0 [1.0, 3.5]</w:t>
            </w:r>
          </w:p>
        </w:tc>
        <w:tc>
          <w:tcPr>
            <w:tcW w:w="2694" w:type="dxa"/>
          </w:tcPr>
          <w:p w:rsidR="009A4308" w:rsidRPr="007F0FD9" w:rsidRDefault="009A4308" w:rsidP="000075D9">
            <w:pPr>
              <w:keepNext/>
              <w:widowControl/>
              <w:jc w:val="left"/>
              <w:rPr>
                <w:rFonts w:ascii="Arial Narrow" w:hAnsi="Arial Narrow"/>
                <w:sz w:val="20"/>
              </w:rPr>
            </w:pPr>
            <w:r w:rsidRPr="007F0FD9">
              <w:rPr>
                <w:rFonts w:ascii="Arial Narrow" w:hAnsi="Arial Narrow"/>
                <w:sz w:val="20"/>
              </w:rPr>
              <w:t>12.0 [3.5, 25.4]</w:t>
            </w:r>
          </w:p>
        </w:tc>
        <w:tc>
          <w:tcPr>
            <w:tcW w:w="1275" w:type="dxa"/>
          </w:tcPr>
          <w:p w:rsidR="009A4308" w:rsidRPr="007F0FD9" w:rsidRDefault="009A4308" w:rsidP="000075D9">
            <w:pPr>
              <w:keepNext/>
              <w:widowControl/>
              <w:jc w:val="left"/>
              <w:rPr>
                <w:rFonts w:ascii="Arial Narrow" w:hAnsi="Arial Narrow"/>
                <w:sz w:val="20"/>
              </w:rPr>
            </w:pPr>
            <w:r w:rsidRPr="007F0FD9">
              <w:rPr>
                <w:rFonts w:ascii="Arial Narrow" w:hAnsi="Arial Narrow"/>
                <w:sz w:val="20"/>
              </w:rPr>
              <w:t>&lt;0.001</w:t>
            </w:r>
          </w:p>
        </w:tc>
      </w:tr>
      <w:tr w:rsidR="009A4308" w:rsidRPr="007F0FD9" w:rsidTr="00FD3FF2">
        <w:tc>
          <w:tcPr>
            <w:tcW w:w="1713" w:type="dxa"/>
          </w:tcPr>
          <w:p w:rsidR="009A4308" w:rsidRPr="007F0FD9" w:rsidRDefault="009A4308" w:rsidP="000075D9">
            <w:pPr>
              <w:keepNext/>
              <w:widowControl/>
              <w:jc w:val="left"/>
              <w:rPr>
                <w:rFonts w:ascii="Arial Narrow" w:hAnsi="Arial Narrow"/>
                <w:sz w:val="20"/>
              </w:rPr>
            </w:pPr>
            <w:r w:rsidRPr="007F0FD9">
              <w:rPr>
                <w:rFonts w:ascii="Arial Narrow" w:hAnsi="Arial Narrow"/>
                <w:sz w:val="20"/>
              </w:rPr>
              <w:t>FAST-3</w:t>
            </w:r>
          </w:p>
        </w:tc>
        <w:tc>
          <w:tcPr>
            <w:tcW w:w="2681" w:type="dxa"/>
          </w:tcPr>
          <w:p w:rsidR="009A4308" w:rsidRPr="007F0FD9" w:rsidRDefault="009A4308" w:rsidP="000075D9">
            <w:pPr>
              <w:keepNext/>
              <w:widowControl/>
              <w:jc w:val="left"/>
              <w:rPr>
                <w:rFonts w:ascii="Arial Narrow" w:hAnsi="Arial Narrow"/>
                <w:sz w:val="20"/>
              </w:rPr>
            </w:pPr>
            <w:r w:rsidRPr="007F0FD9">
              <w:rPr>
                <w:rFonts w:ascii="Arial Narrow" w:hAnsi="Arial Narrow"/>
                <w:sz w:val="20"/>
              </w:rPr>
              <w:t>1.5 [1.0, 3.5]</w:t>
            </w:r>
          </w:p>
        </w:tc>
        <w:tc>
          <w:tcPr>
            <w:tcW w:w="2694" w:type="dxa"/>
          </w:tcPr>
          <w:p w:rsidR="009A4308" w:rsidRPr="007F0FD9" w:rsidRDefault="009A4308" w:rsidP="000075D9">
            <w:pPr>
              <w:keepNext/>
              <w:widowControl/>
              <w:jc w:val="left"/>
              <w:rPr>
                <w:rFonts w:ascii="Arial Narrow" w:hAnsi="Arial Narrow"/>
                <w:sz w:val="20"/>
              </w:rPr>
            </w:pPr>
            <w:r w:rsidRPr="007F0FD9">
              <w:rPr>
                <w:rFonts w:ascii="Arial Narrow" w:hAnsi="Arial Narrow"/>
                <w:sz w:val="20"/>
              </w:rPr>
              <w:t>18.5 [2.0, 30.9]</w:t>
            </w:r>
          </w:p>
        </w:tc>
        <w:tc>
          <w:tcPr>
            <w:tcW w:w="1275" w:type="dxa"/>
          </w:tcPr>
          <w:p w:rsidR="009A4308" w:rsidRPr="007F0FD9" w:rsidRDefault="009A4308" w:rsidP="000075D9">
            <w:pPr>
              <w:keepNext/>
              <w:widowControl/>
              <w:jc w:val="left"/>
              <w:rPr>
                <w:rFonts w:ascii="Arial Narrow" w:hAnsi="Arial Narrow"/>
                <w:sz w:val="20"/>
              </w:rPr>
            </w:pPr>
            <w:r w:rsidRPr="007F0FD9">
              <w:rPr>
                <w:rFonts w:ascii="Arial Narrow" w:hAnsi="Arial Narrow"/>
                <w:sz w:val="20"/>
              </w:rPr>
              <w:t>&lt;0.001</w:t>
            </w:r>
          </w:p>
        </w:tc>
      </w:tr>
      <w:tr w:rsidR="009A4308" w:rsidRPr="007F0FD9" w:rsidTr="00FD3FF2">
        <w:tc>
          <w:tcPr>
            <w:tcW w:w="1713" w:type="dxa"/>
          </w:tcPr>
          <w:p w:rsidR="009A4308" w:rsidRPr="007F0FD9" w:rsidRDefault="009A4308" w:rsidP="000075D9">
            <w:pPr>
              <w:keepNext/>
              <w:widowControl/>
              <w:jc w:val="left"/>
              <w:rPr>
                <w:rFonts w:ascii="Arial Narrow" w:hAnsi="Arial Narrow"/>
                <w:sz w:val="20"/>
              </w:rPr>
            </w:pPr>
          </w:p>
        </w:tc>
        <w:tc>
          <w:tcPr>
            <w:tcW w:w="2681" w:type="dxa"/>
          </w:tcPr>
          <w:p w:rsidR="009A4308" w:rsidRPr="007F0FD9" w:rsidRDefault="009A4308" w:rsidP="000075D9">
            <w:pPr>
              <w:keepNext/>
              <w:widowControl/>
              <w:jc w:val="left"/>
              <w:rPr>
                <w:rFonts w:ascii="Arial Narrow" w:hAnsi="Arial Narrow"/>
                <w:b/>
                <w:sz w:val="20"/>
              </w:rPr>
            </w:pPr>
            <w:r w:rsidRPr="007F0FD9">
              <w:rPr>
                <w:rFonts w:ascii="Arial Narrow" w:hAnsi="Arial Narrow"/>
                <w:b/>
                <w:sz w:val="20"/>
              </w:rPr>
              <w:t>Icatibant TOR90+</w:t>
            </w:r>
          </w:p>
        </w:tc>
        <w:tc>
          <w:tcPr>
            <w:tcW w:w="2694" w:type="dxa"/>
          </w:tcPr>
          <w:p w:rsidR="009A4308" w:rsidRPr="007F0FD9" w:rsidRDefault="009A4308" w:rsidP="000075D9">
            <w:pPr>
              <w:keepNext/>
              <w:widowControl/>
              <w:jc w:val="left"/>
              <w:rPr>
                <w:rFonts w:ascii="Arial Narrow" w:hAnsi="Arial Narrow"/>
                <w:b/>
                <w:sz w:val="20"/>
              </w:rPr>
            </w:pPr>
            <w:r w:rsidRPr="007F0FD9">
              <w:rPr>
                <w:rFonts w:ascii="Arial Narrow" w:hAnsi="Arial Narrow"/>
                <w:b/>
                <w:sz w:val="20"/>
              </w:rPr>
              <w:t>Comparator TOR90+</w:t>
            </w:r>
          </w:p>
        </w:tc>
        <w:tc>
          <w:tcPr>
            <w:tcW w:w="1275" w:type="dxa"/>
          </w:tcPr>
          <w:p w:rsidR="009A4308" w:rsidRPr="007F0FD9" w:rsidRDefault="009A4308" w:rsidP="000075D9">
            <w:pPr>
              <w:keepNext/>
              <w:widowControl/>
              <w:jc w:val="left"/>
              <w:rPr>
                <w:rFonts w:ascii="Arial Narrow" w:hAnsi="Arial Narrow"/>
                <w:b/>
                <w:sz w:val="20"/>
              </w:rPr>
            </w:pPr>
            <w:r w:rsidRPr="007F0FD9">
              <w:rPr>
                <w:rFonts w:ascii="Arial Narrow" w:hAnsi="Arial Narrow"/>
                <w:b/>
                <w:sz w:val="20"/>
              </w:rPr>
              <w:t>p-value</w:t>
            </w:r>
          </w:p>
        </w:tc>
      </w:tr>
      <w:tr w:rsidR="009A4308" w:rsidRPr="007F0FD9" w:rsidTr="00FD3FF2">
        <w:tc>
          <w:tcPr>
            <w:tcW w:w="1713" w:type="dxa"/>
          </w:tcPr>
          <w:p w:rsidR="009A4308" w:rsidRPr="007F0FD9" w:rsidRDefault="009A4308" w:rsidP="000075D9">
            <w:pPr>
              <w:keepNext/>
              <w:widowControl/>
              <w:ind w:right="-108"/>
              <w:jc w:val="left"/>
              <w:rPr>
                <w:rFonts w:ascii="Arial Narrow" w:hAnsi="Arial Narrow"/>
                <w:sz w:val="20"/>
              </w:rPr>
            </w:pPr>
            <w:r w:rsidRPr="007F0FD9">
              <w:rPr>
                <w:rFonts w:ascii="Arial Narrow" w:hAnsi="Arial Narrow"/>
                <w:sz w:val="20"/>
              </w:rPr>
              <w:t>FAST-1</w:t>
            </w:r>
          </w:p>
        </w:tc>
        <w:tc>
          <w:tcPr>
            <w:tcW w:w="2681" w:type="dxa"/>
          </w:tcPr>
          <w:p w:rsidR="009A4308" w:rsidRPr="007F0FD9" w:rsidRDefault="009A4308" w:rsidP="000075D9">
            <w:pPr>
              <w:keepNext/>
              <w:widowControl/>
              <w:jc w:val="left"/>
              <w:rPr>
                <w:rFonts w:ascii="Arial Narrow" w:hAnsi="Arial Narrow"/>
                <w:sz w:val="20"/>
              </w:rPr>
            </w:pPr>
            <w:r w:rsidRPr="007F0FD9">
              <w:rPr>
                <w:rFonts w:ascii="Arial Narrow" w:hAnsi="Arial Narrow"/>
                <w:sz w:val="20"/>
              </w:rPr>
              <w:t>8.5 [2.5, 31.5]</w:t>
            </w:r>
          </w:p>
        </w:tc>
        <w:tc>
          <w:tcPr>
            <w:tcW w:w="2694" w:type="dxa"/>
          </w:tcPr>
          <w:p w:rsidR="009A4308" w:rsidRPr="007F0FD9" w:rsidRDefault="009A4308" w:rsidP="000075D9">
            <w:pPr>
              <w:keepNext/>
              <w:widowControl/>
              <w:jc w:val="left"/>
              <w:rPr>
                <w:rFonts w:ascii="Arial Narrow" w:hAnsi="Arial Narrow"/>
                <w:sz w:val="20"/>
              </w:rPr>
            </w:pPr>
            <w:r w:rsidRPr="007F0FD9">
              <w:rPr>
                <w:rFonts w:ascii="Arial Narrow" w:hAnsi="Arial Narrow"/>
                <w:sz w:val="20"/>
              </w:rPr>
              <w:t>19.4 [10.2, 55.7]</w:t>
            </w:r>
          </w:p>
        </w:tc>
        <w:tc>
          <w:tcPr>
            <w:tcW w:w="1275" w:type="dxa"/>
          </w:tcPr>
          <w:p w:rsidR="009A4308" w:rsidRPr="007F0FD9" w:rsidRDefault="009A4308" w:rsidP="000075D9">
            <w:pPr>
              <w:keepNext/>
              <w:widowControl/>
              <w:jc w:val="left"/>
              <w:rPr>
                <w:rFonts w:ascii="Arial Narrow" w:hAnsi="Arial Narrow"/>
                <w:sz w:val="20"/>
              </w:rPr>
            </w:pPr>
            <w:r w:rsidRPr="007F0FD9">
              <w:rPr>
                <w:rFonts w:ascii="Arial Narrow" w:hAnsi="Arial Narrow"/>
                <w:sz w:val="20"/>
              </w:rPr>
              <w:t>0.079</w:t>
            </w:r>
          </w:p>
        </w:tc>
      </w:tr>
      <w:tr w:rsidR="009A4308" w:rsidRPr="007F0FD9" w:rsidTr="00FD3FF2">
        <w:tc>
          <w:tcPr>
            <w:tcW w:w="1713" w:type="dxa"/>
          </w:tcPr>
          <w:p w:rsidR="009A4308" w:rsidRPr="007F0FD9" w:rsidRDefault="009A4308" w:rsidP="000075D9">
            <w:pPr>
              <w:keepNext/>
              <w:widowControl/>
              <w:ind w:right="-108"/>
              <w:jc w:val="left"/>
              <w:rPr>
                <w:rFonts w:ascii="Arial Narrow" w:hAnsi="Arial Narrow"/>
                <w:sz w:val="20"/>
              </w:rPr>
            </w:pPr>
            <w:r w:rsidRPr="007F0FD9">
              <w:rPr>
                <w:rFonts w:ascii="Arial Narrow" w:hAnsi="Arial Narrow"/>
                <w:sz w:val="20"/>
              </w:rPr>
              <w:t>FAST-2</w:t>
            </w:r>
          </w:p>
        </w:tc>
        <w:tc>
          <w:tcPr>
            <w:tcW w:w="2681" w:type="dxa"/>
          </w:tcPr>
          <w:p w:rsidR="009A4308" w:rsidRPr="007F0FD9" w:rsidRDefault="009A4308" w:rsidP="000075D9">
            <w:pPr>
              <w:keepNext/>
              <w:widowControl/>
              <w:jc w:val="left"/>
              <w:rPr>
                <w:rFonts w:ascii="Arial Narrow" w:hAnsi="Arial Narrow"/>
                <w:sz w:val="20"/>
              </w:rPr>
            </w:pPr>
            <w:r w:rsidRPr="007F0FD9">
              <w:rPr>
                <w:rFonts w:ascii="Arial Narrow" w:hAnsi="Arial Narrow"/>
                <w:sz w:val="20"/>
              </w:rPr>
              <w:t>10.0 [2.8, 23.2]</w:t>
            </w:r>
          </w:p>
        </w:tc>
        <w:tc>
          <w:tcPr>
            <w:tcW w:w="2694" w:type="dxa"/>
          </w:tcPr>
          <w:p w:rsidR="009A4308" w:rsidRPr="007F0FD9" w:rsidRDefault="009A4308" w:rsidP="000075D9">
            <w:pPr>
              <w:keepNext/>
              <w:widowControl/>
              <w:jc w:val="left"/>
              <w:rPr>
                <w:rFonts w:ascii="Arial Narrow" w:hAnsi="Arial Narrow"/>
                <w:sz w:val="20"/>
              </w:rPr>
            </w:pPr>
            <w:r w:rsidRPr="007F0FD9">
              <w:rPr>
                <w:rFonts w:ascii="Arial Narrow" w:hAnsi="Arial Narrow"/>
                <w:sz w:val="20"/>
              </w:rPr>
              <w:t>51.0 [12.0, 79.5]</w:t>
            </w:r>
          </w:p>
        </w:tc>
        <w:tc>
          <w:tcPr>
            <w:tcW w:w="1275" w:type="dxa"/>
          </w:tcPr>
          <w:p w:rsidR="009A4308" w:rsidRPr="007F0FD9" w:rsidRDefault="009A4308" w:rsidP="000075D9">
            <w:pPr>
              <w:keepNext/>
              <w:widowControl/>
              <w:jc w:val="left"/>
              <w:rPr>
                <w:rFonts w:ascii="Arial Narrow" w:hAnsi="Arial Narrow"/>
                <w:sz w:val="20"/>
              </w:rPr>
            </w:pPr>
            <w:r w:rsidRPr="007F0FD9">
              <w:rPr>
                <w:rFonts w:ascii="Arial Narrow" w:hAnsi="Arial Narrow"/>
                <w:sz w:val="20"/>
              </w:rPr>
              <w:t>≤0.001</w:t>
            </w:r>
          </w:p>
        </w:tc>
      </w:tr>
      <w:tr w:rsidR="009A4308" w:rsidRPr="007F0FD9" w:rsidTr="00FD3FF2">
        <w:tc>
          <w:tcPr>
            <w:tcW w:w="1713" w:type="dxa"/>
          </w:tcPr>
          <w:p w:rsidR="009A4308" w:rsidRPr="007F0FD9" w:rsidRDefault="009A4308" w:rsidP="000075D9">
            <w:pPr>
              <w:keepNext/>
              <w:widowControl/>
              <w:ind w:right="-108"/>
              <w:jc w:val="left"/>
              <w:rPr>
                <w:rFonts w:ascii="Arial Narrow" w:hAnsi="Arial Narrow"/>
                <w:sz w:val="20"/>
              </w:rPr>
            </w:pPr>
            <w:r w:rsidRPr="007F0FD9">
              <w:rPr>
                <w:rFonts w:ascii="Arial Narrow" w:hAnsi="Arial Narrow"/>
                <w:sz w:val="20"/>
              </w:rPr>
              <w:t>FAST-3</w:t>
            </w:r>
          </w:p>
        </w:tc>
        <w:tc>
          <w:tcPr>
            <w:tcW w:w="2681" w:type="dxa"/>
          </w:tcPr>
          <w:p w:rsidR="009A4308" w:rsidRPr="007F0FD9" w:rsidRDefault="009A4308" w:rsidP="000075D9">
            <w:pPr>
              <w:keepNext/>
              <w:widowControl/>
              <w:jc w:val="left"/>
              <w:rPr>
                <w:rFonts w:ascii="Arial Narrow" w:hAnsi="Arial Narrow"/>
                <w:sz w:val="20"/>
              </w:rPr>
            </w:pPr>
            <w:r w:rsidRPr="007F0FD9">
              <w:rPr>
                <w:rFonts w:ascii="Arial Narrow" w:hAnsi="Arial Narrow"/>
                <w:sz w:val="20"/>
              </w:rPr>
              <w:t>8.0 [2.5, 50.1]</w:t>
            </w:r>
          </w:p>
        </w:tc>
        <w:tc>
          <w:tcPr>
            <w:tcW w:w="2694" w:type="dxa"/>
          </w:tcPr>
          <w:p w:rsidR="009A4308" w:rsidRPr="007F0FD9" w:rsidRDefault="009A4308" w:rsidP="000075D9">
            <w:pPr>
              <w:keepNext/>
              <w:widowControl/>
              <w:jc w:val="left"/>
              <w:rPr>
                <w:rFonts w:ascii="Arial Narrow" w:hAnsi="Arial Narrow"/>
                <w:sz w:val="20"/>
              </w:rPr>
            </w:pPr>
            <w:r w:rsidRPr="007F0FD9">
              <w:rPr>
                <w:rFonts w:ascii="Arial Narrow" w:hAnsi="Arial Narrow"/>
                <w:sz w:val="20"/>
              </w:rPr>
              <w:t>36.0 [29.0, 50.9]</w:t>
            </w:r>
          </w:p>
        </w:tc>
        <w:tc>
          <w:tcPr>
            <w:tcW w:w="1275" w:type="dxa"/>
          </w:tcPr>
          <w:p w:rsidR="009A4308" w:rsidRPr="007F0FD9" w:rsidRDefault="009A4308" w:rsidP="000075D9">
            <w:pPr>
              <w:keepNext/>
              <w:widowControl/>
              <w:jc w:val="left"/>
              <w:rPr>
                <w:rFonts w:ascii="Arial Narrow" w:hAnsi="Arial Narrow"/>
                <w:sz w:val="20"/>
              </w:rPr>
            </w:pPr>
            <w:r w:rsidRPr="007F0FD9">
              <w:rPr>
                <w:rFonts w:ascii="Arial Narrow" w:hAnsi="Arial Narrow"/>
                <w:sz w:val="20"/>
              </w:rPr>
              <w:t>0.012</w:t>
            </w:r>
          </w:p>
        </w:tc>
      </w:tr>
    </w:tbl>
    <w:p w:rsidR="009A4308" w:rsidRPr="007F0FD9" w:rsidRDefault="009A4308" w:rsidP="000075D9">
      <w:pPr>
        <w:keepNext/>
        <w:widowControl/>
        <w:ind w:left="709"/>
        <w:rPr>
          <w:rFonts w:ascii="Arial Narrow" w:hAnsi="Arial Narrow"/>
          <w:sz w:val="20"/>
        </w:rPr>
      </w:pPr>
      <w:r w:rsidRPr="007F0FD9">
        <w:rPr>
          <w:rFonts w:ascii="Arial Narrow" w:hAnsi="Arial Narrow"/>
          <w:sz w:val="20"/>
        </w:rPr>
        <w:t>TOR30+ = time in hours to onset of relief for the primary symptom; relief measured by a reduction in the VAS to less than six-sevenths of the baseline VAS minus 16mm (VAS = visual analogue scale).</w:t>
      </w:r>
    </w:p>
    <w:p w:rsidR="009A4308" w:rsidRPr="00E87611" w:rsidRDefault="009A4308" w:rsidP="000075D9">
      <w:pPr>
        <w:keepNext/>
        <w:widowControl/>
        <w:ind w:left="709"/>
        <w:rPr>
          <w:rFonts w:ascii="Arial Narrow" w:hAnsi="Arial Narrow"/>
          <w:sz w:val="20"/>
        </w:rPr>
      </w:pPr>
      <w:r w:rsidRPr="00E87611">
        <w:rPr>
          <w:rFonts w:ascii="Arial Narrow" w:hAnsi="Arial Narrow"/>
          <w:sz w:val="20"/>
        </w:rPr>
        <w:t>TOR90+ = time to almost complete relief for all symptoms measured in the composite score (cutaneous swelling, cutaneous pain and abdominal pain) which occurs once the score for all symptoms drops to or below 10mm on a VAS.</w:t>
      </w:r>
    </w:p>
    <w:p w:rsidR="009A4308" w:rsidRDefault="009A4308" w:rsidP="000075D9">
      <w:pPr>
        <w:ind w:left="709"/>
        <w:rPr>
          <w:i/>
        </w:rPr>
      </w:pPr>
    </w:p>
    <w:p w:rsidR="006D44AE" w:rsidRPr="009E39F8" w:rsidRDefault="006D44AE" w:rsidP="00E94114">
      <w:pPr>
        <w:pStyle w:val="ListParagraph"/>
        <w:keepNext/>
        <w:widowControl/>
        <w:numPr>
          <w:ilvl w:val="1"/>
          <w:numId w:val="2"/>
        </w:numPr>
      </w:pPr>
      <w:r w:rsidRPr="009E39F8">
        <w:lastRenderedPageBreak/>
        <w:t xml:space="preserve">Issues that were previously raised by the PBAC and remain applicable to the updated economic and financial analyses in this </w:t>
      </w:r>
      <w:r w:rsidR="00D24424" w:rsidRPr="009E39F8">
        <w:t>submission</w:t>
      </w:r>
      <w:r w:rsidRPr="009E39F8">
        <w:t xml:space="preserve"> include:</w:t>
      </w:r>
    </w:p>
    <w:p w:rsidR="006D44AE" w:rsidRPr="009E39F8" w:rsidRDefault="006D44AE" w:rsidP="00BF2E22">
      <w:pPr>
        <w:pStyle w:val="ListParagraph"/>
        <w:widowControl/>
        <w:numPr>
          <w:ilvl w:val="0"/>
          <w:numId w:val="21"/>
        </w:numPr>
        <w:rPr>
          <w:szCs w:val="22"/>
        </w:rPr>
      </w:pPr>
      <w:r w:rsidRPr="009E39F8">
        <w:rPr>
          <w:szCs w:val="22"/>
        </w:rPr>
        <w:t xml:space="preserve">the data describe the clinical benefits in terms of time to the resolution of symptoms, and there was no evidence that treatment with icatibant reduces the intensity or severity of a HAE attack; </w:t>
      </w:r>
    </w:p>
    <w:p w:rsidR="006D44AE" w:rsidRPr="009E39F8" w:rsidRDefault="006D44AE" w:rsidP="00BF2E22">
      <w:pPr>
        <w:pStyle w:val="ListParagraph"/>
        <w:widowControl/>
        <w:numPr>
          <w:ilvl w:val="0"/>
          <w:numId w:val="21"/>
        </w:numPr>
        <w:rPr>
          <w:szCs w:val="22"/>
        </w:rPr>
      </w:pPr>
      <w:r w:rsidRPr="009E39F8">
        <w:rPr>
          <w:szCs w:val="22"/>
        </w:rPr>
        <w:t>the treatment effect among laryngeal attacks is not sufficiently supported by the trial data as there were only 5 patients with laryngeal attacks randomised to either placebo or icatibant; and</w:t>
      </w:r>
    </w:p>
    <w:p w:rsidR="006D44AE" w:rsidRDefault="006D44AE" w:rsidP="00BF2E22">
      <w:pPr>
        <w:pStyle w:val="ListParagraph"/>
        <w:widowControl/>
        <w:numPr>
          <w:ilvl w:val="0"/>
          <w:numId w:val="21"/>
        </w:numPr>
        <w:rPr>
          <w:szCs w:val="22"/>
        </w:rPr>
      </w:pPr>
      <w:r w:rsidRPr="009E39F8">
        <w:rPr>
          <w:szCs w:val="22"/>
        </w:rPr>
        <w:t xml:space="preserve">difficulty in estimating the treatment effect for self-administered icatibant. All the randomised trials were conducted in the hospital setting. It is not </w:t>
      </w:r>
      <w:r w:rsidRPr="009E39F8">
        <w:t>possible to determine an estimate of the relative treatment effect of self-administered icatibant, followed by hospital treatment if needed, compared with delayed administration (in the hospital setting) of best supportive care, including rescue medications</w:t>
      </w:r>
      <w:r w:rsidRPr="009E39F8">
        <w:rPr>
          <w:szCs w:val="22"/>
        </w:rPr>
        <w:t xml:space="preserve">. </w:t>
      </w:r>
    </w:p>
    <w:p w:rsidR="0056215C" w:rsidRDefault="0056215C" w:rsidP="0056215C">
      <w:pPr>
        <w:widowControl/>
        <w:rPr>
          <w:szCs w:val="22"/>
        </w:rPr>
      </w:pPr>
    </w:p>
    <w:p w:rsidR="0056215C" w:rsidRPr="00D53534" w:rsidRDefault="0056215C" w:rsidP="00E94114">
      <w:pPr>
        <w:pStyle w:val="ListParagraph"/>
        <w:keepNext/>
        <w:widowControl/>
        <w:numPr>
          <w:ilvl w:val="1"/>
          <w:numId w:val="2"/>
        </w:numPr>
        <w:rPr>
          <w:szCs w:val="22"/>
        </w:rPr>
      </w:pPr>
      <w:r w:rsidRPr="00D53534">
        <w:t xml:space="preserve">The </w:t>
      </w:r>
      <w:r w:rsidR="000D6C82">
        <w:t>probability of an attack treated with icatibant or placebo being mild, moderate or severe 4 and 12 hours post treatment is presented in Table 2. These probabilities are</w:t>
      </w:r>
      <w:r w:rsidRPr="00D53534">
        <w:t xml:space="preserve"> based on the pooled data from the FAST-1 and FAST-2 trials</w:t>
      </w:r>
      <w:r w:rsidR="000D6C82">
        <w:t xml:space="preserve"> and are</w:t>
      </w:r>
      <w:r w:rsidRPr="00D53534">
        <w:t xml:space="preserve"> used to support the current submission’s claim that icatibant reduces the severity of HAE attacks.</w:t>
      </w:r>
    </w:p>
    <w:p w:rsidR="006D44AE" w:rsidRDefault="006D44AE" w:rsidP="000075D9">
      <w:pPr>
        <w:widowControl/>
        <w:jc w:val="left"/>
      </w:pPr>
    </w:p>
    <w:p w:rsidR="00642003" w:rsidRDefault="0056215C" w:rsidP="004A51E1">
      <w:pPr>
        <w:widowControl/>
        <w:ind w:left="720"/>
        <w:rPr>
          <w:i/>
        </w:rPr>
      </w:pPr>
      <w:r>
        <w:rPr>
          <w:rStyle w:val="CommentReference"/>
        </w:rPr>
        <w:t>Table 2</w:t>
      </w:r>
      <w:r w:rsidR="00642003" w:rsidRPr="00616802">
        <w:rPr>
          <w:rStyle w:val="CommentReference"/>
        </w:rPr>
        <w:t xml:space="preserve">: </w:t>
      </w:r>
      <w:r w:rsidR="00642003">
        <w:rPr>
          <w:rStyle w:val="CommentReference"/>
        </w:rPr>
        <w:t>Transition probability between severity states during attack (Pooled results from FAST-1 and FAST-2)</w:t>
      </w:r>
    </w:p>
    <w:tbl>
      <w:tblPr>
        <w:tblStyle w:val="TableGrid"/>
        <w:tblW w:w="8364" w:type="dxa"/>
        <w:tblInd w:w="766" w:type="dxa"/>
        <w:tblCellMar>
          <w:left w:w="57" w:type="dxa"/>
          <w:right w:w="57" w:type="dxa"/>
        </w:tblCellMar>
        <w:tblLook w:val="04A0" w:firstRow="1" w:lastRow="0" w:firstColumn="1" w:lastColumn="0" w:noHBand="0" w:noVBand="1"/>
        <w:tblCaption w:val="Table 2: Transition probability between severity states during attack (Pooled results from FAST-1 and FAST-2)"/>
        <w:tblDescription w:val="Table 2: Transition probability between severity states during attack (Pooled results from FAST-1 and FAST-2)"/>
      </w:tblPr>
      <w:tblGrid>
        <w:gridCol w:w="1009"/>
        <w:gridCol w:w="971"/>
        <w:gridCol w:w="1078"/>
        <w:gridCol w:w="1096"/>
        <w:gridCol w:w="1082"/>
        <w:gridCol w:w="1078"/>
        <w:gridCol w:w="1096"/>
        <w:gridCol w:w="954"/>
      </w:tblGrid>
      <w:tr w:rsidR="00642003" w:rsidRPr="002A097C" w:rsidTr="00B74BFC">
        <w:trPr>
          <w:tblHeader/>
        </w:trPr>
        <w:tc>
          <w:tcPr>
            <w:tcW w:w="1701" w:type="dxa"/>
            <w:gridSpan w:val="2"/>
            <w:vMerge w:val="restart"/>
          </w:tcPr>
          <w:p w:rsidR="00642003" w:rsidRPr="002A097C" w:rsidRDefault="00642003" w:rsidP="000D677C">
            <w:pPr>
              <w:pStyle w:val="TableText1"/>
              <w:jc w:val="center"/>
              <w:rPr>
                <w:rFonts w:ascii="Arial Narrow" w:eastAsia="Times New Roman" w:hAnsi="Arial Narrow"/>
                <w:b/>
                <w:noProof w:val="0"/>
                <w:snapToGrid w:val="0"/>
                <w:sz w:val="20"/>
                <w:szCs w:val="20"/>
              </w:rPr>
            </w:pPr>
          </w:p>
        </w:tc>
        <w:tc>
          <w:tcPr>
            <w:tcW w:w="3402" w:type="dxa"/>
            <w:gridSpan w:val="3"/>
            <w:tcBorders>
              <w:right w:val="double" w:sz="4" w:space="0" w:color="auto"/>
            </w:tcBorders>
          </w:tcPr>
          <w:p w:rsidR="00642003" w:rsidRPr="002A097C" w:rsidRDefault="00642003" w:rsidP="000D677C">
            <w:pPr>
              <w:pStyle w:val="TableText1"/>
              <w:jc w:val="center"/>
              <w:rPr>
                <w:rFonts w:ascii="Arial Narrow" w:eastAsia="Times New Roman" w:hAnsi="Arial Narrow"/>
                <w:b/>
                <w:noProof w:val="0"/>
                <w:snapToGrid w:val="0"/>
                <w:sz w:val="20"/>
                <w:szCs w:val="20"/>
              </w:rPr>
            </w:pPr>
            <w:r w:rsidRPr="002A097C">
              <w:rPr>
                <w:rFonts w:ascii="Arial Narrow" w:eastAsia="Times New Roman" w:hAnsi="Arial Narrow"/>
                <w:b/>
                <w:noProof w:val="0"/>
                <w:snapToGrid w:val="0"/>
                <w:sz w:val="20"/>
                <w:szCs w:val="20"/>
              </w:rPr>
              <w:t>4 hours post treatment</w:t>
            </w:r>
          </w:p>
        </w:tc>
        <w:tc>
          <w:tcPr>
            <w:tcW w:w="3261" w:type="dxa"/>
            <w:gridSpan w:val="3"/>
            <w:tcBorders>
              <w:left w:val="double" w:sz="4" w:space="0" w:color="auto"/>
            </w:tcBorders>
          </w:tcPr>
          <w:p w:rsidR="00642003" w:rsidRPr="002A097C" w:rsidRDefault="00642003" w:rsidP="000D677C">
            <w:pPr>
              <w:pStyle w:val="TableText1"/>
              <w:jc w:val="center"/>
              <w:rPr>
                <w:rFonts w:ascii="Arial Narrow" w:eastAsia="Times New Roman" w:hAnsi="Arial Narrow"/>
                <w:b/>
                <w:noProof w:val="0"/>
                <w:snapToGrid w:val="0"/>
                <w:sz w:val="20"/>
                <w:szCs w:val="20"/>
              </w:rPr>
            </w:pPr>
            <w:r w:rsidRPr="002A097C">
              <w:rPr>
                <w:rFonts w:ascii="Arial Narrow" w:eastAsia="Times New Roman" w:hAnsi="Arial Narrow"/>
                <w:b/>
                <w:noProof w:val="0"/>
                <w:snapToGrid w:val="0"/>
                <w:sz w:val="20"/>
                <w:szCs w:val="20"/>
              </w:rPr>
              <w:t>12 hours post treatment</w:t>
            </w:r>
          </w:p>
        </w:tc>
      </w:tr>
      <w:tr w:rsidR="00642003" w:rsidRPr="004C4E0C" w:rsidTr="00B74BFC">
        <w:trPr>
          <w:tblHeader/>
        </w:trPr>
        <w:tc>
          <w:tcPr>
            <w:tcW w:w="1701" w:type="dxa"/>
            <w:gridSpan w:val="2"/>
            <w:vMerge/>
          </w:tcPr>
          <w:p w:rsidR="00642003" w:rsidRPr="004C4E0C" w:rsidRDefault="00642003" w:rsidP="000D677C">
            <w:pPr>
              <w:pStyle w:val="TableText1"/>
              <w:rPr>
                <w:rFonts w:ascii="Arial Narrow" w:eastAsia="Times New Roman" w:hAnsi="Arial Narrow"/>
                <w:noProof w:val="0"/>
                <w:snapToGrid w:val="0"/>
                <w:sz w:val="20"/>
                <w:szCs w:val="20"/>
              </w:rPr>
            </w:pPr>
          </w:p>
        </w:tc>
        <w:tc>
          <w:tcPr>
            <w:tcW w:w="1134" w:type="dxa"/>
          </w:tcPr>
          <w:p w:rsidR="00642003" w:rsidRPr="004C4E0C" w:rsidRDefault="00642003" w:rsidP="000D677C">
            <w:pPr>
              <w:pStyle w:val="TableText1"/>
              <w:jc w:val="center"/>
              <w:rPr>
                <w:rFonts w:ascii="Arial Narrow" w:eastAsia="Times New Roman" w:hAnsi="Arial Narrow"/>
                <w:noProof w:val="0"/>
                <w:snapToGrid w:val="0"/>
                <w:sz w:val="20"/>
                <w:szCs w:val="20"/>
              </w:rPr>
            </w:pPr>
            <w:r>
              <w:rPr>
                <w:rFonts w:ascii="Arial Narrow" w:eastAsia="Times New Roman" w:hAnsi="Arial Narrow"/>
                <w:noProof w:val="0"/>
                <w:snapToGrid w:val="0"/>
                <w:sz w:val="20"/>
                <w:szCs w:val="20"/>
              </w:rPr>
              <w:t>Mild</w:t>
            </w:r>
          </w:p>
        </w:tc>
        <w:tc>
          <w:tcPr>
            <w:tcW w:w="1134" w:type="dxa"/>
          </w:tcPr>
          <w:p w:rsidR="00642003" w:rsidRPr="004C4E0C" w:rsidRDefault="00642003" w:rsidP="000D677C">
            <w:pPr>
              <w:pStyle w:val="TableText1"/>
              <w:jc w:val="center"/>
              <w:rPr>
                <w:rFonts w:ascii="Arial Narrow" w:eastAsia="Times New Roman" w:hAnsi="Arial Narrow"/>
                <w:noProof w:val="0"/>
                <w:snapToGrid w:val="0"/>
                <w:sz w:val="20"/>
                <w:szCs w:val="20"/>
              </w:rPr>
            </w:pPr>
            <w:r>
              <w:rPr>
                <w:rFonts w:ascii="Arial Narrow" w:eastAsia="Times New Roman" w:hAnsi="Arial Narrow"/>
                <w:noProof w:val="0"/>
                <w:snapToGrid w:val="0"/>
                <w:sz w:val="20"/>
                <w:szCs w:val="20"/>
              </w:rPr>
              <w:t>Moderate</w:t>
            </w:r>
          </w:p>
        </w:tc>
        <w:tc>
          <w:tcPr>
            <w:tcW w:w="1134" w:type="dxa"/>
            <w:tcBorders>
              <w:right w:val="double" w:sz="4" w:space="0" w:color="auto"/>
            </w:tcBorders>
          </w:tcPr>
          <w:p w:rsidR="00642003" w:rsidRPr="004C4E0C" w:rsidRDefault="00642003" w:rsidP="000D677C">
            <w:pPr>
              <w:pStyle w:val="TableText1"/>
              <w:jc w:val="center"/>
              <w:rPr>
                <w:rFonts w:ascii="Arial Narrow" w:eastAsia="Times New Roman" w:hAnsi="Arial Narrow"/>
                <w:noProof w:val="0"/>
                <w:snapToGrid w:val="0"/>
                <w:sz w:val="20"/>
                <w:szCs w:val="20"/>
              </w:rPr>
            </w:pPr>
            <w:r>
              <w:rPr>
                <w:rFonts w:ascii="Arial Narrow" w:eastAsia="Times New Roman" w:hAnsi="Arial Narrow"/>
                <w:noProof w:val="0"/>
                <w:snapToGrid w:val="0"/>
                <w:sz w:val="20"/>
                <w:szCs w:val="20"/>
              </w:rPr>
              <w:t>Severe</w:t>
            </w:r>
          </w:p>
        </w:tc>
        <w:tc>
          <w:tcPr>
            <w:tcW w:w="1134" w:type="dxa"/>
            <w:tcBorders>
              <w:left w:val="double" w:sz="4" w:space="0" w:color="auto"/>
            </w:tcBorders>
          </w:tcPr>
          <w:p w:rsidR="00642003" w:rsidRDefault="00642003" w:rsidP="000D677C">
            <w:pPr>
              <w:pStyle w:val="TableText1"/>
              <w:jc w:val="center"/>
              <w:rPr>
                <w:rFonts w:ascii="Arial Narrow" w:eastAsia="Times New Roman" w:hAnsi="Arial Narrow"/>
                <w:noProof w:val="0"/>
                <w:snapToGrid w:val="0"/>
                <w:sz w:val="20"/>
                <w:szCs w:val="20"/>
              </w:rPr>
            </w:pPr>
            <w:r>
              <w:rPr>
                <w:rFonts w:ascii="Arial Narrow" w:eastAsia="Times New Roman" w:hAnsi="Arial Narrow"/>
                <w:noProof w:val="0"/>
                <w:snapToGrid w:val="0"/>
                <w:sz w:val="20"/>
                <w:szCs w:val="20"/>
              </w:rPr>
              <w:t>Mild</w:t>
            </w:r>
          </w:p>
        </w:tc>
        <w:tc>
          <w:tcPr>
            <w:tcW w:w="1134" w:type="dxa"/>
          </w:tcPr>
          <w:p w:rsidR="00642003" w:rsidRDefault="00642003" w:rsidP="000D677C">
            <w:pPr>
              <w:pStyle w:val="TableText1"/>
              <w:jc w:val="center"/>
              <w:rPr>
                <w:rFonts w:ascii="Arial Narrow" w:eastAsia="Times New Roman" w:hAnsi="Arial Narrow"/>
                <w:noProof w:val="0"/>
                <w:snapToGrid w:val="0"/>
                <w:sz w:val="20"/>
                <w:szCs w:val="20"/>
              </w:rPr>
            </w:pPr>
            <w:r>
              <w:rPr>
                <w:rFonts w:ascii="Arial Narrow" w:eastAsia="Times New Roman" w:hAnsi="Arial Narrow"/>
                <w:noProof w:val="0"/>
                <w:snapToGrid w:val="0"/>
                <w:sz w:val="20"/>
                <w:szCs w:val="20"/>
              </w:rPr>
              <w:t>Moderate</w:t>
            </w:r>
          </w:p>
        </w:tc>
        <w:tc>
          <w:tcPr>
            <w:tcW w:w="993" w:type="dxa"/>
          </w:tcPr>
          <w:p w:rsidR="00642003" w:rsidRDefault="00642003" w:rsidP="000D677C">
            <w:pPr>
              <w:pStyle w:val="TableText1"/>
              <w:jc w:val="center"/>
              <w:rPr>
                <w:rFonts w:ascii="Arial Narrow" w:eastAsia="Times New Roman" w:hAnsi="Arial Narrow"/>
                <w:noProof w:val="0"/>
                <w:snapToGrid w:val="0"/>
                <w:sz w:val="20"/>
                <w:szCs w:val="20"/>
              </w:rPr>
            </w:pPr>
            <w:r>
              <w:rPr>
                <w:rFonts w:ascii="Arial Narrow" w:eastAsia="Times New Roman" w:hAnsi="Arial Narrow"/>
                <w:noProof w:val="0"/>
                <w:snapToGrid w:val="0"/>
                <w:sz w:val="20"/>
                <w:szCs w:val="20"/>
              </w:rPr>
              <w:t>Severe</w:t>
            </w:r>
          </w:p>
        </w:tc>
      </w:tr>
      <w:tr w:rsidR="00642003" w:rsidRPr="004C4E0C" w:rsidTr="004A51E1">
        <w:tc>
          <w:tcPr>
            <w:tcW w:w="709" w:type="dxa"/>
          </w:tcPr>
          <w:p w:rsidR="00642003" w:rsidRPr="002A097C" w:rsidRDefault="00642003" w:rsidP="000D677C">
            <w:pPr>
              <w:pStyle w:val="TableText1"/>
              <w:rPr>
                <w:rFonts w:ascii="Arial Narrow" w:eastAsia="Times New Roman" w:hAnsi="Arial Narrow"/>
                <w:b/>
                <w:noProof w:val="0"/>
                <w:snapToGrid w:val="0"/>
                <w:sz w:val="20"/>
                <w:szCs w:val="20"/>
              </w:rPr>
            </w:pPr>
            <w:r>
              <w:rPr>
                <w:rFonts w:ascii="Arial Narrow" w:eastAsia="Times New Roman" w:hAnsi="Arial Narrow"/>
                <w:b/>
                <w:noProof w:val="0"/>
                <w:snapToGrid w:val="0"/>
                <w:sz w:val="20"/>
                <w:szCs w:val="20"/>
              </w:rPr>
              <w:t>I</w:t>
            </w:r>
            <w:r w:rsidRPr="002A097C">
              <w:rPr>
                <w:rFonts w:ascii="Arial Narrow" w:eastAsia="Times New Roman" w:hAnsi="Arial Narrow"/>
                <w:b/>
                <w:noProof w:val="0"/>
                <w:snapToGrid w:val="0"/>
                <w:sz w:val="20"/>
                <w:szCs w:val="20"/>
              </w:rPr>
              <w:t>catibant</w:t>
            </w:r>
          </w:p>
        </w:tc>
        <w:tc>
          <w:tcPr>
            <w:tcW w:w="992" w:type="dxa"/>
          </w:tcPr>
          <w:p w:rsidR="00642003" w:rsidRPr="004C4E0C" w:rsidRDefault="00642003" w:rsidP="000D677C">
            <w:pPr>
              <w:pStyle w:val="TableText1"/>
              <w:rPr>
                <w:rFonts w:ascii="Arial Narrow" w:eastAsia="Times New Roman" w:hAnsi="Arial Narrow"/>
                <w:noProof w:val="0"/>
                <w:snapToGrid w:val="0"/>
                <w:sz w:val="20"/>
                <w:szCs w:val="20"/>
              </w:rPr>
            </w:pPr>
            <w:r>
              <w:rPr>
                <w:rFonts w:ascii="Arial Narrow" w:eastAsia="Times New Roman" w:hAnsi="Arial Narrow"/>
                <w:noProof w:val="0"/>
                <w:snapToGrid w:val="0"/>
                <w:sz w:val="20"/>
                <w:szCs w:val="20"/>
              </w:rPr>
              <w:t>Moderate</w:t>
            </w:r>
          </w:p>
        </w:tc>
        <w:tc>
          <w:tcPr>
            <w:tcW w:w="1134" w:type="dxa"/>
            <w:vAlign w:val="bottom"/>
          </w:tcPr>
          <w:p w:rsidR="00642003" w:rsidRPr="00FA27CE" w:rsidRDefault="00FA27CE" w:rsidP="000D677C">
            <w:pPr>
              <w:pStyle w:val="TableText1"/>
              <w:jc w:val="center"/>
              <w:rPr>
                <w:rFonts w:ascii="Arial Narrow" w:eastAsia="Times New Roman" w:hAnsi="Arial Narrow"/>
                <w:noProof w:val="0"/>
                <w:snapToGrid w:val="0"/>
                <w:sz w:val="20"/>
                <w:szCs w:val="20"/>
                <w:highlight w:val="black"/>
              </w:rPr>
            </w:pPr>
            <w:r>
              <w:rPr>
                <w:rFonts w:ascii="Arial Narrow" w:eastAsia="Times New Roman" w:hAnsi="Arial Narrow"/>
                <w:snapToGrid w:val="0"/>
                <w:color w:val="000000"/>
                <w:sz w:val="20"/>
                <w:szCs w:val="20"/>
                <w:highlight w:val="black"/>
              </w:rPr>
              <w:t>'''''''''''''''</w:t>
            </w:r>
          </w:p>
        </w:tc>
        <w:tc>
          <w:tcPr>
            <w:tcW w:w="1134" w:type="dxa"/>
            <w:vAlign w:val="bottom"/>
          </w:tcPr>
          <w:p w:rsidR="00642003" w:rsidRPr="00FA27CE" w:rsidRDefault="00FA27CE" w:rsidP="000D677C">
            <w:pPr>
              <w:pStyle w:val="TableText1"/>
              <w:jc w:val="center"/>
              <w:rPr>
                <w:rFonts w:ascii="Arial Narrow" w:eastAsia="Times New Roman" w:hAnsi="Arial Narrow"/>
                <w:noProof w:val="0"/>
                <w:snapToGrid w:val="0"/>
                <w:sz w:val="20"/>
                <w:szCs w:val="20"/>
                <w:highlight w:val="black"/>
              </w:rPr>
            </w:pPr>
            <w:r>
              <w:rPr>
                <w:rFonts w:ascii="Arial Narrow" w:eastAsia="Times New Roman" w:hAnsi="Arial Narrow"/>
                <w:snapToGrid w:val="0"/>
                <w:color w:val="000000"/>
                <w:sz w:val="20"/>
                <w:szCs w:val="20"/>
                <w:highlight w:val="black"/>
              </w:rPr>
              <w:t>''''''''''''''''</w:t>
            </w:r>
          </w:p>
        </w:tc>
        <w:tc>
          <w:tcPr>
            <w:tcW w:w="1134" w:type="dxa"/>
            <w:tcBorders>
              <w:right w:val="double" w:sz="4" w:space="0" w:color="auto"/>
            </w:tcBorders>
            <w:vAlign w:val="bottom"/>
          </w:tcPr>
          <w:p w:rsidR="00642003" w:rsidRPr="00FA27CE" w:rsidRDefault="00FA27CE" w:rsidP="000D677C">
            <w:pPr>
              <w:pStyle w:val="TableText1"/>
              <w:jc w:val="center"/>
              <w:rPr>
                <w:rFonts w:ascii="Arial Narrow" w:eastAsia="Times New Roman" w:hAnsi="Arial Narrow"/>
                <w:noProof w:val="0"/>
                <w:snapToGrid w:val="0"/>
                <w:sz w:val="20"/>
                <w:szCs w:val="20"/>
                <w:highlight w:val="black"/>
              </w:rPr>
            </w:pPr>
            <w:r>
              <w:rPr>
                <w:rFonts w:ascii="Arial Narrow" w:eastAsia="Times New Roman" w:hAnsi="Arial Narrow"/>
                <w:snapToGrid w:val="0"/>
                <w:color w:val="000000"/>
                <w:sz w:val="20"/>
                <w:szCs w:val="20"/>
                <w:highlight w:val="black"/>
              </w:rPr>
              <w:t>''''''''''''''''''</w:t>
            </w:r>
          </w:p>
        </w:tc>
        <w:tc>
          <w:tcPr>
            <w:tcW w:w="1134" w:type="dxa"/>
            <w:tcBorders>
              <w:left w:val="double" w:sz="4" w:space="0" w:color="auto"/>
            </w:tcBorders>
            <w:vAlign w:val="bottom"/>
          </w:tcPr>
          <w:p w:rsidR="00642003" w:rsidRPr="00FA27CE" w:rsidRDefault="00FA27CE" w:rsidP="000D677C">
            <w:pPr>
              <w:pStyle w:val="TableText1"/>
              <w:jc w:val="center"/>
              <w:rPr>
                <w:rFonts w:ascii="Arial Narrow" w:eastAsia="Times New Roman" w:hAnsi="Arial Narrow"/>
                <w:noProof w:val="0"/>
                <w:snapToGrid w:val="0"/>
                <w:sz w:val="20"/>
                <w:szCs w:val="20"/>
                <w:highlight w:val="black"/>
              </w:rPr>
            </w:pPr>
            <w:r>
              <w:rPr>
                <w:rFonts w:ascii="Arial Narrow" w:eastAsia="Times New Roman" w:hAnsi="Arial Narrow"/>
                <w:snapToGrid w:val="0"/>
                <w:color w:val="000000"/>
                <w:sz w:val="20"/>
                <w:szCs w:val="20"/>
                <w:highlight w:val="black"/>
              </w:rPr>
              <w:t>'''''''''''''''''</w:t>
            </w:r>
          </w:p>
        </w:tc>
        <w:tc>
          <w:tcPr>
            <w:tcW w:w="1134" w:type="dxa"/>
            <w:vAlign w:val="bottom"/>
          </w:tcPr>
          <w:p w:rsidR="00642003" w:rsidRPr="00FA27CE" w:rsidRDefault="00FA27CE" w:rsidP="000D677C">
            <w:pPr>
              <w:pStyle w:val="TableText1"/>
              <w:jc w:val="center"/>
              <w:rPr>
                <w:rFonts w:ascii="Arial Narrow" w:eastAsia="Times New Roman" w:hAnsi="Arial Narrow"/>
                <w:noProof w:val="0"/>
                <w:snapToGrid w:val="0"/>
                <w:sz w:val="20"/>
                <w:szCs w:val="20"/>
                <w:highlight w:val="black"/>
              </w:rPr>
            </w:pPr>
            <w:r>
              <w:rPr>
                <w:rFonts w:ascii="Arial Narrow" w:eastAsia="Times New Roman" w:hAnsi="Arial Narrow"/>
                <w:snapToGrid w:val="0"/>
                <w:color w:val="000000"/>
                <w:sz w:val="20"/>
                <w:szCs w:val="20"/>
                <w:highlight w:val="black"/>
              </w:rPr>
              <w:t>''''''''''''''''</w:t>
            </w:r>
          </w:p>
        </w:tc>
        <w:tc>
          <w:tcPr>
            <w:tcW w:w="993" w:type="dxa"/>
            <w:vAlign w:val="bottom"/>
          </w:tcPr>
          <w:p w:rsidR="00642003" w:rsidRPr="00FA27CE" w:rsidRDefault="00FA27CE" w:rsidP="000D677C">
            <w:pPr>
              <w:pStyle w:val="TableText1"/>
              <w:jc w:val="center"/>
              <w:rPr>
                <w:rFonts w:ascii="Arial Narrow" w:eastAsia="Times New Roman" w:hAnsi="Arial Narrow"/>
                <w:noProof w:val="0"/>
                <w:snapToGrid w:val="0"/>
                <w:sz w:val="20"/>
                <w:szCs w:val="20"/>
                <w:highlight w:val="black"/>
              </w:rPr>
            </w:pPr>
            <w:r>
              <w:rPr>
                <w:rFonts w:ascii="Arial Narrow" w:eastAsia="Times New Roman" w:hAnsi="Arial Narrow"/>
                <w:snapToGrid w:val="0"/>
                <w:color w:val="000000"/>
                <w:sz w:val="20"/>
                <w:szCs w:val="20"/>
                <w:highlight w:val="black"/>
              </w:rPr>
              <w:t>'''''''''''''''</w:t>
            </w:r>
          </w:p>
        </w:tc>
      </w:tr>
      <w:tr w:rsidR="00642003" w:rsidRPr="004C4E0C" w:rsidTr="004A51E1">
        <w:tc>
          <w:tcPr>
            <w:tcW w:w="709" w:type="dxa"/>
          </w:tcPr>
          <w:p w:rsidR="00642003" w:rsidRPr="002A097C" w:rsidRDefault="00642003" w:rsidP="000D677C">
            <w:pPr>
              <w:pStyle w:val="TableText1"/>
              <w:rPr>
                <w:rFonts w:ascii="Arial Narrow" w:eastAsia="Times New Roman" w:hAnsi="Arial Narrow"/>
                <w:b/>
                <w:noProof w:val="0"/>
                <w:snapToGrid w:val="0"/>
                <w:sz w:val="20"/>
                <w:szCs w:val="20"/>
              </w:rPr>
            </w:pPr>
          </w:p>
        </w:tc>
        <w:tc>
          <w:tcPr>
            <w:tcW w:w="992" w:type="dxa"/>
          </w:tcPr>
          <w:p w:rsidR="00642003" w:rsidRPr="004C4E0C" w:rsidRDefault="00642003" w:rsidP="000D677C">
            <w:pPr>
              <w:pStyle w:val="TableText1"/>
              <w:rPr>
                <w:rFonts w:ascii="Arial Narrow" w:eastAsia="Times New Roman" w:hAnsi="Arial Narrow"/>
                <w:noProof w:val="0"/>
                <w:snapToGrid w:val="0"/>
                <w:sz w:val="20"/>
                <w:szCs w:val="20"/>
              </w:rPr>
            </w:pPr>
            <w:r>
              <w:rPr>
                <w:rFonts w:ascii="Arial Narrow" w:eastAsia="Times New Roman" w:hAnsi="Arial Narrow"/>
                <w:noProof w:val="0"/>
                <w:snapToGrid w:val="0"/>
                <w:sz w:val="20"/>
                <w:szCs w:val="20"/>
              </w:rPr>
              <w:t>Severe</w:t>
            </w:r>
          </w:p>
        </w:tc>
        <w:tc>
          <w:tcPr>
            <w:tcW w:w="1134" w:type="dxa"/>
            <w:vAlign w:val="bottom"/>
          </w:tcPr>
          <w:p w:rsidR="00642003" w:rsidRPr="00FA27CE" w:rsidRDefault="00FA27CE" w:rsidP="000D677C">
            <w:pPr>
              <w:pStyle w:val="TableText1"/>
              <w:jc w:val="center"/>
              <w:rPr>
                <w:rFonts w:ascii="Arial Narrow" w:eastAsia="Times New Roman" w:hAnsi="Arial Narrow"/>
                <w:noProof w:val="0"/>
                <w:snapToGrid w:val="0"/>
                <w:sz w:val="20"/>
                <w:szCs w:val="20"/>
                <w:highlight w:val="black"/>
              </w:rPr>
            </w:pPr>
            <w:r>
              <w:rPr>
                <w:rFonts w:ascii="Arial Narrow" w:eastAsia="Times New Roman" w:hAnsi="Arial Narrow"/>
                <w:snapToGrid w:val="0"/>
                <w:color w:val="000000"/>
                <w:sz w:val="20"/>
                <w:szCs w:val="20"/>
                <w:highlight w:val="black"/>
              </w:rPr>
              <w:t>''''''''''''''''</w:t>
            </w:r>
          </w:p>
        </w:tc>
        <w:tc>
          <w:tcPr>
            <w:tcW w:w="1134" w:type="dxa"/>
            <w:vAlign w:val="bottom"/>
          </w:tcPr>
          <w:p w:rsidR="00642003" w:rsidRPr="00FA27CE" w:rsidRDefault="00FA27CE" w:rsidP="000D677C">
            <w:pPr>
              <w:pStyle w:val="TableText1"/>
              <w:jc w:val="center"/>
              <w:rPr>
                <w:rFonts w:ascii="Arial Narrow" w:eastAsia="Times New Roman" w:hAnsi="Arial Narrow"/>
                <w:noProof w:val="0"/>
                <w:snapToGrid w:val="0"/>
                <w:sz w:val="20"/>
                <w:szCs w:val="20"/>
                <w:highlight w:val="black"/>
              </w:rPr>
            </w:pPr>
            <w:r>
              <w:rPr>
                <w:rFonts w:ascii="Arial Narrow" w:eastAsia="Times New Roman" w:hAnsi="Arial Narrow"/>
                <w:snapToGrid w:val="0"/>
                <w:color w:val="000000"/>
                <w:sz w:val="20"/>
                <w:szCs w:val="20"/>
                <w:highlight w:val="black"/>
              </w:rPr>
              <w:t>''''''''''''''''</w:t>
            </w:r>
          </w:p>
        </w:tc>
        <w:tc>
          <w:tcPr>
            <w:tcW w:w="1134" w:type="dxa"/>
            <w:tcBorders>
              <w:right w:val="double" w:sz="4" w:space="0" w:color="auto"/>
            </w:tcBorders>
            <w:vAlign w:val="bottom"/>
          </w:tcPr>
          <w:p w:rsidR="00642003" w:rsidRPr="00FA27CE" w:rsidRDefault="00FA27CE" w:rsidP="000D677C">
            <w:pPr>
              <w:pStyle w:val="TableText1"/>
              <w:jc w:val="center"/>
              <w:rPr>
                <w:rFonts w:ascii="Arial Narrow" w:eastAsia="Times New Roman" w:hAnsi="Arial Narrow"/>
                <w:noProof w:val="0"/>
                <w:snapToGrid w:val="0"/>
                <w:sz w:val="20"/>
                <w:szCs w:val="20"/>
                <w:highlight w:val="black"/>
              </w:rPr>
            </w:pPr>
            <w:r>
              <w:rPr>
                <w:rFonts w:ascii="Arial Narrow" w:eastAsia="Times New Roman" w:hAnsi="Arial Narrow"/>
                <w:snapToGrid w:val="0"/>
                <w:color w:val="000000"/>
                <w:sz w:val="20"/>
                <w:szCs w:val="20"/>
                <w:highlight w:val="black"/>
              </w:rPr>
              <w:t>'''''''''''''''''</w:t>
            </w:r>
          </w:p>
        </w:tc>
        <w:tc>
          <w:tcPr>
            <w:tcW w:w="1134" w:type="dxa"/>
            <w:tcBorders>
              <w:left w:val="double" w:sz="4" w:space="0" w:color="auto"/>
            </w:tcBorders>
            <w:vAlign w:val="bottom"/>
          </w:tcPr>
          <w:p w:rsidR="00642003" w:rsidRPr="00FA27CE" w:rsidRDefault="00FA27CE" w:rsidP="000D677C">
            <w:pPr>
              <w:pStyle w:val="TableText1"/>
              <w:jc w:val="center"/>
              <w:rPr>
                <w:rFonts w:ascii="Arial Narrow" w:eastAsia="Times New Roman" w:hAnsi="Arial Narrow"/>
                <w:noProof w:val="0"/>
                <w:snapToGrid w:val="0"/>
                <w:sz w:val="20"/>
                <w:szCs w:val="20"/>
                <w:highlight w:val="black"/>
              </w:rPr>
            </w:pPr>
            <w:r>
              <w:rPr>
                <w:rFonts w:ascii="Arial Narrow" w:eastAsia="Times New Roman" w:hAnsi="Arial Narrow"/>
                <w:snapToGrid w:val="0"/>
                <w:color w:val="000000"/>
                <w:sz w:val="20"/>
                <w:szCs w:val="20"/>
                <w:highlight w:val="black"/>
              </w:rPr>
              <w:t>''''''''''''''''</w:t>
            </w:r>
          </w:p>
        </w:tc>
        <w:tc>
          <w:tcPr>
            <w:tcW w:w="1134" w:type="dxa"/>
            <w:vAlign w:val="bottom"/>
          </w:tcPr>
          <w:p w:rsidR="00642003" w:rsidRPr="00FA27CE" w:rsidRDefault="00FA27CE" w:rsidP="000D677C">
            <w:pPr>
              <w:pStyle w:val="TableText1"/>
              <w:jc w:val="center"/>
              <w:rPr>
                <w:rFonts w:ascii="Arial Narrow" w:eastAsia="Times New Roman" w:hAnsi="Arial Narrow"/>
                <w:noProof w:val="0"/>
                <w:snapToGrid w:val="0"/>
                <w:sz w:val="20"/>
                <w:szCs w:val="20"/>
                <w:highlight w:val="black"/>
              </w:rPr>
            </w:pPr>
            <w:r>
              <w:rPr>
                <w:rFonts w:ascii="Arial Narrow" w:eastAsia="Times New Roman" w:hAnsi="Arial Narrow"/>
                <w:snapToGrid w:val="0"/>
                <w:color w:val="000000"/>
                <w:sz w:val="20"/>
                <w:szCs w:val="20"/>
                <w:highlight w:val="black"/>
              </w:rPr>
              <w:t>'''''''''''''''</w:t>
            </w:r>
          </w:p>
        </w:tc>
        <w:tc>
          <w:tcPr>
            <w:tcW w:w="993" w:type="dxa"/>
            <w:vAlign w:val="bottom"/>
          </w:tcPr>
          <w:p w:rsidR="00642003" w:rsidRPr="00FA27CE" w:rsidRDefault="00FA27CE" w:rsidP="000D677C">
            <w:pPr>
              <w:pStyle w:val="TableText1"/>
              <w:jc w:val="center"/>
              <w:rPr>
                <w:rFonts w:ascii="Arial Narrow" w:eastAsia="Times New Roman" w:hAnsi="Arial Narrow"/>
                <w:noProof w:val="0"/>
                <w:snapToGrid w:val="0"/>
                <w:sz w:val="20"/>
                <w:szCs w:val="20"/>
                <w:highlight w:val="black"/>
              </w:rPr>
            </w:pPr>
            <w:r>
              <w:rPr>
                <w:rFonts w:ascii="Arial Narrow" w:eastAsia="Times New Roman" w:hAnsi="Arial Narrow"/>
                <w:snapToGrid w:val="0"/>
                <w:color w:val="000000"/>
                <w:sz w:val="20"/>
                <w:szCs w:val="20"/>
                <w:highlight w:val="black"/>
              </w:rPr>
              <w:t>'''''''''''''''''</w:t>
            </w:r>
          </w:p>
        </w:tc>
      </w:tr>
      <w:tr w:rsidR="00642003" w:rsidRPr="004C4E0C" w:rsidTr="004A51E1">
        <w:tc>
          <w:tcPr>
            <w:tcW w:w="709" w:type="dxa"/>
          </w:tcPr>
          <w:p w:rsidR="00642003" w:rsidRPr="002A097C" w:rsidRDefault="00642003" w:rsidP="000D677C">
            <w:pPr>
              <w:pStyle w:val="TableText1"/>
              <w:rPr>
                <w:rFonts w:ascii="Arial Narrow" w:eastAsia="Times New Roman" w:hAnsi="Arial Narrow"/>
                <w:b/>
                <w:noProof w:val="0"/>
                <w:snapToGrid w:val="0"/>
                <w:sz w:val="20"/>
                <w:szCs w:val="20"/>
              </w:rPr>
            </w:pPr>
            <w:r w:rsidRPr="002A097C">
              <w:rPr>
                <w:rFonts w:ascii="Arial Narrow" w:eastAsia="Times New Roman" w:hAnsi="Arial Narrow"/>
                <w:b/>
                <w:noProof w:val="0"/>
                <w:snapToGrid w:val="0"/>
                <w:sz w:val="20"/>
                <w:szCs w:val="20"/>
              </w:rPr>
              <w:t>Placebo/TA</w:t>
            </w:r>
          </w:p>
        </w:tc>
        <w:tc>
          <w:tcPr>
            <w:tcW w:w="992" w:type="dxa"/>
          </w:tcPr>
          <w:p w:rsidR="00642003" w:rsidRPr="004C4E0C" w:rsidRDefault="00642003" w:rsidP="000D677C">
            <w:pPr>
              <w:pStyle w:val="TableText1"/>
              <w:rPr>
                <w:rFonts w:ascii="Arial Narrow" w:eastAsia="Times New Roman" w:hAnsi="Arial Narrow"/>
                <w:noProof w:val="0"/>
                <w:snapToGrid w:val="0"/>
                <w:sz w:val="20"/>
                <w:szCs w:val="20"/>
              </w:rPr>
            </w:pPr>
            <w:r>
              <w:rPr>
                <w:rFonts w:ascii="Arial Narrow" w:eastAsia="Times New Roman" w:hAnsi="Arial Narrow"/>
                <w:noProof w:val="0"/>
                <w:snapToGrid w:val="0"/>
                <w:sz w:val="20"/>
                <w:szCs w:val="20"/>
              </w:rPr>
              <w:t>Moderate</w:t>
            </w:r>
          </w:p>
        </w:tc>
        <w:tc>
          <w:tcPr>
            <w:tcW w:w="1134" w:type="dxa"/>
            <w:vAlign w:val="bottom"/>
          </w:tcPr>
          <w:p w:rsidR="00642003" w:rsidRPr="00FA27CE" w:rsidRDefault="00FA27CE" w:rsidP="000D677C">
            <w:pPr>
              <w:pStyle w:val="TableText1"/>
              <w:jc w:val="center"/>
              <w:rPr>
                <w:rFonts w:ascii="Arial Narrow" w:eastAsia="Times New Roman" w:hAnsi="Arial Narrow"/>
                <w:noProof w:val="0"/>
                <w:snapToGrid w:val="0"/>
                <w:sz w:val="20"/>
                <w:szCs w:val="20"/>
                <w:highlight w:val="black"/>
              </w:rPr>
            </w:pPr>
            <w:r>
              <w:rPr>
                <w:rFonts w:ascii="Arial Narrow" w:eastAsia="Times New Roman" w:hAnsi="Arial Narrow"/>
                <w:snapToGrid w:val="0"/>
                <w:color w:val="000000"/>
                <w:sz w:val="20"/>
                <w:szCs w:val="20"/>
                <w:highlight w:val="black"/>
              </w:rPr>
              <w:t>'''''''''''''''''</w:t>
            </w:r>
          </w:p>
        </w:tc>
        <w:tc>
          <w:tcPr>
            <w:tcW w:w="1134" w:type="dxa"/>
            <w:vAlign w:val="bottom"/>
          </w:tcPr>
          <w:p w:rsidR="00642003" w:rsidRPr="00FA27CE" w:rsidRDefault="00FA27CE" w:rsidP="000D677C">
            <w:pPr>
              <w:pStyle w:val="TableText1"/>
              <w:jc w:val="center"/>
              <w:rPr>
                <w:rFonts w:ascii="Arial Narrow" w:eastAsia="Times New Roman" w:hAnsi="Arial Narrow"/>
                <w:noProof w:val="0"/>
                <w:snapToGrid w:val="0"/>
                <w:sz w:val="20"/>
                <w:szCs w:val="20"/>
                <w:highlight w:val="black"/>
              </w:rPr>
            </w:pPr>
            <w:r>
              <w:rPr>
                <w:rFonts w:ascii="Arial Narrow" w:eastAsia="Times New Roman" w:hAnsi="Arial Narrow"/>
                <w:snapToGrid w:val="0"/>
                <w:color w:val="000000"/>
                <w:sz w:val="20"/>
                <w:szCs w:val="20"/>
                <w:highlight w:val="black"/>
              </w:rPr>
              <w:t>'''''''''''''''''</w:t>
            </w:r>
          </w:p>
        </w:tc>
        <w:tc>
          <w:tcPr>
            <w:tcW w:w="1134" w:type="dxa"/>
            <w:tcBorders>
              <w:right w:val="double" w:sz="4" w:space="0" w:color="auto"/>
            </w:tcBorders>
            <w:vAlign w:val="bottom"/>
          </w:tcPr>
          <w:p w:rsidR="00642003" w:rsidRPr="00FA27CE" w:rsidRDefault="00FA27CE" w:rsidP="000D677C">
            <w:pPr>
              <w:pStyle w:val="TableText1"/>
              <w:jc w:val="center"/>
              <w:rPr>
                <w:rFonts w:ascii="Arial Narrow" w:eastAsia="Times New Roman" w:hAnsi="Arial Narrow"/>
                <w:noProof w:val="0"/>
                <w:snapToGrid w:val="0"/>
                <w:sz w:val="20"/>
                <w:szCs w:val="20"/>
                <w:highlight w:val="black"/>
              </w:rPr>
            </w:pPr>
            <w:r>
              <w:rPr>
                <w:rFonts w:ascii="Arial Narrow" w:eastAsia="Times New Roman" w:hAnsi="Arial Narrow"/>
                <w:snapToGrid w:val="0"/>
                <w:color w:val="000000"/>
                <w:sz w:val="20"/>
                <w:szCs w:val="20"/>
                <w:highlight w:val="black"/>
              </w:rPr>
              <w:t>'''''''''''''''</w:t>
            </w:r>
          </w:p>
        </w:tc>
        <w:tc>
          <w:tcPr>
            <w:tcW w:w="1134" w:type="dxa"/>
            <w:tcBorders>
              <w:left w:val="double" w:sz="4" w:space="0" w:color="auto"/>
            </w:tcBorders>
            <w:vAlign w:val="bottom"/>
          </w:tcPr>
          <w:p w:rsidR="00642003" w:rsidRPr="00FA27CE" w:rsidRDefault="00FA27CE" w:rsidP="000D677C">
            <w:pPr>
              <w:pStyle w:val="TableText1"/>
              <w:jc w:val="center"/>
              <w:rPr>
                <w:rFonts w:ascii="Arial Narrow" w:eastAsia="Times New Roman" w:hAnsi="Arial Narrow"/>
                <w:noProof w:val="0"/>
                <w:snapToGrid w:val="0"/>
                <w:sz w:val="20"/>
                <w:szCs w:val="20"/>
                <w:highlight w:val="black"/>
              </w:rPr>
            </w:pPr>
            <w:r>
              <w:rPr>
                <w:rFonts w:ascii="Arial Narrow" w:eastAsia="Times New Roman" w:hAnsi="Arial Narrow"/>
                <w:snapToGrid w:val="0"/>
                <w:color w:val="000000"/>
                <w:sz w:val="20"/>
                <w:szCs w:val="20"/>
                <w:highlight w:val="black"/>
              </w:rPr>
              <w:t>''''''''''''''''</w:t>
            </w:r>
          </w:p>
        </w:tc>
        <w:tc>
          <w:tcPr>
            <w:tcW w:w="1134" w:type="dxa"/>
            <w:vAlign w:val="bottom"/>
          </w:tcPr>
          <w:p w:rsidR="00642003" w:rsidRPr="00FA27CE" w:rsidRDefault="00FA27CE" w:rsidP="000D677C">
            <w:pPr>
              <w:pStyle w:val="TableText1"/>
              <w:jc w:val="center"/>
              <w:rPr>
                <w:rFonts w:ascii="Arial Narrow" w:eastAsia="Times New Roman" w:hAnsi="Arial Narrow"/>
                <w:noProof w:val="0"/>
                <w:snapToGrid w:val="0"/>
                <w:sz w:val="20"/>
                <w:szCs w:val="20"/>
                <w:highlight w:val="black"/>
              </w:rPr>
            </w:pPr>
            <w:r>
              <w:rPr>
                <w:rFonts w:ascii="Arial Narrow" w:eastAsia="Times New Roman" w:hAnsi="Arial Narrow"/>
                <w:snapToGrid w:val="0"/>
                <w:color w:val="000000"/>
                <w:sz w:val="20"/>
                <w:szCs w:val="20"/>
                <w:highlight w:val="black"/>
              </w:rPr>
              <w:t>''''''''''''''''''</w:t>
            </w:r>
          </w:p>
        </w:tc>
        <w:tc>
          <w:tcPr>
            <w:tcW w:w="993" w:type="dxa"/>
            <w:vAlign w:val="bottom"/>
          </w:tcPr>
          <w:p w:rsidR="00642003" w:rsidRPr="00FA27CE" w:rsidRDefault="00FA27CE" w:rsidP="000D677C">
            <w:pPr>
              <w:pStyle w:val="TableText1"/>
              <w:jc w:val="center"/>
              <w:rPr>
                <w:rFonts w:ascii="Arial Narrow" w:eastAsia="Times New Roman" w:hAnsi="Arial Narrow"/>
                <w:noProof w:val="0"/>
                <w:snapToGrid w:val="0"/>
                <w:sz w:val="20"/>
                <w:szCs w:val="20"/>
                <w:highlight w:val="black"/>
              </w:rPr>
            </w:pPr>
            <w:r>
              <w:rPr>
                <w:rFonts w:ascii="Arial Narrow" w:eastAsia="Times New Roman" w:hAnsi="Arial Narrow"/>
                <w:snapToGrid w:val="0"/>
                <w:color w:val="000000"/>
                <w:sz w:val="20"/>
                <w:szCs w:val="20"/>
                <w:highlight w:val="black"/>
              </w:rPr>
              <w:t>'''''''''''''''''</w:t>
            </w:r>
          </w:p>
        </w:tc>
      </w:tr>
      <w:tr w:rsidR="00642003" w:rsidRPr="004C4E0C" w:rsidTr="004A51E1">
        <w:tc>
          <w:tcPr>
            <w:tcW w:w="709" w:type="dxa"/>
          </w:tcPr>
          <w:p w:rsidR="00642003" w:rsidRPr="002A097C" w:rsidRDefault="00642003" w:rsidP="000D677C">
            <w:pPr>
              <w:pStyle w:val="TableText1"/>
              <w:rPr>
                <w:rFonts w:ascii="Arial Narrow" w:eastAsia="Times New Roman" w:hAnsi="Arial Narrow"/>
                <w:b/>
                <w:noProof w:val="0"/>
                <w:snapToGrid w:val="0"/>
                <w:sz w:val="20"/>
                <w:szCs w:val="20"/>
              </w:rPr>
            </w:pPr>
          </w:p>
        </w:tc>
        <w:tc>
          <w:tcPr>
            <w:tcW w:w="992" w:type="dxa"/>
          </w:tcPr>
          <w:p w:rsidR="00642003" w:rsidRPr="004C4E0C" w:rsidRDefault="00642003" w:rsidP="000D677C">
            <w:pPr>
              <w:pStyle w:val="TableText1"/>
              <w:rPr>
                <w:rFonts w:ascii="Arial Narrow" w:eastAsia="Times New Roman" w:hAnsi="Arial Narrow"/>
                <w:noProof w:val="0"/>
                <w:snapToGrid w:val="0"/>
                <w:sz w:val="20"/>
                <w:szCs w:val="20"/>
              </w:rPr>
            </w:pPr>
            <w:r>
              <w:rPr>
                <w:rFonts w:ascii="Arial Narrow" w:eastAsia="Times New Roman" w:hAnsi="Arial Narrow"/>
                <w:noProof w:val="0"/>
                <w:snapToGrid w:val="0"/>
                <w:sz w:val="20"/>
                <w:szCs w:val="20"/>
              </w:rPr>
              <w:t>Severe</w:t>
            </w:r>
          </w:p>
        </w:tc>
        <w:tc>
          <w:tcPr>
            <w:tcW w:w="1134" w:type="dxa"/>
            <w:vAlign w:val="bottom"/>
          </w:tcPr>
          <w:p w:rsidR="00642003" w:rsidRPr="00FA27CE" w:rsidRDefault="00FA27CE" w:rsidP="000D677C">
            <w:pPr>
              <w:pStyle w:val="TableText1"/>
              <w:jc w:val="center"/>
              <w:rPr>
                <w:rFonts w:ascii="Arial Narrow" w:eastAsia="Times New Roman" w:hAnsi="Arial Narrow"/>
                <w:noProof w:val="0"/>
                <w:snapToGrid w:val="0"/>
                <w:sz w:val="20"/>
                <w:szCs w:val="20"/>
                <w:highlight w:val="black"/>
              </w:rPr>
            </w:pPr>
            <w:r>
              <w:rPr>
                <w:rFonts w:ascii="Arial Narrow" w:eastAsia="Times New Roman" w:hAnsi="Arial Narrow"/>
                <w:snapToGrid w:val="0"/>
                <w:color w:val="000000"/>
                <w:sz w:val="20"/>
                <w:szCs w:val="20"/>
                <w:highlight w:val="black"/>
              </w:rPr>
              <w:t>''''''''''''''''</w:t>
            </w:r>
          </w:p>
        </w:tc>
        <w:tc>
          <w:tcPr>
            <w:tcW w:w="1134" w:type="dxa"/>
            <w:vAlign w:val="bottom"/>
          </w:tcPr>
          <w:p w:rsidR="00642003" w:rsidRPr="00FA27CE" w:rsidRDefault="00FA27CE" w:rsidP="000D677C">
            <w:pPr>
              <w:pStyle w:val="TableText1"/>
              <w:jc w:val="center"/>
              <w:rPr>
                <w:rFonts w:ascii="Arial Narrow" w:eastAsia="Times New Roman" w:hAnsi="Arial Narrow"/>
                <w:noProof w:val="0"/>
                <w:snapToGrid w:val="0"/>
                <w:sz w:val="20"/>
                <w:szCs w:val="20"/>
                <w:highlight w:val="black"/>
              </w:rPr>
            </w:pPr>
            <w:r>
              <w:rPr>
                <w:rFonts w:ascii="Arial Narrow" w:eastAsia="Times New Roman" w:hAnsi="Arial Narrow"/>
                <w:snapToGrid w:val="0"/>
                <w:color w:val="000000"/>
                <w:sz w:val="20"/>
                <w:szCs w:val="20"/>
                <w:highlight w:val="black"/>
              </w:rPr>
              <w:t>'''''''''''''''</w:t>
            </w:r>
          </w:p>
        </w:tc>
        <w:tc>
          <w:tcPr>
            <w:tcW w:w="1134" w:type="dxa"/>
            <w:tcBorders>
              <w:right w:val="double" w:sz="4" w:space="0" w:color="auto"/>
            </w:tcBorders>
            <w:vAlign w:val="bottom"/>
          </w:tcPr>
          <w:p w:rsidR="00642003" w:rsidRPr="00FA27CE" w:rsidRDefault="00FA27CE" w:rsidP="000D677C">
            <w:pPr>
              <w:pStyle w:val="TableText1"/>
              <w:jc w:val="center"/>
              <w:rPr>
                <w:rFonts w:ascii="Arial Narrow" w:eastAsia="Times New Roman" w:hAnsi="Arial Narrow"/>
                <w:noProof w:val="0"/>
                <w:snapToGrid w:val="0"/>
                <w:sz w:val="20"/>
                <w:szCs w:val="20"/>
                <w:highlight w:val="black"/>
              </w:rPr>
            </w:pPr>
            <w:r>
              <w:rPr>
                <w:rFonts w:ascii="Arial Narrow" w:eastAsia="Times New Roman" w:hAnsi="Arial Narrow"/>
                <w:snapToGrid w:val="0"/>
                <w:color w:val="000000"/>
                <w:sz w:val="20"/>
                <w:szCs w:val="20"/>
                <w:highlight w:val="black"/>
              </w:rPr>
              <w:t>''''''''''''''''''</w:t>
            </w:r>
          </w:p>
        </w:tc>
        <w:tc>
          <w:tcPr>
            <w:tcW w:w="1134" w:type="dxa"/>
            <w:tcBorders>
              <w:left w:val="double" w:sz="4" w:space="0" w:color="auto"/>
            </w:tcBorders>
            <w:vAlign w:val="bottom"/>
          </w:tcPr>
          <w:p w:rsidR="00642003" w:rsidRPr="00FA27CE" w:rsidRDefault="00FA27CE" w:rsidP="000D677C">
            <w:pPr>
              <w:pStyle w:val="TableText1"/>
              <w:jc w:val="center"/>
              <w:rPr>
                <w:rFonts w:ascii="Arial Narrow" w:eastAsia="Times New Roman" w:hAnsi="Arial Narrow"/>
                <w:noProof w:val="0"/>
                <w:snapToGrid w:val="0"/>
                <w:sz w:val="20"/>
                <w:szCs w:val="20"/>
                <w:highlight w:val="black"/>
              </w:rPr>
            </w:pPr>
            <w:r>
              <w:rPr>
                <w:rFonts w:ascii="Arial Narrow" w:eastAsia="Times New Roman" w:hAnsi="Arial Narrow"/>
                <w:snapToGrid w:val="0"/>
                <w:color w:val="000000"/>
                <w:sz w:val="20"/>
                <w:szCs w:val="20"/>
                <w:highlight w:val="black"/>
              </w:rPr>
              <w:t>''''''''''''''''</w:t>
            </w:r>
          </w:p>
        </w:tc>
        <w:tc>
          <w:tcPr>
            <w:tcW w:w="1134" w:type="dxa"/>
            <w:vAlign w:val="bottom"/>
          </w:tcPr>
          <w:p w:rsidR="00642003" w:rsidRPr="00FA27CE" w:rsidRDefault="00FA27CE" w:rsidP="000D677C">
            <w:pPr>
              <w:pStyle w:val="TableText1"/>
              <w:jc w:val="center"/>
              <w:rPr>
                <w:rFonts w:ascii="Arial Narrow" w:eastAsia="Times New Roman" w:hAnsi="Arial Narrow"/>
                <w:noProof w:val="0"/>
                <w:snapToGrid w:val="0"/>
                <w:sz w:val="20"/>
                <w:szCs w:val="20"/>
                <w:highlight w:val="black"/>
              </w:rPr>
            </w:pPr>
            <w:r>
              <w:rPr>
                <w:rFonts w:ascii="Arial Narrow" w:eastAsia="Times New Roman" w:hAnsi="Arial Narrow"/>
                <w:snapToGrid w:val="0"/>
                <w:color w:val="000000"/>
                <w:sz w:val="20"/>
                <w:szCs w:val="20"/>
                <w:highlight w:val="black"/>
              </w:rPr>
              <w:t>''''''''''''''''</w:t>
            </w:r>
          </w:p>
        </w:tc>
        <w:tc>
          <w:tcPr>
            <w:tcW w:w="993" w:type="dxa"/>
            <w:vAlign w:val="bottom"/>
          </w:tcPr>
          <w:p w:rsidR="00642003" w:rsidRPr="00FA27CE" w:rsidRDefault="00FA27CE" w:rsidP="000D677C">
            <w:pPr>
              <w:pStyle w:val="TableText1"/>
              <w:jc w:val="center"/>
              <w:rPr>
                <w:rFonts w:ascii="Arial Narrow" w:eastAsia="Times New Roman" w:hAnsi="Arial Narrow"/>
                <w:noProof w:val="0"/>
                <w:snapToGrid w:val="0"/>
                <w:sz w:val="20"/>
                <w:szCs w:val="20"/>
                <w:highlight w:val="black"/>
              </w:rPr>
            </w:pPr>
            <w:r>
              <w:rPr>
                <w:rFonts w:ascii="Arial Narrow" w:eastAsia="Times New Roman" w:hAnsi="Arial Narrow"/>
                <w:snapToGrid w:val="0"/>
                <w:color w:val="000000"/>
                <w:sz w:val="20"/>
                <w:szCs w:val="20"/>
                <w:highlight w:val="black"/>
              </w:rPr>
              <w:t>''''''''''''''''</w:t>
            </w:r>
          </w:p>
        </w:tc>
      </w:tr>
    </w:tbl>
    <w:p w:rsidR="00642003" w:rsidRDefault="00642003" w:rsidP="004A51E1">
      <w:pPr>
        <w:pStyle w:val="TableFooter"/>
        <w:widowControl/>
        <w:ind w:firstLine="720"/>
      </w:pPr>
      <w:r w:rsidRPr="009A6831">
        <w:t>Sour</w:t>
      </w:r>
      <w:r w:rsidRPr="00D13A3E">
        <w:t xml:space="preserve">ce: </w:t>
      </w:r>
      <w:r w:rsidR="0056215C">
        <w:t>Table C.3.6 of the Commentary</w:t>
      </w:r>
      <w:r>
        <w:t>.</w:t>
      </w:r>
    </w:p>
    <w:p w:rsidR="00642003" w:rsidRDefault="00642003" w:rsidP="006D116A">
      <w:pPr>
        <w:pStyle w:val="TableFooter"/>
        <w:widowControl/>
        <w:ind w:firstLine="720"/>
      </w:pPr>
      <w:r>
        <w:t>TA=Tranexamic acid</w:t>
      </w:r>
    </w:p>
    <w:p w:rsidR="005573E4" w:rsidRPr="009E39F8" w:rsidRDefault="005573E4" w:rsidP="006D116A">
      <w:pPr>
        <w:pStyle w:val="TableFooter"/>
        <w:widowControl/>
        <w:ind w:firstLine="720"/>
      </w:pPr>
    </w:p>
    <w:p w:rsidR="009A4308" w:rsidRPr="009E39F8" w:rsidRDefault="009A4308" w:rsidP="00B13724">
      <w:pPr>
        <w:pStyle w:val="Heading2"/>
      </w:pPr>
      <w:bookmarkStart w:id="19" w:name="_Toc440902203"/>
      <w:bookmarkStart w:id="20" w:name="_Toc461627652"/>
      <w:r w:rsidRPr="009E39F8">
        <w:t>Comparative harms</w:t>
      </w:r>
      <w:bookmarkEnd w:id="19"/>
      <w:bookmarkEnd w:id="20"/>
    </w:p>
    <w:p w:rsidR="002D0DB7" w:rsidRPr="009E39F8" w:rsidRDefault="002D0DB7" w:rsidP="000075D9">
      <w:pPr>
        <w:widowControl/>
      </w:pPr>
    </w:p>
    <w:p w:rsidR="009A4308" w:rsidRDefault="009A4308" w:rsidP="00E94114">
      <w:pPr>
        <w:pStyle w:val="ListParagraph"/>
        <w:widowControl/>
        <w:numPr>
          <w:ilvl w:val="1"/>
          <w:numId w:val="2"/>
        </w:numPr>
      </w:pPr>
      <w:r w:rsidRPr="009E39F8">
        <w:t xml:space="preserve">A summary of </w:t>
      </w:r>
      <w:r w:rsidR="0060223C" w:rsidRPr="009E39F8">
        <w:t xml:space="preserve">the </w:t>
      </w:r>
      <w:r w:rsidRPr="009E39F8">
        <w:t>adverse events</w:t>
      </w:r>
      <w:r>
        <w:t xml:space="preserve"> from FAST-1, FAST-2 and FAST-3 </w:t>
      </w:r>
      <w:r w:rsidR="0060223C">
        <w:t xml:space="preserve">is </w:t>
      </w:r>
      <w:r>
        <w:t xml:space="preserve">presented in Table </w:t>
      </w:r>
      <w:r w:rsidR="0056215C">
        <w:t>3</w:t>
      </w:r>
      <w:r>
        <w:t xml:space="preserve">. The most commonly reported adverse drug reaction </w:t>
      </w:r>
      <w:r w:rsidR="0060223C">
        <w:t>wa</w:t>
      </w:r>
      <w:r>
        <w:t>s injection site reactions.</w:t>
      </w:r>
    </w:p>
    <w:p w:rsidR="009A4308" w:rsidRDefault="009A4308" w:rsidP="000075D9">
      <w:pPr>
        <w:widowControl/>
        <w:ind w:left="709"/>
        <w:rPr>
          <w:u w:val="single"/>
        </w:rPr>
      </w:pPr>
    </w:p>
    <w:p w:rsidR="009A4308" w:rsidRPr="002432A6" w:rsidRDefault="009A4308" w:rsidP="000075D9">
      <w:pPr>
        <w:keepNext/>
        <w:widowControl/>
        <w:ind w:left="709"/>
        <w:rPr>
          <w:rFonts w:ascii="Arial Narrow" w:hAnsi="Arial Narrow"/>
          <w:b/>
          <w:sz w:val="20"/>
        </w:rPr>
      </w:pPr>
      <w:r>
        <w:rPr>
          <w:rFonts w:ascii="Arial Narrow" w:hAnsi="Arial Narrow"/>
          <w:b/>
          <w:sz w:val="20"/>
        </w:rPr>
        <w:lastRenderedPageBreak/>
        <w:t xml:space="preserve">Table </w:t>
      </w:r>
      <w:r w:rsidR="0056215C">
        <w:rPr>
          <w:rFonts w:ascii="Arial Narrow" w:hAnsi="Arial Narrow"/>
          <w:b/>
          <w:sz w:val="20"/>
        </w:rPr>
        <w:t>3</w:t>
      </w:r>
      <w:r w:rsidRPr="002432A6">
        <w:rPr>
          <w:rFonts w:ascii="Arial Narrow" w:hAnsi="Arial Narrow"/>
          <w:b/>
          <w:sz w:val="20"/>
        </w:rPr>
        <w:t>: Summary of clinical adverse events</w:t>
      </w:r>
    </w:p>
    <w:tbl>
      <w:tblPr>
        <w:tblW w:w="4580" w:type="pct"/>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7"/>
        <w:gridCol w:w="489"/>
        <w:gridCol w:w="1400"/>
        <w:gridCol w:w="953"/>
        <w:gridCol w:w="1052"/>
        <w:gridCol w:w="1091"/>
        <w:gridCol w:w="1622"/>
        <w:gridCol w:w="853"/>
      </w:tblGrid>
      <w:tr w:rsidR="009A4308" w:rsidRPr="00864057" w:rsidTr="00B047A0">
        <w:trPr>
          <w:trHeight w:val="465"/>
          <w:tblHeader/>
        </w:trPr>
        <w:tc>
          <w:tcPr>
            <w:tcW w:w="594"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Heading0"/>
              <w:keepNext/>
              <w:spacing w:before="0" w:after="0"/>
              <w:rPr>
                <w:rFonts w:ascii="Arial Narrow" w:hAnsi="Arial Narrow" w:cs="Arial"/>
                <w:snapToGrid w:val="0"/>
                <w:szCs w:val="20"/>
              </w:rPr>
            </w:pPr>
            <w:r w:rsidRPr="00864057">
              <w:rPr>
                <w:rFonts w:ascii="Arial Narrow" w:hAnsi="Arial Narrow" w:cs="Arial"/>
                <w:snapToGrid w:val="0"/>
                <w:szCs w:val="20"/>
              </w:rPr>
              <w:t>Trial ID</w:t>
            </w:r>
          </w:p>
          <w:p w:rsidR="009A4308" w:rsidRPr="00864057" w:rsidRDefault="009A4308" w:rsidP="000075D9">
            <w:pPr>
              <w:pStyle w:val="TableHeading0"/>
              <w:keepNext/>
              <w:spacing w:before="0" w:after="0"/>
              <w:rPr>
                <w:rFonts w:ascii="Arial Narrow" w:hAnsi="Arial Narrow" w:cs="Arial"/>
                <w:snapToGrid w:val="0"/>
                <w:szCs w:val="20"/>
              </w:rPr>
            </w:pPr>
            <w:r w:rsidRPr="00864057">
              <w:rPr>
                <w:rFonts w:ascii="Arial Narrow" w:hAnsi="Arial Narrow" w:cs="Arial"/>
                <w:snapToGrid w:val="0"/>
                <w:szCs w:val="20"/>
              </w:rPr>
              <w:t>Dose group</w:t>
            </w:r>
          </w:p>
        </w:tc>
        <w:tc>
          <w:tcPr>
            <w:tcW w:w="289"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Heading0"/>
              <w:keepNext/>
              <w:spacing w:before="0" w:after="0"/>
              <w:rPr>
                <w:rFonts w:ascii="Arial Narrow" w:hAnsi="Arial Narrow" w:cs="Arial"/>
                <w:snapToGrid w:val="0"/>
                <w:szCs w:val="20"/>
              </w:rPr>
            </w:pPr>
            <w:r w:rsidRPr="00864057">
              <w:rPr>
                <w:rFonts w:ascii="Arial Narrow" w:hAnsi="Arial Narrow" w:cs="Arial"/>
                <w:snapToGrid w:val="0"/>
                <w:szCs w:val="20"/>
              </w:rPr>
              <w:t>N</w:t>
            </w:r>
          </w:p>
        </w:tc>
        <w:tc>
          <w:tcPr>
            <w:tcW w:w="827"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Heading0"/>
              <w:keepNext/>
              <w:spacing w:before="0" w:after="0"/>
              <w:rPr>
                <w:rFonts w:ascii="Arial Narrow" w:hAnsi="Arial Narrow" w:cs="Arial"/>
                <w:snapToGrid w:val="0"/>
                <w:szCs w:val="20"/>
              </w:rPr>
            </w:pPr>
            <w:r w:rsidRPr="00864057">
              <w:rPr>
                <w:rFonts w:ascii="Arial Narrow" w:hAnsi="Arial Narrow" w:cs="Arial"/>
                <w:snapToGrid w:val="0"/>
                <w:szCs w:val="20"/>
              </w:rPr>
              <w:t>Symptoms at injection site</w:t>
            </w:r>
          </w:p>
          <w:p w:rsidR="009A4308" w:rsidRPr="00864057" w:rsidRDefault="009A4308" w:rsidP="000075D9">
            <w:pPr>
              <w:pStyle w:val="TableHeading0"/>
              <w:keepNext/>
              <w:spacing w:before="0" w:after="0"/>
              <w:rPr>
                <w:rFonts w:ascii="Arial Narrow" w:hAnsi="Arial Narrow" w:cs="Arial"/>
                <w:snapToGrid w:val="0"/>
                <w:szCs w:val="20"/>
              </w:rPr>
            </w:pPr>
            <w:r w:rsidRPr="00864057">
              <w:rPr>
                <w:rFonts w:ascii="Arial Narrow" w:hAnsi="Arial Narrow" w:cs="Arial"/>
                <w:snapToGrid w:val="0"/>
                <w:szCs w:val="20"/>
              </w:rPr>
              <w:t>n (%)</w:t>
            </w:r>
          </w:p>
        </w:tc>
        <w:tc>
          <w:tcPr>
            <w:tcW w:w="563"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Heading0"/>
              <w:keepNext/>
              <w:spacing w:before="0" w:after="0"/>
              <w:rPr>
                <w:rFonts w:ascii="Arial Narrow" w:hAnsi="Arial Narrow" w:cs="Arial"/>
                <w:snapToGrid w:val="0"/>
                <w:szCs w:val="20"/>
              </w:rPr>
            </w:pPr>
            <w:r w:rsidRPr="00864057">
              <w:rPr>
                <w:rFonts w:ascii="Arial Narrow" w:hAnsi="Arial Narrow" w:cs="Arial"/>
                <w:snapToGrid w:val="0"/>
                <w:szCs w:val="20"/>
              </w:rPr>
              <w:t>Any adverse event</w:t>
            </w:r>
          </w:p>
          <w:p w:rsidR="009A4308" w:rsidRPr="00864057" w:rsidRDefault="009A4308" w:rsidP="000075D9">
            <w:pPr>
              <w:pStyle w:val="TableHeading0"/>
              <w:keepNext/>
              <w:spacing w:before="0" w:after="0"/>
              <w:rPr>
                <w:rFonts w:ascii="Arial Narrow" w:hAnsi="Arial Narrow" w:cs="Arial"/>
                <w:snapToGrid w:val="0"/>
                <w:szCs w:val="20"/>
              </w:rPr>
            </w:pPr>
            <w:r w:rsidRPr="00864057">
              <w:rPr>
                <w:rFonts w:ascii="Arial Narrow" w:hAnsi="Arial Narrow" w:cs="Arial"/>
                <w:snapToGrid w:val="0"/>
                <w:szCs w:val="20"/>
              </w:rPr>
              <w:t>n (%)</w:t>
            </w:r>
            <w:r w:rsidRPr="00864057">
              <w:rPr>
                <w:rFonts w:ascii="Arial Narrow" w:hAnsi="Arial Narrow" w:cs="Arial"/>
                <w:snapToGrid w:val="0"/>
                <w:szCs w:val="20"/>
                <w:vertAlign w:val="superscript"/>
              </w:rPr>
              <w:t>a</w:t>
            </w:r>
          </w:p>
        </w:tc>
        <w:tc>
          <w:tcPr>
            <w:tcW w:w="621"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Heading0"/>
              <w:keepNext/>
              <w:spacing w:before="0" w:after="0"/>
              <w:rPr>
                <w:rFonts w:ascii="Arial Narrow" w:hAnsi="Arial Narrow" w:cs="Arial"/>
                <w:snapToGrid w:val="0"/>
                <w:szCs w:val="20"/>
              </w:rPr>
            </w:pPr>
            <w:r w:rsidRPr="00864057">
              <w:rPr>
                <w:rFonts w:ascii="Arial Narrow" w:hAnsi="Arial Narrow" w:cs="Arial"/>
                <w:snapToGrid w:val="0"/>
                <w:szCs w:val="20"/>
              </w:rPr>
              <w:t>Serious event</w:t>
            </w:r>
          </w:p>
          <w:p w:rsidR="009A4308" w:rsidRPr="00864057" w:rsidRDefault="009A4308" w:rsidP="000075D9">
            <w:pPr>
              <w:pStyle w:val="TableHeading0"/>
              <w:keepNext/>
              <w:spacing w:before="0" w:after="0"/>
              <w:rPr>
                <w:rFonts w:ascii="Arial Narrow" w:hAnsi="Arial Narrow" w:cs="Arial"/>
                <w:snapToGrid w:val="0"/>
                <w:szCs w:val="20"/>
              </w:rPr>
            </w:pPr>
            <w:r w:rsidRPr="00864057">
              <w:rPr>
                <w:rFonts w:ascii="Arial Narrow" w:hAnsi="Arial Narrow" w:cs="Arial"/>
                <w:snapToGrid w:val="0"/>
                <w:szCs w:val="20"/>
              </w:rPr>
              <w:t>n (%)</w:t>
            </w:r>
          </w:p>
        </w:tc>
        <w:tc>
          <w:tcPr>
            <w:tcW w:w="644" w:type="pct"/>
            <w:tcBorders>
              <w:top w:val="single" w:sz="4" w:space="0" w:color="auto"/>
              <w:left w:val="single" w:sz="4" w:space="0" w:color="auto"/>
              <w:bottom w:val="single" w:sz="4" w:space="0" w:color="auto"/>
              <w:right w:val="single" w:sz="4" w:space="0" w:color="auto"/>
            </w:tcBorders>
            <w:shd w:val="clear" w:color="auto" w:fill="auto"/>
          </w:tcPr>
          <w:p w:rsidR="009A4308" w:rsidRPr="00864057" w:rsidRDefault="009A4308" w:rsidP="000075D9">
            <w:pPr>
              <w:pStyle w:val="TableHeading0"/>
              <w:keepNext/>
              <w:spacing w:before="0" w:after="0"/>
              <w:rPr>
                <w:rFonts w:ascii="Arial Narrow" w:hAnsi="Arial Narrow" w:cs="Arial"/>
                <w:snapToGrid w:val="0"/>
                <w:szCs w:val="20"/>
              </w:rPr>
            </w:pPr>
            <w:r w:rsidRPr="00864057">
              <w:rPr>
                <w:rFonts w:ascii="Arial Narrow" w:hAnsi="Arial Narrow" w:cs="Arial"/>
                <w:snapToGrid w:val="0"/>
                <w:szCs w:val="20"/>
              </w:rPr>
              <w:t>Severe adverse event</w:t>
            </w:r>
          </w:p>
          <w:p w:rsidR="009A4308" w:rsidRPr="00864057" w:rsidRDefault="009A4308" w:rsidP="000075D9">
            <w:pPr>
              <w:pStyle w:val="TableHeading0"/>
              <w:keepNext/>
              <w:spacing w:before="0" w:after="0"/>
              <w:rPr>
                <w:rFonts w:ascii="Arial Narrow" w:hAnsi="Arial Narrow" w:cs="Arial"/>
                <w:snapToGrid w:val="0"/>
                <w:szCs w:val="20"/>
              </w:rPr>
            </w:pPr>
            <w:r w:rsidRPr="00864057">
              <w:rPr>
                <w:rFonts w:ascii="Arial Narrow" w:hAnsi="Arial Narrow" w:cs="Arial"/>
                <w:snapToGrid w:val="0"/>
                <w:szCs w:val="20"/>
              </w:rPr>
              <w:t>n (%)</w:t>
            </w:r>
          </w:p>
        </w:tc>
        <w:tc>
          <w:tcPr>
            <w:tcW w:w="958"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Heading0"/>
              <w:keepNext/>
              <w:spacing w:before="0" w:after="0"/>
              <w:rPr>
                <w:rFonts w:ascii="Arial Narrow" w:hAnsi="Arial Narrow" w:cs="Arial"/>
                <w:snapToGrid w:val="0"/>
                <w:szCs w:val="20"/>
              </w:rPr>
            </w:pPr>
            <w:r w:rsidRPr="00864057">
              <w:rPr>
                <w:rFonts w:ascii="Arial Narrow" w:hAnsi="Arial Narrow" w:cs="Arial"/>
                <w:snapToGrid w:val="0"/>
                <w:szCs w:val="20"/>
              </w:rPr>
              <w:t>Discontinuations due to adverse events</w:t>
            </w:r>
          </w:p>
          <w:p w:rsidR="009A4308" w:rsidRPr="00864057" w:rsidRDefault="009A4308" w:rsidP="000075D9">
            <w:pPr>
              <w:pStyle w:val="TableHeading0"/>
              <w:keepNext/>
              <w:spacing w:before="0" w:after="0"/>
              <w:rPr>
                <w:rFonts w:ascii="Arial Narrow" w:hAnsi="Arial Narrow" w:cs="Arial"/>
                <w:snapToGrid w:val="0"/>
                <w:szCs w:val="20"/>
              </w:rPr>
            </w:pPr>
            <w:r w:rsidRPr="00864057">
              <w:rPr>
                <w:rFonts w:ascii="Arial Narrow" w:hAnsi="Arial Narrow" w:cs="Arial"/>
                <w:snapToGrid w:val="0"/>
                <w:szCs w:val="20"/>
              </w:rPr>
              <w:t>n (%)</w:t>
            </w:r>
          </w:p>
        </w:tc>
        <w:tc>
          <w:tcPr>
            <w:tcW w:w="504"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Heading0"/>
              <w:keepNext/>
              <w:spacing w:before="0" w:after="0"/>
              <w:rPr>
                <w:rFonts w:ascii="Arial Narrow" w:hAnsi="Arial Narrow" w:cs="Arial"/>
                <w:snapToGrid w:val="0"/>
                <w:szCs w:val="20"/>
              </w:rPr>
            </w:pPr>
            <w:r w:rsidRPr="00864057">
              <w:rPr>
                <w:rFonts w:ascii="Arial Narrow" w:hAnsi="Arial Narrow" w:cs="Arial"/>
                <w:snapToGrid w:val="0"/>
                <w:szCs w:val="20"/>
              </w:rPr>
              <w:t>Death n (%)</w:t>
            </w:r>
          </w:p>
        </w:tc>
      </w:tr>
      <w:tr w:rsidR="009A4308" w:rsidRPr="00864057" w:rsidTr="00B047A0">
        <w:trPr>
          <w:trHeight w:val="123"/>
        </w:trPr>
        <w:tc>
          <w:tcPr>
            <w:tcW w:w="5000" w:type="pct"/>
            <w:gridSpan w:val="8"/>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rPr>
                <w:rFonts w:ascii="Arial Narrow" w:hAnsi="Arial Narrow" w:cs="Arial"/>
                <w:i/>
                <w:snapToGrid w:val="0"/>
              </w:rPr>
            </w:pPr>
            <w:r w:rsidRPr="00864057">
              <w:rPr>
                <w:rFonts w:ascii="Arial Narrow" w:hAnsi="Arial Narrow" w:cs="Arial"/>
                <w:b/>
                <w:smallCaps/>
                <w:snapToGrid w:val="0"/>
              </w:rPr>
              <w:t>FAST-1</w:t>
            </w:r>
          </w:p>
        </w:tc>
      </w:tr>
      <w:tr w:rsidR="009A4308" w:rsidRPr="00864057" w:rsidTr="00B047A0">
        <w:trPr>
          <w:trHeight w:val="55"/>
        </w:trPr>
        <w:tc>
          <w:tcPr>
            <w:tcW w:w="594"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rPr>
                <w:rFonts w:ascii="Arial Narrow" w:hAnsi="Arial Narrow" w:cs="Arial"/>
                <w:snapToGrid w:val="0"/>
              </w:rPr>
            </w:pPr>
            <w:r w:rsidRPr="00864057">
              <w:rPr>
                <w:rFonts w:ascii="Arial Narrow" w:hAnsi="Arial Narrow" w:cs="Arial"/>
                <w:snapToGrid w:val="0"/>
              </w:rPr>
              <w:t>Icatibant</w:t>
            </w:r>
          </w:p>
        </w:tc>
        <w:tc>
          <w:tcPr>
            <w:tcW w:w="289"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jc w:val="center"/>
              <w:rPr>
                <w:rFonts w:ascii="Arial Narrow" w:hAnsi="Arial Narrow" w:cs="Arial"/>
                <w:snapToGrid w:val="0"/>
              </w:rPr>
            </w:pPr>
            <w:r w:rsidRPr="00864057">
              <w:rPr>
                <w:rFonts w:ascii="Arial Narrow" w:hAnsi="Arial Narrow" w:cs="Arial"/>
                <w:snapToGrid w:val="0"/>
              </w:rPr>
              <w:t>27</w:t>
            </w:r>
          </w:p>
        </w:tc>
        <w:tc>
          <w:tcPr>
            <w:tcW w:w="827"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jc w:val="center"/>
              <w:rPr>
                <w:rFonts w:ascii="Arial Narrow" w:hAnsi="Arial Narrow" w:cs="Arial"/>
                <w:snapToGrid w:val="0"/>
              </w:rPr>
            </w:pPr>
            <w:r w:rsidRPr="00864057">
              <w:rPr>
                <w:rFonts w:ascii="Arial Narrow" w:hAnsi="Arial Narrow" w:cs="Arial"/>
                <w:snapToGrid w:val="0"/>
              </w:rPr>
              <w:t>26 (96.3)</w:t>
            </w:r>
          </w:p>
        </w:tc>
        <w:tc>
          <w:tcPr>
            <w:tcW w:w="563"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jc w:val="center"/>
              <w:rPr>
                <w:rFonts w:ascii="Arial Narrow" w:hAnsi="Arial Narrow" w:cs="Arial"/>
                <w:snapToGrid w:val="0"/>
              </w:rPr>
            </w:pPr>
            <w:r w:rsidRPr="00864057">
              <w:rPr>
                <w:rFonts w:ascii="Arial Narrow" w:hAnsi="Arial Narrow" w:cs="Arial"/>
                <w:snapToGrid w:val="0"/>
              </w:rPr>
              <w:t>11 (40.7)</w:t>
            </w:r>
          </w:p>
        </w:tc>
        <w:tc>
          <w:tcPr>
            <w:tcW w:w="621"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jc w:val="center"/>
              <w:rPr>
                <w:rFonts w:ascii="Arial Narrow" w:hAnsi="Arial Narrow" w:cs="Arial"/>
                <w:snapToGrid w:val="0"/>
              </w:rPr>
            </w:pPr>
            <w:r w:rsidRPr="00864057">
              <w:rPr>
                <w:rFonts w:ascii="Arial Narrow" w:hAnsi="Arial Narrow" w:cs="Arial"/>
                <w:snapToGrid w:val="0"/>
              </w:rPr>
              <w:t>0</w:t>
            </w:r>
          </w:p>
        </w:tc>
        <w:tc>
          <w:tcPr>
            <w:tcW w:w="644"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jc w:val="center"/>
              <w:rPr>
                <w:rFonts w:ascii="Arial Narrow" w:hAnsi="Arial Narrow" w:cs="Arial"/>
                <w:snapToGrid w:val="0"/>
              </w:rPr>
            </w:pPr>
            <w:r w:rsidRPr="00864057">
              <w:rPr>
                <w:rFonts w:ascii="Arial Narrow" w:hAnsi="Arial Narrow" w:cs="Arial"/>
                <w:snapToGrid w:val="0"/>
              </w:rPr>
              <w:t>2 (7.4)</w:t>
            </w:r>
          </w:p>
        </w:tc>
        <w:tc>
          <w:tcPr>
            <w:tcW w:w="958"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jc w:val="center"/>
              <w:rPr>
                <w:rFonts w:ascii="Arial Narrow" w:hAnsi="Arial Narrow" w:cs="Arial"/>
                <w:snapToGrid w:val="0"/>
              </w:rPr>
            </w:pPr>
            <w:r w:rsidRPr="00864057">
              <w:rPr>
                <w:rFonts w:ascii="Arial Narrow" w:hAnsi="Arial Narrow" w:cs="Arial"/>
                <w:snapToGrid w:val="0"/>
              </w:rPr>
              <w:t>0</w:t>
            </w:r>
          </w:p>
        </w:tc>
        <w:tc>
          <w:tcPr>
            <w:tcW w:w="504"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jc w:val="center"/>
              <w:rPr>
                <w:rFonts w:ascii="Arial Narrow" w:hAnsi="Arial Narrow" w:cs="Arial"/>
                <w:snapToGrid w:val="0"/>
              </w:rPr>
            </w:pPr>
            <w:r w:rsidRPr="00864057">
              <w:rPr>
                <w:rFonts w:ascii="Arial Narrow" w:hAnsi="Arial Narrow" w:cs="Arial"/>
                <w:snapToGrid w:val="0"/>
              </w:rPr>
              <w:t>0</w:t>
            </w:r>
          </w:p>
        </w:tc>
      </w:tr>
      <w:tr w:rsidR="009A4308" w:rsidRPr="00864057" w:rsidTr="00B047A0">
        <w:trPr>
          <w:trHeight w:val="55"/>
        </w:trPr>
        <w:tc>
          <w:tcPr>
            <w:tcW w:w="594"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rPr>
                <w:rFonts w:ascii="Arial Narrow" w:hAnsi="Arial Narrow" w:cs="Arial"/>
                <w:snapToGrid w:val="0"/>
              </w:rPr>
            </w:pPr>
            <w:r w:rsidRPr="00864057">
              <w:rPr>
                <w:rFonts w:ascii="Arial Narrow" w:hAnsi="Arial Narrow" w:cs="Arial"/>
                <w:snapToGrid w:val="0"/>
              </w:rPr>
              <w:t>PBO</w:t>
            </w:r>
          </w:p>
        </w:tc>
        <w:tc>
          <w:tcPr>
            <w:tcW w:w="289"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jc w:val="center"/>
              <w:rPr>
                <w:rFonts w:ascii="Arial Narrow" w:hAnsi="Arial Narrow" w:cs="Arial"/>
                <w:snapToGrid w:val="0"/>
              </w:rPr>
            </w:pPr>
            <w:r w:rsidRPr="00864057">
              <w:rPr>
                <w:rFonts w:ascii="Arial Narrow" w:hAnsi="Arial Narrow" w:cs="Arial"/>
                <w:snapToGrid w:val="0"/>
              </w:rPr>
              <w:t>29</w:t>
            </w:r>
          </w:p>
        </w:tc>
        <w:tc>
          <w:tcPr>
            <w:tcW w:w="827"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jc w:val="center"/>
              <w:rPr>
                <w:rFonts w:ascii="Arial Narrow" w:hAnsi="Arial Narrow" w:cs="Arial"/>
                <w:snapToGrid w:val="0"/>
              </w:rPr>
            </w:pPr>
            <w:r w:rsidRPr="00864057">
              <w:rPr>
                <w:rFonts w:ascii="Arial Narrow" w:hAnsi="Arial Narrow" w:cs="Arial"/>
                <w:snapToGrid w:val="0"/>
              </w:rPr>
              <w:t>8 (27.6)</w:t>
            </w:r>
          </w:p>
        </w:tc>
        <w:tc>
          <w:tcPr>
            <w:tcW w:w="563"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jc w:val="center"/>
              <w:rPr>
                <w:rFonts w:ascii="Arial Narrow" w:hAnsi="Arial Narrow" w:cs="Arial"/>
                <w:snapToGrid w:val="0"/>
              </w:rPr>
            </w:pPr>
            <w:r w:rsidRPr="00864057">
              <w:rPr>
                <w:rFonts w:ascii="Arial Narrow" w:hAnsi="Arial Narrow" w:cs="Arial"/>
                <w:snapToGrid w:val="0"/>
              </w:rPr>
              <w:t>18 (62.1)</w:t>
            </w:r>
          </w:p>
        </w:tc>
        <w:tc>
          <w:tcPr>
            <w:tcW w:w="621"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jc w:val="center"/>
              <w:rPr>
                <w:rFonts w:ascii="Arial Narrow" w:hAnsi="Arial Narrow" w:cs="Arial"/>
                <w:snapToGrid w:val="0"/>
              </w:rPr>
            </w:pPr>
            <w:r w:rsidRPr="00864057">
              <w:rPr>
                <w:rFonts w:ascii="Arial Narrow" w:hAnsi="Arial Narrow" w:cs="Arial"/>
                <w:snapToGrid w:val="0"/>
              </w:rPr>
              <w:t>0</w:t>
            </w:r>
          </w:p>
        </w:tc>
        <w:tc>
          <w:tcPr>
            <w:tcW w:w="644"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jc w:val="center"/>
              <w:rPr>
                <w:rFonts w:ascii="Arial Narrow" w:hAnsi="Arial Narrow" w:cs="Arial"/>
                <w:snapToGrid w:val="0"/>
              </w:rPr>
            </w:pPr>
            <w:r w:rsidRPr="00864057">
              <w:rPr>
                <w:rFonts w:ascii="Arial Narrow" w:hAnsi="Arial Narrow" w:cs="Arial"/>
                <w:snapToGrid w:val="0"/>
              </w:rPr>
              <w:t>4 (13.8)</w:t>
            </w:r>
          </w:p>
        </w:tc>
        <w:tc>
          <w:tcPr>
            <w:tcW w:w="958"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jc w:val="center"/>
              <w:rPr>
                <w:rFonts w:ascii="Arial Narrow" w:hAnsi="Arial Narrow" w:cs="Arial"/>
                <w:snapToGrid w:val="0"/>
              </w:rPr>
            </w:pPr>
            <w:r w:rsidRPr="00864057">
              <w:rPr>
                <w:rFonts w:ascii="Arial Narrow" w:hAnsi="Arial Narrow" w:cs="Arial"/>
                <w:snapToGrid w:val="0"/>
              </w:rPr>
              <w:t>0</w:t>
            </w:r>
          </w:p>
        </w:tc>
        <w:tc>
          <w:tcPr>
            <w:tcW w:w="504"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jc w:val="center"/>
              <w:rPr>
                <w:rFonts w:ascii="Arial Narrow" w:hAnsi="Arial Narrow" w:cs="Arial"/>
                <w:snapToGrid w:val="0"/>
              </w:rPr>
            </w:pPr>
            <w:r w:rsidRPr="00864057">
              <w:rPr>
                <w:rFonts w:ascii="Arial Narrow" w:hAnsi="Arial Narrow" w:cs="Arial"/>
                <w:snapToGrid w:val="0"/>
              </w:rPr>
              <w:t>0</w:t>
            </w:r>
          </w:p>
        </w:tc>
      </w:tr>
      <w:tr w:rsidR="009A4308" w:rsidRPr="00864057" w:rsidTr="00B047A0">
        <w:trPr>
          <w:trHeight w:val="239"/>
        </w:trPr>
        <w:tc>
          <w:tcPr>
            <w:tcW w:w="5000" w:type="pct"/>
            <w:gridSpan w:val="8"/>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rPr>
                <w:rFonts w:ascii="Arial Narrow" w:hAnsi="Arial Narrow" w:cs="Arial"/>
                <w:i/>
                <w:snapToGrid w:val="0"/>
                <w:lang w:val="fr-FR"/>
              </w:rPr>
            </w:pPr>
            <w:r w:rsidRPr="00864057">
              <w:rPr>
                <w:rFonts w:ascii="Arial Narrow" w:hAnsi="Arial Narrow" w:cs="Arial"/>
                <w:b/>
                <w:smallCaps/>
                <w:snapToGrid w:val="0"/>
              </w:rPr>
              <w:t>FAST-3</w:t>
            </w:r>
          </w:p>
        </w:tc>
      </w:tr>
      <w:tr w:rsidR="009A4308" w:rsidRPr="00864057" w:rsidTr="00B047A0">
        <w:trPr>
          <w:trHeight w:val="55"/>
        </w:trPr>
        <w:tc>
          <w:tcPr>
            <w:tcW w:w="594"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rPr>
                <w:rFonts w:ascii="Arial Narrow" w:hAnsi="Arial Narrow" w:cs="Arial"/>
                <w:snapToGrid w:val="0"/>
              </w:rPr>
            </w:pPr>
            <w:r w:rsidRPr="00864057">
              <w:rPr>
                <w:rFonts w:ascii="Arial Narrow" w:hAnsi="Arial Narrow" w:cs="Arial"/>
                <w:snapToGrid w:val="0"/>
              </w:rPr>
              <w:t>Icatibant</w:t>
            </w:r>
          </w:p>
        </w:tc>
        <w:tc>
          <w:tcPr>
            <w:tcW w:w="289"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keepLines/>
              <w:spacing w:after="0"/>
              <w:jc w:val="center"/>
              <w:rPr>
                <w:rFonts w:ascii="Arial Narrow" w:hAnsi="Arial Narrow"/>
                <w:snapToGrid w:val="0"/>
              </w:rPr>
            </w:pPr>
            <w:r w:rsidRPr="00864057">
              <w:rPr>
                <w:rFonts w:ascii="Arial Narrow" w:hAnsi="Arial Narrow"/>
                <w:snapToGrid w:val="0"/>
              </w:rPr>
              <w:t>46</w:t>
            </w:r>
          </w:p>
        </w:tc>
        <w:tc>
          <w:tcPr>
            <w:tcW w:w="827"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keepLines/>
              <w:spacing w:after="0"/>
              <w:jc w:val="center"/>
              <w:rPr>
                <w:rFonts w:ascii="Arial Narrow" w:hAnsi="Arial Narrow"/>
                <w:snapToGrid w:val="0"/>
              </w:rPr>
            </w:pPr>
            <w:r w:rsidRPr="00864057">
              <w:rPr>
                <w:rFonts w:ascii="Arial Narrow" w:hAnsi="Arial Narrow"/>
                <w:snapToGrid w:val="0"/>
              </w:rPr>
              <w:t>46 (100)</w:t>
            </w:r>
          </w:p>
        </w:tc>
        <w:tc>
          <w:tcPr>
            <w:tcW w:w="563"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keepLines/>
              <w:spacing w:after="0"/>
              <w:jc w:val="center"/>
              <w:rPr>
                <w:rFonts w:ascii="Arial Narrow" w:hAnsi="Arial Narrow"/>
                <w:snapToGrid w:val="0"/>
              </w:rPr>
            </w:pPr>
            <w:r w:rsidRPr="00864057">
              <w:rPr>
                <w:rFonts w:ascii="Arial Narrow" w:hAnsi="Arial Narrow"/>
                <w:snapToGrid w:val="0"/>
              </w:rPr>
              <w:t>19 (41.3)</w:t>
            </w:r>
          </w:p>
        </w:tc>
        <w:tc>
          <w:tcPr>
            <w:tcW w:w="621"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keepLines/>
              <w:spacing w:after="0"/>
              <w:jc w:val="center"/>
              <w:rPr>
                <w:rFonts w:ascii="Arial Narrow" w:hAnsi="Arial Narrow"/>
                <w:snapToGrid w:val="0"/>
              </w:rPr>
            </w:pPr>
            <w:r w:rsidRPr="00864057">
              <w:rPr>
                <w:rFonts w:ascii="Arial Narrow" w:hAnsi="Arial Narrow"/>
                <w:snapToGrid w:val="0"/>
              </w:rPr>
              <w:t>0</w:t>
            </w:r>
          </w:p>
        </w:tc>
        <w:tc>
          <w:tcPr>
            <w:tcW w:w="644"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keepLines/>
              <w:spacing w:after="0"/>
              <w:jc w:val="center"/>
              <w:rPr>
                <w:rFonts w:ascii="Arial Narrow" w:hAnsi="Arial Narrow"/>
                <w:snapToGrid w:val="0"/>
              </w:rPr>
            </w:pPr>
            <w:r w:rsidRPr="00864057">
              <w:rPr>
                <w:rFonts w:ascii="Arial Narrow" w:hAnsi="Arial Narrow"/>
                <w:snapToGrid w:val="0"/>
              </w:rPr>
              <w:t>2 (4.3)</w:t>
            </w:r>
          </w:p>
        </w:tc>
        <w:tc>
          <w:tcPr>
            <w:tcW w:w="958"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keepLines/>
              <w:spacing w:after="0"/>
              <w:jc w:val="center"/>
              <w:rPr>
                <w:rFonts w:ascii="Arial Narrow" w:hAnsi="Arial Narrow"/>
                <w:snapToGrid w:val="0"/>
              </w:rPr>
            </w:pPr>
            <w:r w:rsidRPr="00864057">
              <w:rPr>
                <w:rFonts w:ascii="Arial Narrow" w:hAnsi="Arial Narrow"/>
                <w:snapToGrid w:val="0"/>
              </w:rPr>
              <w:t>0</w:t>
            </w:r>
          </w:p>
        </w:tc>
        <w:tc>
          <w:tcPr>
            <w:tcW w:w="504"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keepLines/>
              <w:spacing w:after="0"/>
              <w:jc w:val="center"/>
              <w:rPr>
                <w:rFonts w:ascii="Arial Narrow" w:hAnsi="Arial Narrow"/>
                <w:snapToGrid w:val="0"/>
              </w:rPr>
            </w:pPr>
            <w:r w:rsidRPr="00864057">
              <w:rPr>
                <w:rFonts w:ascii="Arial Narrow" w:hAnsi="Arial Narrow"/>
                <w:snapToGrid w:val="0"/>
              </w:rPr>
              <w:t>0</w:t>
            </w:r>
          </w:p>
        </w:tc>
      </w:tr>
      <w:tr w:rsidR="009A4308" w:rsidRPr="00864057" w:rsidTr="00B047A0">
        <w:trPr>
          <w:trHeight w:val="55"/>
        </w:trPr>
        <w:tc>
          <w:tcPr>
            <w:tcW w:w="594"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rPr>
                <w:rFonts w:ascii="Arial Narrow" w:hAnsi="Arial Narrow" w:cs="Arial"/>
                <w:snapToGrid w:val="0"/>
              </w:rPr>
            </w:pPr>
            <w:r w:rsidRPr="00864057">
              <w:rPr>
                <w:rFonts w:ascii="Arial Narrow" w:hAnsi="Arial Narrow" w:cs="Arial"/>
                <w:snapToGrid w:val="0"/>
              </w:rPr>
              <w:t>PBO</w:t>
            </w:r>
          </w:p>
        </w:tc>
        <w:tc>
          <w:tcPr>
            <w:tcW w:w="289"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keepLines/>
              <w:spacing w:after="0"/>
              <w:jc w:val="center"/>
              <w:rPr>
                <w:rFonts w:ascii="Arial Narrow" w:hAnsi="Arial Narrow"/>
                <w:snapToGrid w:val="0"/>
              </w:rPr>
            </w:pPr>
            <w:r w:rsidRPr="00864057">
              <w:rPr>
                <w:rFonts w:ascii="Arial Narrow" w:hAnsi="Arial Narrow"/>
                <w:snapToGrid w:val="0"/>
              </w:rPr>
              <w:t>46</w:t>
            </w:r>
          </w:p>
        </w:tc>
        <w:tc>
          <w:tcPr>
            <w:tcW w:w="827"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keepLines/>
              <w:spacing w:after="0"/>
              <w:jc w:val="center"/>
              <w:rPr>
                <w:rFonts w:ascii="Arial Narrow" w:hAnsi="Arial Narrow"/>
                <w:snapToGrid w:val="0"/>
              </w:rPr>
            </w:pPr>
            <w:r w:rsidRPr="00864057">
              <w:rPr>
                <w:rFonts w:ascii="Arial Narrow" w:hAnsi="Arial Narrow"/>
                <w:snapToGrid w:val="0"/>
              </w:rPr>
              <w:t>19 (41.3)</w:t>
            </w:r>
          </w:p>
        </w:tc>
        <w:tc>
          <w:tcPr>
            <w:tcW w:w="563"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keepLines/>
              <w:spacing w:after="0"/>
              <w:jc w:val="center"/>
              <w:rPr>
                <w:rFonts w:ascii="Arial Narrow" w:hAnsi="Arial Narrow"/>
                <w:snapToGrid w:val="0"/>
              </w:rPr>
            </w:pPr>
            <w:r w:rsidRPr="00864057">
              <w:rPr>
                <w:rFonts w:ascii="Arial Narrow" w:hAnsi="Arial Narrow"/>
                <w:snapToGrid w:val="0"/>
              </w:rPr>
              <w:t>24 (52.2)</w:t>
            </w:r>
          </w:p>
        </w:tc>
        <w:tc>
          <w:tcPr>
            <w:tcW w:w="621"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keepLines/>
              <w:spacing w:after="0"/>
              <w:jc w:val="center"/>
              <w:rPr>
                <w:rFonts w:ascii="Arial Narrow" w:hAnsi="Arial Narrow"/>
                <w:snapToGrid w:val="0"/>
              </w:rPr>
            </w:pPr>
            <w:r w:rsidRPr="00864057">
              <w:rPr>
                <w:rFonts w:ascii="Arial Narrow" w:hAnsi="Arial Narrow"/>
                <w:snapToGrid w:val="0"/>
              </w:rPr>
              <w:t>3 (6.5)</w:t>
            </w:r>
          </w:p>
        </w:tc>
        <w:tc>
          <w:tcPr>
            <w:tcW w:w="644"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keepLines/>
              <w:spacing w:after="0"/>
              <w:jc w:val="center"/>
              <w:rPr>
                <w:rFonts w:ascii="Arial Narrow" w:hAnsi="Arial Narrow"/>
                <w:snapToGrid w:val="0"/>
              </w:rPr>
            </w:pPr>
            <w:r w:rsidRPr="00864057">
              <w:rPr>
                <w:rFonts w:ascii="Arial Narrow" w:hAnsi="Arial Narrow"/>
                <w:snapToGrid w:val="0"/>
              </w:rPr>
              <w:t>10 (21.7)</w:t>
            </w:r>
          </w:p>
        </w:tc>
        <w:tc>
          <w:tcPr>
            <w:tcW w:w="958"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keepLines/>
              <w:spacing w:after="0"/>
              <w:jc w:val="center"/>
              <w:rPr>
                <w:rFonts w:ascii="Arial Narrow" w:hAnsi="Arial Narrow"/>
                <w:snapToGrid w:val="0"/>
              </w:rPr>
            </w:pPr>
            <w:r w:rsidRPr="00864057">
              <w:rPr>
                <w:rFonts w:ascii="Arial Narrow" w:hAnsi="Arial Narrow"/>
                <w:snapToGrid w:val="0"/>
              </w:rPr>
              <w:t>0</w:t>
            </w:r>
          </w:p>
        </w:tc>
        <w:tc>
          <w:tcPr>
            <w:tcW w:w="504"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keepLines/>
              <w:spacing w:after="0"/>
              <w:jc w:val="center"/>
              <w:rPr>
                <w:rFonts w:ascii="Arial Narrow" w:hAnsi="Arial Narrow"/>
                <w:snapToGrid w:val="0"/>
              </w:rPr>
            </w:pPr>
            <w:r w:rsidRPr="00864057">
              <w:rPr>
                <w:rFonts w:ascii="Arial Narrow" w:hAnsi="Arial Narrow"/>
                <w:snapToGrid w:val="0"/>
              </w:rPr>
              <w:t>1 (2.2)</w:t>
            </w:r>
          </w:p>
        </w:tc>
      </w:tr>
      <w:tr w:rsidR="009A4308" w:rsidRPr="00864057" w:rsidTr="00B047A0">
        <w:trPr>
          <w:trHeight w:val="252"/>
        </w:trPr>
        <w:tc>
          <w:tcPr>
            <w:tcW w:w="5000" w:type="pct"/>
            <w:gridSpan w:val="8"/>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rPr>
                <w:rFonts w:ascii="Arial Narrow" w:hAnsi="Arial Narrow" w:cs="Arial"/>
                <w:snapToGrid w:val="0"/>
              </w:rPr>
            </w:pPr>
            <w:r w:rsidRPr="00864057">
              <w:rPr>
                <w:rFonts w:ascii="Arial Narrow" w:hAnsi="Arial Narrow" w:cs="Arial"/>
                <w:b/>
                <w:smallCaps/>
                <w:snapToGrid w:val="0"/>
              </w:rPr>
              <w:t>FAST-2</w:t>
            </w:r>
          </w:p>
        </w:tc>
      </w:tr>
      <w:tr w:rsidR="009A4308" w:rsidRPr="00864057" w:rsidTr="00B047A0">
        <w:trPr>
          <w:trHeight w:val="55"/>
        </w:trPr>
        <w:tc>
          <w:tcPr>
            <w:tcW w:w="594"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rPr>
                <w:rFonts w:ascii="Arial Narrow" w:hAnsi="Arial Narrow" w:cs="Arial"/>
                <w:snapToGrid w:val="0"/>
              </w:rPr>
            </w:pPr>
            <w:r w:rsidRPr="00864057">
              <w:rPr>
                <w:rFonts w:ascii="Arial Narrow" w:hAnsi="Arial Narrow" w:cs="Arial"/>
                <w:snapToGrid w:val="0"/>
              </w:rPr>
              <w:t>Icatibant</w:t>
            </w:r>
          </w:p>
        </w:tc>
        <w:tc>
          <w:tcPr>
            <w:tcW w:w="289"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jc w:val="center"/>
              <w:rPr>
                <w:rFonts w:ascii="Arial Narrow" w:hAnsi="Arial Narrow" w:cs="Arial"/>
                <w:snapToGrid w:val="0"/>
              </w:rPr>
            </w:pPr>
            <w:r w:rsidRPr="00864057">
              <w:rPr>
                <w:rFonts w:ascii="Arial Narrow" w:hAnsi="Arial Narrow" w:cs="Arial"/>
                <w:snapToGrid w:val="0"/>
              </w:rPr>
              <w:t>36</w:t>
            </w:r>
          </w:p>
        </w:tc>
        <w:tc>
          <w:tcPr>
            <w:tcW w:w="827"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jc w:val="center"/>
              <w:rPr>
                <w:rFonts w:ascii="Arial Narrow" w:hAnsi="Arial Narrow" w:cs="Arial"/>
                <w:snapToGrid w:val="0"/>
              </w:rPr>
            </w:pPr>
            <w:r w:rsidRPr="00864057">
              <w:rPr>
                <w:rFonts w:ascii="Arial Narrow" w:hAnsi="Arial Narrow" w:cs="Arial"/>
                <w:snapToGrid w:val="0"/>
              </w:rPr>
              <w:t>35 (97.2)</w:t>
            </w:r>
          </w:p>
        </w:tc>
        <w:tc>
          <w:tcPr>
            <w:tcW w:w="563"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jc w:val="center"/>
              <w:rPr>
                <w:rFonts w:ascii="Arial Narrow" w:hAnsi="Arial Narrow" w:cs="Arial"/>
                <w:snapToGrid w:val="0"/>
              </w:rPr>
            </w:pPr>
            <w:r w:rsidRPr="00864057">
              <w:rPr>
                <w:rFonts w:ascii="Arial Narrow" w:hAnsi="Arial Narrow" w:cs="Arial"/>
                <w:snapToGrid w:val="0"/>
              </w:rPr>
              <w:t>18 (50.0)</w:t>
            </w:r>
          </w:p>
        </w:tc>
        <w:tc>
          <w:tcPr>
            <w:tcW w:w="621"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jc w:val="center"/>
              <w:rPr>
                <w:rFonts w:ascii="Arial Narrow" w:hAnsi="Arial Narrow" w:cs="Arial"/>
                <w:snapToGrid w:val="0"/>
              </w:rPr>
            </w:pPr>
            <w:r w:rsidRPr="00864057">
              <w:rPr>
                <w:rFonts w:ascii="Arial Narrow" w:hAnsi="Arial Narrow" w:cs="Arial"/>
                <w:snapToGrid w:val="0"/>
              </w:rPr>
              <w:t>3 (8.3)</w:t>
            </w:r>
          </w:p>
        </w:tc>
        <w:tc>
          <w:tcPr>
            <w:tcW w:w="644"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jc w:val="center"/>
              <w:rPr>
                <w:rFonts w:ascii="Arial Narrow" w:hAnsi="Arial Narrow" w:cs="Arial"/>
                <w:snapToGrid w:val="0"/>
              </w:rPr>
            </w:pPr>
            <w:r w:rsidRPr="00864057">
              <w:rPr>
                <w:rFonts w:ascii="Arial Narrow" w:hAnsi="Arial Narrow" w:cs="Arial"/>
                <w:snapToGrid w:val="0"/>
              </w:rPr>
              <w:t>3 (8.3)</w:t>
            </w:r>
          </w:p>
        </w:tc>
        <w:tc>
          <w:tcPr>
            <w:tcW w:w="958"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jc w:val="center"/>
              <w:rPr>
                <w:rFonts w:ascii="Arial Narrow" w:hAnsi="Arial Narrow" w:cs="Arial"/>
                <w:snapToGrid w:val="0"/>
              </w:rPr>
            </w:pPr>
            <w:r w:rsidRPr="00864057">
              <w:rPr>
                <w:rFonts w:ascii="Arial Narrow" w:hAnsi="Arial Narrow" w:cs="Arial"/>
                <w:snapToGrid w:val="0"/>
              </w:rPr>
              <w:t>0</w:t>
            </w:r>
          </w:p>
        </w:tc>
        <w:tc>
          <w:tcPr>
            <w:tcW w:w="504" w:type="pct"/>
            <w:tcBorders>
              <w:top w:val="single" w:sz="4" w:space="0" w:color="auto"/>
              <w:left w:val="single" w:sz="4" w:space="0" w:color="auto"/>
              <w:bottom w:val="single" w:sz="4" w:space="0" w:color="auto"/>
              <w:right w:val="single" w:sz="4" w:space="0" w:color="auto"/>
            </w:tcBorders>
          </w:tcPr>
          <w:p w:rsidR="009A4308" w:rsidRPr="00864057" w:rsidRDefault="009A4308" w:rsidP="000075D9">
            <w:pPr>
              <w:pStyle w:val="Tabletext"/>
              <w:keepNext/>
              <w:spacing w:after="0"/>
              <w:jc w:val="center"/>
              <w:rPr>
                <w:rFonts w:ascii="Arial Narrow" w:hAnsi="Arial Narrow" w:cs="Arial"/>
                <w:snapToGrid w:val="0"/>
              </w:rPr>
            </w:pPr>
            <w:r w:rsidRPr="00864057">
              <w:rPr>
                <w:rFonts w:ascii="Arial Narrow" w:hAnsi="Arial Narrow" w:cs="Arial"/>
                <w:snapToGrid w:val="0"/>
              </w:rPr>
              <w:t>0</w:t>
            </w:r>
          </w:p>
        </w:tc>
      </w:tr>
    </w:tbl>
    <w:p w:rsidR="009A4308" w:rsidRPr="00BF2E22" w:rsidRDefault="009A4308" w:rsidP="000075D9">
      <w:pPr>
        <w:keepNext/>
        <w:widowControl/>
        <w:ind w:left="709"/>
        <w:rPr>
          <w:rFonts w:ascii="Arial Narrow" w:hAnsi="Arial Narrow"/>
          <w:sz w:val="18"/>
        </w:rPr>
      </w:pPr>
      <w:r w:rsidRPr="00BF2E22">
        <w:rPr>
          <w:rFonts w:ascii="Arial Narrow" w:hAnsi="Arial Narrow"/>
          <w:sz w:val="18"/>
        </w:rPr>
        <w:t xml:space="preserve">Source: July 2011 PBAC meeting Public Summary Document </w:t>
      </w:r>
    </w:p>
    <w:p w:rsidR="009A4308" w:rsidRPr="00BF2E22" w:rsidRDefault="009A4308" w:rsidP="000075D9">
      <w:pPr>
        <w:pStyle w:val="TableName0"/>
        <w:keepNext/>
        <w:spacing w:after="0"/>
        <w:ind w:left="709" w:firstLine="0"/>
        <w:jc w:val="both"/>
        <w:rPr>
          <w:rFonts w:ascii="Arial Narrow" w:hAnsi="Arial Narrow" w:cs="Arial"/>
          <w:b w:val="0"/>
          <w:sz w:val="18"/>
          <w:szCs w:val="20"/>
        </w:rPr>
      </w:pPr>
      <w:r w:rsidRPr="00BF2E22">
        <w:rPr>
          <w:rFonts w:ascii="Arial Narrow" w:hAnsi="Arial Narrow" w:cs="Arial"/>
          <w:b w:val="0"/>
          <w:sz w:val="18"/>
          <w:szCs w:val="20"/>
        </w:rPr>
        <w:t>PBO = placebo</w:t>
      </w:r>
    </w:p>
    <w:p w:rsidR="009A4308" w:rsidRPr="00BF2E22" w:rsidRDefault="009A4308" w:rsidP="000075D9">
      <w:pPr>
        <w:pStyle w:val="TableName0"/>
        <w:keepNext/>
        <w:spacing w:after="0"/>
        <w:ind w:left="709" w:firstLine="0"/>
        <w:jc w:val="both"/>
        <w:rPr>
          <w:rFonts w:ascii="Arial Narrow" w:hAnsi="Arial Narrow" w:cs="Arial"/>
          <w:b w:val="0"/>
          <w:sz w:val="18"/>
          <w:szCs w:val="20"/>
        </w:rPr>
      </w:pPr>
      <w:r w:rsidRPr="00BF2E22">
        <w:rPr>
          <w:rFonts w:ascii="Arial Narrow" w:hAnsi="Arial Narrow" w:cs="Arial"/>
          <w:b w:val="0"/>
          <w:sz w:val="18"/>
          <w:szCs w:val="20"/>
          <w:vertAlign w:val="superscript"/>
        </w:rPr>
        <w:t>a</w:t>
      </w:r>
      <w:r w:rsidRPr="00BF2E22">
        <w:rPr>
          <w:rFonts w:ascii="Arial Narrow" w:hAnsi="Arial Narrow" w:cs="Arial"/>
          <w:b w:val="0"/>
          <w:sz w:val="18"/>
          <w:szCs w:val="20"/>
        </w:rPr>
        <w:t xml:space="preserve"> Symptoms at injection site </w:t>
      </w:r>
      <w:r w:rsidRPr="00BF2E22">
        <w:rPr>
          <w:rFonts w:ascii="Arial Narrow" w:hAnsi="Arial Narrow" w:cs="Arial"/>
          <w:b w:val="0"/>
          <w:sz w:val="18"/>
          <w:szCs w:val="20"/>
          <w:u w:val="single"/>
        </w:rPr>
        <w:t>are not included</w:t>
      </w:r>
      <w:r w:rsidRPr="00BF2E22">
        <w:rPr>
          <w:rFonts w:ascii="Arial Narrow" w:hAnsi="Arial Narrow" w:cs="Arial"/>
          <w:b w:val="0"/>
          <w:sz w:val="18"/>
          <w:szCs w:val="20"/>
        </w:rPr>
        <w:t xml:space="preserve"> in the adverse event categories.  An adverse event is counted in the controlled phase if the start date of the event was between the first treatment dose (dose given at the first attack) and the second treatment dose (dose given at the second attack).</w:t>
      </w:r>
    </w:p>
    <w:bookmarkEnd w:id="16"/>
    <w:p w:rsidR="009A4308" w:rsidRPr="00882085" w:rsidRDefault="009A4308" w:rsidP="000075D9">
      <w:pPr>
        <w:widowControl/>
      </w:pPr>
    </w:p>
    <w:p w:rsidR="009A4308" w:rsidRDefault="009A4308" w:rsidP="00B13724">
      <w:pPr>
        <w:pStyle w:val="Heading2"/>
      </w:pPr>
      <w:bookmarkStart w:id="21" w:name="_Toc458775807"/>
      <w:bookmarkStart w:id="22" w:name="_Toc461627653"/>
      <w:r w:rsidRPr="00497F10">
        <w:t>Clinical claim</w:t>
      </w:r>
      <w:bookmarkEnd w:id="21"/>
      <w:bookmarkEnd w:id="22"/>
    </w:p>
    <w:p w:rsidR="002D0DB7" w:rsidRPr="009E39F8" w:rsidRDefault="002D0DB7" w:rsidP="000075D9">
      <w:pPr>
        <w:widowControl/>
      </w:pPr>
    </w:p>
    <w:p w:rsidR="009A4308" w:rsidRPr="00D53027" w:rsidRDefault="009A4308" w:rsidP="00E94114">
      <w:pPr>
        <w:pStyle w:val="ListParagraph"/>
        <w:widowControl/>
        <w:numPr>
          <w:ilvl w:val="1"/>
          <w:numId w:val="2"/>
        </w:numPr>
        <w:rPr>
          <w:i/>
          <w:szCs w:val="22"/>
        </w:rPr>
      </w:pPr>
      <w:r w:rsidRPr="009E39F8">
        <w:t>Icatibant is described as superior in terms of comparative effectiveness and inferior in terms of comparativ</w:t>
      </w:r>
      <w:r w:rsidRPr="00F475DB">
        <w:t>e safety over placebo. This is unchanged</w:t>
      </w:r>
      <w:r w:rsidR="00D53027" w:rsidRPr="00F475DB">
        <w:t xml:space="preserve"> from the July 2011 submission</w:t>
      </w:r>
      <w:r w:rsidRPr="00F475DB">
        <w:t>.</w:t>
      </w:r>
    </w:p>
    <w:p w:rsidR="00B60939" w:rsidRDefault="00B60939" w:rsidP="000075D9">
      <w:pPr>
        <w:widowControl/>
        <w:ind w:left="720" w:hanging="720"/>
        <w:rPr>
          <w:szCs w:val="22"/>
        </w:rPr>
      </w:pPr>
    </w:p>
    <w:p w:rsidR="00E94114" w:rsidRPr="00F475DB" w:rsidRDefault="00F475DB" w:rsidP="00E94114">
      <w:pPr>
        <w:pStyle w:val="ListParagraph"/>
        <w:widowControl/>
        <w:numPr>
          <w:ilvl w:val="1"/>
          <w:numId w:val="2"/>
        </w:numPr>
        <w:rPr>
          <w:szCs w:val="22"/>
        </w:rPr>
      </w:pPr>
      <w:r w:rsidRPr="00F475DB">
        <w:rPr>
          <w:bCs/>
          <w:szCs w:val="22"/>
        </w:rPr>
        <w:t>The PBAC previously recommended that, on the basis of the clinical trials, icatibant was superior in terms of efficacy over placebo (July 2011). However, at that time the PBAC noted that the applicability of the trial results to the requested PBAC population remained uncertain.</w:t>
      </w:r>
    </w:p>
    <w:p w:rsidR="00F475DB" w:rsidRPr="00F475DB" w:rsidRDefault="00F475DB" w:rsidP="00F475DB">
      <w:pPr>
        <w:pStyle w:val="ListParagraph"/>
        <w:rPr>
          <w:szCs w:val="22"/>
        </w:rPr>
      </w:pPr>
    </w:p>
    <w:p w:rsidR="00F475DB" w:rsidRPr="00F475DB" w:rsidRDefault="00F475DB" w:rsidP="00E94114">
      <w:pPr>
        <w:pStyle w:val="ListParagraph"/>
        <w:widowControl/>
        <w:numPr>
          <w:ilvl w:val="1"/>
          <w:numId w:val="2"/>
        </w:numPr>
        <w:rPr>
          <w:szCs w:val="22"/>
        </w:rPr>
      </w:pPr>
      <w:r w:rsidRPr="00F475DB">
        <w:rPr>
          <w:szCs w:val="22"/>
        </w:rPr>
        <w:t xml:space="preserve">The PBAC previously accepted the claim that icatibant was inferior in terms of comparative safety compared to placebo. </w:t>
      </w:r>
    </w:p>
    <w:p w:rsidR="00E94114" w:rsidRPr="009E39F8" w:rsidRDefault="00E94114" w:rsidP="000075D9">
      <w:pPr>
        <w:widowControl/>
        <w:ind w:left="720" w:hanging="720"/>
        <w:rPr>
          <w:szCs w:val="22"/>
        </w:rPr>
      </w:pPr>
    </w:p>
    <w:p w:rsidR="00AD7161" w:rsidRDefault="008402C3" w:rsidP="00B13724">
      <w:pPr>
        <w:pStyle w:val="Heading2"/>
      </w:pPr>
      <w:bookmarkStart w:id="23" w:name="_Toc461627654"/>
      <w:r>
        <w:t xml:space="preserve">Re-analysis </w:t>
      </w:r>
      <w:r w:rsidR="00B929AD">
        <w:t>of DUSC</w:t>
      </w:r>
      <w:r w:rsidR="00AD7161">
        <w:t xml:space="preserve"> </w:t>
      </w:r>
      <w:r w:rsidR="00B929AD">
        <w:t>estimates</w:t>
      </w:r>
      <w:r w:rsidR="0027602F">
        <w:t xml:space="preserve"> for model input</w:t>
      </w:r>
      <w:bookmarkEnd w:id="23"/>
    </w:p>
    <w:p w:rsidR="00CE3B7B" w:rsidRPr="009E39F8" w:rsidRDefault="00CE3B7B" w:rsidP="000075D9">
      <w:pPr>
        <w:pStyle w:val="ListParagraph"/>
        <w:widowControl/>
      </w:pPr>
    </w:p>
    <w:p w:rsidR="0063201F" w:rsidRPr="00F475DB" w:rsidRDefault="00610C0F" w:rsidP="00E94114">
      <w:pPr>
        <w:pStyle w:val="ListParagraph"/>
        <w:widowControl/>
        <w:numPr>
          <w:ilvl w:val="1"/>
          <w:numId w:val="2"/>
        </w:numPr>
      </w:pPr>
      <w:r w:rsidRPr="009E39F8">
        <w:t xml:space="preserve">The </w:t>
      </w:r>
      <w:r w:rsidR="00A12384" w:rsidRPr="009E39F8">
        <w:t>estimate of</w:t>
      </w:r>
      <w:r w:rsidR="00553A8E" w:rsidRPr="009E39F8">
        <w:t xml:space="preserve"> treated attack frequency</w:t>
      </w:r>
      <w:r w:rsidR="0072625D" w:rsidRPr="009E39F8">
        <w:t xml:space="preserve"> used in the economic evaluation was derived from the DUSC data. The </w:t>
      </w:r>
      <w:r w:rsidR="001E57D9" w:rsidRPr="009E39F8">
        <w:t>number of</w:t>
      </w:r>
      <w:r w:rsidR="0072625D" w:rsidRPr="009E39F8">
        <w:t xml:space="preserve"> initiator</w:t>
      </w:r>
      <w:r w:rsidR="001E57D9" w:rsidRPr="009E39F8">
        <w:t xml:space="preserve">s in the first </w:t>
      </w:r>
      <w:r w:rsidR="00C6302B" w:rsidRPr="009E39F8">
        <w:t>16 months</w:t>
      </w:r>
      <w:r w:rsidR="001E57D9" w:rsidRPr="009E39F8">
        <w:t xml:space="preserve"> of listing was 1</w:t>
      </w:r>
      <w:r w:rsidR="0072625D" w:rsidRPr="009E39F8">
        <w:t>52</w:t>
      </w:r>
      <w:r w:rsidR="009910DF">
        <w:t>,</w:t>
      </w:r>
      <w:r w:rsidR="0072625D" w:rsidRPr="009E39F8">
        <w:t xml:space="preserve"> and the </w:t>
      </w:r>
      <w:r w:rsidR="004767DA" w:rsidRPr="009E39F8">
        <w:t>number of injections per year</w:t>
      </w:r>
      <w:r w:rsidR="0072625D" w:rsidRPr="009E39F8">
        <w:t xml:space="preserve"> was </w:t>
      </w:r>
      <w:r w:rsidR="004767DA" w:rsidRPr="009E39F8">
        <w:t xml:space="preserve">used to </w:t>
      </w:r>
      <w:r w:rsidR="000F6C31" w:rsidRPr="009E39F8">
        <w:t>calculate</w:t>
      </w:r>
      <w:r w:rsidR="00B3115B" w:rsidRPr="009E39F8">
        <w:t xml:space="preserve"> </w:t>
      </w:r>
      <w:r w:rsidR="00361CA2" w:rsidRPr="009E39F8">
        <w:t xml:space="preserve">the </w:t>
      </w:r>
      <w:r w:rsidR="00B3115B" w:rsidRPr="009E39F8">
        <w:t>treated attack frequency.</w:t>
      </w:r>
      <w:r w:rsidR="00E354B8" w:rsidRPr="009E39F8">
        <w:t xml:space="preserve"> </w:t>
      </w:r>
      <w:r w:rsidR="0063201F" w:rsidRPr="009E39F8">
        <w:t>Using the</w:t>
      </w:r>
      <w:r w:rsidR="00E354B8" w:rsidRPr="009E39F8">
        <w:t xml:space="preserve"> same cohort</w:t>
      </w:r>
      <w:r w:rsidR="0063201F" w:rsidRPr="009E39F8">
        <w:t xml:space="preserve"> and </w:t>
      </w:r>
      <w:r w:rsidR="0054525A">
        <w:t xml:space="preserve">using </w:t>
      </w:r>
      <w:r w:rsidR="0063201F" w:rsidRPr="009E39F8">
        <w:t xml:space="preserve">the </w:t>
      </w:r>
      <w:r w:rsidR="0054525A">
        <w:t xml:space="preserve">mean </w:t>
      </w:r>
      <w:r w:rsidR="0063201F" w:rsidRPr="009E39F8">
        <w:t>number of prescriptions</w:t>
      </w:r>
      <w:r w:rsidR="0054525A">
        <w:t xml:space="preserve"> (adjusted for initial supply)</w:t>
      </w:r>
      <w:r w:rsidR="0063201F" w:rsidRPr="009E39F8">
        <w:t>, rather than the number of injections</w:t>
      </w:r>
      <w:r w:rsidR="002276D2" w:rsidRPr="009E39F8">
        <w:t xml:space="preserve"> as used in the </w:t>
      </w:r>
      <w:r w:rsidR="00D24424" w:rsidRPr="009E39F8">
        <w:t>submission</w:t>
      </w:r>
      <w:r w:rsidR="0063201F" w:rsidRPr="009E39F8">
        <w:t xml:space="preserve">, the DUSC </w:t>
      </w:r>
      <w:r w:rsidR="00EB28DC" w:rsidRPr="009E39F8">
        <w:t>calculated</w:t>
      </w:r>
      <w:r w:rsidR="00EC0381" w:rsidRPr="009E39F8">
        <w:t xml:space="preserve"> 4.1 treated attacks per </w:t>
      </w:r>
      <w:r w:rsidR="009910DF">
        <w:t xml:space="preserve">patient per </w:t>
      </w:r>
      <w:r w:rsidR="00EC0381" w:rsidRPr="009E39F8">
        <w:t xml:space="preserve">year, which is lower than the </w:t>
      </w:r>
      <w:r w:rsidR="00B16762" w:rsidRPr="009E39F8">
        <w:t xml:space="preserve">number of </w:t>
      </w:r>
      <w:r w:rsidR="004F5928" w:rsidRPr="009E39F8">
        <w:t xml:space="preserve">treated attacks </w:t>
      </w:r>
      <w:r w:rsidR="00A31280">
        <w:t>used</w:t>
      </w:r>
      <w:r w:rsidR="00A31280" w:rsidRPr="009E39F8">
        <w:t xml:space="preserve"> </w:t>
      </w:r>
      <w:r w:rsidR="004F5928" w:rsidRPr="009E39F8">
        <w:t>in the model</w:t>
      </w:r>
      <w:r w:rsidR="00F23B71" w:rsidRPr="009E39F8">
        <w:t xml:space="preserve"> </w:t>
      </w:r>
      <w:r w:rsidR="000F0CE2" w:rsidRPr="009E39F8">
        <w:t xml:space="preserve">(6.33 treated attacks in </w:t>
      </w:r>
      <w:r w:rsidR="00A31280">
        <w:t xml:space="preserve">the </w:t>
      </w:r>
      <w:r w:rsidR="000F0CE2" w:rsidRPr="009E39F8">
        <w:t>microsimulation</w:t>
      </w:r>
      <w:r w:rsidR="00A31280">
        <w:t xml:space="preserve"> analysis</w:t>
      </w:r>
      <w:r w:rsidR="000F0CE2" w:rsidRPr="009E39F8">
        <w:t>, 5.49 treated attack</w:t>
      </w:r>
      <w:r w:rsidR="006C7154" w:rsidRPr="009E39F8">
        <w:t>s</w:t>
      </w:r>
      <w:r w:rsidR="000F0CE2" w:rsidRPr="009E39F8">
        <w:t xml:space="preserve"> in </w:t>
      </w:r>
      <w:r w:rsidR="00A31280">
        <w:t xml:space="preserve">the </w:t>
      </w:r>
      <w:r w:rsidR="000F0CE2" w:rsidRPr="009E39F8">
        <w:t>cohort analysis)</w:t>
      </w:r>
      <w:r w:rsidR="00EC0381" w:rsidRPr="00F475DB">
        <w:t xml:space="preserve">. </w:t>
      </w:r>
      <w:r w:rsidR="0054525A" w:rsidRPr="00F475DB">
        <w:t xml:space="preserve">The </w:t>
      </w:r>
      <w:r w:rsidR="00186335" w:rsidRPr="00F475DB">
        <w:t xml:space="preserve">ESC considered that the </w:t>
      </w:r>
      <w:r w:rsidR="0054525A" w:rsidRPr="00F475DB">
        <w:t>appro</w:t>
      </w:r>
      <w:r w:rsidR="00186335" w:rsidRPr="00F475DB">
        <w:t>ach taken in the DUSC analysis wa</w:t>
      </w:r>
      <w:r w:rsidR="0054525A" w:rsidRPr="00F475DB">
        <w:t>s more appropriate given the possibility of re-dosing and stockpiling.</w:t>
      </w:r>
    </w:p>
    <w:p w:rsidR="00F9015D" w:rsidRPr="00F475DB" w:rsidRDefault="00F9015D" w:rsidP="000075D9">
      <w:pPr>
        <w:widowControl/>
      </w:pPr>
    </w:p>
    <w:p w:rsidR="00B60939" w:rsidRDefault="00B60939" w:rsidP="00B13724">
      <w:pPr>
        <w:pStyle w:val="Heading2"/>
      </w:pPr>
      <w:bookmarkStart w:id="24" w:name="_Toc461627655"/>
      <w:r w:rsidRPr="00497F10">
        <w:t>Economic analysis</w:t>
      </w:r>
      <w:bookmarkEnd w:id="24"/>
      <w:r w:rsidR="00491B3A" w:rsidRPr="00497F10">
        <w:t xml:space="preserve"> </w:t>
      </w:r>
    </w:p>
    <w:p w:rsidR="002D0DB7" w:rsidRPr="002D0DB7" w:rsidRDefault="002D0DB7" w:rsidP="000075D9">
      <w:pPr>
        <w:widowControl/>
      </w:pPr>
    </w:p>
    <w:p w:rsidR="00E424FD" w:rsidRPr="006E5FE7" w:rsidRDefault="00E424FD" w:rsidP="00E94114">
      <w:pPr>
        <w:pStyle w:val="ListParagraph"/>
        <w:widowControl/>
        <w:numPr>
          <w:ilvl w:val="1"/>
          <w:numId w:val="2"/>
        </w:numPr>
        <w:rPr>
          <w:szCs w:val="22"/>
        </w:rPr>
      </w:pPr>
      <w:r>
        <w:t xml:space="preserve">The </w:t>
      </w:r>
      <w:r w:rsidR="00D24424">
        <w:t>submission</w:t>
      </w:r>
      <w:r>
        <w:t xml:space="preserve"> presented an updated </w:t>
      </w:r>
      <w:r w:rsidR="0060223C">
        <w:t>cost-</w:t>
      </w:r>
      <w:r>
        <w:t xml:space="preserve">utility analysis and </w:t>
      </w:r>
      <w:r w:rsidRPr="006C6A52">
        <w:t>conduct</w:t>
      </w:r>
      <w:r>
        <w:t>ed</w:t>
      </w:r>
      <w:r w:rsidRPr="006C6A52">
        <w:t xml:space="preserve"> two analys</w:t>
      </w:r>
      <w:r>
        <w:t>e</w:t>
      </w:r>
      <w:r w:rsidRPr="006C6A52">
        <w:t xml:space="preserve">s of the economic model: </w:t>
      </w:r>
      <w:r w:rsidR="0060223C">
        <w:t>a</w:t>
      </w:r>
      <w:r w:rsidR="0060223C" w:rsidRPr="006C6A52">
        <w:t xml:space="preserve"> </w:t>
      </w:r>
      <w:r w:rsidRPr="006C6A52">
        <w:t xml:space="preserve">Markov cohort analysis and </w:t>
      </w:r>
      <w:r w:rsidR="0060223C">
        <w:t>a</w:t>
      </w:r>
      <w:r w:rsidR="0060223C" w:rsidRPr="006C6A52">
        <w:t xml:space="preserve"> </w:t>
      </w:r>
      <w:r w:rsidRPr="006C6A52">
        <w:t xml:space="preserve">microsimulation </w:t>
      </w:r>
      <w:r w:rsidR="00FC28EC">
        <w:t>analysis</w:t>
      </w:r>
      <w:r w:rsidRPr="006C6A52">
        <w:t>.</w:t>
      </w:r>
    </w:p>
    <w:p w:rsidR="00E424FD" w:rsidRPr="00083D93" w:rsidRDefault="00E424FD" w:rsidP="000075D9">
      <w:pPr>
        <w:widowControl/>
        <w:rPr>
          <w:szCs w:val="22"/>
        </w:rPr>
      </w:pPr>
    </w:p>
    <w:p w:rsidR="00E424FD" w:rsidRDefault="00E424FD" w:rsidP="00707C16">
      <w:pPr>
        <w:keepNext/>
        <w:widowControl/>
        <w:ind w:firstLine="720"/>
        <w:rPr>
          <w:rStyle w:val="CommentReference"/>
        </w:rPr>
      </w:pPr>
      <w:r w:rsidRPr="00A56B6A">
        <w:rPr>
          <w:rStyle w:val="CommentReference"/>
        </w:rPr>
        <w:lastRenderedPageBreak/>
        <w:t xml:space="preserve">Table </w:t>
      </w:r>
      <w:r w:rsidR="0056215C">
        <w:rPr>
          <w:rStyle w:val="CommentReference"/>
        </w:rPr>
        <w:t>4</w:t>
      </w:r>
      <w:r w:rsidRPr="00A56B6A">
        <w:rPr>
          <w:rStyle w:val="CommentReference"/>
        </w:rPr>
        <w:t>: Summary of model structure and rationale</w:t>
      </w:r>
    </w:p>
    <w:tbl>
      <w:tblPr>
        <w:tblW w:w="83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26"/>
        <w:gridCol w:w="6209"/>
      </w:tblGrid>
      <w:tr w:rsidR="00772A65" w:rsidRPr="009E39F8" w:rsidTr="00772A65">
        <w:trPr>
          <w:trHeight w:val="240"/>
        </w:trPr>
        <w:tc>
          <w:tcPr>
            <w:tcW w:w="2126" w:type="dxa"/>
            <w:shd w:val="clear" w:color="auto" w:fill="auto"/>
          </w:tcPr>
          <w:p w:rsidR="00772A65" w:rsidRPr="009E39F8" w:rsidRDefault="00772A65" w:rsidP="00707C16">
            <w:pPr>
              <w:keepNext/>
              <w:widowControl/>
              <w:rPr>
                <w:rFonts w:ascii="Arial Narrow" w:hAnsi="Arial Narrow"/>
                <w:sz w:val="20"/>
              </w:rPr>
            </w:pPr>
            <w:r w:rsidRPr="009E39F8">
              <w:rPr>
                <w:rFonts w:ascii="Arial Narrow" w:hAnsi="Arial Narrow"/>
                <w:sz w:val="20"/>
              </w:rPr>
              <w:t>Time horizon</w:t>
            </w:r>
          </w:p>
        </w:tc>
        <w:tc>
          <w:tcPr>
            <w:tcW w:w="6209" w:type="dxa"/>
            <w:shd w:val="clear" w:color="auto" w:fill="auto"/>
          </w:tcPr>
          <w:p w:rsidR="00772A65" w:rsidRPr="009E39F8" w:rsidRDefault="00772A65" w:rsidP="00707C16">
            <w:pPr>
              <w:keepNext/>
              <w:widowControl/>
              <w:jc w:val="left"/>
              <w:rPr>
                <w:rFonts w:ascii="Arial Narrow" w:hAnsi="Arial Narrow"/>
                <w:sz w:val="20"/>
              </w:rPr>
            </w:pPr>
            <w:r w:rsidRPr="009E39F8">
              <w:rPr>
                <w:rFonts w:ascii="Arial Narrow" w:hAnsi="Arial Narrow"/>
                <w:sz w:val="20"/>
              </w:rPr>
              <w:t>One year</w:t>
            </w:r>
          </w:p>
        </w:tc>
      </w:tr>
      <w:tr w:rsidR="00772A65" w:rsidRPr="009E39F8" w:rsidTr="00772A65">
        <w:trPr>
          <w:trHeight w:val="256"/>
        </w:trPr>
        <w:tc>
          <w:tcPr>
            <w:tcW w:w="2126" w:type="dxa"/>
            <w:shd w:val="clear" w:color="auto" w:fill="auto"/>
          </w:tcPr>
          <w:p w:rsidR="00772A65" w:rsidRPr="009E39F8" w:rsidRDefault="00772A65" w:rsidP="00707C16">
            <w:pPr>
              <w:keepNext/>
              <w:widowControl/>
              <w:rPr>
                <w:rFonts w:ascii="Arial Narrow" w:hAnsi="Arial Narrow"/>
                <w:sz w:val="20"/>
              </w:rPr>
            </w:pPr>
            <w:r w:rsidRPr="009E39F8">
              <w:rPr>
                <w:rFonts w:ascii="Arial Narrow" w:hAnsi="Arial Narrow"/>
                <w:sz w:val="20"/>
              </w:rPr>
              <w:t>Outcomes</w:t>
            </w:r>
          </w:p>
        </w:tc>
        <w:tc>
          <w:tcPr>
            <w:tcW w:w="6209" w:type="dxa"/>
            <w:shd w:val="clear" w:color="auto" w:fill="auto"/>
          </w:tcPr>
          <w:p w:rsidR="00772A65" w:rsidRPr="009E39F8" w:rsidRDefault="00772A65" w:rsidP="00707C16">
            <w:pPr>
              <w:keepNext/>
              <w:widowControl/>
              <w:jc w:val="left"/>
              <w:rPr>
                <w:rFonts w:ascii="Arial Narrow" w:hAnsi="Arial Narrow"/>
                <w:sz w:val="20"/>
              </w:rPr>
            </w:pPr>
            <w:r w:rsidRPr="009E39F8">
              <w:rPr>
                <w:rFonts w:ascii="Arial Narrow" w:hAnsi="Arial Narrow"/>
                <w:sz w:val="20"/>
              </w:rPr>
              <w:t>QALY gained; utility values were attached to time with an attack, recovering from an attack, and the between attack period (to capture the benefit from the availability of self-administered treatment and reduced severity of an attack).</w:t>
            </w:r>
          </w:p>
        </w:tc>
      </w:tr>
      <w:tr w:rsidR="00772A65" w:rsidRPr="009E39F8" w:rsidTr="00772A65">
        <w:trPr>
          <w:trHeight w:val="409"/>
        </w:trPr>
        <w:tc>
          <w:tcPr>
            <w:tcW w:w="2126" w:type="dxa"/>
            <w:shd w:val="clear" w:color="auto" w:fill="auto"/>
          </w:tcPr>
          <w:p w:rsidR="00772A65" w:rsidRPr="009E39F8" w:rsidRDefault="00772A65" w:rsidP="00707C16">
            <w:pPr>
              <w:keepNext/>
              <w:widowControl/>
              <w:rPr>
                <w:rFonts w:ascii="Arial Narrow" w:hAnsi="Arial Narrow"/>
                <w:sz w:val="20"/>
              </w:rPr>
            </w:pPr>
            <w:r w:rsidRPr="009E39F8">
              <w:rPr>
                <w:rFonts w:ascii="Arial Narrow" w:hAnsi="Arial Narrow"/>
                <w:sz w:val="20"/>
              </w:rPr>
              <w:t>Methods used to generate results</w:t>
            </w:r>
          </w:p>
        </w:tc>
        <w:tc>
          <w:tcPr>
            <w:tcW w:w="6209" w:type="dxa"/>
            <w:shd w:val="clear" w:color="auto" w:fill="auto"/>
          </w:tcPr>
          <w:p w:rsidR="00772A65" w:rsidRPr="009E39F8" w:rsidRDefault="00772A65" w:rsidP="00707C16">
            <w:pPr>
              <w:keepNext/>
              <w:widowControl/>
              <w:jc w:val="left"/>
              <w:rPr>
                <w:rFonts w:ascii="Arial Narrow" w:hAnsi="Arial Narrow"/>
                <w:sz w:val="20"/>
              </w:rPr>
            </w:pPr>
            <w:r w:rsidRPr="009E39F8">
              <w:rPr>
                <w:rFonts w:ascii="Arial Narrow" w:hAnsi="Arial Narrow"/>
                <w:sz w:val="20"/>
              </w:rPr>
              <w:t>Cohort expected value analysis</w:t>
            </w:r>
            <w:r w:rsidR="003853A6" w:rsidRPr="009E39F8">
              <w:rPr>
                <w:rFonts w:ascii="Arial Narrow" w:hAnsi="Arial Narrow"/>
                <w:sz w:val="20"/>
              </w:rPr>
              <w:t>.</w:t>
            </w:r>
          </w:p>
          <w:p w:rsidR="00772A65" w:rsidRPr="009E39F8" w:rsidRDefault="00772A65" w:rsidP="00707C16">
            <w:pPr>
              <w:keepNext/>
              <w:widowControl/>
              <w:jc w:val="left"/>
              <w:rPr>
                <w:rFonts w:ascii="Arial Narrow" w:hAnsi="Arial Narrow"/>
                <w:sz w:val="20"/>
              </w:rPr>
            </w:pPr>
            <w:r w:rsidRPr="009E39F8">
              <w:rPr>
                <w:rFonts w:ascii="Arial Narrow" w:hAnsi="Arial Narrow"/>
                <w:sz w:val="20"/>
              </w:rPr>
              <w:t xml:space="preserve">Microsimulation with distribution of treated attack frequency. The inclusion of the microsimulation analysis is purely to allow an estimate of the effect on the incremental </w:t>
            </w:r>
            <w:r w:rsidR="008C0153">
              <w:rPr>
                <w:rFonts w:ascii="Arial Narrow" w:hAnsi="Arial Narrow"/>
                <w:sz w:val="20"/>
              </w:rPr>
              <w:t>cost effective</w:t>
            </w:r>
            <w:r w:rsidRPr="009E39F8">
              <w:rPr>
                <w:rFonts w:ascii="Arial Narrow" w:hAnsi="Arial Narrow"/>
                <w:sz w:val="20"/>
              </w:rPr>
              <w:t>ness of varying attack frequency. This could have been achieved within the cohort model structure.</w:t>
            </w:r>
          </w:p>
        </w:tc>
      </w:tr>
      <w:tr w:rsidR="00772A65" w:rsidRPr="009E39F8" w:rsidTr="00772A65">
        <w:trPr>
          <w:trHeight w:val="225"/>
        </w:trPr>
        <w:tc>
          <w:tcPr>
            <w:tcW w:w="2126" w:type="dxa"/>
            <w:shd w:val="clear" w:color="auto" w:fill="auto"/>
          </w:tcPr>
          <w:p w:rsidR="00772A65" w:rsidRPr="009E39F8" w:rsidRDefault="00772A65" w:rsidP="00707C16">
            <w:pPr>
              <w:keepNext/>
              <w:widowControl/>
              <w:rPr>
                <w:rFonts w:ascii="Arial Narrow" w:hAnsi="Arial Narrow"/>
                <w:sz w:val="20"/>
              </w:rPr>
            </w:pPr>
            <w:r w:rsidRPr="009E39F8">
              <w:rPr>
                <w:rFonts w:ascii="Arial Narrow" w:hAnsi="Arial Narrow"/>
                <w:sz w:val="20"/>
              </w:rPr>
              <w:t>Cycle length</w:t>
            </w:r>
          </w:p>
        </w:tc>
        <w:tc>
          <w:tcPr>
            <w:tcW w:w="6209" w:type="dxa"/>
            <w:shd w:val="clear" w:color="auto" w:fill="auto"/>
          </w:tcPr>
          <w:p w:rsidR="00772A65" w:rsidRPr="009E39F8" w:rsidRDefault="00772A65" w:rsidP="00707C16">
            <w:pPr>
              <w:keepNext/>
              <w:widowControl/>
              <w:jc w:val="left"/>
              <w:rPr>
                <w:rFonts w:ascii="Arial Narrow" w:hAnsi="Arial Narrow"/>
                <w:sz w:val="20"/>
              </w:rPr>
            </w:pPr>
            <w:r w:rsidRPr="009E39F8">
              <w:rPr>
                <w:rFonts w:ascii="Arial Narrow" w:hAnsi="Arial Narrow"/>
                <w:sz w:val="20"/>
              </w:rPr>
              <w:t>One day</w:t>
            </w:r>
          </w:p>
          <w:p w:rsidR="00772A65" w:rsidRPr="009E39F8" w:rsidRDefault="00772A65" w:rsidP="00707C16">
            <w:pPr>
              <w:keepNext/>
              <w:widowControl/>
              <w:jc w:val="left"/>
              <w:rPr>
                <w:rFonts w:ascii="Arial Narrow" w:hAnsi="Arial Narrow"/>
                <w:sz w:val="20"/>
              </w:rPr>
            </w:pPr>
            <w:r w:rsidRPr="009E39F8">
              <w:rPr>
                <w:rFonts w:ascii="Arial Narrow" w:hAnsi="Arial Narrow"/>
                <w:sz w:val="20"/>
              </w:rPr>
              <w:t xml:space="preserve">No </w:t>
            </w:r>
            <w:r w:rsidR="003853A6" w:rsidRPr="009E39F8">
              <w:rPr>
                <w:rFonts w:ascii="Arial Narrow" w:hAnsi="Arial Narrow"/>
                <w:sz w:val="20"/>
              </w:rPr>
              <w:t>half-</w:t>
            </w:r>
            <w:r w:rsidRPr="009E39F8">
              <w:rPr>
                <w:rFonts w:ascii="Arial Narrow" w:hAnsi="Arial Narrow"/>
                <w:sz w:val="20"/>
              </w:rPr>
              <w:t xml:space="preserve">cycle correction </w:t>
            </w:r>
            <w:r w:rsidR="003853A6" w:rsidRPr="009E39F8">
              <w:rPr>
                <w:rFonts w:ascii="Arial Narrow" w:hAnsi="Arial Narrow"/>
                <w:sz w:val="20"/>
              </w:rPr>
              <w:t xml:space="preserve">was </w:t>
            </w:r>
            <w:r w:rsidRPr="009E39F8">
              <w:rPr>
                <w:rFonts w:ascii="Arial Narrow" w:hAnsi="Arial Narrow"/>
                <w:sz w:val="20"/>
              </w:rPr>
              <w:t>applied. This is reasonable given the short cycle length.</w:t>
            </w:r>
          </w:p>
        </w:tc>
      </w:tr>
      <w:tr w:rsidR="00772A65" w:rsidRPr="009E39F8" w:rsidTr="00772A65">
        <w:trPr>
          <w:trHeight w:val="448"/>
        </w:trPr>
        <w:tc>
          <w:tcPr>
            <w:tcW w:w="2126" w:type="dxa"/>
            <w:shd w:val="clear" w:color="auto" w:fill="auto"/>
          </w:tcPr>
          <w:p w:rsidR="00772A65" w:rsidRPr="009E39F8" w:rsidRDefault="00772A65" w:rsidP="00707C16">
            <w:pPr>
              <w:keepNext/>
              <w:widowControl/>
              <w:rPr>
                <w:rFonts w:ascii="Arial Narrow" w:hAnsi="Arial Narrow"/>
                <w:sz w:val="20"/>
              </w:rPr>
            </w:pPr>
            <w:r w:rsidRPr="009E39F8">
              <w:rPr>
                <w:rFonts w:ascii="Arial Narrow" w:hAnsi="Arial Narrow"/>
                <w:sz w:val="20"/>
              </w:rPr>
              <w:t>Transition probabilities</w:t>
            </w:r>
          </w:p>
        </w:tc>
        <w:tc>
          <w:tcPr>
            <w:tcW w:w="6209" w:type="dxa"/>
            <w:shd w:val="clear" w:color="auto" w:fill="auto"/>
          </w:tcPr>
          <w:p w:rsidR="00772A65" w:rsidRPr="009E39F8" w:rsidRDefault="00772A65" w:rsidP="00707C16">
            <w:pPr>
              <w:keepNext/>
              <w:widowControl/>
              <w:jc w:val="left"/>
              <w:rPr>
                <w:rFonts w:ascii="Arial Narrow" w:hAnsi="Arial Narrow"/>
                <w:sz w:val="20"/>
              </w:rPr>
            </w:pPr>
            <w:r w:rsidRPr="009E39F8">
              <w:rPr>
                <w:rFonts w:ascii="Arial Narrow" w:hAnsi="Arial Narrow"/>
                <w:sz w:val="20"/>
              </w:rPr>
              <w:t xml:space="preserve">The distribution of treated attacks is derived from the DUSC data and compared with data from the FAST trials. In the model, the distribution of treated attacks </w:t>
            </w:r>
            <w:r w:rsidR="003853A6" w:rsidRPr="009E39F8">
              <w:rPr>
                <w:rFonts w:ascii="Arial Narrow" w:hAnsi="Arial Narrow"/>
                <w:sz w:val="20"/>
              </w:rPr>
              <w:t>was</w:t>
            </w:r>
            <w:r w:rsidRPr="009E39F8">
              <w:rPr>
                <w:rFonts w:ascii="Arial Narrow" w:hAnsi="Arial Narrow"/>
                <w:sz w:val="20"/>
              </w:rPr>
              <w:t xml:space="preserve"> translated to overall attack frequency</w:t>
            </w:r>
            <w:r w:rsidR="003853A6" w:rsidRPr="009E39F8">
              <w:rPr>
                <w:rFonts w:ascii="Arial Narrow" w:hAnsi="Arial Narrow"/>
                <w:sz w:val="20"/>
              </w:rPr>
              <w:t>.</w:t>
            </w:r>
          </w:p>
          <w:p w:rsidR="00772A65" w:rsidRPr="009E39F8" w:rsidRDefault="00772A65" w:rsidP="00A31280">
            <w:pPr>
              <w:keepNext/>
              <w:widowControl/>
              <w:jc w:val="left"/>
              <w:rPr>
                <w:rFonts w:ascii="Arial Narrow" w:hAnsi="Arial Narrow"/>
                <w:sz w:val="20"/>
              </w:rPr>
            </w:pPr>
            <w:r w:rsidRPr="009E39F8">
              <w:rPr>
                <w:rFonts w:ascii="Arial Narrow" w:hAnsi="Arial Narrow"/>
                <w:sz w:val="20"/>
              </w:rPr>
              <w:t>The transition probabilit</w:t>
            </w:r>
            <w:r w:rsidR="00A31280">
              <w:rPr>
                <w:rFonts w:ascii="Arial Narrow" w:hAnsi="Arial Narrow"/>
                <w:sz w:val="20"/>
              </w:rPr>
              <w:t>ies</w:t>
            </w:r>
            <w:r w:rsidRPr="009E39F8">
              <w:rPr>
                <w:rFonts w:ascii="Arial Narrow" w:hAnsi="Arial Narrow"/>
                <w:sz w:val="20"/>
              </w:rPr>
              <w:t xml:space="preserve"> between severity levels during attacks </w:t>
            </w:r>
            <w:r w:rsidR="00A31280">
              <w:rPr>
                <w:rFonts w:ascii="Arial Narrow" w:hAnsi="Arial Narrow"/>
                <w:sz w:val="20"/>
              </w:rPr>
              <w:t>were</w:t>
            </w:r>
            <w:r w:rsidR="00A31280" w:rsidRPr="009E39F8">
              <w:rPr>
                <w:rFonts w:ascii="Arial Narrow" w:hAnsi="Arial Narrow"/>
                <w:sz w:val="20"/>
              </w:rPr>
              <w:t xml:space="preserve"> </w:t>
            </w:r>
            <w:r w:rsidRPr="009E39F8">
              <w:rPr>
                <w:rFonts w:ascii="Arial Narrow" w:hAnsi="Arial Narrow"/>
                <w:sz w:val="20"/>
              </w:rPr>
              <w:t>derived from</w:t>
            </w:r>
            <w:r w:rsidR="003853A6" w:rsidRPr="009E39F8">
              <w:rPr>
                <w:rFonts w:ascii="Arial Narrow" w:hAnsi="Arial Narrow"/>
                <w:sz w:val="20"/>
              </w:rPr>
              <w:t xml:space="preserve"> a</w:t>
            </w:r>
            <w:r w:rsidRPr="009E39F8">
              <w:rPr>
                <w:rFonts w:ascii="Arial Narrow" w:hAnsi="Arial Narrow"/>
                <w:sz w:val="20"/>
              </w:rPr>
              <w:t xml:space="preserve"> pooled analysis of data from FAST-1 and FAST-2</w:t>
            </w:r>
            <w:r w:rsidR="003853A6" w:rsidRPr="009E39F8">
              <w:rPr>
                <w:rFonts w:ascii="Arial Narrow" w:hAnsi="Arial Narrow"/>
                <w:sz w:val="20"/>
              </w:rPr>
              <w:t>.</w:t>
            </w:r>
          </w:p>
        </w:tc>
      </w:tr>
      <w:tr w:rsidR="00772A65" w:rsidRPr="009E39F8" w:rsidTr="00772A65">
        <w:trPr>
          <w:trHeight w:val="240"/>
        </w:trPr>
        <w:tc>
          <w:tcPr>
            <w:tcW w:w="2126" w:type="dxa"/>
            <w:shd w:val="clear" w:color="auto" w:fill="auto"/>
          </w:tcPr>
          <w:p w:rsidR="00772A65" w:rsidRPr="009E39F8" w:rsidRDefault="00772A65" w:rsidP="00707C16">
            <w:pPr>
              <w:keepNext/>
              <w:widowControl/>
              <w:rPr>
                <w:rFonts w:ascii="Arial Narrow" w:hAnsi="Arial Narrow"/>
                <w:sz w:val="20"/>
              </w:rPr>
            </w:pPr>
            <w:r w:rsidRPr="009E39F8">
              <w:rPr>
                <w:rFonts w:ascii="Arial Narrow" w:hAnsi="Arial Narrow"/>
                <w:sz w:val="20"/>
              </w:rPr>
              <w:t>Discount rate</w:t>
            </w:r>
          </w:p>
        </w:tc>
        <w:tc>
          <w:tcPr>
            <w:tcW w:w="6209" w:type="dxa"/>
            <w:shd w:val="clear" w:color="auto" w:fill="auto"/>
          </w:tcPr>
          <w:p w:rsidR="00772A65" w:rsidRPr="009E39F8" w:rsidRDefault="00772A65" w:rsidP="00724761">
            <w:pPr>
              <w:keepNext/>
              <w:widowControl/>
              <w:jc w:val="left"/>
              <w:rPr>
                <w:rFonts w:ascii="Arial Narrow" w:hAnsi="Arial Narrow"/>
                <w:sz w:val="20"/>
              </w:rPr>
            </w:pPr>
            <w:r w:rsidRPr="009E39F8">
              <w:rPr>
                <w:rFonts w:ascii="Arial Narrow" w:hAnsi="Arial Narrow"/>
                <w:sz w:val="20"/>
              </w:rPr>
              <w:t xml:space="preserve">Not </w:t>
            </w:r>
            <w:r w:rsidR="00724761">
              <w:rPr>
                <w:rFonts w:ascii="Arial Narrow" w:hAnsi="Arial Narrow"/>
                <w:sz w:val="20"/>
              </w:rPr>
              <w:t>applied</w:t>
            </w:r>
            <w:r w:rsidR="00724761" w:rsidRPr="009E39F8">
              <w:rPr>
                <w:rFonts w:ascii="Arial Narrow" w:hAnsi="Arial Narrow"/>
                <w:sz w:val="20"/>
              </w:rPr>
              <w:t xml:space="preserve"> </w:t>
            </w:r>
            <w:r w:rsidRPr="009E39F8">
              <w:rPr>
                <w:rFonts w:ascii="Arial Narrow" w:hAnsi="Arial Narrow"/>
                <w:sz w:val="20"/>
              </w:rPr>
              <w:t>as the time horizon is only one year.</w:t>
            </w:r>
          </w:p>
        </w:tc>
      </w:tr>
    </w:tbl>
    <w:p w:rsidR="00E424FD" w:rsidRPr="00275C5A" w:rsidRDefault="00E424FD" w:rsidP="000075D9">
      <w:pPr>
        <w:pStyle w:val="TableFooter"/>
        <w:widowControl/>
        <w:ind w:left="709"/>
      </w:pPr>
      <w:r w:rsidRPr="00275C5A">
        <w:t>Source: compiled during the evaluation</w:t>
      </w:r>
    </w:p>
    <w:p w:rsidR="00E424FD" w:rsidRPr="00275C5A" w:rsidRDefault="00E424FD" w:rsidP="000075D9">
      <w:pPr>
        <w:widowControl/>
        <w:rPr>
          <w:szCs w:val="22"/>
        </w:rPr>
      </w:pPr>
    </w:p>
    <w:p w:rsidR="00E424FD" w:rsidRPr="009E39F8" w:rsidRDefault="00E424FD" w:rsidP="00E94114">
      <w:pPr>
        <w:pStyle w:val="ListParagraph"/>
        <w:widowControl/>
        <w:numPr>
          <w:ilvl w:val="1"/>
          <w:numId w:val="2"/>
        </w:numPr>
      </w:pPr>
      <w:r>
        <w:t xml:space="preserve">The </w:t>
      </w:r>
      <w:r w:rsidRPr="009E39F8">
        <w:t>key difference</w:t>
      </w:r>
      <w:r w:rsidR="003853A6" w:rsidRPr="009E39F8">
        <w:t>s</w:t>
      </w:r>
      <w:r w:rsidRPr="009E39F8">
        <w:t xml:space="preserve"> between the </w:t>
      </w:r>
      <w:r w:rsidRPr="009E39F8">
        <w:rPr>
          <w:rFonts w:hint="eastAsia"/>
          <w:lang w:eastAsia="zh-CN"/>
        </w:rPr>
        <w:t>July 2011</w:t>
      </w:r>
      <w:r w:rsidRPr="009E39F8">
        <w:t xml:space="preserve"> economic model and the updated economic</w:t>
      </w:r>
      <w:r w:rsidR="0056215C">
        <w:t xml:space="preserve"> model are summarised in Table 5</w:t>
      </w:r>
      <w:r w:rsidRPr="009E39F8">
        <w:t>.</w:t>
      </w:r>
      <w:r w:rsidR="00380DD8" w:rsidRPr="009E39F8">
        <w:t xml:space="preserve"> </w:t>
      </w:r>
      <w:r w:rsidR="009E39F8">
        <w:t>This wa</w:t>
      </w:r>
      <w:r w:rsidR="00380DD8" w:rsidRPr="009E39F8">
        <w:t xml:space="preserve">s a new model not previously assessed by </w:t>
      </w:r>
      <w:r w:rsidR="009A2C05" w:rsidRPr="009E39F8">
        <w:t xml:space="preserve">the </w:t>
      </w:r>
      <w:r w:rsidR="00380DD8" w:rsidRPr="009E39F8">
        <w:t>PBAC.</w:t>
      </w:r>
    </w:p>
    <w:p w:rsidR="00E424FD" w:rsidRPr="009E39F8" w:rsidRDefault="00E424FD" w:rsidP="00D53534"/>
    <w:p w:rsidR="00E424FD" w:rsidRPr="00842556" w:rsidRDefault="00E424FD" w:rsidP="00707C16">
      <w:pPr>
        <w:keepNext/>
        <w:widowControl/>
        <w:ind w:left="709"/>
        <w:rPr>
          <w:rFonts w:ascii="Arial Narrow" w:hAnsi="Arial Narrow"/>
          <w:b/>
          <w:sz w:val="20"/>
        </w:rPr>
      </w:pPr>
      <w:r w:rsidRPr="00842556">
        <w:rPr>
          <w:rFonts w:ascii="Arial Narrow" w:hAnsi="Arial Narrow"/>
          <w:b/>
          <w:sz w:val="20"/>
        </w:rPr>
        <w:lastRenderedPageBreak/>
        <w:t xml:space="preserve">Table </w:t>
      </w:r>
      <w:r w:rsidR="0056215C">
        <w:rPr>
          <w:rFonts w:ascii="Arial Narrow" w:hAnsi="Arial Narrow"/>
          <w:b/>
          <w:sz w:val="20"/>
        </w:rPr>
        <w:t>5</w:t>
      </w:r>
      <w:r>
        <w:rPr>
          <w:rFonts w:ascii="Arial Narrow" w:hAnsi="Arial Narrow"/>
          <w:b/>
          <w:sz w:val="20"/>
        </w:rPr>
        <w:t xml:space="preserve">: </w:t>
      </w:r>
      <w:r w:rsidRPr="00842556">
        <w:rPr>
          <w:rFonts w:ascii="Arial Narrow" w:hAnsi="Arial Narrow"/>
          <w:b/>
          <w:sz w:val="20"/>
        </w:rPr>
        <w:t xml:space="preserve"> Key differences between the </w:t>
      </w:r>
      <w:r w:rsidR="008B2763">
        <w:rPr>
          <w:rFonts w:ascii="Arial Narrow" w:hAnsi="Arial Narrow"/>
          <w:b/>
          <w:sz w:val="20"/>
        </w:rPr>
        <w:t>July</w:t>
      </w:r>
      <w:r w:rsidRPr="00842556">
        <w:rPr>
          <w:rFonts w:ascii="Arial Narrow" w:hAnsi="Arial Narrow"/>
          <w:b/>
          <w:sz w:val="20"/>
        </w:rPr>
        <w:t xml:space="preserve"> 201</w:t>
      </w:r>
      <w:r w:rsidR="008B2763">
        <w:rPr>
          <w:rFonts w:ascii="Arial Narrow" w:hAnsi="Arial Narrow"/>
          <w:b/>
          <w:sz w:val="20"/>
        </w:rPr>
        <w:t>1</w:t>
      </w:r>
      <w:r w:rsidRPr="00842556">
        <w:rPr>
          <w:rFonts w:ascii="Arial Narrow" w:hAnsi="Arial Narrow"/>
          <w:b/>
          <w:sz w:val="20"/>
        </w:rPr>
        <w:t xml:space="preserve"> economic model and the updated economic model</w:t>
      </w:r>
    </w:p>
    <w:tbl>
      <w:tblPr>
        <w:tblW w:w="8291"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59"/>
        <w:gridCol w:w="3402"/>
        <w:gridCol w:w="3330"/>
      </w:tblGrid>
      <w:tr w:rsidR="00E424FD" w:rsidRPr="009E39F8" w:rsidTr="00B047A0">
        <w:trPr>
          <w:tblHeader/>
        </w:trPr>
        <w:tc>
          <w:tcPr>
            <w:tcW w:w="1559" w:type="dxa"/>
          </w:tcPr>
          <w:p w:rsidR="00E424FD" w:rsidRPr="009E39F8" w:rsidRDefault="00E424FD" w:rsidP="00707C16">
            <w:pPr>
              <w:keepNext/>
              <w:widowControl/>
              <w:jc w:val="left"/>
              <w:rPr>
                <w:rFonts w:ascii="Arial Narrow" w:hAnsi="Arial Narrow"/>
                <w:sz w:val="20"/>
              </w:rPr>
            </w:pPr>
          </w:p>
        </w:tc>
        <w:tc>
          <w:tcPr>
            <w:tcW w:w="3402" w:type="dxa"/>
          </w:tcPr>
          <w:p w:rsidR="00E424FD" w:rsidRPr="009E39F8" w:rsidRDefault="00E424FD" w:rsidP="00707C16">
            <w:pPr>
              <w:keepNext/>
              <w:widowControl/>
              <w:jc w:val="center"/>
              <w:rPr>
                <w:rFonts w:ascii="Arial Narrow" w:hAnsi="Arial Narrow"/>
                <w:b/>
                <w:sz w:val="20"/>
              </w:rPr>
            </w:pPr>
            <w:r w:rsidRPr="009E39F8">
              <w:rPr>
                <w:rFonts w:ascii="Arial Narrow" w:hAnsi="Arial Narrow"/>
                <w:b/>
                <w:sz w:val="20"/>
              </w:rPr>
              <w:t>Previous submissions</w:t>
            </w:r>
          </w:p>
          <w:p w:rsidR="00E424FD" w:rsidRPr="009E39F8" w:rsidRDefault="00E424FD" w:rsidP="00707C16">
            <w:pPr>
              <w:keepNext/>
              <w:widowControl/>
              <w:jc w:val="center"/>
              <w:rPr>
                <w:rFonts w:ascii="Arial Narrow" w:hAnsi="Arial Narrow"/>
                <w:b/>
                <w:sz w:val="20"/>
              </w:rPr>
            </w:pPr>
            <w:r w:rsidRPr="009E39F8">
              <w:rPr>
                <w:rFonts w:ascii="Arial Narrow" w:hAnsi="Arial Narrow"/>
                <w:b/>
                <w:sz w:val="20"/>
              </w:rPr>
              <w:t>(July 2011 and March 2012)</w:t>
            </w:r>
          </w:p>
        </w:tc>
        <w:tc>
          <w:tcPr>
            <w:tcW w:w="3330" w:type="dxa"/>
          </w:tcPr>
          <w:p w:rsidR="00E424FD" w:rsidRPr="009E39F8" w:rsidRDefault="00E424FD" w:rsidP="00707C16">
            <w:pPr>
              <w:keepNext/>
              <w:widowControl/>
              <w:jc w:val="center"/>
              <w:rPr>
                <w:rFonts w:ascii="Arial Narrow" w:hAnsi="Arial Narrow"/>
                <w:b/>
                <w:sz w:val="20"/>
              </w:rPr>
            </w:pPr>
            <w:r w:rsidRPr="009E39F8">
              <w:rPr>
                <w:rFonts w:ascii="Arial Narrow" w:hAnsi="Arial Narrow"/>
                <w:b/>
                <w:sz w:val="20"/>
              </w:rPr>
              <w:t xml:space="preserve">Current </w:t>
            </w:r>
            <w:r w:rsidR="00D24424" w:rsidRPr="009E39F8">
              <w:rPr>
                <w:rFonts w:ascii="Arial Narrow" w:hAnsi="Arial Narrow"/>
                <w:b/>
                <w:sz w:val="20"/>
              </w:rPr>
              <w:t>submission</w:t>
            </w:r>
          </w:p>
          <w:p w:rsidR="00E424FD" w:rsidRPr="009E39F8" w:rsidRDefault="00E424FD" w:rsidP="00707C16">
            <w:pPr>
              <w:keepNext/>
              <w:widowControl/>
              <w:jc w:val="center"/>
              <w:rPr>
                <w:rFonts w:ascii="Arial Narrow" w:hAnsi="Arial Narrow"/>
                <w:b/>
                <w:sz w:val="20"/>
              </w:rPr>
            </w:pPr>
            <w:r w:rsidRPr="009E39F8">
              <w:rPr>
                <w:rFonts w:ascii="Arial Narrow" w:hAnsi="Arial Narrow"/>
                <w:b/>
                <w:sz w:val="20"/>
              </w:rPr>
              <w:t>(November 2016)</w:t>
            </w:r>
          </w:p>
        </w:tc>
      </w:tr>
      <w:tr w:rsidR="00E424FD" w:rsidRPr="009E39F8" w:rsidTr="00B047A0">
        <w:tc>
          <w:tcPr>
            <w:tcW w:w="1559" w:type="dxa"/>
            <w:vMerge w:val="restart"/>
          </w:tcPr>
          <w:p w:rsidR="00E424FD" w:rsidRPr="009E39F8" w:rsidRDefault="00E424FD" w:rsidP="00707C16">
            <w:pPr>
              <w:keepNext/>
              <w:widowControl/>
              <w:jc w:val="left"/>
              <w:rPr>
                <w:rFonts w:ascii="Arial Narrow" w:hAnsi="Arial Narrow"/>
                <w:sz w:val="20"/>
              </w:rPr>
            </w:pPr>
            <w:r w:rsidRPr="009E39F8">
              <w:rPr>
                <w:rFonts w:ascii="Arial Narrow" w:hAnsi="Arial Narrow"/>
                <w:sz w:val="20"/>
              </w:rPr>
              <w:t>Model structure</w:t>
            </w:r>
          </w:p>
        </w:tc>
        <w:tc>
          <w:tcPr>
            <w:tcW w:w="3402" w:type="dxa"/>
          </w:tcPr>
          <w:p w:rsidR="00E424FD" w:rsidRPr="009E39F8" w:rsidRDefault="00E424FD" w:rsidP="00707C16">
            <w:pPr>
              <w:keepNext/>
              <w:widowControl/>
              <w:jc w:val="left"/>
              <w:rPr>
                <w:rFonts w:ascii="Arial Narrow" w:hAnsi="Arial Narrow"/>
                <w:sz w:val="20"/>
                <w:lang w:eastAsia="zh-CN"/>
              </w:rPr>
            </w:pPr>
            <w:r w:rsidRPr="009E39F8">
              <w:rPr>
                <w:rFonts w:ascii="Arial Narrow" w:hAnsi="Arial Narrow"/>
                <w:sz w:val="20"/>
              </w:rPr>
              <w:t>The model comprised 4 health states</w:t>
            </w:r>
            <w:r w:rsidRPr="009E39F8">
              <w:rPr>
                <w:rFonts w:ascii="Arial Narrow" w:hAnsi="Arial Narrow"/>
                <w:sz w:val="20"/>
                <w:lang w:eastAsia="zh-CN"/>
              </w:rPr>
              <w:t xml:space="preserve"> to describe</w:t>
            </w:r>
            <w:r w:rsidRPr="009E39F8">
              <w:rPr>
                <w:rFonts w:ascii="Arial Narrow" w:hAnsi="Arial Narrow"/>
                <w:sz w:val="20"/>
              </w:rPr>
              <w:t xml:space="preserve"> attack free and within attacks s</w:t>
            </w:r>
            <w:r w:rsidR="00327CA2" w:rsidRPr="009E39F8">
              <w:rPr>
                <w:rFonts w:ascii="Arial Narrow" w:hAnsi="Arial Narrow"/>
                <w:sz w:val="20"/>
              </w:rPr>
              <w:t>t</w:t>
            </w:r>
            <w:r w:rsidRPr="009E39F8">
              <w:rPr>
                <w:rFonts w:ascii="Arial Narrow" w:hAnsi="Arial Narrow"/>
                <w:sz w:val="20"/>
              </w:rPr>
              <w:t xml:space="preserve">ates by site (cutaneous, abdominal, laryngeal). </w:t>
            </w:r>
          </w:p>
        </w:tc>
        <w:tc>
          <w:tcPr>
            <w:tcW w:w="3330" w:type="dxa"/>
          </w:tcPr>
          <w:p w:rsidR="00E424FD" w:rsidRPr="009E39F8" w:rsidRDefault="00E424FD" w:rsidP="00707C16">
            <w:pPr>
              <w:keepNext/>
              <w:widowControl/>
              <w:jc w:val="left"/>
              <w:rPr>
                <w:rFonts w:ascii="Arial Narrow" w:hAnsi="Arial Narrow"/>
                <w:sz w:val="20"/>
              </w:rPr>
            </w:pPr>
            <w:r w:rsidRPr="009E39F8">
              <w:rPr>
                <w:rFonts w:ascii="Arial Narrow" w:hAnsi="Arial Narrow"/>
                <w:sz w:val="20"/>
              </w:rPr>
              <w:t>The model comprise</w:t>
            </w:r>
            <w:r w:rsidR="00380DD8" w:rsidRPr="009E39F8">
              <w:rPr>
                <w:rFonts w:ascii="Arial Narrow" w:hAnsi="Arial Narrow"/>
                <w:sz w:val="20"/>
              </w:rPr>
              <w:t>d</w:t>
            </w:r>
            <w:r w:rsidRPr="009E39F8">
              <w:rPr>
                <w:rFonts w:ascii="Arial Narrow" w:hAnsi="Arial Narrow"/>
                <w:sz w:val="20"/>
              </w:rPr>
              <w:t xml:space="preserve"> 9 health states</w:t>
            </w:r>
            <w:r w:rsidRPr="009E39F8">
              <w:rPr>
                <w:rFonts w:ascii="Arial Narrow" w:hAnsi="Arial Narrow"/>
                <w:sz w:val="20"/>
                <w:lang w:eastAsia="zh-CN"/>
              </w:rPr>
              <w:t xml:space="preserve"> to describe</w:t>
            </w:r>
            <w:r w:rsidRPr="009E39F8">
              <w:rPr>
                <w:rFonts w:ascii="Arial Narrow" w:hAnsi="Arial Narrow"/>
                <w:sz w:val="20"/>
              </w:rPr>
              <w:t xml:space="preserve"> attack-free, within attack, and post attack (recovery period) states by severity levels (mild, moderate and severe).</w:t>
            </w:r>
            <w:r w:rsidR="00380DD8" w:rsidRPr="009E39F8">
              <w:rPr>
                <w:rFonts w:ascii="Arial Narrow" w:hAnsi="Arial Narrow"/>
                <w:sz w:val="20"/>
              </w:rPr>
              <w:t xml:space="preserve"> </w:t>
            </w:r>
          </w:p>
        </w:tc>
      </w:tr>
      <w:tr w:rsidR="00E424FD" w:rsidRPr="009E39F8" w:rsidTr="00B047A0">
        <w:tc>
          <w:tcPr>
            <w:tcW w:w="1559" w:type="dxa"/>
            <w:vMerge/>
          </w:tcPr>
          <w:p w:rsidR="00E424FD" w:rsidRPr="009E39F8" w:rsidRDefault="00E424FD" w:rsidP="00707C16">
            <w:pPr>
              <w:keepNext/>
              <w:widowControl/>
              <w:jc w:val="left"/>
              <w:rPr>
                <w:rFonts w:ascii="Arial Narrow" w:hAnsi="Arial Narrow"/>
                <w:sz w:val="20"/>
              </w:rPr>
            </w:pPr>
          </w:p>
        </w:tc>
        <w:tc>
          <w:tcPr>
            <w:tcW w:w="3402" w:type="dxa"/>
          </w:tcPr>
          <w:p w:rsidR="00E424FD" w:rsidRPr="009E39F8" w:rsidRDefault="00E424FD" w:rsidP="00707C16">
            <w:pPr>
              <w:keepNext/>
              <w:widowControl/>
              <w:jc w:val="left"/>
              <w:rPr>
                <w:rFonts w:ascii="Arial Narrow" w:hAnsi="Arial Narrow"/>
                <w:sz w:val="20"/>
                <w:lang w:eastAsia="zh-CN"/>
              </w:rPr>
            </w:pPr>
            <w:r w:rsidRPr="009E39F8">
              <w:rPr>
                <w:rFonts w:ascii="Arial Narrow" w:hAnsi="Arial Narrow"/>
                <w:sz w:val="20"/>
              </w:rPr>
              <w:t>Attacks defined by site (cutaneous, abdominal, laryngeal)</w:t>
            </w:r>
            <w:r w:rsidR="00380DD8" w:rsidRPr="009E39F8">
              <w:rPr>
                <w:rFonts w:ascii="Arial Narrow" w:hAnsi="Arial Narrow"/>
                <w:sz w:val="20"/>
              </w:rPr>
              <w:t>.</w:t>
            </w:r>
          </w:p>
        </w:tc>
        <w:tc>
          <w:tcPr>
            <w:tcW w:w="3330" w:type="dxa"/>
          </w:tcPr>
          <w:p w:rsidR="00E424FD" w:rsidRPr="009E39F8" w:rsidRDefault="00E424FD" w:rsidP="00707C16">
            <w:pPr>
              <w:keepNext/>
              <w:widowControl/>
              <w:jc w:val="left"/>
              <w:rPr>
                <w:rFonts w:ascii="Arial Narrow" w:hAnsi="Arial Narrow"/>
                <w:sz w:val="20"/>
                <w:lang w:eastAsia="zh-CN"/>
              </w:rPr>
            </w:pPr>
            <w:r w:rsidRPr="009E39F8">
              <w:rPr>
                <w:rFonts w:ascii="Arial Narrow" w:hAnsi="Arial Narrow"/>
                <w:sz w:val="20"/>
              </w:rPr>
              <w:t>Attacks defined by severity (mild, moderate, severe)</w:t>
            </w:r>
            <w:r w:rsidR="003853A6" w:rsidRPr="009E39F8">
              <w:rPr>
                <w:rFonts w:ascii="Arial Narrow" w:hAnsi="Arial Narrow"/>
                <w:sz w:val="20"/>
              </w:rPr>
              <w:t>.</w:t>
            </w:r>
          </w:p>
        </w:tc>
      </w:tr>
      <w:tr w:rsidR="00E424FD" w:rsidRPr="009E39F8" w:rsidTr="00B047A0">
        <w:tc>
          <w:tcPr>
            <w:tcW w:w="1559" w:type="dxa"/>
            <w:vMerge/>
          </w:tcPr>
          <w:p w:rsidR="00E424FD" w:rsidRPr="009E39F8" w:rsidRDefault="00E424FD" w:rsidP="00707C16">
            <w:pPr>
              <w:keepNext/>
              <w:widowControl/>
              <w:jc w:val="left"/>
              <w:rPr>
                <w:rFonts w:ascii="Arial Narrow" w:hAnsi="Arial Narrow"/>
                <w:sz w:val="20"/>
              </w:rPr>
            </w:pPr>
          </w:p>
        </w:tc>
        <w:tc>
          <w:tcPr>
            <w:tcW w:w="3402" w:type="dxa"/>
          </w:tcPr>
          <w:p w:rsidR="00E424FD" w:rsidRPr="009E39F8" w:rsidRDefault="00E424FD" w:rsidP="00707C16">
            <w:pPr>
              <w:keepNext/>
              <w:widowControl/>
              <w:jc w:val="left"/>
              <w:rPr>
                <w:rFonts w:ascii="Arial Narrow" w:hAnsi="Arial Narrow"/>
                <w:sz w:val="20"/>
              </w:rPr>
            </w:pPr>
            <w:r w:rsidRPr="009E39F8">
              <w:rPr>
                <w:rFonts w:ascii="Arial Narrow" w:hAnsi="Arial Narrow"/>
                <w:sz w:val="20"/>
              </w:rPr>
              <w:t xml:space="preserve">One year model with </w:t>
            </w:r>
            <w:r w:rsidRPr="009E39F8">
              <w:rPr>
                <w:rFonts w:ascii="Arial Narrow" w:hAnsi="Arial Narrow"/>
                <w:sz w:val="20"/>
                <w:lang w:eastAsia="zh-CN"/>
              </w:rPr>
              <w:t>weekly cycle</w:t>
            </w:r>
            <w:r w:rsidR="00380DD8" w:rsidRPr="009E39F8">
              <w:rPr>
                <w:rFonts w:ascii="Arial Narrow" w:hAnsi="Arial Narrow"/>
                <w:sz w:val="20"/>
                <w:lang w:eastAsia="zh-CN"/>
              </w:rPr>
              <w:t>s.</w:t>
            </w:r>
          </w:p>
        </w:tc>
        <w:tc>
          <w:tcPr>
            <w:tcW w:w="3330" w:type="dxa"/>
          </w:tcPr>
          <w:p w:rsidR="00E424FD" w:rsidRPr="009E39F8" w:rsidRDefault="00E424FD" w:rsidP="00707C16">
            <w:pPr>
              <w:keepNext/>
              <w:widowControl/>
              <w:jc w:val="left"/>
              <w:rPr>
                <w:rFonts w:ascii="Arial Narrow" w:hAnsi="Arial Narrow"/>
                <w:sz w:val="20"/>
              </w:rPr>
            </w:pPr>
            <w:r w:rsidRPr="009E39F8">
              <w:rPr>
                <w:rFonts w:ascii="Arial Narrow" w:hAnsi="Arial Narrow"/>
                <w:sz w:val="20"/>
              </w:rPr>
              <w:t>One year model with daily cycle</w:t>
            </w:r>
            <w:r w:rsidR="00380DD8" w:rsidRPr="009E39F8">
              <w:rPr>
                <w:rFonts w:ascii="Arial Narrow" w:hAnsi="Arial Narrow"/>
                <w:sz w:val="20"/>
              </w:rPr>
              <w:t>s.</w:t>
            </w:r>
          </w:p>
        </w:tc>
      </w:tr>
      <w:tr w:rsidR="00E424FD" w:rsidRPr="009E39F8" w:rsidTr="00B047A0">
        <w:tc>
          <w:tcPr>
            <w:tcW w:w="1559" w:type="dxa"/>
          </w:tcPr>
          <w:p w:rsidR="00E424FD" w:rsidRPr="009E39F8" w:rsidRDefault="00E424FD" w:rsidP="00707C16">
            <w:pPr>
              <w:keepNext/>
              <w:widowControl/>
              <w:jc w:val="left"/>
              <w:rPr>
                <w:rFonts w:ascii="Arial Narrow" w:hAnsi="Arial Narrow"/>
                <w:sz w:val="20"/>
              </w:rPr>
            </w:pPr>
            <w:r w:rsidRPr="009E39F8">
              <w:rPr>
                <w:rFonts w:ascii="Arial Narrow" w:hAnsi="Arial Narrow"/>
                <w:sz w:val="20"/>
              </w:rPr>
              <w:t>Circumstance of uses</w:t>
            </w:r>
          </w:p>
        </w:tc>
        <w:tc>
          <w:tcPr>
            <w:tcW w:w="3402" w:type="dxa"/>
          </w:tcPr>
          <w:p w:rsidR="00E424FD" w:rsidRPr="009E39F8" w:rsidRDefault="00E424FD" w:rsidP="00707C16">
            <w:pPr>
              <w:keepNext/>
              <w:widowControl/>
              <w:jc w:val="left"/>
              <w:rPr>
                <w:rFonts w:ascii="Arial Narrow" w:hAnsi="Arial Narrow"/>
                <w:sz w:val="20"/>
              </w:rPr>
            </w:pPr>
            <w:r w:rsidRPr="009E39F8">
              <w:rPr>
                <w:rFonts w:ascii="Arial Narrow" w:hAnsi="Arial Narrow"/>
                <w:sz w:val="20"/>
              </w:rPr>
              <w:t xml:space="preserve">Abdominal and laryngeal attacks </w:t>
            </w:r>
            <w:r w:rsidR="00380DD8" w:rsidRPr="009E39F8">
              <w:rPr>
                <w:rFonts w:ascii="Arial Narrow" w:hAnsi="Arial Narrow"/>
                <w:sz w:val="20"/>
              </w:rPr>
              <w:t xml:space="preserve">were </w:t>
            </w:r>
            <w:r w:rsidRPr="009E39F8">
              <w:rPr>
                <w:rFonts w:ascii="Arial Narrow" w:hAnsi="Arial Narrow"/>
                <w:sz w:val="20"/>
              </w:rPr>
              <w:t xml:space="preserve">treated; cutaneous attacks </w:t>
            </w:r>
            <w:r w:rsidR="00380DD8" w:rsidRPr="009E39F8">
              <w:rPr>
                <w:rFonts w:ascii="Arial Narrow" w:hAnsi="Arial Narrow"/>
                <w:sz w:val="20"/>
              </w:rPr>
              <w:t xml:space="preserve">were </w:t>
            </w:r>
            <w:r w:rsidRPr="009E39F8">
              <w:rPr>
                <w:rFonts w:ascii="Arial Narrow" w:hAnsi="Arial Narrow"/>
                <w:sz w:val="20"/>
              </w:rPr>
              <w:t xml:space="preserve">not treated. </w:t>
            </w:r>
          </w:p>
          <w:p w:rsidR="00E424FD" w:rsidRPr="009E39F8" w:rsidRDefault="00E424FD" w:rsidP="00707C16">
            <w:pPr>
              <w:keepNext/>
              <w:widowControl/>
              <w:jc w:val="left"/>
              <w:rPr>
                <w:rFonts w:ascii="Arial Narrow" w:hAnsi="Arial Narrow"/>
                <w:sz w:val="20"/>
              </w:rPr>
            </w:pPr>
            <w:r w:rsidRPr="009E39F8">
              <w:rPr>
                <w:rFonts w:ascii="Arial Narrow" w:hAnsi="Arial Narrow"/>
                <w:sz w:val="20"/>
              </w:rPr>
              <w:t>Base case: 3.25 treated attacks per patient per year</w:t>
            </w:r>
            <w:r w:rsidR="00380DD8" w:rsidRPr="009E39F8">
              <w:rPr>
                <w:rFonts w:ascii="Arial Narrow" w:hAnsi="Arial Narrow"/>
                <w:sz w:val="20"/>
              </w:rPr>
              <w:t>.</w:t>
            </w:r>
          </w:p>
        </w:tc>
        <w:tc>
          <w:tcPr>
            <w:tcW w:w="3330" w:type="dxa"/>
          </w:tcPr>
          <w:p w:rsidR="00E424FD" w:rsidRPr="009E39F8" w:rsidRDefault="00E424FD" w:rsidP="00707C16">
            <w:pPr>
              <w:keepNext/>
              <w:widowControl/>
              <w:jc w:val="left"/>
              <w:rPr>
                <w:rFonts w:ascii="Arial Narrow" w:hAnsi="Arial Narrow"/>
                <w:sz w:val="20"/>
              </w:rPr>
            </w:pPr>
            <w:r w:rsidRPr="009E39F8">
              <w:rPr>
                <w:rFonts w:ascii="Arial Narrow" w:hAnsi="Arial Narrow"/>
                <w:sz w:val="20"/>
              </w:rPr>
              <w:t xml:space="preserve">Moderate and severe attacks </w:t>
            </w:r>
            <w:r w:rsidR="00380DD8" w:rsidRPr="009E39F8">
              <w:rPr>
                <w:rFonts w:ascii="Arial Narrow" w:hAnsi="Arial Narrow"/>
                <w:sz w:val="20"/>
              </w:rPr>
              <w:t xml:space="preserve">were </w:t>
            </w:r>
            <w:r w:rsidRPr="009E39F8">
              <w:rPr>
                <w:rFonts w:ascii="Arial Narrow" w:hAnsi="Arial Narrow"/>
                <w:sz w:val="20"/>
              </w:rPr>
              <w:t xml:space="preserve">treated regardless of the site of the attack; mild attacks </w:t>
            </w:r>
            <w:r w:rsidR="00380DD8" w:rsidRPr="009E39F8">
              <w:rPr>
                <w:rFonts w:ascii="Arial Narrow" w:hAnsi="Arial Narrow"/>
                <w:sz w:val="20"/>
              </w:rPr>
              <w:t xml:space="preserve">were </w:t>
            </w:r>
            <w:r w:rsidRPr="009E39F8">
              <w:rPr>
                <w:rFonts w:ascii="Arial Narrow" w:hAnsi="Arial Narrow"/>
                <w:sz w:val="20"/>
              </w:rPr>
              <w:t>not treated.</w:t>
            </w:r>
          </w:p>
          <w:p w:rsidR="00E424FD" w:rsidRPr="009E39F8" w:rsidRDefault="00E424FD" w:rsidP="00707C16">
            <w:pPr>
              <w:keepNext/>
              <w:widowControl/>
              <w:jc w:val="left"/>
              <w:rPr>
                <w:rFonts w:ascii="Arial Narrow" w:hAnsi="Arial Narrow"/>
                <w:sz w:val="20"/>
              </w:rPr>
            </w:pPr>
            <w:r w:rsidRPr="009E39F8">
              <w:rPr>
                <w:rFonts w:ascii="Arial Narrow" w:hAnsi="Arial Narrow"/>
                <w:sz w:val="20"/>
              </w:rPr>
              <w:t>Base case: 6.33 in microsimulation analysis and 5.49 treated attacks per patient per year in cohort analysis (Table D.5.1)</w:t>
            </w:r>
            <w:r w:rsidR="003853A6" w:rsidRPr="009E39F8">
              <w:rPr>
                <w:rFonts w:ascii="Arial Narrow" w:hAnsi="Arial Narrow"/>
                <w:sz w:val="20"/>
              </w:rPr>
              <w:t>.</w:t>
            </w:r>
          </w:p>
        </w:tc>
      </w:tr>
      <w:tr w:rsidR="00E424FD" w:rsidRPr="009E39F8" w:rsidTr="00B047A0">
        <w:tc>
          <w:tcPr>
            <w:tcW w:w="1559" w:type="dxa"/>
          </w:tcPr>
          <w:p w:rsidR="00E424FD" w:rsidRPr="009E39F8" w:rsidRDefault="00E424FD" w:rsidP="00707C16">
            <w:pPr>
              <w:keepNext/>
              <w:widowControl/>
              <w:jc w:val="left"/>
              <w:rPr>
                <w:rFonts w:ascii="Arial Narrow" w:hAnsi="Arial Narrow"/>
                <w:sz w:val="20"/>
              </w:rPr>
            </w:pPr>
            <w:r w:rsidRPr="009E39F8">
              <w:rPr>
                <w:rFonts w:ascii="Arial Narrow" w:hAnsi="Arial Narrow"/>
                <w:sz w:val="20"/>
              </w:rPr>
              <w:t>Treatment outcome</w:t>
            </w:r>
          </w:p>
        </w:tc>
        <w:tc>
          <w:tcPr>
            <w:tcW w:w="3402" w:type="dxa"/>
          </w:tcPr>
          <w:p w:rsidR="00E424FD" w:rsidRPr="009E39F8" w:rsidRDefault="00E424FD" w:rsidP="00707C16">
            <w:pPr>
              <w:keepNext/>
              <w:widowControl/>
              <w:jc w:val="left"/>
              <w:rPr>
                <w:rFonts w:ascii="Arial Narrow" w:hAnsi="Arial Narrow"/>
                <w:sz w:val="20"/>
              </w:rPr>
            </w:pPr>
            <w:r w:rsidRPr="009E39F8">
              <w:rPr>
                <w:rFonts w:ascii="Arial Narrow" w:hAnsi="Arial Narrow"/>
                <w:sz w:val="20"/>
              </w:rPr>
              <w:t>Treatment outcome applied in the mode</w:t>
            </w:r>
            <w:r w:rsidR="00380DD8" w:rsidRPr="009E39F8">
              <w:rPr>
                <w:rFonts w:ascii="Arial Narrow" w:hAnsi="Arial Narrow"/>
                <w:sz w:val="20"/>
              </w:rPr>
              <w:t>l</w:t>
            </w:r>
            <w:r w:rsidRPr="009E39F8">
              <w:rPr>
                <w:rFonts w:ascii="Arial Narrow" w:hAnsi="Arial Narrow"/>
                <w:sz w:val="20"/>
              </w:rPr>
              <w:t xml:space="preserve"> is the median time to almost complete relief (TOR 90+)</w:t>
            </w:r>
            <w:r w:rsidR="00380DD8" w:rsidRPr="009E39F8">
              <w:rPr>
                <w:rFonts w:ascii="Arial Narrow" w:hAnsi="Arial Narrow"/>
                <w:sz w:val="20"/>
              </w:rPr>
              <w:t>.</w:t>
            </w:r>
          </w:p>
        </w:tc>
        <w:tc>
          <w:tcPr>
            <w:tcW w:w="3330" w:type="dxa"/>
          </w:tcPr>
          <w:p w:rsidR="00E424FD" w:rsidRPr="009E39F8" w:rsidRDefault="00E424FD" w:rsidP="009227F6">
            <w:pPr>
              <w:keepNext/>
              <w:widowControl/>
              <w:jc w:val="left"/>
              <w:rPr>
                <w:rFonts w:ascii="Arial Narrow" w:hAnsi="Arial Narrow"/>
                <w:sz w:val="20"/>
              </w:rPr>
            </w:pPr>
            <w:r w:rsidRPr="009E39F8">
              <w:rPr>
                <w:rFonts w:ascii="Arial Narrow" w:hAnsi="Arial Narrow"/>
                <w:sz w:val="20"/>
              </w:rPr>
              <w:t xml:space="preserve">Treatment outcome applied in the model is the transition probability between severity levels after receiving treatment from the pooled analysis of the FAST trials. </w:t>
            </w:r>
          </w:p>
        </w:tc>
      </w:tr>
      <w:tr w:rsidR="00E424FD" w:rsidRPr="009E39F8" w:rsidTr="00B047A0">
        <w:tc>
          <w:tcPr>
            <w:tcW w:w="1559" w:type="dxa"/>
          </w:tcPr>
          <w:p w:rsidR="00E424FD" w:rsidRPr="009E39F8" w:rsidRDefault="00E424FD" w:rsidP="00707C16">
            <w:pPr>
              <w:keepNext/>
              <w:widowControl/>
              <w:jc w:val="left"/>
              <w:rPr>
                <w:rFonts w:ascii="Arial Narrow" w:hAnsi="Arial Narrow"/>
                <w:sz w:val="20"/>
              </w:rPr>
            </w:pPr>
            <w:r w:rsidRPr="009E39F8">
              <w:rPr>
                <w:rFonts w:ascii="Arial Narrow" w:hAnsi="Arial Narrow"/>
                <w:sz w:val="20"/>
              </w:rPr>
              <w:t xml:space="preserve">Transition probabilities </w:t>
            </w:r>
          </w:p>
        </w:tc>
        <w:tc>
          <w:tcPr>
            <w:tcW w:w="3402" w:type="dxa"/>
          </w:tcPr>
          <w:p w:rsidR="00E424FD" w:rsidRPr="009E39F8" w:rsidRDefault="00E424FD" w:rsidP="00707C16">
            <w:pPr>
              <w:keepNext/>
              <w:widowControl/>
              <w:jc w:val="left"/>
              <w:rPr>
                <w:rFonts w:ascii="Arial Narrow" w:hAnsi="Arial Narrow"/>
                <w:sz w:val="20"/>
              </w:rPr>
            </w:pPr>
            <w:r w:rsidRPr="009E39F8">
              <w:rPr>
                <w:rFonts w:ascii="Arial Narrow" w:hAnsi="Arial Narrow"/>
                <w:sz w:val="20"/>
              </w:rPr>
              <w:t>Probability of experiencing an attack is based on FAST trials</w:t>
            </w:r>
            <w:r w:rsidR="00380DD8" w:rsidRPr="009E39F8">
              <w:rPr>
                <w:rFonts w:ascii="Arial Narrow" w:hAnsi="Arial Narrow"/>
                <w:sz w:val="20"/>
              </w:rPr>
              <w:t>.</w:t>
            </w:r>
          </w:p>
        </w:tc>
        <w:tc>
          <w:tcPr>
            <w:tcW w:w="3330" w:type="dxa"/>
          </w:tcPr>
          <w:p w:rsidR="00E424FD" w:rsidRPr="009E39F8" w:rsidRDefault="00E424FD" w:rsidP="00707C16">
            <w:pPr>
              <w:keepNext/>
              <w:widowControl/>
              <w:jc w:val="left"/>
              <w:rPr>
                <w:rFonts w:ascii="Arial Narrow" w:hAnsi="Arial Narrow"/>
                <w:sz w:val="20"/>
              </w:rPr>
            </w:pPr>
            <w:r w:rsidRPr="009E39F8">
              <w:rPr>
                <w:rFonts w:ascii="Arial Narrow" w:hAnsi="Arial Narrow"/>
                <w:sz w:val="20"/>
              </w:rPr>
              <w:t xml:space="preserve">Probability of experiencing an attack is based on </w:t>
            </w:r>
            <w:r w:rsidR="00380DD8" w:rsidRPr="009E39F8">
              <w:rPr>
                <w:rFonts w:ascii="Arial Narrow" w:hAnsi="Arial Narrow"/>
                <w:sz w:val="20"/>
              </w:rPr>
              <w:t xml:space="preserve">the </w:t>
            </w:r>
            <w:r w:rsidRPr="009E39F8">
              <w:rPr>
                <w:rFonts w:ascii="Arial Narrow" w:hAnsi="Arial Narrow"/>
                <w:sz w:val="20"/>
              </w:rPr>
              <w:t>DUSC data and FAST trials</w:t>
            </w:r>
            <w:r w:rsidR="00380DD8" w:rsidRPr="009E39F8">
              <w:rPr>
                <w:rFonts w:ascii="Arial Narrow" w:hAnsi="Arial Narrow"/>
                <w:sz w:val="20"/>
              </w:rPr>
              <w:t>.</w:t>
            </w:r>
          </w:p>
        </w:tc>
      </w:tr>
      <w:tr w:rsidR="00E424FD" w:rsidRPr="009E39F8" w:rsidTr="00B047A0">
        <w:tc>
          <w:tcPr>
            <w:tcW w:w="1559" w:type="dxa"/>
            <w:vMerge w:val="restart"/>
          </w:tcPr>
          <w:p w:rsidR="00E424FD" w:rsidRPr="009E39F8" w:rsidRDefault="00E424FD" w:rsidP="00707C16">
            <w:pPr>
              <w:keepNext/>
              <w:widowControl/>
              <w:jc w:val="left"/>
              <w:rPr>
                <w:rFonts w:ascii="Arial Narrow" w:hAnsi="Arial Narrow"/>
                <w:sz w:val="20"/>
              </w:rPr>
            </w:pPr>
            <w:r w:rsidRPr="009E39F8">
              <w:rPr>
                <w:rFonts w:ascii="Arial Narrow" w:hAnsi="Arial Narrow"/>
                <w:sz w:val="20"/>
              </w:rPr>
              <w:t>Utilities values</w:t>
            </w:r>
          </w:p>
        </w:tc>
        <w:tc>
          <w:tcPr>
            <w:tcW w:w="3402" w:type="dxa"/>
          </w:tcPr>
          <w:p w:rsidR="00E424FD" w:rsidRPr="009E39F8" w:rsidRDefault="00E424FD" w:rsidP="00A11B66">
            <w:pPr>
              <w:keepNext/>
              <w:widowControl/>
              <w:jc w:val="left"/>
              <w:rPr>
                <w:rFonts w:ascii="Arial Narrow" w:hAnsi="Arial Narrow"/>
                <w:sz w:val="20"/>
                <w:lang w:eastAsia="zh-CN"/>
              </w:rPr>
            </w:pPr>
            <w:r w:rsidRPr="009E39F8">
              <w:rPr>
                <w:rFonts w:ascii="Arial Narrow" w:hAnsi="Arial Narrow"/>
                <w:sz w:val="20"/>
                <w:lang w:eastAsia="zh-CN"/>
              </w:rPr>
              <w:t>U</w:t>
            </w:r>
            <w:r w:rsidRPr="009E39F8">
              <w:rPr>
                <w:rFonts w:ascii="Arial Narrow" w:hAnsi="Arial Narrow"/>
                <w:sz w:val="20"/>
              </w:rPr>
              <w:t xml:space="preserve">tility </w:t>
            </w:r>
            <w:r w:rsidR="00A11B66">
              <w:rPr>
                <w:rFonts w:ascii="Arial Narrow" w:hAnsi="Arial Narrow"/>
                <w:sz w:val="20"/>
              </w:rPr>
              <w:t>values</w:t>
            </w:r>
            <w:r w:rsidR="00A11B66" w:rsidRPr="009E39F8">
              <w:rPr>
                <w:rFonts w:ascii="Arial Narrow" w:hAnsi="Arial Narrow"/>
                <w:sz w:val="20"/>
              </w:rPr>
              <w:t xml:space="preserve"> </w:t>
            </w:r>
            <w:r w:rsidRPr="009E39F8">
              <w:rPr>
                <w:rFonts w:ascii="Arial Narrow" w:hAnsi="Arial Narrow"/>
                <w:sz w:val="20"/>
              </w:rPr>
              <w:t>based on the scenario-based utility valuation study</w:t>
            </w:r>
            <w:r w:rsidRPr="009E39F8">
              <w:rPr>
                <w:rFonts w:ascii="Arial Narrow" w:hAnsi="Arial Narrow"/>
                <w:sz w:val="20"/>
                <w:lang w:eastAsia="zh-CN"/>
              </w:rPr>
              <w:t xml:space="preserve"> with standard gamble method. </w:t>
            </w:r>
          </w:p>
        </w:tc>
        <w:tc>
          <w:tcPr>
            <w:tcW w:w="3330" w:type="dxa"/>
          </w:tcPr>
          <w:p w:rsidR="00E424FD" w:rsidRPr="009E39F8" w:rsidRDefault="00E424FD" w:rsidP="00707C16">
            <w:pPr>
              <w:keepNext/>
              <w:widowControl/>
              <w:jc w:val="left"/>
              <w:rPr>
                <w:rFonts w:ascii="Arial Narrow" w:hAnsi="Arial Narrow"/>
                <w:sz w:val="20"/>
                <w:lang w:eastAsia="zh-CN"/>
              </w:rPr>
            </w:pPr>
            <w:r w:rsidRPr="009E39F8">
              <w:rPr>
                <w:rFonts w:ascii="Arial Narrow" w:hAnsi="Arial Narrow"/>
                <w:sz w:val="20"/>
                <w:lang w:eastAsia="zh-CN"/>
              </w:rPr>
              <w:t>Utilit</w:t>
            </w:r>
            <w:r w:rsidR="00A11B66">
              <w:rPr>
                <w:rFonts w:ascii="Arial Narrow" w:hAnsi="Arial Narrow"/>
                <w:sz w:val="20"/>
                <w:lang w:eastAsia="zh-CN"/>
              </w:rPr>
              <w:t>y values</w:t>
            </w:r>
            <w:r w:rsidRPr="009E39F8">
              <w:rPr>
                <w:rFonts w:ascii="Arial Narrow" w:hAnsi="Arial Narrow"/>
                <w:sz w:val="20"/>
                <w:lang w:eastAsia="zh-CN"/>
              </w:rPr>
              <w:t xml:space="preserve"> based on EQ-5D measured in Nordenfelt 2014 and the utility study with standard gamble method.</w:t>
            </w:r>
          </w:p>
        </w:tc>
      </w:tr>
      <w:tr w:rsidR="00E424FD" w:rsidRPr="009E39F8" w:rsidTr="00B047A0">
        <w:tc>
          <w:tcPr>
            <w:tcW w:w="1559" w:type="dxa"/>
            <w:vMerge/>
          </w:tcPr>
          <w:p w:rsidR="00E424FD" w:rsidRPr="009E39F8" w:rsidRDefault="00E424FD" w:rsidP="00707C16">
            <w:pPr>
              <w:keepNext/>
              <w:widowControl/>
              <w:jc w:val="left"/>
              <w:rPr>
                <w:rFonts w:ascii="Arial Narrow" w:hAnsi="Arial Narrow"/>
                <w:sz w:val="20"/>
              </w:rPr>
            </w:pPr>
          </w:p>
        </w:tc>
        <w:tc>
          <w:tcPr>
            <w:tcW w:w="3402" w:type="dxa"/>
          </w:tcPr>
          <w:p w:rsidR="00E424FD" w:rsidRPr="009E39F8" w:rsidRDefault="00E424FD" w:rsidP="00707C16">
            <w:pPr>
              <w:keepNext/>
              <w:widowControl/>
              <w:jc w:val="left"/>
              <w:rPr>
                <w:rFonts w:ascii="Arial Narrow" w:hAnsi="Arial Narrow"/>
                <w:sz w:val="20"/>
                <w:lang w:eastAsia="zh-CN"/>
              </w:rPr>
            </w:pPr>
            <w:r w:rsidRPr="009E39F8">
              <w:rPr>
                <w:rFonts w:ascii="Arial Narrow" w:hAnsi="Arial Narrow"/>
                <w:sz w:val="20"/>
                <w:lang w:eastAsia="zh-CN"/>
              </w:rPr>
              <w:t>Attack-free states: utility is independent of attack severity, site or frequency</w:t>
            </w:r>
            <w:r w:rsidR="00380DD8" w:rsidRPr="009E39F8">
              <w:rPr>
                <w:rFonts w:ascii="Arial Narrow" w:hAnsi="Arial Narrow"/>
                <w:sz w:val="20"/>
                <w:lang w:eastAsia="zh-CN"/>
              </w:rPr>
              <w:t>.</w:t>
            </w:r>
          </w:p>
        </w:tc>
        <w:tc>
          <w:tcPr>
            <w:tcW w:w="3330" w:type="dxa"/>
          </w:tcPr>
          <w:p w:rsidR="00E424FD" w:rsidRPr="009E39F8" w:rsidRDefault="00E424FD" w:rsidP="00A11B66">
            <w:pPr>
              <w:keepNext/>
              <w:widowControl/>
              <w:jc w:val="left"/>
              <w:rPr>
                <w:rFonts w:ascii="Arial Narrow" w:hAnsi="Arial Narrow"/>
                <w:sz w:val="20"/>
                <w:lang w:eastAsia="zh-CN"/>
              </w:rPr>
            </w:pPr>
            <w:r w:rsidRPr="009E39F8">
              <w:rPr>
                <w:rFonts w:ascii="Arial Narrow" w:hAnsi="Arial Narrow"/>
                <w:sz w:val="20"/>
                <w:lang w:eastAsia="zh-CN"/>
              </w:rPr>
              <w:t>Attack-free states: utility is dependent on severity of previous attack and availability of self-administered treatment</w:t>
            </w:r>
            <w:r w:rsidR="00380DD8" w:rsidRPr="009E39F8">
              <w:rPr>
                <w:rFonts w:ascii="Arial Narrow" w:hAnsi="Arial Narrow"/>
                <w:sz w:val="20"/>
                <w:lang w:eastAsia="zh-CN"/>
              </w:rPr>
              <w:t xml:space="preserve">. </w:t>
            </w:r>
          </w:p>
        </w:tc>
      </w:tr>
      <w:tr w:rsidR="00E424FD" w:rsidRPr="009E39F8" w:rsidTr="00B047A0">
        <w:tc>
          <w:tcPr>
            <w:tcW w:w="1559" w:type="dxa"/>
            <w:vMerge/>
          </w:tcPr>
          <w:p w:rsidR="00E424FD" w:rsidRPr="009E39F8" w:rsidRDefault="00E424FD" w:rsidP="00707C16">
            <w:pPr>
              <w:keepNext/>
              <w:widowControl/>
              <w:jc w:val="left"/>
              <w:rPr>
                <w:rFonts w:ascii="Arial Narrow" w:hAnsi="Arial Narrow"/>
                <w:sz w:val="20"/>
              </w:rPr>
            </w:pPr>
          </w:p>
        </w:tc>
        <w:tc>
          <w:tcPr>
            <w:tcW w:w="3402" w:type="dxa"/>
          </w:tcPr>
          <w:p w:rsidR="00E424FD" w:rsidRPr="009E39F8" w:rsidRDefault="00E424FD" w:rsidP="00707C16">
            <w:pPr>
              <w:keepNext/>
              <w:widowControl/>
              <w:jc w:val="left"/>
              <w:rPr>
                <w:rFonts w:ascii="Arial Narrow" w:hAnsi="Arial Narrow"/>
                <w:sz w:val="20"/>
                <w:lang w:eastAsia="zh-CN"/>
              </w:rPr>
            </w:pPr>
            <w:r w:rsidRPr="009E39F8">
              <w:rPr>
                <w:rFonts w:ascii="Arial Narrow" w:hAnsi="Arial Narrow"/>
                <w:sz w:val="20"/>
                <w:lang w:eastAsia="zh-CN"/>
              </w:rPr>
              <w:t>A nominal 0.5 utility decrement for within attack states for both arms</w:t>
            </w:r>
            <w:r w:rsidR="00380DD8" w:rsidRPr="009E39F8">
              <w:rPr>
                <w:rFonts w:ascii="Arial Narrow" w:hAnsi="Arial Narrow"/>
                <w:sz w:val="20"/>
                <w:lang w:eastAsia="zh-CN"/>
              </w:rPr>
              <w:t>.</w:t>
            </w:r>
          </w:p>
        </w:tc>
        <w:tc>
          <w:tcPr>
            <w:tcW w:w="3330" w:type="dxa"/>
          </w:tcPr>
          <w:p w:rsidR="00E424FD" w:rsidRPr="009E39F8" w:rsidRDefault="00E424FD" w:rsidP="00707C16">
            <w:pPr>
              <w:keepNext/>
              <w:widowControl/>
              <w:jc w:val="left"/>
              <w:rPr>
                <w:rFonts w:ascii="Arial Narrow" w:hAnsi="Arial Narrow"/>
                <w:sz w:val="20"/>
                <w:lang w:eastAsia="zh-CN"/>
              </w:rPr>
            </w:pPr>
            <w:r w:rsidRPr="009E39F8">
              <w:rPr>
                <w:rFonts w:ascii="Arial Narrow" w:hAnsi="Arial Narrow"/>
                <w:sz w:val="20"/>
                <w:lang w:eastAsia="zh-CN"/>
              </w:rPr>
              <w:t>Utility within attack is determined by severity of attack and treatment</w:t>
            </w:r>
            <w:r w:rsidR="003853A6" w:rsidRPr="009E39F8">
              <w:rPr>
                <w:rFonts w:ascii="Arial Narrow" w:hAnsi="Arial Narrow"/>
                <w:sz w:val="20"/>
                <w:lang w:eastAsia="zh-CN"/>
              </w:rPr>
              <w:t>.</w:t>
            </w:r>
            <w:r w:rsidRPr="009E39F8">
              <w:rPr>
                <w:rFonts w:ascii="Arial Narrow" w:hAnsi="Arial Narrow"/>
                <w:sz w:val="20"/>
                <w:lang w:eastAsia="zh-CN"/>
              </w:rPr>
              <w:t xml:space="preserve"> </w:t>
            </w:r>
          </w:p>
        </w:tc>
      </w:tr>
      <w:tr w:rsidR="00E424FD" w:rsidRPr="009E39F8" w:rsidTr="00B047A0">
        <w:tc>
          <w:tcPr>
            <w:tcW w:w="1559" w:type="dxa"/>
            <w:vMerge/>
          </w:tcPr>
          <w:p w:rsidR="00E424FD" w:rsidRPr="009E39F8" w:rsidRDefault="00E424FD" w:rsidP="00707C16">
            <w:pPr>
              <w:keepNext/>
              <w:widowControl/>
              <w:jc w:val="left"/>
              <w:rPr>
                <w:rFonts w:ascii="Arial Narrow" w:hAnsi="Arial Narrow"/>
                <w:sz w:val="20"/>
              </w:rPr>
            </w:pPr>
          </w:p>
        </w:tc>
        <w:tc>
          <w:tcPr>
            <w:tcW w:w="3402" w:type="dxa"/>
          </w:tcPr>
          <w:p w:rsidR="00E424FD" w:rsidRPr="009E39F8" w:rsidRDefault="00E424FD" w:rsidP="00707C16">
            <w:pPr>
              <w:keepNext/>
              <w:widowControl/>
              <w:jc w:val="left"/>
              <w:rPr>
                <w:rFonts w:ascii="Arial Narrow" w:hAnsi="Arial Narrow"/>
                <w:sz w:val="20"/>
                <w:lang w:eastAsia="zh-CN"/>
              </w:rPr>
            </w:pPr>
            <w:r w:rsidRPr="009E39F8">
              <w:rPr>
                <w:rFonts w:ascii="Arial Narrow" w:hAnsi="Arial Narrow"/>
                <w:sz w:val="20"/>
                <w:lang w:eastAsia="zh-CN"/>
              </w:rPr>
              <w:t>No recovery period considered</w:t>
            </w:r>
            <w:r w:rsidR="00380DD8" w:rsidRPr="009E39F8">
              <w:rPr>
                <w:rFonts w:ascii="Arial Narrow" w:hAnsi="Arial Narrow"/>
                <w:sz w:val="20"/>
                <w:lang w:eastAsia="zh-CN"/>
              </w:rPr>
              <w:t>.</w:t>
            </w:r>
          </w:p>
        </w:tc>
        <w:tc>
          <w:tcPr>
            <w:tcW w:w="3330" w:type="dxa"/>
          </w:tcPr>
          <w:p w:rsidR="00E424FD" w:rsidRPr="009E39F8" w:rsidRDefault="00E424FD" w:rsidP="00707C16">
            <w:pPr>
              <w:keepNext/>
              <w:widowControl/>
              <w:jc w:val="left"/>
              <w:rPr>
                <w:rFonts w:ascii="Arial Narrow" w:hAnsi="Arial Narrow"/>
                <w:sz w:val="20"/>
                <w:lang w:eastAsia="zh-CN"/>
              </w:rPr>
            </w:pPr>
            <w:r w:rsidRPr="009E39F8">
              <w:rPr>
                <w:rFonts w:ascii="Arial Narrow" w:hAnsi="Arial Narrow"/>
                <w:sz w:val="20"/>
                <w:lang w:eastAsia="zh-CN"/>
              </w:rPr>
              <w:t xml:space="preserve">Time to restore utility </w:t>
            </w:r>
            <w:r w:rsidR="00380DD8" w:rsidRPr="009E39F8">
              <w:rPr>
                <w:rFonts w:ascii="Arial Narrow" w:hAnsi="Arial Narrow"/>
                <w:sz w:val="20"/>
                <w:lang w:eastAsia="zh-CN"/>
              </w:rPr>
              <w:t xml:space="preserve">to pre-attack levels </w:t>
            </w:r>
            <w:r w:rsidRPr="009E39F8">
              <w:rPr>
                <w:rFonts w:ascii="Arial Narrow" w:hAnsi="Arial Narrow"/>
                <w:sz w:val="20"/>
                <w:lang w:eastAsia="zh-CN"/>
              </w:rPr>
              <w:t>in recovery period is assumed to be 9 days</w:t>
            </w:r>
            <w:r w:rsidR="00380DD8" w:rsidRPr="009E39F8">
              <w:rPr>
                <w:rFonts w:ascii="Arial Narrow" w:hAnsi="Arial Narrow"/>
                <w:sz w:val="20"/>
                <w:lang w:eastAsia="zh-CN"/>
              </w:rPr>
              <w:t>.</w:t>
            </w:r>
            <w:r w:rsidRPr="009E39F8">
              <w:rPr>
                <w:rFonts w:ascii="Arial Narrow" w:hAnsi="Arial Narrow"/>
                <w:sz w:val="20"/>
                <w:lang w:eastAsia="zh-CN"/>
              </w:rPr>
              <w:t xml:space="preserve"> </w:t>
            </w:r>
          </w:p>
        </w:tc>
      </w:tr>
      <w:tr w:rsidR="00E424FD" w:rsidRPr="009E39F8" w:rsidTr="00B047A0">
        <w:tc>
          <w:tcPr>
            <w:tcW w:w="1559" w:type="dxa"/>
          </w:tcPr>
          <w:p w:rsidR="00E424FD" w:rsidRPr="009E39F8" w:rsidRDefault="00071C8B" w:rsidP="00707C16">
            <w:pPr>
              <w:keepNext/>
              <w:widowControl/>
              <w:jc w:val="left"/>
              <w:rPr>
                <w:rFonts w:ascii="Arial Narrow" w:hAnsi="Arial Narrow"/>
                <w:sz w:val="20"/>
              </w:rPr>
            </w:pPr>
            <w:r w:rsidRPr="009E39F8">
              <w:rPr>
                <w:rFonts w:ascii="Arial Narrow" w:hAnsi="Arial Narrow"/>
                <w:sz w:val="20"/>
              </w:rPr>
              <w:t>Proportion of attacks with</w:t>
            </w:r>
            <w:r w:rsidR="00E424FD" w:rsidRPr="009E39F8">
              <w:rPr>
                <w:rFonts w:ascii="Arial Narrow" w:hAnsi="Arial Narrow"/>
                <w:sz w:val="20"/>
              </w:rPr>
              <w:t xml:space="preserve"> hospital emergency department visit</w:t>
            </w:r>
          </w:p>
        </w:tc>
        <w:tc>
          <w:tcPr>
            <w:tcW w:w="3402" w:type="dxa"/>
          </w:tcPr>
          <w:p w:rsidR="00E424FD" w:rsidRPr="009E39F8" w:rsidRDefault="00E424FD" w:rsidP="00707C16">
            <w:pPr>
              <w:keepNext/>
              <w:widowControl/>
              <w:jc w:val="left"/>
              <w:rPr>
                <w:rFonts w:ascii="Arial Narrow" w:hAnsi="Arial Narrow"/>
                <w:sz w:val="20"/>
              </w:rPr>
            </w:pPr>
            <w:r w:rsidRPr="009E39F8">
              <w:rPr>
                <w:rFonts w:ascii="Arial Narrow" w:hAnsi="Arial Narrow"/>
                <w:sz w:val="20"/>
              </w:rPr>
              <w:t>Icatibant arm: ABD 11.9%, LAR: 11.9%</w:t>
            </w:r>
          </w:p>
          <w:p w:rsidR="00E424FD" w:rsidRPr="009E39F8" w:rsidRDefault="00E424FD" w:rsidP="00707C16">
            <w:pPr>
              <w:keepNext/>
              <w:widowControl/>
              <w:jc w:val="left"/>
              <w:rPr>
                <w:rFonts w:ascii="Arial Narrow" w:hAnsi="Arial Narrow"/>
                <w:sz w:val="20"/>
              </w:rPr>
            </w:pPr>
            <w:r w:rsidRPr="009E39F8">
              <w:rPr>
                <w:rFonts w:ascii="Arial Narrow" w:hAnsi="Arial Narrow"/>
                <w:sz w:val="20"/>
              </w:rPr>
              <w:t xml:space="preserve">Comparator arm: ABD 22.0%, LAR: 11.9% </w:t>
            </w:r>
          </w:p>
        </w:tc>
        <w:tc>
          <w:tcPr>
            <w:tcW w:w="3330" w:type="dxa"/>
          </w:tcPr>
          <w:p w:rsidR="00E424FD" w:rsidRPr="009E39F8" w:rsidRDefault="00E424FD" w:rsidP="00707C16">
            <w:pPr>
              <w:keepNext/>
              <w:widowControl/>
              <w:jc w:val="left"/>
              <w:rPr>
                <w:rFonts w:ascii="Arial Narrow" w:hAnsi="Arial Narrow"/>
                <w:sz w:val="20"/>
              </w:rPr>
            </w:pPr>
            <w:r w:rsidRPr="009E39F8">
              <w:rPr>
                <w:rFonts w:ascii="Arial Narrow" w:hAnsi="Arial Narrow"/>
                <w:sz w:val="20"/>
              </w:rPr>
              <w:t>Icatibant arm: no hospital service</w:t>
            </w:r>
            <w:r w:rsidR="00380DD8" w:rsidRPr="009E39F8">
              <w:rPr>
                <w:rFonts w:ascii="Arial Narrow" w:hAnsi="Arial Narrow"/>
                <w:sz w:val="20"/>
              </w:rPr>
              <w:t>.</w:t>
            </w:r>
            <w:r w:rsidRPr="009E39F8">
              <w:rPr>
                <w:rFonts w:ascii="Arial Narrow" w:hAnsi="Arial Narrow"/>
                <w:sz w:val="20"/>
              </w:rPr>
              <w:t xml:space="preserve"> </w:t>
            </w:r>
          </w:p>
          <w:p w:rsidR="00E424FD" w:rsidRPr="009E39F8" w:rsidRDefault="00E424FD" w:rsidP="00707C16">
            <w:pPr>
              <w:keepNext/>
              <w:widowControl/>
              <w:jc w:val="left"/>
              <w:rPr>
                <w:rFonts w:ascii="Arial Narrow" w:hAnsi="Arial Narrow"/>
                <w:sz w:val="20"/>
              </w:rPr>
            </w:pPr>
            <w:r w:rsidRPr="009E39F8">
              <w:rPr>
                <w:rFonts w:ascii="Arial Narrow" w:hAnsi="Arial Narrow"/>
                <w:sz w:val="20"/>
              </w:rPr>
              <w:t>C1-INH: severe attacks (43%, 20/47 sourced</w:t>
            </w:r>
            <w:r w:rsidR="009F7604">
              <w:rPr>
                <w:rFonts w:ascii="Arial Narrow" w:hAnsi="Arial Narrow"/>
                <w:sz w:val="20"/>
              </w:rPr>
              <w:t xml:space="preserve"> </w:t>
            </w:r>
            <w:r w:rsidRPr="009E39F8">
              <w:rPr>
                <w:rFonts w:ascii="Arial Narrow" w:hAnsi="Arial Narrow"/>
                <w:sz w:val="20"/>
              </w:rPr>
              <w:t>from Nordenfelt 2014)</w:t>
            </w:r>
          </w:p>
          <w:p w:rsidR="00E424FD" w:rsidRPr="009E39F8" w:rsidRDefault="00E424FD" w:rsidP="00707C16">
            <w:pPr>
              <w:keepNext/>
              <w:widowControl/>
              <w:jc w:val="left"/>
              <w:rPr>
                <w:rFonts w:ascii="Arial Narrow" w:hAnsi="Arial Narrow"/>
                <w:sz w:val="20"/>
              </w:rPr>
            </w:pPr>
          </w:p>
        </w:tc>
      </w:tr>
    </w:tbl>
    <w:p w:rsidR="00E424FD" w:rsidRPr="00BF2E22" w:rsidRDefault="00E424FD" w:rsidP="00707C16">
      <w:pPr>
        <w:keepNext/>
        <w:widowControl/>
        <w:ind w:left="709"/>
        <w:rPr>
          <w:rFonts w:ascii="Arial Narrow" w:hAnsi="Arial Narrow"/>
          <w:sz w:val="18"/>
        </w:rPr>
      </w:pPr>
      <w:r w:rsidRPr="00BF2E22">
        <w:rPr>
          <w:rFonts w:ascii="Arial Narrow" w:hAnsi="Arial Narrow"/>
          <w:sz w:val="18"/>
        </w:rPr>
        <w:t xml:space="preserve">Source: Adapted from Table 43, pp.106-107 </w:t>
      </w:r>
      <w:r w:rsidRPr="00BF2E22">
        <w:rPr>
          <w:rFonts w:ascii="Arial Narrow" w:hAnsi="Arial Narrow"/>
          <w:sz w:val="18"/>
          <w:lang w:eastAsia="zh-CN"/>
        </w:rPr>
        <w:t xml:space="preserve">and relevant section in Section D </w:t>
      </w:r>
      <w:r w:rsidRPr="00BF2E22">
        <w:rPr>
          <w:rFonts w:ascii="Arial Narrow" w:hAnsi="Arial Narrow"/>
          <w:sz w:val="18"/>
        </w:rPr>
        <w:t xml:space="preserve">of the </w:t>
      </w:r>
      <w:r w:rsidR="00D24424" w:rsidRPr="00BF2E22">
        <w:rPr>
          <w:rFonts w:ascii="Arial Narrow" w:hAnsi="Arial Narrow"/>
          <w:sz w:val="18"/>
        </w:rPr>
        <w:t>submission</w:t>
      </w:r>
      <w:r w:rsidRPr="00BF2E22">
        <w:rPr>
          <w:rFonts w:ascii="Arial Narrow" w:hAnsi="Arial Narrow"/>
          <w:sz w:val="18"/>
        </w:rPr>
        <w:t>; July 2011 icatibant Commentary.</w:t>
      </w:r>
    </w:p>
    <w:p w:rsidR="00E424FD" w:rsidRPr="00BF2E22" w:rsidRDefault="00E424FD" w:rsidP="00707C16">
      <w:pPr>
        <w:keepNext/>
        <w:widowControl/>
        <w:ind w:left="709"/>
        <w:rPr>
          <w:rFonts w:ascii="Arial Narrow" w:hAnsi="Arial Narrow"/>
          <w:sz w:val="18"/>
        </w:rPr>
      </w:pPr>
      <w:r w:rsidRPr="00BF2E22">
        <w:rPr>
          <w:rFonts w:ascii="Arial Narrow" w:hAnsi="Arial Narrow"/>
          <w:sz w:val="18"/>
        </w:rPr>
        <w:t>ABD = abdominal attacks; CUT = cutaneous attacks; HAE=hereditary angioedema; LAR = laryngeal attacks; BSC = best supportive care</w:t>
      </w:r>
    </w:p>
    <w:p w:rsidR="002B6493" w:rsidRPr="00392542" w:rsidRDefault="002B6493" w:rsidP="000075D9">
      <w:pPr>
        <w:widowControl/>
        <w:ind w:left="709"/>
        <w:rPr>
          <w:rFonts w:ascii="Arial Narrow" w:hAnsi="Arial Narrow"/>
          <w:sz w:val="20"/>
        </w:rPr>
      </w:pPr>
    </w:p>
    <w:p w:rsidR="002B6493" w:rsidRPr="002B6493" w:rsidRDefault="002B6493" w:rsidP="00E94114">
      <w:pPr>
        <w:pStyle w:val="ListParagraph"/>
        <w:widowControl/>
        <w:numPr>
          <w:ilvl w:val="1"/>
          <w:numId w:val="2"/>
        </w:numPr>
        <w:rPr>
          <w:szCs w:val="22"/>
        </w:rPr>
      </w:pPr>
      <w:r>
        <w:rPr>
          <w:szCs w:val="22"/>
        </w:rPr>
        <w:t xml:space="preserve">The key model drivers are summarised in </w:t>
      </w:r>
      <w:r w:rsidR="0056215C">
        <w:rPr>
          <w:szCs w:val="22"/>
        </w:rPr>
        <w:t>Table 6</w:t>
      </w:r>
      <w:r w:rsidR="00EC5258">
        <w:rPr>
          <w:szCs w:val="22"/>
        </w:rPr>
        <w:t xml:space="preserve"> </w:t>
      </w:r>
      <w:r>
        <w:rPr>
          <w:szCs w:val="22"/>
        </w:rPr>
        <w:t>below.</w:t>
      </w:r>
    </w:p>
    <w:p w:rsidR="00FC00C2" w:rsidRPr="008362C6" w:rsidRDefault="00FC00C2" w:rsidP="00D53534">
      <w:pPr>
        <w:rPr>
          <w:rFonts w:ascii="Arial Narrow" w:hAnsi="Arial Narrow"/>
          <w:sz w:val="18"/>
          <w:szCs w:val="18"/>
        </w:rPr>
      </w:pPr>
    </w:p>
    <w:p w:rsidR="00FC00C2" w:rsidRDefault="00FC00C2" w:rsidP="000075D9">
      <w:pPr>
        <w:keepNext/>
        <w:widowControl/>
        <w:ind w:firstLine="720"/>
        <w:rPr>
          <w:rStyle w:val="CommentReference"/>
        </w:rPr>
      </w:pPr>
      <w:r w:rsidRPr="00A56B6A">
        <w:rPr>
          <w:rStyle w:val="CommentReference"/>
        </w:rPr>
        <w:lastRenderedPageBreak/>
        <w:t>Table</w:t>
      </w:r>
      <w:r>
        <w:rPr>
          <w:rStyle w:val="CommentReference"/>
        </w:rPr>
        <w:t xml:space="preserve"> </w:t>
      </w:r>
      <w:r w:rsidR="0056215C">
        <w:rPr>
          <w:rStyle w:val="CommentReference"/>
        </w:rPr>
        <w:t>6</w:t>
      </w:r>
      <w:r w:rsidRPr="00A56B6A">
        <w:rPr>
          <w:rStyle w:val="CommentReference"/>
        </w:rPr>
        <w:t>: Key drivers of the model</w:t>
      </w:r>
    </w:p>
    <w:tbl>
      <w:tblPr>
        <w:tblW w:w="456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42"/>
        <w:gridCol w:w="5104"/>
        <w:gridCol w:w="1345"/>
      </w:tblGrid>
      <w:tr w:rsidR="00FC00C2" w:rsidRPr="00F475DB" w:rsidTr="005573E4">
        <w:trPr>
          <w:tblHeader/>
        </w:trPr>
        <w:tc>
          <w:tcPr>
            <w:tcW w:w="1111" w:type="pct"/>
            <w:shd w:val="clear" w:color="auto" w:fill="auto"/>
            <w:vAlign w:val="center"/>
          </w:tcPr>
          <w:p w:rsidR="00FC00C2" w:rsidRPr="00F475DB" w:rsidRDefault="00FC00C2" w:rsidP="000075D9">
            <w:pPr>
              <w:keepNext/>
              <w:widowControl/>
              <w:jc w:val="left"/>
              <w:rPr>
                <w:rFonts w:ascii="Arial Narrow" w:hAnsi="Arial Narrow"/>
                <w:b/>
                <w:sz w:val="20"/>
                <w:lang w:val="en-US"/>
              </w:rPr>
            </w:pPr>
            <w:r w:rsidRPr="00F475DB">
              <w:rPr>
                <w:rFonts w:ascii="Arial Narrow" w:hAnsi="Arial Narrow"/>
                <w:b/>
                <w:sz w:val="20"/>
                <w:lang w:val="en-US"/>
              </w:rPr>
              <w:t>Description</w:t>
            </w:r>
          </w:p>
        </w:tc>
        <w:tc>
          <w:tcPr>
            <w:tcW w:w="3078" w:type="pct"/>
            <w:shd w:val="clear" w:color="auto" w:fill="auto"/>
            <w:vAlign w:val="center"/>
          </w:tcPr>
          <w:p w:rsidR="00FC00C2" w:rsidRPr="00F475DB" w:rsidRDefault="00FC00C2" w:rsidP="000075D9">
            <w:pPr>
              <w:keepNext/>
              <w:widowControl/>
              <w:jc w:val="center"/>
              <w:rPr>
                <w:rFonts w:ascii="Arial Narrow" w:hAnsi="Arial Narrow"/>
                <w:b/>
                <w:sz w:val="20"/>
                <w:lang w:val="en-US"/>
              </w:rPr>
            </w:pPr>
            <w:r w:rsidRPr="00F475DB">
              <w:rPr>
                <w:rFonts w:ascii="Arial Narrow" w:hAnsi="Arial Narrow"/>
                <w:b/>
                <w:sz w:val="20"/>
                <w:lang w:val="en-US"/>
              </w:rPr>
              <w:t>Method/Value</w:t>
            </w:r>
          </w:p>
        </w:tc>
        <w:tc>
          <w:tcPr>
            <w:tcW w:w="811" w:type="pct"/>
            <w:shd w:val="clear" w:color="auto" w:fill="auto"/>
            <w:vAlign w:val="center"/>
          </w:tcPr>
          <w:p w:rsidR="00FC00C2" w:rsidRPr="00F475DB" w:rsidRDefault="00FC00C2" w:rsidP="000075D9">
            <w:pPr>
              <w:keepNext/>
              <w:widowControl/>
              <w:jc w:val="center"/>
              <w:rPr>
                <w:rFonts w:ascii="Arial Narrow" w:hAnsi="Arial Narrow"/>
                <w:b/>
                <w:sz w:val="20"/>
                <w:lang w:val="en-US"/>
              </w:rPr>
            </w:pPr>
            <w:r w:rsidRPr="00F475DB">
              <w:rPr>
                <w:rFonts w:ascii="Arial Narrow" w:hAnsi="Arial Narrow"/>
                <w:b/>
                <w:sz w:val="20"/>
                <w:lang w:val="en-US"/>
              </w:rPr>
              <w:t>Impact</w:t>
            </w:r>
          </w:p>
        </w:tc>
      </w:tr>
      <w:tr w:rsidR="00FC00C2" w:rsidRPr="00F475DB" w:rsidTr="005573E4">
        <w:tc>
          <w:tcPr>
            <w:tcW w:w="1111" w:type="pct"/>
            <w:shd w:val="clear" w:color="auto" w:fill="auto"/>
            <w:vAlign w:val="center"/>
          </w:tcPr>
          <w:p w:rsidR="00FC00C2" w:rsidRPr="00F475DB" w:rsidRDefault="00FC00C2" w:rsidP="000075D9">
            <w:pPr>
              <w:keepNext/>
              <w:widowControl/>
              <w:jc w:val="left"/>
              <w:rPr>
                <w:rFonts w:ascii="Arial Narrow" w:hAnsi="Arial Narrow"/>
                <w:sz w:val="20"/>
                <w:lang w:val="en-US"/>
              </w:rPr>
            </w:pPr>
            <w:r w:rsidRPr="00F475DB">
              <w:rPr>
                <w:rFonts w:ascii="Arial Narrow" w:hAnsi="Arial Narrow"/>
                <w:sz w:val="20"/>
                <w:lang w:val="en-US"/>
              </w:rPr>
              <w:t>Distribution of treated attacks</w:t>
            </w:r>
          </w:p>
        </w:tc>
        <w:tc>
          <w:tcPr>
            <w:tcW w:w="3078" w:type="pct"/>
            <w:shd w:val="clear" w:color="auto" w:fill="auto"/>
            <w:vAlign w:val="center"/>
          </w:tcPr>
          <w:p w:rsidR="00FC00C2" w:rsidRPr="00F475DB" w:rsidRDefault="00FC00C2" w:rsidP="00A11B66">
            <w:pPr>
              <w:keepNext/>
              <w:widowControl/>
              <w:jc w:val="left"/>
              <w:rPr>
                <w:rFonts w:ascii="Arial Narrow" w:hAnsi="Arial Narrow"/>
                <w:sz w:val="20"/>
                <w:lang w:val="en-US"/>
              </w:rPr>
            </w:pPr>
            <w:r w:rsidRPr="00F475DB">
              <w:rPr>
                <w:rFonts w:ascii="Arial Narrow" w:hAnsi="Arial Narrow"/>
                <w:sz w:val="20"/>
                <w:lang w:val="en-US"/>
              </w:rPr>
              <w:t>The</w:t>
            </w:r>
            <w:r w:rsidR="002834EB" w:rsidRPr="00F475DB">
              <w:rPr>
                <w:rFonts w:ascii="Arial Narrow" w:hAnsi="Arial Narrow"/>
                <w:sz w:val="20"/>
                <w:lang w:val="en-US"/>
              </w:rPr>
              <w:t xml:space="preserve"> </w:t>
            </w:r>
            <w:r w:rsidR="00976215" w:rsidRPr="00F475DB">
              <w:rPr>
                <w:rFonts w:ascii="Arial Narrow" w:hAnsi="Arial Narrow"/>
                <w:sz w:val="20"/>
                <w:lang w:val="en-US"/>
              </w:rPr>
              <w:t xml:space="preserve">model </w:t>
            </w:r>
            <w:r w:rsidR="00BA446C" w:rsidRPr="00F475DB">
              <w:rPr>
                <w:rFonts w:ascii="Arial Narrow" w:hAnsi="Arial Narrow"/>
                <w:sz w:val="20"/>
                <w:lang w:val="en-US"/>
              </w:rPr>
              <w:t>used evidence on the number</w:t>
            </w:r>
            <w:r w:rsidRPr="00F475DB">
              <w:rPr>
                <w:rFonts w:ascii="Arial Narrow" w:hAnsi="Arial Narrow"/>
                <w:sz w:val="20"/>
                <w:lang w:val="en-US"/>
              </w:rPr>
              <w:t xml:space="preserve"> of treated attacks</w:t>
            </w:r>
            <w:r w:rsidR="002834EB" w:rsidRPr="00F475DB">
              <w:rPr>
                <w:rFonts w:ascii="Arial Narrow" w:hAnsi="Arial Narrow"/>
                <w:sz w:val="20"/>
                <w:lang w:val="en-US"/>
              </w:rPr>
              <w:t xml:space="preserve"> that</w:t>
            </w:r>
            <w:r w:rsidRPr="00F475DB">
              <w:rPr>
                <w:rFonts w:ascii="Arial Narrow" w:hAnsi="Arial Narrow"/>
                <w:sz w:val="20"/>
                <w:lang w:val="en-US"/>
              </w:rPr>
              <w:t xml:space="preserve"> was estimated from a cohort analysis of the DUSC data and was compared with the pooled patient level data of the </w:t>
            </w:r>
            <w:r w:rsidR="00BA446C" w:rsidRPr="00F475DB">
              <w:rPr>
                <w:rFonts w:ascii="Arial Narrow" w:hAnsi="Arial Narrow"/>
                <w:sz w:val="20"/>
                <w:lang w:val="en-US"/>
              </w:rPr>
              <w:t xml:space="preserve">number of </w:t>
            </w:r>
            <w:r w:rsidRPr="00F475DB">
              <w:rPr>
                <w:rFonts w:ascii="Arial Narrow" w:hAnsi="Arial Narrow"/>
                <w:sz w:val="20"/>
                <w:lang w:val="en-US"/>
              </w:rPr>
              <w:t xml:space="preserve">treated attacks from the FAST trials. </w:t>
            </w:r>
            <w:r w:rsidR="005E4DE3" w:rsidRPr="00F475DB">
              <w:rPr>
                <w:rFonts w:ascii="Arial Narrow" w:hAnsi="Arial Narrow"/>
                <w:sz w:val="20"/>
                <w:lang w:val="en-US"/>
              </w:rPr>
              <w:t>In the cohort model, it was calculated that 5.49 attacks were treated per year</w:t>
            </w:r>
            <w:r w:rsidR="00BA446C" w:rsidRPr="00F475DB">
              <w:rPr>
                <w:rFonts w:ascii="Arial Narrow" w:hAnsi="Arial Narrow"/>
                <w:sz w:val="20"/>
                <w:lang w:val="en-US"/>
              </w:rPr>
              <w:t>,</w:t>
            </w:r>
            <w:r w:rsidR="005E4DE3" w:rsidRPr="00F475DB">
              <w:rPr>
                <w:rFonts w:ascii="Arial Narrow" w:hAnsi="Arial Narrow"/>
                <w:sz w:val="20"/>
                <w:lang w:val="en-US"/>
              </w:rPr>
              <w:t xml:space="preserve"> while in the microsimulation model, </w:t>
            </w:r>
            <w:r w:rsidR="00BA446C" w:rsidRPr="00F475DB">
              <w:rPr>
                <w:rFonts w:ascii="Arial Narrow" w:hAnsi="Arial Narrow"/>
                <w:sz w:val="20"/>
                <w:lang w:val="en-US"/>
              </w:rPr>
              <w:t xml:space="preserve">it was assumed that </w:t>
            </w:r>
            <w:r w:rsidR="005E4DE3" w:rsidRPr="00F475DB">
              <w:rPr>
                <w:rFonts w:ascii="Arial Narrow" w:hAnsi="Arial Narrow"/>
                <w:sz w:val="20"/>
                <w:lang w:val="en-US"/>
              </w:rPr>
              <w:t xml:space="preserve">6.33 attacks </w:t>
            </w:r>
            <w:r w:rsidR="00BA446C" w:rsidRPr="00F475DB">
              <w:rPr>
                <w:rFonts w:ascii="Arial Narrow" w:hAnsi="Arial Narrow"/>
                <w:sz w:val="20"/>
                <w:lang w:val="en-US"/>
              </w:rPr>
              <w:t xml:space="preserve">were treated </w:t>
            </w:r>
            <w:r w:rsidR="005E4DE3" w:rsidRPr="00F475DB">
              <w:rPr>
                <w:rFonts w:ascii="Arial Narrow" w:hAnsi="Arial Narrow"/>
                <w:sz w:val="20"/>
                <w:lang w:val="en-US"/>
              </w:rPr>
              <w:t>per year</w:t>
            </w:r>
            <w:r w:rsidR="00BA446C" w:rsidRPr="00F475DB">
              <w:rPr>
                <w:rFonts w:ascii="Arial Narrow" w:hAnsi="Arial Narrow"/>
                <w:sz w:val="20"/>
                <w:lang w:val="en-US"/>
              </w:rPr>
              <w:t>.</w:t>
            </w:r>
          </w:p>
        </w:tc>
        <w:tc>
          <w:tcPr>
            <w:tcW w:w="811" w:type="pct"/>
            <w:shd w:val="clear" w:color="auto" w:fill="auto"/>
            <w:vAlign w:val="center"/>
          </w:tcPr>
          <w:p w:rsidR="00FC00C2" w:rsidRPr="00F475DB" w:rsidRDefault="00FC00C2" w:rsidP="000075D9">
            <w:pPr>
              <w:keepNext/>
              <w:widowControl/>
              <w:jc w:val="center"/>
              <w:rPr>
                <w:rFonts w:ascii="Arial Narrow" w:hAnsi="Arial Narrow"/>
                <w:sz w:val="20"/>
                <w:lang w:val="en-US"/>
              </w:rPr>
            </w:pPr>
            <w:r w:rsidRPr="00F475DB">
              <w:rPr>
                <w:rFonts w:ascii="Arial Narrow" w:hAnsi="Arial Narrow"/>
                <w:sz w:val="20"/>
                <w:lang w:val="en-US"/>
              </w:rPr>
              <w:t>High</w:t>
            </w:r>
            <w:r w:rsidR="0027602F" w:rsidRPr="00F475DB">
              <w:rPr>
                <w:rFonts w:ascii="Arial Narrow" w:hAnsi="Arial Narrow"/>
                <w:sz w:val="20"/>
                <w:lang w:val="en-US"/>
              </w:rPr>
              <w:t>, unknown</w:t>
            </w:r>
          </w:p>
        </w:tc>
      </w:tr>
      <w:tr w:rsidR="00FC00C2" w:rsidRPr="00F475DB" w:rsidTr="005573E4">
        <w:tc>
          <w:tcPr>
            <w:tcW w:w="1111" w:type="pct"/>
            <w:shd w:val="clear" w:color="auto" w:fill="auto"/>
            <w:vAlign w:val="center"/>
          </w:tcPr>
          <w:p w:rsidR="00FC00C2" w:rsidRPr="00F475DB" w:rsidRDefault="00FC00C2" w:rsidP="000075D9">
            <w:pPr>
              <w:keepNext/>
              <w:widowControl/>
              <w:jc w:val="left"/>
              <w:rPr>
                <w:rFonts w:ascii="Arial Narrow" w:hAnsi="Arial Narrow"/>
                <w:sz w:val="20"/>
                <w:lang w:val="en-US"/>
              </w:rPr>
            </w:pPr>
            <w:r w:rsidRPr="00F475DB">
              <w:rPr>
                <w:rFonts w:ascii="Arial Narrow" w:hAnsi="Arial Narrow"/>
                <w:sz w:val="20"/>
                <w:lang w:val="en-US"/>
              </w:rPr>
              <w:t xml:space="preserve">Utility difference for the attack free health states between the treatment arms </w:t>
            </w:r>
          </w:p>
        </w:tc>
        <w:tc>
          <w:tcPr>
            <w:tcW w:w="3078" w:type="pct"/>
            <w:shd w:val="clear" w:color="auto" w:fill="auto"/>
            <w:vAlign w:val="center"/>
          </w:tcPr>
          <w:p w:rsidR="00FC00C2" w:rsidRPr="00F475DB" w:rsidRDefault="00FC00C2" w:rsidP="000075D9">
            <w:pPr>
              <w:keepNext/>
              <w:widowControl/>
              <w:jc w:val="left"/>
              <w:rPr>
                <w:rFonts w:ascii="Arial Narrow" w:hAnsi="Arial Narrow" w:cs="Times New Roman"/>
                <w:sz w:val="20"/>
              </w:rPr>
            </w:pPr>
            <w:r w:rsidRPr="00F475DB">
              <w:rPr>
                <w:rFonts w:ascii="Arial Narrow" w:hAnsi="Arial Narrow" w:cs="Times New Roman"/>
                <w:sz w:val="20"/>
              </w:rPr>
              <w:t xml:space="preserve">A utility difference of </w:t>
            </w:r>
            <w:r w:rsidR="00FA27CE">
              <w:rPr>
                <w:rFonts w:ascii="Arial Narrow" w:hAnsi="Arial Narrow" w:cs="Times New Roman"/>
                <w:noProof/>
                <w:color w:val="000000"/>
                <w:sz w:val="20"/>
                <w:highlight w:val="black"/>
              </w:rPr>
              <w:t>'''''''''''</w:t>
            </w:r>
            <w:r w:rsidRPr="00F475DB">
              <w:rPr>
                <w:rFonts w:ascii="Arial Narrow" w:hAnsi="Arial Narrow" w:cs="Times New Roman"/>
                <w:sz w:val="20"/>
              </w:rPr>
              <w:t xml:space="preserve"> based on an online scenario utility valuation study was applied to account for the benefits of self-administration with icatibant during ‘attack free’ health states.</w:t>
            </w:r>
          </w:p>
          <w:p w:rsidR="00FC00C2" w:rsidRPr="00F475DB" w:rsidRDefault="00FC00C2" w:rsidP="000075D9">
            <w:pPr>
              <w:keepNext/>
              <w:widowControl/>
              <w:jc w:val="left"/>
              <w:rPr>
                <w:rFonts w:ascii="Arial Narrow" w:hAnsi="Arial Narrow" w:cs="Times New Roman"/>
                <w:sz w:val="20"/>
              </w:rPr>
            </w:pPr>
            <w:r w:rsidRPr="00F475DB">
              <w:rPr>
                <w:rFonts w:ascii="Arial Narrow" w:hAnsi="Arial Narrow" w:cs="Times New Roman"/>
                <w:sz w:val="20"/>
              </w:rPr>
              <w:t xml:space="preserve">There is considerable potential for bias in the utility weights sourced from the literature and the utility valuation study . The resulting utility values for between attack health states are higher than population norms for Australia. </w:t>
            </w:r>
          </w:p>
          <w:p w:rsidR="00D738C1" w:rsidRPr="00F475DB" w:rsidRDefault="00D738C1" w:rsidP="00D1144A">
            <w:pPr>
              <w:keepNext/>
              <w:widowControl/>
              <w:jc w:val="left"/>
              <w:rPr>
                <w:rFonts w:ascii="Arial Narrow" w:hAnsi="Arial Narrow"/>
                <w:sz w:val="20"/>
                <w:lang w:val="en-US"/>
              </w:rPr>
            </w:pPr>
            <w:r w:rsidRPr="00F475DB">
              <w:rPr>
                <w:rFonts w:ascii="Arial Narrow" w:hAnsi="Arial Narrow" w:cs="Times New Roman"/>
                <w:sz w:val="20"/>
              </w:rPr>
              <w:t xml:space="preserve">The ESC noted </w:t>
            </w:r>
            <w:r w:rsidR="00D1144A" w:rsidRPr="00F475DB">
              <w:rPr>
                <w:rFonts w:ascii="Arial Narrow" w:hAnsi="Arial Narrow" w:cs="Times New Roman"/>
                <w:sz w:val="20"/>
              </w:rPr>
              <w:t>the</w:t>
            </w:r>
            <w:r w:rsidRPr="00F475DB">
              <w:rPr>
                <w:rFonts w:ascii="Arial Narrow" w:hAnsi="Arial Narrow" w:cs="Times New Roman"/>
                <w:sz w:val="20"/>
              </w:rPr>
              <w:t xml:space="preserve"> utility difference</w:t>
            </w:r>
            <w:r w:rsidR="00D1144A" w:rsidRPr="00F475DB">
              <w:rPr>
                <w:rFonts w:ascii="Arial Narrow" w:hAnsi="Arial Narrow" w:cs="Times New Roman"/>
                <w:sz w:val="20"/>
              </w:rPr>
              <w:t xml:space="preserve"> between attacks was due to the severity of the previous attack as well as the availability of icatibant for self-administration, and as icatibant was assumed to reduce attack severity, the average utility difference between attacks was &gt;</w:t>
            </w:r>
            <w:r w:rsidR="00FA27CE">
              <w:rPr>
                <w:rFonts w:ascii="Arial Narrow" w:hAnsi="Arial Narrow" w:cs="Times New Roman"/>
                <w:noProof/>
                <w:color w:val="000000"/>
                <w:sz w:val="20"/>
                <w:highlight w:val="black"/>
              </w:rPr>
              <w:t>''''''''''</w:t>
            </w:r>
            <w:r w:rsidRPr="00F475DB">
              <w:rPr>
                <w:rFonts w:ascii="Arial Narrow" w:hAnsi="Arial Narrow" w:cs="Times New Roman"/>
                <w:sz w:val="20"/>
              </w:rPr>
              <w:t>.</w:t>
            </w:r>
          </w:p>
        </w:tc>
        <w:tc>
          <w:tcPr>
            <w:tcW w:w="811" w:type="pct"/>
            <w:shd w:val="clear" w:color="auto" w:fill="auto"/>
            <w:vAlign w:val="center"/>
          </w:tcPr>
          <w:p w:rsidR="00FC00C2" w:rsidRPr="00F475DB" w:rsidRDefault="00FC00C2" w:rsidP="000075D9">
            <w:pPr>
              <w:keepNext/>
              <w:widowControl/>
              <w:jc w:val="center"/>
              <w:rPr>
                <w:rFonts w:ascii="Arial Narrow" w:hAnsi="Arial Narrow"/>
                <w:sz w:val="20"/>
                <w:lang w:val="en-US"/>
              </w:rPr>
            </w:pPr>
            <w:r w:rsidRPr="00F475DB">
              <w:rPr>
                <w:rFonts w:ascii="Arial Narrow" w:hAnsi="Arial Narrow"/>
                <w:sz w:val="20"/>
                <w:lang w:val="en-US"/>
              </w:rPr>
              <w:t>High, favours icatibant</w:t>
            </w:r>
          </w:p>
        </w:tc>
      </w:tr>
      <w:tr w:rsidR="00FC00C2" w:rsidRPr="00F475DB" w:rsidTr="005573E4">
        <w:trPr>
          <w:trHeight w:val="1679"/>
        </w:trPr>
        <w:tc>
          <w:tcPr>
            <w:tcW w:w="1111" w:type="pct"/>
            <w:shd w:val="clear" w:color="auto" w:fill="auto"/>
            <w:vAlign w:val="center"/>
          </w:tcPr>
          <w:p w:rsidR="00FC00C2" w:rsidRPr="00F475DB" w:rsidRDefault="00FC00C2" w:rsidP="000075D9">
            <w:pPr>
              <w:keepNext/>
              <w:widowControl/>
              <w:jc w:val="left"/>
              <w:rPr>
                <w:rFonts w:ascii="Arial Narrow" w:hAnsi="Arial Narrow"/>
                <w:sz w:val="20"/>
                <w:lang w:val="en-US"/>
              </w:rPr>
            </w:pPr>
            <w:r w:rsidRPr="00F475DB">
              <w:rPr>
                <w:rFonts w:ascii="Arial Narrow" w:hAnsi="Arial Narrow"/>
                <w:sz w:val="20"/>
                <w:lang w:val="en-US"/>
              </w:rPr>
              <w:t>Cost of treatment</w:t>
            </w:r>
          </w:p>
        </w:tc>
        <w:tc>
          <w:tcPr>
            <w:tcW w:w="3078" w:type="pct"/>
            <w:shd w:val="clear" w:color="auto" w:fill="auto"/>
            <w:vAlign w:val="center"/>
          </w:tcPr>
          <w:p w:rsidR="00FC00C2" w:rsidRPr="00F475DB" w:rsidRDefault="00FC00C2" w:rsidP="000075D9">
            <w:pPr>
              <w:keepNext/>
              <w:widowControl/>
              <w:jc w:val="left"/>
              <w:rPr>
                <w:rFonts w:ascii="Arial Narrow" w:hAnsi="Arial Narrow" w:cs="Times New Roman"/>
                <w:sz w:val="20"/>
              </w:rPr>
            </w:pPr>
            <w:r w:rsidRPr="00F475DB">
              <w:rPr>
                <w:rFonts w:ascii="Arial Narrow" w:hAnsi="Arial Narrow" w:cs="Times New Roman"/>
                <w:sz w:val="20"/>
              </w:rPr>
              <w:t>Icatibant: $</w:t>
            </w:r>
            <w:r w:rsidR="00FA27CE">
              <w:rPr>
                <w:rFonts w:ascii="Arial Narrow" w:hAnsi="Arial Narrow" w:cs="Times New Roman"/>
                <w:noProof/>
                <w:color w:val="000000"/>
                <w:sz w:val="20"/>
                <w:highlight w:val="black"/>
              </w:rPr>
              <w:t>''''''''''''''''''</w:t>
            </w:r>
            <w:r w:rsidRPr="00F475DB">
              <w:rPr>
                <w:rFonts w:ascii="Arial Narrow" w:hAnsi="Arial Narrow" w:cs="Times New Roman"/>
                <w:sz w:val="20"/>
              </w:rPr>
              <w:t xml:space="preserve"> per attack treated, drug cost only (1.12 injections per attack), moderate and severe attacks are treated</w:t>
            </w:r>
          </w:p>
          <w:p w:rsidR="00FC00C2" w:rsidRPr="00F475DB" w:rsidRDefault="00FC00C2" w:rsidP="000075D9">
            <w:pPr>
              <w:keepNext/>
              <w:widowControl/>
              <w:jc w:val="left"/>
              <w:rPr>
                <w:rFonts w:ascii="Arial Narrow" w:hAnsi="Arial Narrow" w:cs="Times New Roman"/>
                <w:sz w:val="20"/>
              </w:rPr>
            </w:pPr>
          </w:p>
          <w:p w:rsidR="00FC00C2" w:rsidRPr="00F475DB" w:rsidRDefault="00FC00C2" w:rsidP="000075D9">
            <w:pPr>
              <w:keepNext/>
              <w:widowControl/>
              <w:jc w:val="left"/>
              <w:rPr>
                <w:rFonts w:ascii="Arial Narrow" w:hAnsi="Arial Narrow" w:cs="Times New Roman"/>
                <w:sz w:val="20"/>
              </w:rPr>
            </w:pPr>
            <w:r w:rsidRPr="00F475DB">
              <w:rPr>
                <w:rFonts w:ascii="Arial Narrow" w:hAnsi="Arial Narrow" w:cs="Times New Roman"/>
                <w:sz w:val="20"/>
              </w:rPr>
              <w:t>Delayed C1-INH: $</w:t>
            </w:r>
            <w:r w:rsidR="00FA27CE">
              <w:rPr>
                <w:rFonts w:ascii="Arial Narrow" w:hAnsi="Arial Narrow" w:cs="Times New Roman"/>
                <w:noProof/>
                <w:color w:val="000000"/>
                <w:sz w:val="20"/>
                <w:highlight w:val="black"/>
              </w:rPr>
              <w:t>'''''''''''''''''''''''</w:t>
            </w:r>
            <w:r w:rsidRPr="00F475DB">
              <w:rPr>
                <w:rFonts w:ascii="Arial Narrow" w:hAnsi="Arial Narrow" w:cs="Times New Roman"/>
                <w:sz w:val="20"/>
              </w:rPr>
              <w:t xml:space="preserve"> per attack treated, drug cost (</w:t>
            </w:r>
            <w:r w:rsidR="00FA27CE">
              <w:rPr>
                <w:rFonts w:ascii="Arial Narrow" w:hAnsi="Arial Narrow" w:cs="Times New Roman"/>
                <w:noProof/>
                <w:color w:val="000000"/>
                <w:sz w:val="20"/>
                <w:highlight w:val="black"/>
              </w:rPr>
              <w:t>'''''''''''</w:t>
            </w:r>
            <w:r w:rsidRPr="00F475DB">
              <w:rPr>
                <w:rFonts w:ascii="Arial Narrow" w:hAnsi="Arial Narrow" w:cs="Times New Roman"/>
                <w:sz w:val="20"/>
              </w:rPr>
              <w:t xml:space="preserve"> injections per attack) plus emergency department attendance for each administration. Assume all severe attacks received C1-INH (42.5% of all treated attacks, sourced from Nordenfelt 2014) </w:t>
            </w:r>
          </w:p>
        </w:tc>
        <w:tc>
          <w:tcPr>
            <w:tcW w:w="811" w:type="pct"/>
            <w:shd w:val="clear" w:color="auto" w:fill="auto"/>
            <w:vAlign w:val="center"/>
          </w:tcPr>
          <w:p w:rsidR="00FC00C2" w:rsidRPr="00F475DB" w:rsidRDefault="00FC00C2" w:rsidP="000075D9">
            <w:pPr>
              <w:keepNext/>
              <w:widowControl/>
              <w:jc w:val="center"/>
              <w:rPr>
                <w:rFonts w:ascii="Arial Narrow" w:hAnsi="Arial Narrow"/>
                <w:sz w:val="20"/>
                <w:lang w:val="en-US"/>
              </w:rPr>
            </w:pPr>
            <w:r w:rsidRPr="00F475DB">
              <w:rPr>
                <w:rFonts w:ascii="Arial Narrow" w:hAnsi="Arial Narrow"/>
                <w:sz w:val="20"/>
                <w:lang w:val="en-US"/>
              </w:rPr>
              <w:t>High, favours icatibant</w:t>
            </w:r>
          </w:p>
        </w:tc>
      </w:tr>
    </w:tbl>
    <w:p w:rsidR="00FC00C2" w:rsidRPr="00D110BD" w:rsidRDefault="00FC00C2" w:rsidP="000075D9">
      <w:pPr>
        <w:pStyle w:val="TableFooter"/>
        <w:widowControl/>
        <w:ind w:firstLine="720"/>
      </w:pPr>
      <w:r w:rsidRPr="00D110BD">
        <w:t>Source: compiled during the evaluation</w:t>
      </w:r>
      <w:r>
        <w:t xml:space="preserve"> </w:t>
      </w:r>
    </w:p>
    <w:p w:rsidR="00FC00C2" w:rsidRDefault="00FC00C2" w:rsidP="000075D9">
      <w:pPr>
        <w:widowControl/>
        <w:rPr>
          <w:szCs w:val="22"/>
        </w:rPr>
      </w:pPr>
    </w:p>
    <w:p w:rsidR="002B6493" w:rsidRPr="00B50DB8" w:rsidRDefault="002B6493" w:rsidP="00E94114">
      <w:pPr>
        <w:pStyle w:val="ListParagraph"/>
        <w:widowControl/>
        <w:numPr>
          <w:ilvl w:val="1"/>
          <w:numId w:val="2"/>
        </w:numPr>
        <w:rPr>
          <w:szCs w:val="22"/>
        </w:rPr>
      </w:pPr>
      <w:r>
        <w:rPr>
          <w:szCs w:val="22"/>
        </w:rPr>
        <w:t xml:space="preserve">The </w:t>
      </w:r>
      <w:r w:rsidR="004E2C3D">
        <w:rPr>
          <w:szCs w:val="22"/>
        </w:rPr>
        <w:t>resul</w:t>
      </w:r>
      <w:r w:rsidR="00D14BF2">
        <w:rPr>
          <w:szCs w:val="22"/>
        </w:rPr>
        <w:t>ts of the economic evaluation are</w:t>
      </w:r>
      <w:r w:rsidR="004E2C3D">
        <w:rPr>
          <w:szCs w:val="22"/>
        </w:rPr>
        <w:t xml:space="preserve"> presented</w:t>
      </w:r>
      <w:r>
        <w:rPr>
          <w:szCs w:val="22"/>
        </w:rPr>
        <w:t xml:space="preserve"> </w:t>
      </w:r>
      <w:r w:rsidR="0056215C">
        <w:rPr>
          <w:szCs w:val="22"/>
        </w:rPr>
        <w:t>in Table 7</w:t>
      </w:r>
      <w:r w:rsidR="00EC5258">
        <w:rPr>
          <w:szCs w:val="22"/>
        </w:rPr>
        <w:t xml:space="preserve"> </w:t>
      </w:r>
      <w:r>
        <w:rPr>
          <w:szCs w:val="22"/>
        </w:rPr>
        <w:t>below.</w:t>
      </w:r>
    </w:p>
    <w:p w:rsidR="002B6493" w:rsidRPr="00275C5A" w:rsidRDefault="002B6493" w:rsidP="000075D9">
      <w:pPr>
        <w:widowControl/>
        <w:rPr>
          <w:szCs w:val="22"/>
        </w:rPr>
      </w:pPr>
    </w:p>
    <w:p w:rsidR="00FC00C2" w:rsidRDefault="0056215C" w:rsidP="000075D9">
      <w:pPr>
        <w:widowControl/>
        <w:ind w:firstLine="720"/>
        <w:rPr>
          <w:rStyle w:val="CommentReference"/>
        </w:rPr>
      </w:pPr>
      <w:r>
        <w:rPr>
          <w:rStyle w:val="CommentReference"/>
        </w:rPr>
        <w:t>Table 7</w:t>
      </w:r>
      <w:r w:rsidR="00FC00C2" w:rsidRPr="001222FC">
        <w:rPr>
          <w:rStyle w:val="CommentReference"/>
        </w:rPr>
        <w:t xml:space="preserve">: Results of </w:t>
      </w:r>
      <w:r w:rsidR="002B6493">
        <w:rPr>
          <w:rStyle w:val="CommentReference"/>
        </w:rPr>
        <w:t xml:space="preserve">the </w:t>
      </w:r>
      <w:r w:rsidR="00FC00C2" w:rsidRPr="001222FC">
        <w:rPr>
          <w:rStyle w:val="CommentReference"/>
        </w:rPr>
        <w:t>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27"/>
        <w:gridCol w:w="2380"/>
        <w:gridCol w:w="2383"/>
        <w:gridCol w:w="2055"/>
      </w:tblGrid>
      <w:tr w:rsidR="00FC00C2" w:rsidRPr="009E39F8" w:rsidTr="00C82BEF">
        <w:trPr>
          <w:trHeight w:val="255"/>
        </w:trPr>
        <w:tc>
          <w:tcPr>
            <w:tcW w:w="915" w:type="pct"/>
          </w:tcPr>
          <w:p w:rsidR="00FC00C2" w:rsidRPr="009E39F8" w:rsidRDefault="00FC00C2" w:rsidP="000075D9">
            <w:pPr>
              <w:widowControl/>
              <w:rPr>
                <w:rFonts w:ascii="Arial Narrow" w:hAnsi="Arial Narrow"/>
                <w:b/>
                <w:sz w:val="20"/>
              </w:rPr>
            </w:pPr>
            <w:r w:rsidRPr="009E39F8">
              <w:rPr>
                <w:rFonts w:ascii="Arial Narrow" w:hAnsi="Arial Narrow"/>
                <w:b/>
                <w:sz w:val="20"/>
              </w:rPr>
              <w:t>Component</w:t>
            </w:r>
          </w:p>
        </w:tc>
        <w:tc>
          <w:tcPr>
            <w:tcW w:w="1426" w:type="pct"/>
          </w:tcPr>
          <w:p w:rsidR="00FC00C2" w:rsidRPr="009E39F8" w:rsidRDefault="00FC00C2" w:rsidP="000075D9">
            <w:pPr>
              <w:widowControl/>
              <w:jc w:val="center"/>
              <w:rPr>
                <w:rFonts w:ascii="Arial Narrow" w:hAnsi="Arial Narrow"/>
                <w:b/>
                <w:sz w:val="20"/>
              </w:rPr>
            </w:pPr>
            <w:r w:rsidRPr="009E39F8">
              <w:rPr>
                <w:rFonts w:ascii="Arial Narrow" w:hAnsi="Arial Narrow" w:cs="Times New Roman"/>
                <w:b/>
                <w:sz w:val="20"/>
              </w:rPr>
              <w:t>Icatibant</w:t>
            </w:r>
          </w:p>
        </w:tc>
        <w:tc>
          <w:tcPr>
            <w:tcW w:w="1428" w:type="pct"/>
          </w:tcPr>
          <w:p w:rsidR="00FC00C2" w:rsidRPr="009E39F8" w:rsidRDefault="00FC00C2" w:rsidP="000075D9">
            <w:pPr>
              <w:widowControl/>
              <w:jc w:val="center"/>
              <w:rPr>
                <w:rFonts w:ascii="Arial Narrow" w:hAnsi="Arial Narrow"/>
                <w:b/>
                <w:sz w:val="20"/>
              </w:rPr>
            </w:pPr>
            <w:r w:rsidRPr="009E39F8">
              <w:rPr>
                <w:rFonts w:ascii="Arial Narrow" w:hAnsi="Arial Narrow" w:cs="Times New Roman"/>
                <w:b/>
                <w:sz w:val="20"/>
              </w:rPr>
              <w:t>BSC±C1-INH</w:t>
            </w:r>
          </w:p>
        </w:tc>
        <w:tc>
          <w:tcPr>
            <w:tcW w:w="1231" w:type="pct"/>
          </w:tcPr>
          <w:p w:rsidR="00FC00C2" w:rsidRPr="009E39F8" w:rsidRDefault="00FC00C2" w:rsidP="000075D9">
            <w:pPr>
              <w:widowControl/>
              <w:jc w:val="center"/>
              <w:rPr>
                <w:rFonts w:ascii="Arial Narrow" w:hAnsi="Arial Narrow"/>
                <w:b/>
                <w:sz w:val="20"/>
              </w:rPr>
            </w:pPr>
            <w:r w:rsidRPr="009E39F8">
              <w:rPr>
                <w:rFonts w:ascii="Arial Narrow" w:hAnsi="Arial Narrow"/>
                <w:b/>
                <w:sz w:val="20"/>
              </w:rPr>
              <w:t>Increment cost/QALY</w:t>
            </w:r>
          </w:p>
        </w:tc>
      </w:tr>
      <w:tr w:rsidR="00FC00C2" w:rsidRPr="009E39F8" w:rsidTr="00C82BEF">
        <w:tc>
          <w:tcPr>
            <w:tcW w:w="5000" w:type="pct"/>
            <w:gridSpan w:val="4"/>
          </w:tcPr>
          <w:p w:rsidR="00FC00C2" w:rsidRPr="009E39F8" w:rsidRDefault="00FC00C2" w:rsidP="000075D9">
            <w:pPr>
              <w:widowControl/>
              <w:jc w:val="left"/>
              <w:rPr>
                <w:rFonts w:ascii="Arial Narrow" w:hAnsi="Arial Narrow"/>
                <w:b/>
                <w:sz w:val="20"/>
              </w:rPr>
            </w:pPr>
            <w:r w:rsidRPr="009E39F8">
              <w:rPr>
                <w:rFonts w:ascii="Arial Narrow" w:hAnsi="Arial Narrow"/>
                <w:b/>
                <w:sz w:val="20"/>
              </w:rPr>
              <w:t>Cohort analysis: 5.49 treated attacks</w:t>
            </w:r>
          </w:p>
        </w:tc>
      </w:tr>
      <w:tr w:rsidR="00FC00C2" w:rsidRPr="009E39F8" w:rsidTr="00C82BEF">
        <w:tc>
          <w:tcPr>
            <w:tcW w:w="915" w:type="pct"/>
          </w:tcPr>
          <w:p w:rsidR="00FC00C2" w:rsidRPr="009E39F8" w:rsidRDefault="00FC00C2" w:rsidP="000075D9">
            <w:pPr>
              <w:widowControl/>
              <w:rPr>
                <w:rFonts w:ascii="Arial Narrow" w:hAnsi="Arial Narrow"/>
                <w:sz w:val="20"/>
              </w:rPr>
            </w:pPr>
            <w:r w:rsidRPr="009E39F8">
              <w:rPr>
                <w:rFonts w:ascii="Arial Narrow" w:hAnsi="Arial Narrow"/>
                <w:sz w:val="20"/>
              </w:rPr>
              <w:t>Costs</w:t>
            </w:r>
          </w:p>
        </w:tc>
        <w:tc>
          <w:tcPr>
            <w:tcW w:w="1426" w:type="pct"/>
          </w:tcPr>
          <w:p w:rsidR="00FC00C2" w:rsidRPr="009E39F8" w:rsidRDefault="00FC00C2" w:rsidP="000075D9">
            <w:pPr>
              <w:widowControl/>
              <w:jc w:val="center"/>
              <w:rPr>
                <w:rFonts w:ascii="Arial Narrow" w:hAnsi="Arial Narrow"/>
                <w:sz w:val="20"/>
              </w:rPr>
            </w:pPr>
            <w:r w:rsidRPr="009E39F8">
              <w:rPr>
                <w:rFonts w:ascii="Arial Narrow" w:hAnsi="Arial Narrow"/>
                <w:sz w:val="20"/>
              </w:rPr>
              <w:t>$</w:t>
            </w:r>
            <w:r w:rsidR="00FA27CE">
              <w:rPr>
                <w:rFonts w:ascii="Arial Narrow" w:hAnsi="Arial Narrow"/>
                <w:noProof/>
                <w:color w:val="000000"/>
                <w:sz w:val="20"/>
                <w:highlight w:val="black"/>
              </w:rPr>
              <w:t>''''''''''''''''</w:t>
            </w:r>
          </w:p>
        </w:tc>
        <w:tc>
          <w:tcPr>
            <w:tcW w:w="1428" w:type="pct"/>
          </w:tcPr>
          <w:p w:rsidR="00FC00C2" w:rsidRPr="009E39F8" w:rsidRDefault="00FC00C2" w:rsidP="000075D9">
            <w:pPr>
              <w:widowControl/>
              <w:jc w:val="center"/>
              <w:rPr>
                <w:rFonts w:ascii="Arial Narrow" w:hAnsi="Arial Narrow"/>
                <w:sz w:val="20"/>
              </w:rPr>
            </w:pPr>
            <w:r w:rsidRPr="009E39F8">
              <w:rPr>
                <w:rFonts w:ascii="Arial Narrow" w:hAnsi="Arial Narrow"/>
                <w:sz w:val="20"/>
              </w:rPr>
              <w:t>$</w:t>
            </w:r>
            <w:r w:rsidR="00FA27CE">
              <w:rPr>
                <w:rFonts w:ascii="Arial Narrow" w:hAnsi="Arial Narrow"/>
                <w:noProof/>
                <w:color w:val="000000"/>
                <w:sz w:val="20"/>
                <w:highlight w:val="black"/>
              </w:rPr>
              <w:t>'''''''''''''</w:t>
            </w:r>
          </w:p>
        </w:tc>
        <w:tc>
          <w:tcPr>
            <w:tcW w:w="1231" w:type="pct"/>
          </w:tcPr>
          <w:p w:rsidR="00FC00C2" w:rsidRPr="009E39F8" w:rsidRDefault="00FC00C2" w:rsidP="000075D9">
            <w:pPr>
              <w:widowControl/>
              <w:jc w:val="center"/>
              <w:rPr>
                <w:rFonts w:ascii="Arial Narrow" w:hAnsi="Arial Narrow"/>
                <w:sz w:val="20"/>
              </w:rPr>
            </w:pPr>
            <w:r w:rsidRPr="009E39F8">
              <w:rPr>
                <w:rFonts w:ascii="Arial Narrow" w:hAnsi="Arial Narrow"/>
                <w:sz w:val="20"/>
              </w:rPr>
              <w:t>$</w:t>
            </w:r>
            <w:r w:rsidR="00FA27CE">
              <w:rPr>
                <w:rFonts w:ascii="Arial Narrow" w:hAnsi="Arial Narrow"/>
                <w:noProof/>
                <w:color w:val="000000"/>
                <w:sz w:val="20"/>
                <w:highlight w:val="black"/>
              </w:rPr>
              <w:t>'''''''''''''</w:t>
            </w:r>
          </w:p>
        </w:tc>
      </w:tr>
      <w:tr w:rsidR="00FC00C2" w:rsidRPr="009E39F8" w:rsidTr="00C82BEF">
        <w:tc>
          <w:tcPr>
            <w:tcW w:w="915" w:type="pct"/>
          </w:tcPr>
          <w:p w:rsidR="00FC00C2" w:rsidRPr="009E39F8" w:rsidRDefault="00FC00C2" w:rsidP="000075D9">
            <w:pPr>
              <w:widowControl/>
              <w:rPr>
                <w:rFonts w:ascii="Arial Narrow" w:hAnsi="Arial Narrow"/>
                <w:sz w:val="20"/>
              </w:rPr>
            </w:pPr>
            <w:r w:rsidRPr="009E39F8">
              <w:rPr>
                <w:rFonts w:ascii="Arial Narrow" w:hAnsi="Arial Narrow"/>
                <w:sz w:val="20"/>
              </w:rPr>
              <w:t>QALYs</w:t>
            </w:r>
          </w:p>
        </w:tc>
        <w:tc>
          <w:tcPr>
            <w:tcW w:w="1426" w:type="pct"/>
          </w:tcPr>
          <w:p w:rsidR="00FC00C2" w:rsidRPr="00FA27CE" w:rsidRDefault="00FA27CE" w:rsidP="000075D9">
            <w:pPr>
              <w:widowControl/>
              <w:jc w:val="center"/>
              <w:rPr>
                <w:rFonts w:ascii="Arial Narrow" w:hAnsi="Arial Narrow"/>
                <w:sz w:val="20"/>
                <w:highlight w:val="black"/>
              </w:rPr>
            </w:pPr>
            <w:r>
              <w:rPr>
                <w:rFonts w:ascii="Arial Narrow" w:hAnsi="Arial Narrow"/>
                <w:noProof/>
                <w:color w:val="000000"/>
                <w:sz w:val="20"/>
                <w:highlight w:val="black"/>
              </w:rPr>
              <w:t>''''''''''''''''''</w:t>
            </w:r>
          </w:p>
        </w:tc>
        <w:tc>
          <w:tcPr>
            <w:tcW w:w="1428" w:type="pct"/>
          </w:tcPr>
          <w:p w:rsidR="00FC00C2" w:rsidRPr="00FA27CE" w:rsidRDefault="00FA27CE" w:rsidP="000075D9">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31" w:type="pct"/>
          </w:tcPr>
          <w:p w:rsidR="00FC00C2" w:rsidRPr="00FA27CE" w:rsidRDefault="00FA27CE" w:rsidP="000075D9">
            <w:pPr>
              <w:widowControl/>
              <w:jc w:val="center"/>
              <w:rPr>
                <w:rFonts w:ascii="Arial Narrow" w:hAnsi="Arial Narrow"/>
                <w:sz w:val="20"/>
                <w:highlight w:val="black"/>
              </w:rPr>
            </w:pPr>
            <w:r>
              <w:rPr>
                <w:rFonts w:ascii="Arial Narrow" w:hAnsi="Arial Narrow"/>
                <w:noProof/>
                <w:color w:val="000000"/>
                <w:sz w:val="20"/>
                <w:highlight w:val="black"/>
              </w:rPr>
              <w:t>''''''''''''''''</w:t>
            </w:r>
          </w:p>
        </w:tc>
      </w:tr>
      <w:tr w:rsidR="00FC00C2" w:rsidRPr="009E39F8" w:rsidTr="00C82BEF">
        <w:tc>
          <w:tcPr>
            <w:tcW w:w="3769" w:type="pct"/>
            <w:gridSpan w:val="3"/>
          </w:tcPr>
          <w:p w:rsidR="00FC00C2" w:rsidRPr="009E39F8" w:rsidRDefault="00FC00C2" w:rsidP="000075D9">
            <w:pPr>
              <w:widowControl/>
              <w:rPr>
                <w:rFonts w:ascii="Arial Narrow" w:hAnsi="Arial Narrow"/>
                <w:b/>
                <w:sz w:val="20"/>
              </w:rPr>
            </w:pPr>
            <w:r w:rsidRPr="009E39F8">
              <w:rPr>
                <w:rFonts w:ascii="Arial Narrow" w:hAnsi="Arial Narrow"/>
                <w:b/>
                <w:sz w:val="20"/>
              </w:rPr>
              <w:t>Incremental cost/extra QALY gained</w:t>
            </w:r>
          </w:p>
        </w:tc>
        <w:tc>
          <w:tcPr>
            <w:tcW w:w="1231" w:type="pct"/>
          </w:tcPr>
          <w:p w:rsidR="00FC00C2" w:rsidRPr="009E39F8" w:rsidRDefault="00FC00C2" w:rsidP="000075D9">
            <w:pPr>
              <w:widowControl/>
              <w:jc w:val="center"/>
              <w:rPr>
                <w:rFonts w:ascii="Arial Narrow" w:hAnsi="Arial Narrow"/>
                <w:b/>
                <w:sz w:val="20"/>
              </w:rPr>
            </w:pPr>
            <w:r w:rsidRPr="009E39F8">
              <w:rPr>
                <w:rFonts w:ascii="Arial Narrow" w:hAnsi="Arial Narrow"/>
                <w:b/>
                <w:sz w:val="20"/>
              </w:rPr>
              <w:t>$</w:t>
            </w:r>
            <w:r w:rsidR="00FA27CE">
              <w:rPr>
                <w:rFonts w:ascii="Arial Narrow" w:hAnsi="Arial Narrow"/>
                <w:b/>
                <w:noProof/>
                <w:color w:val="000000"/>
                <w:sz w:val="20"/>
                <w:highlight w:val="black"/>
              </w:rPr>
              <w:t>'''''''''''''</w:t>
            </w:r>
          </w:p>
        </w:tc>
      </w:tr>
      <w:tr w:rsidR="00FC00C2" w:rsidRPr="009E39F8" w:rsidTr="00C82BEF">
        <w:tc>
          <w:tcPr>
            <w:tcW w:w="5000" w:type="pct"/>
            <w:gridSpan w:val="4"/>
          </w:tcPr>
          <w:p w:rsidR="00FC00C2" w:rsidRPr="009E39F8" w:rsidRDefault="00FC00C2" w:rsidP="000075D9">
            <w:pPr>
              <w:widowControl/>
              <w:jc w:val="left"/>
              <w:rPr>
                <w:rFonts w:ascii="Arial Narrow" w:hAnsi="Arial Narrow"/>
                <w:b/>
                <w:sz w:val="20"/>
              </w:rPr>
            </w:pPr>
            <w:r w:rsidRPr="009E39F8">
              <w:rPr>
                <w:rFonts w:ascii="Arial Narrow" w:hAnsi="Arial Narrow"/>
                <w:b/>
                <w:sz w:val="20"/>
              </w:rPr>
              <w:t>Microsimulation analysis: 6.33 treated attacks</w:t>
            </w:r>
          </w:p>
        </w:tc>
      </w:tr>
      <w:tr w:rsidR="00FC00C2" w:rsidRPr="009E39F8" w:rsidTr="00C82BEF">
        <w:tc>
          <w:tcPr>
            <w:tcW w:w="915" w:type="pct"/>
          </w:tcPr>
          <w:p w:rsidR="00FC00C2" w:rsidRPr="009E39F8" w:rsidRDefault="00FC00C2" w:rsidP="000075D9">
            <w:pPr>
              <w:widowControl/>
              <w:rPr>
                <w:rFonts w:ascii="Arial Narrow" w:hAnsi="Arial Narrow"/>
                <w:sz w:val="20"/>
              </w:rPr>
            </w:pPr>
            <w:r w:rsidRPr="009E39F8">
              <w:rPr>
                <w:rFonts w:ascii="Arial Narrow" w:hAnsi="Arial Narrow"/>
                <w:sz w:val="20"/>
              </w:rPr>
              <w:t>Costs</w:t>
            </w:r>
          </w:p>
        </w:tc>
        <w:tc>
          <w:tcPr>
            <w:tcW w:w="1426" w:type="pct"/>
          </w:tcPr>
          <w:p w:rsidR="00FC00C2" w:rsidRPr="009E39F8" w:rsidRDefault="00FC00C2" w:rsidP="000075D9">
            <w:pPr>
              <w:widowControl/>
              <w:jc w:val="center"/>
              <w:rPr>
                <w:rFonts w:ascii="Arial Narrow" w:hAnsi="Arial Narrow"/>
                <w:sz w:val="20"/>
              </w:rPr>
            </w:pPr>
            <w:r w:rsidRPr="009E39F8">
              <w:rPr>
                <w:rFonts w:ascii="Arial Narrow" w:hAnsi="Arial Narrow"/>
                <w:sz w:val="20"/>
              </w:rPr>
              <w:t>$</w:t>
            </w:r>
            <w:r w:rsidR="00FA27CE">
              <w:rPr>
                <w:rFonts w:ascii="Arial Narrow" w:hAnsi="Arial Narrow"/>
                <w:noProof/>
                <w:color w:val="000000"/>
                <w:sz w:val="20"/>
                <w:highlight w:val="black"/>
              </w:rPr>
              <w:t>'''''''''''''''</w:t>
            </w:r>
          </w:p>
        </w:tc>
        <w:tc>
          <w:tcPr>
            <w:tcW w:w="1428" w:type="pct"/>
          </w:tcPr>
          <w:p w:rsidR="00FC00C2" w:rsidRPr="009E39F8" w:rsidRDefault="00FC00C2" w:rsidP="000075D9">
            <w:pPr>
              <w:widowControl/>
              <w:jc w:val="center"/>
              <w:rPr>
                <w:rFonts w:ascii="Arial Narrow" w:hAnsi="Arial Narrow"/>
                <w:sz w:val="20"/>
              </w:rPr>
            </w:pPr>
            <w:r w:rsidRPr="009E39F8">
              <w:rPr>
                <w:rFonts w:ascii="Arial Narrow" w:hAnsi="Arial Narrow"/>
                <w:sz w:val="20"/>
              </w:rPr>
              <w:t>$</w:t>
            </w:r>
            <w:r w:rsidR="00FA27CE">
              <w:rPr>
                <w:rFonts w:ascii="Arial Narrow" w:hAnsi="Arial Narrow"/>
                <w:noProof/>
                <w:color w:val="000000"/>
                <w:sz w:val="20"/>
                <w:highlight w:val="black"/>
              </w:rPr>
              <w:t>'''''''''''''''</w:t>
            </w:r>
          </w:p>
        </w:tc>
        <w:tc>
          <w:tcPr>
            <w:tcW w:w="1231" w:type="pct"/>
          </w:tcPr>
          <w:p w:rsidR="00FC00C2" w:rsidRPr="009E39F8" w:rsidRDefault="00FC00C2" w:rsidP="000075D9">
            <w:pPr>
              <w:widowControl/>
              <w:jc w:val="center"/>
              <w:rPr>
                <w:rFonts w:ascii="Arial Narrow" w:hAnsi="Arial Narrow"/>
                <w:sz w:val="20"/>
              </w:rPr>
            </w:pPr>
            <w:r w:rsidRPr="009E39F8">
              <w:rPr>
                <w:rFonts w:ascii="Arial Narrow" w:hAnsi="Arial Narrow"/>
                <w:sz w:val="20"/>
              </w:rPr>
              <w:t>$</w:t>
            </w:r>
            <w:r w:rsidR="00FA27CE">
              <w:rPr>
                <w:rFonts w:ascii="Arial Narrow" w:hAnsi="Arial Narrow"/>
                <w:noProof/>
                <w:color w:val="000000"/>
                <w:sz w:val="20"/>
                <w:highlight w:val="black"/>
              </w:rPr>
              <w:t>''''''''''''''</w:t>
            </w:r>
          </w:p>
        </w:tc>
      </w:tr>
      <w:tr w:rsidR="00FC00C2" w:rsidRPr="009E39F8" w:rsidTr="00C82BEF">
        <w:tc>
          <w:tcPr>
            <w:tcW w:w="915" w:type="pct"/>
          </w:tcPr>
          <w:p w:rsidR="00FC00C2" w:rsidRPr="009E39F8" w:rsidRDefault="00FC00C2" w:rsidP="000075D9">
            <w:pPr>
              <w:widowControl/>
              <w:rPr>
                <w:rFonts w:ascii="Arial Narrow" w:hAnsi="Arial Narrow"/>
                <w:sz w:val="20"/>
              </w:rPr>
            </w:pPr>
            <w:r w:rsidRPr="009E39F8">
              <w:rPr>
                <w:rFonts w:ascii="Arial Narrow" w:hAnsi="Arial Narrow"/>
                <w:sz w:val="20"/>
              </w:rPr>
              <w:t>QALYs</w:t>
            </w:r>
          </w:p>
        </w:tc>
        <w:tc>
          <w:tcPr>
            <w:tcW w:w="1426" w:type="pct"/>
          </w:tcPr>
          <w:p w:rsidR="00FC00C2" w:rsidRPr="00FA27CE" w:rsidRDefault="00FA27CE" w:rsidP="000075D9">
            <w:pPr>
              <w:widowControl/>
              <w:jc w:val="center"/>
              <w:rPr>
                <w:rFonts w:ascii="Arial Narrow" w:hAnsi="Arial Narrow"/>
                <w:sz w:val="20"/>
                <w:highlight w:val="black"/>
              </w:rPr>
            </w:pPr>
            <w:r>
              <w:rPr>
                <w:rFonts w:ascii="Arial Narrow" w:hAnsi="Arial Narrow"/>
                <w:noProof/>
                <w:color w:val="000000"/>
                <w:sz w:val="20"/>
                <w:highlight w:val="black"/>
              </w:rPr>
              <w:t>'''''''''''''''''''''</w:t>
            </w:r>
          </w:p>
        </w:tc>
        <w:tc>
          <w:tcPr>
            <w:tcW w:w="1428" w:type="pct"/>
          </w:tcPr>
          <w:p w:rsidR="00FC00C2" w:rsidRPr="00FA27CE" w:rsidRDefault="00FA27CE" w:rsidP="000075D9">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31" w:type="pct"/>
          </w:tcPr>
          <w:p w:rsidR="00FC00C2" w:rsidRPr="00FA27CE" w:rsidRDefault="00FA27CE" w:rsidP="000075D9">
            <w:pPr>
              <w:widowControl/>
              <w:jc w:val="center"/>
              <w:rPr>
                <w:rFonts w:ascii="Arial Narrow" w:hAnsi="Arial Narrow"/>
                <w:sz w:val="20"/>
                <w:highlight w:val="black"/>
              </w:rPr>
            </w:pPr>
            <w:r>
              <w:rPr>
                <w:rFonts w:ascii="Arial Narrow" w:hAnsi="Arial Narrow"/>
                <w:noProof/>
                <w:color w:val="000000"/>
                <w:sz w:val="20"/>
                <w:highlight w:val="black"/>
              </w:rPr>
              <w:t>''''''''''''''''</w:t>
            </w:r>
          </w:p>
        </w:tc>
      </w:tr>
      <w:tr w:rsidR="00FC00C2" w:rsidRPr="009E39F8" w:rsidTr="00C82BEF">
        <w:tc>
          <w:tcPr>
            <w:tcW w:w="3769" w:type="pct"/>
            <w:gridSpan w:val="3"/>
            <w:tcBorders>
              <w:bottom w:val="single" w:sz="4" w:space="0" w:color="auto"/>
            </w:tcBorders>
          </w:tcPr>
          <w:p w:rsidR="00FC00C2" w:rsidRPr="009E39F8" w:rsidRDefault="00FC00C2" w:rsidP="000075D9">
            <w:pPr>
              <w:widowControl/>
              <w:rPr>
                <w:rFonts w:ascii="Arial Narrow" w:hAnsi="Arial Narrow"/>
                <w:b/>
                <w:sz w:val="20"/>
              </w:rPr>
            </w:pPr>
            <w:r w:rsidRPr="009E39F8">
              <w:rPr>
                <w:rFonts w:ascii="Arial Narrow" w:hAnsi="Arial Narrow"/>
                <w:b/>
                <w:sz w:val="20"/>
              </w:rPr>
              <w:t>Incremental cost/extra QALY gained</w:t>
            </w:r>
          </w:p>
        </w:tc>
        <w:tc>
          <w:tcPr>
            <w:tcW w:w="1231" w:type="pct"/>
            <w:tcBorders>
              <w:bottom w:val="single" w:sz="4" w:space="0" w:color="auto"/>
            </w:tcBorders>
          </w:tcPr>
          <w:p w:rsidR="00FC00C2" w:rsidRPr="009E39F8" w:rsidRDefault="00FC00C2" w:rsidP="000075D9">
            <w:pPr>
              <w:widowControl/>
              <w:jc w:val="center"/>
              <w:rPr>
                <w:rFonts w:ascii="Arial Narrow" w:hAnsi="Arial Narrow"/>
                <w:b/>
                <w:sz w:val="20"/>
              </w:rPr>
            </w:pPr>
            <w:r w:rsidRPr="009E39F8">
              <w:rPr>
                <w:rFonts w:ascii="Arial Narrow" w:hAnsi="Arial Narrow"/>
                <w:b/>
                <w:sz w:val="20"/>
              </w:rPr>
              <w:t>$</w:t>
            </w:r>
            <w:r w:rsidR="00FA27CE">
              <w:rPr>
                <w:rFonts w:ascii="Arial Narrow" w:hAnsi="Arial Narrow"/>
                <w:b/>
                <w:noProof/>
                <w:color w:val="000000"/>
                <w:sz w:val="20"/>
                <w:highlight w:val="black"/>
              </w:rPr>
              <w:t>'''''''''''''''</w:t>
            </w:r>
          </w:p>
        </w:tc>
      </w:tr>
      <w:tr w:rsidR="00FC00C2" w:rsidRPr="009E39F8" w:rsidTr="00C82BEF">
        <w:tc>
          <w:tcPr>
            <w:tcW w:w="3769" w:type="pct"/>
            <w:gridSpan w:val="3"/>
            <w:tcBorders>
              <w:top w:val="double" w:sz="4" w:space="0" w:color="auto"/>
            </w:tcBorders>
          </w:tcPr>
          <w:p w:rsidR="00FC00C2" w:rsidRPr="009E39F8" w:rsidRDefault="00FC00C2" w:rsidP="000075D9">
            <w:pPr>
              <w:widowControl/>
              <w:rPr>
                <w:rFonts w:ascii="Arial Narrow" w:hAnsi="Arial Narrow"/>
                <w:b/>
                <w:sz w:val="20"/>
              </w:rPr>
            </w:pPr>
            <w:r w:rsidRPr="009E39F8">
              <w:rPr>
                <w:rFonts w:ascii="Arial Narrow" w:hAnsi="Arial Narrow"/>
                <w:b/>
                <w:sz w:val="20"/>
              </w:rPr>
              <w:t>Model estimates in March 2012 minor submission (PBAC accepted)</w:t>
            </w:r>
          </w:p>
        </w:tc>
        <w:tc>
          <w:tcPr>
            <w:tcW w:w="1231" w:type="pct"/>
            <w:tcBorders>
              <w:top w:val="double" w:sz="4" w:space="0" w:color="auto"/>
            </w:tcBorders>
          </w:tcPr>
          <w:p w:rsidR="00FC00C2" w:rsidRPr="009E39F8" w:rsidRDefault="00FC00C2" w:rsidP="000075D9">
            <w:pPr>
              <w:widowControl/>
              <w:jc w:val="center"/>
              <w:rPr>
                <w:rFonts w:ascii="Arial Narrow" w:hAnsi="Arial Narrow"/>
                <w:b/>
                <w:sz w:val="20"/>
              </w:rPr>
            </w:pPr>
          </w:p>
        </w:tc>
      </w:tr>
      <w:tr w:rsidR="00FC00C2" w:rsidRPr="009E39F8" w:rsidTr="00C82BEF">
        <w:tc>
          <w:tcPr>
            <w:tcW w:w="915" w:type="pct"/>
          </w:tcPr>
          <w:p w:rsidR="00FC00C2" w:rsidRPr="009E39F8" w:rsidRDefault="00FC00C2" w:rsidP="000075D9">
            <w:pPr>
              <w:widowControl/>
              <w:rPr>
                <w:rFonts w:ascii="Arial Narrow" w:hAnsi="Arial Narrow"/>
                <w:sz w:val="20"/>
              </w:rPr>
            </w:pPr>
            <w:r w:rsidRPr="009E39F8">
              <w:rPr>
                <w:rFonts w:ascii="Arial Narrow" w:hAnsi="Arial Narrow"/>
                <w:sz w:val="20"/>
              </w:rPr>
              <w:t>Costs</w:t>
            </w:r>
          </w:p>
        </w:tc>
        <w:tc>
          <w:tcPr>
            <w:tcW w:w="1426" w:type="pct"/>
          </w:tcPr>
          <w:p w:rsidR="00FC00C2" w:rsidRPr="009E39F8" w:rsidRDefault="00FC00C2" w:rsidP="000075D9">
            <w:pPr>
              <w:widowControl/>
              <w:jc w:val="center"/>
              <w:rPr>
                <w:rFonts w:ascii="Arial Narrow" w:hAnsi="Arial Narrow"/>
                <w:sz w:val="20"/>
              </w:rPr>
            </w:pPr>
            <w:r w:rsidRPr="009E39F8">
              <w:rPr>
                <w:rFonts w:ascii="Arial Narrow" w:hAnsi="Arial Narrow"/>
                <w:sz w:val="20"/>
              </w:rPr>
              <w:t>$</w:t>
            </w:r>
            <w:r w:rsidR="00FA27CE">
              <w:rPr>
                <w:rFonts w:ascii="Arial Narrow" w:hAnsi="Arial Narrow"/>
                <w:noProof/>
                <w:color w:val="000000"/>
                <w:sz w:val="20"/>
                <w:highlight w:val="black"/>
              </w:rPr>
              <w:t>''''''''''''''</w:t>
            </w:r>
          </w:p>
        </w:tc>
        <w:tc>
          <w:tcPr>
            <w:tcW w:w="1428" w:type="pct"/>
          </w:tcPr>
          <w:p w:rsidR="00FC00C2" w:rsidRPr="009E39F8" w:rsidRDefault="00FC00C2" w:rsidP="000075D9">
            <w:pPr>
              <w:widowControl/>
              <w:jc w:val="center"/>
              <w:rPr>
                <w:rFonts w:ascii="Arial Narrow" w:hAnsi="Arial Narrow"/>
                <w:sz w:val="20"/>
              </w:rPr>
            </w:pPr>
            <w:r w:rsidRPr="009E39F8">
              <w:rPr>
                <w:rFonts w:ascii="Arial Narrow" w:hAnsi="Arial Narrow"/>
                <w:sz w:val="20"/>
              </w:rPr>
              <w:t>$</w:t>
            </w:r>
            <w:r w:rsidR="00FA27CE">
              <w:rPr>
                <w:rFonts w:ascii="Arial Narrow" w:hAnsi="Arial Narrow"/>
                <w:noProof/>
                <w:color w:val="000000"/>
                <w:sz w:val="20"/>
                <w:highlight w:val="black"/>
              </w:rPr>
              <w:t>'''''''''''''</w:t>
            </w:r>
          </w:p>
        </w:tc>
        <w:tc>
          <w:tcPr>
            <w:tcW w:w="1231" w:type="pct"/>
            <w:vAlign w:val="bottom"/>
          </w:tcPr>
          <w:p w:rsidR="00FC00C2" w:rsidRPr="009E39F8" w:rsidRDefault="00FC00C2" w:rsidP="000075D9">
            <w:pPr>
              <w:widowControl/>
              <w:jc w:val="center"/>
              <w:rPr>
                <w:rFonts w:ascii="Arial Narrow" w:hAnsi="Arial Narrow"/>
                <w:sz w:val="20"/>
              </w:rPr>
            </w:pPr>
            <w:r w:rsidRPr="009E39F8">
              <w:rPr>
                <w:rFonts w:ascii="Arial Narrow" w:hAnsi="Arial Narrow"/>
                <w:sz w:val="20"/>
              </w:rPr>
              <w:t>$</w:t>
            </w:r>
            <w:r w:rsidR="00FA27CE">
              <w:rPr>
                <w:rFonts w:ascii="Arial Narrow" w:hAnsi="Arial Narrow"/>
                <w:noProof/>
                <w:color w:val="000000"/>
                <w:sz w:val="20"/>
                <w:highlight w:val="black"/>
              </w:rPr>
              <w:t>''''''''''''</w:t>
            </w:r>
          </w:p>
        </w:tc>
      </w:tr>
      <w:tr w:rsidR="00FC00C2" w:rsidRPr="009E39F8" w:rsidTr="00C82BEF">
        <w:tc>
          <w:tcPr>
            <w:tcW w:w="915" w:type="pct"/>
          </w:tcPr>
          <w:p w:rsidR="00FC00C2" w:rsidRPr="009E39F8" w:rsidRDefault="00FC00C2" w:rsidP="000075D9">
            <w:pPr>
              <w:widowControl/>
              <w:rPr>
                <w:rFonts w:ascii="Arial Narrow" w:hAnsi="Arial Narrow"/>
                <w:sz w:val="20"/>
              </w:rPr>
            </w:pPr>
            <w:r w:rsidRPr="009E39F8">
              <w:rPr>
                <w:rFonts w:ascii="Arial Narrow" w:hAnsi="Arial Narrow"/>
                <w:sz w:val="20"/>
              </w:rPr>
              <w:t>QALYs</w:t>
            </w:r>
          </w:p>
        </w:tc>
        <w:tc>
          <w:tcPr>
            <w:tcW w:w="1426" w:type="pct"/>
            <w:vAlign w:val="bottom"/>
          </w:tcPr>
          <w:p w:rsidR="00FC00C2" w:rsidRPr="00FA27CE" w:rsidRDefault="00FA27CE" w:rsidP="000075D9">
            <w:pPr>
              <w:widowControl/>
              <w:jc w:val="center"/>
              <w:rPr>
                <w:rFonts w:ascii="Arial Narrow" w:hAnsi="Arial Narrow"/>
                <w:sz w:val="20"/>
                <w:highlight w:val="black"/>
              </w:rPr>
            </w:pPr>
            <w:r>
              <w:rPr>
                <w:rFonts w:ascii="Arial Narrow" w:hAnsi="Arial Narrow"/>
                <w:noProof/>
                <w:color w:val="000000"/>
                <w:sz w:val="20"/>
                <w:highlight w:val="black"/>
              </w:rPr>
              <w:t>''''''''''''''''</w:t>
            </w:r>
          </w:p>
        </w:tc>
        <w:tc>
          <w:tcPr>
            <w:tcW w:w="1428" w:type="pct"/>
            <w:vAlign w:val="bottom"/>
          </w:tcPr>
          <w:p w:rsidR="00FC00C2" w:rsidRPr="00FA27CE" w:rsidRDefault="00FA27CE" w:rsidP="000075D9">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31" w:type="pct"/>
          </w:tcPr>
          <w:p w:rsidR="00FC00C2" w:rsidRPr="00FA27CE" w:rsidRDefault="00FA27CE" w:rsidP="000075D9">
            <w:pPr>
              <w:widowControl/>
              <w:jc w:val="center"/>
              <w:rPr>
                <w:rFonts w:ascii="Arial Narrow" w:hAnsi="Arial Narrow"/>
                <w:sz w:val="20"/>
                <w:highlight w:val="black"/>
              </w:rPr>
            </w:pPr>
            <w:r>
              <w:rPr>
                <w:rFonts w:ascii="Arial Narrow" w:hAnsi="Arial Narrow"/>
                <w:noProof/>
                <w:color w:val="000000"/>
                <w:sz w:val="20"/>
                <w:highlight w:val="black"/>
              </w:rPr>
              <w:t>'''''''''''''''''</w:t>
            </w:r>
          </w:p>
        </w:tc>
      </w:tr>
      <w:tr w:rsidR="00FC00C2" w:rsidRPr="009E39F8" w:rsidTr="00C82BEF">
        <w:tc>
          <w:tcPr>
            <w:tcW w:w="3769" w:type="pct"/>
            <w:gridSpan w:val="3"/>
          </w:tcPr>
          <w:p w:rsidR="00FC00C2" w:rsidRPr="009E39F8" w:rsidRDefault="00FC00C2" w:rsidP="000075D9">
            <w:pPr>
              <w:widowControl/>
              <w:rPr>
                <w:rFonts w:ascii="Arial Narrow" w:hAnsi="Arial Narrow"/>
                <w:b/>
                <w:sz w:val="20"/>
              </w:rPr>
            </w:pPr>
            <w:r w:rsidRPr="009E39F8">
              <w:rPr>
                <w:rFonts w:ascii="Arial Narrow" w:hAnsi="Arial Narrow"/>
                <w:b/>
                <w:sz w:val="20"/>
              </w:rPr>
              <w:t>Incremental cost/extra QALY gained</w:t>
            </w:r>
          </w:p>
        </w:tc>
        <w:tc>
          <w:tcPr>
            <w:tcW w:w="1231" w:type="pct"/>
          </w:tcPr>
          <w:p w:rsidR="00FC00C2" w:rsidRPr="009E39F8" w:rsidRDefault="00FC00C2" w:rsidP="000075D9">
            <w:pPr>
              <w:widowControl/>
              <w:jc w:val="center"/>
              <w:rPr>
                <w:rFonts w:ascii="Arial Narrow" w:hAnsi="Arial Narrow"/>
                <w:b/>
                <w:sz w:val="20"/>
              </w:rPr>
            </w:pPr>
            <w:r w:rsidRPr="009E39F8">
              <w:rPr>
                <w:rFonts w:ascii="Arial Narrow" w:hAnsi="Arial Narrow"/>
                <w:b/>
                <w:sz w:val="20"/>
              </w:rPr>
              <w:t>$</w:t>
            </w:r>
            <w:r w:rsidR="00FA27CE">
              <w:rPr>
                <w:rFonts w:ascii="Arial Narrow" w:hAnsi="Arial Narrow"/>
                <w:b/>
                <w:noProof/>
                <w:color w:val="000000"/>
                <w:sz w:val="20"/>
                <w:highlight w:val="black"/>
              </w:rPr>
              <w:t>'''''''''''''</w:t>
            </w:r>
          </w:p>
        </w:tc>
      </w:tr>
    </w:tbl>
    <w:p w:rsidR="00FC00C2" w:rsidRDefault="00FC00C2" w:rsidP="000075D9">
      <w:pPr>
        <w:pStyle w:val="TableFooter"/>
        <w:widowControl/>
        <w:ind w:left="709"/>
      </w:pPr>
      <w:r w:rsidRPr="00D13A3E">
        <w:t xml:space="preserve">Source: </w:t>
      </w:r>
      <w:r>
        <w:t xml:space="preserve">Table 51 &amp; Table 52, pp123-124 of the resubmission; March 2012 </w:t>
      </w:r>
      <w:r w:rsidR="00C54D4F">
        <w:t>PSD</w:t>
      </w:r>
      <w:r>
        <w:t>.</w:t>
      </w:r>
    </w:p>
    <w:p w:rsidR="00AA28D7" w:rsidRPr="009E39F8" w:rsidRDefault="00AA28D7" w:rsidP="000075D9">
      <w:pPr>
        <w:pStyle w:val="TableFooter"/>
        <w:widowControl/>
        <w:ind w:left="709"/>
        <w:rPr>
          <w:sz w:val="22"/>
          <w:szCs w:val="22"/>
        </w:rPr>
      </w:pPr>
    </w:p>
    <w:p w:rsidR="009A2C05" w:rsidRPr="009E39F8" w:rsidRDefault="009A2C05" w:rsidP="00E94114">
      <w:pPr>
        <w:pStyle w:val="ListParagraph"/>
        <w:widowControl/>
        <w:numPr>
          <w:ilvl w:val="1"/>
          <w:numId w:val="2"/>
        </w:numPr>
        <w:rPr>
          <w:szCs w:val="22"/>
        </w:rPr>
      </w:pPr>
      <w:r w:rsidRPr="009E39F8">
        <w:t xml:space="preserve">The structure for the new model is based on changes in attack severity (mild, moderate, severe). </w:t>
      </w:r>
      <w:r w:rsidR="002026B6" w:rsidRPr="009E39F8">
        <w:rPr>
          <w:szCs w:val="22"/>
        </w:rPr>
        <w:t xml:space="preserve">The data presented in the </w:t>
      </w:r>
      <w:r w:rsidR="00D24424" w:rsidRPr="009E39F8">
        <w:rPr>
          <w:szCs w:val="22"/>
        </w:rPr>
        <w:t>submission</w:t>
      </w:r>
      <w:r w:rsidR="008C1658" w:rsidRPr="009E39F8">
        <w:rPr>
          <w:szCs w:val="22"/>
        </w:rPr>
        <w:t xml:space="preserve"> and previous </w:t>
      </w:r>
      <w:r w:rsidR="00F745DD" w:rsidRPr="009E39F8">
        <w:rPr>
          <w:szCs w:val="22"/>
        </w:rPr>
        <w:t>(re)</w:t>
      </w:r>
      <w:r w:rsidR="008C1658" w:rsidRPr="009E39F8">
        <w:rPr>
          <w:szCs w:val="22"/>
        </w:rPr>
        <w:t>submissions</w:t>
      </w:r>
      <w:r w:rsidR="002026B6" w:rsidRPr="009E39F8">
        <w:rPr>
          <w:szCs w:val="22"/>
        </w:rPr>
        <w:t xml:space="preserve"> described the clinical benefits in terms of time to the resolution of symptoms, and t</w:t>
      </w:r>
      <w:r w:rsidRPr="009E39F8">
        <w:t>he PBAC has previously concluded that there is no evidence that treatment with icatibant reduces the intensity or severity of a HAE attack (July 2011 PSD)</w:t>
      </w:r>
      <w:r w:rsidR="009F7604">
        <w:t>.</w:t>
      </w:r>
      <w:r w:rsidR="00EB4C6D">
        <w:t xml:space="preserve"> </w:t>
      </w:r>
      <w:r w:rsidR="00EB4C6D" w:rsidRPr="00D53534">
        <w:t xml:space="preserve">The ESC noted the March 2012 model estimated an increase in QALYs of 0.1233 (only slightly more than the </w:t>
      </w:r>
      <w:r w:rsidR="00FA27CE">
        <w:rPr>
          <w:noProof/>
          <w:color w:val="000000"/>
          <w:highlight w:val="black"/>
        </w:rPr>
        <w:t>'''''''''''</w:t>
      </w:r>
      <w:r w:rsidR="00EB4C6D" w:rsidRPr="00D53534">
        <w:t xml:space="preserve"> increase assumed for the self-administration </w:t>
      </w:r>
      <w:r w:rsidR="00EB4C6D" w:rsidRPr="00D53534">
        <w:lastRenderedPageBreak/>
        <w:t xml:space="preserve">of icatibant). In the current model this increased to </w:t>
      </w:r>
      <w:r w:rsidR="00FA27CE">
        <w:rPr>
          <w:noProof/>
          <w:color w:val="000000"/>
          <w:highlight w:val="black"/>
        </w:rPr>
        <w:t>''''''''''''''''''</w:t>
      </w:r>
      <w:r w:rsidR="00EB4C6D" w:rsidRPr="00D53534">
        <w:t xml:space="preserve"> for the cohort analysis and to </w:t>
      </w:r>
      <w:r w:rsidR="00FA27CE">
        <w:rPr>
          <w:noProof/>
          <w:color w:val="000000"/>
          <w:highlight w:val="black"/>
        </w:rPr>
        <w:t>'''''''''''''''</w:t>
      </w:r>
      <w:r w:rsidR="00EB4C6D" w:rsidRPr="00D53534">
        <w:t xml:space="preserve"> for the microsimulation model. The cost offset for C1-INH also increased</w:t>
      </w:r>
      <w:r w:rsidR="003A230B" w:rsidRPr="00D53534">
        <w:t xml:space="preserve"> relative to March 2012 model even when account</w:t>
      </w:r>
      <w:r w:rsidR="0056215C" w:rsidRPr="00D53534">
        <w:t>ing</w:t>
      </w:r>
      <w:r w:rsidR="003A230B" w:rsidRPr="00D53534">
        <w:t xml:space="preserve"> for the</w:t>
      </w:r>
      <w:r w:rsidR="0056215C" w:rsidRPr="00D53534">
        <w:t xml:space="preserve"> increase in the</w:t>
      </w:r>
      <w:r w:rsidR="003A230B" w:rsidRPr="00D53534">
        <w:t xml:space="preserve"> number of attacks treated.</w:t>
      </w:r>
      <w:r w:rsidR="00642003" w:rsidRPr="00D53534">
        <w:t xml:space="preserve"> </w:t>
      </w:r>
    </w:p>
    <w:p w:rsidR="009A2C05" w:rsidRPr="009E39F8" w:rsidRDefault="009A2C05" w:rsidP="000075D9">
      <w:pPr>
        <w:pStyle w:val="ListParagraph"/>
        <w:widowControl/>
        <w:rPr>
          <w:szCs w:val="22"/>
        </w:rPr>
      </w:pPr>
    </w:p>
    <w:p w:rsidR="00FC00C2" w:rsidRPr="009E39F8" w:rsidRDefault="00FC00C2" w:rsidP="00E94114">
      <w:pPr>
        <w:pStyle w:val="ListParagraph"/>
        <w:widowControl/>
        <w:numPr>
          <w:ilvl w:val="1"/>
          <w:numId w:val="2"/>
        </w:numPr>
        <w:rPr>
          <w:szCs w:val="22"/>
        </w:rPr>
      </w:pPr>
      <w:r w:rsidRPr="009E39F8">
        <w:rPr>
          <w:szCs w:val="22"/>
        </w:rPr>
        <w:t xml:space="preserve">There are assumptions and inputs in the model that </w:t>
      </w:r>
      <w:r w:rsidRPr="009E39F8">
        <w:t>favour icatibant over BSC±C1-INH :</w:t>
      </w:r>
    </w:p>
    <w:p w:rsidR="00FC00C2" w:rsidRPr="009E39F8" w:rsidRDefault="00FC00C2" w:rsidP="00B04E3D">
      <w:pPr>
        <w:pStyle w:val="ListParagraph"/>
        <w:widowControl/>
        <w:numPr>
          <w:ilvl w:val="0"/>
          <w:numId w:val="22"/>
        </w:numPr>
        <w:rPr>
          <w:szCs w:val="22"/>
        </w:rPr>
      </w:pPr>
      <w:r w:rsidRPr="009E39F8">
        <w:rPr>
          <w:szCs w:val="22"/>
        </w:rPr>
        <w:t xml:space="preserve">The cost of icatibant was underestimated </w:t>
      </w:r>
      <w:r w:rsidR="009D192C">
        <w:rPr>
          <w:szCs w:val="22"/>
        </w:rPr>
        <w:t>due to not</w:t>
      </w:r>
      <w:r w:rsidR="009D192C" w:rsidRPr="009E39F8">
        <w:rPr>
          <w:szCs w:val="22"/>
        </w:rPr>
        <w:t xml:space="preserve"> </w:t>
      </w:r>
      <w:r w:rsidRPr="009E39F8">
        <w:rPr>
          <w:szCs w:val="22"/>
        </w:rPr>
        <w:t>considering the likely use of hospital service</w:t>
      </w:r>
      <w:r w:rsidR="006C7154" w:rsidRPr="009E39F8">
        <w:rPr>
          <w:szCs w:val="22"/>
        </w:rPr>
        <w:t>s</w:t>
      </w:r>
      <w:r w:rsidRPr="009E39F8">
        <w:rPr>
          <w:szCs w:val="22"/>
        </w:rPr>
        <w:t xml:space="preserve"> for severe laryngeal attacks and unresolved attacks; </w:t>
      </w:r>
    </w:p>
    <w:p w:rsidR="00FC00C2" w:rsidRPr="009E39F8" w:rsidRDefault="00FC00C2" w:rsidP="00B04E3D">
      <w:pPr>
        <w:pStyle w:val="ListParagraph"/>
        <w:widowControl/>
        <w:numPr>
          <w:ilvl w:val="0"/>
          <w:numId w:val="22"/>
        </w:numPr>
        <w:rPr>
          <w:szCs w:val="22"/>
        </w:rPr>
      </w:pPr>
      <w:r w:rsidRPr="009E39F8">
        <w:rPr>
          <w:szCs w:val="22"/>
        </w:rPr>
        <w:t>The cost of C1-INH was overestimated due to overestimatin</w:t>
      </w:r>
      <w:r w:rsidR="009D192C">
        <w:rPr>
          <w:szCs w:val="22"/>
        </w:rPr>
        <w:t>g</w:t>
      </w:r>
      <w:r w:rsidRPr="009E39F8">
        <w:rPr>
          <w:szCs w:val="22"/>
        </w:rPr>
        <w:t xml:space="preserve"> the proportion being treated with C1-INH, 42.6% sourced from Nordenfelt 2014 was high in comparison with the FAST trial results in which 12% in the icatibant arms and 22% in the comparator arms use</w:t>
      </w:r>
      <w:r w:rsidR="00EC5258" w:rsidRPr="009E39F8">
        <w:rPr>
          <w:szCs w:val="22"/>
        </w:rPr>
        <w:t>d</w:t>
      </w:r>
      <w:r w:rsidRPr="009E39F8">
        <w:rPr>
          <w:szCs w:val="22"/>
        </w:rPr>
        <w:t xml:space="preserve"> C1-INH as rescue medicine; and</w:t>
      </w:r>
    </w:p>
    <w:p w:rsidR="0005775D" w:rsidRPr="00F475DB" w:rsidRDefault="00FC00C2" w:rsidP="00B04E3D">
      <w:pPr>
        <w:pStyle w:val="ListParagraph"/>
        <w:numPr>
          <w:ilvl w:val="0"/>
          <w:numId w:val="22"/>
        </w:numPr>
        <w:rPr>
          <w:szCs w:val="22"/>
        </w:rPr>
      </w:pPr>
      <w:r w:rsidRPr="0005775D">
        <w:rPr>
          <w:szCs w:val="22"/>
        </w:rPr>
        <w:t xml:space="preserve">The utility difference </w:t>
      </w:r>
      <w:r w:rsidR="008329D0" w:rsidRPr="0005775D">
        <w:rPr>
          <w:szCs w:val="22"/>
        </w:rPr>
        <w:t>(</w:t>
      </w:r>
      <w:r w:rsidR="00FA27CE">
        <w:rPr>
          <w:noProof/>
          <w:color w:val="000000"/>
          <w:szCs w:val="22"/>
          <w:highlight w:val="black"/>
        </w:rPr>
        <w:t>'''''''''''</w:t>
      </w:r>
      <w:r w:rsidR="008329D0" w:rsidRPr="0005775D">
        <w:rPr>
          <w:szCs w:val="22"/>
        </w:rPr>
        <w:t xml:space="preserve">) </w:t>
      </w:r>
      <w:r w:rsidRPr="0005775D">
        <w:rPr>
          <w:szCs w:val="22"/>
        </w:rPr>
        <w:t xml:space="preserve">sourced from the scenario based utility valuation study rendered </w:t>
      </w:r>
      <w:r w:rsidRPr="00F475DB">
        <w:rPr>
          <w:szCs w:val="22"/>
        </w:rPr>
        <w:t>the utility values for between attack health states higher than population norms for Australia</w:t>
      </w:r>
      <w:r w:rsidR="008329D0" w:rsidRPr="00F475DB">
        <w:rPr>
          <w:szCs w:val="22"/>
        </w:rPr>
        <w:t>, which is unreasonable</w:t>
      </w:r>
      <w:r w:rsidRPr="00F475DB">
        <w:rPr>
          <w:szCs w:val="22"/>
        </w:rPr>
        <w:t>.</w:t>
      </w:r>
      <w:r w:rsidR="008329D0" w:rsidRPr="00F475DB">
        <w:rPr>
          <w:szCs w:val="22"/>
        </w:rPr>
        <w:t xml:space="preserve"> The PBAC </w:t>
      </w:r>
      <w:r w:rsidR="009D192C">
        <w:rPr>
          <w:szCs w:val="22"/>
        </w:rPr>
        <w:t xml:space="preserve">previously </w:t>
      </w:r>
      <w:r w:rsidR="008329D0" w:rsidRPr="00F475DB">
        <w:rPr>
          <w:szCs w:val="22"/>
        </w:rPr>
        <w:t>noted substantial uncertainties in this scenario based utility valuation study (July 2011 PSD)</w:t>
      </w:r>
      <w:r w:rsidR="00AF1555" w:rsidRPr="00F475DB">
        <w:rPr>
          <w:szCs w:val="22"/>
        </w:rPr>
        <w:t>.</w:t>
      </w:r>
      <w:r w:rsidR="005D7704" w:rsidRPr="00F475DB">
        <w:rPr>
          <w:szCs w:val="22"/>
        </w:rPr>
        <w:t xml:space="preserve"> </w:t>
      </w:r>
      <w:r w:rsidR="0005775D" w:rsidRPr="00F475DB">
        <w:rPr>
          <w:szCs w:val="22"/>
        </w:rPr>
        <w:t>The ESC considered the utility gain for self-administration (</w:t>
      </w:r>
      <w:r w:rsidR="00FA27CE">
        <w:rPr>
          <w:noProof/>
          <w:color w:val="000000"/>
          <w:szCs w:val="22"/>
          <w:highlight w:val="black"/>
        </w:rPr>
        <w:t>''''''''''''</w:t>
      </w:r>
      <w:r w:rsidR="0005775D" w:rsidRPr="00F475DB">
        <w:rPr>
          <w:szCs w:val="22"/>
        </w:rPr>
        <w:t xml:space="preserve">) appeared large, and resulted in utility values for </w:t>
      </w:r>
      <w:r w:rsidR="003B3329" w:rsidRPr="00F475DB">
        <w:rPr>
          <w:szCs w:val="22"/>
        </w:rPr>
        <w:t xml:space="preserve">the time </w:t>
      </w:r>
      <w:r w:rsidR="0005775D" w:rsidRPr="00F475DB">
        <w:rPr>
          <w:szCs w:val="22"/>
        </w:rPr>
        <w:t xml:space="preserve">between attacks </w:t>
      </w:r>
      <w:r w:rsidR="003B3329" w:rsidRPr="00F475DB">
        <w:rPr>
          <w:szCs w:val="22"/>
        </w:rPr>
        <w:t>which were</w:t>
      </w:r>
      <w:r w:rsidR="0005775D" w:rsidRPr="00F475DB">
        <w:rPr>
          <w:szCs w:val="22"/>
        </w:rPr>
        <w:t xml:space="preserve"> higher than population norms</w:t>
      </w:r>
      <w:r w:rsidR="003B3329" w:rsidRPr="00F475DB">
        <w:rPr>
          <w:szCs w:val="22"/>
        </w:rPr>
        <w:t>,</w:t>
      </w:r>
      <w:r w:rsidR="0005775D" w:rsidRPr="00F475DB">
        <w:rPr>
          <w:szCs w:val="22"/>
        </w:rPr>
        <w:t xml:space="preserve"> which lacked face validity. </w:t>
      </w:r>
      <w:r w:rsidR="00FD7504">
        <w:rPr>
          <w:szCs w:val="22"/>
        </w:rPr>
        <w:t xml:space="preserve">The pre-PBAC response acknowledged that the maximum utility in the model </w:t>
      </w:r>
      <w:r w:rsidR="009227F6">
        <w:rPr>
          <w:szCs w:val="22"/>
        </w:rPr>
        <w:t>was higher than population norms, but argued that a reduction in the absolute utility values does not impact the ICERs.</w:t>
      </w:r>
    </w:p>
    <w:p w:rsidR="008329D0" w:rsidRPr="0005775D" w:rsidRDefault="008329D0" w:rsidP="000075D9">
      <w:pPr>
        <w:pStyle w:val="ListParagraph"/>
        <w:widowControl/>
        <w:ind w:left="1504"/>
        <w:rPr>
          <w:szCs w:val="22"/>
        </w:rPr>
      </w:pPr>
    </w:p>
    <w:p w:rsidR="003C5E69" w:rsidRPr="009E39F8" w:rsidRDefault="003C5E69" w:rsidP="00E94114">
      <w:pPr>
        <w:pStyle w:val="ListParagraph"/>
        <w:widowControl/>
        <w:numPr>
          <w:ilvl w:val="1"/>
          <w:numId w:val="2"/>
        </w:numPr>
        <w:rPr>
          <w:szCs w:val="22"/>
        </w:rPr>
      </w:pPr>
      <w:r w:rsidRPr="009E39F8">
        <w:t>The risk of bias for the utility</w:t>
      </w:r>
      <w:r w:rsidR="007C329B" w:rsidRPr="009E39F8">
        <w:t xml:space="preserve"> </w:t>
      </w:r>
      <w:r w:rsidR="009D192C">
        <w:t>estimates for</w:t>
      </w:r>
      <w:r w:rsidR="007C329B" w:rsidRPr="009E39F8">
        <w:t xml:space="preserve"> living with HEA</w:t>
      </w:r>
      <w:r w:rsidRPr="009E39F8">
        <w:t xml:space="preserve"> </w:t>
      </w:r>
      <w:r w:rsidR="007C329B" w:rsidRPr="009E39F8">
        <w:t>sourced</w:t>
      </w:r>
      <w:r w:rsidRPr="009E39F8">
        <w:t xml:space="preserve"> from Nordenfelt 2014 is unclear due to the following reasons: </w:t>
      </w:r>
    </w:p>
    <w:p w:rsidR="00392542" w:rsidRPr="009E39F8" w:rsidRDefault="003C5E69" w:rsidP="00B04E3D">
      <w:pPr>
        <w:pStyle w:val="ListParagraph"/>
        <w:widowControl/>
        <w:numPr>
          <w:ilvl w:val="0"/>
          <w:numId w:val="23"/>
        </w:numPr>
      </w:pPr>
      <w:r w:rsidRPr="009E39F8">
        <w:t>Nordenfelt 2014 has a relatively small sample size (n=103);</w:t>
      </w:r>
    </w:p>
    <w:p w:rsidR="003C5E69" w:rsidRPr="009E39F8" w:rsidRDefault="003C5E69" w:rsidP="00B04E3D">
      <w:pPr>
        <w:pStyle w:val="ListParagraph"/>
        <w:widowControl/>
        <w:numPr>
          <w:ilvl w:val="0"/>
          <w:numId w:val="23"/>
        </w:numPr>
      </w:pPr>
      <w:r w:rsidRPr="009E39F8">
        <w:t xml:space="preserve">The within-attack utility may </w:t>
      </w:r>
      <w:r w:rsidR="009D192C">
        <w:t>be impacted by</w:t>
      </w:r>
      <w:r w:rsidRPr="009E39F8">
        <w:t xml:space="preserve"> recall bias as the patients were retrospectively asked to assess their </w:t>
      </w:r>
      <w:r w:rsidR="006754F8">
        <w:t>Quality of Life (</w:t>
      </w:r>
      <w:r w:rsidR="00EC5258" w:rsidRPr="009E39F8">
        <w:t>QoL</w:t>
      </w:r>
      <w:r w:rsidR="006754F8">
        <w:t>)</w:t>
      </w:r>
      <w:r w:rsidRPr="009E39F8">
        <w:t xml:space="preserve"> in the most recent HAE attack;</w:t>
      </w:r>
      <w:r w:rsidR="00EC5258" w:rsidRPr="009E39F8">
        <w:t xml:space="preserve"> and</w:t>
      </w:r>
    </w:p>
    <w:p w:rsidR="00FC00C2" w:rsidRPr="009E39F8" w:rsidRDefault="003C5E69" w:rsidP="00B04E3D">
      <w:pPr>
        <w:pStyle w:val="ListParagraph"/>
        <w:widowControl/>
        <w:numPr>
          <w:ilvl w:val="0"/>
          <w:numId w:val="23"/>
        </w:numPr>
      </w:pPr>
      <w:r w:rsidRPr="009E39F8">
        <w:t xml:space="preserve">The potential heterogeneity of HAE attacks may introduce bias into the between-attack utilities. As stated in the </w:t>
      </w:r>
      <w:r w:rsidR="00D24424" w:rsidRPr="009E39F8">
        <w:t>submission</w:t>
      </w:r>
      <w:r w:rsidRPr="009E39F8">
        <w:t xml:space="preserve">, the </w:t>
      </w:r>
      <w:r w:rsidR="00EC5258" w:rsidRPr="009E39F8">
        <w:t>QoL</w:t>
      </w:r>
      <w:r w:rsidRPr="009E39F8">
        <w:t xml:space="preserve"> of patients outside of the attack period is influenced by a number of factors including: time since the last attack, the overall frequency of attacks, and the severity of the last attack (p91 of the </w:t>
      </w:r>
      <w:r w:rsidR="00D24424" w:rsidRPr="009E39F8">
        <w:t>submission</w:t>
      </w:r>
      <w:r w:rsidRPr="009E39F8">
        <w:t xml:space="preserve">). </w:t>
      </w:r>
    </w:p>
    <w:p w:rsidR="00EC5258" w:rsidRPr="009E39F8" w:rsidRDefault="00EC5258" w:rsidP="00D53534"/>
    <w:p w:rsidR="009F7604" w:rsidRDefault="00EC5258" w:rsidP="00E94114">
      <w:pPr>
        <w:pStyle w:val="ListParagraph"/>
        <w:widowControl/>
        <w:numPr>
          <w:ilvl w:val="1"/>
          <w:numId w:val="2"/>
        </w:numPr>
      </w:pPr>
      <w:r w:rsidRPr="009E39F8">
        <w:t xml:space="preserve">The </w:t>
      </w:r>
      <w:r w:rsidR="008C0153">
        <w:t>cost effective</w:t>
      </w:r>
      <w:r w:rsidRPr="009E39F8">
        <w:t xml:space="preserve">ness estimates were sensitive to the number of treated attacks per year, the difference in the utility weight for the attack free health state between the treatment arms, and the proportion of treated attacks receiving C1-INH treatment. </w:t>
      </w:r>
      <w:r w:rsidR="003A230B" w:rsidRPr="009E39F8">
        <w:t>Halving the utility gain applied to the attack free health states (</w:t>
      </w:r>
      <w:r w:rsidR="00FA27CE">
        <w:rPr>
          <w:noProof/>
          <w:color w:val="000000"/>
          <w:highlight w:val="black"/>
        </w:rPr>
        <w:t>'''''''''''</w:t>
      </w:r>
      <w:r w:rsidR="003A230B" w:rsidRPr="009E39F8">
        <w:t>)</w:t>
      </w:r>
      <w:r w:rsidR="00EE5EEC">
        <w:t xml:space="preserve"> increased</w:t>
      </w:r>
      <w:r w:rsidR="003A230B" w:rsidRPr="009E39F8">
        <w:t xml:space="preserve"> the ICER to </w:t>
      </w:r>
      <w:r w:rsidR="00B04E3D">
        <w:t>$75,000 - $105,000</w:t>
      </w:r>
      <w:r w:rsidR="003A230B" w:rsidRPr="009E39F8">
        <w:t xml:space="preserve"> in the microsimulation analysis. Reducing the proportion of the attacks treated with C1-INH from </w:t>
      </w:r>
      <w:r w:rsidR="00FA27CE">
        <w:rPr>
          <w:noProof/>
          <w:color w:val="000000"/>
          <w:highlight w:val="black"/>
        </w:rPr>
        <w:t>''''''''''</w:t>
      </w:r>
      <w:r w:rsidR="003A230B" w:rsidRPr="009E39F8">
        <w:t xml:space="preserve">% to </w:t>
      </w:r>
      <w:r w:rsidR="00FA27CE">
        <w:rPr>
          <w:noProof/>
          <w:color w:val="000000"/>
          <w:highlight w:val="black"/>
        </w:rPr>
        <w:t>''''''''''</w:t>
      </w:r>
      <w:r w:rsidR="003A230B" w:rsidRPr="009E39F8">
        <w:t>%</w:t>
      </w:r>
      <w:r w:rsidR="00EE5EEC">
        <w:t xml:space="preserve"> increased</w:t>
      </w:r>
      <w:r w:rsidR="003A230B" w:rsidRPr="009E39F8">
        <w:t xml:space="preserve"> the ICER to </w:t>
      </w:r>
      <w:r w:rsidR="00B04E3D">
        <w:t>$75,000 - $105,000</w:t>
      </w:r>
      <w:r w:rsidR="003A230B" w:rsidRPr="009E39F8">
        <w:t xml:space="preserve"> in the microsimulation analysis.</w:t>
      </w:r>
    </w:p>
    <w:p w:rsidR="009F7604" w:rsidRDefault="009F7604" w:rsidP="009F7604">
      <w:pPr>
        <w:pStyle w:val="ListParagraph"/>
        <w:widowControl/>
      </w:pPr>
    </w:p>
    <w:p w:rsidR="003A230B" w:rsidRPr="00F475DB" w:rsidRDefault="00EC5258" w:rsidP="00E94114">
      <w:pPr>
        <w:pStyle w:val="ListParagraph"/>
        <w:widowControl/>
        <w:numPr>
          <w:ilvl w:val="1"/>
          <w:numId w:val="2"/>
        </w:numPr>
      </w:pPr>
      <w:r w:rsidRPr="009E39F8">
        <w:t xml:space="preserve">The ICER ranged from </w:t>
      </w:r>
      <w:r w:rsidR="00B04E3D">
        <w:t>less than $15,000 per QALY</w:t>
      </w:r>
      <w:r w:rsidRPr="009E39F8">
        <w:t xml:space="preserve"> </w:t>
      </w:r>
      <w:r w:rsidR="00400665">
        <w:t xml:space="preserve">gained </w:t>
      </w:r>
      <w:r w:rsidRPr="009E39F8">
        <w:t xml:space="preserve">with one treated attack per year to </w:t>
      </w:r>
      <w:r w:rsidR="00B04E3D">
        <w:t>$105,000 - $200,000 per QALY</w:t>
      </w:r>
      <w:r w:rsidRPr="009E39F8">
        <w:t xml:space="preserve"> </w:t>
      </w:r>
      <w:r w:rsidR="00400665">
        <w:t xml:space="preserve">gained </w:t>
      </w:r>
      <w:r w:rsidRPr="009E39F8">
        <w:t>among patients with 19-24 attacks</w:t>
      </w:r>
      <w:r w:rsidR="00400665">
        <w:t xml:space="preserve"> treated</w:t>
      </w:r>
      <w:r w:rsidRPr="009E39F8">
        <w:t xml:space="preserve"> per year </w:t>
      </w:r>
      <w:r w:rsidR="00400665">
        <w:t>(</w:t>
      </w:r>
      <w:r w:rsidRPr="009E39F8">
        <w:t xml:space="preserve">disaggregated results from the microsimulation </w:t>
      </w:r>
      <w:r w:rsidRPr="00F475DB">
        <w:t>analysis</w:t>
      </w:r>
      <w:r w:rsidR="00400665">
        <w:t>,</w:t>
      </w:r>
      <w:r w:rsidR="005D7704" w:rsidRPr="00F475DB">
        <w:t xml:space="preserve"> see Figure 1)</w:t>
      </w:r>
      <w:r w:rsidRPr="00F475DB">
        <w:t>.</w:t>
      </w:r>
      <w:r w:rsidR="006C50E6" w:rsidRPr="00F475DB">
        <w:t xml:space="preserve"> The </w:t>
      </w:r>
      <w:r w:rsidR="008C0153">
        <w:t>cost effective</w:t>
      </w:r>
      <w:r w:rsidR="006C50E6" w:rsidRPr="00F475DB">
        <w:t>ness of icatibant diminishes as the number of attacks per year increases because of reduced time in attack-free states where patients accrue the benefits from icatibant self-administration</w:t>
      </w:r>
      <w:r w:rsidR="000C40DD" w:rsidRPr="00F475DB">
        <w:t>, and because the cost of additional treatment is much larger than the QALY benefit associated with treating an attack</w:t>
      </w:r>
      <w:r w:rsidR="006C50E6" w:rsidRPr="00F475DB">
        <w:t>.</w:t>
      </w:r>
      <w:r w:rsidRPr="00F475DB">
        <w:t xml:space="preserve"> </w:t>
      </w:r>
      <w:r w:rsidR="005D7704" w:rsidRPr="00F475DB">
        <w:lastRenderedPageBreak/>
        <w:t xml:space="preserve">The ESC considered this relationship to be </w:t>
      </w:r>
      <w:r w:rsidR="003B3329" w:rsidRPr="00F475DB">
        <w:t xml:space="preserve">problematic because it is partly </w:t>
      </w:r>
      <w:r w:rsidR="005D7704" w:rsidRPr="00F475DB">
        <w:t>driven by the inappropriate assumption of the same (or reduced benefit) when more attacks are treated. The ESC considered that the benefit of self-administration would vary depending on the number and types of attacks treated.</w:t>
      </w:r>
      <w:r w:rsidR="00642003" w:rsidRPr="00F475DB">
        <w:t xml:space="preserve"> T</w:t>
      </w:r>
      <w:r w:rsidR="005D7704" w:rsidRPr="00F475DB">
        <w:t xml:space="preserve">he ESC noted that </w:t>
      </w:r>
      <w:r w:rsidR="00642003" w:rsidRPr="00F475DB">
        <w:t>assumed utility gain of 0.12</w:t>
      </w:r>
      <w:r w:rsidR="00400665">
        <w:t xml:space="preserve"> for self-administration</w:t>
      </w:r>
      <w:r w:rsidR="00642003" w:rsidRPr="00F475DB">
        <w:t xml:space="preserve"> appeared large and </w:t>
      </w:r>
      <w:r w:rsidR="0005775D" w:rsidRPr="00F475DB">
        <w:t>resulted in utility values higher than population norms</w:t>
      </w:r>
      <w:r w:rsidR="00642003" w:rsidRPr="00F475DB">
        <w:t>.</w:t>
      </w:r>
      <w:r w:rsidR="0005775D" w:rsidRPr="00F475DB">
        <w:t xml:space="preserve"> </w:t>
      </w:r>
    </w:p>
    <w:p w:rsidR="005E4DE3" w:rsidRPr="00F475DB" w:rsidRDefault="005E4DE3" w:rsidP="000075D9">
      <w:pPr>
        <w:pStyle w:val="ListParagraph"/>
        <w:widowControl/>
      </w:pPr>
    </w:p>
    <w:p w:rsidR="0056215C" w:rsidRPr="00F475DB" w:rsidRDefault="0056215C" w:rsidP="0056215C">
      <w:pPr>
        <w:widowControl/>
        <w:ind w:left="709"/>
        <w:rPr>
          <w:rStyle w:val="CommentReference"/>
        </w:rPr>
      </w:pPr>
      <w:bookmarkStart w:id="25" w:name="_Ref455051214"/>
      <w:bookmarkStart w:id="26" w:name="_Toc455484411"/>
      <w:r w:rsidRPr="00F475DB">
        <w:rPr>
          <w:rStyle w:val="CommentReference"/>
        </w:rPr>
        <w:t xml:space="preserve">Figure </w:t>
      </w:r>
      <w:bookmarkEnd w:id="25"/>
      <w:r w:rsidRPr="00F475DB">
        <w:rPr>
          <w:rStyle w:val="CommentReference"/>
        </w:rPr>
        <w:t xml:space="preserve">1: Incremental cost per QALY versus number of icatibant injections per annum </w:t>
      </w:r>
      <w:bookmarkEnd w:id="26"/>
      <w:r w:rsidRPr="00F475DB">
        <w:rPr>
          <w:rStyle w:val="CommentReference"/>
        </w:rPr>
        <w:t>(microsimulation model)</w:t>
      </w:r>
    </w:p>
    <w:p w:rsidR="00EB4C6D" w:rsidRPr="00F475DB" w:rsidRDefault="00FA27CE" w:rsidP="0056215C">
      <w:pPr>
        <w:pStyle w:val="TableText1"/>
        <w:ind w:left="709"/>
      </w:pPr>
      <w:r>
        <w:rPr>
          <w:lang w:eastAsia="en-AU"/>
        </w:rPr>
        <w:drawing>
          <wp:inline distT="0" distB="0" distL="0" distR="0">
            <wp:extent cx="5255260" cy="3419475"/>
            <wp:effectExtent l="0" t="0" r="2540" b="9525"/>
            <wp:docPr id="1" name="Picture 1" descr="Figure 1: Incremental cost per QALY versus number of icatibant injections per annum (microsimulation model)" title="Figure 1: Incremental cost per QALY versus number of icatibant injections per annum (microsimulation mode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55260" cy="3419475"/>
                    </a:xfrm>
                    <a:prstGeom prst="rect">
                      <a:avLst/>
                    </a:prstGeom>
                  </pic:spPr>
                </pic:pic>
              </a:graphicData>
            </a:graphic>
          </wp:inline>
        </w:drawing>
      </w:r>
    </w:p>
    <w:p w:rsidR="00D1144A" w:rsidRPr="00F475DB" w:rsidRDefault="0056215C" w:rsidP="0056215C">
      <w:pPr>
        <w:pStyle w:val="TableFooter"/>
        <w:widowControl/>
        <w:ind w:left="709"/>
      </w:pPr>
      <w:r w:rsidRPr="00F475DB">
        <w:t>Source: Figure D.6.1 of the Commentary</w:t>
      </w:r>
    </w:p>
    <w:p w:rsidR="00D1144A" w:rsidRPr="00F475DB" w:rsidRDefault="00D1144A" w:rsidP="0056215C">
      <w:pPr>
        <w:pStyle w:val="TableFooter"/>
        <w:widowControl/>
        <w:ind w:left="709"/>
      </w:pPr>
    </w:p>
    <w:p w:rsidR="005E4DE3" w:rsidRPr="009E39F8" w:rsidRDefault="005E4DE3" w:rsidP="00E94114">
      <w:pPr>
        <w:pStyle w:val="ListParagraph"/>
        <w:widowControl/>
        <w:numPr>
          <w:ilvl w:val="1"/>
          <w:numId w:val="2"/>
        </w:numPr>
      </w:pPr>
      <w:r w:rsidRPr="00F475DB">
        <w:t xml:space="preserve">During the evaluation, the model previously accepted by the PBAC at </w:t>
      </w:r>
      <w:r w:rsidR="00BA446C" w:rsidRPr="00F475DB">
        <w:t xml:space="preserve">the </w:t>
      </w:r>
      <w:r w:rsidRPr="00F475DB">
        <w:t xml:space="preserve">March 2012 meeting </w:t>
      </w:r>
      <w:r w:rsidR="00BA446C" w:rsidRPr="00F475DB">
        <w:t>was updated assuming</w:t>
      </w:r>
      <w:r w:rsidRPr="00F475DB">
        <w:t xml:space="preserve"> </w:t>
      </w:r>
      <w:r w:rsidR="00BA446C" w:rsidRPr="00F475DB">
        <w:t xml:space="preserve">a </w:t>
      </w:r>
      <w:r w:rsidRPr="00F475DB">
        <w:t xml:space="preserve">treated attack rate of 4.1/year </w:t>
      </w:r>
      <w:r w:rsidR="00BA446C" w:rsidRPr="00F475DB">
        <w:t xml:space="preserve">(based on </w:t>
      </w:r>
      <w:r w:rsidRPr="00F475DB">
        <w:t>the DUSC PvA report</w:t>
      </w:r>
      <w:r w:rsidR="00BA446C" w:rsidRPr="00F475DB">
        <w:t xml:space="preserve">) and that </w:t>
      </w:r>
      <w:r w:rsidR="00FA27CE">
        <w:rPr>
          <w:noProof/>
          <w:color w:val="000000"/>
          <w:highlight w:val="black"/>
        </w:rPr>
        <w:t>''''''''''</w:t>
      </w:r>
      <w:r w:rsidR="00BA446C" w:rsidRPr="00F475DB">
        <w:t>% of cutaneous attacks were treated (as per the</w:t>
      </w:r>
      <w:r w:rsidR="00BA446C" w:rsidRPr="009E39F8">
        <w:t xml:space="preserve"> updated action plan).</w:t>
      </w:r>
      <w:r w:rsidRPr="009E39F8">
        <w:t xml:space="preserve"> </w:t>
      </w:r>
      <w:r w:rsidR="00BA446C" w:rsidRPr="009E39F8">
        <w:t>T</w:t>
      </w:r>
      <w:r w:rsidRPr="009E39F8">
        <w:t xml:space="preserve">he </w:t>
      </w:r>
      <w:r w:rsidR="00BA446C" w:rsidRPr="009E39F8">
        <w:t xml:space="preserve">resulting </w:t>
      </w:r>
      <w:r w:rsidRPr="009E39F8">
        <w:t xml:space="preserve">ICER was </w:t>
      </w:r>
      <w:r w:rsidR="00904DFD">
        <w:t xml:space="preserve">$75,000 - $105,000 per </w:t>
      </w:r>
      <w:r w:rsidRPr="009E39F8">
        <w:t>QALY</w:t>
      </w:r>
      <w:r w:rsidR="00400665">
        <w:t xml:space="preserve"> gained</w:t>
      </w:r>
      <w:r w:rsidRPr="009E39F8">
        <w:t>.</w:t>
      </w:r>
    </w:p>
    <w:p w:rsidR="005B6E20" w:rsidRPr="009E39F8" w:rsidRDefault="005B6E20" w:rsidP="00D53534"/>
    <w:p w:rsidR="00FC00C2" w:rsidRPr="00FA27CE" w:rsidRDefault="00FC00C2" w:rsidP="00B13724">
      <w:pPr>
        <w:pStyle w:val="Heading2"/>
      </w:pPr>
      <w:bookmarkStart w:id="27" w:name="_Toc458775809"/>
      <w:bookmarkStart w:id="28" w:name="_Toc461627656"/>
      <w:r w:rsidRPr="009E39F8">
        <w:t xml:space="preserve">Drug cost/patient/injection: </w:t>
      </w:r>
      <w:bookmarkEnd w:id="27"/>
      <w:r w:rsidRPr="009E39F8">
        <w:t>$</w:t>
      </w:r>
      <w:bookmarkEnd w:id="28"/>
      <w:r w:rsidR="00FA27CE">
        <w:rPr>
          <w:noProof/>
          <w:color w:val="000000"/>
          <w:highlight w:val="black"/>
        </w:rPr>
        <w:t>''''''''''''''''</w:t>
      </w:r>
    </w:p>
    <w:p w:rsidR="00281D53" w:rsidRPr="009E39F8" w:rsidRDefault="00281D53" w:rsidP="000075D9">
      <w:pPr>
        <w:widowControl/>
      </w:pPr>
    </w:p>
    <w:p w:rsidR="00FC00C2" w:rsidRPr="009E39F8" w:rsidRDefault="00400665" w:rsidP="00E94114">
      <w:pPr>
        <w:pStyle w:val="ListParagraph"/>
        <w:widowControl/>
        <w:numPr>
          <w:ilvl w:val="1"/>
          <w:numId w:val="2"/>
        </w:numPr>
        <w:snapToGrid w:val="0"/>
        <w:rPr>
          <w:szCs w:val="22"/>
        </w:rPr>
      </w:pPr>
      <w:r>
        <w:rPr>
          <w:szCs w:val="22"/>
        </w:rPr>
        <w:t>The c</w:t>
      </w:r>
      <w:r w:rsidR="00FC00C2" w:rsidRPr="009E39F8">
        <w:rPr>
          <w:szCs w:val="22"/>
        </w:rPr>
        <w:t>ost of icatibant per injection is $</w:t>
      </w:r>
      <w:r w:rsidR="00FA27CE">
        <w:rPr>
          <w:noProof/>
          <w:color w:val="000000"/>
          <w:szCs w:val="22"/>
          <w:highlight w:val="black"/>
        </w:rPr>
        <w:t>'''''''''''''''''''''</w:t>
      </w:r>
      <w:r w:rsidR="00CE5BA6" w:rsidRPr="009E39F8">
        <w:rPr>
          <w:szCs w:val="22"/>
        </w:rPr>
        <w:t>.</w:t>
      </w:r>
    </w:p>
    <w:p w:rsidR="00FC00C2" w:rsidRPr="009E39F8" w:rsidRDefault="00FC00C2" w:rsidP="000075D9">
      <w:pPr>
        <w:widowControl/>
        <w:rPr>
          <w:szCs w:val="22"/>
        </w:rPr>
      </w:pPr>
    </w:p>
    <w:p w:rsidR="00FC00C2" w:rsidRPr="009E39F8" w:rsidRDefault="00FC00C2" w:rsidP="00B13724">
      <w:pPr>
        <w:pStyle w:val="Heading2"/>
      </w:pPr>
      <w:bookmarkStart w:id="29" w:name="_Toc458775810"/>
      <w:bookmarkStart w:id="30" w:name="_Toc461627657"/>
      <w:r w:rsidRPr="009E39F8">
        <w:t>Estimated PBS usage &amp; financial implications</w:t>
      </w:r>
      <w:bookmarkEnd w:id="29"/>
      <w:bookmarkEnd w:id="30"/>
    </w:p>
    <w:p w:rsidR="000075D9" w:rsidRPr="009E39F8" w:rsidRDefault="000075D9" w:rsidP="00B13724">
      <w:pPr>
        <w:keepNext/>
        <w:widowControl/>
      </w:pPr>
    </w:p>
    <w:p w:rsidR="00186335" w:rsidRPr="00186335" w:rsidRDefault="00FC00C2" w:rsidP="00E94114">
      <w:pPr>
        <w:pStyle w:val="ListParagraph"/>
        <w:widowControl/>
        <w:numPr>
          <w:ilvl w:val="1"/>
          <w:numId w:val="2"/>
        </w:numPr>
        <w:rPr>
          <w:szCs w:val="22"/>
        </w:rPr>
      </w:pPr>
      <w:r w:rsidRPr="009E39F8">
        <w:t xml:space="preserve">This </w:t>
      </w:r>
      <w:r w:rsidR="00D24424" w:rsidRPr="009E39F8">
        <w:t>submission</w:t>
      </w:r>
      <w:r w:rsidRPr="009E39F8">
        <w:t xml:space="preserve"> </w:t>
      </w:r>
      <w:r w:rsidR="00186335">
        <w:t>was not</w:t>
      </w:r>
      <w:r w:rsidRPr="009E39F8">
        <w:t xml:space="preserve"> considered by DUSC. </w:t>
      </w:r>
    </w:p>
    <w:p w:rsidR="00186335" w:rsidRPr="00186335" w:rsidRDefault="00186335" w:rsidP="00186335">
      <w:pPr>
        <w:pStyle w:val="ListParagraph"/>
        <w:widowControl/>
        <w:rPr>
          <w:szCs w:val="22"/>
        </w:rPr>
      </w:pPr>
    </w:p>
    <w:p w:rsidR="00FC00C2" w:rsidRPr="00F475DB" w:rsidRDefault="00FC00C2" w:rsidP="00E94114">
      <w:pPr>
        <w:pStyle w:val="ListParagraph"/>
        <w:widowControl/>
        <w:numPr>
          <w:ilvl w:val="1"/>
          <w:numId w:val="2"/>
        </w:numPr>
        <w:rPr>
          <w:szCs w:val="22"/>
        </w:rPr>
      </w:pPr>
      <w:r w:rsidRPr="009E39F8">
        <w:t xml:space="preserve">The </w:t>
      </w:r>
      <w:r w:rsidR="00D24424" w:rsidRPr="009E39F8">
        <w:t>submission</w:t>
      </w:r>
      <w:r w:rsidRPr="009E39F8">
        <w:t xml:space="preserve"> used the DUSC and Medicare statistics PBS item reports to estimate the current use of icatibant and extrapolated the estimates to provide the extent of future use and the financial implications to the PBS. </w:t>
      </w:r>
      <w:r w:rsidRPr="00D53534">
        <w:t xml:space="preserve">The </w:t>
      </w:r>
      <w:r w:rsidR="00186335" w:rsidRPr="00D53534">
        <w:t xml:space="preserve">ESC noted that the </w:t>
      </w:r>
      <w:r w:rsidRPr="00D53534">
        <w:t>number of patients being treated was not used to calculate the cost to the PBS. The previous submissions used a</w:t>
      </w:r>
      <w:r w:rsidR="000C40DD" w:rsidRPr="00D53534">
        <w:t xml:space="preserve">n epidemiological </w:t>
      </w:r>
      <w:r w:rsidRPr="00D53534">
        <w:t xml:space="preserve">approach and the estimates were for </w:t>
      </w:r>
      <w:r w:rsidR="00EC5258" w:rsidRPr="00D53534">
        <w:t xml:space="preserve">the </w:t>
      </w:r>
      <w:r w:rsidRPr="00D53534">
        <w:t>year</w:t>
      </w:r>
      <w:r w:rsidR="00EC5258" w:rsidRPr="00D53534">
        <w:t>s</w:t>
      </w:r>
      <w:r w:rsidRPr="00D53534">
        <w:t xml:space="preserve"> 2012-2016 </w:t>
      </w:r>
      <w:r w:rsidRPr="00F475DB">
        <w:t xml:space="preserve">so the </w:t>
      </w:r>
      <w:r w:rsidR="00400665">
        <w:t>estimates</w:t>
      </w:r>
      <w:r w:rsidR="00400665" w:rsidRPr="00F475DB">
        <w:t xml:space="preserve"> </w:t>
      </w:r>
      <w:r w:rsidRPr="00F475DB">
        <w:t xml:space="preserve">are not comparable to </w:t>
      </w:r>
      <w:r w:rsidR="00400665">
        <w:t xml:space="preserve">those in </w:t>
      </w:r>
      <w:r w:rsidRPr="00F475DB">
        <w:t xml:space="preserve">the current </w:t>
      </w:r>
      <w:r w:rsidR="00D24424" w:rsidRPr="00F475DB">
        <w:t>submission</w:t>
      </w:r>
      <w:r w:rsidRPr="00F475DB">
        <w:t xml:space="preserve">. </w:t>
      </w:r>
      <w:r w:rsidR="00186335" w:rsidRPr="00F475DB">
        <w:lastRenderedPageBreak/>
        <w:t>G</w:t>
      </w:r>
      <w:r w:rsidR="0054525A" w:rsidRPr="00F475DB">
        <w:t>iven the clinical clai</w:t>
      </w:r>
      <w:r w:rsidR="002F3631" w:rsidRPr="00F475DB">
        <w:t xml:space="preserve">m and economic model presented </w:t>
      </w:r>
      <w:r w:rsidR="000B7779" w:rsidRPr="00F475DB">
        <w:t xml:space="preserve">in this submission, </w:t>
      </w:r>
      <w:r w:rsidR="00186335" w:rsidRPr="00F475DB">
        <w:t xml:space="preserve">the ESC considered that </w:t>
      </w:r>
      <w:r w:rsidR="0054525A" w:rsidRPr="00F475DB">
        <w:t>an epidemiologica</w:t>
      </w:r>
      <w:r w:rsidR="00186335" w:rsidRPr="00F475DB">
        <w:t xml:space="preserve">l approach for </w:t>
      </w:r>
      <w:r w:rsidR="001454B0">
        <w:t xml:space="preserve">estimating appropriate use </w:t>
      </w:r>
      <w:r w:rsidR="00186335" w:rsidRPr="00F475DB">
        <w:t>wa</w:t>
      </w:r>
      <w:r w:rsidR="0054525A" w:rsidRPr="00F475DB">
        <w:t>s warranted.</w:t>
      </w:r>
      <w:r w:rsidR="00FD7504">
        <w:t xml:space="preserve"> The pre-PBAC response noted that no formal epidemiological research into HAE has been conducted in Australia.</w:t>
      </w:r>
    </w:p>
    <w:p w:rsidR="00FC00C2" w:rsidRPr="00F475DB" w:rsidRDefault="00FC00C2" w:rsidP="000075D9">
      <w:pPr>
        <w:pStyle w:val="ListParagraph"/>
        <w:widowControl/>
        <w:rPr>
          <w:szCs w:val="22"/>
        </w:rPr>
      </w:pPr>
    </w:p>
    <w:p w:rsidR="00FD7504" w:rsidRPr="00FD7504" w:rsidRDefault="00FC00C2" w:rsidP="00E94114">
      <w:pPr>
        <w:pStyle w:val="ListParagraph"/>
        <w:widowControl/>
        <w:numPr>
          <w:ilvl w:val="1"/>
          <w:numId w:val="2"/>
        </w:numPr>
        <w:rPr>
          <w:szCs w:val="22"/>
        </w:rPr>
      </w:pPr>
      <w:r w:rsidRPr="00F475DB">
        <w:t>During the evaluation, a</w:t>
      </w:r>
      <w:r w:rsidR="00186335" w:rsidRPr="00F475DB">
        <w:t>n</w:t>
      </w:r>
      <w:r w:rsidRPr="00F475DB">
        <w:t xml:space="preserve"> </w:t>
      </w:r>
      <w:r w:rsidR="00186335" w:rsidRPr="00F475DB">
        <w:t>alternative</w:t>
      </w:r>
      <w:r w:rsidR="00CE5BA6" w:rsidRPr="00F475DB">
        <w:t xml:space="preserve"> approach</w:t>
      </w:r>
      <w:r w:rsidRPr="00F475DB">
        <w:t xml:space="preserve"> </w:t>
      </w:r>
      <w:r w:rsidR="006C7154" w:rsidRPr="00F475DB">
        <w:t xml:space="preserve">to estimating the patient numbers </w:t>
      </w:r>
      <w:r w:rsidRPr="00F475DB">
        <w:t>was undertaken</w:t>
      </w:r>
      <w:r w:rsidR="00EC5258" w:rsidRPr="00F475DB">
        <w:t xml:space="preserve">; the </w:t>
      </w:r>
      <w:r w:rsidRPr="00F475DB">
        <w:t xml:space="preserve">estimates </w:t>
      </w:r>
      <w:r w:rsidR="00EC5258" w:rsidRPr="00F475DB">
        <w:t xml:space="preserve">are </w:t>
      </w:r>
      <w:r w:rsidRPr="00F475DB">
        <w:t>compare</w:t>
      </w:r>
      <w:r w:rsidR="00EC5258" w:rsidRPr="00F475DB">
        <w:t>d</w:t>
      </w:r>
      <w:r w:rsidRPr="00F475DB">
        <w:t xml:space="preserve"> with th</w:t>
      </w:r>
      <w:r w:rsidR="00EC5258" w:rsidRPr="00F475DB">
        <w:t>os</w:t>
      </w:r>
      <w:r w:rsidRPr="00F475DB">
        <w:t xml:space="preserve">e </w:t>
      </w:r>
      <w:r w:rsidR="00EC5258" w:rsidRPr="00F475DB">
        <w:t xml:space="preserve">from the </w:t>
      </w:r>
      <w:r w:rsidR="00D24424" w:rsidRPr="00F475DB">
        <w:t>submission</w:t>
      </w:r>
      <w:r w:rsidRPr="00F475DB">
        <w:t xml:space="preserve"> in Table 7. </w:t>
      </w:r>
      <w:r w:rsidR="002F3631" w:rsidRPr="00F475DB">
        <w:t>For the submission, the projected prevalent pool was derived from accumulating the predicted number of incident patients in the DUSC dataset each month</w:t>
      </w:r>
      <w:r w:rsidR="00FE73D9" w:rsidRPr="00F475DB">
        <w:t>,</w:t>
      </w:r>
      <w:r w:rsidR="002F3631" w:rsidRPr="00F475DB">
        <w:t xml:space="preserve"> without accounting for deaths</w:t>
      </w:r>
      <w:r w:rsidR="00FE73D9" w:rsidRPr="00F475DB">
        <w:t>. This is likely to overestimate patient numbers.</w:t>
      </w:r>
      <w:r w:rsidR="002F3631" w:rsidRPr="00F475DB">
        <w:t xml:space="preserve"> </w:t>
      </w:r>
      <w:r w:rsidR="00FD7504">
        <w:t xml:space="preserve"> The pre-PBAC response acknowledged that the population estimates presented in the budget impact were slightly overestimated given that deaths were not included in the model, but noted that only 1 to 2 patients were likely to die over the five-year period. </w:t>
      </w:r>
    </w:p>
    <w:p w:rsidR="00FD7504" w:rsidRDefault="00FD7504" w:rsidP="00FD7504">
      <w:pPr>
        <w:pStyle w:val="ListParagraph"/>
      </w:pPr>
    </w:p>
    <w:p w:rsidR="00FC00C2" w:rsidRPr="00F475DB" w:rsidRDefault="00FE73D9" w:rsidP="00FD7504">
      <w:pPr>
        <w:pStyle w:val="ListParagraph"/>
        <w:widowControl/>
        <w:rPr>
          <w:szCs w:val="22"/>
        </w:rPr>
      </w:pPr>
      <w:r w:rsidRPr="00F475DB">
        <w:t>The</w:t>
      </w:r>
      <w:r w:rsidR="002F3631" w:rsidRPr="00F475DB">
        <w:t xml:space="preserve"> estimated costs </w:t>
      </w:r>
      <w:r w:rsidRPr="00F475DB">
        <w:t xml:space="preserve">were </w:t>
      </w:r>
      <w:r w:rsidR="002F3631" w:rsidRPr="00F475DB">
        <w:t>derived from the predicted number of services from the Medicare statistics PBS item reports and the PBS cost per service of icatibant use</w:t>
      </w:r>
      <w:r w:rsidR="00186335" w:rsidRPr="00F475DB">
        <w:t>.</w:t>
      </w:r>
      <w:r w:rsidR="002F3631" w:rsidRPr="00F475DB">
        <w:t xml:space="preserve"> </w:t>
      </w:r>
      <w:r w:rsidR="001454B0">
        <w:t>During</w:t>
      </w:r>
      <w:r w:rsidR="001454B0" w:rsidRPr="00F475DB">
        <w:t xml:space="preserve"> </w:t>
      </w:r>
      <w:r w:rsidR="00EC5258" w:rsidRPr="00F475DB">
        <w:t xml:space="preserve">the evaluation, </w:t>
      </w:r>
      <w:r w:rsidR="00337FA2" w:rsidRPr="00F475DB">
        <w:t xml:space="preserve">a </w:t>
      </w:r>
      <w:r w:rsidR="000D06BE" w:rsidRPr="00F475DB">
        <w:t>quasi-</w:t>
      </w:r>
      <w:r w:rsidR="00337FA2" w:rsidRPr="00F475DB">
        <w:t xml:space="preserve">epidemiological approach </w:t>
      </w:r>
      <w:r w:rsidR="000D06BE" w:rsidRPr="00F475DB">
        <w:t xml:space="preserve">(or patient estimates approach) </w:t>
      </w:r>
      <w:r w:rsidR="00337FA2" w:rsidRPr="00F475DB">
        <w:t>was taken whereby</w:t>
      </w:r>
      <w:r w:rsidR="00337FA2" w:rsidRPr="00F475DB">
        <w:rPr>
          <w:color w:val="FF0000"/>
        </w:rPr>
        <w:t xml:space="preserve"> </w:t>
      </w:r>
      <w:r w:rsidR="00EC5258" w:rsidRPr="00F475DB">
        <w:rPr>
          <w:lang w:eastAsia="zh-CN"/>
        </w:rPr>
        <w:t>t</w:t>
      </w:r>
      <w:r w:rsidR="00FC00C2" w:rsidRPr="00F475DB">
        <w:rPr>
          <w:lang w:eastAsia="zh-CN"/>
        </w:rPr>
        <w:t xml:space="preserve">he projected number of patients </w:t>
      </w:r>
      <w:r w:rsidR="00EC5258" w:rsidRPr="00F475DB">
        <w:rPr>
          <w:lang w:eastAsia="zh-CN"/>
        </w:rPr>
        <w:t xml:space="preserve">was based on </w:t>
      </w:r>
      <w:r w:rsidR="00FC00C2" w:rsidRPr="00F475DB">
        <w:rPr>
          <w:lang w:eastAsia="zh-CN"/>
        </w:rPr>
        <w:t xml:space="preserve">a linear extrapolation of the </w:t>
      </w:r>
      <w:r w:rsidR="002F3631" w:rsidRPr="00F475DB">
        <w:rPr>
          <w:lang w:eastAsia="zh-CN"/>
        </w:rPr>
        <w:t xml:space="preserve">prevalent pool in the </w:t>
      </w:r>
      <w:r w:rsidR="00FC00C2" w:rsidRPr="00F475DB">
        <w:rPr>
          <w:lang w:eastAsia="zh-CN"/>
        </w:rPr>
        <w:t xml:space="preserve">DUSC data, and the following inputs adopted from the economic model in the </w:t>
      </w:r>
      <w:r w:rsidR="00D24424" w:rsidRPr="00F475DB">
        <w:rPr>
          <w:lang w:eastAsia="zh-CN"/>
        </w:rPr>
        <w:t>submission</w:t>
      </w:r>
      <w:r w:rsidR="00FC00C2" w:rsidRPr="00F475DB">
        <w:rPr>
          <w:lang w:eastAsia="zh-CN"/>
        </w:rPr>
        <w:t>:</w:t>
      </w:r>
    </w:p>
    <w:p w:rsidR="00FC00C2" w:rsidRPr="00F475DB" w:rsidRDefault="00FC00C2" w:rsidP="00B04E3D">
      <w:pPr>
        <w:pStyle w:val="ListParagraph"/>
        <w:widowControl/>
        <w:numPr>
          <w:ilvl w:val="0"/>
          <w:numId w:val="24"/>
        </w:numPr>
        <w:rPr>
          <w:lang w:eastAsia="zh-CN"/>
        </w:rPr>
      </w:pPr>
      <w:r w:rsidRPr="00F475DB">
        <w:rPr>
          <w:lang w:eastAsia="zh-CN"/>
        </w:rPr>
        <w:t>6.33 treated attacks/patient/year</w:t>
      </w:r>
      <w:r w:rsidR="00EC5258" w:rsidRPr="00F475DB">
        <w:rPr>
          <w:lang w:eastAsia="zh-CN"/>
        </w:rPr>
        <w:t>;</w:t>
      </w:r>
    </w:p>
    <w:p w:rsidR="00FC00C2" w:rsidRPr="00F475DB" w:rsidRDefault="00FC00C2" w:rsidP="00B04E3D">
      <w:pPr>
        <w:pStyle w:val="ListParagraph"/>
        <w:widowControl/>
        <w:numPr>
          <w:ilvl w:val="0"/>
          <w:numId w:val="24"/>
        </w:numPr>
        <w:rPr>
          <w:lang w:eastAsia="zh-CN"/>
        </w:rPr>
      </w:pPr>
      <w:r w:rsidRPr="00F475DB">
        <w:rPr>
          <w:lang w:eastAsia="zh-CN"/>
        </w:rPr>
        <w:t>12% re-dosing rate</w:t>
      </w:r>
      <w:r w:rsidR="00EC5258" w:rsidRPr="00F475DB">
        <w:rPr>
          <w:lang w:eastAsia="zh-CN"/>
        </w:rPr>
        <w:t>;</w:t>
      </w:r>
    </w:p>
    <w:p w:rsidR="005F0384" w:rsidRPr="00F475DB" w:rsidRDefault="005F0384" w:rsidP="00B04E3D">
      <w:pPr>
        <w:pStyle w:val="ListParagraph"/>
        <w:widowControl/>
        <w:numPr>
          <w:ilvl w:val="0"/>
          <w:numId w:val="24"/>
        </w:numPr>
        <w:rPr>
          <w:lang w:eastAsia="zh-CN"/>
        </w:rPr>
      </w:pPr>
      <w:r w:rsidRPr="00F475DB">
        <w:rPr>
          <w:lang w:eastAsia="zh-CN"/>
        </w:rPr>
        <w:t xml:space="preserve">DPMQ of icatibant provided in the </w:t>
      </w:r>
      <w:r w:rsidR="00D24424" w:rsidRPr="00F475DB">
        <w:rPr>
          <w:lang w:eastAsia="zh-CN"/>
        </w:rPr>
        <w:t>submission</w:t>
      </w:r>
      <w:r w:rsidRPr="00F475DB">
        <w:rPr>
          <w:lang w:eastAsia="zh-CN"/>
        </w:rPr>
        <w:t>: $</w:t>
      </w:r>
      <w:r w:rsidR="00FA27CE">
        <w:rPr>
          <w:noProof/>
          <w:color w:val="000000"/>
          <w:highlight w:val="black"/>
          <w:lang w:eastAsia="zh-CN"/>
        </w:rPr>
        <w:t>'''''''''''''''''''''</w:t>
      </w:r>
      <w:r w:rsidR="00EC5258" w:rsidRPr="00F475DB">
        <w:rPr>
          <w:lang w:eastAsia="zh-CN"/>
        </w:rPr>
        <w:t>; and</w:t>
      </w:r>
    </w:p>
    <w:p w:rsidR="005F0384" w:rsidRPr="00F475DB" w:rsidRDefault="005F0384" w:rsidP="00B04E3D">
      <w:pPr>
        <w:pStyle w:val="ListParagraph"/>
        <w:widowControl/>
        <w:numPr>
          <w:ilvl w:val="0"/>
          <w:numId w:val="24"/>
        </w:numPr>
        <w:jc w:val="left"/>
        <w:rPr>
          <w:lang w:eastAsia="zh-CN"/>
        </w:rPr>
      </w:pPr>
      <w:r w:rsidRPr="00F475DB">
        <w:rPr>
          <w:lang w:eastAsia="zh-CN"/>
        </w:rPr>
        <w:t>an average co-payment of $</w:t>
      </w:r>
      <w:r w:rsidR="00FA27CE">
        <w:rPr>
          <w:noProof/>
          <w:color w:val="000000"/>
          <w:highlight w:val="black"/>
          <w:lang w:eastAsia="zh-CN"/>
        </w:rPr>
        <w:t>''''''''''''</w:t>
      </w:r>
      <w:r w:rsidRPr="00F475DB">
        <w:rPr>
          <w:lang w:eastAsia="zh-CN"/>
        </w:rPr>
        <w:t xml:space="preserve"> </w:t>
      </w:r>
      <w:r w:rsidR="001454B0">
        <w:rPr>
          <w:lang w:eastAsia="zh-CN"/>
        </w:rPr>
        <w:t xml:space="preserve">as </w:t>
      </w:r>
      <w:r w:rsidRPr="00F475DB">
        <w:rPr>
          <w:lang w:eastAsia="zh-CN"/>
        </w:rPr>
        <w:t xml:space="preserve">calculated in the </w:t>
      </w:r>
      <w:r w:rsidR="00D24424" w:rsidRPr="00F475DB">
        <w:rPr>
          <w:lang w:eastAsia="zh-CN"/>
        </w:rPr>
        <w:t>submission</w:t>
      </w:r>
      <w:r w:rsidRPr="00F475DB">
        <w:rPr>
          <w:lang w:eastAsia="zh-CN"/>
        </w:rPr>
        <w:t xml:space="preserve"> </w:t>
      </w:r>
      <w:r w:rsidR="00EC5258" w:rsidRPr="00F475DB">
        <w:rPr>
          <w:rStyle w:val="CommentReference"/>
          <w:rFonts w:ascii="Arial" w:hAnsi="Arial"/>
          <w:b w:val="0"/>
          <w:sz w:val="22"/>
          <w:szCs w:val="20"/>
          <w:lang w:eastAsia="zh-CN"/>
        </w:rPr>
        <w:t>.</w:t>
      </w:r>
    </w:p>
    <w:p w:rsidR="005F0384" w:rsidRPr="009E39F8" w:rsidRDefault="005F0384" w:rsidP="00D53534"/>
    <w:p w:rsidR="00FC00C2" w:rsidRPr="009E39F8" w:rsidRDefault="00FC00C2" w:rsidP="00B13724">
      <w:pPr>
        <w:keepNext/>
        <w:widowControl/>
        <w:ind w:firstLine="709"/>
        <w:rPr>
          <w:rStyle w:val="CommentReference"/>
        </w:rPr>
      </w:pPr>
      <w:r w:rsidRPr="009E39F8">
        <w:rPr>
          <w:rStyle w:val="CommentReference"/>
        </w:rPr>
        <w:t>Table 7: Estimated use and financial implications</w:t>
      </w:r>
    </w:p>
    <w:tbl>
      <w:tblPr>
        <w:tblW w:w="453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50"/>
        <w:gridCol w:w="1043"/>
        <w:gridCol w:w="1133"/>
        <w:gridCol w:w="1133"/>
        <w:gridCol w:w="1135"/>
        <w:gridCol w:w="1142"/>
      </w:tblGrid>
      <w:tr w:rsidR="00FC00C2" w:rsidRPr="009E39F8" w:rsidTr="00F42FD9">
        <w:trPr>
          <w:tblHeader/>
        </w:trPr>
        <w:tc>
          <w:tcPr>
            <w:tcW w:w="1609" w:type="pct"/>
            <w:shd w:val="clear" w:color="auto" w:fill="auto"/>
            <w:vAlign w:val="center"/>
          </w:tcPr>
          <w:p w:rsidR="00FC00C2" w:rsidRPr="009E39F8" w:rsidRDefault="00FC00C2" w:rsidP="00B13724">
            <w:pPr>
              <w:keepNext/>
              <w:widowControl/>
              <w:tabs>
                <w:tab w:val="left" w:pos="142"/>
              </w:tabs>
              <w:ind w:right="93"/>
              <w:jc w:val="left"/>
              <w:rPr>
                <w:rFonts w:ascii="Arial Narrow" w:hAnsi="Arial Narrow"/>
                <w:b/>
                <w:sz w:val="20"/>
              </w:rPr>
            </w:pPr>
          </w:p>
        </w:tc>
        <w:tc>
          <w:tcPr>
            <w:tcW w:w="633" w:type="pct"/>
            <w:shd w:val="clear" w:color="auto" w:fill="auto"/>
          </w:tcPr>
          <w:p w:rsidR="00FC00C2" w:rsidRPr="009E39F8" w:rsidRDefault="00FC00C2" w:rsidP="00B13724">
            <w:pPr>
              <w:pStyle w:val="TableText1"/>
              <w:spacing w:before="0" w:after="0"/>
              <w:jc w:val="center"/>
              <w:rPr>
                <w:rFonts w:ascii="Arial Narrow" w:hAnsi="Arial Narrow" w:cs="Arial"/>
                <w:b/>
                <w:sz w:val="20"/>
                <w:szCs w:val="20"/>
              </w:rPr>
            </w:pPr>
            <w:r w:rsidRPr="009E39F8">
              <w:rPr>
                <w:rFonts w:ascii="Arial Narrow" w:hAnsi="Arial Narrow" w:cs="Arial"/>
                <w:b/>
                <w:sz w:val="20"/>
                <w:szCs w:val="20"/>
              </w:rPr>
              <w:t>Y1</w:t>
            </w:r>
          </w:p>
          <w:p w:rsidR="00FC00C2" w:rsidRPr="009E39F8" w:rsidRDefault="00FC00C2" w:rsidP="00B13724">
            <w:pPr>
              <w:keepNext/>
              <w:widowControl/>
              <w:ind w:right="93"/>
              <w:jc w:val="center"/>
              <w:rPr>
                <w:rFonts w:ascii="Arial Narrow" w:hAnsi="Arial Narrow"/>
                <w:b/>
                <w:sz w:val="20"/>
              </w:rPr>
            </w:pPr>
            <w:r w:rsidRPr="009E39F8">
              <w:rPr>
                <w:rFonts w:ascii="Arial Narrow" w:hAnsi="Arial Narrow"/>
                <w:b/>
                <w:sz w:val="20"/>
              </w:rPr>
              <w:t>(2016-2017)</w:t>
            </w:r>
          </w:p>
        </w:tc>
        <w:tc>
          <w:tcPr>
            <w:tcW w:w="688" w:type="pct"/>
            <w:shd w:val="clear" w:color="auto" w:fill="auto"/>
          </w:tcPr>
          <w:p w:rsidR="00FC00C2" w:rsidRPr="009E39F8" w:rsidRDefault="00FC00C2" w:rsidP="00B13724">
            <w:pPr>
              <w:pStyle w:val="TableText1"/>
              <w:spacing w:before="0" w:after="0"/>
              <w:jc w:val="center"/>
              <w:rPr>
                <w:rFonts w:ascii="Arial Narrow" w:hAnsi="Arial Narrow" w:cs="Arial"/>
                <w:b/>
                <w:sz w:val="20"/>
                <w:szCs w:val="20"/>
              </w:rPr>
            </w:pPr>
            <w:r w:rsidRPr="009E39F8">
              <w:rPr>
                <w:rFonts w:ascii="Arial Narrow" w:hAnsi="Arial Narrow" w:cs="Arial"/>
                <w:b/>
                <w:sz w:val="20"/>
                <w:szCs w:val="20"/>
              </w:rPr>
              <w:t>Y2</w:t>
            </w:r>
          </w:p>
          <w:p w:rsidR="00FC00C2" w:rsidRPr="009E39F8" w:rsidRDefault="00FC00C2" w:rsidP="00B13724">
            <w:pPr>
              <w:keepNext/>
              <w:widowControl/>
              <w:ind w:right="93"/>
              <w:jc w:val="center"/>
              <w:rPr>
                <w:rFonts w:ascii="Arial Narrow" w:hAnsi="Arial Narrow"/>
                <w:b/>
                <w:sz w:val="20"/>
              </w:rPr>
            </w:pPr>
            <w:r w:rsidRPr="009E39F8">
              <w:rPr>
                <w:rFonts w:ascii="Arial Narrow" w:hAnsi="Arial Narrow"/>
                <w:b/>
                <w:sz w:val="20"/>
              </w:rPr>
              <w:t>(2017-2018)</w:t>
            </w:r>
          </w:p>
        </w:tc>
        <w:tc>
          <w:tcPr>
            <w:tcW w:w="688" w:type="pct"/>
            <w:shd w:val="clear" w:color="auto" w:fill="auto"/>
          </w:tcPr>
          <w:p w:rsidR="00FC00C2" w:rsidRPr="009E39F8" w:rsidRDefault="00FC00C2" w:rsidP="00B13724">
            <w:pPr>
              <w:pStyle w:val="TableText1"/>
              <w:spacing w:before="0" w:after="0"/>
              <w:jc w:val="center"/>
              <w:rPr>
                <w:rFonts w:ascii="Arial Narrow" w:hAnsi="Arial Narrow" w:cs="Arial"/>
                <w:b/>
                <w:sz w:val="20"/>
                <w:szCs w:val="20"/>
              </w:rPr>
            </w:pPr>
            <w:r w:rsidRPr="009E39F8">
              <w:rPr>
                <w:rFonts w:ascii="Arial Narrow" w:hAnsi="Arial Narrow" w:cs="Arial"/>
                <w:b/>
                <w:sz w:val="20"/>
                <w:szCs w:val="20"/>
              </w:rPr>
              <w:t>Y3</w:t>
            </w:r>
          </w:p>
          <w:p w:rsidR="00FC00C2" w:rsidRPr="009E39F8" w:rsidRDefault="00FC00C2" w:rsidP="00B13724">
            <w:pPr>
              <w:keepNext/>
              <w:widowControl/>
              <w:ind w:right="93"/>
              <w:jc w:val="center"/>
              <w:rPr>
                <w:rFonts w:ascii="Arial Narrow" w:hAnsi="Arial Narrow"/>
                <w:b/>
                <w:sz w:val="20"/>
              </w:rPr>
            </w:pPr>
            <w:r w:rsidRPr="009E39F8">
              <w:rPr>
                <w:rFonts w:ascii="Arial Narrow" w:hAnsi="Arial Narrow"/>
                <w:b/>
                <w:sz w:val="20"/>
              </w:rPr>
              <w:t>(2018-2019)</w:t>
            </w:r>
          </w:p>
        </w:tc>
        <w:tc>
          <w:tcPr>
            <w:tcW w:w="689" w:type="pct"/>
            <w:shd w:val="clear" w:color="auto" w:fill="auto"/>
          </w:tcPr>
          <w:p w:rsidR="00FC00C2" w:rsidRPr="009E39F8" w:rsidRDefault="00FC00C2" w:rsidP="00B13724">
            <w:pPr>
              <w:pStyle w:val="TableText1"/>
              <w:spacing w:before="0" w:after="0"/>
              <w:jc w:val="center"/>
              <w:rPr>
                <w:rFonts w:ascii="Arial Narrow" w:hAnsi="Arial Narrow" w:cs="Arial"/>
                <w:b/>
                <w:sz w:val="20"/>
                <w:szCs w:val="20"/>
              </w:rPr>
            </w:pPr>
            <w:r w:rsidRPr="009E39F8">
              <w:rPr>
                <w:rFonts w:ascii="Arial Narrow" w:hAnsi="Arial Narrow" w:cs="Arial"/>
                <w:b/>
                <w:sz w:val="20"/>
                <w:szCs w:val="20"/>
              </w:rPr>
              <w:t>Y4</w:t>
            </w:r>
          </w:p>
          <w:p w:rsidR="00FC00C2" w:rsidRPr="009E39F8" w:rsidRDefault="00FC00C2" w:rsidP="00B13724">
            <w:pPr>
              <w:keepNext/>
              <w:widowControl/>
              <w:ind w:right="93"/>
              <w:jc w:val="center"/>
              <w:rPr>
                <w:rFonts w:ascii="Arial Narrow" w:hAnsi="Arial Narrow"/>
                <w:b/>
                <w:sz w:val="20"/>
              </w:rPr>
            </w:pPr>
            <w:r w:rsidRPr="009E39F8">
              <w:rPr>
                <w:rFonts w:ascii="Arial Narrow" w:hAnsi="Arial Narrow"/>
                <w:b/>
                <w:sz w:val="20"/>
              </w:rPr>
              <w:t>(2019-2020)</w:t>
            </w:r>
          </w:p>
        </w:tc>
        <w:tc>
          <w:tcPr>
            <w:tcW w:w="693" w:type="pct"/>
            <w:shd w:val="clear" w:color="auto" w:fill="auto"/>
          </w:tcPr>
          <w:p w:rsidR="00FC00C2" w:rsidRPr="009E39F8" w:rsidRDefault="00FC00C2" w:rsidP="00B13724">
            <w:pPr>
              <w:pStyle w:val="TableText1"/>
              <w:spacing w:before="0" w:after="0"/>
              <w:jc w:val="center"/>
              <w:rPr>
                <w:rFonts w:ascii="Arial Narrow" w:hAnsi="Arial Narrow" w:cs="Arial"/>
                <w:b/>
                <w:sz w:val="20"/>
                <w:szCs w:val="20"/>
              </w:rPr>
            </w:pPr>
            <w:r w:rsidRPr="009E39F8">
              <w:rPr>
                <w:rFonts w:ascii="Arial Narrow" w:hAnsi="Arial Narrow" w:cs="Arial"/>
                <w:b/>
                <w:sz w:val="20"/>
                <w:szCs w:val="20"/>
              </w:rPr>
              <w:t>Y5</w:t>
            </w:r>
          </w:p>
          <w:p w:rsidR="00FC00C2" w:rsidRPr="009E39F8" w:rsidRDefault="00FC00C2" w:rsidP="00B13724">
            <w:pPr>
              <w:keepNext/>
              <w:widowControl/>
              <w:ind w:right="93"/>
              <w:jc w:val="center"/>
              <w:rPr>
                <w:rFonts w:ascii="Arial Narrow" w:hAnsi="Arial Narrow"/>
                <w:b/>
                <w:sz w:val="20"/>
              </w:rPr>
            </w:pPr>
            <w:r w:rsidRPr="009E39F8">
              <w:rPr>
                <w:rFonts w:ascii="Arial Narrow" w:hAnsi="Arial Narrow"/>
                <w:b/>
                <w:sz w:val="20"/>
              </w:rPr>
              <w:t>(2020-2021)</w:t>
            </w:r>
          </w:p>
        </w:tc>
      </w:tr>
      <w:tr w:rsidR="00FC00C2" w:rsidRPr="009E39F8" w:rsidTr="00F42FD9">
        <w:tc>
          <w:tcPr>
            <w:tcW w:w="5000" w:type="pct"/>
            <w:gridSpan w:val="6"/>
            <w:shd w:val="clear" w:color="auto" w:fill="auto"/>
            <w:vAlign w:val="center"/>
          </w:tcPr>
          <w:p w:rsidR="00FC00C2" w:rsidRPr="009E39F8" w:rsidRDefault="00FC00C2" w:rsidP="00B13724">
            <w:pPr>
              <w:keepNext/>
              <w:widowControl/>
              <w:ind w:right="93"/>
              <w:jc w:val="left"/>
              <w:rPr>
                <w:rFonts w:ascii="Arial Narrow" w:hAnsi="Arial Narrow"/>
                <w:b/>
                <w:bCs/>
                <w:color w:val="000000"/>
                <w:sz w:val="20"/>
              </w:rPr>
            </w:pPr>
            <w:r w:rsidRPr="009E39F8">
              <w:rPr>
                <w:rFonts w:ascii="Arial Narrow" w:hAnsi="Arial Narrow"/>
                <w:b/>
                <w:bCs/>
                <w:color w:val="000000"/>
                <w:sz w:val="20"/>
              </w:rPr>
              <w:t>Estimated extent of use</w:t>
            </w:r>
          </w:p>
        </w:tc>
      </w:tr>
      <w:tr w:rsidR="00AA1F7F" w:rsidRPr="009E39F8" w:rsidTr="00F42FD9">
        <w:tc>
          <w:tcPr>
            <w:tcW w:w="1609" w:type="pct"/>
            <w:shd w:val="clear" w:color="auto" w:fill="auto"/>
            <w:vAlign w:val="center"/>
          </w:tcPr>
          <w:p w:rsidR="00AA1F7F" w:rsidRPr="009E39F8" w:rsidRDefault="00AA1F7F" w:rsidP="00B13724">
            <w:pPr>
              <w:keepNext/>
              <w:widowControl/>
              <w:tabs>
                <w:tab w:val="left" w:pos="142"/>
              </w:tabs>
              <w:ind w:right="93"/>
              <w:jc w:val="left"/>
              <w:rPr>
                <w:rFonts w:ascii="Arial Narrow" w:hAnsi="Arial Narrow"/>
                <w:sz w:val="20"/>
              </w:rPr>
            </w:pPr>
            <w:r w:rsidRPr="009E39F8">
              <w:rPr>
                <w:rFonts w:ascii="Arial Narrow" w:hAnsi="Arial Narrow"/>
                <w:sz w:val="20"/>
              </w:rPr>
              <w:t>Number of treated patients</w:t>
            </w:r>
            <w:r w:rsidR="002F3631">
              <w:rPr>
                <w:rFonts w:ascii="Arial Narrow" w:hAnsi="Arial Narrow"/>
                <w:sz w:val="20"/>
              </w:rPr>
              <w:t xml:space="preserve"> (submission)</w:t>
            </w:r>
          </w:p>
        </w:tc>
        <w:tc>
          <w:tcPr>
            <w:tcW w:w="633" w:type="pct"/>
            <w:shd w:val="clear" w:color="auto" w:fill="auto"/>
            <w:vAlign w:val="center"/>
          </w:tcPr>
          <w:p w:rsidR="00AA1F7F" w:rsidRPr="00FA27CE" w:rsidRDefault="00FA27CE" w:rsidP="00B13724">
            <w:pPr>
              <w:keepNext/>
              <w:widowControl/>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c>
          <w:tcPr>
            <w:tcW w:w="688" w:type="pct"/>
            <w:shd w:val="clear" w:color="auto" w:fill="auto"/>
            <w:vAlign w:val="center"/>
          </w:tcPr>
          <w:p w:rsidR="00AA1F7F" w:rsidRPr="00FA27CE" w:rsidRDefault="00FA27CE" w:rsidP="00B13724">
            <w:pPr>
              <w:keepNext/>
              <w:widowControl/>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c>
          <w:tcPr>
            <w:tcW w:w="688" w:type="pct"/>
            <w:shd w:val="clear" w:color="auto" w:fill="auto"/>
            <w:vAlign w:val="center"/>
          </w:tcPr>
          <w:p w:rsidR="00AA1F7F" w:rsidRPr="00FA27CE" w:rsidRDefault="00FA27CE" w:rsidP="00B13724">
            <w:pPr>
              <w:keepNext/>
              <w:widowControl/>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c>
          <w:tcPr>
            <w:tcW w:w="689" w:type="pct"/>
            <w:shd w:val="clear" w:color="auto" w:fill="auto"/>
            <w:vAlign w:val="center"/>
          </w:tcPr>
          <w:p w:rsidR="00AA1F7F" w:rsidRPr="00FA27CE" w:rsidRDefault="00FA27CE" w:rsidP="00B13724">
            <w:pPr>
              <w:keepNext/>
              <w:widowControl/>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c>
          <w:tcPr>
            <w:tcW w:w="693" w:type="pct"/>
            <w:shd w:val="clear" w:color="auto" w:fill="auto"/>
            <w:vAlign w:val="center"/>
          </w:tcPr>
          <w:p w:rsidR="00AA1F7F" w:rsidRPr="00FA27CE" w:rsidRDefault="00FA27CE" w:rsidP="00B13724">
            <w:pPr>
              <w:keepNext/>
              <w:widowControl/>
              <w:ind w:right="93"/>
              <w:jc w:val="center"/>
              <w:rPr>
                <w:rFonts w:ascii="Arial Narrow" w:hAnsi="Arial Narrow"/>
                <w:b/>
                <w:bCs/>
                <w:color w:val="000000"/>
                <w:sz w:val="20"/>
                <w:highlight w:val="black"/>
              </w:rPr>
            </w:pPr>
            <w:r>
              <w:rPr>
                <w:rFonts w:ascii="Arial Narrow" w:hAnsi="Arial Narrow"/>
                <w:noProof/>
                <w:color w:val="000000"/>
                <w:sz w:val="20"/>
                <w:highlight w:val="black"/>
              </w:rPr>
              <w:t>''''''''''</w:t>
            </w:r>
          </w:p>
        </w:tc>
      </w:tr>
      <w:tr w:rsidR="00133346" w:rsidRPr="009E39F8" w:rsidTr="00F42FD9">
        <w:tc>
          <w:tcPr>
            <w:tcW w:w="1609" w:type="pct"/>
            <w:shd w:val="clear" w:color="auto" w:fill="auto"/>
            <w:vAlign w:val="center"/>
          </w:tcPr>
          <w:p w:rsidR="00D26118" w:rsidRPr="009E39F8" w:rsidRDefault="00D26118" w:rsidP="00B13724">
            <w:pPr>
              <w:keepNext/>
              <w:widowControl/>
              <w:tabs>
                <w:tab w:val="left" w:pos="142"/>
              </w:tabs>
              <w:ind w:right="93"/>
              <w:jc w:val="left"/>
              <w:rPr>
                <w:rFonts w:ascii="Arial Narrow" w:hAnsi="Arial Narrow"/>
                <w:sz w:val="20"/>
              </w:rPr>
            </w:pPr>
            <w:r w:rsidRPr="009E39F8">
              <w:rPr>
                <w:rFonts w:ascii="Arial Narrow" w:hAnsi="Arial Narrow"/>
                <w:sz w:val="20"/>
              </w:rPr>
              <w:t xml:space="preserve">Number </w:t>
            </w:r>
            <w:r w:rsidR="00F42FD9" w:rsidRPr="009E39F8">
              <w:rPr>
                <w:rFonts w:ascii="Arial Narrow" w:hAnsi="Arial Narrow"/>
                <w:sz w:val="20"/>
              </w:rPr>
              <w:t xml:space="preserve">of </w:t>
            </w:r>
            <w:r w:rsidRPr="009E39F8">
              <w:rPr>
                <w:rFonts w:ascii="Arial Narrow" w:hAnsi="Arial Narrow"/>
                <w:sz w:val="20"/>
              </w:rPr>
              <w:t>treated</w:t>
            </w:r>
            <w:r w:rsidR="00F42FD9" w:rsidRPr="009E39F8">
              <w:rPr>
                <w:rFonts w:ascii="Arial Narrow" w:hAnsi="Arial Narrow"/>
                <w:sz w:val="20"/>
              </w:rPr>
              <w:t xml:space="preserve"> patients</w:t>
            </w:r>
            <w:r w:rsidRPr="009E39F8">
              <w:rPr>
                <w:rFonts w:ascii="Arial Narrow" w:hAnsi="Arial Narrow"/>
                <w:sz w:val="20"/>
              </w:rPr>
              <w:t xml:space="preserve"> (linear extrapolation of DUSC data )</w:t>
            </w:r>
            <w:r w:rsidR="002F3631">
              <w:rPr>
                <w:rFonts w:ascii="Arial Narrow" w:hAnsi="Arial Narrow"/>
                <w:sz w:val="20"/>
              </w:rPr>
              <w:t xml:space="preserve"> (evaluation)</w:t>
            </w:r>
          </w:p>
        </w:tc>
        <w:tc>
          <w:tcPr>
            <w:tcW w:w="633" w:type="pct"/>
            <w:shd w:val="clear" w:color="auto" w:fill="auto"/>
            <w:vAlign w:val="center"/>
          </w:tcPr>
          <w:p w:rsidR="00D26118" w:rsidRPr="00FA27CE" w:rsidRDefault="00FA27CE" w:rsidP="00B13724">
            <w:pPr>
              <w:keepNext/>
              <w:widowControl/>
              <w:tabs>
                <w:tab w:val="left" w:pos="142"/>
              </w:tabs>
              <w:ind w:right="93"/>
              <w:jc w:val="center"/>
              <w:rPr>
                <w:rFonts w:ascii="Arial Narrow" w:hAnsi="Arial Narrow"/>
                <w:sz w:val="20"/>
                <w:highlight w:val="black"/>
              </w:rPr>
            </w:pPr>
            <w:r>
              <w:rPr>
                <w:rFonts w:ascii="Arial Narrow" w:hAnsi="Arial Narrow"/>
                <w:iCs/>
                <w:noProof/>
                <w:color w:val="000000"/>
                <w:sz w:val="20"/>
                <w:highlight w:val="black"/>
              </w:rPr>
              <w:t>'''''''''</w:t>
            </w:r>
          </w:p>
        </w:tc>
        <w:tc>
          <w:tcPr>
            <w:tcW w:w="688" w:type="pct"/>
            <w:shd w:val="clear" w:color="auto" w:fill="auto"/>
            <w:vAlign w:val="center"/>
          </w:tcPr>
          <w:p w:rsidR="00D26118" w:rsidRPr="00FA27CE" w:rsidRDefault="00FA27CE" w:rsidP="00B13724">
            <w:pPr>
              <w:keepNext/>
              <w:widowControl/>
              <w:tabs>
                <w:tab w:val="left" w:pos="142"/>
              </w:tabs>
              <w:ind w:right="93"/>
              <w:jc w:val="center"/>
              <w:rPr>
                <w:rFonts w:ascii="Arial Narrow" w:hAnsi="Arial Narrow"/>
                <w:sz w:val="20"/>
                <w:highlight w:val="black"/>
              </w:rPr>
            </w:pPr>
            <w:r>
              <w:rPr>
                <w:rFonts w:ascii="Arial Narrow" w:hAnsi="Arial Narrow"/>
                <w:iCs/>
                <w:noProof/>
                <w:color w:val="000000"/>
                <w:sz w:val="20"/>
                <w:highlight w:val="black"/>
              </w:rPr>
              <w:t>''''''''''</w:t>
            </w:r>
          </w:p>
        </w:tc>
        <w:tc>
          <w:tcPr>
            <w:tcW w:w="688" w:type="pct"/>
            <w:shd w:val="clear" w:color="auto" w:fill="auto"/>
            <w:vAlign w:val="center"/>
          </w:tcPr>
          <w:p w:rsidR="00D26118" w:rsidRPr="00FA27CE" w:rsidRDefault="00FA27CE" w:rsidP="00B13724">
            <w:pPr>
              <w:keepNext/>
              <w:widowControl/>
              <w:tabs>
                <w:tab w:val="left" w:pos="142"/>
              </w:tabs>
              <w:ind w:right="93"/>
              <w:jc w:val="center"/>
              <w:rPr>
                <w:rFonts w:ascii="Arial Narrow" w:hAnsi="Arial Narrow"/>
                <w:sz w:val="20"/>
                <w:highlight w:val="black"/>
              </w:rPr>
            </w:pPr>
            <w:r>
              <w:rPr>
                <w:rFonts w:ascii="Arial Narrow" w:hAnsi="Arial Narrow"/>
                <w:iCs/>
                <w:noProof/>
                <w:color w:val="000000"/>
                <w:sz w:val="20"/>
                <w:highlight w:val="black"/>
              </w:rPr>
              <w:t>'''''''''</w:t>
            </w:r>
          </w:p>
        </w:tc>
        <w:tc>
          <w:tcPr>
            <w:tcW w:w="689" w:type="pct"/>
            <w:shd w:val="clear" w:color="auto" w:fill="auto"/>
            <w:vAlign w:val="center"/>
          </w:tcPr>
          <w:p w:rsidR="00D26118" w:rsidRPr="00FA27CE" w:rsidRDefault="00FA27CE" w:rsidP="00B13724">
            <w:pPr>
              <w:keepNext/>
              <w:widowControl/>
              <w:tabs>
                <w:tab w:val="left" w:pos="142"/>
              </w:tabs>
              <w:ind w:right="93"/>
              <w:jc w:val="center"/>
              <w:rPr>
                <w:rFonts w:ascii="Arial Narrow" w:hAnsi="Arial Narrow"/>
                <w:sz w:val="20"/>
                <w:highlight w:val="black"/>
              </w:rPr>
            </w:pPr>
            <w:r>
              <w:rPr>
                <w:rFonts w:ascii="Arial Narrow" w:hAnsi="Arial Narrow"/>
                <w:iCs/>
                <w:noProof/>
                <w:color w:val="000000"/>
                <w:sz w:val="20"/>
                <w:highlight w:val="black"/>
              </w:rPr>
              <w:t>''''''''''</w:t>
            </w:r>
          </w:p>
        </w:tc>
        <w:tc>
          <w:tcPr>
            <w:tcW w:w="693" w:type="pct"/>
            <w:shd w:val="clear" w:color="auto" w:fill="auto"/>
            <w:vAlign w:val="center"/>
          </w:tcPr>
          <w:p w:rsidR="00D26118" w:rsidRPr="00FA27CE" w:rsidRDefault="00FA27CE" w:rsidP="00B13724">
            <w:pPr>
              <w:keepNext/>
              <w:widowControl/>
              <w:tabs>
                <w:tab w:val="left" w:pos="142"/>
              </w:tabs>
              <w:ind w:right="93"/>
              <w:jc w:val="center"/>
              <w:rPr>
                <w:rFonts w:ascii="Arial Narrow" w:hAnsi="Arial Narrow"/>
                <w:sz w:val="20"/>
                <w:highlight w:val="black"/>
              </w:rPr>
            </w:pPr>
            <w:r>
              <w:rPr>
                <w:rFonts w:ascii="Arial Narrow" w:hAnsi="Arial Narrow"/>
                <w:iCs/>
                <w:noProof/>
                <w:color w:val="000000"/>
                <w:sz w:val="20"/>
                <w:highlight w:val="black"/>
              </w:rPr>
              <w:t>'''''''''</w:t>
            </w:r>
          </w:p>
        </w:tc>
      </w:tr>
      <w:tr w:rsidR="00133346" w:rsidRPr="009E39F8" w:rsidTr="00F42FD9">
        <w:tc>
          <w:tcPr>
            <w:tcW w:w="1609" w:type="pct"/>
            <w:shd w:val="clear" w:color="auto" w:fill="auto"/>
            <w:vAlign w:val="center"/>
          </w:tcPr>
          <w:p w:rsidR="005D1F15" w:rsidRPr="009E39F8" w:rsidRDefault="005D1F15" w:rsidP="00B13724">
            <w:pPr>
              <w:keepNext/>
              <w:widowControl/>
              <w:tabs>
                <w:tab w:val="left" w:pos="142"/>
              </w:tabs>
              <w:ind w:right="93"/>
              <w:jc w:val="left"/>
              <w:rPr>
                <w:rFonts w:ascii="Arial Narrow" w:hAnsi="Arial Narrow"/>
                <w:sz w:val="20"/>
              </w:rPr>
            </w:pPr>
            <w:r w:rsidRPr="009E39F8">
              <w:rPr>
                <w:rFonts w:ascii="Arial Narrow" w:hAnsi="Arial Narrow"/>
                <w:sz w:val="20"/>
              </w:rPr>
              <w:t>Injections</w:t>
            </w:r>
            <w:r w:rsidR="008B2763">
              <w:rPr>
                <w:rFonts w:ascii="Arial Narrow" w:hAnsi="Arial Narrow"/>
                <w:sz w:val="20"/>
              </w:rPr>
              <w:t xml:space="preserve"> (submission)</w:t>
            </w:r>
          </w:p>
        </w:tc>
        <w:tc>
          <w:tcPr>
            <w:tcW w:w="633" w:type="pct"/>
            <w:shd w:val="clear" w:color="auto" w:fill="auto"/>
            <w:vAlign w:val="center"/>
          </w:tcPr>
          <w:p w:rsidR="005D1F15" w:rsidRPr="00FA27CE" w:rsidRDefault="00FA27CE" w:rsidP="00B13724">
            <w:pPr>
              <w:keepNext/>
              <w:widowControl/>
              <w:ind w:right="93"/>
              <w:jc w:val="center"/>
              <w:rPr>
                <w:rFonts w:ascii="Arial Narrow" w:hAnsi="Arial Narrow"/>
                <w:bCs/>
                <w:sz w:val="20"/>
                <w:highlight w:val="black"/>
              </w:rPr>
            </w:pPr>
            <w:r>
              <w:rPr>
                <w:rFonts w:ascii="Arial Narrow" w:hAnsi="Arial Narrow"/>
                <w:noProof/>
                <w:color w:val="000000"/>
                <w:sz w:val="20"/>
                <w:highlight w:val="black"/>
              </w:rPr>
              <w:t>''''''''''</w:t>
            </w:r>
          </w:p>
        </w:tc>
        <w:tc>
          <w:tcPr>
            <w:tcW w:w="688" w:type="pct"/>
            <w:shd w:val="clear" w:color="auto" w:fill="auto"/>
            <w:vAlign w:val="center"/>
          </w:tcPr>
          <w:p w:rsidR="005D1F15" w:rsidRPr="00FA27CE" w:rsidRDefault="00FA27CE" w:rsidP="00B13724">
            <w:pPr>
              <w:keepNext/>
              <w:widowControl/>
              <w:ind w:right="93"/>
              <w:jc w:val="center"/>
              <w:rPr>
                <w:rFonts w:ascii="Arial Narrow" w:hAnsi="Arial Narrow"/>
                <w:bCs/>
                <w:sz w:val="20"/>
                <w:highlight w:val="black"/>
              </w:rPr>
            </w:pPr>
            <w:r>
              <w:rPr>
                <w:rFonts w:ascii="Arial Narrow" w:hAnsi="Arial Narrow"/>
                <w:noProof/>
                <w:color w:val="000000"/>
                <w:sz w:val="20"/>
                <w:highlight w:val="black"/>
              </w:rPr>
              <w:t>''''''''''''</w:t>
            </w:r>
          </w:p>
        </w:tc>
        <w:tc>
          <w:tcPr>
            <w:tcW w:w="688" w:type="pct"/>
            <w:shd w:val="clear" w:color="auto" w:fill="auto"/>
            <w:vAlign w:val="center"/>
          </w:tcPr>
          <w:p w:rsidR="005D1F15" w:rsidRPr="00FA27CE" w:rsidRDefault="00FA27CE" w:rsidP="00B13724">
            <w:pPr>
              <w:keepNext/>
              <w:widowControl/>
              <w:ind w:right="93"/>
              <w:jc w:val="center"/>
              <w:rPr>
                <w:rFonts w:ascii="Arial Narrow" w:hAnsi="Arial Narrow"/>
                <w:bCs/>
                <w:sz w:val="20"/>
                <w:highlight w:val="black"/>
              </w:rPr>
            </w:pPr>
            <w:r>
              <w:rPr>
                <w:rFonts w:ascii="Arial Narrow" w:hAnsi="Arial Narrow"/>
                <w:noProof/>
                <w:color w:val="000000"/>
                <w:sz w:val="20"/>
                <w:highlight w:val="black"/>
              </w:rPr>
              <w:t>'''''''''''''</w:t>
            </w:r>
          </w:p>
        </w:tc>
        <w:tc>
          <w:tcPr>
            <w:tcW w:w="689" w:type="pct"/>
            <w:shd w:val="clear" w:color="auto" w:fill="auto"/>
            <w:vAlign w:val="center"/>
          </w:tcPr>
          <w:p w:rsidR="005D1F15" w:rsidRPr="00FA27CE" w:rsidRDefault="00FA27CE" w:rsidP="00B13724">
            <w:pPr>
              <w:keepNext/>
              <w:widowControl/>
              <w:ind w:right="93"/>
              <w:jc w:val="center"/>
              <w:rPr>
                <w:rFonts w:ascii="Arial Narrow" w:hAnsi="Arial Narrow"/>
                <w:bCs/>
                <w:sz w:val="20"/>
                <w:highlight w:val="black"/>
              </w:rPr>
            </w:pPr>
            <w:r>
              <w:rPr>
                <w:rFonts w:ascii="Arial Narrow" w:hAnsi="Arial Narrow"/>
                <w:noProof/>
                <w:color w:val="000000"/>
                <w:sz w:val="20"/>
                <w:highlight w:val="black"/>
              </w:rPr>
              <w:t>''''''''''''</w:t>
            </w:r>
          </w:p>
        </w:tc>
        <w:tc>
          <w:tcPr>
            <w:tcW w:w="693" w:type="pct"/>
            <w:shd w:val="clear" w:color="auto" w:fill="auto"/>
            <w:vAlign w:val="center"/>
          </w:tcPr>
          <w:p w:rsidR="005D1F15" w:rsidRPr="00FA27CE" w:rsidRDefault="00FA27CE" w:rsidP="00B13724">
            <w:pPr>
              <w:keepNext/>
              <w:widowControl/>
              <w:ind w:right="93"/>
              <w:jc w:val="center"/>
              <w:rPr>
                <w:rFonts w:ascii="Arial Narrow" w:hAnsi="Arial Narrow"/>
                <w:bCs/>
                <w:sz w:val="20"/>
                <w:highlight w:val="black"/>
              </w:rPr>
            </w:pPr>
            <w:r>
              <w:rPr>
                <w:rFonts w:ascii="Arial Narrow" w:hAnsi="Arial Narrow"/>
                <w:noProof/>
                <w:color w:val="000000"/>
                <w:sz w:val="20"/>
                <w:highlight w:val="black"/>
              </w:rPr>
              <w:t>''''''''''''</w:t>
            </w:r>
          </w:p>
        </w:tc>
      </w:tr>
      <w:tr w:rsidR="00133346" w:rsidRPr="009E39F8" w:rsidTr="00F42FD9">
        <w:tc>
          <w:tcPr>
            <w:tcW w:w="1609" w:type="pct"/>
            <w:shd w:val="clear" w:color="auto" w:fill="auto"/>
            <w:vAlign w:val="center"/>
          </w:tcPr>
          <w:p w:rsidR="00D26118" w:rsidRPr="009E39F8" w:rsidRDefault="00D26118" w:rsidP="00B13724">
            <w:pPr>
              <w:keepNext/>
              <w:widowControl/>
              <w:tabs>
                <w:tab w:val="left" w:pos="142"/>
              </w:tabs>
              <w:ind w:right="93"/>
              <w:jc w:val="left"/>
              <w:rPr>
                <w:rFonts w:ascii="Arial Narrow" w:hAnsi="Arial Narrow"/>
                <w:sz w:val="20"/>
              </w:rPr>
            </w:pPr>
            <w:r w:rsidRPr="009E39F8">
              <w:rPr>
                <w:rFonts w:ascii="Arial Narrow" w:hAnsi="Arial Narrow"/>
                <w:sz w:val="20"/>
              </w:rPr>
              <w:t xml:space="preserve">Injections- </w:t>
            </w:r>
            <w:r w:rsidR="0047356C" w:rsidRPr="009E39F8">
              <w:rPr>
                <w:rFonts w:ascii="Arial Narrow" w:hAnsi="Arial Narrow"/>
                <w:sz w:val="20"/>
              </w:rPr>
              <w:t xml:space="preserve">patient </w:t>
            </w:r>
            <w:r w:rsidR="00EB1663" w:rsidRPr="009E39F8">
              <w:rPr>
                <w:rFonts w:ascii="Arial Narrow" w:hAnsi="Arial Narrow"/>
                <w:sz w:val="20"/>
              </w:rPr>
              <w:t>estimates</w:t>
            </w:r>
            <w:r w:rsidR="0047356C" w:rsidRPr="009E39F8">
              <w:rPr>
                <w:rFonts w:ascii="Arial Narrow" w:hAnsi="Arial Narrow"/>
                <w:sz w:val="20"/>
              </w:rPr>
              <w:t xml:space="preserve"> </w:t>
            </w:r>
            <w:r w:rsidRPr="009E39F8">
              <w:rPr>
                <w:rFonts w:ascii="Arial Narrow" w:hAnsi="Arial Narrow"/>
                <w:sz w:val="20"/>
              </w:rPr>
              <w:t>approach</w:t>
            </w:r>
            <w:r w:rsidR="000D06BE">
              <w:rPr>
                <w:rFonts w:ascii="Arial Narrow" w:hAnsi="Arial Narrow"/>
                <w:sz w:val="20"/>
              </w:rPr>
              <w:t xml:space="preserve"> (evaluation)</w:t>
            </w:r>
          </w:p>
        </w:tc>
        <w:tc>
          <w:tcPr>
            <w:tcW w:w="633" w:type="pct"/>
            <w:shd w:val="clear" w:color="auto" w:fill="auto"/>
            <w:vAlign w:val="bottom"/>
          </w:tcPr>
          <w:p w:rsidR="00D26118" w:rsidRPr="00FA27CE" w:rsidRDefault="00FA27CE" w:rsidP="00B13724">
            <w:pPr>
              <w:keepNext/>
              <w:widowControl/>
              <w:tabs>
                <w:tab w:val="left" w:pos="142"/>
              </w:tabs>
              <w:ind w:right="93"/>
              <w:jc w:val="center"/>
              <w:rPr>
                <w:rFonts w:ascii="Arial Narrow" w:hAnsi="Arial Narrow"/>
                <w:iCs/>
                <w:sz w:val="20"/>
                <w:highlight w:val="black"/>
              </w:rPr>
            </w:pPr>
            <w:r>
              <w:rPr>
                <w:rFonts w:ascii="Arial Narrow" w:hAnsi="Arial Narrow"/>
                <w:iCs/>
                <w:noProof/>
                <w:color w:val="000000"/>
                <w:sz w:val="20"/>
                <w:highlight w:val="black"/>
              </w:rPr>
              <w:t>'''''''''''</w:t>
            </w:r>
          </w:p>
        </w:tc>
        <w:tc>
          <w:tcPr>
            <w:tcW w:w="688" w:type="pct"/>
            <w:shd w:val="clear" w:color="auto" w:fill="auto"/>
            <w:vAlign w:val="bottom"/>
          </w:tcPr>
          <w:p w:rsidR="00D26118" w:rsidRPr="00FA27CE" w:rsidRDefault="00FA27CE" w:rsidP="00B13724">
            <w:pPr>
              <w:keepNext/>
              <w:widowControl/>
              <w:tabs>
                <w:tab w:val="left" w:pos="142"/>
              </w:tabs>
              <w:ind w:right="93"/>
              <w:jc w:val="center"/>
              <w:rPr>
                <w:rFonts w:ascii="Arial Narrow" w:hAnsi="Arial Narrow"/>
                <w:iCs/>
                <w:sz w:val="20"/>
                <w:highlight w:val="black"/>
              </w:rPr>
            </w:pPr>
            <w:r>
              <w:rPr>
                <w:rFonts w:ascii="Arial Narrow" w:hAnsi="Arial Narrow"/>
                <w:iCs/>
                <w:noProof/>
                <w:color w:val="000000"/>
                <w:sz w:val="20"/>
                <w:highlight w:val="black"/>
              </w:rPr>
              <w:t>'''''''''''''</w:t>
            </w:r>
          </w:p>
        </w:tc>
        <w:tc>
          <w:tcPr>
            <w:tcW w:w="688" w:type="pct"/>
            <w:shd w:val="clear" w:color="auto" w:fill="auto"/>
            <w:vAlign w:val="bottom"/>
          </w:tcPr>
          <w:p w:rsidR="00D26118" w:rsidRPr="00FA27CE" w:rsidRDefault="00FA27CE" w:rsidP="00B13724">
            <w:pPr>
              <w:keepNext/>
              <w:widowControl/>
              <w:tabs>
                <w:tab w:val="left" w:pos="142"/>
              </w:tabs>
              <w:ind w:right="93"/>
              <w:jc w:val="center"/>
              <w:rPr>
                <w:rFonts w:ascii="Arial Narrow" w:hAnsi="Arial Narrow"/>
                <w:iCs/>
                <w:sz w:val="20"/>
                <w:highlight w:val="black"/>
              </w:rPr>
            </w:pPr>
            <w:r>
              <w:rPr>
                <w:rFonts w:ascii="Arial Narrow" w:hAnsi="Arial Narrow"/>
                <w:iCs/>
                <w:noProof/>
                <w:color w:val="000000"/>
                <w:sz w:val="20"/>
                <w:highlight w:val="black"/>
              </w:rPr>
              <w:t>'''''''''''</w:t>
            </w:r>
          </w:p>
        </w:tc>
        <w:tc>
          <w:tcPr>
            <w:tcW w:w="689" w:type="pct"/>
            <w:shd w:val="clear" w:color="auto" w:fill="auto"/>
            <w:vAlign w:val="bottom"/>
          </w:tcPr>
          <w:p w:rsidR="00D26118" w:rsidRPr="00FA27CE" w:rsidRDefault="00FA27CE" w:rsidP="00B13724">
            <w:pPr>
              <w:keepNext/>
              <w:widowControl/>
              <w:tabs>
                <w:tab w:val="left" w:pos="142"/>
              </w:tabs>
              <w:ind w:right="93"/>
              <w:jc w:val="center"/>
              <w:rPr>
                <w:rFonts w:ascii="Arial Narrow" w:hAnsi="Arial Narrow"/>
                <w:iCs/>
                <w:sz w:val="20"/>
                <w:highlight w:val="black"/>
              </w:rPr>
            </w:pPr>
            <w:r>
              <w:rPr>
                <w:rFonts w:ascii="Arial Narrow" w:hAnsi="Arial Narrow"/>
                <w:iCs/>
                <w:noProof/>
                <w:color w:val="000000"/>
                <w:sz w:val="20"/>
                <w:highlight w:val="black"/>
              </w:rPr>
              <w:t>''''''''''''</w:t>
            </w:r>
          </w:p>
        </w:tc>
        <w:tc>
          <w:tcPr>
            <w:tcW w:w="693" w:type="pct"/>
            <w:shd w:val="clear" w:color="auto" w:fill="auto"/>
            <w:vAlign w:val="bottom"/>
          </w:tcPr>
          <w:p w:rsidR="00D26118" w:rsidRPr="00FA27CE" w:rsidRDefault="00FA27CE" w:rsidP="00B13724">
            <w:pPr>
              <w:keepNext/>
              <w:widowControl/>
              <w:tabs>
                <w:tab w:val="left" w:pos="142"/>
              </w:tabs>
              <w:ind w:right="93"/>
              <w:jc w:val="center"/>
              <w:rPr>
                <w:rFonts w:ascii="Arial Narrow" w:hAnsi="Arial Narrow"/>
                <w:iCs/>
                <w:sz w:val="20"/>
                <w:highlight w:val="black"/>
              </w:rPr>
            </w:pPr>
            <w:r>
              <w:rPr>
                <w:rFonts w:ascii="Arial Narrow" w:hAnsi="Arial Narrow"/>
                <w:iCs/>
                <w:noProof/>
                <w:color w:val="000000"/>
                <w:sz w:val="20"/>
                <w:highlight w:val="black"/>
              </w:rPr>
              <w:t>''''''''''''</w:t>
            </w:r>
          </w:p>
        </w:tc>
      </w:tr>
      <w:tr w:rsidR="00133346" w:rsidRPr="009E39F8" w:rsidTr="00F42FD9">
        <w:tc>
          <w:tcPr>
            <w:tcW w:w="5000" w:type="pct"/>
            <w:gridSpan w:val="6"/>
            <w:shd w:val="clear" w:color="auto" w:fill="auto"/>
            <w:vAlign w:val="center"/>
          </w:tcPr>
          <w:p w:rsidR="005D1F15" w:rsidRPr="009E39F8" w:rsidRDefault="005D1F15" w:rsidP="00B13724">
            <w:pPr>
              <w:keepNext/>
              <w:widowControl/>
              <w:ind w:right="93"/>
              <w:jc w:val="left"/>
              <w:rPr>
                <w:rFonts w:ascii="Arial Narrow" w:hAnsi="Arial Narrow"/>
                <w:b/>
                <w:bCs/>
                <w:sz w:val="20"/>
              </w:rPr>
            </w:pPr>
            <w:r w:rsidRPr="009E39F8">
              <w:rPr>
                <w:rFonts w:ascii="Arial Narrow" w:hAnsi="Arial Narrow"/>
                <w:b/>
                <w:bCs/>
                <w:sz w:val="20"/>
              </w:rPr>
              <w:t>Estimated net cost to PBS</w:t>
            </w:r>
          </w:p>
        </w:tc>
      </w:tr>
      <w:tr w:rsidR="00133346" w:rsidRPr="009E39F8" w:rsidTr="00F42FD9">
        <w:tc>
          <w:tcPr>
            <w:tcW w:w="1609" w:type="pct"/>
            <w:shd w:val="clear" w:color="auto" w:fill="auto"/>
            <w:vAlign w:val="center"/>
          </w:tcPr>
          <w:p w:rsidR="005D1F15" w:rsidRPr="00193960" w:rsidRDefault="005D1F15" w:rsidP="00B13724">
            <w:pPr>
              <w:keepNext/>
              <w:widowControl/>
              <w:tabs>
                <w:tab w:val="left" w:pos="142"/>
              </w:tabs>
              <w:ind w:right="93"/>
              <w:jc w:val="left"/>
              <w:rPr>
                <w:rFonts w:ascii="Arial Narrow" w:hAnsi="Arial Narrow"/>
                <w:sz w:val="20"/>
              </w:rPr>
            </w:pPr>
            <w:r w:rsidRPr="00193960">
              <w:rPr>
                <w:rFonts w:ascii="Arial Narrow" w:hAnsi="Arial Narrow"/>
                <w:sz w:val="20"/>
              </w:rPr>
              <w:t xml:space="preserve">Net cost to PBS </w:t>
            </w:r>
            <w:r w:rsidR="00337FA2" w:rsidRPr="00193960">
              <w:rPr>
                <w:rFonts w:ascii="Arial Narrow" w:hAnsi="Arial Narrow"/>
                <w:sz w:val="20"/>
              </w:rPr>
              <w:t>(submission)</w:t>
            </w:r>
          </w:p>
        </w:tc>
        <w:tc>
          <w:tcPr>
            <w:tcW w:w="633" w:type="pct"/>
            <w:shd w:val="clear" w:color="auto" w:fill="auto"/>
            <w:vAlign w:val="center"/>
          </w:tcPr>
          <w:p w:rsidR="005D1F15" w:rsidRPr="009E39F8" w:rsidRDefault="005D1F15" w:rsidP="00B13724">
            <w:pPr>
              <w:keepNext/>
              <w:widowControl/>
              <w:ind w:right="93"/>
              <w:jc w:val="center"/>
              <w:rPr>
                <w:rFonts w:ascii="Arial Narrow" w:hAnsi="Arial Narrow"/>
                <w:bCs/>
                <w:sz w:val="20"/>
              </w:rPr>
            </w:pPr>
            <w:r w:rsidRPr="009E39F8">
              <w:rPr>
                <w:rFonts w:ascii="Arial Narrow" w:hAnsi="Arial Narrow"/>
                <w:sz w:val="20"/>
              </w:rPr>
              <w:t>$</w:t>
            </w:r>
            <w:r w:rsidR="00FA27CE">
              <w:rPr>
                <w:rFonts w:ascii="Arial Narrow" w:hAnsi="Arial Narrow"/>
                <w:noProof/>
                <w:color w:val="000000"/>
                <w:sz w:val="20"/>
                <w:highlight w:val="black"/>
              </w:rPr>
              <w:t>''''''''''''''''''''''</w:t>
            </w:r>
          </w:p>
        </w:tc>
        <w:tc>
          <w:tcPr>
            <w:tcW w:w="688" w:type="pct"/>
            <w:shd w:val="clear" w:color="auto" w:fill="auto"/>
            <w:vAlign w:val="center"/>
          </w:tcPr>
          <w:p w:rsidR="005D1F15" w:rsidRPr="009E39F8" w:rsidRDefault="005D1F15" w:rsidP="00B13724">
            <w:pPr>
              <w:keepNext/>
              <w:widowControl/>
              <w:ind w:right="93"/>
              <w:jc w:val="center"/>
              <w:rPr>
                <w:rFonts w:ascii="Arial Narrow" w:hAnsi="Arial Narrow"/>
                <w:bCs/>
                <w:sz w:val="20"/>
              </w:rPr>
            </w:pPr>
            <w:r w:rsidRPr="009E39F8">
              <w:rPr>
                <w:rFonts w:ascii="Arial Narrow" w:hAnsi="Arial Narrow"/>
                <w:sz w:val="20"/>
              </w:rPr>
              <w:t>$</w:t>
            </w:r>
            <w:r w:rsidR="00FA27CE">
              <w:rPr>
                <w:rFonts w:ascii="Arial Narrow" w:hAnsi="Arial Narrow"/>
                <w:noProof/>
                <w:color w:val="000000"/>
                <w:sz w:val="20"/>
                <w:highlight w:val="black"/>
              </w:rPr>
              <w:t>'''''''''''''''''''''''</w:t>
            </w:r>
          </w:p>
        </w:tc>
        <w:tc>
          <w:tcPr>
            <w:tcW w:w="688" w:type="pct"/>
            <w:shd w:val="clear" w:color="auto" w:fill="auto"/>
            <w:vAlign w:val="center"/>
          </w:tcPr>
          <w:p w:rsidR="005D1F15" w:rsidRPr="009E39F8" w:rsidRDefault="005D1F15" w:rsidP="00B13724">
            <w:pPr>
              <w:keepNext/>
              <w:widowControl/>
              <w:ind w:right="93"/>
              <w:jc w:val="center"/>
              <w:rPr>
                <w:rFonts w:ascii="Arial Narrow" w:hAnsi="Arial Narrow"/>
                <w:bCs/>
                <w:sz w:val="20"/>
              </w:rPr>
            </w:pPr>
            <w:r w:rsidRPr="009E39F8">
              <w:rPr>
                <w:rFonts w:ascii="Arial Narrow" w:hAnsi="Arial Narrow"/>
                <w:sz w:val="20"/>
              </w:rPr>
              <w:t>$</w:t>
            </w:r>
            <w:r w:rsidR="00FA27CE">
              <w:rPr>
                <w:rFonts w:ascii="Arial Narrow" w:hAnsi="Arial Narrow"/>
                <w:noProof/>
                <w:color w:val="000000"/>
                <w:sz w:val="20"/>
                <w:highlight w:val="black"/>
              </w:rPr>
              <w:t>''''''''''''''''''''''</w:t>
            </w:r>
          </w:p>
        </w:tc>
        <w:tc>
          <w:tcPr>
            <w:tcW w:w="689" w:type="pct"/>
            <w:shd w:val="clear" w:color="auto" w:fill="auto"/>
            <w:vAlign w:val="center"/>
          </w:tcPr>
          <w:p w:rsidR="005D1F15" w:rsidRPr="009E39F8" w:rsidRDefault="005D1F15" w:rsidP="00B13724">
            <w:pPr>
              <w:keepNext/>
              <w:widowControl/>
              <w:ind w:right="93"/>
              <w:jc w:val="center"/>
              <w:rPr>
                <w:rFonts w:ascii="Arial Narrow" w:hAnsi="Arial Narrow"/>
                <w:bCs/>
                <w:sz w:val="20"/>
              </w:rPr>
            </w:pPr>
            <w:r w:rsidRPr="009E39F8">
              <w:rPr>
                <w:rFonts w:ascii="Arial Narrow" w:hAnsi="Arial Narrow"/>
                <w:sz w:val="20"/>
              </w:rPr>
              <w:t>$</w:t>
            </w:r>
            <w:r w:rsidR="00FA27CE">
              <w:rPr>
                <w:rFonts w:ascii="Arial Narrow" w:hAnsi="Arial Narrow"/>
                <w:noProof/>
                <w:color w:val="000000"/>
                <w:sz w:val="20"/>
                <w:highlight w:val="black"/>
              </w:rPr>
              <w:t>'''''''''''''''''''''''''</w:t>
            </w:r>
          </w:p>
        </w:tc>
        <w:tc>
          <w:tcPr>
            <w:tcW w:w="693" w:type="pct"/>
            <w:shd w:val="clear" w:color="auto" w:fill="auto"/>
            <w:vAlign w:val="center"/>
          </w:tcPr>
          <w:p w:rsidR="005D1F15" w:rsidRPr="009E39F8" w:rsidRDefault="005D1F15" w:rsidP="00B13724">
            <w:pPr>
              <w:keepNext/>
              <w:widowControl/>
              <w:ind w:right="93"/>
              <w:jc w:val="center"/>
              <w:rPr>
                <w:rFonts w:ascii="Arial Narrow" w:hAnsi="Arial Narrow"/>
                <w:bCs/>
                <w:sz w:val="20"/>
              </w:rPr>
            </w:pPr>
            <w:r w:rsidRPr="009E39F8">
              <w:rPr>
                <w:rFonts w:ascii="Arial Narrow" w:hAnsi="Arial Narrow"/>
                <w:sz w:val="20"/>
              </w:rPr>
              <w:t>$</w:t>
            </w:r>
            <w:r w:rsidR="00FA27CE">
              <w:rPr>
                <w:rFonts w:ascii="Arial Narrow" w:hAnsi="Arial Narrow"/>
                <w:noProof/>
                <w:color w:val="000000"/>
                <w:sz w:val="20"/>
                <w:highlight w:val="black"/>
              </w:rPr>
              <w:t>'''''''''''''''''''''''</w:t>
            </w:r>
          </w:p>
        </w:tc>
      </w:tr>
      <w:tr w:rsidR="00133346" w:rsidRPr="009E39F8" w:rsidTr="00F42FD9">
        <w:tc>
          <w:tcPr>
            <w:tcW w:w="1609" w:type="pct"/>
            <w:shd w:val="clear" w:color="auto" w:fill="auto"/>
            <w:vAlign w:val="center"/>
          </w:tcPr>
          <w:p w:rsidR="0052414F" w:rsidRPr="00193960" w:rsidRDefault="0052414F" w:rsidP="00B13724">
            <w:pPr>
              <w:keepNext/>
              <w:widowControl/>
              <w:tabs>
                <w:tab w:val="left" w:pos="142"/>
              </w:tabs>
              <w:ind w:right="93"/>
              <w:jc w:val="left"/>
              <w:rPr>
                <w:rFonts w:ascii="Arial Narrow" w:hAnsi="Arial Narrow"/>
                <w:sz w:val="20"/>
              </w:rPr>
            </w:pPr>
            <w:r w:rsidRPr="00193960">
              <w:rPr>
                <w:rFonts w:ascii="Arial Narrow" w:hAnsi="Arial Narrow"/>
                <w:sz w:val="20"/>
              </w:rPr>
              <w:t xml:space="preserve">Net cost to PBS - </w:t>
            </w:r>
            <w:r w:rsidR="0047356C" w:rsidRPr="00193960">
              <w:rPr>
                <w:rFonts w:ascii="Arial Narrow" w:hAnsi="Arial Narrow"/>
                <w:sz w:val="20"/>
              </w:rPr>
              <w:t xml:space="preserve">patient </w:t>
            </w:r>
            <w:r w:rsidR="00EB1663" w:rsidRPr="00193960">
              <w:rPr>
                <w:rFonts w:ascii="Arial Narrow" w:hAnsi="Arial Narrow"/>
                <w:sz w:val="20"/>
              </w:rPr>
              <w:t>estimates</w:t>
            </w:r>
            <w:r w:rsidRPr="00193960">
              <w:rPr>
                <w:rFonts w:ascii="Arial Narrow" w:hAnsi="Arial Narrow"/>
                <w:sz w:val="20"/>
              </w:rPr>
              <w:t xml:space="preserve"> approach</w:t>
            </w:r>
            <w:r w:rsidR="00337FA2" w:rsidRPr="00193960">
              <w:rPr>
                <w:rFonts w:ascii="Arial Narrow" w:hAnsi="Arial Narrow"/>
                <w:sz w:val="20"/>
              </w:rPr>
              <w:t xml:space="preserve"> (evaluation)</w:t>
            </w:r>
          </w:p>
        </w:tc>
        <w:tc>
          <w:tcPr>
            <w:tcW w:w="633" w:type="pct"/>
            <w:shd w:val="clear" w:color="auto" w:fill="auto"/>
            <w:vAlign w:val="bottom"/>
          </w:tcPr>
          <w:p w:rsidR="0052414F" w:rsidRPr="009E39F8" w:rsidRDefault="0052414F" w:rsidP="00B13724">
            <w:pPr>
              <w:keepNext/>
              <w:widowControl/>
              <w:ind w:right="93"/>
              <w:jc w:val="center"/>
              <w:rPr>
                <w:rFonts w:ascii="Arial Narrow" w:hAnsi="Arial Narrow"/>
                <w:sz w:val="20"/>
              </w:rPr>
            </w:pPr>
            <w:r w:rsidRPr="009E39F8">
              <w:rPr>
                <w:rFonts w:ascii="Arial Narrow" w:hAnsi="Arial Narrow"/>
                <w:sz w:val="20"/>
              </w:rPr>
              <w:t>$</w:t>
            </w:r>
            <w:r w:rsidR="00FA27CE">
              <w:rPr>
                <w:rFonts w:ascii="Arial Narrow" w:hAnsi="Arial Narrow"/>
                <w:noProof/>
                <w:color w:val="000000"/>
                <w:sz w:val="20"/>
                <w:highlight w:val="black"/>
              </w:rPr>
              <w:t>''''''''''''''''''''''</w:t>
            </w:r>
          </w:p>
        </w:tc>
        <w:tc>
          <w:tcPr>
            <w:tcW w:w="688" w:type="pct"/>
            <w:shd w:val="clear" w:color="auto" w:fill="auto"/>
            <w:vAlign w:val="bottom"/>
          </w:tcPr>
          <w:p w:rsidR="0052414F" w:rsidRPr="009E39F8" w:rsidRDefault="0052414F" w:rsidP="00B13724">
            <w:pPr>
              <w:keepNext/>
              <w:widowControl/>
              <w:ind w:right="93"/>
              <w:jc w:val="center"/>
              <w:rPr>
                <w:rFonts w:ascii="Arial Narrow" w:hAnsi="Arial Narrow"/>
                <w:sz w:val="20"/>
              </w:rPr>
            </w:pPr>
            <w:r w:rsidRPr="009E39F8">
              <w:rPr>
                <w:rFonts w:ascii="Arial Narrow" w:hAnsi="Arial Narrow"/>
                <w:sz w:val="20"/>
              </w:rPr>
              <w:t>$</w:t>
            </w:r>
            <w:r w:rsidR="00FA27CE">
              <w:rPr>
                <w:rFonts w:ascii="Arial Narrow" w:hAnsi="Arial Narrow"/>
                <w:noProof/>
                <w:color w:val="000000"/>
                <w:sz w:val="20"/>
                <w:highlight w:val="black"/>
              </w:rPr>
              <w:t>'''''''''''''''''''''''</w:t>
            </w:r>
          </w:p>
        </w:tc>
        <w:tc>
          <w:tcPr>
            <w:tcW w:w="688" w:type="pct"/>
            <w:shd w:val="clear" w:color="auto" w:fill="auto"/>
            <w:vAlign w:val="bottom"/>
          </w:tcPr>
          <w:p w:rsidR="0052414F" w:rsidRPr="009E39F8" w:rsidRDefault="0052414F" w:rsidP="00B13724">
            <w:pPr>
              <w:keepNext/>
              <w:widowControl/>
              <w:ind w:right="93"/>
              <w:jc w:val="center"/>
              <w:rPr>
                <w:rFonts w:ascii="Arial Narrow" w:hAnsi="Arial Narrow"/>
                <w:sz w:val="20"/>
              </w:rPr>
            </w:pPr>
            <w:r w:rsidRPr="009E39F8">
              <w:rPr>
                <w:rFonts w:ascii="Arial Narrow" w:hAnsi="Arial Narrow"/>
                <w:sz w:val="20"/>
              </w:rPr>
              <w:t>$</w:t>
            </w:r>
            <w:r w:rsidR="00FA27CE">
              <w:rPr>
                <w:rFonts w:ascii="Arial Narrow" w:hAnsi="Arial Narrow"/>
                <w:noProof/>
                <w:color w:val="000000"/>
                <w:sz w:val="20"/>
                <w:highlight w:val="black"/>
              </w:rPr>
              <w:t>''''''''''''''''''''''''</w:t>
            </w:r>
          </w:p>
        </w:tc>
        <w:tc>
          <w:tcPr>
            <w:tcW w:w="689" w:type="pct"/>
            <w:shd w:val="clear" w:color="auto" w:fill="auto"/>
            <w:vAlign w:val="bottom"/>
          </w:tcPr>
          <w:p w:rsidR="0052414F" w:rsidRPr="009E39F8" w:rsidRDefault="0052414F" w:rsidP="00B13724">
            <w:pPr>
              <w:keepNext/>
              <w:widowControl/>
              <w:ind w:right="93"/>
              <w:jc w:val="center"/>
              <w:rPr>
                <w:rFonts w:ascii="Arial Narrow" w:hAnsi="Arial Narrow"/>
                <w:sz w:val="20"/>
              </w:rPr>
            </w:pPr>
            <w:r w:rsidRPr="009E39F8">
              <w:rPr>
                <w:rFonts w:ascii="Arial Narrow" w:hAnsi="Arial Narrow"/>
                <w:sz w:val="20"/>
              </w:rPr>
              <w:t>$</w:t>
            </w:r>
            <w:r w:rsidR="00FA27CE">
              <w:rPr>
                <w:rFonts w:ascii="Arial Narrow" w:hAnsi="Arial Narrow"/>
                <w:noProof/>
                <w:color w:val="000000"/>
                <w:sz w:val="20"/>
                <w:highlight w:val="black"/>
              </w:rPr>
              <w:t>'''''''''''''''''''''''''</w:t>
            </w:r>
          </w:p>
        </w:tc>
        <w:tc>
          <w:tcPr>
            <w:tcW w:w="693" w:type="pct"/>
            <w:shd w:val="clear" w:color="auto" w:fill="auto"/>
            <w:vAlign w:val="bottom"/>
          </w:tcPr>
          <w:p w:rsidR="0052414F" w:rsidRPr="009E39F8" w:rsidRDefault="0052414F" w:rsidP="00B13724">
            <w:pPr>
              <w:keepNext/>
              <w:widowControl/>
              <w:ind w:right="93"/>
              <w:jc w:val="center"/>
              <w:rPr>
                <w:rFonts w:ascii="Arial Narrow" w:hAnsi="Arial Narrow"/>
                <w:sz w:val="20"/>
              </w:rPr>
            </w:pPr>
            <w:r w:rsidRPr="009E39F8">
              <w:rPr>
                <w:rFonts w:ascii="Arial Narrow" w:hAnsi="Arial Narrow"/>
                <w:sz w:val="20"/>
              </w:rPr>
              <w:t>$</w:t>
            </w:r>
            <w:r w:rsidR="00FA27CE">
              <w:rPr>
                <w:rFonts w:ascii="Arial Narrow" w:hAnsi="Arial Narrow"/>
                <w:noProof/>
                <w:color w:val="000000"/>
                <w:sz w:val="20"/>
                <w:highlight w:val="black"/>
              </w:rPr>
              <w:t>'''''''''''''''''''''''</w:t>
            </w:r>
          </w:p>
        </w:tc>
      </w:tr>
    </w:tbl>
    <w:p w:rsidR="00FC00C2" w:rsidRPr="009E39F8" w:rsidRDefault="00FC00C2" w:rsidP="000075D9">
      <w:pPr>
        <w:pStyle w:val="TableFooter"/>
        <w:widowControl/>
        <w:ind w:firstLine="709"/>
        <w:rPr>
          <w:szCs w:val="22"/>
        </w:rPr>
      </w:pPr>
      <w:r w:rsidRPr="009E39F8">
        <w:t>Source: Compiled during the evaluation</w:t>
      </w:r>
    </w:p>
    <w:p w:rsidR="00FC00C2" w:rsidRDefault="00FC00C2" w:rsidP="000075D9">
      <w:pPr>
        <w:widowControl/>
        <w:rPr>
          <w:szCs w:val="22"/>
        </w:rPr>
      </w:pPr>
    </w:p>
    <w:p w:rsidR="007B4D8C" w:rsidRDefault="007B4D8C" w:rsidP="007B4D8C">
      <w:pPr>
        <w:widowControl/>
        <w:ind w:left="709"/>
        <w:rPr>
          <w:szCs w:val="22"/>
        </w:rPr>
      </w:pPr>
      <w:r w:rsidRPr="00F14FFE">
        <w:rPr>
          <w:szCs w:val="22"/>
        </w:rPr>
        <w:t xml:space="preserve">The redacted table </w:t>
      </w:r>
      <w:r>
        <w:rPr>
          <w:szCs w:val="22"/>
        </w:rPr>
        <w:t xml:space="preserve">above </w:t>
      </w:r>
      <w:r w:rsidRPr="00F14FFE">
        <w:rPr>
          <w:szCs w:val="22"/>
        </w:rPr>
        <w:t>shows that at year 5, the estimated number of patients was less than 10,000 per year and the net cost to the PBS would be less than $10 million per year.</w:t>
      </w:r>
    </w:p>
    <w:p w:rsidR="007B4D8C" w:rsidRPr="009E39F8" w:rsidRDefault="007B4D8C" w:rsidP="000075D9">
      <w:pPr>
        <w:widowControl/>
        <w:rPr>
          <w:szCs w:val="22"/>
        </w:rPr>
      </w:pPr>
    </w:p>
    <w:p w:rsidR="00FC00C2" w:rsidRPr="00F14FFE" w:rsidRDefault="00FC00C2" w:rsidP="00E94114">
      <w:pPr>
        <w:pStyle w:val="ListParagraph"/>
        <w:widowControl/>
        <w:numPr>
          <w:ilvl w:val="1"/>
          <w:numId w:val="2"/>
        </w:numPr>
        <w:rPr>
          <w:szCs w:val="22"/>
        </w:rPr>
      </w:pPr>
      <w:r w:rsidRPr="009E39F8">
        <w:t xml:space="preserve">The </w:t>
      </w:r>
      <w:r w:rsidR="00D24424" w:rsidRPr="009E39F8">
        <w:t>submission</w:t>
      </w:r>
      <w:r w:rsidRPr="009E39F8">
        <w:t xml:space="preserve"> </w:t>
      </w:r>
      <w:r w:rsidR="001454B0">
        <w:t>did</w:t>
      </w:r>
      <w:r w:rsidR="001454B0" w:rsidRPr="009E39F8">
        <w:t xml:space="preserve"> </w:t>
      </w:r>
      <w:r w:rsidRPr="009E39F8">
        <w:t>not provide sensitivity analys</w:t>
      </w:r>
      <w:r w:rsidR="00EC5258" w:rsidRPr="009E39F8">
        <w:t>e</w:t>
      </w:r>
      <w:r w:rsidRPr="009E39F8">
        <w:t>s</w:t>
      </w:r>
      <w:r w:rsidR="00EC5258" w:rsidRPr="009E39F8">
        <w:t xml:space="preserve"> </w:t>
      </w:r>
      <w:r w:rsidR="001454B0">
        <w:t>for</w:t>
      </w:r>
      <w:r w:rsidR="00EC5258" w:rsidRPr="009E39F8">
        <w:t xml:space="preserve"> the financial estimates</w:t>
      </w:r>
      <w:r w:rsidRPr="009E39F8">
        <w:t xml:space="preserve">. The DUSC has </w:t>
      </w:r>
      <w:r w:rsidR="001454B0">
        <w:t xml:space="preserve">previously </w:t>
      </w:r>
      <w:r w:rsidRPr="009E39F8">
        <w:t xml:space="preserve">noted ‘the risk of a higher than predicted average utilisation per patient’ and raised a number of concerns regarding the current use of icatibant, such as use for treatment of mild attacks, a higher number of injections per attack, and the issues of patients stockpiling and possible wastage (June 2015 DUSC Meeting </w:t>
      </w:r>
      <w:r w:rsidRPr="009E39F8">
        <w:lastRenderedPageBreak/>
        <w:t xml:space="preserve">Public Release Document). Thus, predicting service use on the basis of current utilisation might be inappropriate where current use may not fully represent the intended PBS listing or </w:t>
      </w:r>
      <w:r w:rsidR="008C0153">
        <w:t>cost effective</w:t>
      </w:r>
      <w:r w:rsidRPr="009E39F8">
        <w:t xml:space="preserve"> use of icatibant. </w:t>
      </w:r>
      <w:r w:rsidR="00690EE0" w:rsidRPr="009E39F8">
        <w:t>Based on</w:t>
      </w:r>
      <w:r w:rsidRPr="009E39F8">
        <w:t xml:space="preserve"> prevalence </w:t>
      </w:r>
      <w:r w:rsidR="00690EE0" w:rsidRPr="009E39F8">
        <w:t>of</w:t>
      </w:r>
      <w:r w:rsidRPr="009E39F8">
        <w:t xml:space="preserve"> 1:130,000 indicated in the DUSC report and Australian population provided in the </w:t>
      </w:r>
      <w:r w:rsidR="00D24424" w:rsidRPr="009E39F8">
        <w:t>submission</w:t>
      </w:r>
      <w:r w:rsidRPr="009E39F8">
        <w:t xml:space="preserve"> (p.136 of the </w:t>
      </w:r>
      <w:r w:rsidR="00D24424" w:rsidRPr="009E39F8">
        <w:t>submission</w:t>
      </w:r>
      <w:r w:rsidRPr="009E39F8">
        <w:t>), the number of patient in Y</w:t>
      </w:r>
      <w:r w:rsidR="001454B0">
        <w:t xml:space="preserve">ear </w:t>
      </w:r>
      <w:r w:rsidRPr="009E39F8">
        <w:t xml:space="preserve">5 is expected to be </w:t>
      </w:r>
      <w:r w:rsidR="00FA27CE">
        <w:rPr>
          <w:noProof/>
          <w:color w:val="000000"/>
          <w:highlight w:val="black"/>
        </w:rPr>
        <w:t>'''''''''</w:t>
      </w:r>
      <w:r w:rsidR="001454B0">
        <w:t>.</w:t>
      </w:r>
    </w:p>
    <w:p w:rsidR="00FC00C2" w:rsidRPr="009E39F8" w:rsidRDefault="00FC00C2" w:rsidP="000075D9">
      <w:pPr>
        <w:widowControl/>
        <w:rPr>
          <w:szCs w:val="22"/>
        </w:rPr>
      </w:pPr>
    </w:p>
    <w:p w:rsidR="00FC00C2" w:rsidRPr="009E39F8" w:rsidRDefault="00FC00C2" w:rsidP="00B13724">
      <w:pPr>
        <w:pStyle w:val="Heading2"/>
      </w:pPr>
      <w:bookmarkStart w:id="31" w:name="_Toc458775811"/>
      <w:bookmarkStart w:id="32" w:name="_Toc461627658"/>
      <w:r w:rsidRPr="009E39F8">
        <w:t>Quality Use of Medicines</w:t>
      </w:r>
      <w:bookmarkEnd w:id="31"/>
      <w:bookmarkEnd w:id="32"/>
    </w:p>
    <w:p w:rsidR="00281D53" w:rsidRPr="009E39F8" w:rsidRDefault="00281D53" w:rsidP="000075D9">
      <w:pPr>
        <w:keepNext/>
        <w:widowControl/>
      </w:pPr>
    </w:p>
    <w:p w:rsidR="006754F8" w:rsidRPr="006754F8" w:rsidRDefault="00FC00C2" w:rsidP="00FD7504">
      <w:pPr>
        <w:pStyle w:val="ListParagraph"/>
        <w:widowControl/>
        <w:numPr>
          <w:ilvl w:val="1"/>
          <w:numId w:val="2"/>
        </w:numPr>
        <w:rPr>
          <w:lang w:eastAsia="zh-CN"/>
        </w:rPr>
      </w:pPr>
      <w:r w:rsidRPr="009E39F8">
        <w:rPr>
          <w:lang w:eastAsia="zh-CN"/>
        </w:rPr>
        <w:t xml:space="preserve">The </w:t>
      </w:r>
      <w:r w:rsidR="006754F8">
        <w:rPr>
          <w:lang w:eastAsia="zh-CN"/>
        </w:rPr>
        <w:t xml:space="preserve">submission noted that, according to the </w:t>
      </w:r>
      <w:r w:rsidR="006754F8" w:rsidRPr="006754F8">
        <w:rPr>
          <w:szCs w:val="22"/>
          <w:lang w:eastAsia="zh-CN"/>
        </w:rPr>
        <w:t xml:space="preserve">DUSC data, </w:t>
      </w:r>
      <w:r w:rsidR="006754F8" w:rsidRPr="006754F8">
        <w:rPr>
          <w:rFonts w:eastAsia="Times New Roman"/>
          <w:szCs w:val="22"/>
          <w:lang w:eastAsia="en-AU"/>
        </w:rPr>
        <w:t xml:space="preserve">that the top </w:t>
      </w:r>
      <w:r w:rsidR="00FA27CE">
        <w:rPr>
          <w:rFonts w:eastAsia="Times New Roman"/>
          <w:noProof/>
          <w:color w:val="000000"/>
          <w:szCs w:val="22"/>
          <w:highlight w:val="black"/>
          <w:lang w:eastAsia="en-AU"/>
        </w:rPr>
        <w:t>''''</w:t>
      </w:r>
      <w:r w:rsidR="006754F8" w:rsidRPr="006754F8">
        <w:rPr>
          <w:rFonts w:eastAsia="Times New Roman"/>
          <w:szCs w:val="22"/>
          <w:lang w:eastAsia="en-AU"/>
        </w:rPr>
        <w:t xml:space="preserve">% of icatibant prescriptions (in terms of volume of injections accessible to the patient on the prescription, incorporating quantity dispensed and number of repeats) are responsible for </w:t>
      </w:r>
      <w:r w:rsidR="00FA27CE">
        <w:rPr>
          <w:rFonts w:eastAsia="Times New Roman"/>
          <w:noProof/>
          <w:color w:val="000000"/>
          <w:szCs w:val="22"/>
          <w:highlight w:val="black"/>
          <w:lang w:eastAsia="en-AU"/>
        </w:rPr>
        <w:t>''''''</w:t>
      </w:r>
      <w:r w:rsidR="006754F8" w:rsidRPr="006754F8">
        <w:rPr>
          <w:rFonts w:eastAsia="Times New Roman"/>
          <w:szCs w:val="22"/>
          <w:lang w:eastAsia="en-AU"/>
        </w:rPr>
        <w:t>% of the use of icatibant.</w:t>
      </w:r>
      <w:r w:rsidR="006754F8" w:rsidRPr="00C91025">
        <w:rPr>
          <w:rFonts w:eastAsia="Times New Roman"/>
          <w:sz w:val="20"/>
          <w:lang w:eastAsia="en-AU"/>
        </w:rPr>
        <w:t xml:space="preserve"> </w:t>
      </w:r>
      <w:r w:rsidR="006754F8">
        <w:rPr>
          <w:lang w:eastAsia="zh-CN"/>
        </w:rPr>
        <w:t xml:space="preserve"> The submission stated that “t</w:t>
      </w:r>
      <w:r w:rsidR="006754F8" w:rsidRPr="006754F8">
        <w:rPr>
          <w:lang w:eastAsia="zh-CN"/>
        </w:rPr>
        <w:t>o ensure the quality use of icatibant, this submission proposes that the number of injections made available to patients with any given prescription be limited to 12 injections</w:t>
      </w:r>
      <w:r w:rsidR="006754F8">
        <w:rPr>
          <w:lang w:eastAsia="zh-CN"/>
        </w:rPr>
        <w:t>”</w:t>
      </w:r>
      <w:r w:rsidR="006754F8" w:rsidRPr="006754F8">
        <w:rPr>
          <w:lang w:eastAsia="zh-CN"/>
        </w:rPr>
        <w:t xml:space="preserve">. </w:t>
      </w:r>
      <w:r w:rsidR="00FD7504">
        <w:rPr>
          <w:lang w:eastAsia="zh-CN"/>
        </w:rPr>
        <w:t xml:space="preserve"> The pre-PBAC response noted that limiting any request for increased authority to 12 syringes per request would encourage clinician review for patients experiencing a very high frequency of attacks.</w:t>
      </w:r>
    </w:p>
    <w:p w:rsidR="00FC00C2" w:rsidRPr="009E39F8" w:rsidRDefault="00FC00C2" w:rsidP="000075D9">
      <w:pPr>
        <w:widowControl/>
        <w:rPr>
          <w:szCs w:val="22"/>
        </w:rPr>
      </w:pPr>
    </w:p>
    <w:p w:rsidR="00FC00C2" w:rsidRPr="009E39F8" w:rsidRDefault="00FC00C2" w:rsidP="00B13724">
      <w:pPr>
        <w:pStyle w:val="Heading2"/>
      </w:pPr>
      <w:bookmarkStart w:id="33" w:name="_Toc458775812"/>
      <w:bookmarkStart w:id="34" w:name="_Toc461627659"/>
      <w:r w:rsidRPr="009E39F8">
        <w:t>Financial Management – Risk Sharing Arrangements</w:t>
      </w:r>
      <w:bookmarkEnd w:id="33"/>
      <w:bookmarkEnd w:id="34"/>
    </w:p>
    <w:p w:rsidR="00281D53" w:rsidRPr="009E39F8" w:rsidRDefault="00281D53" w:rsidP="000075D9">
      <w:pPr>
        <w:widowControl/>
      </w:pPr>
    </w:p>
    <w:p w:rsidR="00576972" w:rsidRPr="00D5620F" w:rsidRDefault="00FC00C2" w:rsidP="00E94114">
      <w:pPr>
        <w:pStyle w:val="ListParagraph"/>
        <w:widowControl/>
        <w:numPr>
          <w:ilvl w:val="1"/>
          <w:numId w:val="2"/>
        </w:numPr>
        <w:rPr>
          <w:szCs w:val="22"/>
        </w:rPr>
      </w:pPr>
      <w:r w:rsidRPr="009E39F8">
        <w:rPr>
          <w:lang w:eastAsia="zh-CN"/>
        </w:rPr>
        <w:t xml:space="preserve">The sponsor requested </w:t>
      </w:r>
      <w:r w:rsidR="00AE21B0" w:rsidRPr="009E39F8">
        <w:rPr>
          <w:lang w:eastAsia="zh-CN"/>
        </w:rPr>
        <w:t xml:space="preserve">a </w:t>
      </w:r>
      <w:r w:rsidRPr="009E39F8">
        <w:rPr>
          <w:lang w:eastAsia="zh-CN"/>
        </w:rPr>
        <w:t>re-negotiat</w:t>
      </w:r>
      <w:r w:rsidR="00AE21B0" w:rsidRPr="009E39F8">
        <w:rPr>
          <w:lang w:eastAsia="zh-CN"/>
        </w:rPr>
        <w:t>ion of</w:t>
      </w:r>
      <w:r w:rsidRPr="009E39F8">
        <w:rPr>
          <w:lang w:eastAsia="zh-CN"/>
        </w:rPr>
        <w:t xml:space="preserve"> the current Risk Sharing Arrangement to align with the DUSC utilisation data, the updated treatment algorithm, and the updated economic evaluation. The proposed </w:t>
      </w:r>
      <w:r w:rsidR="001454B0">
        <w:rPr>
          <w:lang w:eastAsia="zh-CN"/>
        </w:rPr>
        <w:t xml:space="preserve">financial </w:t>
      </w:r>
      <w:r w:rsidRPr="009E39F8">
        <w:rPr>
          <w:lang w:eastAsia="zh-CN"/>
        </w:rPr>
        <w:t xml:space="preserve">cap is based on the estimates in Section E of the current </w:t>
      </w:r>
      <w:r w:rsidR="00D24424" w:rsidRPr="009E39F8">
        <w:rPr>
          <w:lang w:eastAsia="zh-CN"/>
        </w:rPr>
        <w:t>submission</w:t>
      </w:r>
      <w:r w:rsidRPr="009E39F8">
        <w:rPr>
          <w:lang w:eastAsia="zh-CN"/>
        </w:rPr>
        <w:t xml:space="preserve"> and is higher than the current cap.</w:t>
      </w:r>
      <w:r w:rsidR="00D16204">
        <w:rPr>
          <w:lang w:eastAsia="zh-CN"/>
        </w:rPr>
        <w:t xml:space="preserve"> </w:t>
      </w:r>
    </w:p>
    <w:p w:rsidR="00D5620F" w:rsidRDefault="00D5620F" w:rsidP="00D53534"/>
    <w:p w:rsidR="001502E6" w:rsidRPr="005237A3" w:rsidRDefault="001502E6" w:rsidP="00D53534">
      <w:pPr>
        <w:ind w:left="720"/>
        <w:contextualSpacing/>
      </w:pPr>
      <w:r w:rsidRPr="005237A3">
        <w:rPr>
          <w:i/>
        </w:rPr>
        <w:t>For more detail on PBAC’s view, see section 7 “PBAC outcome”</w:t>
      </w:r>
    </w:p>
    <w:p w:rsidR="001502E6" w:rsidRPr="005237A3" w:rsidRDefault="001502E6" w:rsidP="00D53534">
      <w:pPr>
        <w:ind w:left="720"/>
        <w:contextualSpacing/>
      </w:pPr>
    </w:p>
    <w:p w:rsidR="00484880" w:rsidRPr="005237A3" w:rsidRDefault="00484880" w:rsidP="00D53534">
      <w:pPr>
        <w:ind w:left="720"/>
        <w:contextualSpacing/>
      </w:pPr>
    </w:p>
    <w:p w:rsidR="00E94114" w:rsidRPr="005237A3" w:rsidRDefault="00E94114" w:rsidP="00D53534">
      <w:pPr>
        <w:pStyle w:val="PBACheading1"/>
        <w:keepNext/>
        <w:rPr>
          <w:b/>
          <w:bCs/>
        </w:rPr>
      </w:pPr>
      <w:r w:rsidRPr="005237A3">
        <w:rPr>
          <w:b/>
          <w:bCs/>
        </w:rPr>
        <w:t>PBAC Outcome</w:t>
      </w:r>
    </w:p>
    <w:p w:rsidR="00E94114" w:rsidRPr="005237A3" w:rsidRDefault="00E94114" w:rsidP="00E94114">
      <w:pPr>
        <w:contextualSpacing/>
        <w:rPr>
          <w:b/>
          <w:bCs/>
          <w:szCs w:val="22"/>
          <w:lang w:val="en-GB"/>
        </w:rPr>
      </w:pPr>
    </w:p>
    <w:p w:rsidR="00F55B48" w:rsidRPr="005237A3" w:rsidRDefault="0062790A" w:rsidP="00042C7F">
      <w:pPr>
        <w:numPr>
          <w:ilvl w:val="1"/>
          <w:numId w:val="2"/>
        </w:numPr>
        <w:contextualSpacing/>
        <w:rPr>
          <w:bCs/>
          <w:szCs w:val="22"/>
          <w:lang w:val="en-GB"/>
        </w:rPr>
      </w:pPr>
      <w:r w:rsidRPr="005237A3">
        <w:rPr>
          <w:bCs/>
          <w:szCs w:val="22"/>
          <w:lang w:val="en-GB"/>
        </w:rPr>
        <w:t>The PBAC considered that the revised economic evaluation did not adequately support the submis</w:t>
      </w:r>
      <w:r w:rsidR="00C13983" w:rsidRPr="005237A3">
        <w:rPr>
          <w:bCs/>
          <w:szCs w:val="22"/>
          <w:lang w:val="en-GB"/>
        </w:rPr>
        <w:t>s</w:t>
      </w:r>
      <w:r w:rsidRPr="005237A3">
        <w:rPr>
          <w:bCs/>
          <w:szCs w:val="22"/>
          <w:lang w:val="en-GB"/>
        </w:rPr>
        <w:t>ion’s claim that the additional use of icatibant reported by DUSC was cost effective</w:t>
      </w:r>
      <w:r w:rsidR="00E94114" w:rsidRPr="005237A3">
        <w:rPr>
          <w:bCs/>
          <w:szCs w:val="22"/>
          <w:lang w:val="en-GB"/>
        </w:rPr>
        <w:t xml:space="preserve">. </w:t>
      </w:r>
      <w:r w:rsidR="0005449D">
        <w:rPr>
          <w:bCs/>
          <w:szCs w:val="22"/>
          <w:lang w:val="en-GB"/>
        </w:rPr>
        <w:t>Therefore the C</w:t>
      </w:r>
      <w:r w:rsidR="00C13983" w:rsidRPr="005237A3">
        <w:rPr>
          <w:bCs/>
          <w:szCs w:val="22"/>
          <w:lang w:val="en-GB"/>
        </w:rPr>
        <w:t>ommittee recommended</w:t>
      </w:r>
      <w:r w:rsidR="00042C7F" w:rsidRPr="005237A3">
        <w:rPr>
          <w:bCs/>
          <w:szCs w:val="22"/>
          <w:lang w:val="en-GB"/>
        </w:rPr>
        <w:t xml:space="preserve"> that the</w:t>
      </w:r>
      <w:r w:rsidR="00484880" w:rsidRPr="005237A3">
        <w:rPr>
          <w:bCs/>
          <w:szCs w:val="22"/>
          <w:lang w:val="en-GB"/>
        </w:rPr>
        <w:t>ir</w:t>
      </w:r>
      <w:r w:rsidR="00042C7F" w:rsidRPr="005237A3">
        <w:rPr>
          <w:bCs/>
          <w:szCs w:val="22"/>
          <w:lang w:val="en-GB"/>
        </w:rPr>
        <w:t xml:space="preserve"> previous </w:t>
      </w:r>
      <w:r w:rsidR="00484880" w:rsidRPr="005237A3">
        <w:rPr>
          <w:bCs/>
          <w:szCs w:val="22"/>
          <w:lang w:val="en-GB"/>
        </w:rPr>
        <w:t>advice on icatibant</w:t>
      </w:r>
      <w:r w:rsidR="00042C7F" w:rsidRPr="005237A3">
        <w:rPr>
          <w:bCs/>
          <w:szCs w:val="22"/>
          <w:lang w:val="en-GB"/>
        </w:rPr>
        <w:t xml:space="preserve"> remained unchanged</w:t>
      </w:r>
      <w:r w:rsidR="00AB18D8" w:rsidRPr="005237A3">
        <w:rPr>
          <w:bCs/>
          <w:szCs w:val="22"/>
          <w:lang w:val="en-GB"/>
        </w:rPr>
        <w:t xml:space="preserve">. </w:t>
      </w:r>
    </w:p>
    <w:p w:rsidR="00E94114" w:rsidRPr="005237A3" w:rsidRDefault="00E94114" w:rsidP="00E94114">
      <w:pPr>
        <w:ind w:left="720"/>
        <w:contextualSpacing/>
        <w:rPr>
          <w:bCs/>
          <w:szCs w:val="22"/>
          <w:lang w:val="en-GB"/>
        </w:rPr>
      </w:pPr>
    </w:p>
    <w:p w:rsidR="005237A3" w:rsidRDefault="005237A3" w:rsidP="00E94114">
      <w:pPr>
        <w:numPr>
          <w:ilvl w:val="1"/>
          <w:numId w:val="2"/>
        </w:numPr>
        <w:contextualSpacing/>
        <w:rPr>
          <w:bCs/>
          <w:szCs w:val="22"/>
          <w:lang w:val="en-GB"/>
        </w:rPr>
      </w:pPr>
      <w:r>
        <w:rPr>
          <w:bCs/>
          <w:szCs w:val="22"/>
          <w:lang w:val="en-GB"/>
        </w:rPr>
        <w:t xml:space="preserve">The PBAC agreed that </w:t>
      </w:r>
      <w:r w:rsidRPr="005237A3">
        <w:rPr>
          <w:bCs/>
          <w:szCs w:val="22"/>
        </w:rPr>
        <w:t>placebo as proxy for best supportive care, with delayed use of C1-INH concentrate if required</w:t>
      </w:r>
      <w:r>
        <w:rPr>
          <w:bCs/>
          <w:szCs w:val="22"/>
        </w:rPr>
        <w:t xml:space="preserve"> remained the appropriate comparator.</w:t>
      </w:r>
    </w:p>
    <w:p w:rsidR="005237A3" w:rsidRDefault="005237A3" w:rsidP="005237A3">
      <w:pPr>
        <w:pStyle w:val="ListParagraph"/>
        <w:rPr>
          <w:bCs/>
          <w:szCs w:val="22"/>
          <w:lang w:val="en-GB"/>
        </w:rPr>
      </w:pPr>
    </w:p>
    <w:p w:rsidR="00E94114" w:rsidRPr="0062790A" w:rsidRDefault="0062790A" w:rsidP="001454B0">
      <w:pPr>
        <w:numPr>
          <w:ilvl w:val="1"/>
          <w:numId w:val="2"/>
        </w:numPr>
        <w:contextualSpacing/>
        <w:rPr>
          <w:bCs/>
          <w:szCs w:val="22"/>
          <w:lang w:val="en-GB"/>
        </w:rPr>
      </w:pPr>
      <w:r w:rsidRPr="005237A3">
        <w:rPr>
          <w:bCs/>
          <w:szCs w:val="22"/>
          <w:lang w:val="en-GB"/>
        </w:rPr>
        <w:t>The PBAC recalled that they had previously</w:t>
      </w:r>
      <w:r w:rsidRPr="0062790A">
        <w:rPr>
          <w:bCs/>
          <w:szCs w:val="22"/>
          <w:lang w:val="en-GB"/>
        </w:rPr>
        <w:t xml:space="preserve"> accepted that on the basis of the clinical trials, icatibant was superior in terms of efficacy over placebo (July 2011). At that time, the PBAC ha</w:t>
      </w:r>
      <w:r w:rsidR="005237A3">
        <w:rPr>
          <w:bCs/>
          <w:szCs w:val="22"/>
          <w:lang w:val="en-GB"/>
        </w:rPr>
        <w:t>d</w:t>
      </w:r>
      <w:r w:rsidRPr="0062790A">
        <w:rPr>
          <w:bCs/>
          <w:szCs w:val="22"/>
          <w:lang w:val="en-GB"/>
        </w:rPr>
        <w:t xml:space="preserve"> considered that the applicability of the trial results to the requested PBS population remained uncertain for the following reasons:</w:t>
      </w:r>
    </w:p>
    <w:p w:rsidR="0062790A" w:rsidRDefault="0062790A" w:rsidP="00F14FFE">
      <w:pPr>
        <w:pStyle w:val="ListParagraph"/>
        <w:widowControl/>
        <w:numPr>
          <w:ilvl w:val="0"/>
          <w:numId w:val="25"/>
        </w:numPr>
      </w:pPr>
      <w:r>
        <w:t>The reported treatment effect appears to be heavily influenced by cutaneous symptoms, which are not intended to be treated in the PBS population;</w:t>
      </w:r>
    </w:p>
    <w:p w:rsidR="0062790A" w:rsidRDefault="0062790A" w:rsidP="00F14FFE">
      <w:pPr>
        <w:pStyle w:val="ListParagraph"/>
        <w:widowControl/>
        <w:numPr>
          <w:ilvl w:val="0"/>
          <w:numId w:val="25"/>
        </w:numPr>
      </w:pPr>
      <w:r>
        <w:t>No treatment effect among laryngeal attacks can be estimated as there are insufficient data as only 5 patients with laryngeal attacks were randomised to either placebo or icatibant;</w:t>
      </w:r>
    </w:p>
    <w:p w:rsidR="0062790A" w:rsidRDefault="0062790A" w:rsidP="00F14FFE">
      <w:pPr>
        <w:pStyle w:val="ListParagraph"/>
        <w:widowControl/>
        <w:numPr>
          <w:ilvl w:val="0"/>
          <w:numId w:val="25"/>
        </w:numPr>
      </w:pPr>
      <w:r>
        <w:t>Difficulty in estimating the treatment effect for self-administered icatibant, which will allow patients to treat an attack at an earlier stage than in the hospital setting. It is unclear whether earlier treatment will change clinical outcomes;</w:t>
      </w:r>
    </w:p>
    <w:p w:rsidR="0062790A" w:rsidRDefault="0062790A" w:rsidP="00F14FFE">
      <w:pPr>
        <w:pStyle w:val="ListParagraph"/>
        <w:widowControl/>
        <w:numPr>
          <w:ilvl w:val="0"/>
          <w:numId w:val="25"/>
        </w:numPr>
      </w:pPr>
      <w:r>
        <w:lastRenderedPageBreak/>
        <w:t>No evidence that treatment with icatibant reduces the intensity or severity of a HAE attack.</w:t>
      </w:r>
    </w:p>
    <w:p w:rsidR="0062790A" w:rsidRDefault="00030465" w:rsidP="001454B0">
      <w:pPr>
        <w:widowControl/>
        <w:ind w:left="709"/>
      </w:pPr>
      <w:r>
        <w:t>Subsequent submissions (including the current</w:t>
      </w:r>
      <w:r w:rsidR="0062790A">
        <w:t xml:space="preserve"> submission</w:t>
      </w:r>
      <w:r>
        <w:t xml:space="preserve">) have </w:t>
      </w:r>
      <w:r w:rsidR="0062790A">
        <w:t>not resolve</w:t>
      </w:r>
      <w:r>
        <w:t>d</w:t>
      </w:r>
      <w:r w:rsidR="0062790A">
        <w:t xml:space="preserve"> these issues.</w:t>
      </w:r>
    </w:p>
    <w:p w:rsidR="00E94114" w:rsidRPr="003C3927" w:rsidRDefault="00E94114" w:rsidP="0062790A">
      <w:pPr>
        <w:contextualSpacing/>
        <w:rPr>
          <w:bCs/>
          <w:szCs w:val="22"/>
          <w:highlight w:val="yellow"/>
          <w:lang w:val="en-GB"/>
        </w:rPr>
      </w:pPr>
    </w:p>
    <w:p w:rsidR="00E94114" w:rsidRPr="008C0153" w:rsidRDefault="006C5D13" w:rsidP="00E94114">
      <w:pPr>
        <w:numPr>
          <w:ilvl w:val="1"/>
          <w:numId w:val="2"/>
        </w:numPr>
        <w:contextualSpacing/>
        <w:rPr>
          <w:bCs/>
          <w:szCs w:val="22"/>
          <w:lang w:val="en-GB"/>
        </w:rPr>
      </w:pPr>
      <w:r>
        <w:rPr>
          <w:bCs/>
          <w:szCs w:val="22"/>
          <w:lang w:val="en-GB"/>
        </w:rPr>
        <w:t xml:space="preserve">The PBAC noted that with both the previous and current model the cost/QALY gained increased as the number of attacks treated per year increased. In the previous submissions it was assumed that 3.25 attacks per year would be treated. This increased to 5.49-6.33 </w:t>
      </w:r>
      <w:r w:rsidR="00F959FE">
        <w:rPr>
          <w:bCs/>
          <w:szCs w:val="22"/>
          <w:lang w:val="en-GB"/>
        </w:rPr>
        <w:t xml:space="preserve">attacks per year </w:t>
      </w:r>
      <w:r>
        <w:rPr>
          <w:bCs/>
          <w:szCs w:val="22"/>
          <w:lang w:val="en-GB"/>
        </w:rPr>
        <w:t xml:space="preserve">in the current submission and hence the cost/QALY gained would be expected to increase. However, the cost/QALY gained was similar to that in the previous submissions and this was because the current model included additional benefits not previously considered. Specifically, </w:t>
      </w:r>
      <w:r w:rsidR="00F959FE">
        <w:rPr>
          <w:bCs/>
          <w:szCs w:val="22"/>
          <w:lang w:val="en-GB"/>
        </w:rPr>
        <w:t xml:space="preserve">(i) </w:t>
      </w:r>
      <w:r>
        <w:rPr>
          <w:bCs/>
          <w:szCs w:val="22"/>
          <w:lang w:val="en-GB"/>
        </w:rPr>
        <w:t>the QALYs gained with icatibant treatment increased due to incorporating benefits, both during and between attacks, associated with reduced attack severity</w:t>
      </w:r>
      <w:r w:rsidR="00F959FE">
        <w:rPr>
          <w:bCs/>
          <w:szCs w:val="22"/>
          <w:lang w:val="en-GB"/>
        </w:rPr>
        <w:t xml:space="preserve"> in the icatibant arm;</w:t>
      </w:r>
      <w:r>
        <w:rPr>
          <w:bCs/>
          <w:szCs w:val="22"/>
          <w:lang w:val="en-GB"/>
        </w:rPr>
        <w:t xml:space="preserve"> and </w:t>
      </w:r>
      <w:r w:rsidR="00F959FE">
        <w:rPr>
          <w:bCs/>
          <w:szCs w:val="22"/>
          <w:lang w:val="en-GB"/>
        </w:rPr>
        <w:t xml:space="preserve">(ii) </w:t>
      </w:r>
      <w:r>
        <w:rPr>
          <w:bCs/>
          <w:szCs w:val="22"/>
          <w:lang w:val="en-GB"/>
        </w:rPr>
        <w:t xml:space="preserve">the cost offsets increased due </w:t>
      </w:r>
      <w:r w:rsidR="00F959FE">
        <w:rPr>
          <w:bCs/>
          <w:szCs w:val="22"/>
          <w:lang w:val="en-GB"/>
        </w:rPr>
        <w:t xml:space="preserve">to </w:t>
      </w:r>
      <w:r>
        <w:rPr>
          <w:bCs/>
          <w:szCs w:val="22"/>
          <w:lang w:val="en-GB"/>
        </w:rPr>
        <w:t xml:space="preserve">increased use of C1-INH in the best supportive care arm. The PBAC did not consider the </w:t>
      </w:r>
      <w:r w:rsidR="00FF7F14">
        <w:rPr>
          <w:bCs/>
          <w:szCs w:val="22"/>
          <w:lang w:val="en-GB"/>
        </w:rPr>
        <w:t xml:space="preserve">changes made to the model to be adequately supported. </w:t>
      </w:r>
      <w:r w:rsidR="00835CA4" w:rsidRPr="008C0153">
        <w:rPr>
          <w:bCs/>
          <w:szCs w:val="22"/>
          <w:lang w:val="en-GB"/>
        </w:rPr>
        <w:t xml:space="preserve">Overall, the PBAC considered that the revised model increased uncertainty around the </w:t>
      </w:r>
      <w:r w:rsidR="008C0153">
        <w:rPr>
          <w:bCs/>
          <w:szCs w:val="22"/>
          <w:lang w:val="en-GB"/>
        </w:rPr>
        <w:t>cost effective</w:t>
      </w:r>
      <w:r w:rsidR="00835CA4" w:rsidRPr="008C0153">
        <w:rPr>
          <w:bCs/>
          <w:szCs w:val="22"/>
          <w:lang w:val="en-GB"/>
        </w:rPr>
        <w:t xml:space="preserve">ness estimate, compared to the previous model. </w:t>
      </w:r>
    </w:p>
    <w:p w:rsidR="00E94114" w:rsidRPr="00FF7F14" w:rsidRDefault="00E94114" w:rsidP="00E94114">
      <w:pPr>
        <w:ind w:left="720"/>
        <w:contextualSpacing/>
        <w:rPr>
          <w:bCs/>
          <w:szCs w:val="22"/>
          <w:lang w:val="en-GB"/>
        </w:rPr>
      </w:pPr>
    </w:p>
    <w:p w:rsidR="00FF7F14" w:rsidRPr="00FF7F14" w:rsidRDefault="00FF7F14" w:rsidP="00FF7F14">
      <w:pPr>
        <w:numPr>
          <w:ilvl w:val="1"/>
          <w:numId w:val="2"/>
        </w:numPr>
        <w:contextualSpacing/>
        <w:rPr>
          <w:bCs/>
          <w:szCs w:val="22"/>
          <w:lang w:val="en-GB"/>
        </w:rPr>
      </w:pPr>
      <w:r w:rsidRPr="00FF7F14">
        <w:rPr>
          <w:bCs/>
          <w:szCs w:val="22"/>
          <w:lang w:val="en-GB"/>
        </w:rPr>
        <w:t xml:space="preserve">The PBAC noted </w:t>
      </w:r>
      <w:r>
        <w:rPr>
          <w:bCs/>
          <w:szCs w:val="22"/>
          <w:lang w:val="en-GB"/>
        </w:rPr>
        <w:t xml:space="preserve">using the model from the previous submissions and DUSC’s estimate of the number of attacks treated per year (4.1) results in a cost/QALY gained of </w:t>
      </w:r>
      <w:r w:rsidR="00F14FFE">
        <w:rPr>
          <w:bCs/>
          <w:szCs w:val="22"/>
          <w:lang w:val="en-GB"/>
        </w:rPr>
        <w:t>$75,000 - $105,000</w:t>
      </w:r>
      <w:r>
        <w:rPr>
          <w:bCs/>
          <w:szCs w:val="22"/>
          <w:lang w:val="en-GB"/>
        </w:rPr>
        <w:t>. The PBAC considered this to be acceptable only if the financial risk continued to be managed with a Risk Share Arrangement.</w:t>
      </w:r>
    </w:p>
    <w:p w:rsidR="00FF7F14" w:rsidRPr="00FF7F14" w:rsidRDefault="00FF7F14" w:rsidP="00E94114">
      <w:pPr>
        <w:ind w:left="720"/>
        <w:contextualSpacing/>
        <w:rPr>
          <w:bCs/>
          <w:szCs w:val="22"/>
          <w:lang w:val="en-GB"/>
        </w:rPr>
      </w:pPr>
    </w:p>
    <w:p w:rsidR="009865E9" w:rsidRDefault="00042C7F" w:rsidP="009865E9">
      <w:pPr>
        <w:numPr>
          <w:ilvl w:val="1"/>
          <w:numId w:val="2"/>
        </w:numPr>
        <w:contextualSpacing/>
        <w:rPr>
          <w:bCs/>
          <w:szCs w:val="22"/>
          <w:lang w:val="en-GB"/>
        </w:rPr>
      </w:pPr>
      <w:r w:rsidRPr="008C0153">
        <w:rPr>
          <w:bCs/>
          <w:szCs w:val="22"/>
          <w:lang w:val="en-GB"/>
        </w:rPr>
        <w:t xml:space="preserve">The </w:t>
      </w:r>
      <w:r w:rsidR="00835CA4" w:rsidRPr="008C0153">
        <w:rPr>
          <w:bCs/>
          <w:szCs w:val="22"/>
          <w:lang w:val="en-GB"/>
        </w:rPr>
        <w:t xml:space="preserve">PBAC noted that the </w:t>
      </w:r>
      <w:r w:rsidRPr="008C0153">
        <w:rPr>
          <w:bCs/>
          <w:szCs w:val="22"/>
          <w:lang w:val="en-GB"/>
        </w:rPr>
        <w:t>submission assum</w:t>
      </w:r>
      <w:r w:rsidR="00835CA4" w:rsidRPr="008C0153">
        <w:rPr>
          <w:bCs/>
          <w:szCs w:val="22"/>
          <w:lang w:val="en-GB"/>
        </w:rPr>
        <w:t xml:space="preserve">ed that all additional use </w:t>
      </w:r>
      <w:r w:rsidR="00C34582" w:rsidRPr="008C0153">
        <w:rPr>
          <w:bCs/>
          <w:szCs w:val="22"/>
          <w:lang w:val="en-GB"/>
        </w:rPr>
        <w:t xml:space="preserve">reported by DUSC was </w:t>
      </w:r>
      <w:r w:rsidRPr="008C0153">
        <w:rPr>
          <w:bCs/>
          <w:szCs w:val="22"/>
          <w:lang w:val="en-GB"/>
        </w:rPr>
        <w:t xml:space="preserve">‘appropriate’ </w:t>
      </w:r>
      <w:r w:rsidR="00C34582" w:rsidRPr="008C0153">
        <w:rPr>
          <w:bCs/>
          <w:szCs w:val="22"/>
          <w:lang w:val="en-GB"/>
        </w:rPr>
        <w:t xml:space="preserve">use, and considered that this assumption </w:t>
      </w:r>
      <w:r w:rsidRPr="008C0153">
        <w:rPr>
          <w:bCs/>
          <w:szCs w:val="22"/>
          <w:lang w:val="en-GB"/>
        </w:rPr>
        <w:t xml:space="preserve">was not </w:t>
      </w:r>
      <w:r w:rsidR="00835CA4" w:rsidRPr="008C0153">
        <w:rPr>
          <w:bCs/>
          <w:szCs w:val="22"/>
          <w:lang w:val="en-GB"/>
        </w:rPr>
        <w:t>adequately</w:t>
      </w:r>
      <w:r w:rsidRPr="008C0153">
        <w:rPr>
          <w:bCs/>
          <w:szCs w:val="22"/>
          <w:lang w:val="en-GB"/>
        </w:rPr>
        <w:t xml:space="preserve"> justified.</w:t>
      </w:r>
    </w:p>
    <w:p w:rsidR="009865E9" w:rsidRDefault="009865E9" w:rsidP="009865E9">
      <w:pPr>
        <w:pStyle w:val="ListParagraph"/>
        <w:rPr>
          <w:bCs/>
          <w:szCs w:val="22"/>
          <w:lang w:val="en-GB"/>
        </w:rPr>
      </w:pPr>
    </w:p>
    <w:p w:rsidR="00042C7F" w:rsidRPr="009865E9" w:rsidRDefault="00C34582" w:rsidP="009865E9">
      <w:pPr>
        <w:numPr>
          <w:ilvl w:val="1"/>
          <w:numId w:val="2"/>
        </w:numPr>
        <w:contextualSpacing/>
        <w:rPr>
          <w:bCs/>
          <w:szCs w:val="22"/>
          <w:lang w:val="en-GB"/>
        </w:rPr>
      </w:pPr>
      <w:r w:rsidRPr="009865E9">
        <w:rPr>
          <w:bCs/>
          <w:szCs w:val="22"/>
          <w:lang w:val="en-GB"/>
        </w:rPr>
        <w:t xml:space="preserve">The PBAC considered that the approach taken </w:t>
      </w:r>
      <w:r w:rsidR="00DB5786" w:rsidRPr="009865E9">
        <w:rPr>
          <w:bCs/>
          <w:szCs w:val="22"/>
          <w:lang w:val="en-GB"/>
        </w:rPr>
        <w:t xml:space="preserve">in the submission </w:t>
      </w:r>
      <w:r w:rsidRPr="009865E9">
        <w:rPr>
          <w:bCs/>
          <w:szCs w:val="22"/>
          <w:lang w:val="en-GB"/>
        </w:rPr>
        <w:t xml:space="preserve">to </w:t>
      </w:r>
      <w:r w:rsidR="00DB5786" w:rsidRPr="009865E9">
        <w:rPr>
          <w:bCs/>
          <w:szCs w:val="22"/>
          <w:lang w:val="en-GB"/>
        </w:rPr>
        <w:t xml:space="preserve">estimate </w:t>
      </w:r>
      <w:r w:rsidRPr="009865E9">
        <w:rPr>
          <w:bCs/>
          <w:szCs w:val="22"/>
          <w:lang w:val="en-GB"/>
        </w:rPr>
        <w:t xml:space="preserve">the financial </w:t>
      </w:r>
      <w:r w:rsidR="00DB5786" w:rsidRPr="009865E9">
        <w:rPr>
          <w:bCs/>
          <w:szCs w:val="22"/>
          <w:lang w:val="en-GB"/>
        </w:rPr>
        <w:t xml:space="preserve">impact </w:t>
      </w:r>
      <w:r w:rsidRPr="009865E9">
        <w:rPr>
          <w:bCs/>
          <w:szCs w:val="22"/>
          <w:lang w:val="en-GB"/>
        </w:rPr>
        <w:t xml:space="preserve">was </w:t>
      </w:r>
      <w:r w:rsidR="00DB5786" w:rsidRPr="009865E9">
        <w:rPr>
          <w:bCs/>
          <w:szCs w:val="22"/>
          <w:lang w:val="en-GB"/>
        </w:rPr>
        <w:t xml:space="preserve">unreliable because the number of treated patients in future years appeared to </w:t>
      </w:r>
      <w:r w:rsidR="005D75CC" w:rsidRPr="009865E9">
        <w:rPr>
          <w:bCs/>
          <w:szCs w:val="22"/>
          <w:lang w:val="en-GB"/>
        </w:rPr>
        <w:t>be substantially overestimated.</w:t>
      </w:r>
      <w:r w:rsidRPr="009865E9">
        <w:rPr>
          <w:bCs/>
          <w:szCs w:val="22"/>
          <w:lang w:val="en-GB"/>
        </w:rPr>
        <w:t xml:space="preserve"> </w:t>
      </w:r>
    </w:p>
    <w:p w:rsidR="009865E9" w:rsidRPr="00C34582" w:rsidRDefault="009865E9" w:rsidP="00AF4EA2">
      <w:pPr>
        <w:rPr>
          <w:highlight w:val="yellow"/>
          <w:lang w:val="en-GB"/>
        </w:rPr>
      </w:pPr>
    </w:p>
    <w:p w:rsidR="00E94114" w:rsidRPr="008C0153" w:rsidRDefault="00042C7F" w:rsidP="00E94114">
      <w:pPr>
        <w:numPr>
          <w:ilvl w:val="1"/>
          <w:numId w:val="2"/>
        </w:numPr>
        <w:contextualSpacing/>
        <w:rPr>
          <w:bCs/>
          <w:szCs w:val="22"/>
          <w:lang w:val="en-GB"/>
        </w:rPr>
      </w:pPr>
      <w:r w:rsidRPr="008C0153">
        <w:rPr>
          <w:bCs/>
          <w:szCs w:val="22"/>
          <w:lang w:val="en-GB"/>
        </w:rPr>
        <w:t xml:space="preserve">The PBAC considered that the submission did not provide adequate justification for </w:t>
      </w:r>
      <w:r w:rsidR="00030465" w:rsidRPr="008C0153">
        <w:rPr>
          <w:bCs/>
          <w:szCs w:val="22"/>
          <w:lang w:val="en-GB"/>
        </w:rPr>
        <w:t>the</w:t>
      </w:r>
      <w:r w:rsidRPr="008C0153">
        <w:rPr>
          <w:bCs/>
          <w:szCs w:val="22"/>
          <w:lang w:val="en-GB"/>
        </w:rPr>
        <w:t xml:space="preserve"> </w:t>
      </w:r>
      <w:r w:rsidR="00DB5786">
        <w:rPr>
          <w:bCs/>
          <w:szCs w:val="22"/>
          <w:lang w:val="en-GB"/>
        </w:rPr>
        <w:t xml:space="preserve">requested substantial </w:t>
      </w:r>
      <w:r w:rsidRPr="008C0153">
        <w:rPr>
          <w:bCs/>
          <w:szCs w:val="22"/>
          <w:lang w:val="en-GB"/>
        </w:rPr>
        <w:t xml:space="preserve">increase </w:t>
      </w:r>
      <w:r w:rsidR="00DB5786">
        <w:rPr>
          <w:bCs/>
          <w:szCs w:val="22"/>
          <w:lang w:val="en-GB"/>
        </w:rPr>
        <w:t>in</w:t>
      </w:r>
      <w:r w:rsidRPr="008C0153">
        <w:rPr>
          <w:bCs/>
          <w:szCs w:val="22"/>
          <w:lang w:val="en-GB"/>
        </w:rPr>
        <w:t xml:space="preserve"> the</w:t>
      </w:r>
      <w:r w:rsidR="00DB5786">
        <w:rPr>
          <w:bCs/>
          <w:szCs w:val="22"/>
          <w:lang w:val="en-GB"/>
        </w:rPr>
        <w:t xml:space="preserve"> financial</w:t>
      </w:r>
      <w:r w:rsidRPr="008C0153">
        <w:rPr>
          <w:bCs/>
          <w:szCs w:val="22"/>
          <w:lang w:val="en-GB"/>
        </w:rPr>
        <w:t xml:space="preserve"> caps</w:t>
      </w:r>
      <w:r w:rsidR="00030465" w:rsidRPr="008C0153">
        <w:rPr>
          <w:bCs/>
          <w:szCs w:val="22"/>
          <w:lang w:val="en-GB"/>
        </w:rPr>
        <w:t xml:space="preserve"> </w:t>
      </w:r>
      <w:r w:rsidR="00DB5786">
        <w:rPr>
          <w:bCs/>
          <w:szCs w:val="22"/>
          <w:lang w:val="en-GB"/>
        </w:rPr>
        <w:t xml:space="preserve">(from </w:t>
      </w:r>
      <w:r w:rsidR="00F14FFE">
        <w:rPr>
          <w:bCs/>
          <w:szCs w:val="22"/>
          <w:lang w:val="en-GB"/>
        </w:rPr>
        <w:t>$10 - $20 million</w:t>
      </w:r>
      <w:r w:rsidR="00DB5786">
        <w:rPr>
          <w:bCs/>
          <w:szCs w:val="22"/>
          <w:lang w:val="en-GB"/>
        </w:rPr>
        <w:t xml:space="preserve"> million to </w:t>
      </w:r>
      <w:r w:rsidR="00F14FFE">
        <w:rPr>
          <w:bCs/>
          <w:szCs w:val="22"/>
          <w:lang w:val="en-GB"/>
        </w:rPr>
        <w:t>$30 - $60 million</w:t>
      </w:r>
      <w:r w:rsidR="00DB5786">
        <w:rPr>
          <w:bCs/>
          <w:szCs w:val="22"/>
          <w:lang w:val="en-GB"/>
        </w:rPr>
        <w:t xml:space="preserve"> over 5 years)</w:t>
      </w:r>
      <w:r w:rsidR="00E94114" w:rsidRPr="008C0153">
        <w:rPr>
          <w:bCs/>
          <w:szCs w:val="22"/>
          <w:lang w:val="en-GB"/>
        </w:rPr>
        <w:t>.</w:t>
      </w:r>
      <w:r w:rsidR="00030465" w:rsidRPr="008C0153">
        <w:rPr>
          <w:bCs/>
          <w:szCs w:val="22"/>
          <w:lang w:val="en-GB"/>
        </w:rPr>
        <w:t xml:space="preserve"> Therefore the PBAC considered it would be appropriate for </w:t>
      </w:r>
      <w:r w:rsidR="008C0153" w:rsidRPr="008C0153">
        <w:rPr>
          <w:bCs/>
          <w:szCs w:val="22"/>
          <w:lang w:val="en-GB"/>
        </w:rPr>
        <w:t xml:space="preserve">any </w:t>
      </w:r>
      <w:r w:rsidR="00030465" w:rsidRPr="008C0153">
        <w:rPr>
          <w:bCs/>
          <w:szCs w:val="22"/>
          <w:lang w:val="en-GB"/>
        </w:rPr>
        <w:t xml:space="preserve">new Deed negotiated </w:t>
      </w:r>
      <w:r w:rsidR="00C87A17">
        <w:rPr>
          <w:bCs/>
          <w:szCs w:val="22"/>
          <w:lang w:val="en-GB"/>
        </w:rPr>
        <w:t xml:space="preserve">with the sponsor to be </w:t>
      </w:r>
      <w:r w:rsidR="008C0153">
        <w:rPr>
          <w:bCs/>
          <w:szCs w:val="22"/>
          <w:lang w:val="en-GB"/>
        </w:rPr>
        <w:t>consistent with their previous</w:t>
      </w:r>
      <w:r w:rsidR="00030465" w:rsidRPr="008C0153">
        <w:rPr>
          <w:bCs/>
          <w:szCs w:val="22"/>
          <w:lang w:val="en-GB"/>
        </w:rPr>
        <w:t xml:space="preserve"> recommendation</w:t>
      </w:r>
      <w:r w:rsidR="008C0153">
        <w:rPr>
          <w:bCs/>
          <w:szCs w:val="22"/>
          <w:lang w:val="en-GB"/>
        </w:rPr>
        <w:t>s</w:t>
      </w:r>
      <w:r w:rsidR="00EC6025">
        <w:rPr>
          <w:bCs/>
          <w:szCs w:val="22"/>
          <w:lang w:val="en-GB"/>
        </w:rPr>
        <w:t xml:space="preserve"> with a financial cap extrapolated from the financial estimates presented at the time of the original listing</w:t>
      </w:r>
      <w:r w:rsidR="00030465" w:rsidRPr="008C0153">
        <w:rPr>
          <w:bCs/>
          <w:szCs w:val="22"/>
          <w:lang w:val="en-GB"/>
        </w:rPr>
        <w:t>.</w:t>
      </w:r>
    </w:p>
    <w:p w:rsidR="00E94114" w:rsidRPr="003C3927" w:rsidRDefault="00E94114" w:rsidP="00E94114">
      <w:pPr>
        <w:ind w:left="720"/>
        <w:contextualSpacing/>
        <w:rPr>
          <w:bCs/>
          <w:szCs w:val="22"/>
          <w:highlight w:val="yellow"/>
          <w:lang w:val="en-GB"/>
        </w:rPr>
      </w:pPr>
    </w:p>
    <w:p w:rsidR="00E94114" w:rsidRPr="00042C7F" w:rsidRDefault="00E94114" w:rsidP="00042C7F">
      <w:pPr>
        <w:numPr>
          <w:ilvl w:val="1"/>
          <w:numId w:val="2"/>
        </w:numPr>
        <w:contextualSpacing/>
        <w:rPr>
          <w:bCs/>
          <w:szCs w:val="22"/>
          <w:lang w:val="en-GB"/>
        </w:rPr>
      </w:pPr>
      <w:r w:rsidRPr="00042C7F">
        <w:rPr>
          <w:bCs/>
          <w:szCs w:val="22"/>
          <w:lang w:val="en-GB"/>
        </w:rPr>
        <w:t>The PBAC noted that this submission is not eligible for an Independent Review</w:t>
      </w:r>
      <w:r w:rsidR="00042C7F" w:rsidRPr="00042C7F">
        <w:rPr>
          <w:bCs/>
          <w:szCs w:val="22"/>
          <w:lang w:val="en-GB"/>
        </w:rPr>
        <w:t xml:space="preserve"> as it is a change to an existing listing.</w:t>
      </w:r>
    </w:p>
    <w:p w:rsidR="00E94114" w:rsidRDefault="00E94114" w:rsidP="00E94114">
      <w:pPr>
        <w:pStyle w:val="ListParagraph"/>
        <w:rPr>
          <w:bCs/>
          <w:szCs w:val="22"/>
          <w:highlight w:val="yellow"/>
          <w:lang w:val="en-GB"/>
        </w:rPr>
      </w:pPr>
    </w:p>
    <w:p w:rsidR="00E94114" w:rsidRPr="00EA0EDA" w:rsidRDefault="00E94114" w:rsidP="00E94114">
      <w:pPr>
        <w:rPr>
          <w:b/>
          <w:bCs/>
          <w:szCs w:val="22"/>
          <w:highlight w:val="yellow"/>
          <w:lang w:val="en-GB"/>
        </w:rPr>
      </w:pPr>
    </w:p>
    <w:p w:rsidR="00E94114" w:rsidRPr="0005449D" w:rsidRDefault="00E94114" w:rsidP="00E94114">
      <w:pPr>
        <w:rPr>
          <w:b/>
          <w:bCs/>
          <w:szCs w:val="22"/>
          <w:lang w:val="en-GB"/>
        </w:rPr>
      </w:pPr>
      <w:r w:rsidRPr="0005449D">
        <w:rPr>
          <w:b/>
          <w:bCs/>
          <w:szCs w:val="22"/>
          <w:lang w:val="en-GB"/>
        </w:rPr>
        <w:t>Outcome:</w:t>
      </w:r>
    </w:p>
    <w:p w:rsidR="00E94114" w:rsidRDefault="00E94114" w:rsidP="00E94114">
      <w:pPr>
        <w:rPr>
          <w:bCs/>
          <w:szCs w:val="22"/>
          <w:lang w:val="en-GB"/>
        </w:rPr>
      </w:pPr>
      <w:r w:rsidRPr="0005449D">
        <w:rPr>
          <w:bCs/>
          <w:szCs w:val="22"/>
          <w:lang w:val="en-GB"/>
        </w:rPr>
        <w:t>Rejected</w:t>
      </w:r>
    </w:p>
    <w:p w:rsidR="002F3488" w:rsidRDefault="002F3488" w:rsidP="00E94114">
      <w:pPr>
        <w:rPr>
          <w:bCs/>
          <w:szCs w:val="22"/>
          <w:lang w:val="en-GB"/>
        </w:rPr>
      </w:pPr>
    </w:p>
    <w:p w:rsidR="002F3488" w:rsidRPr="00C052DD" w:rsidRDefault="002F3488" w:rsidP="002F3488">
      <w:pPr>
        <w:rPr>
          <w:rFonts w:ascii="Calibri" w:hAnsi="Calibri" w:cs="Calibri"/>
        </w:rPr>
      </w:pPr>
    </w:p>
    <w:p w:rsidR="002F3488" w:rsidRPr="00570D4E" w:rsidRDefault="002F3488" w:rsidP="002F3488">
      <w:pPr>
        <w:pStyle w:val="PBACHeading10"/>
        <w:keepNext/>
        <w:numPr>
          <w:ilvl w:val="0"/>
          <w:numId w:val="2"/>
        </w:numPr>
        <w:outlineLvl w:val="0"/>
      </w:pPr>
      <w:r w:rsidRPr="00485DD3">
        <w:t>Context for Decision</w:t>
      </w:r>
    </w:p>
    <w:p w:rsidR="002F3488" w:rsidRDefault="002F3488" w:rsidP="002F3488">
      <w:pPr>
        <w:ind w:left="426"/>
      </w:pPr>
    </w:p>
    <w:p w:rsidR="002F3488" w:rsidRDefault="002F3488" w:rsidP="002F3488">
      <w:pPr>
        <w:ind w:left="709"/>
      </w:pPr>
      <w:r w:rsidRPr="004304F6">
        <w:t xml:space="preserve">The PBAC helps decide whether and, if so, how medicines should be subsidised in </w:t>
      </w:r>
      <w:r w:rsidRPr="004304F6">
        <w:lastRenderedPageBreak/>
        <w:t>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F3488" w:rsidRDefault="002F3488" w:rsidP="002F3488">
      <w:pPr>
        <w:ind w:left="709"/>
      </w:pPr>
    </w:p>
    <w:p w:rsidR="002F3488" w:rsidRPr="00570D4E" w:rsidRDefault="002F3488" w:rsidP="002F3488">
      <w:pPr>
        <w:pStyle w:val="PBACHeading10"/>
        <w:keepNext/>
        <w:numPr>
          <w:ilvl w:val="0"/>
          <w:numId w:val="2"/>
        </w:numPr>
        <w:outlineLvl w:val="0"/>
      </w:pPr>
      <w:r w:rsidRPr="00485DD3">
        <w:t>Sponsor’s Comment</w:t>
      </w:r>
    </w:p>
    <w:p w:rsidR="002F3488" w:rsidRDefault="002F3488" w:rsidP="002F3488">
      <w:pPr>
        <w:ind w:left="426"/>
        <w:rPr>
          <w:bCs/>
          <w:highlight w:val="yellow"/>
          <w:lang w:val="en-GB"/>
        </w:rPr>
      </w:pPr>
    </w:p>
    <w:p w:rsidR="000F4A3A" w:rsidRDefault="000F4A3A" w:rsidP="000F4A3A">
      <w:pPr>
        <w:ind w:left="720"/>
        <w:rPr>
          <w:bCs/>
          <w:szCs w:val="22"/>
          <w:lang w:val="en-GB"/>
        </w:rPr>
      </w:pPr>
      <w:r w:rsidRPr="000F4A3A">
        <w:rPr>
          <w:bCs/>
          <w:szCs w:val="22"/>
          <w:lang w:val="en-GB"/>
        </w:rPr>
        <w:t>Shire will continue to work with the PBAC and the Department of Health on the review of icatibant utilisation.</w:t>
      </w:r>
    </w:p>
    <w:sectPr w:rsidR="000F4A3A" w:rsidSect="007431A0">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D44B7B" w15:done="0"/>
  <w15:commentEx w15:paraId="0E609A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7CE" w:rsidRDefault="00FA27CE" w:rsidP="00124A51">
      <w:r>
        <w:separator/>
      </w:r>
    </w:p>
  </w:endnote>
  <w:endnote w:type="continuationSeparator" w:id="0">
    <w:p w:rsidR="00FA27CE" w:rsidRDefault="00FA27CE"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7CE" w:rsidRDefault="00FA27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noProof/>
        <w:sz w:val="20"/>
      </w:rPr>
    </w:sdtEndPr>
    <w:sdtContent>
      <w:p w:rsidR="00D33100" w:rsidRPr="00541A0D" w:rsidRDefault="00D33100" w:rsidP="001502E6">
        <w:pPr>
          <w:pStyle w:val="Footer"/>
          <w:ind w:left="360"/>
          <w:jc w:val="center"/>
          <w:rPr>
            <w:sz w:val="20"/>
          </w:rPr>
        </w:pPr>
      </w:p>
      <w:p w:rsidR="00D33100" w:rsidRPr="00651169" w:rsidRDefault="00D33100" w:rsidP="001502E6">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053543">
          <w:rPr>
            <w:noProof/>
            <w:sz w:val="20"/>
          </w:rPr>
          <w:t>2</w:t>
        </w:r>
        <w:r w:rsidRPr="00651169">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7CE" w:rsidRDefault="00FA27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7CE" w:rsidRDefault="00FA27CE" w:rsidP="00124A51">
      <w:r>
        <w:separator/>
      </w:r>
    </w:p>
  </w:footnote>
  <w:footnote w:type="continuationSeparator" w:id="0">
    <w:p w:rsidR="00FA27CE" w:rsidRDefault="00FA27CE"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7CE" w:rsidRDefault="00FA27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100" w:rsidRPr="00DF217D" w:rsidRDefault="00D33100" w:rsidP="001502E6">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November 2016 </w:t>
    </w:r>
    <w:r w:rsidRPr="00DF217D">
      <w:rPr>
        <w:i/>
        <w:color w:val="808080"/>
      </w:rPr>
      <w:t>PBAC</w:t>
    </w:r>
    <w:r>
      <w:rPr>
        <w:i/>
        <w:color w:val="808080"/>
      </w:rPr>
      <w:t xml:space="preserve"> </w:t>
    </w:r>
    <w:r w:rsidRPr="00DF217D">
      <w:rPr>
        <w:i/>
        <w:color w:val="808080"/>
      </w:rPr>
      <w:t>Meeting</w:t>
    </w:r>
  </w:p>
  <w:p w:rsidR="00D33100" w:rsidRDefault="00D331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7CE" w:rsidRDefault="00FA27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98D1B63"/>
    <w:multiLevelType w:val="hybridMultilevel"/>
    <w:tmpl w:val="CEB21D9C"/>
    <w:lvl w:ilvl="0" w:tplc="50E6076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7423E8"/>
    <w:multiLevelType w:val="hybridMultilevel"/>
    <w:tmpl w:val="55668062"/>
    <w:lvl w:ilvl="0" w:tplc="50E6076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8E641D"/>
    <w:multiLevelType w:val="hybridMultilevel"/>
    <w:tmpl w:val="D3F26638"/>
    <w:lvl w:ilvl="0" w:tplc="04090011">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6D117D2"/>
    <w:multiLevelType w:val="hybridMultilevel"/>
    <w:tmpl w:val="056E97C4"/>
    <w:lvl w:ilvl="0" w:tplc="FFFFFFFF">
      <w:numFmt w:val="bullet"/>
      <w:lvlText w:val="-"/>
      <w:lvlJc w:val="left"/>
      <w:pPr>
        <w:ind w:left="1504" w:hanging="360"/>
      </w:pPr>
      <w:rPr>
        <w:rFonts w:ascii="Times New Roman" w:eastAsia="Times New Roman" w:hAnsi="Times New Roman" w:cs="Times New Roman"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nsid w:val="179027AB"/>
    <w:multiLevelType w:val="hybridMultilevel"/>
    <w:tmpl w:val="FA645D6C"/>
    <w:lvl w:ilvl="0" w:tplc="FFFFFFFF">
      <w:numFmt w:val="bullet"/>
      <w:lvlText w:val="-"/>
      <w:lvlJc w:val="left"/>
      <w:pPr>
        <w:ind w:left="1790" w:hanging="360"/>
      </w:pPr>
      <w:rPr>
        <w:rFonts w:ascii="Times New Roman" w:eastAsia="Times New Roman" w:hAnsi="Times New Roman" w:cs="Times New Roman"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7">
    <w:nsid w:val="1E0C6026"/>
    <w:multiLevelType w:val="hybridMultilevel"/>
    <w:tmpl w:val="CB2CE9FA"/>
    <w:lvl w:ilvl="0" w:tplc="50E6076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87C524A"/>
    <w:multiLevelType w:val="hybridMultilevel"/>
    <w:tmpl w:val="69E84F3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F4A5B"/>
    <w:multiLevelType w:val="multilevel"/>
    <w:tmpl w:val="B08C5A6E"/>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BDB13CF"/>
    <w:multiLevelType w:val="hybridMultilevel"/>
    <w:tmpl w:val="663EDAE8"/>
    <w:lvl w:ilvl="0" w:tplc="50E6076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B23EA8"/>
    <w:multiLevelType w:val="hybridMultilevel"/>
    <w:tmpl w:val="F092AE84"/>
    <w:lvl w:ilvl="0" w:tplc="50E6076C">
      <w:start w:val="1"/>
      <w:numFmt w:val="bullet"/>
      <w:lvlText w:val=""/>
      <w:lvlJc w:val="left"/>
      <w:pPr>
        <w:ind w:left="1080" w:hanging="360"/>
      </w:pPr>
      <w:rPr>
        <w:rFonts w:ascii="Symbol" w:hAnsi="Symbol" w:hint="default"/>
      </w:rPr>
    </w:lvl>
    <w:lvl w:ilvl="1" w:tplc="94865EAA"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586A3E"/>
    <w:multiLevelType w:val="hybridMultilevel"/>
    <w:tmpl w:val="3ABC9B44"/>
    <w:lvl w:ilvl="0" w:tplc="FFFFFFFF">
      <w:numFmt w:val="bullet"/>
      <w:lvlText w:val="-"/>
      <w:lvlJc w:val="left"/>
      <w:pPr>
        <w:ind w:left="-240" w:hanging="360"/>
      </w:pPr>
      <w:rPr>
        <w:rFonts w:ascii="Times New Roman" w:eastAsia="Times New Roman" w:hAnsi="Times New Roman" w:cs="Times New Roman" w:hint="default"/>
      </w:rPr>
    </w:lvl>
    <w:lvl w:ilvl="1" w:tplc="04090003" w:tentative="1">
      <w:start w:val="1"/>
      <w:numFmt w:val="bullet"/>
      <w:lvlText w:val="o"/>
      <w:lvlJc w:val="left"/>
      <w:pPr>
        <w:ind w:left="480" w:hanging="360"/>
      </w:pPr>
      <w:rPr>
        <w:rFonts w:ascii="Courier New" w:hAnsi="Courier New" w:cs="Courier New" w:hint="default"/>
      </w:rPr>
    </w:lvl>
    <w:lvl w:ilvl="2" w:tplc="04090005" w:tentative="1">
      <w:start w:val="1"/>
      <w:numFmt w:val="bullet"/>
      <w:lvlText w:val=""/>
      <w:lvlJc w:val="left"/>
      <w:pPr>
        <w:ind w:left="1200" w:hanging="360"/>
      </w:pPr>
      <w:rPr>
        <w:rFonts w:ascii="Wingdings" w:hAnsi="Wingdings" w:hint="default"/>
      </w:rPr>
    </w:lvl>
    <w:lvl w:ilvl="3" w:tplc="04090001" w:tentative="1">
      <w:start w:val="1"/>
      <w:numFmt w:val="bullet"/>
      <w:lvlText w:val=""/>
      <w:lvlJc w:val="left"/>
      <w:pPr>
        <w:ind w:left="1920" w:hanging="360"/>
      </w:pPr>
      <w:rPr>
        <w:rFonts w:ascii="Symbol" w:hAnsi="Symbol" w:hint="default"/>
      </w:rPr>
    </w:lvl>
    <w:lvl w:ilvl="4" w:tplc="04090003" w:tentative="1">
      <w:start w:val="1"/>
      <w:numFmt w:val="bullet"/>
      <w:lvlText w:val="o"/>
      <w:lvlJc w:val="left"/>
      <w:pPr>
        <w:ind w:left="2640" w:hanging="360"/>
      </w:pPr>
      <w:rPr>
        <w:rFonts w:ascii="Courier New" w:hAnsi="Courier New" w:cs="Courier New" w:hint="default"/>
      </w:rPr>
    </w:lvl>
    <w:lvl w:ilvl="5" w:tplc="04090005" w:tentative="1">
      <w:start w:val="1"/>
      <w:numFmt w:val="bullet"/>
      <w:lvlText w:val=""/>
      <w:lvlJc w:val="left"/>
      <w:pPr>
        <w:ind w:left="3360" w:hanging="360"/>
      </w:pPr>
      <w:rPr>
        <w:rFonts w:ascii="Wingdings" w:hAnsi="Wingdings" w:hint="default"/>
      </w:rPr>
    </w:lvl>
    <w:lvl w:ilvl="6" w:tplc="04090001" w:tentative="1">
      <w:start w:val="1"/>
      <w:numFmt w:val="bullet"/>
      <w:lvlText w:val=""/>
      <w:lvlJc w:val="left"/>
      <w:pPr>
        <w:ind w:left="4080" w:hanging="360"/>
      </w:pPr>
      <w:rPr>
        <w:rFonts w:ascii="Symbol" w:hAnsi="Symbol" w:hint="default"/>
      </w:rPr>
    </w:lvl>
    <w:lvl w:ilvl="7" w:tplc="04090003" w:tentative="1">
      <w:start w:val="1"/>
      <w:numFmt w:val="bullet"/>
      <w:lvlText w:val="o"/>
      <w:lvlJc w:val="left"/>
      <w:pPr>
        <w:ind w:left="4800" w:hanging="360"/>
      </w:pPr>
      <w:rPr>
        <w:rFonts w:ascii="Courier New" w:hAnsi="Courier New" w:cs="Courier New" w:hint="default"/>
      </w:rPr>
    </w:lvl>
    <w:lvl w:ilvl="8" w:tplc="04090005" w:tentative="1">
      <w:start w:val="1"/>
      <w:numFmt w:val="bullet"/>
      <w:lvlText w:val=""/>
      <w:lvlJc w:val="left"/>
      <w:pPr>
        <w:ind w:left="5520" w:hanging="360"/>
      </w:pPr>
      <w:rPr>
        <w:rFonts w:ascii="Wingdings" w:hAnsi="Wingdings" w:hint="default"/>
      </w:rPr>
    </w:lvl>
  </w:abstractNum>
  <w:abstractNum w:abstractNumId="17">
    <w:nsid w:val="74E95DD0"/>
    <w:multiLevelType w:val="hybridMultilevel"/>
    <w:tmpl w:val="5B8EEE9C"/>
    <w:lvl w:ilvl="0" w:tplc="0C090001">
      <w:numFmt w:val="bullet"/>
      <w:lvlText w:val="-"/>
      <w:lvlJc w:val="left"/>
      <w:pPr>
        <w:ind w:left="720" w:hanging="360"/>
      </w:pPr>
      <w:rPr>
        <w:rFonts w:ascii="Times New Roman" w:eastAsia="Times New Roman" w:hAnsi="Times New Roman" w:hint="default"/>
      </w:rPr>
    </w:lvl>
    <w:lvl w:ilvl="1" w:tplc="94865EAA"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6F02248"/>
    <w:multiLevelType w:val="hybridMultilevel"/>
    <w:tmpl w:val="B00680F8"/>
    <w:lvl w:ilvl="0" w:tplc="FFFFFFFF">
      <w:numFmt w:val="bullet"/>
      <w:lvlText w:val="-"/>
      <w:lvlJc w:val="left"/>
      <w:pPr>
        <w:ind w:left="1429" w:hanging="360"/>
      </w:pPr>
      <w:rPr>
        <w:rFonts w:ascii="Times New Roman" w:eastAsia="Times New Roman" w:hAnsi="Times New Roman" w:cs="Times New Roman" w:hint="default"/>
        <w:b w:val="0"/>
        <w:i/>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784D033C"/>
    <w:multiLevelType w:val="multilevel"/>
    <w:tmpl w:val="0EA88F1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C5112C1"/>
    <w:multiLevelType w:val="hybridMultilevel"/>
    <w:tmpl w:val="0C0EE360"/>
    <w:lvl w:ilvl="0" w:tplc="86F27124">
      <w:start w:val="1"/>
      <w:numFmt w:val="bullet"/>
      <w:lvlText w:val=""/>
      <w:lvlJc w:val="left"/>
      <w:pPr>
        <w:ind w:left="1080" w:hanging="360"/>
      </w:pPr>
      <w:rPr>
        <w:rFonts w:ascii="Symbol" w:hAnsi="Symbol"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9"/>
  </w:num>
  <w:num w:numId="3">
    <w:abstractNumId w:val="10"/>
  </w:num>
  <w:num w:numId="4">
    <w:abstractNumId w:val="6"/>
  </w:num>
  <w:num w:numId="5">
    <w:abstractNumId w:val="9"/>
  </w:num>
  <w:num w:numId="6">
    <w:abstractNumId w:val="4"/>
  </w:num>
  <w:num w:numId="7">
    <w:abstractNumId w:val="5"/>
  </w:num>
  <w:num w:numId="8">
    <w:abstractNumId w:val="16"/>
  </w:num>
  <w:num w:numId="9">
    <w:abstractNumId w:val="18"/>
  </w:num>
  <w:num w:numId="10">
    <w:abstractNumId w:val="13"/>
  </w:num>
  <w:num w:numId="11">
    <w:abstractNumId w:val="14"/>
  </w:num>
  <w:num w:numId="12">
    <w:abstractNumId w:val="3"/>
  </w:num>
  <w:num w:numId="13">
    <w:abstractNumId w:val="0"/>
  </w:num>
  <w:num w:numId="14">
    <w:abstractNumId w:val="8"/>
  </w:num>
  <w:num w:numId="15">
    <w:abstractNumId w:val="19"/>
  </w:num>
  <w:num w:numId="16">
    <w:abstractNumId w:val="19"/>
  </w:num>
  <w:num w:numId="17">
    <w:abstractNumId w:val="19"/>
  </w:num>
  <w:num w:numId="18">
    <w:abstractNumId w:val="19"/>
  </w:num>
  <w:num w:numId="19">
    <w:abstractNumId w:val="17"/>
  </w:num>
  <w:num w:numId="20">
    <w:abstractNumId w:val="7"/>
  </w:num>
  <w:num w:numId="21">
    <w:abstractNumId w:val="20"/>
  </w:num>
  <w:num w:numId="22">
    <w:abstractNumId w:val="2"/>
  </w:num>
  <w:num w:numId="23">
    <w:abstractNumId w:val="1"/>
  </w:num>
  <w:num w:numId="24">
    <w:abstractNumId w:val="11"/>
  </w:num>
  <w:num w:numId="25">
    <w:abstractNumId w:val="1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cey Laba">
    <w15:presenceInfo w15:providerId="AD" w15:userId="S-1-5-21-2718785560-4068422674-851720049-3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278"/>
    <w:rsid w:val="000004DE"/>
    <w:rsid w:val="00000790"/>
    <w:rsid w:val="00000BCF"/>
    <w:rsid w:val="0000108F"/>
    <w:rsid w:val="0000110B"/>
    <w:rsid w:val="000011AD"/>
    <w:rsid w:val="000011F0"/>
    <w:rsid w:val="00001282"/>
    <w:rsid w:val="0000159E"/>
    <w:rsid w:val="0000188D"/>
    <w:rsid w:val="00002143"/>
    <w:rsid w:val="00002456"/>
    <w:rsid w:val="000028DF"/>
    <w:rsid w:val="000028EF"/>
    <w:rsid w:val="00002B16"/>
    <w:rsid w:val="00002DA7"/>
    <w:rsid w:val="0000313F"/>
    <w:rsid w:val="0000323E"/>
    <w:rsid w:val="000039A1"/>
    <w:rsid w:val="00004230"/>
    <w:rsid w:val="0000466F"/>
    <w:rsid w:val="000046D4"/>
    <w:rsid w:val="0000476B"/>
    <w:rsid w:val="00004BD0"/>
    <w:rsid w:val="00004E45"/>
    <w:rsid w:val="00004F9E"/>
    <w:rsid w:val="000052B4"/>
    <w:rsid w:val="000053E0"/>
    <w:rsid w:val="00005A74"/>
    <w:rsid w:val="00005D7D"/>
    <w:rsid w:val="00005DD8"/>
    <w:rsid w:val="000064B9"/>
    <w:rsid w:val="000068E5"/>
    <w:rsid w:val="00006C43"/>
    <w:rsid w:val="0000708B"/>
    <w:rsid w:val="00007154"/>
    <w:rsid w:val="00007459"/>
    <w:rsid w:val="000075D9"/>
    <w:rsid w:val="000079C2"/>
    <w:rsid w:val="00007F3F"/>
    <w:rsid w:val="00007F5F"/>
    <w:rsid w:val="0001054F"/>
    <w:rsid w:val="000108C9"/>
    <w:rsid w:val="00010952"/>
    <w:rsid w:val="00010BE2"/>
    <w:rsid w:val="00010CF1"/>
    <w:rsid w:val="0001133D"/>
    <w:rsid w:val="000113A3"/>
    <w:rsid w:val="0001150E"/>
    <w:rsid w:val="00011750"/>
    <w:rsid w:val="00011B3B"/>
    <w:rsid w:val="000125C6"/>
    <w:rsid w:val="000129FF"/>
    <w:rsid w:val="00012B26"/>
    <w:rsid w:val="00012C64"/>
    <w:rsid w:val="00013000"/>
    <w:rsid w:val="00013247"/>
    <w:rsid w:val="00013250"/>
    <w:rsid w:val="000132B1"/>
    <w:rsid w:val="00013356"/>
    <w:rsid w:val="00013988"/>
    <w:rsid w:val="0001405C"/>
    <w:rsid w:val="00014C76"/>
    <w:rsid w:val="00015037"/>
    <w:rsid w:val="000151DA"/>
    <w:rsid w:val="00015294"/>
    <w:rsid w:val="00015430"/>
    <w:rsid w:val="00015708"/>
    <w:rsid w:val="00015886"/>
    <w:rsid w:val="00015C1A"/>
    <w:rsid w:val="00015F3D"/>
    <w:rsid w:val="000162D3"/>
    <w:rsid w:val="000162EF"/>
    <w:rsid w:val="0001638D"/>
    <w:rsid w:val="00016398"/>
    <w:rsid w:val="00016432"/>
    <w:rsid w:val="0001671F"/>
    <w:rsid w:val="000167D1"/>
    <w:rsid w:val="0001691B"/>
    <w:rsid w:val="00016A20"/>
    <w:rsid w:val="00016F03"/>
    <w:rsid w:val="00017796"/>
    <w:rsid w:val="000178F2"/>
    <w:rsid w:val="00017BE3"/>
    <w:rsid w:val="00017C27"/>
    <w:rsid w:val="00017EF5"/>
    <w:rsid w:val="000203C7"/>
    <w:rsid w:val="000204BF"/>
    <w:rsid w:val="00020618"/>
    <w:rsid w:val="000209FC"/>
    <w:rsid w:val="00020A19"/>
    <w:rsid w:val="00020B02"/>
    <w:rsid w:val="00020E9E"/>
    <w:rsid w:val="00021332"/>
    <w:rsid w:val="00021608"/>
    <w:rsid w:val="00021E42"/>
    <w:rsid w:val="00021FBC"/>
    <w:rsid w:val="00022215"/>
    <w:rsid w:val="0002225F"/>
    <w:rsid w:val="000229B2"/>
    <w:rsid w:val="00022E32"/>
    <w:rsid w:val="00022E80"/>
    <w:rsid w:val="00023763"/>
    <w:rsid w:val="00023D9C"/>
    <w:rsid w:val="000240FB"/>
    <w:rsid w:val="0002469F"/>
    <w:rsid w:val="000248A8"/>
    <w:rsid w:val="00025340"/>
    <w:rsid w:val="00025655"/>
    <w:rsid w:val="00025677"/>
    <w:rsid w:val="000257B9"/>
    <w:rsid w:val="00025A2B"/>
    <w:rsid w:val="00025AC1"/>
    <w:rsid w:val="000264DF"/>
    <w:rsid w:val="0002666E"/>
    <w:rsid w:val="00026AD2"/>
    <w:rsid w:val="00026BCE"/>
    <w:rsid w:val="0002772E"/>
    <w:rsid w:val="00027756"/>
    <w:rsid w:val="00027766"/>
    <w:rsid w:val="000277C4"/>
    <w:rsid w:val="00027910"/>
    <w:rsid w:val="00027982"/>
    <w:rsid w:val="00027A83"/>
    <w:rsid w:val="00030465"/>
    <w:rsid w:val="00030A0C"/>
    <w:rsid w:val="00030BB0"/>
    <w:rsid w:val="0003178A"/>
    <w:rsid w:val="0003180F"/>
    <w:rsid w:val="000319D9"/>
    <w:rsid w:val="00031BE6"/>
    <w:rsid w:val="0003285C"/>
    <w:rsid w:val="00032DAC"/>
    <w:rsid w:val="00032FC1"/>
    <w:rsid w:val="00033248"/>
    <w:rsid w:val="0003350F"/>
    <w:rsid w:val="000336D9"/>
    <w:rsid w:val="00033A78"/>
    <w:rsid w:val="000340B3"/>
    <w:rsid w:val="0003442D"/>
    <w:rsid w:val="000345D2"/>
    <w:rsid w:val="00034A10"/>
    <w:rsid w:val="00034C5B"/>
    <w:rsid w:val="00034C5D"/>
    <w:rsid w:val="00034CDB"/>
    <w:rsid w:val="00034D3E"/>
    <w:rsid w:val="00035B41"/>
    <w:rsid w:val="00036056"/>
    <w:rsid w:val="0003693A"/>
    <w:rsid w:val="000372DC"/>
    <w:rsid w:val="000374EA"/>
    <w:rsid w:val="00037534"/>
    <w:rsid w:val="00037D78"/>
    <w:rsid w:val="00037E1A"/>
    <w:rsid w:val="00037F61"/>
    <w:rsid w:val="00040184"/>
    <w:rsid w:val="00040265"/>
    <w:rsid w:val="00040388"/>
    <w:rsid w:val="0004041E"/>
    <w:rsid w:val="00040505"/>
    <w:rsid w:val="0004070B"/>
    <w:rsid w:val="00040895"/>
    <w:rsid w:val="00040D62"/>
    <w:rsid w:val="0004107A"/>
    <w:rsid w:val="000414AF"/>
    <w:rsid w:val="0004192E"/>
    <w:rsid w:val="00041A56"/>
    <w:rsid w:val="00041F91"/>
    <w:rsid w:val="00042253"/>
    <w:rsid w:val="0004231D"/>
    <w:rsid w:val="00042356"/>
    <w:rsid w:val="00042434"/>
    <w:rsid w:val="00042586"/>
    <w:rsid w:val="00042661"/>
    <w:rsid w:val="0004288C"/>
    <w:rsid w:val="00042ADD"/>
    <w:rsid w:val="00042C31"/>
    <w:rsid w:val="00042C7F"/>
    <w:rsid w:val="00042D64"/>
    <w:rsid w:val="00042FA9"/>
    <w:rsid w:val="000436D7"/>
    <w:rsid w:val="00043BC6"/>
    <w:rsid w:val="00043C37"/>
    <w:rsid w:val="00043D23"/>
    <w:rsid w:val="000444C1"/>
    <w:rsid w:val="0004457D"/>
    <w:rsid w:val="000446E3"/>
    <w:rsid w:val="00044715"/>
    <w:rsid w:val="00044A77"/>
    <w:rsid w:val="00044E7A"/>
    <w:rsid w:val="00044F55"/>
    <w:rsid w:val="00044FE4"/>
    <w:rsid w:val="00045730"/>
    <w:rsid w:val="000458EA"/>
    <w:rsid w:val="00045BA1"/>
    <w:rsid w:val="00045CEF"/>
    <w:rsid w:val="00046A20"/>
    <w:rsid w:val="000472CB"/>
    <w:rsid w:val="000475BB"/>
    <w:rsid w:val="0004798E"/>
    <w:rsid w:val="000479B1"/>
    <w:rsid w:val="00047CBE"/>
    <w:rsid w:val="0005025F"/>
    <w:rsid w:val="00050428"/>
    <w:rsid w:val="000507D4"/>
    <w:rsid w:val="00050950"/>
    <w:rsid w:val="00050A07"/>
    <w:rsid w:val="00050A38"/>
    <w:rsid w:val="00050AB9"/>
    <w:rsid w:val="00052129"/>
    <w:rsid w:val="0005238B"/>
    <w:rsid w:val="000523F8"/>
    <w:rsid w:val="0005251B"/>
    <w:rsid w:val="00052869"/>
    <w:rsid w:val="0005294B"/>
    <w:rsid w:val="00052BBD"/>
    <w:rsid w:val="000531E1"/>
    <w:rsid w:val="000534AC"/>
    <w:rsid w:val="00053543"/>
    <w:rsid w:val="00053A4F"/>
    <w:rsid w:val="00054184"/>
    <w:rsid w:val="0005449D"/>
    <w:rsid w:val="000544B2"/>
    <w:rsid w:val="000546D7"/>
    <w:rsid w:val="00054910"/>
    <w:rsid w:val="00054B6F"/>
    <w:rsid w:val="00055402"/>
    <w:rsid w:val="00055B2B"/>
    <w:rsid w:val="00055E2C"/>
    <w:rsid w:val="00055E30"/>
    <w:rsid w:val="00056607"/>
    <w:rsid w:val="00056D8E"/>
    <w:rsid w:val="00057594"/>
    <w:rsid w:val="0005775D"/>
    <w:rsid w:val="00057909"/>
    <w:rsid w:val="00057C04"/>
    <w:rsid w:val="00057D78"/>
    <w:rsid w:val="00060327"/>
    <w:rsid w:val="00060870"/>
    <w:rsid w:val="00060A20"/>
    <w:rsid w:val="00060AC3"/>
    <w:rsid w:val="00060FC5"/>
    <w:rsid w:val="000611C2"/>
    <w:rsid w:val="00061293"/>
    <w:rsid w:val="00061613"/>
    <w:rsid w:val="000618F8"/>
    <w:rsid w:val="00061A7E"/>
    <w:rsid w:val="00061C6D"/>
    <w:rsid w:val="00062071"/>
    <w:rsid w:val="000622A1"/>
    <w:rsid w:val="00062311"/>
    <w:rsid w:val="000625B9"/>
    <w:rsid w:val="00062652"/>
    <w:rsid w:val="0006278F"/>
    <w:rsid w:val="00062970"/>
    <w:rsid w:val="00062E3B"/>
    <w:rsid w:val="00063325"/>
    <w:rsid w:val="00063864"/>
    <w:rsid w:val="00063903"/>
    <w:rsid w:val="00063CC6"/>
    <w:rsid w:val="000640DF"/>
    <w:rsid w:val="00064147"/>
    <w:rsid w:val="0006469D"/>
    <w:rsid w:val="000655F0"/>
    <w:rsid w:val="000657EE"/>
    <w:rsid w:val="00065E8E"/>
    <w:rsid w:val="00066028"/>
    <w:rsid w:val="000662FB"/>
    <w:rsid w:val="00066B5E"/>
    <w:rsid w:val="00066FE3"/>
    <w:rsid w:val="00067499"/>
    <w:rsid w:val="000674F4"/>
    <w:rsid w:val="00067898"/>
    <w:rsid w:val="00067A4C"/>
    <w:rsid w:val="00067C2C"/>
    <w:rsid w:val="00067FDF"/>
    <w:rsid w:val="00070008"/>
    <w:rsid w:val="0007020D"/>
    <w:rsid w:val="00070303"/>
    <w:rsid w:val="000708A1"/>
    <w:rsid w:val="00070A73"/>
    <w:rsid w:val="00070C42"/>
    <w:rsid w:val="00071248"/>
    <w:rsid w:val="000712BA"/>
    <w:rsid w:val="00071481"/>
    <w:rsid w:val="00071679"/>
    <w:rsid w:val="00071B27"/>
    <w:rsid w:val="00071C8B"/>
    <w:rsid w:val="00071E17"/>
    <w:rsid w:val="00071EE6"/>
    <w:rsid w:val="000720B9"/>
    <w:rsid w:val="00072522"/>
    <w:rsid w:val="000726BD"/>
    <w:rsid w:val="0007294E"/>
    <w:rsid w:val="00072A75"/>
    <w:rsid w:val="00072B26"/>
    <w:rsid w:val="000730D2"/>
    <w:rsid w:val="0007311E"/>
    <w:rsid w:val="00073175"/>
    <w:rsid w:val="0007321C"/>
    <w:rsid w:val="00073572"/>
    <w:rsid w:val="00073DDE"/>
    <w:rsid w:val="00073EFD"/>
    <w:rsid w:val="0007410B"/>
    <w:rsid w:val="00074227"/>
    <w:rsid w:val="0007428B"/>
    <w:rsid w:val="000746E4"/>
    <w:rsid w:val="00074A89"/>
    <w:rsid w:val="00074D8A"/>
    <w:rsid w:val="0007523C"/>
    <w:rsid w:val="00075569"/>
    <w:rsid w:val="000756A7"/>
    <w:rsid w:val="00075C02"/>
    <w:rsid w:val="00075F24"/>
    <w:rsid w:val="00076091"/>
    <w:rsid w:val="00076128"/>
    <w:rsid w:val="00076213"/>
    <w:rsid w:val="0007651D"/>
    <w:rsid w:val="0007691C"/>
    <w:rsid w:val="00076E2B"/>
    <w:rsid w:val="00076F83"/>
    <w:rsid w:val="000770A7"/>
    <w:rsid w:val="000770B3"/>
    <w:rsid w:val="000773E8"/>
    <w:rsid w:val="000777DC"/>
    <w:rsid w:val="00077833"/>
    <w:rsid w:val="00077A27"/>
    <w:rsid w:val="00077A36"/>
    <w:rsid w:val="00077BB1"/>
    <w:rsid w:val="00077C0B"/>
    <w:rsid w:val="00077E2C"/>
    <w:rsid w:val="00077E51"/>
    <w:rsid w:val="00080723"/>
    <w:rsid w:val="00080A83"/>
    <w:rsid w:val="00080B09"/>
    <w:rsid w:val="00080BFD"/>
    <w:rsid w:val="00080D3B"/>
    <w:rsid w:val="00080EFD"/>
    <w:rsid w:val="00080FF9"/>
    <w:rsid w:val="000811C4"/>
    <w:rsid w:val="000812CA"/>
    <w:rsid w:val="00081368"/>
    <w:rsid w:val="0008176D"/>
    <w:rsid w:val="000818DB"/>
    <w:rsid w:val="00081982"/>
    <w:rsid w:val="000819D3"/>
    <w:rsid w:val="00081C6F"/>
    <w:rsid w:val="00081E4D"/>
    <w:rsid w:val="00081EC5"/>
    <w:rsid w:val="00082206"/>
    <w:rsid w:val="00082FA6"/>
    <w:rsid w:val="000835B4"/>
    <w:rsid w:val="00083821"/>
    <w:rsid w:val="00083E2A"/>
    <w:rsid w:val="000846FA"/>
    <w:rsid w:val="00084E76"/>
    <w:rsid w:val="000851AF"/>
    <w:rsid w:val="0008558A"/>
    <w:rsid w:val="0008579B"/>
    <w:rsid w:val="0008581E"/>
    <w:rsid w:val="000858A0"/>
    <w:rsid w:val="000859E8"/>
    <w:rsid w:val="00085DFC"/>
    <w:rsid w:val="00085E72"/>
    <w:rsid w:val="00086FA8"/>
    <w:rsid w:val="0008703E"/>
    <w:rsid w:val="00087132"/>
    <w:rsid w:val="000872F3"/>
    <w:rsid w:val="000877C7"/>
    <w:rsid w:val="00087B77"/>
    <w:rsid w:val="00087C0C"/>
    <w:rsid w:val="00090250"/>
    <w:rsid w:val="0009027F"/>
    <w:rsid w:val="000902C8"/>
    <w:rsid w:val="000902DD"/>
    <w:rsid w:val="0009087A"/>
    <w:rsid w:val="000909DC"/>
    <w:rsid w:val="00090C7E"/>
    <w:rsid w:val="00090FF9"/>
    <w:rsid w:val="00091144"/>
    <w:rsid w:val="00091458"/>
    <w:rsid w:val="00091515"/>
    <w:rsid w:val="00091647"/>
    <w:rsid w:val="00091DB8"/>
    <w:rsid w:val="00091E8C"/>
    <w:rsid w:val="0009236D"/>
    <w:rsid w:val="000928B0"/>
    <w:rsid w:val="00092B2A"/>
    <w:rsid w:val="00092E33"/>
    <w:rsid w:val="0009313E"/>
    <w:rsid w:val="0009387E"/>
    <w:rsid w:val="00093C30"/>
    <w:rsid w:val="00093DCE"/>
    <w:rsid w:val="00094219"/>
    <w:rsid w:val="00094367"/>
    <w:rsid w:val="000948DB"/>
    <w:rsid w:val="00094A28"/>
    <w:rsid w:val="00094BD8"/>
    <w:rsid w:val="00094D5A"/>
    <w:rsid w:val="00094EF4"/>
    <w:rsid w:val="00095A1A"/>
    <w:rsid w:val="00095AA8"/>
    <w:rsid w:val="00095D45"/>
    <w:rsid w:val="00095E90"/>
    <w:rsid w:val="0009624D"/>
    <w:rsid w:val="0009686F"/>
    <w:rsid w:val="000969BB"/>
    <w:rsid w:val="00096BD9"/>
    <w:rsid w:val="00096E75"/>
    <w:rsid w:val="00096F6D"/>
    <w:rsid w:val="00097138"/>
    <w:rsid w:val="000977D7"/>
    <w:rsid w:val="0009788A"/>
    <w:rsid w:val="00097A14"/>
    <w:rsid w:val="00097E34"/>
    <w:rsid w:val="000A0287"/>
    <w:rsid w:val="000A046B"/>
    <w:rsid w:val="000A0E24"/>
    <w:rsid w:val="000A0EC9"/>
    <w:rsid w:val="000A107C"/>
    <w:rsid w:val="000A116F"/>
    <w:rsid w:val="000A1439"/>
    <w:rsid w:val="000A17EF"/>
    <w:rsid w:val="000A183B"/>
    <w:rsid w:val="000A192C"/>
    <w:rsid w:val="000A1AB9"/>
    <w:rsid w:val="000A1CB9"/>
    <w:rsid w:val="000A240C"/>
    <w:rsid w:val="000A274D"/>
    <w:rsid w:val="000A2B25"/>
    <w:rsid w:val="000A31FE"/>
    <w:rsid w:val="000A326B"/>
    <w:rsid w:val="000A338B"/>
    <w:rsid w:val="000A3444"/>
    <w:rsid w:val="000A34F4"/>
    <w:rsid w:val="000A35F4"/>
    <w:rsid w:val="000A3BC4"/>
    <w:rsid w:val="000A3C1C"/>
    <w:rsid w:val="000A3E86"/>
    <w:rsid w:val="000A4616"/>
    <w:rsid w:val="000A475C"/>
    <w:rsid w:val="000A483C"/>
    <w:rsid w:val="000A4A69"/>
    <w:rsid w:val="000A4DFB"/>
    <w:rsid w:val="000A50E4"/>
    <w:rsid w:val="000A5310"/>
    <w:rsid w:val="000A539B"/>
    <w:rsid w:val="000A53DF"/>
    <w:rsid w:val="000A5455"/>
    <w:rsid w:val="000A54C4"/>
    <w:rsid w:val="000A590E"/>
    <w:rsid w:val="000A5E1D"/>
    <w:rsid w:val="000A6483"/>
    <w:rsid w:val="000A64D8"/>
    <w:rsid w:val="000A684F"/>
    <w:rsid w:val="000A6EB9"/>
    <w:rsid w:val="000A7012"/>
    <w:rsid w:val="000A70FF"/>
    <w:rsid w:val="000A7204"/>
    <w:rsid w:val="000A722D"/>
    <w:rsid w:val="000A7448"/>
    <w:rsid w:val="000A7755"/>
    <w:rsid w:val="000A77A1"/>
    <w:rsid w:val="000A7C33"/>
    <w:rsid w:val="000B05B9"/>
    <w:rsid w:val="000B0F85"/>
    <w:rsid w:val="000B11FF"/>
    <w:rsid w:val="000B1FF8"/>
    <w:rsid w:val="000B20A5"/>
    <w:rsid w:val="000B2147"/>
    <w:rsid w:val="000B22F7"/>
    <w:rsid w:val="000B2858"/>
    <w:rsid w:val="000B2DE5"/>
    <w:rsid w:val="000B2E35"/>
    <w:rsid w:val="000B32A3"/>
    <w:rsid w:val="000B345B"/>
    <w:rsid w:val="000B4020"/>
    <w:rsid w:val="000B434A"/>
    <w:rsid w:val="000B4354"/>
    <w:rsid w:val="000B456C"/>
    <w:rsid w:val="000B478B"/>
    <w:rsid w:val="000B4A39"/>
    <w:rsid w:val="000B4C64"/>
    <w:rsid w:val="000B4DD1"/>
    <w:rsid w:val="000B5007"/>
    <w:rsid w:val="000B5600"/>
    <w:rsid w:val="000B5A15"/>
    <w:rsid w:val="000B5AEF"/>
    <w:rsid w:val="000B5DE3"/>
    <w:rsid w:val="000B62A3"/>
    <w:rsid w:val="000B64A1"/>
    <w:rsid w:val="000B6532"/>
    <w:rsid w:val="000B663B"/>
    <w:rsid w:val="000B67DC"/>
    <w:rsid w:val="000B68C2"/>
    <w:rsid w:val="000B6918"/>
    <w:rsid w:val="000B69BF"/>
    <w:rsid w:val="000B6A71"/>
    <w:rsid w:val="000B6F18"/>
    <w:rsid w:val="000B6F2E"/>
    <w:rsid w:val="000B70F9"/>
    <w:rsid w:val="000B749E"/>
    <w:rsid w:val="000B7779"/>
    <w:rsid w:val="000B77F2"/>
    <w:rsid w:val="000B7973"/>
    <w:rsid w:val="000B79EB"/>
    <w:rsid w:val="000B7E87"/>
    <w:rsid w:val="000B7FCE"/>
    <w:rsid w:val="000C00C3"/>
    <w:rsid w:val="000C0128"/>
    <w:rsid w:val="000C0417"/>
    <w:rsid w:val="000C05A0"/>
    <w:rsid w:val="000C07E1"/>
    <w:rsid w:val="000C0831"/>
    <w:rsid w:val="000C08E7"/>
    <w:rsid w:val="000C0B34"/>
    <w:rsid w:val="000C0F79"/>
    <w:rsid w:val="000C152C"/>
    <w:rsid w:val="000C1602"/>
    <w:rsid w:val="000C16FB"/>
    <w:rsid w:val="000C185B"/>
    <w:rsid w:val="000C1A68"/>
    <w:rsid w:val="000C2839"/>
    <w:rsid w:val="000C28D4"/>
    <w:rsid w:val="000C295A"/>
    <w:rsid w:val="000C3453"/>
    <w:rsid w:val="000C349D"/>
    <w:rsid w:val="000C3931"/>
    <w:rsid w:val="000C4042"/>
    <w:rsid w:val="000C40DD"/>
    <w:rsid w:val="000C44F9"/>
    <w:rsid w:val="000C48F9"/>
    <w:rsid w:val="000C57B3"/>
    <w:rsid w:val="000C5892"/>
    <w:rsid w:val="000C5922"/>
    <w:rsid w:val="000C59DE"/>
    <w:rsid w:val="000C5E94"/>
    <w:rsid w:val="000C5EAC"/>
    <w:rsid w:val="000C606D"/>
    <w:rsid w:val="000C6248"/>
    <w:rsid w:val="000C6467"/>
    <w:rsid w:val="000C695D"/>
    <w:rsid w:val="000C6CB3"/>
    <w:rsid w:val="000C6CDC"/>
    <w:rsid w:val="000C7412"/>
    <w:rsid w:val="000C759A"/>
    <w:rsid w:val="000C7791"/>
    <w:rsid w:val="000C77BB"/>
    <w:rsid w:val="000C789C"/>
    <w:rsid w:val="000C7924"/>
    <w:rsid w:val="000C7A0F"/>
    <w:rsid w:val="000C7BD0"/>
    <w:rsid w:val="000C7F33"/>
    <w:rsid w:val="000D04BB"/>
    <w:rsid w:val="000D0693"/>
    <w:rsid w:val="000D06BE"/>
    <w:rsid w:val="000D07EF"/>
    <w:rsid w:val="000D07FD"/>
    <w:rsid w:val="000D0977"/>
    <w:rsid w:val="000D09CC"/>
    <w:rsid w:val="000D0BB6"/>
    <w:rsid w:val="000D104A"/>
    <w:rsid w:val="000D1804"/>
    <w:rsid w:val="000D1BFC"/>
    <w:rsid w:val="000D1CB1"/>
    <w:rsid w:val="000D2104"/>
    <w:rsid w:val="000D2246"/>
    <w:rsid w:val="000D25E9"/>
    <w:rsid w:val="000D2600"/>
    <w:rsid w:val="000D2A13"/>
    <w:rsid w:val="000D3241"/>
    <w:rsid w:val="000D36DC"/>
    <w:rsid w:val="000D38D3"/>
    <w:rsid w:val="000D3C18"/>
    <w:rsid w:val="000D3C69"/>
    <w:rsid w:val="000D456D"/>
    <w:rsid w:val="000D5621"/>
    <w:rsid w:val="000D56CD"/>
    <w:rsid w:val="000D59D2"/>
    <w:rsid w:val="000D5FFC"/>
    <w:rsid w:val="000D6435"/>
    <w:rsid w:val="000D65FE"/>
    <w:rsid w:val="000D677C"/>
    <w:rsid w:val="000D6C82"/>
    <w:rsid w:val="000D6DE8"/>
    <w:rsid w:val="000D735E"/>
    <w:rsid w:val="000D799F"/>
    <w:rsid w:val="000D7F4E"/>
    <w:rsid w:val="000E00E2"/>
    <w:rsid w:val="000E030B"/>
    <w:rsid w:val="000E0383"/>
    <w:rsid w:val="000E07B7"/>
    <w:rsid w:val="000E0CC5"/>
    <w:rsid w:val="000E0CFB"/>
    <w:rsid w:val="000E0E2A"/>
    <w:rsid w:val="000E190A"/>
    <w:rsid w:val="000E1D2B"/>
    <w:rsid w:val="000E1EBA"/>
    <w:rsid w:val="000E2060"/>
    <w:rsid w:val="000E211A"/>
    <w:rsid w:val="000E2316"/>
    <w:rsid w:val="000E2A31"/>
    <w:rsid w:val="000E2ACB"/>
    <w:rsid w:val="000E2C9F"/>
    <w:rsid w:val="000E3039"/>
    <w:rsid w:val="000E3163"/>
    <w:rsid w:val="000E343A"/>
    <w:rsid w:val="000E3473"/>
    <w:rsid w:val="000E3511"/>
    <w:rsid w:val="000E3794"/>
    <w:rsid w:val="000E38D9"/>
    <w:rsid w:val="000E3BCF"/>
    <w:rsid w:val="000E3D5C"/>
    <w:rsid w:val="000E3EFA"/>
    <w:rsid w:val="000E436A"/>
    <w:rsid w:val="000E4554"/>
    <w:rsid w:val="000E49E5"/>
    <w:rsid w:val="000E4E60"/>
    <w:rsid w:val="000E4E7A"/>
    <w:rsid w:val="000E5105"/>
    <w:rsid w:val="000E52A1"/>
    <w:rsid w:val="000E5B89"/>
    <w:rsid w:val="000E5F20"/>
    <w:rsid w:val="000E5FCC"/>
    <w:rsid w:val="000E60EE"/>
    <w:rsid w:val="000E63F6"/>
    <w:rsid w:val="000E7BE3"/>
    <w:rsid w:val="000E7F6B"/>
    <w:rsid w:val="000F011D"/>
    <w:rsid w:val="000F02BE"/>
    <w:rsid w:val="000F02E4"/>
    <w:rsid w:val="000F02F7"/>
    <w:rsid w:val="000F0CE2"/>
    <w:rsid w:val="000F103C"/>
    <w:rsid w:val="000F141D"/>
    <w:rsid w:val="000F1741"/>
    <w:rsid w:val="000F1911"/>
    <w:rsid w:val="000F19BE"/>
    <w:rsid w:val="000F1AE1"/>
    <w:rsid w:val="000F1C3A"/>
    <w:rsid w:val="000F1CFA"/>
    <w:rsid w:val="000F1E69"/>
    <w:rsid w:val="000F200D"/>
    <w:rsid w:val="000F2134"/>
    <w:rsid w:val="000F2485"/>
    <w:rsid w:val="000F327B"/>
    <w:rsid w:val="000F32E9"/>
    <w:rsid w:val="000F3395"/>
    <w:rsid w:val="000F3499"/>
    <w:rsid w:val="000F3AD5"/>
    <w:rsid w:val="000F48E6"/>
    <w:rsid w:val="000F48FE"/>
    <w:rsid w:val="000F4A3A"/>
    <w:rsid w:val="000F4BD2"/>
    <w:rsid w:val="000F5020"/>
    <w:rsid w:val="000F50E1"/>
    <w:rsid w:val="000F52E0"/>
    <w:rsid w:val="000F54B5"/>
    <w:rsid w:val="000F54CE"/>
    <w:rsid w:val="000F5919"/>
    <w:rsid w:val="000F5BCA"/>
    <w:rsid w:val="000F5ED2"/>
    <w:rsid w:val="000F65E7"/>
    <w:rsid w:val="000F68E8"/>
    <w:rsid w:val="000F6A36"/>
    <w:rsid w:val="000F6C31"/>
    <w:rsid w:val="000F70FD"/>
    <w:rsid w:val="000F74B4"/>
    <w:rsid w:val="000F792B"/>
    <w:rsid w:val="000F7FE6"/>
    <w:rsid w:val="001001C5"/>
    <w:rsid w:val="0010023F"/>
    <w:rsid w:val="001006E6"/>
    <w:rsid w:val="001007B2"/>
    <w:rsid w:val="001008BA"/>
    <w:rsid w:val="00100F8A"/>
    <w:rsid w:val="001010F4"/>
    <w:rsid w:val="00101379"/>
    <w:rsid w:val="001014E0"/>
    <w:rsid w:val="001017C7"/>
    <w:rsid w:val="00101A04"/>
    <w:rsid w:val="00101E06"/>
    <w:rsid w:val="00102098"/>
    <w:rsid w:val="001024EB"/>
    <w:rsid w:val="00103240"/>
    <w:rsid w:val="001035BD"/>
    <w:rsid w:val="001036AB"/>
    <w:rsid w:val="00103714"/>
    <w:rsid w:val="001038FE"/>
    <w:rsid w:val="001039C0"/>
    <w:rsid w:val="001039D5"/>
    <w:rsid w:val="00103B01"/>
    <w:rsid w:val="00103EA8"/>
    <w:rsid w:val="00104493"/>
    <w:rsid w:val="00104A3C"/>
    <w:rsid w:val="00104B76"/>
    <w:rsid w:val="00104C18"/>
    <w:rsid w:val="00104C70"/>
    <w:rsid w:val="001053E7"/>
    <w:rsid w:val="00105504"/>
    <w:rsid w:val="00105830"/>
    <w:rsid w:val="00105978"/>
    <w:rsid w:val="0010617A"/>
    <w:rsid w:val="001066F6"/>
    <w:rsid w:val="0010675A"/>
    <w:rsid w:val="00106A0B"/>
    <w:rsid w:val="00106B7F"/>
    <w:rsid w:val="00106C47"/>
    <w:rsid w:val="00106E12"/>
    <w:rsid w:val="0010778F"/>
    <w:rsid w:val="001077FF"/>
    <w:rsid w:val="00107986"/>
    <w:rsid w:val="001079D7"/>
    <w:rsid w:val="00107A41"/>
    <w:rsid w:val="00110092"/>
    <w:rsid w:val="001102D9"/>
    <w:rsid w:val="0011032E"/>
    <w:rsid w:val="00110851"/>
    <w:rsid w:val="00110929"/>
    <w:rsid w:val="00110958"/>
    <w:rsid w:val="00110C42"/>
    <w:rsid w:val="00110DC6"/>
    <w:rsid w:val="00111125"/>
    <w:rsid w:val="00111370"/>
    <w:rsid w:val="001114A7"/>
    <w:rsid w:val="00111931"/>
    <w:rsid w:val="001123E0"/>
    <w:rsid w:val="00112489"/>
    <w:rsid w:val="001129D4"/>
    <w:rsid w:val="0011315E"/>
    <w:rsid w:val="0011319A"/>
    <w:rsid w:val="00113BC8"/>
    <w:rsid w:val="00113E1B"/>
    <w:rsid w:val="00113F3C"/>
    <w:rsid w:val="001144EA"/>
    <w:rsid w:val="0011451C"/>
    <w:rsid w:val="00114D1F"/>
    <w:rsid w:val="00114F03"/>
    <w:rsid w:val="00115131"/>
    <w:rsid w:val="001155C8"/>
    <w:rsid w:val="00115655"/>
    <w:rsid w:val="00115806"/>
    <w:rsid w:val="001159B1"/>
    <w:rsid w:val="001162EE"/>
    <w:rsid w:val="0011643C"/>
    <w:rsid w:val="001165E4"/>
    <w:rsid w:val="00116AAD"/>
    <w:rsid w:val="00116D02"/>
    <w:rsid w:val="00116DCB"/>
    <w:rsid w:val="001177EA"/>
    <w:rsid w:val="00117B52"/>
    <w:rsid w:val="001200BE"/>
    <w:rsid w:val="001202D7"/>
    <w:rsid w:val="00120532"/>
    <w:rsid w:val="0012057F"/>
    <w:rsid w:val="0012080B"/>
    <w:rsid w:val="00120B6B"/>
    <w:rsid w:val="00120D26"/>
    <w:rsid w:val="0012118C"/>
    <w:rsid w:val="00121355"/>
    <w:rsid w:val="001214E2"/>
    <w:rsid w:val="001216D3"/>
    <w:rsid w:val="00121799"/>
    <w:rsid w:val="00121862"/>
    <w:rsid w:val="001218CD"/>
    <w:rsid w:val="00121C28"/>
    <w:rsid w:val="00121C65"/>
    <w:rsid w:val="001220A8"/>
    <w:rsid w:val="001222FC"/>
    <w:rsid w:val="00122516"/>
    <w:rsid w:val="0012296F"/>
    <w:rsid w:val="001229A9"/>
    <w:rsid w:val="00123228"/>
    <w:rsid w:val="0012367B"/>
    <w:rsid w:val="00124170"/>
    <w:rsid w:val="00124522"/>
    <w:rsid w:val="001248F4"/>
    <w:rsid w:val="00124997"/>
    <w:rsid w:val="00124A51"/>
    <w:rsid w:val="00124CC2"/>
    <w:rsid w:val="00124F52"/>
    <w:rsid w:val="0012505A"/>
    <w:rsid w:val="00125790"/>
    <w:rsid w:val="00126621"/>
    <w:rsid w:val="00126B00"/>
    <w:rsid w:val="00126DE9"/>
    <w:rsid w:val="00126FA3"/>
    <w:rsid w:val="0012723B"/>
    <w:rsid w:val="00127272"/>
    <w:rsid w:val="001272F9"/>
    <w:rsid w:val="001275EA"/>
    <w:rsid w:val="00127921"/>
    <w:rsid w:val="00127AB3"/>
    <w:rsid w:val="00130121"/>
    <w:rsid w:val="001301E9"/>
    <w:rsid w:val="001302DE"/>
    <w:rsid w:val="0013038D"/>
    <w:rsid w:val="001304B1"/>
    <w:rsid w:val="001304DB"/>
    <w:rsid w:val="00130560"/>
    <w:rsid w:val="0013088C"/>
    <w:rsid w:val="00130D64"/>
    <w:rsid w:val="0013107F"/>
    <w:rsid w:val="00131600"/>
    <w:rsid w:val="00131701"/>
    <w:rsid w:val="00131949"/>
    <w:rsid w:val="00131B6C"/>
    <w:rsid w:val="00131D18"/>
    <w:rsid w:val="001325A8"/>
    <w:rsid w:val="00132618"/>
    <w:rsid w:val="001327D0"/>
    <w:rsid w:val="00133346"/>
    <w:rsid w:val="00133505"/>
    <w:rsid w:val="00133613"/>
    <w:rsid w:val="001336E0"/>
    <w:rsid w:val="0013377D"/>
    <w:rsid w:val="00133850"/>
    <w:rsid w:val="00133958"/>
    <w:rsid w:val="00133CA6"/>
    <w:rsid w:val="00133FF8"/>
    <w:rsid w:val="001342E8"/>
    <w:rsid w:val="00134471"/>
    <w:rsid w:val="00134723"/>
    <w:rsid w:val="00134A3B"/>
    <w:rsid w:val="00134F00"/>
    <w:rsid w:val="00134F84"/>
    <w:rsid w:val="00134FC3"/>
    <w:rsid w:val="001353B4"/>
    <w:rsid w:val="0013586D"/>
    <w:rsid w:val="0013597B"/>
    <w:rsid w:val="00135E42"/>
    <w:rsid w:val="001361D4"/>
    <w:rsid w:val="0013641E"/>
    <w:rsid w:val="001365A8"/>
    <w:rsid w:val="0013677A"/>
    <w:rsid w:val="00136994"/>
    <w:rsid w:val="00136BBA"/>
    <w:rsid w:val="00136C40"/>
    <w:rsid w:val="00136F05"/>
    <w:rsid w:val="001372F7"/>
    <w:rsid w:val="00137420"/>
    <w:rsid w:val="00137645"/>
    <w:rsid w:val="001379CF"/>
    <w:rsid w:val="00137BEE"/>
    <w:rsid w:val="00137F21"/>
    <w:rsid w:val="0014015A"/>
    <w:rsid w:val="001405C7"/>
    <w:rsid w:val="00140679"/>
    <w:rsid w:val="001406BD"/>
    <w:rsid w:val="00140883"/>
    <w:rsid w:val="00140E99"/>
    <w:rsid w:val="00141075"/>
    <w:rsid w:val="001412D0"/>
    <w:rsid w:val="001415C3"/>
    <w:rsid w:val="00141B2D"/>
    <w:rsid w:val="001424E9"/>
    <w:rsid w:val="00142744"/>
    <w:rsid w:val="001429FD"/>
    <w:rsid w:val="00142E2E"/>
    <w:rsid w:val="00142E80"/>
    <w:rsid w:val="001430BB"/>
    <w:rsid w:val="001431C8"/>
    <w:rsid w:val="001432A2"/>
    <w:rsid w:val="00143A5D"/>
    <w:rsid w:val="00143AE8"/>
    <w:rsid w:val="00143B88"/>
    <w:rsid w:val="00143E5D"/>
    <w:rsid w:val="00144B29"/>
    <w:rsid w:val="00144BC3"/>
    <w:rsid w:val="00144E17"/>
    <w:rsid w:val="001450EC"/>
    <w:rsid w:val="001452FF"/>
    <w:rsid w:val="001454B0"/>
    <w:rsid w:val="0014558C"/>
    <w:rsid w:val="001456B0"/>
    <w:rsid w:val="00145B01"/>
    <w:rsid w:val="00145B92"/>
    <w:rsid w:val="00145E5D"/>
    <w:rsid w:val="0014628A"/>
    <w:rsid w:val="00146686"/>
    <w:rsid w:val="00146973"/>
    <w:rsid w:val="001469B5"/>
    <w:rsid w:val="00146BAC"/>
    <w:rsid w:val="00146F36"/>
    <w:rsid w:val="00146F5A"/>
    <w:rsid w:val="00146FF5"/>
    <w:rsid w:val="00147233"/>
    <w:rsid w:val="00147802"/>
    <w:rsid w:val="00147C77"/>
    <w:rsid w:val="00147CC6"/>
    <w:rsid w:val="00150194"/>
    <w:rsid w:val="001502E6"/>
    <w:rsid w:val="001503B1"/>
    <w:rsid w:val="00150446"/>
    <w:rsid w:val="00150570"/>
    <w:rsid w:val="00150796"/>
    <w:rsid w:val="001511C6"/>
    <w:rsid w:val="00151783"/>
    <w:rsid w:val="00151ABD"/>
    <w:rsid w:val="00151B7C"/>
    <w:rsid w:val="00151C81"/>
    <w:rsid w:val="00151D5A"/>
    <w:rsid w:val="0015231E"/>
    <w:rsid w:val="0015237E"/>
    <w:rsid w:val="00152F61"/>
    <w:rsid w:val="0015388F"/>
    <w:rsid w:val="00153C0B"/>
    <w:rsid w:val="00153C2B"/>
    <w:rsid w:val="001540BF"/>
    <w:rsid w:val="001541B8"/>
    <w:rsid w:val="001543D0"/>
    <w:rsid w:val="001546EE"/>
    <w:rsid w:val="00154AE3"/>
    <w:rsid w:val="00154C6A"/>
    <w:rsid w:val="0015515F"/>
    <w:rsid w:val="001552E7"/>
    <w:rsid w:val="00155396"/>
    <w:rsid w:val="001554B9"/>
    <w:rsid w:val="001554F1"/>
    <w:rsid w:val="0015635E"/>
    <w:rsid w:val="00156A8F"/>
    <w:rsid w:val="00156AF7"/>
    <w:rsid w:val="00156EDA"/>
    <w:rsid w:val="00157130"/>
    <w:rsid w:val="001573CD"/>
    <w:rsid w:val="001574A6"/>
    <w:rsid w:val="001576C8"/>
    <w:rsid w:val="00157CF1"/>
    <w:rsid w:val="00160369"/>
    <w:rsid w:val="0016043A"/>
    <w:rsid w:val="0016050E"/>
    <w:rsid w:val="0016069B"/>
    <w:rsid w:val="00160892"/>
    <w:rsid w:val="00160ACA"/>
    <w:rsid w:val="00160DD8"/>
    <w:rsid w:val="0016103F"/>
    <w:rsid w:val="00161126"/>
    <w:rsid w:val="001611E2"/>
    <w:rsid w:val="00161353"/>
    <w:rsid w:val="001613BE"/>
    <w:rsid w:val="00161DFB"/>
    <w:rsid w:val="00162007"/>
    <w:rsid w:val="001622C6"/>
    <w:rsid w:val="00162913"/>
    <w:rsid w:val="00162EA3"/>
    <w:rsid w:val="00163EFF"/>
    <w:rsid w:val="0016492A"/>
    <w:rsid w:val="00165048"/>
    <w:rsid w:val="001651C6"/>
    <w:rsid w:val="001652CB"/>
    <w:rsid w:val="00165898"/>
    <w:rsid w:val="0016599D"/>
    <w:rsid w:val="001659C4"/>
    <w:rsid w:val="00165BBD"/>
    <w:rsid w:val="0016613A"/>
    <w:rsid w:val="001661FB"/>
    <w:rsid w:val="001668FA"/>
    <w:rsid w:val="00166A68"/>
    <w:rsid w:val="00166EFF"/>
    <w:rsid w:val="00167287"/>
    <w:rsid w:val="001672C9"/>
    <w:rsid w:val="0016763E"/>
    <w:rsid w:val="0016774C"/>
    <w:rsid w:val="0016782A"/>
    <w:rsid w:val="001679E8"/>
    <w:rsid w:val="00167AB3"/>
    <w:rsid w:val="00167B22"/>
    <w:rsid w:val="00167E00"/>
    <w:rsid w:val="00167E89"/>
    <w:rsid w:val="00167ED1"/>
    <w:rsid w:val="00170827"/>
    <w:rsid w:val="00170BBB"/>
    <w:rsid w:val="00170D03"/>
    <w:rsid w:val="00170E28"/>
    <w:rsid w:val="00171219"/>
    <w:rsid w:val="0017121E"/>
    <w:rsid w:val="001715B9"/>
    <w:rsid w:val="00171989"/>
    <w:rsid w:val="00171BD9"/>
    <w:rsid w:val="001720A1"/>
    <w:rsid w:val="00172637"/>
    <w:rsid w:val="00172EB6"/>
    <w:rsid w:val="00172EC7"/>
    <w:rsid w:val="00173048"/>
    <w:rsid w:val="00173903"/>
    <w:rsid w:val="00173A3B"/>
    <w:rsid w:val="00173D4D"/>
    <w:rsid w:val="00174895"/>
    <w:rsid w:val="001748D6"/>
    <w:rsid w:val="00174B17"/>
    <w:rsid w:val="00174C1B"/>
    <w:rsid w:val="00174DF2"/>
    <w:rsid w:val="001752FF"/>
    <w:rsid w:val="00175EF4"/>
    <w:rsid w:val="00175F15"/>
    <w:rsid w:val="0017605F"/>
    <w:rsid w:val="00176478"/>
    <w:rsid w:val="001765C1"/>
    <w:rsid w:val="00176B53"/>
    <w:rsid w:val="00176D6E"/>
    <w:rsid w:val="00177342"/>
    <w:rsid w:val="00177430"/>
    <w:rsid w:val="001779D6"/>
    <w:rsid w:val="001779DD"/>
    <w:rsid w:val="001779E2"/>
    <w:rsid w:val="00177B60"/>
    <w:rsid w:val="00177F28"/>
    <w:rsid w:val="001804C2"/>
    <w:rsid w:val="00180576"/>
    <w:rsid w:val="00180917"/>
    <w:rsid w:val="001816FA"/>
    <w:rsid w:val="00181721"/>
    <w:rsid w:val="00181BD6"/>
    <w:rsid w:val="001824EA"/>
    <w:rsid w:val="00183308"/>
    <w:rsid w:val="0018334A"/>
    <w:rsid w:val="00183358"/>
    <w:rsid w:val="00183B87"/>
    <w:rsid w:val="0018462E"/>
    <w:rsid w:val="00184CAE"/>
    <w:rsid w:val="00184D47"/>
    <w:rsid w:val="00184FEA"/>
    <w:rsid w:val="00185620"/>
    <w:rsid w:val="00185E0D"/>
    <w:rsid w:val="0018619D"/>
    <w:rsid w:val="00186335"/>
    <w:rsid w:val="001867E6"/>
    <w:rsid w:val="00186B64"/>
    <w:rsid w:val="00186C31"/>
    <w:rsid w:val="00186E64"/>
    <w:rsid w:val="00186F63"/>
    <w:rsid w:val="00187716"/>
    <w:rsid w:val="001877CC"/>
    <w:rsid w:val="00187929"/>
    <w:rsid w:val="00187C51"/>
    <w:rsid w:val="0019046E"/>
    <w:rsid w:val="00190DA3"/>
    <w:rsid w:val="00190E8D"/>
    <w:rsid w:val="001913CD"/>
    <w:rsid w:val="001917DF"/>
    <w:rsid w:val="001919AD"/>
    <w:rsid w:val="00191B72"/>
    <w:rsid w:val="00191D9B"/>
    <w:rsid w:val="00191FF5"/>
    <w:rsid w:val="001921F9"/>
    <w:rsid w:val="00192505"/>
    <w:rsid w:val="00192604"/>
    <w:rsid w:val="001927AE"/>
    <w:rsid w:val="001927CC"/>
    <w:rsid w:val="00193338"/>
    <w:rsid w:val="001935FB"/>
    <w:rsid w:val="001937F9"/>
    <w:rsid w:val="00193960"/>
    <w:rsid w:val="001939FF"/>
    <w:rsid w:val="00193B29"/>
    <w:rsid w:val="00193CDE"/>
    <w:rsid w:val="00193FEE"/>
    <w:rsid w:val="0019401D"/>
    <w:rsid w:val="00194276"/>
    <w:rsid w:val="00194653"/>
    <w:rsid w:val="00194D49"/>
    <w:rsid w:val="00194D72"/>
    <w:rsid w:val="00194D81"/>
    <w:rsid w:val="00194F2F"/>
    <w:rsid w:val="00195222"/>
    <w:rsid w:val="00195321"/>
    <w:rsid w:val="00195769"/>
    <w:rsid w:val="00195CA8"/>
    <w:rsid w:val="00196030"/>
    <w:rsid w:val="00196081"/>
    <w:rsid w:val="00196473"/>
    <w:rsid w:val="0019647D"/>
    <w:rsid w:val="001968CD"/>
    <w:rsid w:val="00196B4B"/>
    <w:rsid w:val="00196F2D"/>
    <w:rsid w:val="001971A6"/>
    <w:rsid w:val="00197220"/>
    <w:rsid w:val="001972E5"/>
    <w:rsid w:val="001975D8"/>
    <w:rsid w:val="00197807"/>
    <w:rsid w:val="00197D28"/>
    <w:rsid w:val="00197E1E"/>
    <w:rsid w:val="00197F0B"/>
    <w:rsid w:val="00197FE8"/>
    <w:rsid w:val="001A0007"/>
    <w:rsid w:val="001A0028"/>
    <w:rsid w:val="001A0969"/>
    <w:rsid w:val="001A0A17"/>
    <w:rsid w:val="001A0BFD"/>
    <w:rsid w:val="001A0EA8"/>
    <w:rsid w:val="001A13E9"/>
    <w:rsid w:val="001A1662"/>
    <w:rsid w:val="001A1A2A"/>
    <w:rsid w:val="001A1E35"/>
    <w:rsid w:val="001A2021"/>
    <w:rsid w:val="001A2033"/>
    <w:rsid w:val="001A22A9"/>
    <w:rsid w:val="001A22AE"/>
    <w:rsid w:val="001A22B4"/>
    <w:rsid w:val="001A22F1"/>
    <w:rsid w:val="001A263C"/>
    <w:rsid w:val="001A2AA4"/>
    <w:rsid w:val="001A2FF0"/>
    <w:rsid w:val="001A3354"/>
    <w:rsid w:val="001A36FE"/>
    <w:rsid w:val="001A38CF"/>
    <w:rsid w:val="001A3946"/>
    <w:rsid w:val="001A3A0F"/>
    <w:rsid w:val="001A3C29"/>
    <w:rsid w:val="001A4401"/>
    <w:rsid w:val="001A4CDB"/>
    <w:rsid w:val="001A5103"/>
    <w:rsid w:val="001A57EC"/>
    <w:rsid w:val="001A6029"/>
    <w:rsid w:val="001A649C"/>
    <w:rsid w:val="001A6788"/>
    <w:rsid w:val="001A6BD7"/>
    <w:rsid w:val="001A71A6"/>
    <w:rsid w:val="001A763A"/>
    <w:rsid w:val="001A7691"/>
    <w:rsid w:val="001B0A28"/>
    <w:rsid w:val="001B0A4F"/>
    <w:rsid w:val="001B0AE1"/>
    <w:rsid w:val="001B0DB8"/>
    <w:rsid w:val="001B12E8"/>
    <w:rsid w:val="001B156D"/>
    <w:rsid w:val="001B1838"/>
    <w:rsid w:val="001B1D9F"/>
    <w:rsid w:val="001B20FC"/>
    <w:rsid w:val="001B224C"/>
    <w:rsid w:val="001B2289"/>
    <w:rsid w:val="001B2685"/>
    <w:rsid w:val="001B26B8"/>
    <w:rsid w:val="001B28E1"/>
    <w:rsid w:val="001B2B9C"/>
    <w:rsid w:val="001B2D68"/>
    <w:rsid w:val="001B32B2"/>
    <w:rsid w:val="001B3443"/>
    <w:rsid w:val="001B3954"/>
    <w:rsid w:val="001B4095"/>
    <w:rsid w:val="001B421D"/>
    <w:rsid w:val="001B434B"/>
    <w:rsid w:val="001B4425"/>
    <w:rsid w:val="001B44C8"/>
    <w:rsid w:val="001B4558"/>
    <w:rsid w:val="001B4A08"/>
    <w:rsid w:val="001B4F3A"/>
    <w:rsid w:val="001B4F4B"/>
    <w:rsid w:val="001B50F0"/>
    <w:rsid w:val="001B5274"/>
    <w:rsid w:val="001B5588"/>
    <w:rsid w:val="001B5600"/>
    <w:rsid w:val="001B5963"/>
    <w:rsid w:val="001B59A5"/>
    <w:rsid w:val="001B5DA8"/>
    <w:rsid w:val="001B60D7"/>
    <w:rsid w:val="001B6188"/>
    <w:rsid w:val="001B662A"/>
    <w:rsid w:val="001B6955"/>
    <w:rsid w:val="001B6AB7"/>
    <w:rsid w:val="001B77C9"/>
    <w:rsid w:val="001B7EF0"/>
    <w:rsid w:val="001C0172"/>
    <w:rsid w:val="001C099B"/>
    <w:rsid w:val="001C0BFD"/>
    <w:rsid w:val="001C0C5B"/>
    <w:rsid w:val="001C1030"/>
    <w:rsid w:val="001C1AC3"/>
    <w:rsid w:val="001C1F75"/>
    <w:rsid w:val="001C2137"/>
    <w:rsid w:val="001C2177"/>
    <w:rsid w:val="001C2A96"/>
    <w:rsid w:val="001C36BA"/>
    <w:rsid w:val="001C3B98"/>
    <w:rsid w:val="001C3FFD"/>
    <w:rsid w:val="001C4236"/>
    <w:rsid w:val="001C4B63"/>
    <w:rsid w:val="001C4E75"/>
    <w:rsid w:val="001C5616"/>
    <w:rsid w:val="001C58E5"/>
    <w:rsid w:val="001C5A33"/>
    <w:rsid w:val="001C5CBC"/>
    <w:rsid w:val="001C5D61"/>
    <w:rsid w:val="001C5DEE"/>
    <w:rsid w:val="001C6584"/>
    <w:rsid w:val="001C66C9"/>
    <w:rsid w:val="001C6833"/>
    <w:rsid w:val="001C6BA1"/>
    <w:rsid w:val="001C6BD7"/>
    <w:rsid w:val="001C6DD4"/>
    <w:rsid w:val="001C6E66"/>
    <w:rsid w:val="001C746F"/>
    <w:rsid w:val="001C79FB"/>
    <w:rsid w:val="001D00E4"/>
    <w:rsid w:val="001D02D0"/>
    <w:rsid w:val="001D0621"/>
    <w:rsid w:val="001D06F7"/>
    <w:rsid w:val="001D0AF2"/>
    <w:rsid w:val="001D0E68"/>
    <w:rsid w:val="001D112E"/>
    <w:rsid w:val="001D220F"/>
    <w:rsid w:val="001D29B1"/>
    <w:rsid w:val="001D2FCE"/>
    <w:rsid w:val="001D3001"/>
    <w:rsid w:val="001D3203"/>
    <w:rsid w:val="001D3B8E"/>
    <w:rsid w:val="001D3C86"/>
    <w:rsid w:val="001D3DF3"/>
    <w:rsid w:val="001D3F62"/>
    <w:rsid w:val="001D4265"/>
    <w:rsid w:val="001D42DF"/>
    <w:rsid w:val="001D4AA5"/>
    <w:rsid w:val="001D4E23"/>
    <w:rsid w:val="001D5186"/>
    <w:rsid w:val="001D5678"/>
    <w:rsid w:val="001D6302"/>
    <w:rsid w:val="001D630D"/>
    <w:rsid w:val="001D632B"/>
    <w:rsid w:val="001D63F8"/>
    <w:rsid w:val="001D6D19"/>
    <w:rsid w:val="001D75A2"/>
    <w:rsid w:val="001D7674"/>
    <w:rsid w:val="001D7F29"/>
    <w:rsid w:val="001E007A"/>
    <w:rsid w:val="001E08C2"/>
    <w:rsid w:val="001E0B36"/>
    <w:rsid w:val="001E0FBD"/>
    <w:rsid w:val="001E10D4"/>
    <w:rsid w:val="001E1399"/>
    <w:rsid w:val="001E1497"/>
    <w:rsid w:val="001E19DC"/>
    <w:rsid w:val="001E1ACD"/>
    <w:rsid w:val="001E1B22"/>
    <w:rsid w:val="001E1D81"/>
    <w:rsid w:val="001E238E"/>
    <w:rsid w:val="001E2B58"/>
    <w:rsid w:val="001E2D24"/>
    <w:rsid w:val="001E2E8D"/>
    <w:rsid w:val="001E2F04"/>
    <w:rsid w:val="001E327F"/>
    <w:rsid w:val="001E339F"/>
    <w:rsid w:val="001E3531"/>
    <w:rsid w:val="001E3BB3"/>
    <w:rsid w:val="001E3D1D"/>
    <w:rsid w:val="001E3F95"/>
    <w:rsid w:val="001E4A0C"/>
    <w:rsid w:val="001E4AFE"/>
    <w:rsid w:val="001E4CD4"/>
    <w:rsid w:val="001E4CF0"/>
    <w:rsid w:val="001E4E6C"/>
    <w:rsid w:val="001E4EF6"/>
    <w:rsid w:val="001E4F94"/>
    <w:rsid w:val="001E51D3"/>
    <w:rsid w:val="001E52EB"/>
    <w:rsid w:val="001E5534"/>
    <w:rsid w:val="001E55C4"/>
    <w:rsid w:val="001E57D9"/>
    <w:rsid w:val="001E5C98"/>
    <w:rsid w:val="001E5DA0"/>
    <w:rsid w:val="001E5E03"/>
    <w:rsid w:val="001E5F70"/>
    <w:rsid w:val="001E609F"/>
    <w:rsid w:val="001E6477"/>
    <w:rsid w:val="001E69BB"/>
    <w:rsid w:val="001E6C8C"/>
    <w:rsid w:val="001E6C8D"/>
    <w:rsid w:val="001E6D90"/>
    <w:rsid w:val="001E6DC3"/>
    <w:rsid w:val="001E6FAB"/>
    <w:rsid w:val="001E740C"/>
    <w:rsid w:val="001E76FB"/>
    <w:rsid w:val="001E7B76"/>
    <w:rsid w:val="001E7B89"/>
    <w:rsid w:val="001F0177"/>
    <w:rsid w:val="001F0325"/>
    <w:rsid w:val="001F0454"/>
    <w:rsid w:val="001F0C9A"/>
    <w:rsid w:val="001F0F0D"/>
    <w:rsid w:val="001F0F15"/>
    <w:rsid w:val="001F1235"/>
    <w:rsid w:val="001F1561"/>
    <w:rsid w:val="001F158E"/>
    <w:rsid w:val="001F15CE"/>
    <w:rsid w:val="001F19D3"/>
    <w:rsid w:val="001F19E3"/>
    <w:rsid w:val="001F1CB3"/>
    <w:rsid w:val="001F20C3"/>
    <w:rsid w:val="001F2224"/>
    <w:rsid w:val="001F26AA"/>
    <w:rsid w:val="001F273B"/>
    <w:rsid w:val="001F27DF"/>
    <w:rsid w:val="001F300D"/>
    <w:rsid w:val="001F37EE"/>
    <w:rsid w:val="001F395C"/>
    <w:rsid w:val="001F3A60"/>
    <w:rsid w:val="001F3D20"/>
    <w:rsid w:val="001F41D3"/>
    <w:rsid w:val="001F429F"/>
    <w:rsid w:val="001F445E"/>
    <w:rsid w:val="001F47C1"/>
    <w:rsid w:val="001F48DC"/>
    <w:rsid w:val="001F4B10"/>
    <w:rsid w:val="001F4D42"/>
    <w:rsid w:val="001F4E32"/>
    <w:rsid w:val="001F52C8"/>
    <w:rsid w:val="001F5544"/>
    <w:rsid w:val="001F5647"/>
    <w:rsid w:val="001F586E"/>
    <w:rsid w:val="001F5AF3"/>
    <w:rsid w:val="001F5F20"/>
    <w:rsid w:val="001F6006"/>
    <w:rsid w:val="001F64D1"/>
    <w:rsid w:val="001F6A6C"/>
    <w:rsid w:val="001F7145"/>
    <w:rsid w:val="001F7147"/>
    <w:rsid w:val="001F72FE"/>
    <w:rsid w:val="001F7361"/>
    <w:rsid w:val="001F738A"/>
    <w:rsid w:val="001F763A"/>
    <w:rsid w:val="001F76B9"/>
    <w:rsid w:val="001F78C9"/>
    <w:rsid w:val="001F7B44"/>
    <w:rsid w:val="001F7C66"/>
    <w:rsid w:val="001F7EAE"/>
    <w:rsid w:val="001F7FCF"/>
    <w:rsid w:val="00200181"/>
    <w:rsid w:val="00200296"/>
    <w:rsid w:val="0020099F"/>
    <w:rsid w:val="002009A4"/>
    <w:rsid w:val="00200A0F"/>
    <w:rsid w:val="00200E3E"/>
    <w:rsid w:val="00200F42"/>
    <w:rsid w:val="002011E2"/>
    <w:rsid w:val="002011EE"/>
    <w:rsid w:val="0020127B"/>
    <w:rsid w:val="00201309"/>
    <w:rsid w:val="00201A0F"/>
    <w:rsid w:val="00201F45"/>
    <w:rsid w:val="0020247D"/>
    <w:rsid w:val="002025FE"/>
    <w:rsid w:val="002026B6"/>
    <w:rsid w:val="0020289A"/>
    <w:rsid w:val="00202912"/>
    <w:rsid w:val="00202C07"/>
    <w:rsid w:val="00203484"/>
    <w:rsid w:val="002034F5"/>
    <w:rsid w:val="0020352B"/>
    <w:rsid w:val="002039BB"/>
    <w:rsid w:val="00203FF9"/>
    <w:rsid w:val="00204075"/>
    <w:rsid w:val="002041A7"/>
    <w:rsid w:val="002044A9"/>
    <w:rsid w:val="002045D8"/>
    <w:rsid w:val="00205194"/>
    <w:rsid w:val="00205486"/>
    <w:rsid w:val="00205DAC"/>
    <w:rsid w:val="00205EF4"/>
    <w:rsid w:val="00205EF5"/>
    <w:rsid w:val="00206085"/>
    <w:rsid w:val="002060B7"/>
    <w:rsid w:val="0020629F"/>
    <w:rsid w:val="00206533"/>
    <w:rsid w:val="002065EB"/>
    <w:rsid w:val="00206771"/>
    <w:rsid w:val="00206D9B"/>
    <w:rsid w:val="00206DFE"/>
    <w:rsid w:val="0020734F"/>
    <w:rsid w:val="0020792F"/>
    <w:rsid w:val="00210413"/>
    <w:rsid w:val="002104C2"/>
    <w:rsid w:val="002105C1"/>
    <w:rsid w:val="0021077E"/>
    <w:rsid w:val="00210F91"/>
    <w:rsid w:val="00211528"/>
    <w:rsid w:val="0021153E"/>
    <w:rsid w:val="002116C2"/>
    <w:rsid w:val="0021173D"/>
    <w:rsid w:val="00211CD2"/>
    <w:rsid w:val="00211DAE"/>
    <w:rsid w:val="00211E79"/>
    <w:rsid w:val="00211EA7"/>
    <w:rsid w:val="00212293"/>
    <w:rsid w:val="002122F0"/>
    <w:rsid w:val="002128A4"/>
    <w:rsid w:val="00212BB7"/>
    <w:rsid w:val="00212E42"/>
    <w:rsid w:val="00213300"/>
    <w:rsid w:val="002133E9"/>
    <w:rsid w:val="00213581"/>
    <w:rsid w:val="00213697"/>
    <w:rsid w:val="00213B10"/>
    <w:rsid w:val="00213BB1"/>
    <w:rsid w:val="00213CDA"/>
    <w:rsid w:val="0021417D"/>
    <w:rsid w:val="00214D6F"/>
    <w:rsid w:val="00214FC9"/>
    <w:rsid w:val="0021545E"/>
    <w:rsid w:val="002159D9"/>
    <w:rsid w:val="00215A80"/>
    <w:rsid w:val="00215AC5"/>
    <w:rsid w:val="00215BC8"/>
    <w:rsid w:val="00215D7E"/>
    <w:rsid w:val="00215E64"/>
    <w:rsid w:val="002161E9"/>
    <w:rsid w:val="0021664F"/>
    <w:rsid w:val="00216789"/>
    <w:rsid w:val="00216AA7"/>
    <w:rsid w:val="00216CD5"/>
    <w:rsid w:val="00216E83"/>
    <w:rsid w:val="0021759A"/>
    <w:rsid w:val="00217B37"/>
    <w:rsid w:val="00217B8F"/>
    <w:rsid w:val="00217DE4"/>
    <w:rsid w:val="0022047F"/>
    <w:rsid w:val="002205C1"/>
    <w:rsid w:val="002209CB"/>
    <w:rsid w:val="00220A55"/>
    <w:rsid w:val="00220AC7"/>
    <w:rsid w:val="0022215F"/>
    <w:rsid w:val="002221C6"/>
    <w:rsid w:val="00222745"/>
    <w:rsid w:val="00222DD7"/>
    <w:rsid w:val="00223324"/>
    <w:rsid w:val="00223358"/>
    <w:rsid w:val="00223B39"/>
    <w:rsid w:val="00223B49"/>
    <w:rsid w:val="00223B84"/>
    <w:rsid w:val="00223C0E"/>
    <w:rsid w:val="00223D0B"/>
    <w:rsid w:val="00223E13"/>
    <w:rsid w:val="002241A5"/>
    <w:rsid w:val="002249B0"/>
    <w:rsid w:val="00224DD4"/>
    <w:rsid w:val="00225272"/>
    <w:rsid w:val="002252A0"/>
    <w:rsid w:val="00225435"/>
    <w:rsid w:val="002254DC"/>
    <w:rsid w:val="0022556F"/>
    <w:rsid w:val="00225605"/>
    <w:rsid w:val="00225704"/>
    <w:rsid w:val="00225ABE"/>
    <w:rsid w:val="00225C45"/>
    <w:rsid w:val="00225CB5"/>
    <w:rsid w:val="00226259"/>
    <w:rsid w:val="002263AD"/>
    <w:rsid w:val="00226553"/>
    <w:rsid w:val="002265E7"/>
    <w:rsid w:val="002267D8"/>
    <w:rsid w:val="00226967"/>
    <w:rsid w:val="00226988"/>
    <w:rsid w:val="00226A93"/>
    <w:rsid w:val="002276D2"/>
    <w:rsid w:val="0022798E"/>
    <w:rsid w:val="00227EBF"/>
    <w:rsid w:val="0023015F"/>
    <w:rsid w:val="002304FA"/>
    <w:rsid w:val="0023075B"/>
    <w:rsid w:val="0023084C"/>
    <w:rsid w:val="002308C9"/>
    <w:rsid w:val="002308CE"/>
    <w:rsid w:val="002309CC"/>
    <w:rsid w:val="0023108B"/>
    <w:rsid w:val="00231263"/>
    <w:rsid w:val="002313C5"/>
    <w:rsid w:val="00231E12"/>
    <w:rsid w:val="00231F86"/>
    <w:rsid w:val="002320F9"/>
    <w:rsid w:val="0023236C"/>
    <w:rsid w:val="002324D7"/>
    <w:rsid w:val="00232814"/>
    <w:rsid w:val="00232B6F"/>
    <w:rsid w:val="00232BB6"/>
    <w:rsid w:val="00232DAA"/>
    <w:rsid w:val="002330CC"/>
    <w:rsid w:val="002330F5"/>
    <w:rsid w:val="002332BC"/>
    <w:rsid w:val="0023343B"/>
    <w:rsid w:val="002334AA"/>
    <w:rsid w:val="00233656"/>
    <w:rsid w:val="00233C87"/>
    <w:rsid w:val="002340AE"/>
    <w:rsid w:val="00234197"/>
    <w:rsid w:val="0023443E"/>
    <w:rsid w:val="0023464C"/>
    <w:rsid w:val="0023499E"/>
    <w:rsid w:val="00234B25"/>
    <w:rsid w:val="00234BD3"/>
    <w:rsid w:val="00234D70"/>
    <w:rsid w:val="00234EA8"/>
    <w:rsid w:val="0023500A"/>
    <w:rsid w:val="0023501C"/>
    <w:rsid w:val="00235585"/>
    <w:rsid w:val="00235876"/>
    <w:rsid w:val="00235E17"/>
    <w:rsid w:val="00236004"/>
    <w:rsid w:val="002362B2"/>
    <w:rsid w:val="002364E8"/>
    <w:rsid w:val="00236B49"/>
    <w:rsid w:val="00236D91"/>
    <w:rsid w:val="00236DA8"/>
    <w:rsid w:val="00236DCC"/>
    <w:rsid w:val="002374C1"/>
    <w:rsid w:val="00237ED9"/>
    <w:rsid w:val="00240234"/>
    <w:rsid w:val="0024029A"/>
    <w:rsid w:val="0024074F"/>
    <w:rsid w:val="00240BE9"/>
    <w:rsid w:val="002413C1"/>
    <w:rsid w:val="002413C3"/>
    <w:rsid w:val="002418AB"/>
    <w:rsid w:val="0024240F"/>
    <w:rsid w:val="002424DC"/>
    <w:rsid w:val="0024261B"/>
    <w:rsid w:val="00242834"/>
    <w:rsid w:val="002428FD"/>
    <w:rsid w:val="0024298E"/>
    <w:rsid w:val="00242AAE"/>
    <w:rsid w:val="00243039"/>
    <w:rsid w:val="002430D3"/>
    <w:rsid w:val="002432A6"/>
    <w:rsid w:val="00243960"/>
    <w:rsid w:val="00243CD0"/>
    <w:rsid w:val="002443F1"/>
    <w:rsid w:val="00244582"/>
    <w:rsid w:val="00244A1C"/>
    <w:rsid w:val="00244A60"/>
    <w:rsid w:val="00244C96"/>
    <w:rsid w:val="00244FB4"/>
    <w:rsid w:val="002451DA"/>
    <w:rsid w:val="00245536"/>
    <w:rsid w:val="002455BA"/>
    <w:rsid w:val="00245BDC"/>
    <w:rsid w:val="002460CE"/>
    <w:rsid w:val="00246444"/>
    <w:rsid w:val="00246613"/>
    <w:rsid w:val="00246864"/>
    <w:rsid w:val="0024698A"/>
    <w:rsid w:val="00246C2A"/>
    <w:rsid w:val="00246D61"/>
    <w:rsid w:val="0024711D"/>
    <w:rsid w:val="002474DB"/>
    <w:rsid w:val="0024783D"/>
    <w:rsid w:val="00247943"/>
    <w:rsid w:val="00247B92"/>
    <w:rsid w:val="00247DFA"/>
    <w:rsid w:val="00247E2E"/>
    <w:rsid w:val="00250139"/>
    <w:rsid w:val="00250541"/>
    <w:rsid w:val="00250867"/>
    <w:rsid w:val="00250CED"/>
    <w:rsid w:val="00250D50"/>
    <w:rsid w:val="00250F83"/>
    <w:rsid w:val="00251637"/>
    <w:rsid w:val="00251702"/>
    <w:rsid w:val="00251C3A"/>
    <w:rsid w:val="00251D5E"/>
    <w:rsid w:val="00252411"/>
    <w:rsid w:val="002528F1"/>
    <w:rsid w:val="00252E42"/>
    <w:rsid w:val="002531C8"/>
    <w:rsid w:val="002534A3"/>
    <w:rsid w:val="00253622"/>
    <w:rsid w:val="00253684"/>
    <w:rsid w:val="0025393A"/>
    <w:rsid w:val="002539BA"/>
    <w:rsid w:val="00254039"/>
    <w:rsid w:val="00254076"/>
    <w:rsid w:val="002540EF"/>
    <w:rsid w:val="0025445F"/>
    <w:rsid w:val="0025461A"/>
    <w:rsid w:val="00254628"/>
    <w:rsid w:val="00254665"/>
    <w:rsid w:val="00254A1F"/>
    <w:rsid w:val="00254AD3"/>
    <w:rsid w:val="00254C2C"/>
    <w:rsid w:val="00254FE9"/>
    <w:rsid w:val="002550B7"/>
    <w:rsid w:val="002550BB"/>
    <w:rsid w:val="0025534B"/>
    <w:rsid w:val="0025536A"/>
    <w:rsid w:val="0025541F"/>
    <w:rsid w:val="002554EE"/>
    <w:rsid w:val="002558C9"/>
    <w:rsid w:val="00255A04"/>
    <w:rsid w:val="00255ACF"/>
    <w:rsid w:val="00255BB7"/>
    <w:rsid w:val="00255C82"/>
    <w:rsid w:val="00256044"/>
    <w:rsid w:val="0025647A"/>
    <w:rsid w:val="00256B91"/>
    <w:rsid w:val="002570C5"/>
    <w:rsid w:val="00257103"/>
    <w:rsid w:val="002572E5"/>
    <w:rsid w:val="002579CC"/>
    <w:rsid w:val="00257AC8"/>
    <w:rsid w:val="00257CEF"/>
    <w:rsid w:val="00257F4A"/>
    <w:rsid w:val="00257FCE"/>
    <w:rsid w:val="002600C8"/>
    <w:rsid w:val="002609B9"/>
    <w:rsid w:val="00260B95"/>
    <w:rsid w:val="00260EA4"/>
    <w:rsid w:val="002610BB"/>
    <w:rsid w:val="00261133"/>
    <w:rsid w:val="002611F8"/>
    <w:rsid w:val="00261202"/>
    <w:rsid w:val="00261724"/>
    <w:rsid w:val="00261C9B"/>
    <w:rsid w:val="00261E77"/>
    <w:rsid w:val="002620C4"/>
    <w:rsid w:val="0026273F"/>
    <w:rsid w:val="0026280A"/>
    <w:rsid w:val="00262A87"/>
    <w:rsid w:val="00262C96"/>
    <w:rsid w:val="002631BE"/>
    <w:rsid w:val="002635C3"/>
    <w:rsid w:val="00263654"/>
    <w:rsid w:val="002638E6"/>
    <w:rsid w:val="002639F9"/>
    <w:rsid w:val="00263A8C"/>
    <w:rsid w:val="00263BF6"/>
    <w:rsid w:val="00264077"/>
    <w:rsid w:val="00264788"/>
    <w:rsid w:val="00264CC5"/>
    <w:rsid w:val="002651C2"/>
    <w:rsid w:val="00265219"/>
    <w:rsid w:val="00265AD1"/>
    <w:rsid w:val="00265C4C"/>
    <w:rsid w:val="00265C91"/>
    <w:rsid w:val="00265DB2"/>
    <w:rsid w:val="00265F24"/>
    <w:rsid w:val="00266276"/>
    <w:rsid w:val="00266921"/>
    <w:rsid w:val="002672E4"/>
    <w:rsid w:val="00267CD2"/>
    <w:rsid w:val="00270482"/>
    <w:rsid w:val="002706B8"/>
    <w:rsid w:val="002709BC"/>
    <w:rsid w:val="0027107A"/>
    <w:rsid w:val="00271461"/>
    <w:rsid w:val="002715B4"/>
    <w:rsid w:val="00271CC9"/>
    <w:rsid w:val="00271FFE"/>
    <w:rsid w:val="002720FB"/>
    <w:rsid w:val="00272459"/>
    <w:rsid w:val="002724A6"/>
    <w:rsid w:val="00272594"/>
    <w:rsid w:val="00273510"/>
    <w:rsid w:val="0027385E"/>
    <w:rsid w:val="00273B2F"/>
    <w:rsid w:val="00273F4F"/>
    <w:rsid w:val="00274081"/>
    <w:rsid w:val="002745E5"/>
    <w:rsid w:val="0027499F"/>
    <w:rsid w:val="00274D4E"/>
    <w:rsid w:val="00274FD3"/>
    <w:rsid w:val="002751DF"/>
    <w:rsid w:val="00275286"/>
    <w:rsid w:val="00275507"/>
    <w:rsid w:val="002759C6"/>
    <w:rsid w:val="00275C5A"/>
    <w:rsid w:val="00275F3C"/>
    <w:rsid w:val="0027602F"/>
    <w:rsid w:val="0027623B"/>
    <w:rsid w:val="002762B4"/>
    <w:rsid w:val="002762C2"/>
    <w:rsid w:val="002762D0"/>
    <w:rsid w:val="00276759"/>
    <w:rsid w:val="0027700A"/>
    <w:rsid w:val="0027747B"/>
    <w:rsid w:val="002775CC"/>
    <w:rsid w:val="00277832"/>
    <w:rsid w:val="00277ACA"/>
    <w:rsid w:val="00277B2F"/>
    <w:rsid w:val="00277C45"/>
    <w:rsid w:val="00280070"/>
    <w:rsid w:val="00280718"/>
    <w:rsid w:val="00280888"/>
    <w:rsid w:val="00280DCB"/>
    <w:rsid w:val="00280F02"/>
    <w:rsid w:val="00280FA6"/>
    <w:rsid w:val="00281227"/>
    <w:rsid w:val="0028175B"/>
    <w:rsid w:val="00281D53"/>
    <w:rsid w:val="002823AE"/>
    <w:rsid w:val="00282450"/>
    <w:rsid w:val="002824B1"/>
    <w:rsid w:val="00282A15"/>
    <w:rsid w:val="00282BA5"/>
    <w:rsid w:val="00282FB5"/>
    <w:rsid w:val="0028331D"/>
    <w:rsid w:val="0028334A"/>
    <w:rsid w:val="002834EB"/>
    <w:rsid w:val="002836D8"/>
    <w:rsid w:val="00283754"/>
    <w:rsid w:val="00283E03"/>
    <w:rsid w:val="00283F27"/>
    <w:rsid w:val="002840CE"/>
    <w:rsid w:val="00284218"/>
    <w:rsid w:val="002842AD"/>
    <w:rsid w:val="0028457A"/>
    <w:rsid w:val="002848E3"/>
    <w:rsid w:val="00284A80"/>
    <w:rsid w:val="00284D55"/>
    <w:rsid w:val="00284DC2"/>
    <w:rsid w:val="00285292"/>
    <w:rsid w:val="0028570B"/>
    <w:rsid w:val="0028583D"/>
    <w:rsid w:val="00285BE0"/>
    <w:rsid w:val="00285EAE"/>
    <w:rsid w:val="00285FCA"/>
    <w:rsid w:val="0028650C"/>
    <w:rsid w:val="0028654A"/>
    <w:rsid w:val="0028665C"/>
    <w:rsid w:val="002867CC"/>
    <w:rsid w:val="00286881"/>
    <w:rsid w:val="00286CD9"/>
    <w:rsid w:val="00286CEE"/>
    <w:rsid w:val="00286DA2"/>
    <w:rsid w:val="002873B2"/>
    <w:rsid w:val="0028760C"/>
    <w:rsid w:val="002879EC"/>
    <w:rsid w:val="002903FC"/>
    <w:rsid w:val="0029057C"/>
    <w:rsid w:val="00290680"/>
    <w:rsid w:val="002909D1"/>
    <w:rsid w:val="00290C9B"/>
    <w:rsid w:val="00290F6A"/>
    <w:rsid w:val="00290FE7"/>
    <w:rsid w:val="0029102C"/>
    <w:rsid w:val="00291070"/>
    <w:rsid w:val="0029108F"/>
    <w:rsid w:val="0029137E"/>
    <w:rsid w:val="00291531"/>
    <w:rsid w:val="002915B7"/>
    <w:rsid w:val="0029163E"/>
    <w:rsid w:val="0029169A"/>
    <w:rsid w:val="002918C6"/>
    <w:rsid w:val="00291C92"/>
    <w:rsid w:val="00292281"/>
    <w:rsid w:val="002922BB"/>
    <w:rsid w:val="00292F36"/>
    <w:rsid w:val="00292FA4"/>
    <w:rsid w:val="002934E5"/>
    <w:rsid w:val="0029373F"/>
    <w:rsid w:val="00293A54"/>
    <w:rsid w:val="00293B80"/>
    <w:rsid w:val="0029413A"/>
    <w:rsid w:val="00294290"/>
    <w:rsid w:val="00294C4D"/>
    <w:rsid w:val="00294F24"/>
    <w:rsid w:val="0029512D"/>
    <w:rsid w:val="002957B0"/>
    <w:rsid w:val="00295B21"/>
    <w:rsid w:val="00295D6C"/>
    <w:rsid w:val="00295E93"/>
    <w:rsid w:val="00295F15"/>
    <w:rsid w:val="00296014"/>
    <w:rsid w:val="0029624E"/>
    <w:rsid w:val="00296403"/>
    <w:rsid w:val="002964DF"/>
    <w:rsid w:val="002965C4"/>
    <w:rsid w:val="00296668"/>
    <w:rsid w:val="0029672F"/>
    <w:rsid w:val="002967F7"/>
    <w:rsid w:val="00296C4A"/>
    <w:rsid w:val="00296EEB"/>
    <w:rsid w:val="002971CB"/>
    <w:rsid w:val="00297474"/>
    <w:rsid w:val="00297692"/>
    <w:rsid w:val="00297B01"/>
    <w:rsid w:val="002A02DD"/>
    <w:rsid w:val="002A04AE"/>
    <w:rsid w:val="002A053A"/>
    <w:rsid w:val="002A097C"/>
    <w:rsid w:val="002A0DA0"/>
    <w:rsid w:val="002A0E53"/>
    <w:rsid w:val="002A1299"/>
    <w:rsid w:val="002A14AB"/>
    <w:rsid w:val="002A1852"/>
    <w:rsid w:val="002A1877"/>
    <w:rsid w:val="002A190C"/>
    <w:rsid w:val="002A1B0E"/>
    <w:rsid w:val="002A206F"/>
    <w:rsid w:val="002A2235"/>
    <w:rsid w:val="002A2299"/>
    <w:rsid w:val="002A24E3"/>
    <w:rsid w:val="002A288F"/>
    <w:rsid w:val="002A2A75"/>
    <w:rsid w:val="002A2D44"/>
    <w:rsid w:val="002A34E0"/>
    <w:rsid w:val="002A35DB"/>
    <w:rsid w:val="002A365A"/>
    <w:rsid w:val="002A36AE"/>
    <w:rsid w:val="002A3935"/>
    <w:rsid w:val="002A3D37"/>
    <w:rsid w:val="002A479B"/>
    <w:rsid w:val="002A48FA"/>
    <w:rsid w:val="002A4FEE"/>
    <w:rsid w:val="002A5275"/>
    <w:rsid w:val="002A5388"/>
    <w:rsid w:val="002A5475"/>
    <w:rsid w:val="002A5B82"/>
    <w:rsid w:val="002A5D09"/>
    <w:rsid w:val="002A5D46"/>
    <w:rsid w:val="002A5D4F"/>
    <w:rsid w:val="002A606B"/>
    <w:rsid w:val="002A62E3"/>
    <w:rsid w:val="002A6348"/>
    <w:rsid w:val="002A665C"/>
    <w:rsid w:val="002A6783"/>
    <w:rsid w:val="002A6B90"/>
    <w:rsid w:val="002A6D05"/>
    <w:rsid w:val="002A6DD4"/>
    <w:rsid w:val="002A6E63"/>
    <w:rsid w:val="002A7494"/>
    <w:rsid w:val="002B01C9"/>
    <w:rsid w:val="002B02D5"/>
    <w:rsid w:val="002B0428"/>
    <w:rsid w:val="002B05AA"/>
    <w:rsid w:val="002B0B39"/>
    <w:rsid w:val="002B0C88"/>
    <w:rsid w:val="002B0C9C"/>
    <w:rsid w:val="002B0D17"/>
    <w:rsid w:val="002B125F"/>
    <w:rsid w:val="002B1334"/>
    <w:rsid w:val="002B1A76"/>
    <w:rsid w:val="002B1C1F"/>
    <w:rsid w:val="002B239F"/>
    <w:rsid w:val="002B2555"/>
    <w:rsid w:val="002B25D4"/>
    <w:rsid w:val="002B266C"/>
    <w:rsid w:val="002B2675"/>
    <w:rsid w:val="002B310F"/>
    <w:rsid w:val="002B34F3"/>
    <w:rsid w:val="002B39BC"/>
    <w:rsid w:val="002B3A48"/>
    <w:rsid w:val="002B3F4D"/>
    <w:rsid w:val="002B430D"/>
    <w:rsid w:val="002B432F"/>
    <w:rsid w:val="002B48BA"/>
    <w:rsid w:val="002B4B1E"/>
    <w:rsid w:val="002B4B45"/>
    <w:rsid w:val="002B548B"/>
    <w:rsid w:val="002B56F2"/>
    <w:rsid w:val="002B5A4B"/>
    <w:rsid w:val="002B5B16"/>
    <w:rsid w:val="002B5B5D"/>
    <w:rsid w:val="002B5F58"/>
    <w:rsid w:val="002B5F79"/>
    <w:rsid w:val="002B620D"/>
    <w:rsid w:val="002B6493"/>
    <w:rsid w:val="002B6563"/>
    <w:rsid w:val="002B6878"/>
    <w:rsid w:val="002B69D2"/>
    <w:rsid w:val="002B6B54"/>
    <w:rsid w:val="002B6CCE"/>
    <w:rsid w:val="002B7A12"/>
    <w:rsid w:val="002B7B97"/>
    <w:rsid w:val="002C01FB"/>
    <w:rsid w:val="002C06FA"/>
    <w:rsid w:val="002C07D1"/>
    <w:rsid w:val="002C07FD"/>
    <w:rsid w:val="002C091F"/>
    <w:rsid w:val="002C0D17"/>
    <w:rsid w:val="002C0D1D"/>
    <w:rsid w:val="002C0D8A"/>
    <w:rsid w:val="002C0E7B"/>
    <w:rsid w:val="002C0EC4"/>
    <w:rsid w:val="002C12BC"/>
    <w:rsid w:val="002C1760"/>
    <w:rsid w:val="002C1E1E"/>
    <w:rsid w:val="002C20C4"/>
    <w:rsid w:val="002C2251"/>
    <w:rsid w:val="002C2281"/>
    <w:rsid w:val="002C2595"/>
    <w:rsid w:val="002C25B6"/>
    <w:rsid w:val="002C27C1"/>
    <w:rsid w:val="002C2ACF"/>
    <w:rsid w:val="002C2BAF"/>
    <w:rsid w:val="002C2BD2"/>
    <w:rsid w:val="002C2E29"/>
    <w:rsid w:val="002C2EFF"/>
    <w:rsid w:val="002C2F4F"/>
    <w:rsid w:val="002C33EF"/>
    <w:rsid w:val="002C37D6"/>
    <w:rsid w:val="002C3DA4"/>
    <w:rsid w:val="002C3ED0"/>
    <w:rsid w:val="002C3FA1"/>
    <w:rsid w:val="002C46B2"/>
    <w:rsid w:val="002C46C3"/>
    <w:rsid w:val="002C4CD4"/>
    <w:rsid w:val="002C4FCB"/>
    <w:rsid w:val="002C5141"/>
    <w:rsid w:val="002C53A9"/>
    <w:rsid w:val="002C56C4"/>
    <w:rsid w:val="002C5C6F"/>
    <w:rsid w:val="002C5F8D"/>
    <w:rsid w:val="002C61FF"/>
    <w:rsid w:val="002C65F4"/>
    <w:rsid w:val="002C6A52"/>
    <w:rsid w:val="002C6ADD"/>
    <w:rsid w:val="002C6C25"/>
    <w:rsid w:val="002C6DD0"/>
    <w:rsid w:val="002C6DD4"/>
    <w:rsid w:val="002C7063"/>
    <w:rsid w:val="002C7276"/>
    <w:rsid w:val="002C7388"/>
    <w:rsid w:val="002C75EB"/>
    <w:rsid w:val="002C7827"/>
    <w:rsid w:val="002C7BF4"/>
    <w:rsid w:val="002C7DA4"/>
    <w:rsid w:val="002D0021"/>
    <w:rsid w:val="002D01BE"/>
    <w:rsid w:val="002D024C"/>
    <w:rsid w:val="002D029C"/>
    <w:rsid w:val="002D0348"/>
    <w:rsid w:val="002D0755"/>
    <w:rsid w:val="002D0AEA"/>
    <w:rsid w:val="002D0DB7"/>
    <w:rsid w:val="002D153F"/>
    <w:rsid w:val="002D17C8"/>
    <w:rsid w:val="002D2004"/>
    <w:rsid w:val="002D20D1"/>
    <w:rsid w:val="002D2322"/>
    <w:rsid w:val="002D24FE"/>
    <w:rsid w:val="002D28C7"/>
    <w:rsid w:val="002D2A0E"/>
    <w:rsid w:val="002D3014"/>
    <w:rsid w:val="002D30F1"/>
    <w:rsid w:val="002D3916"/>
    <w:rsid w:val="002D3CE5"/>
    <w:rsid w:val="002D3D1D"/>
    <w:rsid w:val="002D47E6"/>
    <w:rsid w:val="002D4C14"/>
    <w:rsid w:val="002D5780"/>
    <w:rsid w:val="002D5B8A"/>
    <w:rsid w:val="002D5D84"/>
    <w:rsid w:val="002D665D"/>
    <w:rsid w:val="002D6AD6"/>
    <w:rsid w:val="002D6DB6"/>
    <w:rsid w:val="002D7275"/>
    <w:rsid w:val="002D7EA4"/>
    <w:rsid w:val="002D7FF7"/>
    <w:rsid w:val="002E03DA"/>
    <w:rsid w:val="002E0668"/>
    <w:rsid w:val="002E0DFE"/>
    <w:rsid w:val="002E0F32"/>
    <w:rsid w:val="002E0F3B"/>
    <w:rsid w:val="002E0FD8"/>
    <w:rsid w:val="002E1064"/>
    <w:rsid w:val="002E1105"/>
    <w:rsid w:val="002E1254"/>
    <w:rsid w:val="002E133C"/>
    <w:rsid w:val="002E14E8"/>
    <w:rsid w:val="002E183B"/>
    <w:rsid w:val="002E18C6"/>
    <w:rsid w:val="002E1BC1"/>
    <w:rsid w:val="002E21FF"/>
    <w:rsid w:val="002E246F"/>
    <w:rsid w:val="002E29D1"/>
    <w:rsid w:val="002E2EEF"/>
    <w:rsid w:val="002E32AC"/>
    <w:rsid w:val="002E330E"/>
    <w:rsid w:val="002E3461"/>
    <w:rsid w:val="002E3583"/>
    <w:rsid w:val="002E3D4D"/>
    <w:rsid w:val="002E3F74"/>
    <w:rsid w:val="002E42FA"/>
    <w:rsid w:val="002E4462"/>
    <w:rsid w:val="002E44C3"/>
    <w:rsid w:val="002E46E9"/>
    <w:rsid w:val="002E49DD"/>
    <w:rsid w:val="002E4DB3"/>
    <w:rsid w:val="002E4ECB"/>
    <w:rsid w:val="002E4EEA"/>
    <w:rsid w:val="002E51C5"/>
    <w:rsid w:val="002E537E"/>
    <w:rsid w:val="002E5699"/>
    <w:rsid w:val="002E5857"/>
    <w:rsid w:val="002E5909"/>
    <w:rsid w:val="002E5E68"/>
    <w:rsid w:val="002E6161"/>
    <w:rsid w:val="002E617B"/>
    <w:rsid w:val="002E6ABA"/>
    <w:rsid w:val="002E6BAE"/>
    <w:rsid w:val="002E6C1D"/>
    <w:rsid w:val="002E7164"/>
    <w:rsid w:val="002E723A"/>
    <w:rsid w:val="002E7371"/>
    <w:rsid w:val="002E796A"/>
    <w:rsid w:val="002E7A21"/>
    <w:rsid w:val="002E7D4A"/>
    <w:rsid w:val="002E7E69"/>
    <w:rsid w:val="002F008A"/>
    <w:rsid w:val="002F0320"/>
    <w:rsid w:val="002F0524"/>
    <w:rsid w:val="002F05A2"/>
    <w:rsid w:val="002F06F0"/>
    <w:rsid w:val="002F0810"/>
    <w:rsid w:val="002F083A"/>
    <w:rsid w:val="002F0A2D"/>
    <w:rsid w:val="002F117A"/>
    <w:rsid w:val="002F1F55"/>
    <w:rsid w:val="002F20ED"/>
    <w:rsid w:val="002F215A"/>
    <w:rsid w:val="002F2B73"/>
    <w:rsid w:val="002F2D8A"/>
    <w:rsid w:val="002F3154"/>
    <w:rsid w:val="002F3202"/>
    <w:rsid w:val="002F3488"/>
    <w:rsid w:val="002F3631"/>
    <w:rsid w:val="002F383D"/>
    <w:rsid w:val="002F39BF"/>
    <w:rsid w:val="002F39C4"/>
    <w:rsid w:val="002F3BC7"/>
    <w:rsid w:val="002F400A"/>
    <w:rsid w:val="002F41AA"/>
    <w:rsid w:val="002F4346"/>
    <w:rsid w:val="002F4602"/>
    <w:rsid w:val="002F4A76"/>
    <w:rsid w:val="002F4DB0"/>
    <w:rsid w:val="002F5229"/>
    <w:rsid w:val="002F55F8"/>
    <w:rsid w:val="002F56DD"/>
    <w:rsid w:val="002F5B48"/>
    <w:rsid w:val="002F5BA0"/>
    <w:rsid w:val="002F5BD8"/>
    <w:rsid w:val="002F5BEB"/>
    <w:rsid w:val="002F5CC1"/>
    <w:rsid w:val="002F5D3C"/>
    <w:rsid w:val="002F5FB2"/>
    <w:rsid w:val="002F613E"/>
    <w:rsid w:val="002F6586"/>
    <w:rsid w:val="002F6678"/>
    <w:rsid w:val="002F6789"/>
    <w:rsid w:val="002F7079"/>
    <w:rsid w:val="002F7BB0"/>
    <w:rsid w:val="002F7D74"/>
    <w:rsid w:val="002F7E51"/>
    <w:rsid w:val="002F7EE2"/>
    <w:rsid w:val="00300165"/>
    <w:rsid w:val="0030038C"/>
    <w:rsid w:val="0030041C"/>
    <w:rsid w:val="003009C1"/>
    <w:rsid w:val="00300A47"/>
    <w:rsid w:val="00300E37"/>
    <w:rsid w:val="00301017"/>
    <w:rsid w:val="00301048"/>
    <w:rsid w:val="003014F1"/>
    <w:rsid w:val="00301834"/>
    <w:rsid w:val="0030193C"/>
    <w:rsid w:val="00301C1F"/>
    <w:rsid w:val="003024B3"/>
    <w:rsid w:val="003029AA"/>
    <w:rsid w:val="00302A71"/>
    <w:rsid w:val="00302C8C"/>
    <w:rsid w:val="00302CBB"/>
    <w:rsid w:val="00302FBF"/>
    <w:rsid w:val="0030318B"/>
    <w:rsid w:val="0030377F"/>
    <w:rsid w:val="00303B9B"/>
    <w:rsid w:val="003041AD"/>
    <w:rsid w:val="00304327"/>
    <w:rsid w:val="003044B6"/>
    <w:rsid w:val="00304911"/>
    <w:rsid w:val="00304A6A"/>
    <w:rsid w:val="00304F0F"/>
    <w:rsid w:val="00304FCA"/>
    <w:rsid w:val="0030500F"/>
    <w:rsid w:val="00305134"/>
    <w:rsid w:val="003055CA"/>
    <w:rsid w:val="0030567D"/>
    <w:rsid w:val="00305732"/>
    <w:rsid w:val="00305916"/>
    <w:rsid w:val="00305ABA"/>
    <w:rsid w:val="00306181"/>
    <w:rsid w:val="003061F8"/>
    <w:rsid w:val="00306388"/>
    <w:rsid w:val="003063A8"/>
    <w:rsid w:val="00306864"/>
    <w:rsid w:val="00306B24"/>
    <w:rsid w:val="003073BF"/>
    <w:rsid w:val="00307584"/>
    <w:rsid w:val="0030786C"/>
    <w:rsid w:val="003078F3"/>
    <w:rsid w:val="00307A30"/>
    <w:rsid w:val="00307EFF"/>
    <w:rsid w:val="00310200"/>
    <w:rsid w:val="0031031A"/>
    <w:rsid w:val="00310366"/>
    <w:rsid w:val="003106AF"/>
    <w:rsid w:val="00310DF6"/>
    <w:rsid w:val="00310ED4"/>
    <w:rsid w:val="00310EF4"/>
    <w:rsid w:val="00311111"/>
    <w:rsid w:val="003111DC"/>
    <w:rsid w:val="00311300"/>
    <w:rsid w:val="003115E3"/>
    <w:rsid w:val="00311CF3"/>
    <w:rsid w:val="00311EA1"/>
    <w:rsid w:val="00311F98"/>
    <w:rsid w:val="0031210E"/>
    <w:rsid w:val="00312155"/>
    <w:rsid w:val="003127BE"/>
    <w:rsid w:val="003128A2"/>
    <w:rsid w:val="00312D71"/>
    <w:rsid w:val="0031321C"/>
    <w:rsid w:val="00313BFD"/>
    <w:rsid w:val="00313C21"/>
    <w:rsid w:val="00314085"/>
    <w:rsid w:val="003142AE"/>
    <w:rsid w:val="003142B1"/>
    <w:rsid w:val="00314C2A"/>
    <w:rsid w:val="00314E71"/>
    <w:rsid w:val="003150EC"/>
    <w:rsid w:val="003151F6"/>
    <w:rsid w:val="0031535A"/>
    <w:rsid w:val="003153CA"/>
    <w:rsid w:val="00315498"/>
    <w:rsid w:val="00315AAB"/>
    <w:rsid w:val="00315EDF"/>
    <w:rsid w:val="003164F9"/>
    <w:rsid w:val="00316728"/>
    <w:rsid w:val="003168F0"/>
    <w:rsid w:val="00317080"/>
    <w:rsid w:val="00317158"/>
    <w:rsid w:val="00317296"/>
    <w:rsid w:val="00317627"/>
    <w:rsid w:val="003176C7"/>
    <w:rsid w:val="00317830"/>
    <w:rsid w:val="003178B6"/>
    <w:rsid w:val="00317E1F"/>
    <w:rsid w:val="00317E66"/>
    <w:rsid w:val="00317EFA"/>
    <w:rsid w:val="003201BF"/>
    <w:rsid w:val="003203A9"/>
    <w:rsid w:val="00320461"/>
    <w:rsid w:val="00320611"/>
    <w:rsid w:val="00320666"/>
    <w:rsid w:val="00320686"/>
    <w:rsid w:val="00320856"/>
    <w:rsid w:val="00320C6C"/>
    <w:rsid w:val="00320DF2"/>
    <w:rsid w:val="00320E5B"/>
    <w:rsid w:val="00320F2D"/>
    <w:rsid w:val="00320F91"/>
    <w:rsid w:val="003211F5"/>
    <w:rsid w:val="0032128F"/>
    <w:rsid w:val="003214D5"/>
    <w:rsid w:val="00321803"/>
    <w:rsid w:val="0032189E"/>
    <w:rsid w:val="00321BC1"/>
    <w:rsid w:val="00321BCD"/>
    <w:rsid w:val="00322303"/>
    <w:rsid w:val="0032279A"/>
    <w:rsid w:val="00322D58"/>
    <w:rsid w:val="00323010"/>
    <w:rsid w:val="00323551"/>
    <w:rsid w:val="003235CD"/>
    <w:rsid w:val="00323683"/>
    <w:rsid w:val="003239BE"/>
    <w:rsid w:val="00324325"/>
    <w:rsid w:val="003244A7"/>
    <w:rsid w:val="003244AE"/>
    <w:rsid w:val="00324621"/>
    <w:rsid w:val="0032468A"/>
    <w:rsid w:val="003247A8"/>
    <w:rsid w:val="00324B63"/>
    <w:rsid w:val="00325067"/>
    <w:rsid w:val="003252C5"/>
    <w:rsid w:val="00325583"/>
    <w:rsid w:val="00325C5C"/>
    <w:rsid w:val="00325D70"/>
    <w:rsid w:val="00326BD0"/>
    <w:rsid w:val="00326C35"/>
    <w:rsid w:val="00326EBC"/>
    <w:rsid w:val="00327128"/>
    <w:rsid w:val="003271E6"/>
    <w:rsid w:val="00327238"/>
    <w:rsid w:val="003275A0"/>
    <w:rsid w:val="00327737"/>
    <w:rsid w:val="00327895"/>
    <w:rsid w:val="003279A3"/>
    <w:rsid w:val="00327A6C"/>
    <w:rsid w:val="00327CA2"/>
    <w:rsid w:val="00327CCF"/>
    <w:rsid w:val="00327DB3"/>
    <w:rsid w:val="00327E8F"/>
    <w:rsid w:val="00330201"/>
    <w:rsid w:val="00330455"/>
    <w:rsid w:val="00330520"/>
    <w:rsid w:val="0033065B"/>
    <w:rsid w:val="003313B1"/>
    <w:rsid w:val="003314D5"/>
    <w:rsid w:val="00331611"/>
    <w:rsid w:val="00331B84"/>
    <w:rsid w:val="00332691"/>
    <w:rsid w:val="00332826"/>
    <w:rsid w:val="00332944"/>
    <w:rsid w:val="00332A36"/>
    <w:rsid w:val="00332C13"/>
    <w:rsid w:val="003330B4"/>
    <w:rsid w:val="00333575"/>
    <w:rsid w:val="00333B03"/>
    <w:rsid w:val="00333E9A"/>
    <w:rsid w:val="003341CE"/>
    <w:rsid w:val="003344CA"/>
    <w:rsid w:val="003349D7"/>
    <w:rsid w:val="00334ABA"/>
    <w:rsid w:val="00334AEF"/>
    <w:rsid w:val="00334C38"/>
    <w:rsid w:val="00334CB1"/>
    <w:rsid w:val="00334E55"/>
    <w:rsid w:val="00334FFB"/>
    <w:rsid w:val="00335546"/>
    <w:rsid w:val="0033554C"/>
    <w:rsid w:val="00335D8F"/>
    <w:rsid w:val="00335F43"/>
    <w:rsid w:val="00335F49"/>
    <w:rsid w:val="00335F61"/>
    <w:rsid w:val="00336263"/>
    <w:rsid w:val="0033642C"/>
    <w:rsid w:val="003366C9"/>
    <w:rsid w:val="0033678F"/>
    <w:rsid w:val="00336BC3"/>
    <w:rsid w:val="00336CC8"/>
    <w:rsid w:val="00336F58"/>
    <w:rsid w:val="003373AA"/>
    <w:rsid w:val="003373CC"/>
    <w:rsid w:val="003374F9"/>
    <w:rsid w:val="00337FA2"/>
    <w:rsid w:val="00337FAC"/>
    <w:rsid w:val="00340233"/>
    <w:rsid w:val="00340458"/>
    <w:rsid w:val="0034125F"/>
    <w:rsid w:val="00341536"/>
    <w:rsid w:val="00341590"/>
    <w:rsid w:val="00341753"/>
    <w:rsid w:val="00341AC2"/>
    <w:rsid w:val="00341D65"/>
    <w:rsid w:val="0034282D"/>
    <w:rsid w:val="003428FE"/>
    <w:rsid w:val="003429F2"/>
    <w:rsid w:val="00342F0B"/>
    <w:rsid w:val="00343369"/>
    <w:rsid w:val="00343623"/>
    <w:rsid w:val="003437D0"/>
    <w:rsid w:val="00343E61"/>
    <w:rsid w:val="00343F37"/>
    <w:rsid w:val="003441F0"/>
    <w:rsid w:val="0034471B"/>
    <w:rsid w:val="0034481A"/>
    <w:rsid w:val="00344D23"/>
    <w:rsid w:val="00345774"/>
    <w:rsid w:val="00345C08"/>
    <w:rsid w:val="00345F90"/>
    <w:rsid w:val="0034607A"/>
    <w:rsid w:val="00346520"/>
    <w:rsid w:val="003465B1"/>
    <w:rsid w:val="00346C69"/>
    <w:rsid w:val="00346C84"/>
    <w:rsid w:val="003473BE"/>
    <w:rsid w:val="003476FD"/>
    <w:rsid w:val="00347A74"/>
    <w:rsid w:val="00347B81"/>
    <w:rsid w:val="00350E56"/>
    <w:rsid w:val="00350F67"/>
    <w:rsid w:val="00350FE8"/>
    <w:rsid w:val="0035111C"/>
    <w:rsid w:val="00351329"/>
    <w:rsid w:val="003513BC"/>
    <w:rsid w:val="003515E8"/>
    <w:rsid w:val="003516C2"/>
    <w:rsid w:val="003518E7"/>
    <w:rsid w:val="00351ACE"/>
    <w:rsid w:val="00351B49"/>
    <w:rsid w:val="00351C1B"/>
    <w:rsid w:val="003520E0"/>
    <w:rsid w:val="00352237"/>
    <w:rsid w:val="003528F7"/>
    <w:rsid w:val="00352BF4"/>
    <w:rsid w:val="00352D64"/>
    <w:rsid w:val="0035344B"/>
    <w:rsid w:val="00353628"/>
    <w:rsid w:val="0035364A"/>
    <w:rsid w:val="00353DB2"/>
    <w:rsid w:val="00353E1A"/>
    <w:rsid w:val="003542A9"/>
    <w:rsid w:val="00354347"/>
    <w:rsid w:val="003544A6"/>
    <w:rsid w:val="00354912"/>
    <w:rsid w:val="00354926"/>
    <w:rsid w:val="00354A78"/>
    <w:rsid w:val="00354B21"/>
    <w:rsid w:val="00354B5C"/>
    <w:rsid w:val="00354FBC"/>
    <w:rsid w:val="0035582C"/>
    <w:rsid w:val="003559CF"/>
    <w:rsid w:val="00355F48"/>
    <w:rsid w:val="0035620E"/>
    <w:rsid w:val="003562AC"/>
    <w:rsid w:val="0035646C"/>
    <w:rsid w:val="00356FAE"/>
    <w:rsid w:val="00357127"/>
    <w:rsid w:val="00357155"/>
    <w:rsid w:val="0035733D"/>
    <w:rsid w:val="0035742B"/>
    <w:rsid w:val="00357451"/>
    <w:rsid w:val="003577AB"/>
    <w:rsid w:val="00357FB0"/>
    <w:rsid w:val="0036062E"/>
    <w:rsid w:val="00360981"/>
    <w:rsid w:val="00360B90"/>
    <w:rsid w:val="00360E32"/>
    <w:rsid w:val="00361290"/>
    <w:rsid w:val="0036131C"/>
    <w:rsid w:val="003617DB"/>
    <w:rsid w:val="00361CA2"/>
    <w:rsid w:val="00361D28"/>
    <w:rsid w:val="00361E56"/>
    <w:rsid w:val="00361F83"/>
    <w:rsid w:val="00361FD3"/>
    <w:rsid w:val="00361FEA"/>
    <w:rsid w:val="003623C9"/>
    <w:rsid w:val="0036255E"/>
    <w:rsid w:val="00362887"/>
    <w:rsid w:val="003629A8"/>
    <w:rsid w:val="00362C31"/>
    <w:rsid w:val="00362CB3"/>
    <w:rsid w:val="003630D5"/>
    <w:rsid w:val="00363262"/>
    <w:rsid w:val="0036332A"/>
    <w:rsid w:val="0036333E"/>
    <w:rsid w:val="003634DF"/>
    <w:rsid w:val="003637A5"/>
    <w:rsid w:val="00363D12"/>
    <w:rsid w:val="00363ECD"/>
    <w:rsid w:val="00363F3B"/>
    <w:rsid w:val="00364672"/>
    <w:rsid w:val="00364826"/>
    <w:rsid w:val="00364BBD"/>
    <w:rsid w:val="00364D6C"/>
    <w:rsid w:val="00364ED5"/>
    <w:rsid w:val="003652D7"/>
    <w:rsid w:val="00365855"/>
    <w:rsid w:val="00365BD3"/>
    <w:rsid w:val="0036609D"/>
    <w:rsid w:val="00366407"/>
    <w:rsid w:val="00366718"/>
    <w:rsid w:val="0036678C"/>
    <w:rsid w:val="003667FC"/>
    <w:rsid w:val="00366A38"/>
    <w:rsid w:val="00366CC0"/>
    <w:rsid w:val="0036707E"/>
    <w:rsid w:val="0036711E"/>
    <w:rsid w:val="0036747B"/>
    <w:rsid w:val="0036753E"/>
    <w:rsid w:val="00367758"/>
    <w:rsid w:val="00367979"/>
    <w:rsid w:val="003679A5"/>
    <w:rsid w:val="00367D86"/>
    <w:rsid w:val="0037006E"/>
    <w:rsid w:val="0037087F"/>
    <w:rsid w:val="00370A9F"/>
    <w:rsid w:val="00370BCC"/>
    <w:rsid w:val="00370C4B"/>
    <w:rsid w:val="00370D3C"/>
    <w:rsid w:val="003712F7"/>
    <w:rsid w:val="003718DB"/>
    <w:rsid w:val="0037240B"/>
    <w:rsid w:val="003725A5"/>
    <w:rsid w:val="00372759"/>
    <w:rsid w:val="00373068"/>
    <w:rsid w:val="003731C3"/>
    <w:rsid w:val="003733CE"/>
    <w:rsid w:val="0037366A"/>
    <w:rsid w:val="00373986"/>
    <w:rsid w:val="00373EF7"/>
    <w:rsid w:val="00374159"/>
    <w:rsid w:val="003742B4"/>
    <w:rsid w:val="00374616"/>
    <w:rsid w:val="00374B81"/>
    <w:rsid w:val="00375205"/>
    <w:rsid w:val="0037528C"/>
    <w:rsid w:val="00375291"/>
    <w:rsid w:val="003752DF"/>
    <w:rsid w:val="003758F7"/>
    <w:rsid w:val="00376306"/>
    <w:rsid w:val="003763B2"/>
    <w:rsid w:val="00376555"/>
    <w:rsid w:val="0037659F"/>
    <w:rsid w:val="00376613"/>
    <w:rsid w:val="00376667"/>
    <w:rsid w:val="00376EEC"/>
    <w:rsid w:val="00377020"/>
    <w:rsid w:val="003770A7"/>
    <w:rsid w:val="0037743D"/>
    <w:rsid w:val="003775DA"/>
    <w:rsid w:val="00377871"/>
    <w:rsid w:val="0037787A"/>
    <w:rsid w:val="003778CB"/>
    <w:rsid w:val="0037792D"/>
    <w:rsid w:val="00377B93"/>
    <w:rsid w:val="00377C0E"/>
    <w:rsid w:val="00377C82"/>
    <w:rsid w:val="00377CFA"/>
    <w:rsid w:val="00377ED4"/>
    <w:rsid w:val="0038009D"/>
    <w:rsid w:val="00380384"/>
    <w:rsid w:val="00380486"/>
    <w:rsid w:val="00380DD8"/>
    <w:rsid w:val="00381668"/>
    <w:rsid w:val="0038171C"/>
    <w:rsid w:val="0038185B"/>
    <w:rsid w:val="00381A04"/>
    <w:rsid w:val="00381D4B"/>
    <w:rsid w:val="00382056"/>
    <w:rsid w:val="00382256"/>
    <w:rsid w:val="0038249B"/>
    <w:rsid w:val="003824F6"/>
    <w:rsid w:val="0038254D"/>
    <w:rsid w:val="00382CE1"/>
    <w:rsid w:val="003831EC"/>
    <w:rsid w:val="003832E4"/>
    <w:rsid w:val="0038345B"/>
    <w:rsid w:val="0038365C"/>
    <w:rsid w:val="00383A6A"/>
    <w:rsid w:val="00383C85"/>
    <w:rsid w:val="00383C8E"/>
    <w:rsid w:val="00383E65"/>
    <w:rsid w:val="003848DA"/>
    <w:rsid w:val="00384A18"/>
    <w:rsid w:val="00384AD2"/>
    <w:rsid w:val="00384DA5"/>
    <w:rsid w:val="00385008"/>
    <w:rsid w:val="00385157"/>
    <w:rsid w:val="003851B0"/>
    <w:rsid w:val="003853A6"/>
    <w:rsid w:val="003855AF"/>
    <w:rsid w:val="00385663"/>
    <w:rsid w:val="003859B9"/>
    <w:rsid w:val="00386420"/>
    <w:rsid w:val="00386CA7"/>
    <w:rsid w:val="00386DDE"/>
    <w:rsid w:val="00386F10"/>
    <w:rsid w:val="003873D3"/>
    <w:rsid w:val="003874A7"/>
    <w:rsid w:val="0038767B"/>
    <w:rsid w:val="00387F0E"/>
    <w:rsid w:val="00390640"/>
    <w:rsid w:val="00391027"/>
    <w:rsid w:val="00391566"/>
    <w:rsid w:val="003917E9"/>
    <w:rsid w:val="00391C52"/>
    <w:rsid w:val="00391EC0"/>
    <w:rsid w:val="00391F00"/>
    <w:rsid w:val="00392018"/>
    <w:rsid w:val="0039229C"/>
    <w:rsid w:val="00392542"/>
    <w:rsid w:val="00392979"/>
    <w:rsid w:val="00392FF3"/>
    <w:rsid w:val="003931D0"/>
    <w:rsid w:val="0039330C"/>
    <w:rsid w:val="003934AB"/>
    <w:rsid w:val="00393642"/>
    <w:rsid w:val="0039367F"/>
    <w:rsid w:val="00393ED1"/>
    <w:rsid w:val="00393F75"/>
    <w:rsid w:val="0039425F"/>
    <w:rsid w:val="003947DF"/>
    <w:rsid w:val="0039482B"/>
    <w:rsid w:val="00394D9B"/>
    <w:rsid w:val="00394E0B"/>
    <w:rsid w:val="003950EC"/>
    <w:rsid w:val="00395253"/>
    <w:rsid w:val="003956EF"/>
    <w:rsid w:val="003959BA"/>
    <w:rsid w:val="00395DE1"/>
    <w:rsid w:val="00396397"/>
    <w:rsid w:val="00396523"/>
    <w:rsid w:val="003966FE"/>
    <w:rsid w:val="00396953"/>
    <w:rsid w:val="00396EEF"/>
    <w:rsid w:val="00396F65"/>
    <w:rsid w:val="00396FD0"/>
    <w:rsid w:val="0039709E"/>
    <w:rsid w:val="003974F1"/>
    <w:rsid w:val="0039771D"/>
    <w:rsid w:val="003978C2"/>
    <w:rsid w:val="00397969"/>
    <w:rsid w:val="00397C46"/>
    <w:rsid w:val="00397D2D"/>
    <w:rsid w:val="00397D9B"/>
    <w:rsid w:val="003A0134"/>
    <w:rsid w:val="003A044D"/>
    <w:rsid w:val="003A066B"/>
    <w:rsid w:val="003A0949"/>
    <w:rsid w:val="003A09DD"/>
    <w:rsid w:val="003A0A80"/>
    <w:rsid w:val="003A0EB2"/>
    <w:rsid w:val="003A0ECC"/>
    <w:rsid w:val="003A10CD"/>
    <w:rsid w:val="003A19B8"/>
    <w:rsid w:val="003A1A7A"/>
    <w:rsid w:val="003A2074"/>
    <w:rsid w:val="003A2200"/>
    <w:rsid w:val="003A230B"/>
    <w:rsid w:val="003A28CC"/>
    <w:rsid w:val="003A28FE"/>
    <w:rsid w:val="003A2C74"/>
    <w:rsid w:val="003A2D45"/>
    <w:rsid w:val="003A2DA2"/>
    <w:rsid w:val="003A30AE"/>
    <w:rsid w:val="003A3134"/>
    <w:rsid w:val="003A3736"/>
    <w:rsid w:val="003A382F"/>
    <w:rsid w:val="003A3930"/>
    <w:rsid w:val="003A39E7"/>
    <w:rsid w:val="003A44C1"/>
    <w:rsid w:val="003A44DF"/>
    <w:rsid w:val="003A4991"/>
    <w:rsid w:val="003A4DD1"/>
    <w:rsid w:val="003A59C2"/>
    <w:rsid w:val="003A5B26"/>
    <w:rsid w:val="003A5D59"/>
    <w:rsid w:val="003A68D5"/>
    <w:rsid w:val="003A6958"/>
    <w:rsid w:val="003A72CC"/>
    <w:rsid w:val="003A73A0"/>
    <w:rsid w:val="003A755C"/>
    <w:rsid w:val="003A76B7"/>
    <w:rsid w:val="003A7865"/>
    <w:rsid w:val="003A7ADB"/>
    <w:rsid w:val="003A7BD2"/>
    <w:rsid w:val="003A7F76"/>
    <w:rsid w:val="003B0A9C"/>
    <w:rsid w:val="003B0C4C"/>
    <w:rsid w:val="003B0F98"/>
    <w:rsid w:val="003B1074"/>
    <w:rsid w:val="003B118E"/>
    <w:rsid w:val="003B12BB"/>
    <w:rsid w:val="003B1671"/>
    <w:rsid w:val="003B1ACE"/>
    <w:rsid w:val="003B1C9D"/>
    <w:rsid w:val="003B21A5"/>
    <w:rsid w:val="003B22EC"/>
    <w:rsid w:val="003B2489"/>
    <w:rsid w:val="003B2BCB"/>
    <w:rsid w:val="003B2C64"/>
    <w:rsid w:val="003B2E3F"/>
    <w:rsid w:val="003B3329"/>
    <w:rsid w:val="003B39DD"/>
    <w:rsid w:val="003B3C2F"/>
    <w:rsid w:val="003B3CCC"/>
    <w:rsid w:val="003B3F6C"/>
    <w:rsid w:val="003B3F79"/>
    <w:rsid w:val="003B4579"/>
    <w:rsid w:val="003B482C"/>
    <w:rsid w:val="003B4A75"/>
    <w:rsid w:val="003B4D64"/>
    <w:rsid w:val="003B4DB7"/>
    <w:rsid w:val="003B5F17"/>
    <w:rsid w:val="003B6489"/>
    <w:rsid w:val="003B6643"/>
    <w:rsid w:val="003B6669"/>
    <w:rsid w:val="003B6A59"/>
    <w:rsid w:val="003B6AB1"/>
    <w:rsid w:val="003B6F8C"/>
    <w:rsid w:val="003B7220"/>
    <w:rsid w:val="003B73B3"/>
    <w:rsid w:val="003B76E8"/>
    <w:rsid w:val="003B7B7B"/>
    <w:rsid w:val="003C013D"/>
    <w:rsid w:val="003C0532"/>
    <w:rsid w:val="003C0781"/>
    <w:rsid w:val="003C09E7"/>
    <w:rsid w:val="003C0A08"/>
    <w:rsid w:val="003C0C55"/>
    <w:rsid w:val="003C0C92"/>
    <w:rsid w:val="003C0F30"/>
    <w:rsid w:val="003C1175"/>
    <w:rsid w:val="003C1305"/>
    <w:rsid w:val="003C134B"/>
    <w:rsid w:val="003C142A"/>
    <w:rsid w:val="003C144D"/>
    <w:rsid w:val="003C163A"/>
    <w:rsid w:val="003C16C3"/>
    <w:rsid w:val="003C1718"/>
    <w:rsid w:val="003C17E3"/>
    <w:rsid w:val="003C17F9"/>
    <w:rsid w:val="003C1D1E"/>
    <w:rsid w:val="003C1F5A"/>
    <w:rsid w:val="003C2176"/>
    <w:rsid w:val="003C23D2"/>
    <w:rsid w:val="003C28C6"/>
    <w:rsid w:val="003C2EB9"/>
    <w:rsid w:val="003C321A"/>
    <w:rsid w:val="003C3F0E"/>
    <w:rsid w:val="003C411D"/>
    <w:rsid w:val="003C4315"/>
    <w:rsid w:val="003C4897"/>
    <w:rsid w:val="003C4BE7"/>
    <w:rsid w:val="003C53D0"/>
    <w:rsid w:val="003C545A"/>
    <w:rsid w:val="003C5BB5"/>
    <w:rsid w:val="003C5E69"/>
    <w:rsid w:val="003C5FF4"/>
    <w:rsid w:val="003C662D"/>
    <w:rsid w:val="003C670A"/>
    <w:rsid w:val="003C69F7"/>
    <w:rsid w:val="003C6DD6"/>
    <w:rsid w:val="003C70CE"/>
    <w:rsid w:val="003C7458"/>
    <w:rsid w:val="003C74E8"/>
    <w:rsid w:val="003C7B9A"/>
    <w:rsid w:val="003C7F10"/>
    <w:rsid w:val="003D0003"/>
    <w:rsid w:val="003D0148"/>
    <w:rsid w:val="003D02DE"/>
    <w:rsid w:val="003D08A1"/>
    <w:rsid w:val="003D122A"/>
    <w:rsid w:val="003D12CB"/>
    <w:rsid w:val="003D1828"/>
    <w:rsid w:val="003D19B5"/>
    <w:rsid w:val="003D1CCA"/>
    <w:rsid w:val="003D1E2E"/>
    <w:rsid w:val="003D2422"/>
    <w:rsid w:val="003D2425"/>
    <w:rsid w:val="003D3343"/>
    <w:rsid w:val="003D34D8"/>
    <w:rsid w:val="003D3912"/>
    <w:rsid w:val="003D3958"/>
    <w:rsid w:val="003D3A59"/>
    <w:rsid w:val="003D3F39"/>
    <w:rsid w:val="003D48E5"/>
    <w:rsid w:val="003D48FB"/>
    <w:rsid w:val="003D4939"/>
    <w:rsid w:val="003D4A6C"/>
    <w:rsid w:val="003D4A6E"/>
    <w:rsid w:val="003D4AC9"/>
    <w:rsid w:val="003D4F56"/>
    <w:rsid w:val="003D5391"/>
    <w:rsid w:val="003D54C0"/>
    <w:rsid w:val="003D5646"/>
    <w:rsid w:val="003D5776"/>
    <w:rsid w:val="003D5AC0"/>
    <w:rsid w:val="003D5ADA"/>
    <w:rsid w:val="003D5C6D"/>
    <w:rsid w:val="003D5E6C"/>
    <w:rsid w:val="003D603B"/>
    <w:rsid w:val="003D63B5"/>
    <w:rsid w:val="003D6597"/>
    <w:rsid w:val="003D67B0"/>
    <w:rsid w:val="003D6ECA"/>
    <w:rsid w:val="003D6F17"/>
    <w:rsid w:val="003D704D"/>
    <w:rsid w:val="003D76D9"/>
    <w:rsid w:val="003D78FA"/>
    <w:rsid w:val="003D7C73"/>
    <w:rsid w:val="003D7F28"/>
    <w:rsid w:val="003E0359"/>
    <w:rsid w:val="003E0597"/>
    <w:rsid w:val="003E06DB"/>
    <w:rsid w:val="003E0A03"/>
    <w:rsid w:val="003E0A09"/>
    <w:rsid w:val="003E0AD0"/>
    <w:rsid w:val="003E0B45"/>
    <w:rsid w:val="003E0B5A"/>
    <w:rsid w:val="003E11B3"/>
    <w:rsid w:val="003E1330"/>
    <w:rsid w:val="003E1A2B"/>
    <w:rsid w:val="003E2795"/>
    <w:rsid w:val="003E2A56"/>
    <w:rsid w:val="003E3048"/>
    <w:rsid w:val="003E3091"/>
    <w:rsid w:val="003E318C"/>
    <w:rsid w:val="003E32B5"/>
    <w:rsid w:val="003E34F7"/>
    <w:rsid w:val="003E3AF5"/>
    <w:rsid w:val="003E3B33"/>
    <w:rsid w:val="003E3E4A"/>
    <w:rsid w:val="003E3FB7"/>
    <w:rsid w:val="003E4145"/>
    <w:rsid w:val="003E460E"/>
    <w:rsid w:val="003E51F8"/>
    <w:rsid w:val="003E549A"/>
    <w:rsid w:val="003E576D"/>
    <w:rsid w:val="003E5B0D"/>
    <w:rsid w:val="003E5D55"/>
    <w:rsid w:val="003E608A"/>
    <w:rsid w:val="003E61F5"/>
    <w:rsid w:val="003E65B4"/>
    <w:rsid w:val="003E663B"/>
    <w:rsid w:val="003E66AD"/>
    <w:rsid w:val="003E6F34"/>
    <w:rsid w:val="003E74C8"/>
    <w:rsid w:val="003E751E"/>
    <w:rsid w:val="003E786C"/>
    <w:rsid w:val="003E78D6"/>
    <w:rsid w:val="003E7BEB"/>
    <w:rsid w:val="003F01AB"/>
    <w:rsid w:val="003F08CF"/>
    <w:rsid w:val="003F094A"/>
    <w:rsid w:val="003F1179"/>
    <w:rsid w:val="003F152F"/>
    <w:rsid w:val="003F159A"/>
    <w:rsid w:val="003F180B"/>
    <w:rsid w:val="003F1B60"/>
    <w:rsid w:val="003F1F2C"/>
    <w:rsid w:val="003F1F79"/>
    <w:rsid w:val="003F213B"/>
    <w:rsid w:val="003F248A"/>
    <w:rsid w:val="003F24E6"/>
    <w:rsid w:val="003F24F6"/>
    <w:rsid w:val="003F2F1C"/>
    <w:rsid w:val="003F2F1F"/>
    <w:rsid w:val="003F359A"/>
    <w:rsid w:val="003F37BB"/>
    <w:rsid w:val="003F3BFB"/>
    <w:rsid w:val="003F3CD3"/>
    <w:rsid w:val="003F3CFE"/>
    <w:rsid w:val="003F4156"/>
    <w:rsid w:val="003F420C"/>
    <w:rsid w:val="003F4388"/>
    <w:rsid w:val="003F43BE"/>
    <w:rsid w:val="003F51AE"/>
    <w:rsid w:val="003F52F2"/>
    <w:rsid w:val="003F5743"/>
    <w:rsid w:val="003F584C"/>
    <w:rsid w:val="003F598E"/>
    <w:rsid w:val="003F5FF1"/>
    <w:rsid w:val="003F61F5"/>
    <w:rsid w:val="003F6563"/>
    <w:rsid w:val="003F678E"/>
    <w:rsid w:val="003F6861"/>
    <w:rsid w:val="003F6955"/>
    <w:rsid w:val="003F6965"/>
    <w:rsid w:val="003F6AEF"/>
    <w:rsid w:val="003F6B18"/>
    <w:rsid w:val="003F6D34"/>
    <w:rsid w:val="003F70B8"/>
    <w:rsid w:val="003F7936"/>
    <w:rsid w:val="003F7949"/>
    <w:rsid w:val="003F7B0A"/>
    <w:rsid w:val="003F7B1A"/>
    <w:rsid w:val="003F7F90"/>
    <w:rsid w:val="00400128"/>
    <w:rsid w:val="0040031C"/>
    <w:rsid w:val="00400665"/>
    <w:rsid w:val="004008DF"/>
    <w:rsid w:val="00400945"/>
    <w:rsid w:val="00400B93"/>
    <w:rsid w:val="00400CEF"/>
    <w:rsid w:val="004013F1"/>
    <w:rsid w:val="00401447"/>
    <w:rsid w:val="004018DA"/>
    <w:rsid w:val="00401A7B"/>
    <w:rsid w:val="00401BA4"/>
    <w:rsid w:val="0040212B"/>
    <w:rsid w:val="0040247F"/>
    <w:rsid w:val="00402525"/>
    <w:rsid w:val="004028A8"/>
    <w:rsid w:val="0040295A"/>
    <w:rsid w:val="004029D5"/>
    <w:rsid w:val="00402A41"/>
    <w:rsid w:val="00402B1F"/>
    <w:rsid w:val="004030F5"/>
    <w:rsid w:val="00403275"/>
    <w:rsid w:val="0040377B"/>
    <w:rsid w:val="00403871"/>
    <w:rsid w:val="00403F1A"/>
    <w:rsid w:val="00403F28"/>
    <w:rsid w:val="0040413C"/>
    <w:rsid w:val="00404170"/>
    <w:rsid w:val="00404406"/>
    <w:rsid w:val="004044B9"/>
    <w:rsid w:val="00404700"/>
    <w:rsid w:val="00404705"/>
    <w:rsid w:val="00404921"/>
    <w:rsid w:val="00404D38"/>
    <w:rsid w:val="0040538A"/>
    <w:rsid w:val="0040562A"/>
    <w:rsid w:val="0040570B"/>
    <w:rsid w:val="00405764"/>
    <w:rsid w:val="00405A88"/>
    <w:rsid w:val="00405F95"/>
    <w:rsid w:val="004060E4"/>
    <w:rsid w:val="004062E8"/>
    <w:rsid w:val="0040659E"/>
    <w:rsid w:val="00406972"/>
    <w:rsid w:val="00406A97"/>
    <w:rsid w:val="00406D89"/>
    <w:rsid w:val="00406E33"/>
    <w:rsid w:val="00406F56"/>
    <w:rsid w:val="0040746B"/>
    <w:rsid w:val="00407AF2"/>
    <w:rsid w:val="0041016C"/>
    <w:rsid w:val="0041025A"/>
    <w:rsid w:val="004102AF"/>
    <w:rsid w:val="004103C0"/>
    <w:rsid w:val="00410D79"/>
    <w:rsid w:val="00410E25"/>
    <w:rsid w:val="00410EB8"/>
    <w:rsid w:val="00410EC7"/>
    <w:rsid w:val="00410F73"/>
    <w:rsid w:val="0041125F"/>
    <w:rsid w:val="00411261"/>
    <w:rsid w:val="00411292"/>
    <w:rsid w:val="004114DA"/>
    <w:rsid w:val="0041172B"/>
    <w:rsid w:val="004117B1"/>
    <w:rsid w:val="00411824"/>
    <w:rsid w:val="00412309"/>
    <w:rsid w:val="004124B5"/>
    <w:rsid w:val="00412676"/>
    <w:rsid w:val="00412F42"/>
    <w:rsid w:val="0041343E"/>
    <w:rsid w:val="0041357D"/>
    <w:rsid w:val="00413581"/>
    <w:rsid w:val="004138D2"/>
    <w:rsid w:val="00413BB6"/>
    <w:rsid w:val="00413ECD"/>
    <w:rsid w:val="00414476"/>
    <w:rsid w:val="004148CD"/>
    <w:rsid w:val="00414BE8"/>
    <w:rsid w:val="00414CCC"/>
    <w:rsid w:val="00414D84"/>
    <w:rsid w:val="00414F4D"/>
    <w:rsid w:val="0041515A"/>
    <w:rsid w:val="004152CF"/>
    <w:rsid w:val="00415333"/>
    <w:rsid w:val="004153BC"/>
    <w:rsid w:val="00415587"/>
    <w:rsid w:val="00415668"/>
    <w:rsid w:val="004156FF"/>
    <w:rsid w:val="00415B8C"/>
    <w:rsid w:val="00415E9D"/>
    <w:rsid w:val="00415F5C"/>
    <w:rsid w:val="00416402"/>
    <w:rsid w:val="0041677F"/>
    <w:rsid w:val="004167F9"/>
    <w:rsid w:val="00416885"/>
    <w:rsid w:val="004169FC"/>
    <w:rsid w:val="00416A74"/>
    <w:rsid w:val="00417582"/>
    <w:rsid w:val="004175EF"/>
    <w:rsid w:val="004178D9"/>
    <w:rsid w:val="00417967"/>
    <w:rsid w:val="00417ADA"/>
    <w:rsid w:val="00417EBA"/>
    <w:rsid w:val="00417F71"/>
    <w:rsid w:val="004201BF"/>
    <w:rsid w:val="004202E8"/>
    <w:rsid w:val="00420A66"/>
    <w:rsid w:val="00420B62"/>
    <w:rsid w:val="00420B9F"/>
    <w:rsid w:val="00421016"/>
    <w:rsid w:val="004213E3"/>
    <w:rsid w:val="004214A0"/>
    <w:rsid w:val="00421623"/>
    <w:rsid w:val="004219BF"/>
    <w:rsid w:val="00421D8B"/>
    <w:rsid w:val="00421F96"/>
    <w:rsid w:val="004220A0"/>
    <w:rsid w:val="004224A9"/>
    <w:rsid w:val="00422772"/>
    <w:rsid w:val="004228D4"/>
    <w:rsid w:val="004228DA"/>
    <w:rsid w:val="004237A0"/>
    <w:rsid w:val="00424801"/>
    <w:rsid w:val="0042498C"/>
    <w:rsid w:val="0042499D"/>
    <w:rsid w:val="00424D73"/>
    <w:rsid w:val="0042503B"/>
    <w:rsid w:val="004255F4"/>
    <w:rsid w:val="00425CB2"/>
    <w:rsid w:val="00426943"/>
    <w:rsid w:val="004269B9"/>
    <w:rsid w:val="00426EEB"/>
    <w:rsid w:val="00427012"/>
    <w:rsid w:val="00427309"/>
    <w:rsid w:val="00427926"/>
    <w:rsid w:val="00427D21"/>
    <w:rsid w:val="00430483"/>
    <w:rsid w:val="0043048A"/>
    <w:rsid w:val="00430594"/>
    <w:rsid w:val="00430742"/>
    <w:rsid w:val="004308AE"/>
    <w:rsid w:val="00430A0C"/>
    <w:rsid w:val="00430A50"/>
    <w:rsid w:val="00430BA2"/>
    <w:rsid w:val="00430CCF"/>
    <w:rsid w:val="00431156"/>
    <w:rsid w:val="004311C0"/>
    <w:rsid w:val="004313A4"/>
    <w:rsid w:val="004313C3"/>
    <w:rsid w:val="0043165E"/>
    <w:rsid w:val="004318BD"/>
    <w:rsid w:val="00431915"/>
    <w:rsid w:val="00431954"/>
    <w:rsid w:val="004319F8"/>
    <w:rsid w:val="00432080"/>
    <w:rsid w:val="004320A6"/>
    <w:rsid w:val="004322DA"/>
    <w:rsid w:val="00432770"/>
    <w:rsid w:val="00432AE8"/>
    <w:rsid w:val="00432BDD"/>
    <w:rsid w:val="00433441"/>
    <w:rsid w:val="004334F4"/>
    <w:rsid w:val="004336B2"/>
    <w:rsid w:val="004337EA"/>
    <w:rsid w:val="00433BB3"/>
    <w:rsid w:val="004342D5"/>
    <w:rsid w:val="0043437F"/>
    <w:rsid w:val="0043493B"/>
    <w:rsid w:val="00434E3E"/>
    <w:rsid w:val="0043517B"/>
    <w:rsid w:val="004357E5"/>
    <w:rsid w:val="00435967"/>
    <w:rsid w:val="004359AB"/>
    <w:rsid w:val="00435EF0"/>
    <w:rsid w:val="00436095"/>
    <w:rsid w:val="00436199"/>
    <w:rsid w:val="004362F5"/>
    <w:rsid w:val="00436467"/>
    <w:rsid w:val="0043695F"/>
    <w:rsid w:val="0043704E"/>
    <w:rsid w:val="004370DA"/>
    <w:rsid w:val="00437223"/>
    <w:rsid w:val="00437332"/>
    <w:rsid w:val="00437B16"/>
    <w:rsid w:val="00437FD7"/>
    <w:rsid w:val="00440035"/>
    <w:rsid w:val="0044014D"/>
    <w:rsid w:val="004402E2"/>
    <w:rsid w:val="0044031D"/>
    <w:rsid w:val="00440417"/>
    <w:rsid w:val="004406CF"/>
    <w:rsid w:val="00440783"/>
    <w:rsid w:val="00440853"/>
    <w:rsid w:val="004408E8"/>
    <w:rsid w:val="00440B59"/>
    <w:rsid w:val="00440CDF"/>
    <w:rsid w:val="00440EC9"/>
    <w:rsid w:val="00440F0F"/>
    <w:rsid w:val="004412A4"/>
    <w:rsid w:val="00441886"/>
    <w:rsid w:val="00441A62"/>
    <w:rsid w:val="00441C3A"/>
    <w:rsid w:val="00441E0C"/>
    <w:rsid w:val="00441ED2"/>
    <w:rsid w:val="00442407"/>
    <w:rsid w:val="00442897"/>
    <w:rsid w:val="004428E7"/>
    <w:rsid w:val="00442E28"/>
    <w:rsid w:val="00442EC3"/>
    <w:rsid w:val="00442FDA"/>
    <w:rsid w:val="004433A1"/>
    <w:rsid w:val="00443B1E"/>
    <w:rsid w:val="00443BDB"/>
    <w:rsid w:val="00443C57"/>
    <w:rsid w:val="004443A7"/>
    <w:rsid w:val="00444533"/>
    <w:rsid w:val="00444766"/>
    <w:rsid w:val="00444B35"/>
    <w:rsid w:val="004452C8"/>
    <w:rsid w:val="00445313"/>
    <w:rsid w:val="004456A3"/>
    <w:rsid w:val="0044586E"/>
    <w:rsid w:val="00445945"/>
    <w:rsid w:val="004459B6"/>
    <w:rsid w:val="00445BAE"/>
    <w:rsid w:val="00445DD6"/>
    <w:rsid w:val="00445E4F"/>
    <w:rsid w:val="004460C6"/>
    <w:rsid w:val="0044633E"/>
    <w:rsid w:val="004464EB"/>
    <w:rsid w:val="0044659F"/>
    <w:rsid w:val="004465AF"/>
    <w:rsid w:val="00446610"/>
    <w:rsid w:val="0044676A"/>
    <w:rsid w:val="00446CF7"/>
    <w:rsid w:val="00447A5E"/>
    <w:rsid w:val="00447DAB"/>
    <w:rsid w:val="0045001F"/>
    <w:rsid w:val="004500CB"/>
    <w:rsid w:val="0045036A"/>
    <w:rsid w:val="00450BBE"/>
    <w:rsid w:val="00451ACA"/>
    <w:rsid w:val="00451B77"/>
    <w:rsid w:val="00451C6F"/>
    <w:rsid w:val="00452204"/>
    <w:rsid w:val="004522A6"/>
    <w:rsid w:val="00452565"/>
    <w:rsid w:val="004528BA"/>
    <w:rsid w:val="00453596"/>
    <w:rsid w:val="004536D7"/>
    <w:rsid w:val="004538C6"/>
    <w:rsid w:val="00453C48"/>
    <w:rsid w:val="00453CA5"/>
    <w:rsid w:val="00453CD5"/>
    <w:rsid w:val="00454327"/>
    <w:rsid w:val="004545F7"/>
    <w:rsid w:val="00454981"/>
    <w:rsid w:val="00454A0C"/>
    <w:rsid w:val="00454DBB"/>
    <w:rsid w:val="00455400"/>
    <w:rsid w:val="00455649"/>
    <w:rsid w:val="004557C5"/>
    <w:rsid w:val="00455B41"/>
    <w:rsid w:val="00455D45"/>
    <w:rsid w:val="00455EDA"/>
    <w:rsid w:val="00455FFA"/>
    <w:rsid w:val="0045677E"/>
    <w:rsid w:val="00456FA4"/>
    <w:rsid w:val="0045708C"/>
    <w:rsid w:val="00457290"/>
    <w:rsid w:val="00457955"/>
    <w:rsid w:val="00457AD9"/>
    <w:rsid w:val="00457C95"/>
    <w:rsid w:val="00460869"/>
    <w:rsid w:val="0046137A"/>
    <w:rsid w:val="0046191B"/>
    <w:rsid w:val="004619DA"/>
    <w:rsid w:val="00461DF8"/>
    <w:rsid w:val="00461EA0"/>
    <w:rsid w:val="00462001"/>
    <w:rsid w:val="004621DE"/>
    <w:rsid w:val="0046226A"/>
    <w:rsid w:val="00462842"/>
    <w:rsid w:val="00462A0F"/>
    <w:rsid w:val="0046308B"/>
    <w:rsid w:val="00463175"/>
    <w:rsid w:val="00463184"/>
    <w:rsid w:val="0046340F"/>
    <w:rsid w:val="00463711"/>
    <w:rsid w:val="0046394A"/>
    <w:rsid w:val="00464595"/>
    <w:rsid w:val="00464D4E"/>
    <w:rsid w:val="00464DDD"/>
    <w:rsid w:val="00464E8E"/>
    <w:rsid w:val="00464FE1"/>
    <w:rsid w:val="004650B1"/>
    <w:rsid w:val="00465328"/>
    <w:rsid w:val="004653D8"/>
    <w:rsid w:val="0046548C"/>
    <w:rsid w:val="00465D35"/>
    <w:rsid w:val="00466422"/>
    <w:rsid w:val="00466F89"/>
    <w:rsid w:val="00467805"/>
    <w:rsid w:val="00467A1B"/>
    <w:rsid w:val="00467FB1"/>
    <w:rsid w:val="00470416"/>
    <w:rsid w:val="00470767"/>
    <w:rsid w:val="004708D4"/>
    <w:rsid w:val="00470AB9"/>
    <w:rsid w:val="00470C61"/>
    <w:rsid w:val="004712C5"/>
    <w:rsid w:val="0047146B"/>
    <w:rsid w:val="00471CC7"/>
    <w:rsid w:val="00471E16"/>
    <w:rsid w:val="00472359"/>
    <w:rsid w:val="00472611"/>
    <w:rsid w:val="004729C8"/>
    <w:rsid w:val="0047356C"/>
    <w:rsid w:val="0047371A"/>
    <w:rsid w:val="00473984"/>
    <w:rsid w:val="00473EB4"/>
    <w:rsid w:val="00474458"/>
    <w:rsid w:val="0047456A"/>
    <w:rsid w:val="004746A6"/>
    <w:rsid w:val="004748A8"/>
    <w:rsid w:val="00474CBD"/>
    <w:rsid w:val="004762F7"/>
    <w:rsid w:val="004765A9"/>
    <w:rsid w:val="004767DA"/>
    <w:rsid w:val="00476A08"/>
    <w:rsid w:val="00476F48"/>
    <w:rsid w:val="004770EB"/>
    <w:rsid w:val="0047735D"/>
    <w:rsid w:val="00477522"/>
    <w:rsid w:val="004775CE"/>
    <w:rsid w:val="00477A94"/>
    <w:rsid w:val="00480BAA"/>
    <w:rsid w:val="00480C35"/>
    <w:rsid w:val="00480DA4"/>
    <w:rsid w:val="00481315"/>
    <w:rsid w:val="0048186A"/>
    <w:rsid w:val="00481892"/>
    <w:rsid w:val="00481AF3"/>
    <w:rsid w:val="00482066"/>
    <w:rsid w:val="004820F6"/>
    <w:rsid w:val="004822C2"/>
    <w:rsid w:val="004828E8"/>
    <w:rsid w:val="00482D3F"/>
    <w:rsid w:val="00482F29"/>
    <w:rsid w:val="0048346C"/>
    <w:rsid w:val="004836F3"/>
    <w:rsid w:val="00483C62"/>
    <w:rsid w:val="00483C9B"/>
    <w:rsid w:val="004844BC"/>
    <w:rsid w:val="0048467E"/>
    <w:rsid w:val="00484810"/>
    <w:rsid w:val="00484880"/>
    <w:rsid w:val="004848F0"/>
    <w:rsid w:val="00484BE1"/>
    <w:rsid w:val="00484CF5"/>
    <w:rsid w:val="004851AB"/>
    <w:rsid w:val="0048537F"/>
    <w:rsid w:val="004854E2"/>
    <w:rsid w:val="004856D5"/>
    <w:rsid w:val="004865E4"/>
    <w:rsid w:val="004867E2"/>
    <w:rsid w:val="00486A64"/>
    <w:rsid w:val="00486CC5"/>
    <w:rsid w:val="00486D0B"/>
    <w:rsid w:val="00486E04"/>
    <w:rsid w:val="00486E5D"/>
    <w:rsid w:val="004870DE"/>
    <w:rsid w:val="00487B2A"/>
    <w:rsid w:val="00487B34"/>
    <w:rsid w:val="00487DEC"/>
    <w:rsid w:val="004901AB"/>
    <w:rsid w:val="0049026B"/>
    <w:rsid w:val="00490B2B"/>
    <w:rsid w:val="00490BB4"/>
    <w:rsid w:val="00490E79"/>
    <w:rsid w:val="00491084"/>
    <w:rsid w:val="004915E2"/>
    <w:rsid w:val="00491760"/>
    <w:rsid w:val="00491A0C"/>
    <w:rsid w:val="00491B3A"/>
    <w:rsid w:val="00491C25"/>
    <w:rsid w:val="00491CCD"/>
    <w:rsid w:val="00492651"/>
    <w:rsid w:val="00492703"/>
    <w:rsid w:val="0049297A"/>
    <w:rsid w:val="00492C19"/>
    <w:rsid w:val="00492E43"/>
    <w:rsid w:val="0049315A"/>
    <w:rsid w:val="00493258"/>
    <w:rsid w:val="00493697"/>
    <w:rsid w:val="0049386B"/>
    <w:rsid w:val="00493C06"/>
    <w:rsid w:val="00493C94"/>
    <w:rsid w:val="00493D42"/>
    <w:rsid w:val="00493DEA"/>
    <w:rsid w:val="00494394"/>
    <w:rsid w:val="00494879"/>
    <w:rsid w:val="00494A6D"/>
    <w:rsid w:val="00494B79"/>
    <w:rsid w:val="004954A1"/>
    <w:rsid w:val="004954E8"/>
    <w:rsid w:val="0049655D"/>
    <w:rsid w:val="00496885"/>
    <w:rsid w:val="0049716F"/>
    <w:rsid w:val="0049729C"/>
    <w:rsid w:val="004973B3"/>
    <w:rsid w:val="00497E84"/>
    <w:rsid w:val="00497F10"/>
    <w:rsid w:val="004A01EA"/>
    <w:rsid w:val="004A07C1"/>
    <w:rsid w:val="004A0DA1"/>
    <w:rsid w:val="004A0FC3"/>
    <w:rsid w:val="004A15D9"/>
    <w:rsid w:val="004A16DF"/>
    <w:rsid w:val="004A17F1"/>
    <w:rsid w:val="004A18E0"/>
    <w:rsid w:val="004A19BA"/>
    <w:rsid w:val="004A1A5E"/>
    <w:rsid w:val="004A1AE4"/>
    <w:rsid w:val="004A1D4D"/>
    <w:rsid w:val="004A1FD7"/>
    <w:rsid w:val="004A23AA"/>
    <w:rsid w:val="004A322E"/>
    <w:rsid w:val="004A35D1"/>
    <w:rsid w:val="004A39FF"/>
    <w:rsid w:val="004A404A"/>
    <w:rsid w:val="004A4223"/>
    <w:rsid w:val="004A44AE"/>
    <w:rsid w:val="004A4597"/>
    <w:rsid w:val="004A45C3"/>
    <w:rsid w:val="004A482B"/>
    <w:rsid w:val="004A4A2D"/>
    <w:rsid w:val="004A4A73"/>
    <w:rsid w:val="004A51E1"/>
    <w:rsid w:val="004A536E"/>
    <w:rsid w:val="004A5506"/>
    <w:rsid w:val="004A595F"/>
    <w:rsid w:val="004A59E6"/>
    <w:rsid w:val="004A63B0"/>
    <w:rsid w:val="004A6503"/>
    <w:rsid w:val="004A6597"/>
    <w:rsid w:val="004A66F5"/>
    <w:rsid w:val="004A6D5D"/>
    <w:rsid w:val="004A6E70"/>
    <w:rsid w:val="004A6EA3"/>
    <w:rsid w:val="004A7165"/>
    <w:rsid w:val="004A7283"/>
    <w:rsid w:val="004A7338"/>
    <w:rsid w:val="004A74CF"/>
    <w:rsid w:val="004A77F2"/>
    <w:rsid w:val="004A7DF1"/>
    <w:rsid w:val="004B0010"/>
    <w:rsid w:val="004B0452"/>
    <w:rsid w:val="004B06CE"/>
    <w:rsid w:val="004B0B08"/>
    <w:rsid w:val="004B0BF3"/>
    <w:rsid w:val="004B101A"/>
    <w:rsid w:val="004B10D8"/>
    <w:rsid w:val="004B117F"/>
    <w:rsid w:val="004B133E"/>
    <w:rsid w:val="004B1594"/>
    <w:rsid w:val="004B18BE"/>
    <w:rsid w:val="004B18CD"/>
    <w:rsid w:val="004B19FF"/>
    <w:rsid w:val="004B1CE7"/>
    <w:rsid w:val="004B21A8"/>
    <w:rsid w:val="004B2448"/>
    <w:rsid w:val="004B2510"/>
    <w:rsid w:val="004B25A4"/>
    <w:rsid w:val="004B2CE4"/>
    <w:rsid w:val="004B2F18"/>
    <w:rsid w:val="004B3483"/>
    <w:rsid w:val="004B371F"/>
    <w:rsid w:val="004B3A0A"/>
    <w:rsid w:val="004B3BF6"/>
    <w:rsid w:val="004B3C1D"/>
    <w:rsid w:val="004B3DC4"/>
    <w:rsid w:val="004B3DDB"/>
    <w:rsid w:val="004B3E62"/>
    <w:rsid w:val="004B3F93"/>
    <w:rsid w:val="004B4407"/>
    <w:rsid w:val="004B44FD"/>
    <w:rsid w:val="004B4741"/>
    <w:rsid w:val="004B4776"/>
    <w:rsid w:val="004B4922"/>
    <w:rsid w:val="004B4AC1"/>
    <w:rsid w:val="004B4AE3"/>
    <w:rsid w:val="004B4CCE"/>
    <w:rsid w:val="004B5032"/>
    <w:rsid w:val="004B50D1"/>
    <w:rsid w:val="004B5187"/>
    <w:rsid w:val="004B5523"/>
    <w:rsid w:val="004B5539"/>
    <w:rsid w:val="004B5584"/>
    <w:rsid w:val="004B57A8"/>
    <w:rsid w:val="004B57BC"/>
    <w:rsid w:val="004B5881"/>
    <w:rsid w:val="004B5BE6"/>
    <w:rsid w:val="004B5CFC"/>
    <w:rsid w:val="004B6064"/>
    <w:rsid w:val="004B62E0"/>
    <w:rsid w:val="004B62F2"/>
    <w:rsid w:val="004B639E"/>
    <w:rsid w:val="004B6622"/>
    <w:rsid w:val="004B6723"/>
    <w:rsid w:val="004B6E8D"/>
    <w:rsid w:val="004B70A6"/>
    <w:rsid w:val="004B777D"/>
    <w:rsid w:val="004C0145"/>
    <w:rsid w:val="004C0BD5"/>
    <w:rsid w:val="004C0E19"/>
    <w:rsid w:val="004C0FFC"/>
    <w:rsid w:val="004C1085"/>
    <w:rsid w:val="004C136A"/>
    <w:rsid w:val="004C19C8"/>
    <w:rsid w:val="004C1F2B"/>
    <w:rsid w:val="004C1FAD"/>
    <w:rsid w:val="004C1FD4"/>
    <w:rsid w:val="004C22B8"/>
    <w:rsid w:val="004C2756"/>
    <w:rsid w:val="004C27F3"/>
    <w:rsid w:val="004C29D8"/>
    <w:rsid w:val="004C2ADD"/>
    <w:rsid w:val="004C2EAC"/>
    <w:rsid w:val="004C356B"/>
    <w:rsid w:val="004C3F7C"/>
    <w:rsid w:val="004C422B"/>
    <w:rsid w:val="004C42C5"/>
    <w:rsid w:val="004C463D"/>
    <w:rsid w:val="004C4660"/>
    <w:rsid w:val="004C473A"/>
    <w:rsid w:val="004C4813"/>
    <w:rsid w:val="004C4AED"/>
    <w:rsid w:val="004C4B9E"/>
    <w:rsid w:val="004C4C00"/>
    <w:rsid w:val="004C4E0C"/>
    <w:rsid w:val="004C5308"/>
    <w:rsid w:val="004C5321"/>
    <w:rsid w:val="004C58E5"/>
    <w:rsid w:val="004C5D74"/>
    <w:rsid w:val="004C5EE0"/>
    <w:rsid w:val="004C5FFC"/>
    <w:rsid w:val="004C64FA"/>
    <w:rsid w:val="004C68CB"/>
    <w:rsid w:val="004C7072"/>
    <w:rsid w:val="004C7248"/>
    <w:rsid w:val="004C7631"/>
    <w:rsid w:val="004C7C70"/>
    <w:rsid w:val="004C7E36"/>
    <w:rsid w:val="004C7F0B"/>
    <w:rsid w:val="004D0016"/>
    <w:rsid w:val="004D0A01"/>
    <w:rsid w:val="004D0E9B"/>
    <w:rsid w:val="004D1148"/>
    <w:rsid w:val="004D12B7"/>
    <w:rsid w:val="004D17E7"/>
    <w:rsid w:val="004D1BFB"/>
    <w:rsid w:val="004D1C77"/>
    <w:rsid w:val="004D1F53"/>
    <w:rsid w:val="004D2033"/>
    <w:rsid w:val="004D206B"/>
    <w:rsid w:val="004D21A2"/>
    <w:rsid w:val="004D2531"/>
    <w:rsid w:val="004D26C9"/>
    <w:rsid w:val="004D26DA"/>
    <w:rsid w:val="004D2902"/>
    <w:rsid w:val="004D298C"/>
    <w:rsid w:val="004D2B88"/>
    <w:rsid w:val="004D2E0B"/>
    <w:rsid w:val="004D2E6A"/>
    <w:rsid w:val="004D3292"/>
    <w:rsid w:val="004D33DF"/>
    <w:rsid w:val="004D379C"/>
    <w:rsid w:val="004D37E6"/>
    <w:rsid w:val="004D3E42"/>
    <w:rsid w:val="004D3E93"/>
    <w:rsid w:val="004D48D2"/>
    <w:rsid w:val="004D496B"/>
    <w:rsid w:val="004D499E"/>
    <w:rsid w:val="004D4A45"/>
    <w:rsid w:val="004D4CC0"/>
    <w:rsid w:val="004D4E87"/>
    <w:rsid w:val="004D4F31"/>
    <w:rsid w:val="004D5084"/>
    <w:rsid w:val="004D5D44"/>
    <w:rsid w:val="004D6118"/>
    <w:rsid w:val="004D6141"/>
    <w:rsid w:val="004D673D"/>
    <w:rsid w:val="004D6AE9"/>
    <w:rsid w:val="004D6DCE"/>
    <w:rsid w:val="004D6E17"/>
    <w:rsid w:val="004D6F2C"/>
    <w:rsid w:val="004D751D"/>
    <w:rsid w:val="004D7673"/>
    <w:rsid w:val="004D7A38"/>
    <w:rsid w:val="004D7ACF"/>
    <w:rsid w:val="004D7F24"/>
    <w:rsid w:val="004E0224"/>
    <w:rsid w:val="004E027F"/>
    <w:rsid w:val="004E092E"/>
    <w:rsid w:val="004E09FF"/>
    <w:rsid w:val="004E0EB8"/>
    <w:rsid w:val="004E0FE0"/>
    <w:rsid w:val="004E10E6"/>
    <w:rsid w:val="004E2233"/>
    <w:rsid w:val="004E2284"/>
    <w:rsid w:val="004E23A7"/>
    <w:rsid w:val="004E24A2"/>
    <w:rsid w:val="004E25B7"/>
    <w:rsid w:val="004E265C"/>
    <w:rsid w:val="004E27E0"/>
    <w:rsid w:val="004E2ADC"/>
    <w:rsid w:val="004E2C3D"/>
    <w:rsid w:val="004E2F23"/>
    <w:rsid w:val="004E319D"/>
    <w:rsid w:val="004E33C2"/>
    <w:rsid w:val="004E466F"/>
    <w:rsid w:val="004E4956"/>
    <w:rsid w:val="004E4A4C"/>
    <w:rsid w:val="004E4F0E"/>
    <w:rsid w:val="004E50EF"/>
    <w:rsid w:val="004E5176"/>
    <w:rsid w:val="004E523E"/>
    <w:rsid w:val="004E53DD"/>
    <w:rsid w:val="004E5C5F"/>
    <w:rsid w:val="004E5FCE"/>
    <w:rsid w:val="004E62BB"/>
    <w:rsid w:val="004E6372"/>
    <w:rsid w:val="004E6912"/>
    <w:rsid w:val="004E6ED6"/>
    <w:rsid w:val="004E719F"/>
    <w:rsid w:val="004E71DA"/>
    <w:rsid w:val="004E72AE"/>
    <w:rsid w:val="004E738A"/>
    <w:rsid w:val="004E7430"/>
    <w:rsid w:val="004E7538"/>
    <w:rsid w:val="004E7A21"/>
    <w:rsid w:val="004E7AA1"/>
    <w:rsid w:val="004E7F62"/>
    <w:rsid w:val="004E7FB3"/>
    <w:rsid w:val="004F0079"/>
    <w:rsid w:val="004F01AB"/>
    <w:rsid w:val="004F0322"/>
    <w:rsid w:val="004F03E0"/>
    <w:rsid w:val="004F070B"/>
    <w:rsid w:val="004F09C7"/>
    <w:rsid w:val="004F0D6B"/>
    <w:rsid w:val="004F1464"/>
    <w:rsid w:val="004F1534"/>
    <w:rsid w:val="004F19D2"/>
    <w:rsid w:val="004F1ACC"/>
    <w:rsid w:val="004F1D02"/>
    <w:rsid w:val="004F2679"/>
    <w:rsid w:val="004F2A4C"/>
    <w:rsid w:val="004F2D22"/>
    <w:rsid w:val="004F31D8"/>
    <w:rsid w:val="004F3254"/>
    <w:rsid w:val="004F3505"/>
    <w:rsid w:val="004F371D"/>
    <w:rsid w:val="004F37C0"/>
    <w:rsid w:val="004F38D2"/>
    <w:rsid w:val="004F397B"/>
    <w:rsid w:val="004F39A0"/>
    <w:rsid w:val="004F3A58"/>
    <w:rsid w:val="004F3E49"/>
    <w:rsid w:val="004F4E9F"/>
    <w:rsid w:val="004F4FE5"/>
    <w:rsid w:val="004F5045"/>
    <w:rsid w:val="004F55F8"/>
    <w:rsid w:val="004F5928"/>
    <w:rsid w:val="004F60BB"/>
    <w:rsid w:val="004F61C3"/>
    <w:rsid w:val="004F6374"/>
    <w:rsid w:val="004F64C3"/>
    <w:rsid w:val="004F6687"/>
    <w:rsid w:val="004F6837"/>
    <w:rsid w:val="004F69E5"/>
    <w:rsid w:val="004F6B55"/>
    <w:rsid w:val="004F70D9"/>
    <w:rsid w:val="004F744B"/>
    <w:rsid w:val="004F7A82"/>
    <w:rsid w:val="004F7CC1"/>
    <w:rsid w:val="004F7D05"/>
    <w:rsid w:val="005000D6"/>
    <w:rsid w:val="0050094E"/>
    <w:rsid w:val="00500B4D"/>
    <w:rsid w:val="00500E5F"/>
    <w:rsid w:val="00500EA0"/>
    <w:rsid w:val="00500EC3"/>
    <w:rsid w:val="005020B2"/>
    <w:rsid w:val="00502605"/>
    <w:rsid w:val="005027A2"/>
    <w:rsid w:val="00502BEC"/>
    <w:rsid w:val="00502D39"/>
    <w:rsid w:val="00502DE3"/>
    <w:rsid w:val="00502FCC"/>
    <w:rsid w:val="00503F80"/>
    <w:rsid w:val="00504014"/>
    <w:rsid w:val="00504114"/>
    <w:rsid w:val="00504424"/>
    <w:rsid w:val="00504DE9"/>
    <w:rsid w:val="005053CB"/>
    <w:rsid w:val="005054FF"/>
    <w:rsid w:val="0050553E"/>
    <w:rsid w:val="005058BD"/>
    <w:rsid w:val="00505B47"/>
    <w:rsid w:val="005060AB"/>
    <w:rsid w:val="0050620B"/>
    <w:rsid w:val="00506263"/>
    <w:rsid w:val="00506915"/>
    <w:rsid w:val="00506B9F"/>
    <w:rsid w:val="00506E16"/>
    <w:rsid w:val="00507695"/>
    <w:rsid w:val="00507B08"/>
    <w:rsid w:val="00507B43"/>
    <w:rsid w:val="00507B92"/>
    <w:rsid w:val="00510586"/>
    <w:rsid w:val="00510751"/>
    <w:rsid w:val="005109F1"/>
    <w:rsid w:val="00511079"/>
    <w:rsid w:val="005113DB"/>
    <w:rsid w:val="005115F0"/>
    <w:rsid w:val="00511A0F"/>
    <w:rsid w:val="00511B30"/>
    <w:rsid w:val="00511CD8"/>
    <w:rsid w:val="005120B8"/>
    <w:rsid w:val="0051268D"/>
    <w:rsid w:val="00512B66"/>
    <w:rsid w:val="00512EE6"/>
    <w:rsid w:val="0051328F"/>
    <w:rsid w:val="00513399"/>
    <w:rsid w:val="00513569"/>
    <w:rsid w:val="00513646"/>
    <w:rsid w:val="00513826"/>
    <w:rsid w:val="005139D0"/>
    <w:rsid w:val="00513E95"/>
    <w:rsid w:val="005140B4"/>
    <w:rsid w:val="005142B8"/>
    <w:rsid w:val="00514399"/>
    <w:rsid w:val="005143E3"/>
    <w:rsid w:val="00514674"/>
    <w:rsid w:val="00514C4F"/>
    <w:rsid w:val="00514FC8"/>
    <w:rsid w:val="005152B5"/>
    <w:rsid w:val="0051548A"/>
    <w:rsid w:val="00515544"/>
    <w:rsid w:val="005159CF"/>
    <w:rsid w:val="00515A6C"/>
    <w:rsid w:val="0051660B"/>
    <w:rsid w:val="00516662"/>
    <w:rsid w:val="00516FFC"/>
    <w:rsid w:val="00517101"/>
    <w:rsid w:val="0051714D"/>
    <w:rsid w:val="0051774C"/>
    <w:rsid w:val="00517A87"/>
    <w:rsid w:val="00517C22"/>
    <w:rsid w:val="00517D9D"/>
    <w:rsid w:val="00520210"/>
    <w:rsid w:val="00520621"/>
    <w:rsid w:val="0052071B"/>
    <w:rsid w:val="0052094D"/>
    <w:rsid w:val="00520B7F"/>
    <w:rsid w:val="0052118E"/>
    <w:rsid w:val="00521319"/>
    <w:rsid w:val="00521390"/>
    <w:rsid w:val="00521C25"/>
    <w:rsid w:val="00521E9D"/>
    <w:rsid w:val="005228C7"/>
    <w:rsid w:val="00522F33"/>
    <w:rsid w:val="005231B6"/>
    <w:rsid w:val="005237A3"/>
    <w:rsid w:val="005237B7"/>
    <w:rsid w:val="00523C28"/>
    <w:rsid w:val="00523D4F"/>
    <w:rsid w:val="00523E5E"/>
    <w:rsid w:val="005240C5"/>
    <w:rsid w:val="0052414F"/>
    <w:rsid w:val="005242F1"/>
    <w:rsid w:val="00524A04"/>
    <w:rsid w:val="00524DAC"/>
    <w:rsid w:val="00524DC7"/>
    <w:rsid w:val="00524FD8"/>
    <w:rsid w:val="00525064"/>
    <w:rsid w:val="005252A3"/>
    <w:rsid w:val="005252CF"/>
    <w:rsid w:val="00525430"/>
    <w:rsid w:val="005254D6"/>
    <w:rsid w:val="00525530"/>
    <w:rsid w:val="00525B06"/>
    <w:rsid w:val="00525D3F"/>
    <w:rsid w:val="00525F61"/>
    <w:rsid w:val="00526253"/>
    <w:rsid w:val="00526254"/>
    <w:rsid w:val="0052628A"/>
    <w:rsid w:val="005264D0"/>
    <w:rsid w:val="00526A0E"/>
    <w:rsid w:val="00526EED"/>
    <w:rsid w:val="00527138"/>
    <w:rsid w:val="0052758E"/>
    <w:rsid w:val="00527AA9"/>
    <w:rsid w:val="00527B17"/>
    <w:rsid w:val="005308AA"/>
    <w:rsid w:val="00531053"/>
    <w:rsid w:val="00531252"/>
    <w:rsid w:val="005313DF"/>
    <w:rsid w:val="00531652"/>
    <w:rsid w:val="00531678"/>
    <w:rsid w:val="00531A47"/>
    <w:rsid w:val="00531FF7"/>
    <w:rsid w:val="0053233B"/>
    <w:rsid w:val="00532CF1"/>
    <w:rsid w:val="00532E0A"/>
    <w:rsid w:val="005331CB"/>
    <w:rsid w:val="00533257"/>
    <w:rsid w:val="005335BE"/>
    <w:rsid w:val="00533832"/>
    <w:rsid w:val="005338C5"/>
    <w:rsid w:val="005345F3"/>
    <w:rsid w:val="00534832"/>
    <w:rsid w:val="00534A1A"/>
    <w:rsid w:val="00534B54"/>
    <w:rsid w:val="00534C27"/>
    <w:rsid w:val="005355B8"/>
    <w:rsid w:val="00535760"/>
    <w:rsid w:val="00535821"/>
    <w:rsid w:val="005358A2"/>
    <w:rsid w:val="00535CAB"/>
    <w:rsid w:val="00536249"/>
    <w:rsid w:val="00536477"/>
    <w:rsid w:val="00536968"/>
    <w:rsid w:val="00536BC4"/>
    <w:rsid w:val="00536EED"/>
    <w:rsid w:val="005370F9"/>
    <w:rsid w:val="00537393"/>
    <w:rsid w:val="005376BF"/>
    <w:rsid w:val="00537BDC"/>
    <w:rsid w:val="00537D38"/>
    <w:rsid w:val="00537EF2"/>
    <w:rsid w:val="00540870"/>
    <w:rsid w:val="00540F8E"/>
    <w:rsid w:val="00540FAE"/>
    <w:rsid w:val="0054111C"/>
    <w:rsid w:val="005416B4"/>
    <w:rsid w:val="0054174E"/>
    <w:rsid w:val="00541752"/>
    <w:rsid w:val="0054179C"/>
    <w:rsid w:val="00541998"/>
    <w:rsid w:val="00541DA3"/>
    <w:rsid w:val="00541F4C"/>
    <w:rsid w:val="00542342"/>
    <w:rsid w:val="00542502"/>
    <w:rsid w:val="005429D6"/>
    <w:rsid w:val="00542BA6"/>
    <w:rsid w:val="00542E61"/>
    <w:rsid w:val="00542E9A"/>
    <w:rsid w:val="00542F26"/>
    <w:rsid w:val="00543059"/>
    <w:rsid w:val="005430A6"/>
    <w:rsid w:val="005432ED"/>
    <w:rsid w:val="005437FE"/>
    <w:rsid w:val="00543CA8"/>
    <w:rsid w:val="00543CB3"/>
    <w:rsid w:val="00543D66"/>
    <w:rsid w:val="00543DE6"/>
    <w:rsid w:val="005440EB"/>
    <w:rsid w:val="005442C1"/>
    <w:rsid w:val="005442D5"/>
    <w:rsid w:val="0054457A"/>
    <w:rsid w:val="00544F6A"/>
    <w:rsid w:val="0054525A"/>
    <w:rsid w:val="00545694"/>
    <w:rsid w:val="005461A7"/>
    <w:rsid w:val="005463B3"/>
    <w:rsid w:val="00546495"/>
    <w:rsid w:val="00546867"/>
    <w:rsid w:val="00546BA9"/>
    <w:rsid w:val="00546C23"/>
    <w:rsid w:val="00547410"/>
    <w:rsid w:val="005477E1"/>
    <w:rsid w:val="00547881"/>
    <w:rsid w:val="00547A0D"/>
    <w:rsid w:val="00547C13"/>
    <w:rsid w:val="00547DC7"/>
    <w:rsid w:val="00550595"/>
    <w:rsid w:val="005505ED"/>
    <w:rsid w:val="00550A7A"/>
    <w:rsid w:val="00550C67"/>
    <w:rsid w:val="00550F9A"/>
    <w:rsid w:val="00551071"/>
    <w:rsid w:val="00551189"/>
    <w:rsid w:val="00551208"/>
    <w:rsid w:val="005517C9"/>
    <w:rsid w:val="00551992"/>
    <w:rsid w:val="00551EB0"/>
    <w:rsid w:val="00552677"/>
    <w:rsid w:val="00552986"/>
    <w:rsid w:val="00552D4E"/>
    <w:rsid w:val="00552E7C"/>
    <w:rsid w:val="00553481"/>
    <w:rsid w:val="00553500"/>
    <w:rsid w:val="005538AB"/>
    <w:rsid w:val="00553A8E"/>
    <w:rsid w:val="00553AC6"/>
    <w:rsid w:val="00553AE9"/>
    <w:rsid w:val="00553D40"/>
    <w:rsid w:val="00553E61"/>
    <w:rsid w:val="00554581"/>
    <w:rsid w:val="00554F09"/>
    <w:rsid w:val="005550C9"/>
    <w:rsid w:val="00555109"/>
    <w:rsid w:val="0055555F"/>
    <w:rsid w:val="00555643"/>
    <w:rsid w:val="0055569A"/>
    <w:rsid w:val="00555999"/>
    <w:rsid w:val="00555C3B"/>
    <w:rsid w:val="0055615D"/>
    <w:rsid w:val="0055631D"/>
    <w:rsid w:val="0055670F"/>
    <w:rsid w:val="00556C9D"/>
    <w:rsid w:val="00556CFA"/>
    <w:rsid w:val="00557024"/>
    <w:rsid w:val="005572E3"/>
    <w:rsid w:val="005573D7"/>
    <w:rsid w:val="005573E4"/>
    <w:rsid w:val="00557874"/>
    <w:rsid w:val="00557A70"/>
    <w:rsid w:val="00557C0F"/>
    <w:rsid w:val="00557C83"/>
    <w:rsid w:val="00557CE4"/>
    <w:rsid w:val="00557E63"/>
    <w:rsid w:val="00557E6E"/>
    <w:rsid w:val="00557E9A"/>
    <w:rsid w:val="00557F87"/>
    <w:rsid w:val="00560C3B"/>
    <w:rsid w:val="0056158D"/>
    <w:rsid w:val="00561601"/>
    <w:rsid w:val="005617C9"/>
    <w:rsid w:val="0056199F"/>
    <w:rsid w:val="00561C90"/>
    <w:rsid w:val="00561DF8"/>
    <w:rsid w:val="0056215C"/>
    <w:rsid w:val="0056220B"/>
    <w:rsid w:val="005622F8"/>
    <w:rsid w:val="00562372"/>
    <w:rsid w:val="0056276A"/>
    <w:rsid w:val="00562AD8"/>
    <w:rsid w:val="0056318E"/>
    <w:rsid w:val="00563874"/>
    <w:rsid w:val="00563E8D"/>
    <w:rsid w:val="00563F65"/>
    <w:rsid w:val="00563FA8"/>
    <w:rsid w:val="00564260"/>
    <w:rsid w:val="00564A3D"/>
    <w:rsid w:val="0056557E"/>
    <w:rsid w:val="00565B63"/>
    <w:rsid w:val="00565F8B"/>
    <w:rsid w:val="0056613D"/>
    <w:rsid w:val="0056617F"/>
    <w:rsid w:val="005664DB"/>
    <w:rsid w:val="0056683E"/>
    <w:rsid w:val="0056696F"/>
    <w:rsid w:val="00566B71"/>
    <w:rsid w:val="00566C84"/>
    <w:rsid w:val="00566E7E"/>
    <w:rsid w:val="005676F1"/>
    <w:rsid w:val="00567930"/>
    <w:rsid w:val="005679A0"/>
    <w:rsid w:val="00567AB1"/>
    <w:rsid w:val="00567FCB"/>
    <w:rsid w:val="0057066E"/>
    <w:rsid w:val="00571012"/>
    <w:rsid w:val="00571083"/>
    <w:rsid w:val="005712AD"/>
    <w:rsid w:val="00571326"/>
    <w:rsid w:val="005713BB"/>
    <w:rsid w:val="0057163B"/>
    <w:rsid w:val="005718DC"/>
    <w:rsid w:val="00571AAC"/>
    <w:rsid w:val="00571E93"/>
    <w:rsid w:val="00572031"/>
    <w:rsid w:val="00572463"/>
    <w:rsid w:val="005724C9"/>
    <w:rsid w:val="00572A60"/>
    <w:rsid w:val="00572B19"/>
    <w:rsid w:val="0057357F"/>
    <w:rsid w:val="00573661"/>
    <w:rsid w:val="005736E6"/>
    <w:rsid w:val="00573925"/>
    <w:rsid w:val="00573B0A"/>
    <w:rsid w:val="00573FBE"/>
    <w:rsid w:val="005745EE"/>
    <w:rsid w:val="00574A6D"/>
    <w:rsid w:val="00574B58"/>
    <w:rsid w:val="0057574B"/>
    <w:rsid w:val="00575E34"/>
    <w:rsid w:val="00575F2F"/>
    <w:rsid w:val="00576602"/>
    <w:rsid w:val="0057662D"/>
    <w:rsid w:val="00576972"/>
    <w:rsid w:val="00576A5E"/>
    <w:rsid w:val="00576F57"/>
    <w:rsid w:val="005772DD"/>
    <w:rsid w:val="00577717"/>
    <w:rsid w:val="0057775C"/>
    <w:rsid w:val="00577A10"/>
    <w:rsid w:val="005800AF"/>
    <w:rsid w:val="005801E9"/>
    <w:rsid w:val="0058033A"/>
    <w:rsid w:val="00580801"/>
    <w:rsid w:val="00580A64"/>
    <w:rsid w:val="00580B2E"/>
    <w:rsid w:val="00580C75"/>
    <w:rsid w:val="00580C76"/>
    <w:rsid w:val="00580E76"/>
    <w:rsid w:val="00580F0C"/>
    <w:rsid w:val="0058148D"/>
    <w:rsid w:val="005816F1"/>
    <w:rsid w:val="0058171A"/>
    <w:rsid w:val="00581776"/>
    <w:rsid w:val="005818CF"/>
    <w:rsid w:val="00582249"/>
    <w:rsid w:val="00582823"/>
    <w:rsid w:val="00582A36"/>
    <w:rsid w:val="00582E57"/>
    <w:rsid w:val="00583046"/>
    <w:rsid w:val="005831FB"/>
    <w:rsid w:val="0058330A"/>
    <w:rsid w:val="005833B9"/>
    <w:rsid w:val="00583662"/>
    <w:rsid w:val="00583699"/>
    <w:rsid w:val="00583A4F"/>
    <w:rsid w:val="00583A71"/>
    <w:rsid w:val="005842E6"/>
    <w:rsid w:val="00584390"/>
    <w:rsid w:val="005843ED"/>
    <w:rsid w:val="005843F4"/>
    <w:rsid w:val="005846E5"/>
    <w:rsid w:val="005848BE"/>
    <w:rsid w:val="00584B62"/>
    <w:rsid w:val="00584D12"/>
    <w:rsid w:val="00584EA3"/>
    <w:rsid w:val="00585009"/>
    <w:rsid w:val="0058509B"/>
    <w:rsid w:val="005852AE"/>
    <w:rsid w:val="005852EF"/>
    <w:rsid w:val="005853A0"/>
    <w:rsid w:val="00585926"/>
    <w:rsid w:val="005859B5"/>
    <w:rsid w:val="00585C65"/>
    <w:rsid w:val="00585C93"/>
    <w:rsid w:val="00585D47"/>
    <w:rsid w:val="00585DF1"/>
    <w:rsid w:val="00585F0F"/>
    <w:rsid w:val="00585F5D"/>
    <w:rsid w:val="00586D57"/>
    <w:rsid w:val="00586E92"/>
    <w:rsid w:val="00586FFB"/>
    <w:rsid w:val="00587021"/>
    <w:rsid w:val="00587376"/>
    <w:rsid w:val="005875B4"/>
    <w:rsid w:val="0058796B"/>
    <w:rsid w:val="00587C8B"/>
    <w:rsid w:val="00587FB5"/>
    <w:rsid w:val="005903C2"/>
    <w:rsid w:val="005908BE"/>
    <w:rsid w:val="00590B5C"/>
    <w:rsid w:val="00590B6E"/>
    <w:rsid w:val="00590DC4"/>
    <w:rsid w:val="00591118"/>
    <w:rsid w:val="005913ED"/>
    <w:rsid w:val="005919A4"/>
    <w:rsid w:val="00591CAE"/>
    <w:rsid w:val="0059227B"/>
    <w:rsid w:val="00592390"/>
    <w:rsid w:val="005923AF"/>
    <w:rsid w:val="005926DF"/>
    <w:rsid w:val="00592906"/>
    <w:rsid w:val="00592DFD"/>
    <w:rsid w:val="005931CD"/>
    <w:rsid w:val="00593CE6"/>
    <w:rsid w:val="00593F64"/>
    <w:rsid w:val="00594134"/>
    <w:rsid w:val="005941FD"/>
    <w:rsid w:val="00594317"/>
    <w:rsid w:val="00594328"/>
    <w:rsid w:val="00594500"/>
    <w:rsid w:val="0059481A"/>
    <w:rsid w:val="00594A4F"/>
    <w:rsid w:val="00595AAE"/>
    <w:rsid w:val="00595B27"/>
    <w:rsid w:val="00595BA0"/>
    <w:rsid w:val="00595C3E"/>
    <w:rsid w:val="00595CC5"/>
    <w:rsid w:val="00595E86"/>
    <w:rsid w:val="00596314"/>
    <w:rsid w:val="00596439"/>
    <w:rsid w:val="00596A46"/>
    <w:rsid w:val="00596E0E"/>
    <w:rsid w:val="00596F9A"/>
    <w:rsid w:val="00596FC9"/>
    <w:rsid w:val="00597182"/>
    <w:rsid w:val="005A0B5B"/>
    <w:rsid w:val="005A0C3B"/>
    <w:rsid w:val="005A0D63"/>
    <w:rsid w:val="005A141A"/>
    <w:rsid w:val="005A15FC"/>
    <w:rsid w:val="005A1997"/>
    <w:rsid w:val="005A2269"/>
    <w:rsid w:val="005A24AB"/>
    <w:rsid w:val="005A2595"/>
    <w:rsid w:val="005A2EFC"/>
    <w:rsid w:val="005A31DB"/>
    <w:rsid w:val="005A37A0"/>
    <w:rsid w:val="005A38C4"/>
    <w:rsid w:val="005A3A8D"/>
    <w:rsid w:val="005A3AC9"/>
    <w:rsid w:val="005A3D63"/>
    <w:rsid w:val="005A3F1A"/>
    <w:rsid w:val="005A40A2"/>
    <w:rsid w:val="005A41F2"/>
    <w:rsid w:val="005A49ED"/>
    <w:rsid w:val="005A5294"/>
    <w:rsid w:val="005A5604"/>
    <w:rsid w:val="005A575F"/>
    <w:rsid w:val="005A5AE0"/>
    <w:rsid w:val="005A5DF5"/>
    <w:rsid w:val="005A62AC"/>
    <w:rsid w:val="005A653A"/>
    <w:rsid w:val="005A6A19"/>
    <w:rsid w:val="005A6D77"/>
    <w:rsid w:val="005A6DB6"/>
    <w:rsid w:val="005A750A"/>
    <w:rsid w:val="005A790C"/>
    <w:rsid w:val="005A79AC"/>
    <w:rsid w:val="005A7D23"/>
    <w:rsid w:val="005A7D88"/>
    <w:rsid w:val="005A7DFC"/>
    <w:rsid w:val="005A7E2D"/>
    <w:rsid w:val="005B0446"/>
    <w:rsid w:val="005B06DC"/>
    <w:rsid w:val="005B076E"/>
    <w:rsid w:val="005B1106"/>
    <w:rsid w:val="005B128A"/>
    <w:rsid w:val="005B1347"/>
    <w:rsid w:val="005B16B8"/>
    <w:rsid w:val="005B1826"/>
    <w:rsid w:val="005B1882"/>
    <w:rsid w:val="005B19EF"/>
    <w:rsid w:val="005B1B4E"/>
    <w:rsid w:val="005B1C49"/>
    <w:rsid w:val="005B2CEA"/>
    <w:rsid w:val="005B30C5"/>
    <w:rsid w:val="005B3382"/>
    <w:rsid w:val="005B33E0"/>
    <w:rsid w:val="005B354C"/>
    <w:rsid w:val="005B3693"/>
    <w:rsid w:val="005B3C3C"/>
    <w:rsid w:val="005B4249"/>
    <w:rsid w:val="005B45E6"/>
    <w:rsid w:val="005B47A6"/>
    <w:rsid w:val="005B5857"/>
    <w:rsid w:val="005B5BAD"/>
    <w:rsid w:val="005B5D13"/>
    <w:rsid w:val="005B6391"/>
    <w:rsid w:val="005B6DD4"/>
    <w:rsid w:val="005B6E20"/>
    <w:rsid w:val="005B6F4C"/>
    <w:rsid w:val="005B7149"/>
    <w:rsid w:val="005B731A"/>
    <w:rsid w:val="005B73B5"/>
    <w:rsid w:val="005B772F"/>
    <w:rsid w:val="005B7844"/>
    <w:rsid w:val="005B78CE"/>
    <w:rsid w:val="005C0003"/>
    <w:rsid w:val="005C0760"/>
    <w:rsid w:val="005C0893"/>
    <w:rsid w:val="005C08D1"/>
    <w:rsid w:val="005C0CD3"/>
    <w:rsid w:val="005C1153"/>
    <w:rsid w:val="005C13F9"/>
    <w:rsid w:val="005C14C2"/>
    <w:rsid w:val="005C1543"/>
    <w:rsid w:val="005C17BA"/>
    <w:rsid w:val="005C1B83"/>
    <w:rsid w:val="005C1FF4"/>
    <w:rsid w:val="005C2313"/>
    <w:rsid w:val="005C2984"/>
    <w:rsid w:val="005C2D32"/>
    <w:rsid w:val="005C2D44"/>
    <w:rsid w:val="005C2D80"/>
    <w:rsid w:val="005C346B"/>
    <w:rsid w:val="005C3500"/>
    <w:rsid w:val="005C3FD2"/>
    <w:rsid w:val="005C4298"/>
    <w:rsid w:val="005C4B72"/>
    <w:rsid w:val="005C5424"/>
    <w:rsid w:val="005C56FB"/>
    <w:rsid w:val="005C5FB3"/>
    <w:rsid w:val="005C6038"/>
    <w:rsid w:val="005C6409"/>
    <w:rsid w:val="005C6642"/>
    <w:rsid w:val="005C737C"/>
    <w:rsid w:val="005C76AB"/>
    <w:rsid w:val="005C7721"/>
    <w:rsid w:val="005C791B"/>
    <w:rsid w:val="005C7AF1"/>
    <w:rsid w:val="005C7BEE"/>
    <w:rsid w:val="005C7C54"/>
    <w:rsid w:val="005C7CA5"/>
    <w:rsid w:val="005D03AC"/>
    <w:rsid w:val="005D0442"/>
    <w:rsid w:val="005D056E"/>
    <w:rsid w:val="005D0614"/>
    <w:rsid w:val="005D0B1E"/>
    <w:rsid w:val="005D0F3F"/>
    <w:rsid w:val="005D1457"/>
    <w:rsid w:val="005D14F8"/>
    <w:rsid w:val="005D18AD"/>
    <w:rsid w:val="005D1F15"/>
    <w:rsid w:val="005D2619"/>
    <w:rsid w:val="005D2730"/>
    <w:rsid w:val="005D2852"/>
    <w:rsid w:val="005D29EB"/>
    <w:rsid w:val="005D2CC9"/>
    <w:rsid w:val="005D2DD7"/>
    <w:rsid w:val="005D2E08"/>
    <w:rsid w:val="005D320A"/>
    <w:rsid w:val="005D326C"/>
    <w:rsid w:val="005D3364"/>
    <w:rsid w:val="005D3543"/>
    <w:rsid w:val="005D3A1F"/>
    <w:rsid w:val="005D3B44"/>
    <w:rsid w:val="005D3FCB"/>
    <w:rsid w:val="005D4330"/>
    <w:rsid w:val="005D4349"/>
    <w:rsid w:val="005D47AF"/>
    <w:rsid w:val="005D4AD7"/>
    <w:rsid w:val="005D505E"/>
    <w:rsid w:val="005D5069"/>
    <w:rsid w:val="005D51BF"/>
    <w:rsid w:val="005D560E"/>
    <w:rsid w:val="005D56E4"/>
    <w:rsid w:val="005D5E31"/>
    <w:rsid w:val="005D6153"/>
    <w:rsid w:val="005D667B"/>
    <w:rsid w:val="005D66E8"/>
    <w:rsid w:val="005D6862"/>
    <w:rsid w:val="005D68C6"/>
    <w:rsid w:val="005D6959"/>
    <w:rsid w:val="005D6CB6"/>
    <w:rsid w:val="005D7068"/>
    <w:rsid w:val="005D7423"/>
    <w:rsid w:val="005D75CC"/>
    <w:rsid w:val="005D7675"/>
    <w:rsid w:val="005D7704"/>
    <w:rsid w:val="005D7E3E"/>
    <w:rsid w:val="005D7F69"/>
    <w:rsid w:val="005D7F7E"/>
    <w:rsid w:val="005E00C2"/>
    <w:rsid w:val="005E00E8"/>
    <w:rsid w:val="005E0387"/>
    <w:rsid w:val="005E046A"/>
    <w:rsid w:val="005E066A"/>
    <w:rsid w:val="005E06B2"/>
    <w:rsid w:val="005E0797"/>
    <w:rsid w:val="005E0890"/>
    <w:rsid w:val="005E0D1E"/>
    <w:rsid w:val="005E1364"/>
    <w:rsid w:val="005E136C"/>
    <w:rsid w:val="005E1593"/>
    <w:rsid w:val="005E2067"/>
    <w:rsid w:val="005E2188"/>
    <w:rsid w:val="005E2803"/>
    <w:rsid w:val="005E2B08"/>
    <w:rsid w:val="005E2D9A"/>
    <w:rsid w:val="005E337E"/>
    <w:rsid w:val="005E3458"/>
    <w:rsid w:val="005E358B"/>
    <w:rsid w:val="005E37E1"/>
    <w:rsid w:val="005E3D95"/>
    <w:rsid w:val="005E430A"/>
    <w:rsid w:val="005E4479"/>
    <w:rsid w:val="005E47E3"/>
    <w:rsid w:val="005E4C4C"/>
    <w:rsid w:val="005E4DE3"/>
    <w:rsid w:val="005E5017"/>
    <w:rsid w:val="005E5239"/>
    <w:rsid w:val="005E6066"/>
    <w:rsid w:val="005E6BEC"/>
    <w:rsid w:val="005E6F8E"/>
    <w:rsid w:val="005E7117"/>
    <w:rsid w:val="005E7793"/>
    <w:rsid w:val="005F0340"/>
    <w:rsid w:val="005F0384"/>
    <w:rsid w:val="005F0BA3"/>
    <w:rsid w:val="005F0C09"/>
    <w:rsid w:val="005F184B"/>
    <w:rsid w:val="005F1A89"/>
    <w:rsid w:val="005F1BBB"/>
    <w:rsid w:val="005F1E3B"/>
    <w:rsid w:val="005F2096"/>
    <w:rsid w:val="005F2156"/>
    <w:rsid w:val="005F249B"/>
    <w:rsid w:val="005F24F2"/>
    <w:rsid w:val="005F24F4"/>
    <w:rsid w:val="005F2706"/>
    <w:rsid w:val="005F2805"/>
    <w:rsid w:val="005F2C7B"/>
    <w:rsid w:val="005F2CDE"/>
    <w:rsid w:val="005F2F8E"/>
    <w:rsid w:val="005F36AE"/>
    <w:rsid w:val="005F3D0E"/>
    <w:rsid w:val="005F3EDC"/>
    <w:rsid w:val="005F4064"/>
    <w:rsid w:val="005F43FF"/>
    <w:rsid w:val="005F4437"/>
    <w:rsid w:val="005F443D"/>
    <w:rsid w:val="005F44E8"/>
    <w:rsid w:val="005F4C74"/>
    <w:rsid w:val="005F4F8F"/>
    <w:rsid w:val="005F501C"/>
    <w:rsid w:val="005F52DF"/>
    <w:rsid w:val="005F5539"/>
    <w:rsid w:val="005F55C7"/>
    <w:rsid w:val="005F5854"/>
    <w:rsid w:val="005F58DE"/>
    <w:rsid w:val="005F5A76"/>
    <w:rsid w:val="005F6A8F"/>
    <w:rsid w:val="005F6D76"/>
    <w:rsid w:val="005F6DDB"/>
    <w:rsid w:val="005F6F0F"/>
    <w:rsid w:val="005F7013"/>
    <w:rsid w:val="005F71C6"/>
    <w:rsid w:val="005F747A"/>
    <w:rsid w:val="005F755A"/>
    <w:rsid w:val="005F77DE"/>
    <w:rsid w:val="005F77F0"/>
    <w:rsid w:val="005F7961"/>
    <w:rsid w:val="005F7CEF"/>
    <w:rsid w:val="005F7EC2"/>
    <w:rsid w:val="005F7F3D"/>
    <w:rsid w:val="005F7F5F"/>
    <w:rsid w:val="006001D0"/>
    <w:rsid w:val="006003D7"/>
    <w:rsid w:val="00600421"/>
    <w:rsid w:val="00600555"/>
    <w:rsid w:val="00600F3C"/>
    <w:rsid w:val="00600FAE"/>
    <w:rsid w:val="0060168E"/>
    <w:rsid w:val="00601733"/>
    <w:rsid w:val="00601DD3"/>
    <w:rsid w:val="00601E1B"/>
    <w:rsid w:val="0060223C"/>
    <w:rsid w:val="006025D8"/>
    <w:rsid w:val="00602C2C"/>
    <w:rsid w:val="00602CDB"/>
    <w:rsid w:val="0060332E"/>
    <w:rsid w:val="006036BD"/>
    <w:rsid w:val="006038B7"/>
    <w:rsid w:val="0060401A"/>
    <w:rsid w:val="00604229"/>
    <w:rsid w:val="00604264"/>
    <w:rsid w:val="0060434C"/>
    <w:rsid w:val="00604609"/>
    <w:rsid w:val="0060489B"/>
    <w:rsid w:val="00604BB0"/>
    <w:rsid w:val="00604C9E"/>
    <w:rsid w:val="00604CD6"/>
    <w:rsid w:val="00604D13"/>
    <w:rsid w:val="00604E95"/>
    <w:rsid w:val="0060545C"/>
    <w:rsid w:val="006055A1"/>
    <w:rsid w:val="006057E1"/>
    <w:rsid w:val="00605952"/>
    <w:rsid w:val="00605AED"/>
    <w:rsid w:val="00605BDA"/>
    <w:rsid w:val="00605CD4"/>
    <w:rsid w:val="00605DCD"/>
    <w:rsid w:val="006064AD"/>
    <w:rsid w:val="00606596"/>
    <w:rsid w:val="0060676A"/>
    <w:rsid w:val="00606BA0"/>
    <w:rsid w:val="00606CEF"/>
    <w:rsid w:val="00607059"/>
    <w:rsid w:val="00607203"/>
    <w:rsid w:val="006072DA"/>
    <w:rsid w:val="006075C1"/>
    <w:rsid w:val="00607669"/>
    <w:rsid w:val="006077D5"/>
    <w:rsid w:val="006077E0"/>
    <w:rsid w:val="00607BD6"/>
    <w:rsid w:val="00610436"/>
    <w:rsid w:val="00610583"/>
    <w:rsid w:val="006105A1"/>
    <w:rsid w:val="00610C0F"/>
    <w:rsid w:val="00610D4A"/>
    <w:rsid w:val="00611CA7"/>
    <w:rsid w:val="00611D00"/>
    <w:rsid w:val="006122B9"/>
    <w:rsid w:val="006122CD"/>
    <w:rsid w:val="0061279D"/>
    <w:rsid w:val="00612B24"/>
    <w:rsid w:val="00612BBD"/>
    <w:rsid w:val="00612E64"/>
    <w:rsid w:val="00612E80"/>
    <w:rsid w:val="00612F97"/>
    <w:rsid w:val="006135F4"/>
    <w:rsid w:val="00613699"/>
    <w:rsid w:val="00613B04"/>
    <w:rsid w:val="00613FBC"/>
    <w:rsid w:val="0061408A"/>
    <w:rsid w:val="006140E6"/>
    <w:rsid w:val="006143B8"/>
    <w:rsid w:val="006143CD"/>
    <w:rsid w:val="00614CC6"/>
    <w:rsid w:val="006150D8"/>
    <w:rsid w:val="00615100"/>
    <w:rsid w:val="006151F0"/>
    <w:rsid w:val="00615730"/>
    <w:rsid w:val="00615782"/>
    <w:rsid w:val="0061628B"/>
    <w:rsid w:val="00616333"/>
    <w:rsid w:val="0061635B"/>
    <w:rsid w:val="006163D7"/>
    <w:rsid w:val="00616452"/>
    <w:rsid w:val="00616585"/>
    <w:rsid w:val="00616802"/>
    <w:rsid w:val="00616855"/>
    <w:rsid w:val="00616DAF"/>
    <w:rsid w:val="00617250"/>
    <w:rsid w:val="00617302"/>
    <w:rsid w:val="00617494"/>
    <w:rsid w:val="00617831"/>
    <w:rsid w:val="00617CDD"/>
    <w:rsid w:val="00617E12"/>
    <w:rsid w:val="00617F44"/>
    <w:rsid w:val="0062010E"/>
    <w:rsid w:val="00620546"/>
    <w:rsid w:val="0062063E"/>
    <w:rsid w:val="006207E5"/>
    <w:rsid w:val="00620A0F"/>
    <w:rsid w:val="00620B43"/>
    <w:rsid w:val="006212C0"/>
    <w:rsid w:val="00621420"/>
    <w:rsid w:val="0062142D"/>
    <w:rsid w:val="00621477"/>
    <w:rsid w:val="0062147F"/>
    <w:rsid w:val="00621940"/>
    <w:rsid w:val="00621AEA"/>
    <w:rsid w:val="006221EB"/>
    <w:rsid w:val="006222A6"/>
    <w:rsid w:val="006227EC"/>
    <w:rsid w:val="0062290E"/>
    <w:rsid w:val="00622DBB"/>
    <w:rsid w:val="00622E6E"/>
    <w:rsid w:val="00622EC7"/>
    <w:rsid w:val="006231F0"/>
    <w:rsid w:val="00623715"/>
    <w:rsid w:val="006242A7"/>
    <w:rsid w:val="006243AE"/>
    <w:rsid w:val="00624602"/>
    <w:rsid w:val="00624C11"/>
    <w:rsid w:val="00625144"/>
    <w:rsid w:val="0062534E"/>
    <w:rsid w:val="006257C6"/>
    <w:rsid w:val="0062592B"/>
    <w:rsid w:val="00625A96"/>
    <w:rsid w:val="00625B87"/>
    <w:rsid w:val="00625BDB"/>
    <w:rsid w:val="00625C76"/>
    <w:rsid w:val="0062675D"/>
    <w:rsid w:val="00626B57"/>
    <w:rsid w:val="00626B92"/>
    <w:rsid w:val="00626E7F"/>
    <w:rsid w:val="00626EDB"/>
    <w:rsid w:val="00627166"/>
    <w:rsid w:val="0062721B"/>
    <w:rsid w:val="006272E2"/>
    <w:rsid w:val="0062790A"/>
    <w:rsid w:val="00627968"/>
    <w:rsid w:val="006279A3"/>
    <w:rsid w:val="00627A4B"/>
    <w:rsid w:val="00627BA5"/>
    <w:rsid w:val="00627EEE"/>
    <w:rsid w:val="0063038A"/>
    <w:rsid w:val="0063044F"/>
    <w:rsid w:val="00630A52"/>
    <w:rsid w:val="00630BF6"/>
    <w:rsid w:val="0063171C"/>
    <w:rsid w:val="00631AE7"/>
    <w:rsid w:val="00631D3F"/>
    <w:rsid w:val="00631D6B"/>
    <w:rsid w:val="00631DE7"/>
    <w:rsid w:val="0063201F"/>
    <w:rsid w:val="00632686"/>
    <w:rsid w:val="006328C1"/>
    <w:rsid w:val="00632EE9"/>
    <w:rsid w:val="00632EF8"/>
    <w:rsid w:val="00633129"/>
    <w:rsid w:val="006331AE"/>
    <w:rsid w:val="00633424"/>
    <w:rsid w:val="00633522"/>
    <w:rsid w:val="0063395A"/>
    <w:rsid w:val="00634456"/>
    <w:rsid w:val="0063457D"/>
    <w:rsid w:val="0063465D"/>
    <w:rsid w:val="0063477D"/>
    <w:rsid w:val="0063479F"/>
    <w:rsid w:val="0063560A"/>
    <w:rsid w:val="006356F1"/>
    <w:rsid w:val="006357D7"/>
    <w:rsid w:val="00635B1A"/>
    <w:rsid w:val="00635B92"/>
    <w:rsid w:val="00635C1B"/>
    <w:rsid w:val="00635C94"/>
    <w:rsid w:val="00635CC9"/>
    <w:rsid w:val="00635F75"/>
    <w:rsid w:val="006364A1"/>
    <w:rsid w:val="0063659C"/>
    <w:rsid w:val="00636878"/>
    <w:rsid w:val="00636B1D"/>
    <w:rsid w:val="00636D20"/>
    <w:rsid w:val="00636D5A"/>
    <w:rsid w:val="00637968"/>
    <w:rsid w:val="00637B94"/>
    <w:rsid w:val="00637BFD"/>
    <w:rsid w:val="006401B8"/>
    <w:rsid w:val="00640518"/>
    <w:rsid w:val="00640ADD"/>
    <w:rsid w:val="00640F88"/>
    <w:rsid w:val="006410B5"/>
    <w:rsid w:val="0064112F"/>
    <w:rsid w:val="0064153C"/>
    <w:rsid w:val="00641BA4"/>
    <w:rsid w:val="00641C0E"/>
    <w:rsid w:val="00641C9A"/>
    <w:rsid w:val="00641CAC"/>
    <w:rsid w:val="00642003"/>
    <w:rsid w:val="006422C7"/>
    <w:rsid w:val="006425E5"/>
    <w:rsid w:val="0064268A"/>
    <w:rsid w:val="0064298F"/>
    <w:rsid w:val="00642F8A"/>
    <w:rsid w:val="006431EB"/>
    <w:rsid w:val="0064344B"/>
    <w:rsid w:val="00643721"/>
    <w:rsid w:val="006437FD"/>
    <w:rsid w:val="00643834"/>
    <w:rsid w:val="00643973"/>
    <w:rsid w:val="00643B82"/>
    <w:rsid w:val="00643BD4"/>
    <w:rsid w:val="00644523"/>
    <w:rsid w:val="00644AF1"/>
    <w:rsid w:val="00644D8B"/>
    <w:rsid w:val="00644FA7"/>
    <w:rsid w:val="00645288"/>
    <w:rsid w:val="006452BC"/>
    <w:rsid w:val="0064597F"/>
    <w:rsid w:val="00645D2A"/>
    <w:rsid w:val="00645E99"/>
    <w:rsid w:val="00645F4D"/>
    <w:rsid w:val="00645FF9"/>
    <w:rsid w:val="00646353"/>
    <w:rsid w:val="00646AF6"/>
    <w:rsid w:val="00646BDE"/>
    <w:rsid w:val="00646DB4"/>
    <w:rsid w:val="00646DBB"/>
    <w:rsid w:val="006471CC"/>
    <w:rsid w:val="006471E5"/>
    <w:rsid w:val="006473E6"/>
    <w:rsid w:val="0064764D"/>
    <w:rsid w:val="00647734"/>
    <w:rsid w:val="00647A25"/>
    <w:rsid w:val="006500F1"/>
    <w:rsid w:val="0065015E"/>
    <w:rsid w:val="006501D9"/>
    <w:rsid w:val="0065079F"/>
    <w:rsid w:val="0065103A"/>
    <w:rsid w:val="0065137F"/>
    <w:rsid w:val="006516FE"/>
    <w:rsid w:val="0065182B"/>
    <w:rsid w:val="00651A95"/>
    <w:rsid w:val="00651B93"/>
    <w:rsid w:val="00651C70"/>
    <w:rsid w:val="00651FA4"/>
    <w:rsid w:val="006520E8"/>
    <w:rsid w:val="006522D1"/>
    <w:rsid w:val="006529C7"/>
    <w:rsid w:val="00652A74"/>
    <w:rsid w:val="00652CF1"/>
    <w:rsid w:val="00652D17"/>
    <w:rsid w:val="00652FD5"/>
    <w:rsid w:val="00653019"/>
    <w:rsid w:val="0065321B"/>
    <w:rsid w:val="00653402"/>
    <w:rsid w:val="00653552"/>
    <w:rsid w:val="0065366A"/>
    <w:rsid w:val="00653812"/>
    <w:rsid w:val="00653D12"/>
    <w:rsid w:val="00653FE9"/>
    <w:rsid w:val="0065496E"/>
    <w:rsid w:val="00654A0A"/>
    <w:rsid w:val="00654B33"/>
    <w:rsid w:val="00654BA5"/>
    <w:rsid w:val="006550EB"/>
    <w:rsid w:val="0065591A"/>
    <w:rsid w:val="006575E2"/>
    <w:rsid w:val="0065760B"/>
    <w:rsid w:val="00657731"/>
    <w:rsid w:val="00660EB9"/>
    <w:rsid w:val="006610AF"/>
    <w:rsid w:val="006618D2"/>
    <w:rsid w:val="00661988"/>
    <w:rsid w:val="00661A7C"/>
    <w:rsid w:val="0066212B"/>
    <w:rsid w:val="00662301"/>
    <w:rsid w:val="0066242F"/>
    <w:rsid w:val="0066246C"/>
    <w:rsid w:val="006624CC"/>
    <w:rsid w:val="00663089"/>
    <w:rsid w:val="00663090"/>
    <w:rsid w:val="00663274"/>
    <w:rsid w:val="00663CF7"/>
    <w:rsid w:val="006644D7"/>
    <w:rsid w:val="00664847"/>
    <w:rsid w:val="00664D82"/>
    <w:rsid w:val="00664E52"/>
    <w:rsid w:val="006654D5"/>
    <w:rsid w:val="006655A5"/>
    <w:rsid w:val="006658D5"/>
    <w:rsid w:val="00666005"/>
    <w:rsid w:val="006660D2"/>
    <w:rsid w:val="00666361"/>
    <w:rsid w:val="00666BEC"/>
    <w:rsid w:val="00666C8A"/>
    <w:rsid w:val="00666D94"/>
    <w:rsid w:val="006670F5"/>
    <w:rsid w:val="00667390"/>
    <w:rsid w:val="00667CC5"/>
    <w:rsid w:val="00670333"/>
    <w:rsid w:val="00670366"/>
    <w:rsid w:val="00670448"/>
    <w:rsid w:val="00670E21"/>
    <w:rsid w:val="00671237"/>
    <w:rsid w:val="006713B5"/>
    <w:rsid w:val="00671852"/>
    <w:rsid w:val="00671AD2"/>
    <w:rsid w:val="00671EDF"/>
    <w:rsid w:val="006722C6"/>
    <w:rsid w:val="0067230C"/>
    <w:rsid w:val="0067237E"/>
    <w:rsid w:val="00672464"/>
    <w:rsid w:val="006725FE"/>
    <w:rsid w:val="00672670"/>
    <w:rsid w:val="00672C0F"/>
    <w:rsid w:val="00672F3D"/>
    <w:rsid w:val="00672F71"/>
    <w:rsid w:val="0067354C"/>
    <w:rsid w:val="00673847"/>
    <w:rsid w:val="00673F90"/>
    <w:rsid w:val="0067458F"/>
    <w:rsid w:val="00674603"/>
    <w:rsid w:val="00674723"/>
    <w:rsid w:val="0067479B"/>
    <w:rsid w:val="00674892"/>
    <w:rsid w:val="00674A13"/>
    <w:rsid w:val="00674A8D"/>
    <w:rsid w:val="00674E42"/>
    <w:rsid w:val="00674E93"/>
    <w:rsid w:val="00675089"/>
    <w:rsid w:val="006754F8"/>
    <w:rsid w:val="006756E5"/>
    <w:rsid w:val="00675BD1"/>
    <w:rsid w:val="00675C55"/>
    <w:rsid w:val="00675D12"/>
    <w:rsid w:val="00676B12"/>
    <w:rsid w:val="00676C77"/>
    <w:rsid w:val="00676CBE"/>
    <w:rsid w:val="00676E90"/>
    <w:rsid w:val="00676F6C"/>
    <w:rsid w:val="006770E2"/>
    <w:rsid w:val="00677946"/>
    <w:rsid w:val="006779D9"/>
    <w:rsid w:val="00677FFC"/>
    <w:rsid w:val="006800B7"/>
    <w:rsid w:val="00680578"/>
    <w:rsid w:val="00680F56"/>
    <w:rsid w:val="00681044"/>
    <w:rsid w:val="0068108A"/>
    <w:rsid w:val="006812B0"/>
    <w:rsid w:val="00681381"/>
    <w:rsid w:val="00681D3E"/>
    <w:rsid w:val="00682112"/>
    <w:rsid w:val="00682342"/>
    <w:rsid w:val="0068241F"/>
    <w:rsid w:val="00682CB8"/>
    <w:rsid w:val="00682D7C"/>
    <w:rsid w:val="006830D6"/>
    <w:rsid w:val="0068325D"/>
    <w:rsid w:val="00684059"/>
    <w:rsid w:val="00684324"/>
    <w:rsid w:val="0068448D"/>
    <w:rsid w:val="00684778"/>
    <w:rsid w:val="00684814"/>
    <w:rsid w:val="00684EC4"/>
    <w:rsid w:val="0068522E"/>
    <w:rsid w:val="00685379"/>
    <w:rsid w:val="0068542C"/>
    <w:rsid w:val="0068562E"/>
    <w:rsid w:val="0068573A"/>
    <w:rsid w:val="00685758"/>
    <w:rsid w:val="0068586B"/>
    <w:rsid w:val="006858CA"/>
    <w:rsid w:val="00685E70"/>
    <w:rsid w:val="006863FF"/>
    <w:rsid w:val="00686518"/>
    <w:rsid w:val="0068656B"/>
    <w:rsid w:val="00686624"/>
    <w:rsid w:val="006869E2"/>
    <w:rsid w:val="00686B01"/>
    <w:rsid w:val="00686DF8"/>
    <w:rsid w:val="00686F3A"/>
    <w:rsid w:val="00687BC8"/>
    <w:rsid w:val="006902BD"/>
    <w:rsid w:val="0069049D"/>
    <w:rsid w:val="006906F4"/>
    <w:rsid w:val="00690E8A"/>
    <w:rsid w:val="00690EE0"/>
    <w:rsid w:val="006914CB"/>
    <w:rsid w:val="006916C3"/>
    <w:rsid w:val="006917CB"/>
    <w:rsid w:val="006917F2"/>
    <w:rsid w:val="00691D0E"/>
    <w:rsid w:val="00691E34"/>
    <w:rsid w:val="00692794"/>
    <w:rsid w:val="00692A25"/>
    <w:rsid w:val="00692B7E"/>
    <w:rsid w:val="00693002"/>
    <w:rsid w:val="00693334"/>
    <w:rsid w:val="006933E1"/>
    <w:rsid w:val="00693707"/>
    <w:rsid w:val="00693835"/>
    <w:rsid w:val="00693CD3"/>
    <w:rsid w:val="00693F27"/>
    <w:rsid w:val="00693F64"/>
    <w:rsid w:val="00694380"/>
    <w:rsid w:val="00694F44"/>
    <w:rsid w:val="006950C9"/>
    <w:rsid w:val="006951BE"/>
    <w:rsid w:val="0069529D"/>
    <w:rsid w:val="006952C9"/>
    <w:rsid w:val="00695522"/>
    <w:rsid w:val="00695962"/>
    <w:rsid w:val="00695C26"/>
    <w:rsid w:val="00695C95"/>
    <w:rsid w:val="00695F2E"/>
    <w:rsid w:val="00695FDB"/>
    <w:rsid w:val="0069617F"/>
    <w:rsid w:val="0069639C"/>
    <w:rsid w:val="006964DD"/>
    <w:rsid w:val="00696A89"/>
    <w:rsid w:val="00696BF4"/>
    <w:rsid w:val="00696DD3"/>
    <w:rsid w:val="00696F03"/>
    <w:rsid w:val="0069750F"/>
    <w:rsid w:val="006978DC"/>
    <w:rsid w:val="00697944"/>
    <w:rsid w:val="006979D1"/>
    <w:rsid w:val="00697A0B"/>
    <w:rsid w:val="00697F8B"/>
    <w:rsid w:val="006A064B"/>
    <w:rsid w:val="006A08E3"/>
    <w:rsid w:val="006A0A79"/>
    <w:rsid w:val="006A0B1D"/>
    <w:rsid w:val="006A0BF3"/>
    <w:rsid w:val="006A0C70"/>
    <w:rsid w:val="006A0F3C"/>
    <w:rsid w:val="006A123A"/>
    <w:rsid w:val="006A13A2"/>
    <w:rsid w:val="006A1552"/>
    <w:rsid w:val="006A16B9"/>
    <w:rsid w:val="006A18D2"/>
    <w:rsid w:val="006A1A6C"/>
    <w:rsid w:val="006A1FC5"/>
    <w:rsid w:val="006A2064"/>
    <w:rsid w:val="006A25C0"/>
    <w:rsid w:val="006A2869"/>
    <w:rsid w:val="006A2B01"/>
    <w:rsid w:val="006A2D21"/>
    <w:rsid w:val="006A2D52"/>
    <w:rsid w:val="006A36A3"/>
    <w:rsid w:val="006A387A"/>
    <w:rsid w:val="006A3A91"/>
    <w:rsid w:val="006A3D0E"/>
    <w:rsid w:val="006A412F"/>
    <w:rsid w:val="006A44A5"/>
    <w:rsid w:val="006A47E1"/>
    <w:rsid w:val="006A4834"/>
    <w:rsid w:val="006A499F"/>
    <w:rsid w:val="006A4BA0"/>
    <w:rsid w:val="006A4C22"/>
    <w:rsid w:val="006A51F5"/>
    <w:rsid w:val="006A5225"/>
    <w:rsid w:val="006A5CE1"/>
    <w:rsid w:val="006A5F13"/>
    <w:rsid w:val="006A6024"/>
    <w:rsid w:val="006A61A4"/>
    <w:rsid w:val="006A6839"/>
    <w:rsid w:val="006A68E7"/>
    <w:rsid w:val="006A6DD0"/>
    <w:rsid w:val="006A7068"/>
    <w:rsid w:val="006A7336"/>
    <w:rsid w:val="006A7F1E"/>
    <w:rsid w:val="006A7FD5"/>
    <w:rsid w:val="006A7FEA"/>
    <w:rsid w:val="006B0374"/>
    <w:rsid w:val="006B0403"/>
    <w:rsid w:val="006B04C1"/>
    <w:rsid w:val="006B0AB7"/>
    <w:rsid w:val="006B0D47"/>
    <w:rsid w:val="006B0EEB"/>
    <w:rsid w:val="006B106E"/>
    <w:rsid w:val="006B12BF"/>
    <w:rsid w:val="006B1327"/>
    <w:rsid w:val="006B13B9"/>
    <w:rsid w:val="006B152D"/>
    <w:rsid w:val="006B177D"/>
    <w:rsid w:val="006B198A"/>
    <w:rsid w:val="006B1EE5"/>
    <w:rsid w:val="006B2554"/>
    <w:rsid w:val="006B25AC"/>
    <w:rsid w:val="006B2D38"/>
    <w:rsid w:val="006B3000"/>
    <w:rsid w:val="006B3195"/>
    <w:rsid w:val="006B3196"/>
    <w:rsid w:val="006B3245"/>
    <w:rsid w:val="006B324A"/>
    <w:rsid w:val="006B33EC"/>
    <w:rsid w:val="006B3531"/>
    <w:rsid w:val="006B362F"/>
    <w:rsid w:val="006B37DF"/>
    <w:rsid w:val="006B3A8A"/>
    <w:rsid w:val="006B3CEE"/>
    <w:rsid w:val="006B40F8"/>
    <w:rsid w:val="006B47E8"/>
    <w:rsid w:val="006B4A2D"/>
    <w:rsid w:val="006B565C"/>
    <w:rsid w:val="006B60EC"/>
    <w:rsid w:val="006B6A74"/>
    <w:rsid w:val="006B6CE3"/>
    <w:rsid w:val="006B6F86"/>
    <w:rsid w:val="006B7063"/>
    <w:rsid w:val="006B710E"/>
    <w:rsid w:val="006B73BB"/>
    <w:rsid w:val="006B7586"/>
    <w:rsid w:val="006B75F2"/>
    <w:rsid w:val="006C016E"/>
    <w:rsid w:val="006C02AF"/>
    <w:rsid w:val="006C03AF"/>
    <w:rsid w:val="006C0B35"/>
    <w:rsid w:val="006C0C99"/>
    <w:rsid w:val="006C1579"/>
    <w:rsid w:val="006C1753"/>
    <w:rsid w:val="006C17DF"/>
    <w:rsid w:val="006C1A35"/>
    <w:rsid w:val="006C1DBF"/>
    <w:rsid w:val="006C2049"/>
    <w:rsid w:val="006C209B"/>
    <w:rsid w:val="006C24B4"/>
    <w:rsid w:val="006C2587"/>
    <w:rsid w:val="006C25FD"/>
    <w:rsid w:val="006C2A8E"/>
    <w:rsid w:val="006C2BB5"/>
    <w:rsid w:val="006C2FB4"/>
    <w:rsid w:val="006C2FE5"/>
    <w:rsid w:val="006C32E1"/>
    <w:rsid w:val="006C36F4"/>
    <w:rsid w:val="006C3933"/>
    <w:rsid w:val="006C3977"/>
    <w:rsid w:val="006C40F8"/>
    <w:rsid w:val="006C4156"/>
    <w:rsid w:val="006C4353"/>
    <w:rsid w:val="006C4376"/>
    <w:rsid w:val="006C50E6"/>
    <w:rsid w:val="006C50F8"/>
    <w:rsid w:val="006C5233"/>
    <w:rsid w:val="006C54E7"/>
    <w:rsid w:val="006C57BC"/>
    <w:rsid w:val="006C5A07"/>
    <w:rsid w:val="006C5B8E"/>
    <w:rsid w:val="006C5CCC"/>
    <w:rsid w:val="006C5D13"/>
    <w:rsid w:val="006C5D28"/>
    <w:rsid w:val="006C5F2E"/>
    <w:rsid w:val="006C64C4"/>
    <w:rsid w:val="006C65E3"/>
    <w:rsid w:val="006C67DD"/>
    <w:rsid w:val="006C6A52"/>
    <w:rsid w:val="006C6AFA"/>
    <w:rsid w:val="006C6B4E"/>
    <w:rsid w:val="006C6C4B"/>
    <w:rsid w:val="006C6CD2"/>
    <w:rsid w:val="006C7154"/>
    <w:rsid w:val="006C76AE"/>
    <w:rsid w:val="006C781C"/>
    <w:rsid w:val="006C7897"/>
    <w:rsid w:val="006C7AE2"/>
    <w:rsid w:val="006C7DDA"/>
    <w:rsid w:val="006C7ECC"/>
    <w:rsid w:val="006C7EEC"/>
    <w:rsid w:val="006C7F35"/>
    <w:rsid w:val="006D0CD5"/>
    <w:rsid w:val="006D0F5C"/>
    <w:rsid w:val="006D10A5"/>
    <w:rsid w:val="006D116A"/>
    <w:rsid w:val="006D145A"/>
    <w:rsid w:val="006D1557"/>
    <w:rsid w:val="006D1B64"/>
    <w:rsid w:val="006D1B81"/>
    <w:rsid w:val="006D2069"/>
    <w:rsid w:val="006D2105"/>
    <w:rsid w:val="006D218E"/>
    <w:rsid w:val="006D2367"/>
    <w:rsid w:val="006D2837"/>
    <w:rsid w:val="006D2C76"/>
    <w:rsid w:val="006D2F0C"/>
    <w:rsid w:val="006D301B"/>
    <w:rsid w:val="006D3097"/>
    <w:rsid w:val="006D336B"/>
    <w:rsid w:val="006D3C7D"/>
    <w:rsid w:val="006D3CFB"/>
    <w:rsid w:val="006D3CFD"/>
    <w:rsid w:val="006D3E0C"/>
    <w:rsid w:val="006D3FA3"/>
    <w:rsid w:val="006D401E"/>
    <w:rsid w:val="006D43BA"/>
    <w:rsid w:val="006D44AE"/>
    <w:rsid w:val="006D4FFF"/>
    <w:rsid w:val="006D56F4"/>
    <w:rsid w:val="006D5882"/>
    <w:rsid w:val="006D6253"/>
    <w:rsid w:val="006D62C7"/>
    <w:rsid w:val="006D64DA"/>
    <w:rsid w:val="006D668E"/>
    <w:rsid w:val="006D6742"/>
    <w:rsid w:val="006D67AD"/>
    <w:rsid w:val="006D6948"/>
    <w:rsid w:val="006D75E1"/>
    <w:rsid w:val="006D75E3"/>
    <w:rsid w:val="006D7781"/>
    <w:rsid w:val="006D7977"/>
    <w:rsid w:val="006D7C8E"/>
    <w:rsid w:val="006D7CF4"/>
    <w:rsid w:val="006D7D40"/>
    <w:rsid w:val="006D7D8E"/>
    <w:rsid w:val="006D7E8E"/>
    <w:rsid w:val="006D7EFC"/>
    <w:rsid w:val="006E020E"/>
    <w:rsid w:val="006E053F"/>
    <w:rsid w:val="006E0587"/>
    <w:rsid w:val="006E0BC9"/>
    <w:rsid w:val="006E0FE1"/>
    <w:rsid w:val="006E10B9"/>
    <w:rsid w:val="006E135B"/>
    <w:rsid w:val="006E1398"/>
    <w:rsid w:val="006E17D8"/>
    <w:rsid w:val="006E1B47"/>
    <w:rsid w:val="006E1D0F"/>
    <w:rsid w:val="006E1FB0"/>
    <w:rsid w:val="006E25B1"/>
    <w:rsid w:val="006E2857"/>
    <w:rsid w:val="006E2C85"/>
    <w:rsid w:val="006E31DD"/>
    <w:rsid w:val="006E3562"/>
    <w:rsid w:val="006E3604"/>
    <w:rsid w:val="006E36BD"/>
    <w:rsid w:val="006E3B13"/>
    <w:rsid w:val="006E3CF4"/>
    <w:rsid w:val="006E3D13"/>
    <w:rsid w:val="006E3FE1"/>
    <w:rsid w:val="006E44A6"/>
    <w:rsid w:val="006E4570"/>
    <w:rsid w:val="006E4575"/>
    <w:rsid w:val="006E4A64"/>
    <w:rsid w:val="006E4BA1"/>
    <w:rsid w:val="006E527C"/>
    <w:rsid w:val="006E5533"/>
    <w:rsid w:val="006E5835"/>
    <w:rsid w:val="006E5D1C"/>
    <w:rsid w:val="006E5DC6"/>
    <w:rsid w:val="006E5E40"/>
    <w:rsid w:val="006E6236"/>
    <w:rsid w:val="006E65BA"/>
    <w:rsid w:val="006E6620"/>
    <w:rsid w:val="006E6D1B"/>
    <w:rsid w:val="006E6F11"/>
    <w:rsid w:val="006E716D"/>
    <w:rsid w:val="006E742C"/>
    <w:rsid w:val="006F03D4"/>
    <w:rsid w:val="006F0624"/>
    <w:rsid w:val="006F062A"/>
    <w:rsid w:val="006F08AB"/>
    <w:rsid w:val="006F0B62"/>
    <w:rsid w:val="006F0D5D"/>
    <w:rsid w:val="006F0DE6"/>
    <w:rsid w:val="006F0F10"/>
    <w:rsid w:val="006F11C5"/>
    <w:rsid w:val="006F16AE"/>
    <w:rsid w:val="006F16B1"/>
    <w:rsid w:val="006F1D59"/>
    <w:rsid w:val="006F1E2A"/>
    <w:rsid w:val="006F265C"/>
    <w:rsid w:val="006F29FA"/>
    <w:rsid w:val="006F2A1C"/>
    <w:rsid w:val="006F2AD1"/>
    <w:rsid w:val="006F2BC6"/>
    <w:rsid w:val="006F2DA8"/>
    <w:rsid w:val="006F2DC1"/>
    <w:rsid w:val="006F356A"/>
    <w:rsid w:val="006F35E5"/>
    <w:rsid w:val="006F39FA"/>
    <w:rsid w:val="006F3ACF"/>
    <w:rsid w:val="006F422E"/>
    <w:rsid w:val="006F4415"/>
    <w:rsid w:val="006F4C30"/>
    <w:rsid w:val="006F4FDC"/>
    <w:rsid w:val="006F541C"/>
    <w:rsid w:val="006F545D"/>
    <w:rsid w:val="006F5498"/>
    <w:rsid w:val="006F56B1"/>
    <w:rsid w:val="006F5A0C"/>
    <w:rsid w:val="006F5B90"/>
    <w:rsid w:val="006F5E67"/>
    <w:rsid w:val="006F63A5"/>
    <w:rsid w:val="006F6437"/>
    <w:rsid w:val="006F6578"/>
    <w:rsid w:val="006F65EB"/>
    <w:rsid w:val="006F6AD2"/>
    <w:rsid w:val="006F6CC2"/>
    <w:rsid w:val="006F6D0B"/>
    <w:rsid w:val="006F6DF0"/>
    <w:rsid w:val="006F6F45"/>
    <w:rsid w:val="006F70AF"/>
    <w:rsid w:val="006F70FD"/>
    <w:rsid w:val="006F727A"/>
    <w:rsid w:val="006F7B04"/>
    <w:rsid w:val="006F7BC2"/>
    <w:rsid w:val="006F7D33"/>
    <w:rsid w:val="006F7DD8"/>
    <w:rsid w:val="006F7FAF"/>
    <w:rsid w:val="00700348"/>
    <w:rsid w:val="00700636"/>
    <w:rsid w:val="00700AC4"/>
    <w:rsid w:val="00700D9B"/>
    <w:rsid w:val="007017F9"/>
    <w:rsid w:val="00701947"/>
    <w:rsid w:val="00701F5E"/>
    <w:rsid w:val="00701F5F"/>
    <w:rsid w:val="00702049"/>
    <w:rsid w:val="0070210E"/>
    <w:rsid w:val="007024E5"/>
    <w:rsid w:val="0070276E"/>
    <w:rsid w:val="00702903"/>
    <w:rsid w:val="00702948"/>
    <w:rsid w:val="00702967"/>
    <w:rsid w:val="00702B0B"/>
    <w:rsid w:val="007030FE"/>
    <w:rsid w:val="007032D1"/>
    <w:rsid w:val="00703C25"/>
    <w:rsid w:val="00703C97"/>
    <w:rsid w:val="00703E26"/>
    <w:rsid w:val="0070438B"/>
    <w:rsid w:val="007044D0"/>
    <w:rsid w:val="00704C5A"/>
    <w:rsid w:val="00704CFD"/>
    <w:rsid w:val="00705032"/>
    <w:rsid w:val="007050B8"/>
    <w:rsid w:val="007050D4"/>
    <w:rsid w:val="0070546D"/>
    <w:rsid w:val="00705592"/>
    <w:rsid w:val="007055BB"/>
    <w:rsid w:val="007066EE"/>
    <w:rsid w:val="00706925"/>
    <w:rsid w:val="00706CDC"/>
    <w:rsid w:val="007073FE"/>
    <w:rsid w:val="00707731"/>
    <w:rsid w:val="00707937"/>
    <w:rsid w:val="00707B47"/>
    <w:rsid w:val="00707C16"/>
    <w:rsid w:val="00707ECE"/>
    <w:rsid w:val="00710012"/>
    <w:rsid w:val="007104E0"/>
    <w:rsid w:val="00710FAA"/>
    <w:rsid w:val="00711661"/>
    <w:rsid w:val="00711675"/>
    <w:rsid w:val="00711A36"/>
    <w:rsid w:val="00711B5A"/>
    <w:rsid w:val="00711C19"/>
    <w:rsid w:val="00711C69"/>
    <w:rsid w:val="00711C9C"/>
    <w:rsid w:val="007122AC"/>
    <w:rsid w:val="007122F2"/>
    <w:rsid w:val="00712521"/>
    <w:rsid w:val="00712717"/>
    <w:rsid w:val="007128D0"/>
    <w:rsid w:val="00712964"/>
    <w:rsid w:val="00712A4B"/>
    <w:rsid w:val="00712B58"/>
    <w:rsid w:val="00712EF9"/>
    <w:rsid w:val="007132DC"/>
    <w:rsid w:val="00713311"/>
    <w:rsid w:val="00713654"/>
    <w:rsid w:val="007137B3"/>
    <w:rsid w:val="007138C1"/>
    <w:rsid w:val="00713930"/>
    <w:rsid w:val="00713B8A"/>
    <w:rsid w:val="00713BD4"/>
    <w:rsid w:val="00713D03"/>
    <w:rsid w:val="007140FE"/>
    <w:rsid w:val="007142CB"/>
    <w:rsid w:val="007144FA"/>
    <w:rsid w:val="00714667"/>
    <w:rsid w:val="00714B6C"/>
    <w:rsid w:val="00714BD7"/>
    <w:rsid w:val="00714EB4"/>
    <w:rsid w:val="0071502B"/>
    <w:rsid w:val="00715182"/>
    <w:rsid w:val="007151F6"/>
    <w:rsid w:val="00715320"/>
    <w:rsid w:val="00715AD2"/>
    <w:rsid w:val="00715B0B"/>
    <w:rsid w:val="00716168"/>
    <w:rsid w:val="00716641"/>
    <w:rsid w:val="00716C84"/>
    <w:rsid w:val="00716D24"/>
    <w:rsid w:val="007172AD"/>
    <w:rsid w:val="007175CD"/>
    <w:rsid w:val="007175D9"/>
    <w:rsid w:val="00717828"/>
    <w:rsid w:val="00717DBA"/>
    <w:rsid w:val="00720F48"/>
    <w:rsid w:val="0072117E"/>
    <w:rsid w:val="007211B1"/>
    <w:rsid w:val="007211D1"/>
    <w:rsid w:val="00721531"/>
    <w:rsid w:val="0072162C"/>
    <w:rsid w:val="007219A1"/>
    <w:rsid w:val="00721AFA"/>
    <w:rsid w:val="00721C34"/>
    <w:rsid w:val="00722166"/>
    <w:rsid w:val="007224B6"/>
    <w:rsid w:val="007226F1"/>
    <w:rsid w:val="0072279F"/>
    <w:rsid w:val="007229A7"/>
    <w:rsid w:val="00722F92"/>
    <w:rsid w:val="00723350"/>
    <w:rsid w:val="00723852"/>
    <w:rsid w:val="00724761"/>
    <w:rsid w:val="00724951"/>
    <w:rsid w:val="00724B05"/>
    <w:rsid w:val="00724BB8"/>
    <w:rsid w:val="00724ED4"/>
    <w:rsid w:val="00725005"/>
    <w:rsid w:val="007253B0"/>
    <w:rsid w:val="00725855"/>
    <w:rsid w:val="00725A8A"/>
    <w:rsid w:val="0072603A"/>
    <w:rsid w:val="007260D0"/>
    <w:rsid w:val="007261F0"/>
    <w:rsid w:val="0072625D"/>
    <w:rsid w:val="0072638A"/>
    <w:rsid w:val="00726478"/>
    <w:rsid w:val="007265FB"/>
    <w:rsid w:val="007267E9"/>
    <w:rsid w:val="00726A27"/>
    <w:rsid w:val="00726A5F"/>
    <w:rsid w:val="00726C6E"/>
    <w:rsid w:val="00726C98"/>
    <w:rsid w:val="00726CAF"/>
    <w:rsid w:val="00726D69"/>
    <w:rsid w:val="00726D9E"/>
    <w:rsid w:val="00727016"/>
    <w:rsid w:val="00727129"/>
    <w:rsid w:val="007275EE"/>
    <w:rsid w:val="00730AB4"/>
    <w:rsid w:val="00730C17"/>
    <w:rsid w:val="00730F85"/>
    <w:rsid w:val="007310D4"/>
    <w:rsid w:val="007311C8"/>
    <w:rsid w:val="007311E0"/>
    <w:rsid w:val="00731691"/>
    <w:rsid w:val="00731E6D"/>
    <w:rsid w:val="00731EC7"/>
    <w:rsid w:val="007321C6"/>
    <w:rsid w:val="00732429"/>
    <w:rsid w:val="00732744"/>
    <w:rsid w:val="00732950"/>
    <w:rsid w:val="0073297E"/>
    <w:rsid w:val="00732A15"/>
    <w:rsid w:val="00732B19"/>
    <w:rsid w:val="00732C25"/>
    <w:rsid w:val="00732D8F"/>
    <w:rsid w:val="00732F4F"/>
    <w:rsid w:val="007336D8"/>
    <w:rsid w:val="00734105"/>
    <w:rsid w:val="0073435B"/>
    <w:rsid w:val="007345C1"/>
    <w:rsid w:val="007346E7"/>
    <w:rsid w:val="0073486E"/>
    <w:rsid w:val="00734E8A"/>
    <w:rsid w:val="00735328"/>
    <w:rsid w:val="00735510"/>
    <w:rsid w:val="007357AB"/>
    <w:rsid w:val="00735AC9"/>
    <w:rsid w:val="00735BFB"/>
    <w:rsid w:val="007361CF"/>
    <w:rsid w:val="00736349"/>
    <w:rsid w:val="0073685B"/>
    <w:rsid w:val="00736C05"/>
    <w:rsid w:val="00736C2A"/>
    <w:rsid w:val="00736F6A"/>
    <w:rsid w:val="0073703C"/>
    <w:rsid w:val="007373BB"/>
    <w:rsid w:val="00737425"/>
    <w:rsid w:val="00737A29"/>
    <w:rsid w:val="0074005D"/>
    <w:rsid w:val="007401AF"/>
    <w:rsid w:val="0074106F"/>
    <w:rsid w:val="00741087"/>
    <w:rsid w:val="00741589"/>
    <w:rsid w:val="007415C9"/>
    <w:rsid w:val="00741635"/>
    <w:rsid w:val="007426AC"/>
    <w:rsid w:val="007426DF"/>
    <w:rsid w:val="00742AB7"/>
    <w:rsid w:val="007431A0"/>
    <w:rsid w:val="007433C4"/>
    <w:rsid w:val="00743639"/>
    <w:rsid w:val="00743931"/>
    <w:rsid w:val="00743ACF"/>
    <w:rsid w:val="0074411A"/>
    <w:rsid w:val="00744341"/>
    <w:rsid w:val="0074441E"/>
    <w:rsid w:val="0074460D"/>
    <w:rsid w:val="007446AC"/>
    <w:rsid w:val="007446F8"/>
    <w:rsid w:val="00744BC9"/>
    <w:rsid w:val="00745189"/>
    <w:rsid w:val="0074534E"/>
    <w:rsid w:val="0074597A"/>
    <w:rsid w:val="00745993"/>
    <w:rsid w:val="00745CB5"/>
    <w:rsid w:val="00745CBE"/>
    <w:rsid w:val="00745E6A"/>
    <w:rsid w:val="00745EDF"/>
    <w:rsid w:val="00745F21"/>
    <w:rsid w:val="0074614A"/>
    <w:rsid w:val="00746221"/>
    <w:rsid w:val="007462ED"/>
    <w:rsid w:val="00746F0C"/>
    <w:rsid w:val="0074742F"/>
    <w:rsid w:val="00747455"/>
    <w:rsid w:val="007474AD"/>
    <w:rsid w:val="0074790B"/>
    <w:rsid w:val="00747ECD"/>
    <w:rsid w:val="0075001C"/>
    <w:rsid w:val="00750208"/>
    <w:rsid w:val="0075036E"/>
    <w:rsid w:val="007504B1"/>
    <w:rsid w:val="00750A5D"/>
    <w:rsid w:val="00750AFE"/>
    <w:rsid w:val="00750BB3"/>
    <w:rsid w:val="00750D11"/>
    <w:rsid w:val="0075101A"/>
    <w:rsid w:val="0075121D"/>
    <w:rsid w:val="00751750"/>
    <w:rsid w:val="007517BD"/>
    <w:rsid w:val="00751B71"/>
    <w:rsid w:val="00751C79"/>
    <w:rsid w:val="00751CBB"/>
    <w:rsid w:val="00751CFE"/>
    <w:rsid w:val="00751EE9"/>
    <w:rsid w:val="007521CD"/>
    <w:rsid w:val="0075220C"/>
    <w:rsid w:val="007524D3"/>
    <w:rsid w:val="00752984"/>
    <w:rsid w:val="00752B10"/>
    <w:rsid w:val="00752B15"/>
    <w:rsid w:val="00752DB7"/>
    <w:rsid w:val="00752DCA"/>
    <w:rsid w:val="00753489"/>
    <w:rsid w:val="00753A09"/>
    <w:rsid w:val="00753C09"/>
    <w:rsid w:val="00753C9D"/>
    <w:rsid w:val="007542E6"/>
    <w:rsid w:val="00754661"/>
    <w:rsid w:val="00754752"/>
    <w:rsid w:val="00754A00"/>
    <w:rsid w:val="00754C87"/>
    <w:rsid w:val="00754E20"/>
    <w:rsid w:val="00754F4E"/>
    <w:rsid w:val="00755157"/>
    <w:rsid w:val="007553EA"/>
    <w:rsid w:val="007558F5"/>
    <w:rsid w:val="0075593D"/>
    <w:rsid w:val="00755A7A"/>
    <w:rsid w:val="00755C2D"/>
    <w:rsid w:val="00755F16"/>
    <w:rsid w:val="007560CD"/>
    <w:rsid w:val="00756EF7"/>
    <w:rsid w:val="0075708C"/>
    <w:rsid w:val="007570A5"/>
    <w:rsid w:val="007572B6"/>
    <w:rsid w:val="0075765F"/>
    <w:rsid w:val="007578F0"/>
    <w:rsid w:val="00757D24"/>
    <w:rsid w:val="00760411"/>
    <w:rsid w:val="0076047F"/>
    <w:rsid w:val="00760678"/>
    <w:rsid w:val="00760853"/>
    <w:rsid w:val="00760F37"/>
    <w:rsid w:val="00761175"/>
    <w:rsid w:val="0076181B"/>
    <w:rsid w:val="00761897"/>
    <w:rsid w:val="007618F0"/>
    <w:rsid w:val="00761DA5"/>
    <w:rsid w:val="007623A3"/>
    <w:rsid w:val="0076253B"/>
    <w:rsid w:val="00762800"/>
    <w:rsid w:val="007628F1"/>
    <w:rsid w:val="00762927"/>
    <w:rsid w:val="007630AE"/>
    <w:rsid w:val="00763256"/>
    <w:rsid w:val="007635F5"/>
    <w:rsid w:val="00763649"/>
    <w:rsid w:val="00763804"/>
    <w:rsid w:val="0076383A"/>
    <w:rsid w:val="00763AE5"/>
    <w:rsid w:val="00763B18"/>
    <w:rsid w:val="00763BC5"/>
    <w:rsid w:val="00763E87"/>
    <w:rsid w:val="007641F1"/>
    <w:rsid w:val="00764386"/>
    <w:rsid w:val="0076478C"/>
    <w:rsid w:val="00764941"/>
    <w:rsid w:val="00764E0E"/>
    <w:rsid w:val="00764E6A"/>
    <w:rsid w:val="00765213"/>
    <w:rsid w:val="0076564C"/>
    <w:rsid w:val="0076576A"/>
    <w:rsid w:val="00765DFE"/>
    <w:rsid w:val="007660E8"/>
    <w:rsid w:val="00766345"/>
    <w:rsid w:val="0076634C"/>
    <w:rsid w:val="00766413"/>
    <w:rsid w:val="007665BD"/>
    <w:rsid w:val="00766645"/>
    <w:rsid w:val="007667CB"/>
    <w:rsid w:val="00766A68"/>
    <w:rsid w:val="00766AB2"/>
    <w:rsid w:val="00766D0B"/>
    <w:rsid w:val="007674D6"/>
    <w:rsid w:val="007674E0"/>
    <w:rsid w:val="00767762"/>
    <w:rsid w:val="00767802"/>
    <w:rsid w:val="00767840"/>
    <w:rsid w:val="00767E2A"/>
    <w:rsid w:val="00770338"/>
    <w:rsid w:val="0077037A"/>
    <w:rsid w:val="007706CE"/>
    <w:rsid w:val="007707E8"/>
    <w:rsid w:val="007708B5"/>
    <w:rsid w:val="00771110"/>
    <w:rsid w:val="00771276"/>
    <w:rsid w:val="00771294"/>
    <w:rsid w:val="007713A0"/>
    <w:rsid w:val="00771D00"/>
    <w:rsid w:val="00771D18"/>
    <w:rsid w:val="007723E0"/>
    <w:rsid w:val="00772720"/>
    <w:rsid w:val="0077276C"/>
    <w:rsid w:val="0077287C"/>
    <w:rsid w:val="007729B5"/>
    <w:rsid w:val="00772A65"/>
    <w:rsid w:val="00772CF3"/>
    <w:rsid w:val="00772FDB"/>
    <w:rsid w:val="00772FE3"/>
    <w:rsid w:val="00773969"/>
    <w:rsid w:val="00773D28"/>
    <w:rsid w:val="00773FF6"/>
    <w:rsid w:val="00773FFF"/>
    <w:rsid w:val="0077418B"/>
    <w:rsid w:val="007742B8"/>
    <w:rsid w:val="00774C44"/>
    <w:rsid w:val="00774EFD"/>
    <w:rsid w:val="00775050"/>
    <w:rsid w:val="00775725"/>
    <w:rsid w:val="00775871"/>
    <w:rsid w:val="00775AF1"/>
    <w:rsid w:val="00775B53"/>
    <w:rsid w:val="00775B65"/>
    <w:rsid w:val="00775C5F"/>
    <w:rsid w:val="0077608E"/>
    <w:rsid w:val="0077610F"/>
    <w:rsid w:val="007763AD"/>
    <w:rsid w:val="00776768"/>
    <w:rsid w:val="00776941"/>
    <w:rsid w:val="007769C3"/>
    <w:rsid w:val="00776C4E"/>
    <w:rsid w:val="007770E0"/>
    <w:rsid w:val="007773CB"/>
    <w:rsid w:val="00777536"/>
    <w:rsid w:val="00777574"/>
    <w:rsid w:val="00777A4C"/>
    <w:rsid w:val="00777AA5"/>
    <w:rsid w:val="00777BFC"/>
    <w:rsid w:val="00777C88"/>
    <w:rsid w:val="007802E8"/>
    <w:rsid w:val="0078082B"/>
    <w:rsid w:val="00780AFF"/>
    <w:rsid w:val="00780C5C"/>
    <w:rsid w:val="00780D14"/>
    <w:rsid w:val="00780DF0"/>
    <w:rsid w:val="00780E2D"/>
    <w:rsid w:val="00780F45"/>
    <w:rsid w:val="00780F57"/>
    <w:rsid w:val="00781211"/>
    <w:rsid w:val="0078163A"/>
    <w:rsid w:val="00781DEC"/>
    <w:rsid w:val="00782290"/>
    <w:rsid w:val="007822D0"/>
    <w:rsid w:val="00782963"/>
    <w:rsid w:val="007829B6"/>
    <w:rsid w:val="00782BCA"/>
    <w:rsid w:val="00782F96"/>
    <w:rsid w:val="0078322A"/>
    <w:rsid w:val="00783F08"/>
    <w:rsid w:val="0078426B"/>
    <w:rsid w:val="007848CE"/>
    <w:rsid w:val="007849AD"/>
    <w:rsid w:val="00784C64"/>
    <w:rsid w:val="00784DB2"/>
    <w:rsid w:val="00784E78"/>
    <w:rsid w:val="00784ECA"/>
    <w:rsid w:val="00784F29"/>
    <w:rsid w:val="007851B3"/>
    <w:rsid w:val="007858E3"/>
    <w:rsid w:val="00785A76"/>
    <w:rsid w:val="00785CBF"/>
    <w:rsid w:val="00785D82"/>
    <w:rsid w:val="00785FE0"/>
    <w:rsid w:val="0078622F"/>
    <w:rsid w:val="00786809"/>
    <w:rsid w:val="0078694B"/>
    <w:rsid w:val="00786A24"/>
    <w:rsid w:val="00786AA6"/>
    <w:rsid w:val="00786CAC"/>
    <w:rsid w:val="00786DA9"/>
    <w:rsid w:val="00786ED0"/>
    <w:rsid w:val="0078731C"/>
    <w:rsid w:val="007879EA"/>
    <w:rsid w:val="00787BAB"/>
    <w:rsid w:val="00787D16"/>
    <w:rsid w:val="00787F47"/>
    <w:rsid w:val="00790049"/>
    <w:rsid w:val="0079004C"/>
    <w:rsid w:val="007901F1"/>
    <w:rsid w:val="007904C9"/>
    <w:rsid w:val="00790B32"/>
    <w:rsid w:val="00791303"/>
    <w:rsid w:val="00791932"/>
    <w:rsid w:val="007919CE"/>
    <w:rsid w:val="00791C53"/>
    <w:rsid w:val="00791EF7"/>
    <w:rsid w:val="00791F73"/>
    <w:rsid w:val="0079230F"/>
    <w:rsid w:val="0079231A"/>
    <w:rsid w:val="0079261B"/>
    <w:rsid w:val="0079285A"/>
    <w:rsid w:val="00792FFE"/>
    <w:rsid w:val="0079345F"/>
    <w:rsid w:val="007934B0"/>
    <w:rsid w:val="007936A7"/>
    <w:rsid w:val="0079399C"/>
    <w:rsid w:val="00793BBB"/>
    <w:rsid w:val="00793CFE"/>
    <w:rsid w:val="00793D76"/>
    <w:rsid w:val="00793F45"/>
    <w:rsid w:val="00793FF4"/>
    <w:rsid w:val="0079446B"/>
    <w:rsid w:val="007944FC"/>
    <w:rsid w:val="00794B28"/>
    <w:rsid w:val="00794B61"/>
    <w:rsid w:val="00794F15"/>
    <w:rsid w:val="00794F35"/>
    <w:rsid w:val="0079504A"/>
    <w:rsid w:val="0079522D"/>
    <w:rsid w:val="00795288"/>
    <w:rsid w:val="007952E1"/>
    <w:rsid w:val="00795501"/>
    <w:rsid w:val="0079594E"/>
    <w:rsid w:val="00795CE4"/>
    <w:rsid w:val="00795EBB"/>
    <w:rsid w:val="00796017"/>
    <w:rsid w:val="00796032"/>
    <w:rsid w:val="00796232"/>
    <w:rsid w:val="00796366"/>
    <w:rsid w:val="00796999"/>
    <w:rsid w:val="0079734B"/>
    <w:rsid w:val="00797AA4"/>
    <w:rsid w:val="00797D47"/>
    <w:rsid w:val="00797F6F"/>
    <w:rsid w:val="007A019D"/>
    <w:rsid w:val="007A01B0"/>
    <w:rsid w:val="007A1304"/>
    <w:rsid w:val="007A15A0"/>
    <w:rsid w:val="007A1E6C"/>
    <w:rsid w:val="007A1E94"/>
    <w:rsid w:val="007A2223"/>
    <w:rsid w:val="007A2B68"/>
    <w:rsid w:val="007A2D1E"/>
    <w:rsid w:val="007A2DDC"/>
    <w:rsid w:val="007A30D5"/>
    <w:rsid w:val="007A35C9"/>
    <w:rsid w:val="007A3879"/>
    <w:rsid w:val="007A398D"/>
    <w:rsid w:val="007A3E16"/>
    <w:rsid w:val="007A412C"/>
    <w:rsid w:val="007A4CD5"/>
    <w:rsid w:val="007A4E9D"/>
    <w:rsid w:val="007A532C"/>
    <w:rsid w:val="007A543D"/>
    <w:rsid w:val="007A564C"/>
    <w:rsid w:val="007A5922"/>
    <w:rsid w:val="007A593A"/>
    <w:rsid w:val="007A604B"/>
    <w:rsid w:val="007A636D"/>
    <w:rsid w:val="007A67A2"/>
    <w:rsid w:val="007A683E"/>
    <w:rsid w:val="007A6C28"/>
    <w:rsid w:val="007A72D0"/>
    <w:rsid w:val="007A7592"/>
    <w:rsid w:val="007A76D5"/>
    <w:rsid w:val="007A789E"/>
    <w:rsid w:val="007A7B5D"/>
    <w:rsid w:val="007A7C7C"/>
    <w:rsid w:val="007A7FCB"/>
    <w:rsid w:val="007B0120"/>
    <w:rsid w:val="007B0160"/>
    <w:rsid w:val="007B01B8"/>
    <w:rsid w:val="007B0831"/>
    <w:rsid w:val="007B0C57"/>
    <w:rsid w:val="007B0CA0"/>
    <w:rsid w:val="007B0CC0"/>
    <w:rsid w:val="007B0CF8"/>
    <w:rsid w:val="007B0DC4"/>
    <w:rsid w:val="007B0E06"/>
    <w:rsid w:val="007B14F3"/>
    <w:rsid w:val="007B1570"/>
    <w:rsid w:val="007B16B9"/>
    <w:rsid w:val="007B1803"/>
    <w:rsid w:val="007B1DE6"/>
    <w:rsid w:val="007B251D"/>
    <w:rsid w:val="007B2B2A"/>
    <w:rsid w:val="007B2DB0"/>
    <w:rsid w:val="007B315E"/>
    <w:rsid w:val="007B3480"/>
    <w:rsid w:val="007B34C9"/>
    <w:rsid w:val="007B3520"/>
    <w:rsid w:val="007B38F4"/>
    <w:rsid w:val="007B398E"/>
    <w:rsid w:val="007B3AD3"/>
    <w:rsid w:val="007B3F50"/>
    <w:rsid w:val="007B4824"/>
    <w:rsid w:val="007B4C8B"/>
    <w:rsid w:val="007B4D8C"/>
    <w:rsid w:val="007B4E0F"/>
    <w:rsid w:val="007B58B2"/>
    <w:rsid w:val="007B59F3"/>
    <w:rsid w:val="007B5B7B"/>
    <w:rsid w:val="007B5F41"/>
    <w:rsid w:val="007B649E"/>
    <w:rsid w:val="007B68DE"/>
    <w:rsid w:val="007B6C52"/>
    <w:rsid w:val="007B7008"/>
    <w:rsid w:val="007B7198"/>
    <w:rsid w:val="007B71C1"/>
    <w:rsid w:val="007B7680"/>
    <w:rsid w:val="007B7704"/>
    <w:rsid w:val="007B77D1"/>
    <w:rsid w:val="007B790F"/>
    <w:rsid w:val="007B7D2F"/>
    <w:rsid w:val="007B7DDC"/>
    <w:rsid w:val="007B7EFC"/>
    <w:rsid w:val="007C08F4"/>
    <w:rsid w:val="007C0EC4"/>
    <w:rsid w:val="007C1352"/>
    <w:rsid w:val="007C18AD"/>
    <w:rsid w:val="007C1A5B"/>
    <w:rsid w:val="007C1E3E"/>
    <w:rsid w:val="007C2563"/>
    <w:rsid w:val="007C2615"/>
    <w:rsid w:val="007C2D96"/>
    <w:rsid w:val="007C2E26"/>
    <w:rsid w:val="007C31D6"/>
    <w:rsid w:val="007C329B"/>
    <w:rsid w:val="007C3306"/>
    <w:rsid w:val="007C332A"/>
    <w:rsid w:val="007C336B"/>
    <w:rsid w:val="007C33BD"/>
    <w:rsid w:val="007C358D"/>
    <w:rsid w:val="007C3753"/>
    <w:rsid w:val="007C3B04"/>
    <w:rsid w:val="007C3C0F"/>
    <w:rsid w:val="007C3C3F"/>
    <w:rsid w:val="007C40A1"/>
    <w:rsid w:val="007C41B4"/>
    <w:rsid w:val="007C453B"/>
    <w:rsid w:val="007C4969"/>
    <w:rsid w:val="007C52F4"/>
    <w:rsid w:val="007C54E3"/>
    <w:rsid w:val="007C550B"/>
    <w:rsid w:val="007C592A"/>
    <w:rsid w:val="007C5B68"/>
    <w:rsid w:val="007C5B6B"/>
    <w:rsid w:val="007C5BE4"/>
    <w:rsid w:val="007C5C1D"/>
    <w:rsid w:val="007C5DCD"/>
    <w:rsid w:val="007C5EB3"/>
    <w:rsid w:val="007C615F"/>
    <w:rsid w:val="007C61C5"/>
    <w:rsid w:val="007C62AE"/>
    <w:rsid w:val="007C62F6"/>
    <w:rsid w:val="007C639B"/>
    <w:rsid w:val="007C6458"/>
    <w:rsid w:val="007C660D"/>
    <w:rsid w:val="007C66D4"/>
    <w:rsid w:val="007C70D6"/>
    <w:rsid w:val="007C7653"/>
    <w:rsid w:val="007C76B6"/>
    <w:rsid w:val="007C7F1E"/>
    <w:rsid w:val="007D0B2C"/>
    <w:rsid w:val="007D0B38"/>
    <w:rsid w:val="007D0F12"/>
    <w:rsid w:val="007D1018"/>
    <w:rsid w:val="007D1674"/>
    <w:rsid w:val="007D1D65"/>
    <w:rsid w:val="007D20B2"/>
    <w:rsid w:val="007D2217"/>
    <w:rsid w:val="007D255B"/>
    <w:rsid w:val="007D2561"/>
    <w:rsid w:val="007D2921"/>
    <w:rsid w:val="007D29AB"/>
    <w:rsid w:val="007D2A26"/>
    <w:rsid w:val="007D2B50"/>
    <w:rsid w:val="007D2C26"/>
    <w:rsid w:val="007D2D13"/>
    <w:rsid w:val="007D3AB4"/>
    <w:rsid w:val="007D42C2"/>
    <w:rsid w:val="007D45A0"/>
    <w:rsid w:val="007D45B7"/>
    <w:rsid w:val="007D4607"/>
    <w:rsid w:val="007D494C"/>
    <w:rsid w:val="007D4C80"/>
    <w:rsid w:val="007D4F21"/>
    <w:rsid w:val="007D4F27"/>
    <w:rsid w:val="007D50A6"/>
    <w:rsid w:val="007D5222"/>
    <w:rsid w:val="007D5676"/>
    <w:rsid w:val="007D56B8"/>
    <w:rsid w:val="007D5878"/>
    <w:rsid w:val="007D59A3"/>
    <w:rsid w:val="007D5A34"/>
    <w:rsid w:val="007D5C37"/>
    <w:rsid w:val="007D635A"/>
    <w:rsid w:val="007D63A4"/>
    <w:rsid w:val="007D651C"/>
    <w:rsid w:val="007D6843"/>
    <w:rsid w:val="007D6E5A"/>
    <w:rsid w:val="007D6F86"/>
    <w:rsid w:val="007D7024"/>
    <w:rsid w:val="007D79AB"/>
    <w:rsid w:val="007D7F3E"/>
    <w:rsid w:val="007E00C2"/>
    <w:rsid w:val="007E0235"/>
    <w:rsid w:val="007E0563"/>
    <w:rsid w:val="007E0796"/>
    <w:rsid w:val="007E0D52"/>
    <w:rsid w:val="007E0F78"/>
    <w:rsid w:val="007E23DB"/>
    <w:rsid w:val="007E263E"/>
    <w:rsid w:val="007E2800"/>
    <w:rsid w:val="007E29DC"/>
    <w:rsid w:val="007E2B52"/>
    <w:rsid w:val="007E2C71"/>
    <w:rsid w:val="007E2D37"/>
    <w:rsid w:val="007E2D43"/>
    <w:rsid w:val="007E2D90"/>
    <w:rsid w:val="007E328B"/>
    <w:rsid w:val="007E3A03"/>
    <w:rsid w:val="007E3A35"/>
    <w:rsid w:val="007E3B2B"/>
    <w:rsid w:val="007E3DCF"/>
    <w:rsid w:val="007E4586"/>
    <w:rsid w:val="007E4710"/>
    <w:rsid w:val="007E4C26"/>
    <w:rsid w:val="007E4D8C"/>
    <w:rsid w:val="007E4E96"/>
    <w:rsid w:val="007E4FE7"/>
    <w:rsid w:val="007E5244"/>
    <w:rsid w:val="007E54B8"/>
    <w:rsid w:val="007E578B"/>
    <w:rsid w:val="007E590F"/>
    <w:rsid w:val="007E5D3C"/>
    <w:rsid w:val="007E5E4E"/>
    <w:rsid w:val="007E625C"/>
    <w:rsid w:val="007E6382"/>
    <w:rsid w:val="007E683E"/>
    <w:rsid w:val="007E6B16"/>
    <w:rsid w:val="007E6B37"/>
    <w:rsid w:val="007E6C88"/>
    <w:rsid w:val="007E6F79"/>
    <w:rsid w:val="007E7173"/>
    <w:rsid w:val="007E7482"/>
    <w:rsid w:val="007E7658"/>
    <w:rsid w:val="007F03BA"/>
    <w:rsid w:val="007F043C"/>
    <w:rsid w:val="007F093E"/>
    <w:rsid w:val="007F09F9"/>
    <w:rsid w:val="007F0A86"/>
    <w:rsid w:val="007F0C7A"/>
    <w:rsid w:val="007F0E8C"/>
    <w:rsid w:val="007F0FD9"/>
    <w:rsid w:val="007F1017"/>
    <w:rsid w:val="007F11CD"/>
    <w:rsid w:val="007F1963"/>
    <w:rsid w:val="007F1B05"/>
    <w:rsid w:val="007F1D19"/>
    <w:rsid w:val="007F1F19"/>
    <w:rsid w:val="007F253B"/>
    <w:rsid w:val="007F2588"/>
    <w:rsid w:val="007F264C"/>
    <w:rsid w:val="007F27FC"/>
    <w:rsid w:val="007F29D2"/>
    <w:rsid w:val="007F2B2A"/>
    <w:rsid w:val="007F2B37"/>
    <w:rsid w:val="007F2DBB"/>
    <w:rsid w:val="007F2E3C"/>
    <w:rsid w:val="007F3122"/>
    <w:rsid w:val="007F3340"/>
    <w:rsid w:val="007F3926"/>
    <w:rsid w:val="007F3CA8"/>
    <w:rsid w:val="007F3CB2"/>
    <w:rsid w:val="007F3FBE"/>
    <w:rsid w:val="007F4412"/>
    <w:rsid w:val="007F4479"/>
    <w:rsid w:val="007F457C"/>
    <w:rsid w:val="007F471B"/>
    <w:rsid w:val="007F4A3F"/>
    <w:rsid w:val="007F4C78"/>
    <w:rsid w:val="007F4EFC"/>
    <w:rsid w:val="007F5136"/>
    <w:rsid w:val="007F53D6"/>
    <w:rsid w:val="007F543C"/>
    <w:rsid w:val="007F543E"/>
    <w:rsid w:val="007F54D3"/>
    <w:rsid w:val="007F5C2C"/>
    <w:rsid w:val="007F5D19"/>
    <w:rsid w:val="007F5F58"/>
    <w:rsid w:val="007F5F7B"/>
    <w:rsid w:val="007F60FF"/>
    <w:rsid w:val="007F611F"/>
    <w:rsid w:val="007F65B9"/>
    <w:rsid w:val="007F6AD4"/>
    <w:rsid w:val="007F6B97"/>
    <w:rsid w:val="007F7015"/>
    <w:rsid w:val="007F70E5"/>
    <w:rsid w:val="007F714A"/>
    <w:rsid w:val="007F72D0"/>
    <w:rsid w:val="007F74F0"/>
    <w:rsid w:val="007F7627"/>
    <w:rsid w:val="007F7897"/>
    <w:rsid w:val="007F7928"/>
    <w:rsid w:val="007F7B31"/>
    <w:rsid w:val="007F7E1F"/>
    <w:rsid w:val="00800352"/>
    <w:rsid w:val="008006DE"/>
    <w:rsid w:val="00800B65"/>
    <w:rsid w:val="00800EAE"/>
    <w:rsid w:val="008012BC"/>
    <w:rsid w:val="0080136D"/>
    <w:rsid w:val="00801AE9"/>
    <w:rsid w:val="00801E30"/>
    <w:rsid w:val="00801FAB"/>
    <w:rsid w:val="0080266E"/>
    <w:rsid w:val="0080268F"/>
    <w:rsid w:val="00802958"/>
    <w:rsid w:val="0080296A"/>
    <w:rsid w:val="00802C4B"/>
    <w:rsid w:val="00803368"/>
    <w:rsid w:val="00803483"/>
    <w:rsid w:val="008039D5"/>
    <w:rsid w:val="00803C14"/>
    <w:rsid w:val="00804022"/>
    <w:rsid w:val="008043F0"/>
    <w:rsid w:val="00804AAB"/>
    <w:rsid w:val="00804BA9"/>
    <w:rsid w:val="00804EDE"/>
    <w:rsid w:val="00805142"/>
    <w:rsid w:val="00805177"/>
    <w:rsid w:val="008055CA"/>
    <w:rsid w:val="0080571D"/>
    <w:rsid w:val="008059DB"/>
    <w:rsid w:val="0080602B"/>
    <w:rsid w:val="00806339"/>
    <w:rsid w:val="00806407"/>
    <w:rsid w:val="008069BE"/>
    <w:rsid w:val="00807325"/>
    <w:rsid w:val="008075D8"/>
    <w:rsid w:val="00807A6B"/>
    <w:rsid w:val="00807A8B"/>
    <w:rsid w:val="008104D9"/>
    <w:rsid w:val="0081073E"/>
    <w:rsid w:val="0081079D"/>
    <w:rsid w:val="008108C7"/>
    <w:rsid w:val="00811B06"/>
    <w:rsid w:val="00811B32"/>
    <w:rsid w:val="00811C67"/>
    <w:rsid w:val="00811DBE"/>
    <w:rsid w:val="00812149"/>
    <w:rsid w:val="0081275E"/>
    <w:rsid w:val="00812958"/>
    <w:rsid w:val="00812ADE"/>
    <w:rsid w:val="00812DC0"/>
    <w:rsid w:val="008130E0"/>
    <w:rsid w:val="00813195"/>
    <w:rsid w:val="00813488"/>
    <w:rsid w:val="00813745"/>
    <w:rsid w:val="00813760"/>
    <w:rsid w:val="00813851"/>
    <w:rsid w:val="00813B2B"/>
    <w:rsid w:val="00813D7C"/>
    <w:rsid w:val="00813F76"/>
    <w:rsid w:val="00814074"/>
    <w:rsid w:val="00814406"/>
    <w:rsid w:val="008147D5"/>
    <w:rsid w:val="00814CCF"/>
    <w:rsid w:val="00814F27"/>
    <w:rsid w:val="008150BF"/>
    <w:rsid w:val="008155FC"/>
    <w:rsid w:val="008158C6"/>
    <w:rsid w:val="0081636A"/>
    <w:rsid w:val="00816530"/>
    <w:rsid w:val="008166B0"/>
    <w:rsid w:val="008166EF"/>
    <w:rsid w:val="00816C8F"/>
    <w:rsid w:val="00816CAC"/>
    <w:rsid w:val="00816D05"/>
    <w:rsid w:val="00817140"/>
    <w:rsid w:val="00817573"/>
    <w:rsid w:val="0081758E"/>
    <w:rsid w:val="00817809"/>
    <w:rsid w:val="00817A1A"/>
    <w:rsid w:val="00817C3F"/>
    <w:rsid w:val="00820671"/>
    <w:rsid w:val="0082095D"/>
    <w:rsid w:val="00820D87"/>
    <w:rsid w:val="00820E48"/>
    <w:rsid w:val="00821123"/>
    <w:rsid w:val="0082151D"/>
    <w:rsid w:val="00821B54"/>
    <w:rsid w:val="00822206"/>
    <w:rsid w:val="008227EB"/>
    <w:rsid w:val="00822EC7"/>
    <w:rsid w:val="008231AA"/>
    <w:rsid w:val="00823643"/>
    <w:rsid w:val="00823A05"/>
    <w:rsid w:val="00823DF2"/>
    <w:rsid w:val="00823E74"/>
    <w:rsid w:val="00824088"/>
    <w:rsid w:val="00824154"/>
    <w:rsid w:val="00824174"/>
    <w:rsid w:val="00824271"/>
    <w:rsid w:val="008246AF"/>
    <w:rsid w:val="008246C9"/>
    <w:rsid w:val="00824AB3"/>
    <w:rsid w:val="00824F7A"/>
    <w:rsid w:val="00825275"/>
    <w:rsid w:val="008253E7"/>
    <w:rsid w:val="00825A88"/>
    <w:rsid w:val="00825CAF"/>
    <w:rsid w:val="008260F2"/>
    <w:rsid w:val="00826181"/>
    <w:rsid w:val="008264EB"/>
    <w:rsid w:val="008267ED"/>
    <w:rsid w:val="008268E2"/>
    <w:rsid w:val="00826B00"/>
    <w:rsid w:val="00826CA8"/>
    <w:rsid w:val="00826DC8"/>
    <w:rsid w:val="00826F60"/>
    <w:rsid w:val="0082726D"/>
    <w:rsid w:val="008273E0"/>
    <w:rsid w:val="00827416"/>
    <w:rsid w:val="008277CC"/>
    <w:rsid w:val="00827E6C"/>
    <w:rsid w:val="00827E8B"/>
    <w:rsid w:val="00827F74"/>
    <w:rsid w:val="00830006"/>
    <w:rsid w:val="00830768"/>
    <w:rsid w:val="00830AC2"/>
    <w:rsid w:val="00830D19"/>
    <w:rsid w:val="008310D3"/>
    <w:rsid w:val="008311D1"/>
    <w:rsid w:val="0083152B"/>
    <w:rsid w:val="00831D17"/>
    <w:rsid w:val="008321F2"/>
    <w:rsid w:val="008329D0"/>
    <w:rsid w:val="00832AB2"/>
    <w:rsid w:val="00833519"/>
    <w:rsid w:val="00833760"/>
    <w:rsid w:val="0083388D"/>
    <w:rsid w:val="00833B9E"/>
    <w:rsid w:val="00834009"/>
    <w:rsid w:val="00834575"/>
    <w:rsid w:val="0083459E"/>
    <w:rsid w:val="00834A2A"/>
    <w:rsid w:val="00834B81"/>
    <w:rsid w:val="00834D27"/>
    <w:rsid w:val="008352E7"/>
    <w:rsid w:val="008354D2"/>
    <w:rsid w:val="00835CA4"/>
    <w:rsid w:val="00835F97"/>
    <w:rsid w:val="008364ED"/>
    <w:rsid w:val="008365E8"/>
    <w:rsid w:val="0083660C"/>
    <w:rsid w:val="00836B24"/>
    <w:rsid w:val="00836BC2"/>
    <w:rsid w:val="00837148"/>
    <w:rsid w:val="0083715F"/>
    <w:rsid w:val="008373A9"/>
    <w:rsid w:val="00837733"/>
    <w:rsid w:val="008378EB"/>
    <w:rsid w:val="00837D70"/>
    <w:rsid w:val="00837F37"/>
    <w:rsid w:val="008402C3"/>
    <w:rsid w:val="00840641"/>
    <w:rsid w:val="00840777"/>
    <w:rsid w:val="00840993"/>
    <w:rsid w:val="008409AD"/>
    <w:rsid w:val="00840C00"/>
    <w:rsid w:val="00840CA2"/>
    <w:rsid w:val="008410BE"/>
    <w:rsid w:val="0084122B"/>
    <w:rsid w:val="0084221F"/>
    <w:rsid w:val="00842273"/>
    <w:rsid w:val="00842370"/>
    <w:rsid w:val="0084242E"/>
    <w:rsid w:val="0084262D"/>
    <w:rsid w:val="00842674"/>
    <w:rsid w:val="00842E8F"/>
    <w:rsid w:val="00843B28"/>
    <w:rsid w:val="0084407B"/>
    <w:rsid w:val="0084409F"/>
    <w:rsid w:val="008446AF"/>
    <w:rsid w:val="008448DB"/>
    <w:rsid w:val="00844A6A"/>
    <w:rsid w:val="00844DBA"/>
    <w:rsid w:val="0084508E"/>
    <w:rsid w:val="008451C3"/>
    <w:rsid w:val="0084561D"/>
    <w:rsid w:val="008457A8"/>
    <w:rsid w:val="008457B1"/>
    <w:rsid w:val="00845C43"/>
    <w:rsid w:val="00846315"/>
    <w:rsid w:val="008463CB"/>
    <w:rsid w:val="00846A10"/>
    <w:rsid w:val="00846DF9"/>
    <w:rsid w:val="00847011"/>
    <w:rsid w:val="0084704E"/>
    <w:rsid w:val="0084724D"/>
    <w:rsid w:val="00847290"/>
    <w:rsid w:val="008476C2"/>
    <w:rsid w:val="008477BB"/>
    <w:rsid w:val="00847868"/>
    <w:rsid w:val="008478F5"/>
    <w:rsid w:val="00847B45"/>
    <w:rsid w:val="00847CC0"/>
    <w:rsid w:val="00847D16"/>
    <w:rsid w:val="00847FD3"/>
    <w:rsid w:val="00850138"/>
    <w:rsid w:val="0085063A"/>
    <w:rsid w:val="00850A0A"/>
    <w:rsid w:val="008512ED"/>
    <w:rsid w:val="00851946"/>
    <w:rsid w:val="008525B5"/>
    <w:rsid w:val="00852697"/>
    <w:rsid w:val="00852A1B"/>
    <w:rsid w:val="00853359"/>
    <w:rsid w:val="008535F7"/>
    <w:rsid w:val="00853B8B"/>
    <w:rsid w:val="00853D5A"/>
    <w:rsid w:val="00853F92"/>
    <w:rsid w:val="0085471E"/>
    <w:rsid w:val="0085490E"/>
    <w:rsid w:val="00854961"/>
    <w:rsid w:val="00854E04"/>
    <w:rsid w:val="00854E4D"/>
    <w:rsid w:val="00854FD4"/>
    <w:rsid w:val="00855099"/>
    <w:rsid w:val="00855AFE"/>
    <w:rsid w:val="00856B55"/>
    <w:rsid w:val="00856C2F"/>
    <w:rsid w:val="00856E9A"/>
    <w:rsid w:val="00857884"/>
    <w:rsid w:val="00857AFF"/>
    <w:rsid w:val="00857D2A"/>
    <w:rsid w:val="0086021E"/>
    <w:rsid w:val="008604AB"/>
    <w:rsid w:val="00860974"/>
    <w:rsid w:val="00860989"/>
    <w:rsid w:val="00860AA6"/>
    <w:rsid w:val="00861409"/>
    <w:rsid w:val="00861474"/>
    <w:rsid w:val="00861524"/>
    <w:rsid w:val="00861756"/>
    <w:rsid w:val="00861CC1"/>
    <w:rsid w:val="00862022"/>
    <w:rsid w:val="00862060"/>
    <w:rsid w:val="00862278"/>
    <w:rsid w:val="008627E9"/>
    <w:rsid w:val="008629E7"/>
    <w:rsid w:val="00862C4D"/>
    <w:rsid w:val="00862D04"/>
    <w:rsid w:val="008631C3"/>
    <w:rsid w:val="0086356A"/>
    <w:rsid w:val="0086365C"/>
    <w:rsid w:val="00863C49"/>
    <w:rsid w:val="00863CD7"/>
    <w:rsid w:val="00863E0B"/>
    <w:rsid w:val="00863F4E"/>
    <w:rsid w:val="00864E08"/>
    <w:rsid w:val="008651F3"/>
    <w:rsid w:val="0086586F"/>
    <w:rsid w:val="00865CD6"/>
    <w:rsid w:val="00865DB9"/>
    <w:rsid w:val="00865E01"/>
    <w:rsid w:val="008660E4"/>
    <w:rsid w:val="00866618"/>
    <w:rsid w:val="008666F2"/>
    <w:rsid w:val="00866842"/>
    <w:rsid w:val="00866DF9"/>
    <w:rsid w:val="00866E00"/>
    <w:rsid w:val="00866EB2"/>
    <w:rsid w:val="00866EF1"/>
    <w:rsid w:val="0086760A"/>
    <w:rsid w:val="0086789D"/>
    <w:rsid w:val="00867CEC"/>
    <w:rsid w:val="00867E6F"/>
    <w:rsid w:val="00870064"/>
    <w:rsid w:val="00870818"/>
    <w:rsid w:val="00870BFF"/>
    <w:rsid w:val="00870C65"/>
    <w:rsid w:val="00870FE1"/>
    <w:rsid w:val="008711D6"/>
    <w:rsid w:val="008714A4"/>
    <w:rsid w:val="0087156B"/>
    <w:rsid w:val="0087190E"/>
    <w:rsid w:val="00871D2C"/>
    <w:rsid w:val="00871DA1"/>
    <w:rsid w:val="00871FDA"/>
    <w:rsid w:val="008721D4"/>
    <w:rsid w:val="00872436"/>
    <w:rsid w:val="008726C1"/>
    <w:rsid w:val="00872975"/>
    <w:rsid w:val="00872C7F"/>
    <w:rsid w:val="00872F69"/>
    <w:rsid w:val="00873447"/>
    <w:rsid w:val="00873607"/>
    <w:rsid w:val="008738D1"/>
    <w:rsid w:val="008739D4"/>
    <w:rsid w:val="00873A6D"/>
    <w:rsid w:val="00873B24"/>
    <w:rsid w:val="00873B4A"/>
    <w:rsid w:val="00873D8A"/>
    <w:rsid w:val="00873DA7"/>
    <w:rsid w:val="00874695"/>
    <w:rsid w:val="00874DC0"/>
    <w:rsid w:val="00874E5D"/>
    <w:rsid w:val="00874F2B"/>
    <w:rsid w:val="0087502F"/>
    <w:rsid w:val="008750CE"/>
    <w:rsid w:val="00875402"/>
    <w:rsid w:val="00875405"/>
    <w:rsid w:val="00875F10"/>
    <w:rsid w:val="008765C9"/>
    <w:rsid w:val="0087681E"/>
    <w:rsid w:val="00876A4A"/>
    <w:rsid w:val="0087724E"/>
    <w:rsid w:val="008773BA"/>
    <w:rsid w:val="008776E2"/>
    <w:rsid w:val="00877789"/>
    <w:rsid w:val="00877E0C"/>
    <w:rsid w:val="00877FE1"/>
    <w:rsid w:val="0088001A"/>
    <w:rsid w:val="00880387"/>
    <w:rsid w:val="00880B5A"/>
    <w:rsid w:val="00880B63"/>
    <w:rsid w:val="00880D7A"/>
    <w:rsid w:val="008812C8"/>
    <w:rsid w:val="0088130A"/>
    <w:rsid w:val="00881536"/>
    <w:rsid w:val="00881561"/>
    <w:rsid w:val="008820A9"/>
    <w:rsid w:val="0088230D"/>
    <w:rsid w:val="008823F0"/>
    <w:rsid w:val="0088276E"/>
    <w:rsid w:val="00882874"/>
    <w:rsid w:val="00882A35"/>
    <w:rsid w:val="00882C1D"/>
    <w:rsid w:val="008836F3"/>
    <w:rsid w:val="00883787"/>
    <w:rsid w:val="00883F96"/>
    <w:rsid w:val="0088471A"/>
    <w:rsid w:val="008849FB"/>
    <w:rsid w:val="00884DB2"/>
    <w:rsid w:val="008853EB"/>
    <w:rsid w:val="00885994"/>
    <w:rsid w:val="008859EB"/>
    <w:rsid w:val="00885C16"/>
    <w:rsid w:val="00885D6E"/>
    <w:rsid w:val="00885EC8"/>
    <w:rsid w:val="0088602D"/>
    <w:rsid w:val="00886076"/>
    <w:rsid w:val="0088641D"/>
    <w:rsid w:val="008865F7"/>
    <w:rsid w:val="00886889"/>
    <w:rsid w:val="00886FB3"/>
    <w:rsid w:val="0088725E"/>
    <w:rsid w:val="00887291"/>
    <w:rsid w:val="008875AC"/>
    <w:rsid w:val="00887B3C"/>
    <w:rsid w:val="00890108"/>
    <w:rsid w:val="008907C6"/>
    <w:rsid w:val="00890B0A"/>
    <w:rsid w:val="00890B74"/>
    <w:rsid w:val="00890F23"/>
    <w:rsid w:val="0089105E"/>
    <w:rsid w:val="008913D1"/>
    <w:rsid w:val="00891ACD"/>
    <w:rsid w:val="00891CFC"/>
    <w:rsid w:val="00891DB5"/>
    <w:rsid w:val="00891DC6"/>
    <w:rsid w:val="00891F22"/>
    <w:rsid w:val="008922C1"/>
    <w:rsid w:val="00892578"/>
    <w:rsid w:val="008927A5"/>
    <w:rsid w:val="00892832"/>
    <w:rsid w:val="00892B3B"/>
    <w:rsid w:val="00892CF8"/>
    <w:rsid w:val="0089332D"/>
    <w:rsid w:val="00893805"/>
    <w:rsid w:val="00893C63"/>
    <w:rsid w:val="00894722"/>
    <w:rsid w:val="00894AB9"/>
    <w:rsid w:val="00894D51"/>
    <w:rsid w:val="00895340"/>
    <w:rsid w:val="00895521"/>
    <w:rsid w:val="00895775"/>
    <w:rsid w:val="00895B01"/>
    <w:rsid w:val="00895E97"/>
    <w:rsid w:val="00895F1C"/>
    <w:rsid w:val="00895FF2"/>
    <w:rsid w:val="00896111"/>
    <w:rsid w:val="008963A5"/>
    <w:rsid w:val="00896965"/>
    <w:rsid w:val="00896C60"/>
    <w:rsid w:val="008975DB"/>
    <w:rsid w:val="00897879"/>
    <w:rsid w:val="00897E26"/>
    <w:rsid w:val="00897EC9"/>
    <w:rsid w:val="00897FB9"/>
    <w:rsid w:val="008A016B"/>
    <w:rsid w:val="008A04ED"/>
    <w:rsid w:val="008A04FE"/>
    <w:rsid w:val="008A0696"/>
    <w:rsid w:val="008A0771"/>
    <w:rsid w:val="008A0821"/>
    <w:rsid w:val="008A084E"/>
    <w:rsid w:val="008A11D7"/>
    <w:rsid w:val="008A11D9"/>
    <w:rsid w:val="008A1354"/>
    <w:rsid w:val="008A139B"/>
    <w:rsid w:val="008A17BE"/>
    <w:rsid w:val="008A1AFF"/>
    <w:rsid w:val="008A1BC3"/>
    <w:rsid w:val="008A1DDA"/>
    <w:rsid w:val="008A295D"/>
    <w:rsid w:val="008A2E40"/>
    <w:rsid w:val="008A30F4"/>
    <w:rsid w:val="008A312E"/>
    <w:rsid w:val="008A3470"/>
    <w:rsid w:val="008A3490"/>
    <w:rsid w:val="008A3711"/>
    <w:rsid w:val="008A372B"/>
    <w:rsid w:val="008A37CC"/>
    <w:rsid w:val="008A3909"/>
    <w:rsid w:val="008A39AF"/>
    <w:rsid w:val="008A3BAF"/>
    <w:rsid w:val="008A3BEF"/>
    <w:rsid w:val="008A3C3E"/>
    <w:rsid w:val="008A3F5B"/>
    <w:rsid w:val="008A452C"/>
    <w:rsid w:val="008A46EB"/>
    <w:rsid w:val="008A4C86"/>
    <w:rsid w:val="008A5044"/>
    <w:rsid w:val="008A5086"/>
    <w:rsid w:val="008A50E3"/>
    <w:rsid w:val="008A5163"/>
    <w:rsid w:val="008A52CE"/>
    <w:rsid w:val="008A58F6"/>
    <w:rsid w:val="008A5FA2"/>
    <w:rsid w:val="008A6190"/>
    <w:rsid w:val="008A620A"/>
    <w:rsid w:val="008A6276"/>
    <w:rsid w:val="008A6F0F"/>
    <w:rsid w:val="008A79DE"/>
    <w:rsid w:val="008A7B83"/>
    <w:rsid w:val="008A7C39"/>
    <w:rsid w:val="008A7D6B"/>
    <w:rsid w:val="008A7E22"/>
    <w:rsid w:val="008B00FD"/>
    <w:rsid w:val="008B0F5C"/>
    <w:rsid w:val="008B109B"/>
    <w:rsid w:val="008B12F5"/>
    <w:rsid w:val="008B1960"/>
    <w:rsid w:val="008B1A21"/>
    <w:rsid w:val="008B1B40"/>
    <w:rsid w:val="008B1D41"/>
    <w:rsid w:val="008B1F85"/>
    <w:rsid w:val="008B22F5"/>
    <w:rsid w:val="008B2567"/>
    <w:rsid w:val="008B2763"/>
    <w:rsid w:val="008B2A2E"/>
    <w:rsid w:val="008B2AEF"/>
    <w:rsid w:val="008B2B5A"/>
    <w:rsid w:val="008B2B72"/>
    <w:rsid w:val="008B2C96"/>
    <w:rsid w:val="008B36D5"/>
    <w:rsid w:val="008B3775"/>
    <w:rsid w:val="008B3992"/>
    <w:rsid w:val="008B3CE5"/>
    <w:rsid w:val="008B4127"/>
    <w:rsid w:val="008B4749"/>
    <w:rsid w:val="008B48FC"/>
    <w:rsid w:val="008B49D3"/>
    <w:rsid w:val="008B4AF8"/>
    <w:rsid w:val="008B5611"/>
    <w:rsid w:val="008B597B"/>
    <w:rsid w:val="008B5E9B"/>
    <w:rsid w:val="008B5FE0"/>
    <w:rsid w:val="008B6C6E"/>
    <w:rsid w:val="008B6D3A"/>
    <w:rsid w:val="008B701B"/>
    <w:rsid w:val="008B747B"/>
    <w:rsid w:val="008B74E9"/>
    <w:rsid w:val="008B77CD"/>
    <w:rsid w:val="008B7D02"/>
    <w:rsid w:val="008B7D7E"/>
    <w:rsid w:val="008C0153"/>
    <w:rsid w:val="008C02F1"/>
    <w:rsid w:val="008C07FF"/>
    <w:rsid w:val="008C08CB"/>
    <w:rsid w:val="008C0A65"/>
    <w:rsid w:val="008C0AC6"/>
    <w:rsid w:val="008C0BF7"/>
    <w:rsid w:val="008C1101"/>
    <w:rsid w:val="008C1218"/>
    <w:rsid w:val="008C149C"/>
    <w:rsid w:val="008C1658"/>
    <w:rsid w:val="008C1974"/>
    <w:rsid w:val="008C1C6F"/>
    <w:rsid w:val="008C1E59"/>
    <w:rsid w:val="008C1FBC"/>
    <w:rsid w:val="008C20F3"/>
    <w:rsid w:val="008C25CB"/>
    <w:rsid w:val="008C2816"/>
    <w:rsid w:val="008C3043"/>
    <w:rsid w:val="008C336A"/>
    <w:rsid w:val="008C3818"/>
    <w:rsid w:val="008C3B14"/>
    <w:rsid w:val="008C3E8A"/>
    <w:rsid w:val="008C40D7"/>
    <w:rsid w:val="008C424C"/>
    <w:rsid w:val="008C43AB"/>
    <w:rsid w:val="008C458A"/>
    <w:rsid w:val="008C4D10"/>
    <w:rsid w:val="008C5046"/>
    <w:rsid w:val="008C522A"/>
    <w:rsid w:val="008C5281"/>
    <w:rsid w:val="008C5889"/>
    <w:rsid w:val="008C59D1"/>
    <w:rsid w:val="008C5BE3"/>
    <w:rsid w:val="008C5E5E"/>
    <w:rsid w:val="008C5E93"/>
    <w:rsid w:val="008C5FCE"/>
    <w:rsid w:val="008C68DF"/>
    <w:rsid w:val="008C69F8"/>
    <w:rsid w:val="008C6A68"/>
    <w:rsid w:val="008C6B2A"/>
    <w:rsid w:val="008C6C1E"/>
    <w:rsid w:val="008C6EF4"/>
    <w:rsid w:val="008C6F2D"/>
    <w:rsid w:val="008C739B"/>
    <w:rsid w:val="008C779D"/>
    <w:rsid w:val="008C7ECB"/>
    <w:rsid w:val="008D0075"/>
    <w:rsid w:val="008D0D17"/>
    <w:rsid w:val="008D0D64"/>
    <w:rsid w:val="008D0E07"/>
    <w:rsid w:val="008D0FB2"/>
    <w:rsid w:val="008D1086"/>
    <w:rsid w:val="008D1665"/>
    <w:rsid w:val="008D168E"/>
    <w:rsid w:val="008D1929"/>
    <w:rsid w:val="008D1A1F"/>
    <w:rsid w:val="008D1D00"/>
    <w:rsid w:val="008D1DFD"/>
    <w:rsid w:val="008D1E9C"/>
    <w:rsid w:val="008D1EBB"/>
    <w:rsid w:val="008D20BA"/>
    <w:rsid w:val="008D2A62"/>
    <w:rsid w:val="008D2C5B"/>
    <w:rsid w:val="008D2D06"/>
    <w:rsid w:val="008D30EF"/>
    <w:rsid w:val="008D338F"/>
    <w:rsid w:val="008D33D3"/>
    <w:rsid w:val="008D346C"/>
    <w:rsid w:val="008D3554"/>
    <w:rsid w:val="008D3B51"/>
    <w:rsid w:val="008D3EAB"/>
    <w:rsid w:val="008D4063"/>
    <w:rsid w:val="008D4089"/>
    <w:rsid w:val="008D41D9"/>
    <w:rsid w:val="008D4617"/>
    <w:rsid w:val="008D58C2"/>
    <w:rsid w:val="008D5D9A"/>
    <w:rsid w:val="008D6A9F"/>
    <w:rsid w:val="008D6BA7"/>
    <w:rsid w:val="008D6E57"/>
    <w:rsid w:val="008D71F8"/>
    <w:rsid w:val="008D75B2"/>
    <w:rsid w:val="008D7F23"/>
    <w:rsid w:val="008E027A"/>
    <w:rsid w:val="008E092F"/>
    <w:rsid w:val="008E0993"/>
    <w:rsid w:val="008E0B27"/>
    <w:rsid w:val="008E0D7D"/>
    <w:rsid w:val="008E1409"/>
    <w:rsid w:val="008E1B9E"/>
    <w:rsid w:val="008E1CC6"/>
    <w:rsid w:val="008E2531"/>
    <w:rsid w:val="008E2B1C"/>
    <w:rsid w:val="008E2CF5"/>
    <w:rsid w:val="008E2D49"/>
    <w:rsid w:val="008E3367"/>
    <w:rsid w:val="008E3F77"/>
    <w:rsid w:val="008E40C5"/>
    <w:rsid w:val="008E41B7"/>
    <w:rsid w:val="008E4276"/>
    <w:rsid w:val="008E4371"/>
    <w:rsid w:val="008E4C77"/>
    <w:rsid w:val="008E4CF5"/>
    <w:rsid w:val="008E51EC"/>
    <w:rsid w:val="008E5C70"/>
    <w:rsid w:val="008E6137"/>
    <w:rsid w:val="008E61A0"/>
    <w:rsid w:val="008E6386"/>
    <w:rsid w:val="008E645D"/>
    <w:rsid w:val="008E6537"/>
    <w:rsid w:val="008E68A1"/>
    <w:rsid w:val="008E7102"/>
    <w:rsid w:val="008E7374"/>
    <w:rsid w:val="008E762E"/>
    <w:rsid w:val="008E786C"/>
    <w:rsid w:val="008F00B8"/>
    <w:rsid w:val="008F00CE"/>
    <w:rsid w:val="008F0558"/>
    <w:rsid w:val="008F0C73"/>
    <w:rsid w:val="008F0E03"/>
    <w:rsid w:val="008F1119"/>
    <w:rsid w:val="008F1147"/>
    <w:rsid w:val="008F117C"/>
    <w:rsid w:val="008F18D7"/>
    <w:rsid w:val="008F1C5B"/>
    <w:rsid w:val="008F1FAF"/>
    <w:rsid w:val="008F220D"/>
    <w:rsid w:val="008F2519"/>
    <w:rsid w:val="008F253A"/>
    <w:rsid w:val="008F2825"/>
    <w:rsid w:val="008F2C89"/>
    <w:rsid w:val="008F2D1C"/>
    <w:rsid w:val="008F2ECF"/>
    <w:rsid w:val="008F32A0"/>
    <w:rsid w:val="008F365C"/>
    <w:rsid w:val="008F3A55"/>
    <w:rsid w:val="008F411B"/>
    <w:rsid w:val="008F4188"/>
    <w:rsid w:val="008F427C"/>
    <w:rsid w:val="008F42CC"/>
    <w:rsid w:val="008F43E8"/>
    <w:rsid w:val="008F460F"/>
    <w:rsid w:val="008F468F"/>
    <w:rsid w:val="008F48EB"/>
    <w:rsid w:val="008F4F0B"/>
    <w:rsid w:val="008F518C"/>
    <w:rsid w:val="008F51A1"/>
    <w:rsid w:val="008F5302"/>
    <w:rsid w:val="008F56AE"/>
    <w:rsid w:val="008F58F7"/>
    <w:rsid w:val="008F5A85"/>
    <w:rsid w:val="008F5EA9"/>
    <w:rsid w:val="008F5F2D"/>
    <w:rsid w:val="008F6447"/>
    <w:rsid w:val="008F6450"/>
    <w:rsid w:val="008F66AA"/>
    <w:rsid w:val="008F66B0"/>
    <w:rsid w:val="008F69C6"/>
    <w:rsid w:val="008F6B6E"/>
    <w:rsid w:val="008F6CB6"/>
    <w:rsid w:val="008F6EE9"/>
    <w:rsid w:val="008F70F4"/>
    <w:rsid w:val="008F769B"/>
    <w:rsid w:val="008F786C"/>
    <w:rsid w:val="009002D8"/>
    <w:rsid w:val="0090065F"/>
    <w:rsid w:val="00900685"/>
    <w:rsid w:val="00900A06"/>
    <w:rsid w:val="00900CBE"/>
    <w:rsid w:val="00901309"/>
    <w:rsid w:val="00901461"/>
    <w:rsid w:val="00901B4B"/>
    <w:rsid w:val="00901E3F"/>
    <w:rsid w:val="009022B7"/>
    <w:rsid w:val="0090308C"/>
    <w:rsid w:val="00903336"/>
    <w:rsid w:val="0090388C"/>
    <w:rsid w:val="00903C43"/>
    <w:rsid w:val="00903DA7"/>
    <w:rsid w:val="00904231"/>
    <w:rsid w:val="00904A01"/>
    <w:rsid w:val="00904DFD"/>
    <w:rsid w:val="00904EDA"/>
    <w:rsid w:val="00905372"/>
    <w:rsid w:val="00905582"/>
    <w:rsid w:val="00905712"/>
    <w:rsid w:val="00905A94"/>
    <w:rsid w:val="00905F0D"/>
    <w:rsid w:val="009062A5"/>
    <w:rsid w:val="009065FD"/>
    <w:rsid w:val="009068D7"/>
    <w:rsid w:val="00906995"/>
    <w:rsid w:val="009069C0"/>
    <w:rsid w:val="00906EF8"/>
    <w:rsid w:val="00907A5D"/>
    <w:rsid w:val="00907D8B"/>
    <w:rsid w:val="009100E7"/>
    <w:rsid w:val="009103E4"/>
    <w:rsid w:val="009107CC"/>
    <w:rsid w:val="0091084D"/>
    <w:rsid w:val="00911128"/>
    <w:rsid w:val="00911272"/>
    <w:rsid w:val="00911293"/>
    <w:rsid w:val="00911481"/>
    <w:rsid w:val="0091148C"/>
    <w:rsid w:val="009114E6"/>
    <w:rsid w:val="00911540"/>
    <w:rsid w:val="00911934"/>
    <w:rsid w:val="00911A8B"/>
    <w:rsid w:val="00911BE3"/>
    <w:rsid w:val="0091224F"/>
    <w:rsid w:val="009128B6"/>
    <w:rsid w:val="00912959"/>
    <w:rsid w:val="00912FFD"/>
    <w:rsid w:val="00913245"/>
    <w:rsid w:val="009133A5"/>
    <w:rsid w:val="009134BE"/>
    <w:rsid w:val="00913756"/>
    <w:rsid w:val="00913AF8"/>
    <w:rsid w:val="00913B8C"/>
    <w:rsid w:val="00913BB0"/>
    <w:rsid w:val="00913BCC"/>
    <w:rsid w:val="00913E3F"/>
    <w:rsid w:val="0091433A"/>
    <w:rsid w:val="009143F5"/>
    <w:rsid w:val="0091469F"/>
    <w:rsid w:val="009148A2"/>
    <w:rsid w:val="00914BBE"/>
    <w:rsid w:val="00914F9A"/>
    <w:rsid w:val="00915075"/>
    <w:rsid w:val="00915AD2"/>
    <w:rsid w:val="00915D45"/>
    <w:rsid w:val="00915F59"/>
    <w:rsid w:val="00916136"/>
    <w:rsid w:val="009162BF"/>
    <w:rsid w:val="00916491"/>
    <w:rsid w:val="00916887"/>
    <w:rsid w:val="00916EB4"/>
    <w:rsid w:val="009173D3"/>
    <w:rsid w:val="00917709"/>
    <w:rsid w:val="009179AA"/>
    <w:rsid w:val="00917E2B"/>
    <w:rsid w:val="00920140"/>
    <w:rsid w:val="00920243"/>
    <w:rsid w:val="009202A8"/>
    <w:rsid w:val="00920784"/>
    <w:rsid w:val="00920A1B"/>
    <w:rsid w:val="00920CEA"/>
    <w:rsid w:val="00920EF5"/>
    <w:rsid w:val="009214BB"/>
    <w:rsid w:val="00921715"/>
    <w:rsid w:val="00921C6A"/>
    <w:rsid w:val="00921CBE"/>
    <w:rsid w:val="00922687"/>
    <w:rsid w:val="0092279F"/>
    <w:rsid w:val="009227F6"/>
    <w:rsid w:val="00922803"/>
    <w:rsid w:val="00922C4C"/>
    <w:rsid w:val="00922E1C"/>
    <w:rsid w:val="00922ED4"/>
    <w:rsid w:val="00923789"/>
    <w:rsid w:val="0092386F"/>
    <w:rsid w:val="00923A54"/>
    <w:rsid w:val="00923E97"/>
    <w:rsid w:val="009240BD"/>
    <w:rsid w:val="00924358"/>
    <w:rsid w:val="0092438B"/>
    <w:rsid w:val="009243D9"/>
    <w:rsid w:val="009243DD"/>
    <w:rsid w:val="0092444D"/>
    <w:rsid w:val="00924950"/>
    <w:rsid w:val="00924B8D"/>
    <w:rsid w:val="00924C8C"/>
    <w:rsid w:val="0092577E"/>
    <w:rsid w:val="00925B12"/>
    <w:rsid w:val="00925DF3"/>
    <w:rsid w:val="00925E1B"/>
    <w:rsid w:val="00925F93"/>
    <w:rsid w:val="0092606B"/>
    <w:rsid w:val="0092606E"/>
    <w:rsid w:val="009260BD"/>
    <w:rsid w:val="0092689E"/>
    <w:rsid w:val="00926D93"/>
    <w:rsid w:val="0092729A"/>
    <w:rsid w:val="009272F6"/>
    <w:rsid w:val="009276B4"/>
    <w:rsid w:val="00927858"/>
    <w:rsid w:val="009300DD"/>
    <w:rsid w:val="00930118"/>
    <w:rsid w:val="0093019E"/>
    <w:rsid w:val="009302C5"/>
    <w:rsid w:val="00930375"/>
    <w:rsid w:val="00930381"/>
    <w:rsid w:val="009303DB"/>
    <w:rsid w:val="009303EB"/>
    <w:rsid w:val="00930A65"/>
    <w:rsid w:val="00930ACB"/>
    <w:rsid w:val="00930C0D"/>
    <w:rsid w:val="00930C9C"/>
    <w:rsid w:val="00930D8B"/>
    <w:rsid w:val="00930E29"/>
    <w:rsid w:val="00930EB9"/>
    <w:rsid w:val="009310B4"/>
    <w:rsid w:val="009313CD"/>
    <w:rsid w:val="00931525"/>
    <w:rsid w:val="009316BF"/>
    <w:rsid w:val="009316F4"/>
    <w:rsid w:val="009317B6"/>
    <w:rsid w:val="0093198C"/>
    <w:rsid w:val="00931B3B"/>
    <w:rsid w:val="00931D7E"/>
    <w:rsid w:val="00931ED0"/>
    <w:rsid w:val="0093214B"/>
    <w:rsid w:val="009321F1"/>
    <w:rsid w:val="00932424"/>
    <w:rsid w:val="00932503"/>
    <w:rsid w:val="009325EB"/>
    <w:rsid w:val="00932679"/>
    <w:rsid w:val="00932701"/>
    <w:rsid w:val="00932852"/>
    <w:rsid w:val="0093290D"/>
    <w:rsid w:val="00932BE1"/>
    <w:rsid w:val="00932EBF"/>
    <w:rsid w:val="00933E60"/>
    <w:rsid w:val="00933F14"/>
    <w:rsid w:val="00933F9C"/>
    <w:rsid w:val="009343AE"/>
    <w:rsid w:val="0093466A"/>
    <w:rsid w:val="00934C06"/>
    <w:rsid w:val="00935135"/>
    <w:rsid w:val="00935440"/>
    <w:rsid w:val="009355A3"/>
    <w:rsid w:val="0093568B"/>
    <w:rsid w:val="009359AB"/>
    <w:rsid w:val="00935AE9"/>
    <w:rsid w:val="00935C33"/>
    <w:rsid w:val="00935C3A"/>
    <w:rsid w:val="009360AC"/>
    <w:rsid w:val="009364F4"/>
    <w:rsid w:val="00936D33"/>
    <w:rsid w:val="0093720D"/>
    <w:rsid w:val="00937664"/>
    <w:rsid w:val="0094043B"/>
    <w:rsid w:val="00940810"/>
    <w:rsid w:val="00940E78"/>
    <w:rsid w:val="00941002"/>
    <w:rsid w:val="009415C9"/>
    <w:rsid w:val="0094183D"/>
    <w:rsid w:val="00942F4A"/>
    <w:rsid w:val="00943258"/>
    <w:rsid w:val="009433D5"/>
    <w:rsid w:val="009434F8"/>
    <w:rsid w:val="009435A2"/>
    <w:rsid w:val="00943A6F"/>
    <w:rsid w:val="0094414B"/>
    <w:rsid w:val="00944C12"/>
    <w:rsid w:val="00945160"/>
    <w:rsid w:val="0094548F"/>
    <w:rsid w:val="009454EA"/>
    <w:rsid w:val="00945536"/>
    <w:rsid w:val="009455E1"/>
    <w:rsid w:val="009457F2"/>
    <w:rsid w:val="00945972"/>
    <w:rsid w:val="00945B97"/>
    <w:rsid w:val="009462F0"/>
    <w:rsid w:val="009465A7"/>
    <w:rsid w:val="009469A4"/>
    <w:rsid w:val="00946BEC"/>
    <w:rsid w:val="00946FBA"/>
    <w:rsid w:val="0094724B"/>
    <w:rsid w:val="00947308"/>
    <w:rsid w:val="0094730F"/>
    <w:rsid w:val="00947578"/>
    <w:rsid w:val="00947781"/>
    <w:rsid w:val="00947C4E"/>
    <w:rsid w:val="00947CC6"/>
    <w:rsid w:val="00947E75"/>
    <w:rsid w:val="00950156"/>
    <w:rsid w:val="009501CD"/>
    <w:rsid w:val="009501E2"/>
    <w:rsid w:val="009508C1"/>
    <w:rsid w:val="00951133"/>
    <w:rsid w:val="009513D7"/>
    <w:rsid w:val="00951419"/>
    <w:rsid w:val="00951465"/>
    <w:rsid w:val="0095171A"/>
    <w:rsid w:val="00951BAC"/>
    <w:rsid w:val="00951E3D"/>
    <w:rsid w:val="00951F76"/>
    <w:rsid w:val="00952123"/>
    <w:rsid w:val="009522E6"/>
    <w:rsid w:val="00952357"/>
    <w:rsid w:val="00952462"/>
    <w:rsid w:val="0095266A"/>
    <w:rsid w:val="00952679"/>
    <w:rsid w:val="0095287C"/>
    <w:rsid w:val="00952C07"/>
    <w:rsid w:val="00952CBA"/>
    <w:rsid w:val="00953108"/>
    <w:rsid w:val="009533D1"/>
    <w:rsid w:val="00953551"/>
    <w:rsid w:val="00953582"/>
    <w:rsid w:val="009537E9"/>
    <w:rsid w:val="009539AD"/>
    <w:rsid w:val="00953CF7"/>
    <w:rsid w:val="0095403C"/>
    <w:rsid w:val="009546E3"/>
    <w:rsid w:val="00954952"/>
    <w:rsid w:val="00954B9F"/>
    <w:rsid w:val="009559E6"/>
    <w:rsid w:val="00956072"/>
    <w:rsid w:val="00956F33"/>
    <w:rsid w:val="009572C8"/>
    <w:rsid w:val="00957A48"/>
    <w:rsid w:val="00957E38"/>
    <w:rsid w:val="0096042B"/>
    <w:rsid w:val="009605D7"/>
    <w:rsid w:val="00960815"/>
    <w:rsid w:val="00960B39"/>
    <w:rsid w:val="00960C1E"/>
    <w:rsid w:val="00960EC8"/>
    <w:rsid w:val="00961639"/>
    <w:rsid w:val="0096180A"/>
    <w:rsid w:val="00961860"/>
    <w:rsid w:val="00961AC0"/>
    <w:rsid w:val="00961AF9"/>
    <w:rsid w:val="00961D03"/>
    <w:rsid w:val="009624DA"/>
    <w:rsid w:val="009626D1"/>
    <w:rsid w:val="00962CB9"/>
    <w:rsid w:val="00962FF8"/>
    <w:rsid w:val="00963360"/>
    <w:rsid w:val="0096369E"/>
    <w:rsid w:val="00963871"/>
    <w:rsid w:val="00963B76"/>
    <w:rsid w:val="00963D3A"/>
    <w:rsid w:val="00963F1E"/>
    <w:rsid w:val="00963F79"/>
    <w:rsid w:val="00964164"/>
    <w:rsid w:val="00964312"/>
    <w:rsid w:val="00964712"/>
    <w:rsid w:val="0096485B"/>
    <w:rsid w:val="009649AA"/>
    <w:rsid w:val="00964C0F"/>
    <w:rsid w:val="00964E45"/>
    <w:rsid w:val="00964E5B"/>
    <w:rsid w:val="00964EEF"/>
    <w:rsid w:val="00965009"/>
    <w:rsid w:val="009651AF"/>
    <w:rsid w:val="009655F2"/>
    <w:rsid w:val="0096572D"/>
    <w:rsid w:val="00965B20"/>
    <w:rsid w:val="00966718"/>
    <w:rsid w:val="00966762"/>
    <w:rsid w:val="00966BB8"/>
    <w:rsid w:val="00966C00"/>
    <w:rsid w:val="00966D53"/>
    <w:rsid w:val="009676F7"/>
    <w:rsid w:val="00967711"/>
    <w:rsid w:val="00967820"/>
    <w:rsid w:val="009678BD"/>
    <w:rsid w:val="00967955"/>
    <w:rsid w:val="0097036E"/>
    <w:rsid w:val="00970468"/>
    <w:rsid w:val="00971009"/>
    <w:rsid w:val="009711EE"/>
    <w:rsid w:val="00971266"/>
    <w:rsid w:val="009713F2"/>
    <w:rsid w:val="009714C1"/>
    <w:rsid w:val="00971673"/>
    <w:rsid w:val="00971F34"/>
    <w:rsid w:val="009720B9"/>
    <w:rsid w:val="00972367"/>
    <w:rsid w:val="00972532"/>
    <w:rsid w:val="0097294C"/>
    <w:rsid w:val="00972AA0"/>
    <w:rsid w:val="00972EE8"/>
    <w:rsid w:val="0097343B"/>
    <w:rsid w:val="00973C01"/>
    <w:rsid w:val="00974822"/>
    <w:rsid w:val="009750D5"/>
    <w:rsid w:val="0097592C"/>
    <w:rsid w:val="009759F2"/>
    <w:rsid w:val="00975AA8"/>
    <w:rsid w:val="00975F21"/>
    <w:rsid w:val="0097618F"/>
    <w:rsid w:val="00976215"/>
    <w:rsid w:val="00976578"/>
    <w:rsid w:val="00976A46"/>
    <w:rsid w:val="00976CF2"/>
    <w:rsid w:val="0097726A"/>
    <w:rsid w:val="009778B1"/>
    <w:rsid w:val="00977A13"/>
    <w:rsid w:val="00977E58"/>
    <w:rsid w:val="00977FC6"/>
    <w:rsid w:val="00977FD8"/>
    <w:rsid w:val="0098002F"/>
    <w:rsid w:val="009801DD"/>
    <w:rsid w:val="00980318"/>
    <w:rsid w:val="009804F3"/>
    <w:rsid w:val="0098059D"/>
    <w:rsid w:val="009806BD"/>
    <w:rsid w:val="00980FEC"/>
    <w:rsid w:val="0098185D"/>
    <w:rsid w:val="00981D04"/>
    <w:rsid w:val="00981D4A"/>
    <w:rsid w:val="00981EEB"/>
    <w:rsid w:val="00981FBD"/>
    <w:rsid w:val="00982259"/>
    <w:rsid w:val="00982479"/>
    <w:rsid w:val="00982717"/>
    <w:rsid w:val="00982739"/>
    <w:rsid w:val="00982C9B"/>
    <w:rsid w:val="00982EFB"/>
    <w:rsid w:val="009830EA"/>
    <w:rsid w:val="009834A5"/>
    <w:rsid w:val="00983D6E"/>
    <w:rsid w:val="00983DB3"/>
    <w:rsid w:val="00983E57"/>
    <w:rsid w:val="0098401F"/>
    <w:rsid w:val="00984BA2"/>
    <w:rsid w:val="00984F22"/>
    <w:rsid w:val="009850EE"/>
    <w:rsid w:val="009851CE"/>
    <w:rsid w:val="00985578"/>
    <w:rsid w:val="0098578D"/>
    <w:rsid w:val="00985A48"/>
    <w:rsid w:val="009865E9"/>
    <w:rsid w:val="009866E3"/>
    <w:rsid w:val="009868E9"/>
    <w:rsid w:val="00986942"/>
    <w:rsid w:val="00987304"/>
    <w:rsid w:val="00987616"/>
    <w:rsid w:val="00990311"/>
    <w:rsid w:val="0099074C"/>
    <w:rsid w:val="009909C9"/>
    <w:rsid w:val="00990B8F"/>
    <w:rsid w:val="00990F20"/>
    <w:rsid w:val="009910DF"/>
    <w:rsid w:val="009910F0"/>
    <w:rsid w:val="009918C9"/>
    <w:rsid w:val="00991CF6"/>
    <w:rsid w:val="00991DA4"/>
    <w:rsid w:val="0099201D"/>
    <w:rsid w:val="0099207E"/>
    <w:rsid w:val="0099226E"/>
    <w:rsid w:val="009922EB"/>
    <w:rsid w:val="0099280F"/>
    <w:rsid w:val="009930A6"/>
    <w:rsid w:val="009933A5"/>
    <w:rsid w:val="00993BF3"/>
    <w:rsid w:val="00993E17"/>
    <w:rsid w:val="00993E4E"/>
    <w:rsid w:val="00993F16"/>
    <w:rsid w:val="009947E8"/>
    <w:rsid w:val="009957E8"/>
    <w:rsid w:val="00995ACF"/>
    <w:rsid w:val="009964D5"/>
    <w:rsid w:val="009966D6"/>
    <w:rsid w:val="009966DC"/>
    <w:rsid w:val="009966F7"/>
    <w:rsid w:val="00996B1A"/>
    <w:rsid w:val="00996C02"/>
    <w:rsid w:val="00997010"/>
    <w:rsid w:val="009972EA"/>
    <w:rsid w:val="009972EF"/>
    <w:rsid w:val="009976B5"/>
    <w:rsid w:val="009979E0"/>
    <w:rsid w:val="00997E89"/>
    <w:rsid w:val="009A01B7"/>
    <w:rsid w:val="009A02BF"/>
    <w:rsid w:val="009A0474"/>
    <w:rsid w:val="009A06E8"/>
    <w:rsid w:val="009A0EE8"/>
    <w:rsid w:val="009A1065"/>
    <w:rsid w:val="009A14CA"/>
    <w:rsid w:val="009A16F0"/>
    <w:rsid w:val="009A1FE9"/>
    <w:rsid w:val="009A2257"/>
    <w:rsid w:val="009A24A8"/>
    <w:rsid w:val="009A280C"/>
    <w:rsid w:val="009A2C05"/>
    <w:rsid w:val="009A2F4E"/>
    <w:rsid w:val="009A2FC3"/>
    <w:rsid w:val="009A314A"/>
    <w:rsid w:val="009A3B63"/>
    <w:rsid w:val="009A3CFC"/>
    <w:rsid w:val="009A4307"/>
    <w:rsid w:val="009A4308"/>
    <w:rsid w:val="009A435A"/>
    <w:rsid w:val="009A4392"/>
    <w:rsid w:val="009A4433"/>
    <w:rsid w:val="009A46DA"/>
    <w:rsid w:val="009A4807"/>
    <w:rsid w:val="009A5169"/>
    <w:rsid w:val="009A5341"/>
    <w:rsid w:val="009A59E3"/>
    <w:rsid w:val="009A5B03"/>
    <w:rsid w:val="009A5E56"/>
    <w:rsid w:val="009A627E"/>
    <w:rsid w:val="009A65F8"/>
    <w:rsid w:val="009A6C56"/>
    <w:rsid w:val="009A6E2E"/>
    <w:rsid w:val="009A6E9D"/>
    <w:rsid w:val="009A6F43"/>
    <w:rsid w:val="009A724E"/>
    <w:rsid w:val="009A738B"/>
    <w:rsid w:val="009A763D"/>
    <w:rsid w:val="009A7EDB"/>
    <w:rsid w:val="009B010D"/>
    <w:rsid w:val="009B0368"/>
    <w:rsid w:val="009B0421"/>
    <w:rsid w:val="009B0472"/>
    <w:rsid w:val="009B053F"/>
    <w:rsid w:val="009B085F"/>
    <w:rsid w:val="009B15AD"/>
    <w:rsid w:val="009B17AA"/>
    <w:rsid w:val="009B1C55"/>
    <w:rsid w:val="009B1F8E"/>
    <w:rsid w:val="009B1FDF"/>
    <w:rsid w:val="009B2252"/>
    <w:rsid w:val="009B252E"/>
    <w:rsid w:val="009B2ACE"/>
    <w:rsid w:val="009B2B4C"/>
    <w:rsid w:val="009B2C63"/>
    <w:rsid w:val="009B3087"/>
    <w:rsid w:val="009B3090"/>
    <w:rsid w:val="009B3E26"/>
    <w:rsid w:val="009B47A5"/>
    <w:rsid w:val="009B47F7"/>
    <w:rsid w:val="009B484D"/>
    <w:rsid w:val="009B4DC5"/>
    <w:rsid w:val="009B4E10"/>
    <w:rsid w:val="009B4F01"/>
    <w:rsid w:val="009B502C"/>
    <w:rsid w:val="009B51E0"/>
    <w:rsid w:val="009B564C"/>
    <w:rsid w:val="009B5BD5"/>
    <w:rsid w:val="009B5C03"/>
    <w:rsid w:val="009B5CE1"/>
    <w:rsid w:val="009B5D97"/>
    <w:rsid w:val="009B5FBE"/>
    <w:rsid w:val="009B5FF9"/>
    <w:rsid w:val="009B623E"/>
    <w:rsid w:val="009B661F"/>
    <w:rsid w:val="009B6641"/>
    <w:rsid w:val="009B6A5B"/>
    <w:rsid w:val="009B6E8F"/>
    <w:rsid w:val="009B71E3"/>
    <w:rsid w:val="009B73F8"/>
    <w:rsid w:val="009B7679"/>
    <w:rsid w:val="009B7692"/>
    <w:rsid w:val="009B7969"/>
    <w:rsid w:val="009C0C02"/>
    <w:rsid w:val="009C1649"/>
    <w:rsid w:val="009C1732"/>
    <w:rsid w:val="009C1D87"/>
    <w:rsid w:val="009C1E96"/>
    <w:rsid w:val="009C22F9"/>
    <w:rsid w:val="009C259F"/>
    <w:rsid w:val="009C25B2"/>
    <w:rsid w:val="009C352F"/>
    <w:rsid w:val="009C3658"/>
    <w:rsid w:val="009C3763"/>
    <w:rsid w:val="009C38CB"/>
    <w:rsid w:val="009C3E74"/>
    <w:rsid w:val="009C3EE8"/>
    <w:rsid w:val="009C4AED"/>
    <w:rsid w:val="009C4B66"/>
    <w:rsid w:val="009C4B79"/>
    <w:rsid w:val="009C4C69"/>
    <w:rsid w:val="009C4DD3"/>
    <w:rsid w:val="009C513C"/>
    <w:rsid w:val="009C546A"/>
    <w:rsid w:val="009C5639"/>
    <w:rsid w:val="009C59DC"/>
    <w:rsid w:val="009C5C08"/>
    <w:rsid w:val="009C5C44"/>
    <w:rsid w:val="009C5D2E"/>
    <w:rsid w:val="009C5E01"/>
    <w:rsid w:val="009C60DE"/>
    <w:rsid w:val="009C613D"/>
    <w:rsid w:val="009C6866"/>
    <w:rsid w:val="009C6F77"/>
    <w:rsid w:val="009C704D"/>
    <w:rsid w:val="009C7120"/>
    <w:rsid w:val="009C72E6"/>
    <w:rsid w:val="009C74A3"/>
    <w:rsid w:val="009C76DF"/>
    <w:rsid w:val="009C78AA"/>
    <w:rsid w:val="009D053A"/>
    <w:rsid w:val="009D097E"/>
    <w:rsid w:val="009D0BE3"/>
    <w:rsid w:val="009D0C2C"/>
    <w:rsid w:val="009D1157"/>
    <w:rsid w:val="009D117B"/>
    <w:rsid w:val="009D12A9"/>
    <w:rsid w:val="009D1352"/>
    <w:rsid w:val="009D14D2"/>
    <w:rsid w:val="009D164D"/>
    <w:rsid w:val="009D171A"/>
    <w:rsid w:val="009D1731"/>
    <w:rsid w:val="009D192C"/>
    <w:rsid w:val="009D198A"/>
    <w:rsid w:val="009D1B01"/>
    <w:rsid w:val="009D22A1"/>
    <w:rsid w:val="009D2321"/>
    <w:rsid w:val="009D234C"/>
    <w:rsid w:val="009D28B6"/>
    <w:rsid w:val="009D29A2"/>
    <w:rsid w:val="009D2DFF"/>
    <w:rsid w:val="009D2EA4"/>
    <w:rsid w:val="009D3086"/>
    <w:rsid w:val="009D3273"/>
    <w:rsid w:val="009D3855"/>
    <w:rsid w:val="009D3AAE"/>
    <w:rsid w:val="009D4490"/>
    <w:rsid w:val="009D454A"/>
    <w:rsid w:val="009D4F5B"/>
    <w:rsid w:val="009D5AAC"/>
    <w:rsid w:val="009D5B91"/>
    <w:rsid w:val="009D60F8"/>
    <w:rsid w:val="009D620C"/>
    <w:rsid w:val="009D6251"/>
    <w:rsid w:val="009D6564"/>
    <w:rsid w:val="009D66BC"/>
    <w:rsid w:val="009D66E0"/>
    <w:rsid w:val="009D687C"/>
    <w:rsid w:val="009D6889"/>
    <w:rsid w:val="009D690F"/>
    <w:rsid w:val="009D6A2D"/>
    <w:rsid w:val="009D6FBC"/>
    <w:rsid w:val="009D7116"/>
    <w:rsid w:val="009D7263"/>
    <w:rsid w:val="009D72AE"/>
    <w:rsid w:val="009D7598"/>
    <w:rsid w:val="009D7B25"/>
    <w:rsid w:val="009D7DDC"/>
    <w:rsid w:val="009E0235"/>
    <w:rsid w:val="009E0359"/>
    <w:rsid w:val="009E0400"/>
    <w:rsid w:val="009E0887"/>
    <w:rsid w:val="009E10B0"/>
    <w:rsid w:val="009E116A"/>
    <w:rsid w:val="009E16C8"/>
    <w:rsid w:val="009E1DC2"/>
    <w:rsid w:val="009E1F39"/>
    <w:rsid w:val="009E2618"/>
    <w:rsid w:val="009E2C27"/>
    <w:rsid w:val="009E2D95"/>
    <w:rsid w:val="009E2F70"/>
    <w:rsid w:val="009E30BB"/>
    <w:rsid w:val="009E39F8"/>
    <w:rsid w:val="009E3A2A"/>
    <w:rsid w:val="009E3A86"/>
    <w:rsid w:val="009E3E8C"/>
    <w:rsid w:val="009E3EBD"/>
    <w:rsid w:val="009E40E9"/>
    <w:rsid w:val="009E4116"/>
    <w:rsid w:val="009E4463"/>
    <w:rsid w:val="009E480C"/>
    <w:rsid w:val="009E4A95"/>
    <w:rsid w:val="009E4B19"/>
    <w:rsid w:val="009E4C07"/>
    <w:rsid w:val="009E4E0E"/>
    <w:rsid w:val="009E4E19"/>
    <w:rsid w:val="009E5388"/>
    <w:rsid w:val="009E5496"/>
    <w:rsid w:val="009E5F52"/>
    <w:rsid w:val="009E5FDF"/>
    <w:rsid w:val="009E6814"/>
    <w:rsid w:val="009E686D"/>
    <w:rsid w:val="009E6B41"/>
    <w:rsid w:val="009E6CDA"/>
    <w:rsid w:val="009E6F17"/>
    <w:rsid w:val="009E7399"/>
    <w:rsid w:val="009E77E8"/>
    <w:rsid w:val="009E7818"/>
    <w:rsid w:val="009E797D"/>
    <w:rsid w:val="009E7A20"/>
    <w:rsid w:val="009E7DBF"/>
    <w:rsid w:val="009E7FE8"/>
    <w:rsid w:val="009F024C"/>
    <w:rsid w:val="009F071E"/>
    <w:rsid w:val="009F0A73"/>
    <w:rsid w:val="009F0AA0"/>
    <w:rsid w:val="009F0FD1"/>
    <w:rsid w:val="009F186E"/>
    <w:rsid w:val="009F1BFE"/>
    <w:rsid w:val="009F22B5"/>
    <w:rsid w:val="009F2444"/>
    <w:rsid w:val="009F2719"/>
    <w:rsid w:val="009F2979"/>
    <w:rsid w:val="009F2C21"/>
    <w:rsid w:val="009F2D8C"/>
    <w:rsid w:val="009F2F1D"/>
    <w:rsid w:val="009F3236"/>
    <w:rsid w:val="009F396F"/>
    <w:rsid w:val="009F3991"/>
    <w:rsid w:val="009F3E45"/>
    <w:rsid w:val="009F4231"/>
    <w:rsid w:val="009F4461"/>
    <w:rsid w:val="009F4C0A"/>
    <w:rsid w:val="009F4EA7"/>
    <w:rsid w:val="009F5174"/>
    <w:rsid w:val="009F54E0"/>
    <w:rsid w:val="009F557A"/>
    <w:rsid w:val="009F5B19"/>
    <w:rsid w:val="009F5FDA"/>
    <w:rsid w:val="009F6353"/>
    <w:rsid w:val="009F63B0"/>
    <w:rsid w:val="009F63DC"/>
    <w:rsid w:val="009F6753"/>
    <w:rsid w:val="009F69DC"/>
    <w:rsid w:val="009F6E27"/>
    <w:rsid w:val="009F7030"/>
    <w:rsid w:val="009F7260"/>
    <w:rsid w:val="009F73C1"/>
    <w:rsid w:val="009F7510"/>
    <w:rsid w:val="009F7595"/>
    <w:rsid w:val="009F75E2"/>
    <w:rsid w:val="009F7604"/>
    <w:rsid w:val="009F7696"/>
    <w:rsid w:val="009F780E"/>
    <w:rsid w:val="009F7D39"/>
    <w:rsid w:val="009F7E98"/>
    <w:rsid w:val="00A00349"/>
    <w:rsid w:val="00A0036E"/>
    <w:rsid w:val="00A006B0"/>
    <w:rsid w:val="00A0081A"/>
    <w:rsid w:val="00A00878"/>
    <w:rsid w:val="00A00A07"/>
    <w:rsid w:val="00A00F26"/>
    <w:rsid w:val="00A01793"/>
    <w:rsid w:val="00A017C6"/>
    <w:rsid w:val="00A0184E"/>
    <w:rsid w:val="00A018D3"/>
    <w:rsid w:val="00A018F7"/>
    <w:rsid w:val="00A019CE"/>
    <w:rsid w:val="00A01CCC"/>
    <w:rsid w:val="00A01D47"/>
    <w:rsid w:val="00A029B0"/>
    <w:rsid w:val="00A030F5"/>
    <w:rsid w:val="00A0339B"/>
    <w:rsid w:val="00A0342F"/>
    <w:rsid w:val="00A03650"/>
    <w:rsid w:val="00A038FE"/>
    <w:rsid w:val="00A03C9B"/>
    <w:rsid w:val="00A03CC1"/>
    <w:rsid w:val="00A03D43"/>
    <w:rsid w:val="00A03EFE"/>
    <w:rsid w:val="00A04380"/>
    <w:rsid w:val="00A04381"/>
    <w:rsid w:val="00A0485A"/>
    <w:rsid w:val="00A0491D"/>
    <w:rsid w:val="00A04A61"/>
    <w:rsid w:val="00A04BC9"/>
    <w:rsid w:val="00A04CDD"/>
    <w:rsid w:val="00A04F14"/>
    <w:rsid w:val="00A05031"/>
    <w:rsid w:val="00A05395"/>
    <w:rsid w:val="00A055A3"/>
    <w:rsid w:val="00A056CC"/>
    <w:rsid w:val="00A0658B"/>
    <w:rsid w:val="00A066AC"/>
    <w:rsid w:val="00A0670F"/>
    <w:rsid w:val="00A0671B"/>
    <w:rsid w:val="00A068A1"/>
    <w:rsid w:val="00A06B92"/>
    <w:rsid w:val="00A06DB2"/>
    <w:rsid w:val="00A06DDF"/>
    <w:rsid w:val="00A06FA1"/>
    <w:rsid w:val="00A07406"/>
    <w:rsid w:val="00A07648"/>
    <w:rsid w:val="00A07989"/>
    <w:rsid w:val="00A07AC5"/>
    <w:rsid w:val="00A07ACB"/>
    <w:rsid w:val="00A10075"/>
    <w:rsid w:val="00A105A9"/>
    <w:rsid w:val="00A1093D"/>
    <w:rsid w:val="00A10E35"/>
    <w:rsid w:val="00A10F4D"/>
    <w:rsid w:val="00A112A6"/>
    <w:rsid w:val="00A112B9"/>
    <w:rsid w:val="00A113E5"/>
    <w:rsid w:val="00A11B66"/>
    <w:rsid w:val="00A11D7D"/>
    <w:rsid w:val="00A12184"/>
    <w:rsid w:val="00A12384"/>
    <w:rsid w:val="00A1244E"/>
    <w:rsid w:val="00A124B2"/>
    <w:rsid w:val="00A1256B"/>
    <w:rsid w:val="00A12F11"/>
    <w:rsid w:val="00A12FE8"/>
    <w:rsid w:val="00A1324A"/>
    <w:rsid w:val="00A1332E"/>
    <w:rsid w:val="00A1348B"/>
    <w:rsid w:val="00A134E4"/>
    <w:rsid w:val="00A13748"/>
    <w:rsid w:val="00A13948"/>
    <w:rsid w:val="00A13963"/>
    <w:rsid w:val="00A1399A"/>
    <w:rsid w:val="00A139CC"/>
    <w:rsid w:val="00A13A62"/>
    <w:rsid w:val="00A13A64"/>
    <w:rsid w:val="00A13A99"/>
    <w:rsid w:val="00A13AA4"/>
    <w:rsid w:val="00A13AE7"/>
    <w:rsid w:val="00A14016"/>
    <w:rsid w:val="00A142C8"/>
    <w:rsid w:val="00A1430D"/>
    <w:rsid w:val="00A147E5"/>
    <w:rsid w:val="00A14BAD"/>
    <w:rsid w:val="00A152AD"/>
    <w:rsid w:val="00A154F1"/>
    <w:rsid w:val="00A15818"/>
    <w:rsid w:val="00A15BA7"/>
    <w:rsid w:val="00A15CF2"/>
    <w:rsid w:val="00A160D9"/>
    <w:rsid w:val="00A16443"/>
    <w:rsid w:val="00A167CF"/>
    <w:rsid w:val="00A1691D"/>
    <w:rsid w:val="00A16EE4"/>
    <w:rsid w:val="00A171AD"/>
    <w:rsid w:val="00A17385"/>
    <w:rsid w:val="00A173E9"/>
    <w:rsid w:val="00A17596"/>
    <w:rsid w:val="00A17600"/>
    <w:rsid w:val="00A1760E"/>
    <w:rsid w:val="00A17EAE"/>
    <w:rsid w:val="00A2008A"/>
    <w:rsid w:val="00A200AB"/>
    <w:rsid w:val="00A200E5"/>
    <w:rsid w:val="00A20301"/>
    <w:rsid w:val="00A20D2A"/>
    <w:rsid w:val="00A20D43"/>
    <w:rsid w:val="00A20DD2"/>
    <w:rsid w:val="00A20F64"/>
    <w:rsid w:val="00A2134A"/>
    <w:rsid w:val="00A21575"/>
    <w:rsid w:val="00A21918"/>
    <w:rsid w:val="00A21F87"/>
    <w:rsid w:val="00A21FF6"/>
    <w:rsid w:val="00A2268A"/>
    <w:rsid w:val="00A2271F"/>
    <w:rsid w:val="00A23114"/>
    <w:rsid w:val="00A235B9"/>
    <w:rsid w:val="00A23803"/>
    <w:rsid w:val="00A238D5"/>
    <w:rsid w:val="00A239A5"/>
    <w:rsid w:val="00A23ADE"/>
    <w:rsid w:val="00A23B72"/>
    <w:rsid w:val="00A2408A"/>
    <w:rsid w:val="00A24234"/>
    <w:rsid w:val="00A24B7B"/>
    <w:rsid w:val="00A24DC5"/>
    <w:rsid w:val="00A25E95"/>
    <w:rsid w:val="00A264D6"/>
    <w:rsid w:val="00A26544"/>
    <w:rsid w:val="00A2674E"/>
    <w:rsid w:val="00A269A4"/>
    <w:rsid w:val="00A26AC6"/>
    <w:rsid w:val="00A26C45"/>
    <w:rsid w:val="00A27177"/>
    <w:rsid w:val="00A2718F"/>
    <w:rsid w:val="00A2737F"/>
    <w:rsid w:val="00A275DB"/>
    <w:rsid w:val="00A277BE"/>
    <w:rsid w:val="00A27822"/>
    <w:rsid w:val="00A27AEC"/>
    <w:rsid w:val="00A27C82"/>
    <w:rsid w:val="00A30045"/>
    <w:rsid w:val="00A30124"/>
    <w:rsid w:val="00A304E5"/>
    <w:rsid w:val="00A30A86"/>
    <w:rsid w:val="00A30D0D"/>
    <w:rsid w:val="00A30EBF"/>
    <w:rsid w:val="00A31280"/>
    <w:rsid w:val="00A3137E"/>
    <w:rsid w:val="00A314B3"/>
    <w:rsid w:val="00A31BC1"/>
    <w:rsid w:val="00A32394"/>
    <w:rsid w:val="00A32488"/>
    <w:rsid w:val="00A327CC"/>
    <w:rsid w:val="00A33AB7"/>
    <w:rsid w:val="00A33B91"/>
    <w:rsid w:val="00A33F94"/>
    <w:rsid w:val="00A33F9E"/>
    <w:rsid w:val="00A34098"/>
    <w:rsid w:val="00A3478D"/>
    <w:rsid w:val="00A348FB"/>
    <w:rsid w:val="00A34ABF"/>
    <w:rsid w:val="00A34D83"/>
    <w:rsid w:val="00A34F66"/>
    <w:rsid w:val="00A3524F"/>
    <w:rsid w:val="00A355D5"/>
    <w:rsid w:val="00A356C2"/>
    <w:rsid w:val="00A35ADF"/>
    <w:rsid w:val="00A35B0F"/>
    <w:rsid w:val="00A35D16"/>
    <w:rsid w:val="00A373A0"/>
    <w:rsid w:val="00A37EAF"/>
    <w:rsid w:val="00A40131"/>
    <w:rsid w:val="00A40224"/>
    <w:rsid w:val="00A404E5"/>
    <w:rsid w:val="00A40AC1"/>
    <w:rsid w:val="00A4168A"/>
    <w:rsid w:val="00A41DAF"/>
    <w:rsid w:val="00A41E75"/>
    <w:rsid w:val="00A428AD"/>
    <w:rsid w:val="00A428EB"/>
    <w:rsid w:val="00A42CB6"/>
    <w:rsid w:val="00A4318C"/>
    <w:rsid w:val="00A43C59"/>
    <w:rsid w:val="00A43D05"/>
    <w:rsid w:val="00A43EC1"/>
    <w:rsid w:val="00A43EE3"/>
    <w:rsid w:val="00A4423B"/>
    <w:rsid w:val="00A4491E"/>
    <w:rsid w:val="00A44B5A"/>
    <w:rsid w:val="00A44BF5"/>
    <w:rsid w:val="00A44D3C"/>
    <w:rsid w:val="00A44FA2"/>
    <w:rsid w:val="00A45230"/>
    <w:rsid w:val="00A45386"/>
    <w:rsid w:val="00A45BE9"/>
    <w:rsid w:val="00A45C0E"/>
    <w:rsid w:val="00A45F8A"/>
    <w:rsid w:val="00A46238"/>
    <w:rsid w:val="00A46255"/>
    <w:rsid w:val="00A467F8"/>
    <w:rsid w:val="00A46C94"/>
    <w:rsid w:val="00A46FB4"/>
    <w:rsid w:val="00A47413"/>
    <w:rsid w:val="00A47433"/>
    <w:rsid w:val="00A4746B"/>
    <w:rsid w:val="00A4776C"/>
    <w:rsid w:val="00A47B79"/>
    <w:rsid w:val="00A503A1"/>
    <w:rsid w:val="00A50636"/>
    <w:rsid w:val="00A50AAC"/>
    <w:rsid w:val="00A50ECD"/>
    <w:rsid w:val="00A518E2"/>
    <w:rsid w:val="00A51969"/>
    <w:rsid w:val="00A52110"/>
    <w:rsid w:val="00A522F2"/>
    <w:rsid w:val="00A523FD"/>
    <w:rsid w:val="00A524B2"/>
    <w:rsid w:val="00A52729"/>
    <w:rsid w:val="00A5275E"/>
    <w:rsid w:val="00A527D3"/>
    <w:rsid w:val="00A52CAF"/>
    <w:rsid w:val="00A52D7B"/>
    <w:rsid w:val="00A52FAB"/>
    <w:rsid w:val="00A5303E"/>
    <w:rsid w:val="00A531B6"/>
    <w:rsid w:val="00A53218"/>
    <w:rsid w:val="00A5340A"/>
    <w:rsid w:val="00A534EB"/>
    <w:rsid w:val="00A53675"/>
    <w:rsid w:val="00A53F4E"/>
    <w:rsid w:val="00A54599"/>
    <w:rsid w:val="00A54BCC"/>
    <w:rsid w:val="00A551FC"/>
    <w:rsid w:val="00A552E5"/>
    <w:rsid w:val="00A5610A"/>
    <w:rsid w:val="00A561A7"/>
    <w:rsid w:val="00A563BA"/>
    <w:rsid w:val="00A5654F"/>
    <w:rsid w:val="00A56859"/>
    <w:rsid w:val="00A56B3A"/>
    <w:rsid w:val="00A56B6A"/>
    <w:rsid w:val="00A56C6A"/>
    <w:rsid w:val="00A571EA"/>
    <w:rsid w:val="00A572CF"/>
    <w:rsid w:val="00A578DC"/>
    <w:rsid w:val="00A578EC"/>
    <w:rsid w:val="00A57999"/>
    <w:rsid w:val="00A57BD0"/>
    <w:rsid w:val="00A602DD"/>
    <w:rsid w:val="00A6037A"/>
    <w:rsid w:val="00A60524"/>
    <w:rsid w:val="00A60630"/>
    <w:rsid w:val="00A60689"/>
    <w:rsid w:val="00A606F9"/>
    <w:rsid w:val="00A6079F"/>
    <w:rsid w:val="00A60AB0"/>
    <w:rsid w:val="00A60B05"/>
    <w:rsid w:val="00A60C73"/>
    <w:rsid w:val="00A61105"/>
    <w:rsid w:val="00A617A8"/>
    <w:rsid w:val="00A61805"/>
    <w:rsid w:val="00A61898"/>
    <w:rsid w:val="00A6222B"/>
    <w:rsid w:val="00A6229C"/>
    <w:rsid w:val="00A625FF"/>
    <w:rsid w:val="00A629D0"/>
    <w:rsid w:val="00A62D3E"/>
    <w:rsid w:val="00A62FCA"/>
    <w:rsid w:val="00A63669"/>
    <w:rsid w:val="00A638CF"/>
    <w:rsid w:val="00A639DC"/>
    <w:rsid w:val="00A641CE"/>
    <w:rsid w:val="00A64C14"/>
    <w:rsid w:val="00A64E47"/>
    <w:rsid w:val="00A64E4A"/>
    <w:rsid w:val="00A64ED6"/>
    <w:rsid w:val="00A65042"/>
    <w:rsid w:val="00A651EE"/>
    <w:rsid w:val="00A65A75"/>
    <w:rsid w:val="00A65EB7"/>
    <w:rsid w:val="00A66286"/>
    <w:rsid w:val="00A66305"/>
    <w:rsid w:val="00A6655D"/>
    <w:rsid w:val="00A66560"/>
    <w:rsid w:val="00A666ED"/>
    <w:rsid w:val="00A66CC7"/>
    <w:rsid w:val="00A66E91"/>
    <w:rsid w:val="00A6725B"/>
    <w:rsid w:val="00A67442"/>
    <w:rsid w:val="00A6788F"/>
    <w:rsid w:val="00A700A1"/>
    <w:rsid w:val="00A70293"/>
    <w:rsid w:val="00A7069E"/>
    <w:rsid w:val="00A7097D"/>
    <w:rsid w:val="00A70E9F"/>
    <w:rsid w:val="00A710E1"/>
    <w:rsid w:val="00A7114F"/>
    <w:rsid w:val="00A71987"/>
    <w:rsid w:val="00A71991"/>
    <w:rsid w:val="00A71C3B"/>
    <w:rsid w:val="00A722BC"/>
    <w:rsid w:val="00A72362"/>
    <w:rsid w:val="00A724F0"/>
    <w:rsid w:val="00A7296C"/>
    <w:rsid w:val="00A72A91"/>
    <w:rsid w:val="00A72F25"/>
    <w:rsid w:val="00A7369D"/>
    <w:rsid w:val="00A739C9"/>
    <w:rsid w:val="00A73A64"/>
    <w:rsid w:val="00A73B38"/>
    <w:rsid w:val="00A73C5C"/>
    <w:rsid w:val="00A73CFC"/>
    <w:rsid w:val="00A73FD4"/>
    <w:rsid w:val="00A746A1"/>
    <w:rsid w:val="00A7509D"/>
    <w:rsid w:val="00A7523B"/>
    <w:rsid w:val="00A752C1"/>
    <w:rsid w:val="00A75305"/>
    <w:rsid w:val="00A755B2"/>
    <w:rsid w:val="00A755C7"/>
    <w:rsid w:val="00A7586B"/>
    <w:rsid w:val="00A75A2E"/>
    <w:rsid w:val="00A75A83"/>
    <w:rsid w:val="00A75A8C"/>
    <w:rsid w:val="00A75B01"/>
    <w:rsid w:val="00A75E60"/>
    <w:rsid w:val="00A75F40"/>
    <w:rsid w:val="00A76527"/>
    <w:rsid w:val="00A7662F"/>
    <w:rsid w:val="00A76744"/>
    <w:rsid w:val="00A767CB"/>
    <w:rsid w:val="00A7690D"/>
    <w:rsid w:val="00A76C98"/>
    <w:rsid w:val="00A76D15"/>
    <w:rsid w:val="00A76E97"/>
    <w:rsid w:val="00A77234"/>
    <w:rsid w:val="00A778DF"/>
    <w:rsid w:val="00A77CE5"/>
    <w:rsid w:val="00A77D2F"/>
    <w:rsid w:val="00A77FEF"/>
    <w:rsid w:val="00A80183"/>
    <w:rsid w:val="00A806D6"/>
    <w:rsid w:val="00A80F1F"/>
    <w:rsid w:val="00A81701"/>
    <w:rsid w:val="00A81D51"/>
    <w:rsid w:val="00A81FD4"/>
    <w:rsid w:val="00A820F4"/>
    <w:rsid w:val="00A8215F"/>
    <w:rsid w:val="00A82510"/>
    <w:rsid w:val="00A8267A"/>
    <w:rsid w:val="00A8276F"/>
    <w:rsid w:val="00A827B8"/>
    <w:rsid w:val="00A831F5"/>
    <w:rsid w:val="00A836F6"/>
    <w:rsid w:val="00A83D6A"/>
    <w:rsid w:val="00A83D75"/>
    <w:rsid w:val="00A83ECC"/>
    <w:rsid w:val="00A846D4"/>
    <w:rsid w:val="00A84812"/>
    <w:rsid w:val="00A84D15"/>
    <w:rsid w:val="00A855AD"/>
    <w:rsid w:val="00A856A1"/>
    <w:rsid w:val="00A858D6"/>
    <w:rsid w:val="00A8596F"/>
    <w:rsid w:val="00A85A5E"/>
    <w:rsid w:val="00A85E93"/>
    <w:rsid w:val="00A86040"/>
    <w:rsid w:val="00A868B2"/>
    <w:rsid w:val="00A86A6F"/>
    <w:rsid w:val="00A86E8B"/>
    <w:rsid w:val="00A86F73"/>
    <w:rsid w:val="00A87237"/>
    <w:rsid w:val="00A877BA"/>
    <w:rsid w:val="00A87E78"/>
    <w:rsid w:val="00A902E2"/>
    <w:rsid w:val="00A90640"/>
    <w:rsid w:val="00A907AE"/>
    <w:rsid w:val="00A90800"/>
    <w:rsid w:val="00A908C4"/>
    <w:rsid w:val="00A90972"/>
    <w:rsid w:val="00A90B7E"/>
    <w:rsid w:val="00A91FEF"/>
    <w:rsid w:val="00A9222E"/>
    <w:rsid w:val="00A92657"/>
    <w:rsid w:val="00A92A31"/>
    <w:rsid w:val="00A92A58"/>
    <w:rsid w:val="00A92A5E"/>
    <w:rsid w:val="00A92C8D"/>
    <w:rsid w:val="00A92CC9"/>
    <w:rsid w:val="00A92D42"/>
    <w:rsid w:val="00A93072"/>
    <w:rsid w:val="00A93337"/>
    <w:rsid w:val="00A9340A"/>
    <w:rsid w:val="00A934D3"/>
    <w:rsid w:val="00A93D8F"/>
    <w:rsid w:val="00A93F55"/>
    <w:rsid w:val="00A94838"/>
    <w:rsid w:val="00A94B05"/>
    <w:rsid w:val="00A95489"/>
    <w:rsid w:val="00A954AF"/>
    <w:rsid w:val="00A95F13"/>
    <w:rsid w:val="00A9608B"/>
    <w:rsid w:val="00A962A4"/>
    <w:rsid w:val="00A963FF"/>
    <w:rsid w:val="00A96472"/>
    <w:rsid w:val="00A96517"/>
    <w:rsid w:val="00A9664C"/>
    <w:rsid w:val="00A96A08"/>
    <w:rsid w:val="00A96EAD"/>
    <w:rsid w:val="00A97093"/>
    <w:rsid w:val="00A970AC"/>
    <w:rsid w:val="00A970C2"/>
    <w:rsid w:val="00A970DB"/>
    <w:rsid w:val="00A971FB"/>
    <w:rsid w:val="00A97239"/>
    <w:rsid w:val="00A9745B"/>
    <w:rsid w:val="00A977EC"/>
    <w:rsid w:val="00A97E72"/>
    <w:rsid w:val="00AA04C6"/>
    <w:rsid w:val="00AA06B8"/>
    <w:rsid w:val="00AA07D4"/>
    <w:rsid w:val="00AA07D7"/>
    <w:rsid w:val="00AA08BB"/>
    <w:rsid w:val="00AA09E7"/>
    <w:rsid w:val="00AA0A07"/>
    <w:rsid w:val="00AA0D81"/>
    <w:rsid w:val="00AA119A"/>
    <w:rsid w:val="00AA1513"/>
    <w:rsid w:val="00AA1DEF"/>
    <w:rsid w:val="00AA1F33"/>
    <w:rsid w:val="00AA1F7F"/>
    <w:rsid w:val="00AA1FE2"/>
    <w:rsid w:val="00AA25F0"/>
    <w:rsid w:val="00AA28D7"/>
    <w:rsid w:val="00AA2E60"/>
    <w:rsid w:val="00AA3186"/>
    <w:rsid w:val="00AA331E"/>
    <w:rsid w:val="00AA34C8"/>
    <w:rsid w:val="00AA35AA"/>
    <w:rsid w:val="00AA38A6"/>
    <w:rsid w:val="00AA3CCA"/>
    <w:rsid w:val="00AA4836"/>
    <w:rsid w:val="00AA4CB1"/>
    <w:rsid w:val="00AA4E69"/>
    <w:rsid w:val="00AA4F13"/>
    <w:rsid w:val="00AA5010"/>
    <w:rsid w:val="00AA5117"/>
    <w:rsid w:val="00AA5705"/>
    <w:rsid w:val="00AA5718"/>
    <w:rsid w:val="00AA5E0A"/>
    <w:rsid w:val="00AA72B6"/>
    <w:rsid w:val="00AA734C"/>
    <w:rsid w:val="00AA7632"/>
    <w:rsid w:val="00AA796E"/>
    <w:rsid w:val="00AA7B71"/>
    <w:rsid w:val="00AA7C20"/>
    <w:rsid w:val="00AA7FC5"/>
    <w:rsid w:val="00AB042A"/>
    <w:rsid w:val="00AB0B96"/>
    <w:rsid w:val="00AB0DCF"/>
    <w:rsid w:val="00AB0ED0"/>
    <w:rsid w:val="00AB1466"/>
    <w:rsid w:val="00AB157C"/>
    <w:rsid w:val="00AB17F9"/>
    <w:rsid w:val="00AB18D8"/>
    <w:rsid w:val="00AB1E06"/>
    <w:rsid w:val="00AB2440"/>
    <w:rsid w:val="00AB2477"/>
    <w:rsid w:val="00AB25BC"/>
    <w:rsid w:val="00AB25D0"/>
    <w:rsid w:val="00AB26DC"/>
    <w:rsid w:val="00AB27B4"/>
    <w:rsid w:val="00AB27C8"/>
    <w:rsid w:val="00AB2D45"/>
    <w:rsid w:val="00AB3430"/>
    <w:rsid w:val="00AB3CE9"/>
    <w:rsid w:val="00AB3D09"/>
    <w:rsid w:val="00AB3E63"/>
    <w:rsid w:val="00AB3EE4"/>
    <w:rsid w:val="00AB47AC"/>
    <w:rsid w:val="00AB47C3"/>
    <w:rsid w:val="00AB52DB"/>
    <w:rsid w:val="00AB5304"/>
    <w:rsid w:val="00AB5318"/>
    <w:rsid w:val="00AB581C"/>
    <w:rsid w:val="00AB5954"/>
    <w:rsid w:val="00AB5A4F"/>
    <w:rsid w:val="00AB5B00"/>
    <w:rsid w:val="00AB5E27"/>
    <w:rsid w:val="00AB696A"/>
    <w:rsid w:val="00AB6CBF"/>
    <w:rsid w:val="00AB7142"/>
    <w:rsid w:val="00AB751A"/>
    <w:rsid w:val="00AB7AF8"/>
    <w:rsid w:val="00AB7CFA"/>
    <w:rsid w:val="00AC0473"/>
    <w:rsid w:val="00AC067F"/>
    <w:rsid w:val="00AC0B09"/>
    <w:rsid w:val="00AC0B54"/>
    <w:rsid w:val="00AC0BBC"/>
    <w:rsid w:val="00AC0EC3"/>
    <w:rsid w:val="00AC1219"/>
    <w:rsid w:val="00AC18CA"/>
    <w:rsid w:val="00AC1DCC"/>
    <w:rsid w:val="00AC2049"/>
    <w:rsid w:val="00AC2418"/>
    <w:rsid w:val="00AC2479"/>
    <w:rsid w:val="00AC2488"/>
    <w:rsid w:val="00AC287D"/>
    <w:rsid w:val="00AC2917"/>
    <w:rsid w:val="00AC2B9A"/>
    <w:rsid w:val="00AC2BD8"/>
    <w:rsid w:val="00AC2C2C"/>
    <w:rsid w:val="00AC2E48"/>
    <w:rsid w:val="00AC2FC9"/>
    <w:rsid w:val="00AC362C"/>
    <w:rsid w:val="00AC370E"/>
    <w:rsid w:val="00AC3A9B"/>
    <w:rsid w:val="00AC3C55"/>
    <w:rsid w:val="00AC3D45"/>
    <w:rsid w:val="00AC3EC7"/>
    <w:rsid w:val="00AC40E0"/>
    <w:rsid w:val="00AC46F7"/>
    <w:rsid w:val="00AC4A5A"/>
    <w:rsid w:val="00AC4B49"/>
    <w:rsid w:val="00AC4CCD"/>
    <w:rsid w:val="00AC51B4"/>
    <w:rsid w:val="00AC5599"/>
    <w:rsid w:val="00AC56EB"/>
    <w:rsid w:val="00AC58C4"/>
    <w:rsid w:val="00AC5951"/>
    <w:rsid w:val="00AC5DF5"/>
    <w:rsid w:val="00AC60F3"/>
    <w:rsid w:val="00AC6156"/>
    <w:rsid w:val="00AC626F"/>
    <w:rsid w:val="00AC62F8"/>
    <w:rsid w:val="00AC66C2"/>
    <w:rsid w:val="00AC68A0"/>
    <w:rsid w:val="00AC6944"/>
    <w:rsid w:val="00AC6BD2"/>
    <w:rsid w:val="00AC6DA6"/>
    <w:rsid w:val="00AC702B"/>
    <w:rsid w:val="00AC7050"/>
    <w:rsid w:val="00AC72C2"/>
    <w:rsid w:val="00AC76F3"/>
    <w:rsid w:val="00AC7789"/>
    <w:rsid w:val="00AC7811"/>
    <w:rsid w:val="00AC7DAF"/>
    <w:rsid w:val="00AD043F"/>
    <w:rsid w:val="00AD04F6"/>
    <w:rsid w:val="00AD05A0"/>
    <w:rsid w:val="00AD0659"/>
    <w:rsid w:val="00AD0891"/>
    <w:rsid w:val="00AD0F16"/>
    <w:rsid w:val="00AD10D7"/>
    <w:rsid w:val="00AD12EF"/>
    <w:rsid w:val="00AD155D"/>
    <w:rsid w:val="00AD17A0"/>
    <w:rsid w:val="00AD1E43"/>
    <w:rsid w:val="00AD2274"/>
    <w:rsid w:val="00AD266A"/>
    <w:rsid w:val="00AD28B2"/>
    <w:rsid w:val="00AD2A6F"/>
    <w:rsid w:val="00AD2CCA"/>
    <w:rsid w:val="00AD2FF3"/>
    <w:rsid w:val="00AD3265"/>
    <w:rsid w:val="00AD3355"/>
    <w:rsid w:val="00AD378D"/>
    <w:rsid w:val="00AD3D87"/>
    <w:rsid w:val="00AD3E76"/>
    <w:rsid w:val="00AD3F37"/>
    <w:rsid w:val="00AD409A"/>
    <w:rsid w:val="00AD4B19"/>
    <w:rsid w:val="00AD554A"/>
    <w:rsid w:val="00AD5861"/>
    <w:rsid w:val="00AD59EC"/>
    <w:rsid w:val="00AD5B3E"/>
    <w:rsid w:val="00AD5B60"/>
    <w:rsid w:val="00AD5D7C"/>
    <w:rsid w:val="00AD5F36"/>
    <w:rsid w:val="00AD6247"/>
    <w:rsid w:val="00AD6A9C"/>
    <w:rsid w:val="00AD6E0D"/>
    <w:rsid w:val="00AD6F5E"/>
    <w:rsid w:val="00AD7161"/>
    <w:rsid w:val="00AD74C7"/>
    <w:rsid w:val="00AD76BE"/>
    <w:rsid w:val="00AD7784"/>
    <w:rsid w:val="00AD796C"/>
    <w:rsid w:val="00AD7A98"/>
    <w:rsid w:val="00AE0096"/>
    <w:rsid w:val="00AE00FD"/>
    <w:rsid w:val="00AE0462"/>
    <w:rsid w:val="00AE06D8"/>
    <w:rsid w:val="00AE07DE"/>
    <w:rsid w:val="00AE0A40"/>
    <w:rsid w:val="00AE0AC8"/>
    <w:rsid w:val="00AE10F6"/>
    <w:rsid w:val="00AE1650"/>
    <w:rsid w:val="00AE1B72"/>
    <w:rsid w:val="00AE1D96"/>
    <w:rsid w:val="00AE21B0"/>
    <w:rsid w:val="00AE25E8"/>
    <w:rsid w:val="00AE2657"/>
    <w:rsid w:val="00AE2D83"/>
    <w:rsid w:val="00AE3275"/>
    <w:rsid w:val="00AE33C6"/>
    <w:rsid w:val="00AE347D"/>
    <w:rsid w:val="00AE370F"/>
    <w:rsid w:val="00AE3762"/>
    <w:rsid w:val="00AE3C49"/>
    <w:rsid w:val="00AE40A0"/>
    <w:rsid w:val="00AE40DB"/>
    <w:rsid w:val="00AE4177"/>
    <w:rsid w:val="00AE453A"/>
    <w:rsid w:val="00AE4975"/>
    <w:rsid w:val="00AE4A10"/>
    <w:rsid w:val="00AE4D46"/>
    <w:rsid w:val="00AE4F54"/>
    <w:rsid w:val="00AE51D7"/>
    <w:rsid w:val="00AE52D7"/>
    <w:rsid w:val="00AE5845"/>
    <w:rsid w:val="00AE5DCD"/>
    <w:rsid w:val="00AE65B6"/>
    <w:rsid w:val="00AE6829"/>
    <w:rsid w:val="00AE6BDB"/>
    <w:rsid w:val="00AE6E27"/>
    <w:rsid w:val="00AE71B8"/>
    <w:rsid w:val="00AE7246"/>
    <w:rsid w:val="00AE77F6"/>
    <w:rsid w:val="00AE7834"/>
    <w:rsid w:val="00AE78C2"/>
    <w:rsid w:val="00AE7AD4"/>
    <w:rsid w:val="00AE7B18"/>
    <w:rsid w:val="00AF0312"/>
    <w:rsid w:val="00AF0413"/>
    <w:rsid w:val="00AF0639"/>
    <w:rsid w:val="00AF07D3"/>
    <w:rsid w:val="00AF07E8"/>
    <w:rsid w:val="00AF0D17"/>
    <w:rsid w:val="00AF13CF"/>
    <w:rsid w:val="00AF140F"/>
    <w:rsid w:val="00AF1555"/>
    <w:rsid w:val="00AF167E"/>
    <w:rsid w:val="00AF190A"/>
    <w:rsid w:val="00AF1F20"/>
    <w:rsid w:val="00AF1F63"/>
    <w:rsid w:val="00AF1FF9"/>
    <w:rsid w:val="00AF278F"/>
    <w:rsid w:val="00AF2826"/>
    <w:rsid w:val="00AF293C"/>
    <w:rsid w:val="00AF2C55"/>
    <w:rsid w:val="00AF2F13"/>
    <w:rsid w:val="00AF310A"/>
    <w:rsid w:val="00AF3339"/>
    <w:rsid w:val="00AF3621"/>
    <w:rsid w:val="00AF3DE5"/>
    <w:rsid w:val="00AF4531"/>
    <w:rsid w:val="00AF4940"/>
    <w:rsid w:val="00AF4EA2"/>
    <w:rsid w:val="00AF50A1"/>
    <w:rsid w:val="00AF518E"/>
    <w:rsid w:val="00AF51CD"/>
    <w:rsid w:val="00AF5892"/>
    <w:rsid w:val="00AF5D87"/>
    <w:rsid w:val="00AF5E5E"/>
    <w:rsid w:val="00AF6011"/>
    <w:rsid w:val="00AF64AD"/>
    <w:rsid w:val="00AF67DD"/>
    <w:rsid w:val="00AF6951"/>
    <w:rsid w:val="00AF6A90"/>
    <w:rsid w:val="00AF6B5F"/>
    <w:rsid w:val="00AF6E61"/>
    <w:rsid w:val="00AF6EC2"/>
    <w:rsid w:val="00AF708C"/>
    <w:rsid w:val="00AF7141"/>
    <w:rsid w:val="00AF7696"/>
    <w:rsid w:val="00AF7A0E"/>
    <w:rsid w:val="00B0002F"/>
    <w:rsid w:val="00B00220"/>
    <w:rsid w:val="00B0077C"/>
    <w:rsid w:val="00B00C9C"/>
    <w:rsid w:val="00B00E3F"/>
    <w:rsid w:val="00B01199"/>
    <w:rsid w:val="00B012CA"/>
    <w:rsid w:val="00B012FF"/>
    <w:rsid w:val="00B01446"/>
    <w:rsid w:val="00B01D26"/>
    <w:rsid w:val="00B02046"/>
    <w:rsid w:val="00B02682"/>
    <w:rsid w:val="00B02942"/>
    <w:rsid w:val="00B02A58"/>
    <w:rsid w:val="00B02CA1"/>
    <w:rsid w:val="00B0322C"/>
    <w:rsid w:val="00B03504"/>
    <w:rsid w:val="00B0357D"/>
    <w:rsid w:val="00B03A5F"/>
    <w:rsid w:val="00B03AF7"/>
    <w:rsid w:val="00B03DA3"/>
    <w:rsid w:val="00B04191"/>
    <w:rsid w:val="00B04193"/>
    <w:rsid w:val="00B042E6"/>
    <w:rsid w:val="00B044CB"/>
    <w:rsid w:val="00B047A0"/>
    <w:rsid w:val="00B04D74"/>
    <w:rsid w:val="00B04E3D"/>
    <w:rsid w:val="00B0510B"/>
    <w:rsid w:val="00B05271"/>
    <w:rsid w:val="00B0580B"/>
    <w:rsid w:val="00B05AC9"/>
    <w:rsid w:val="00B05B98"/>
    <w:rsid w:val="00B061DB"/>
    <w:rsid w:val="00B06470"/>
    <w:rsid w:val="00B064FE"/>
    <w:rsid w:val="00B066B0"/>
    <w:rsid w:val="00B06B6E"/>
    <w:rsid w:val="00B06E60"/>
    <w:rsid w:val="00B06F1F"/>
    <w:rsid w:val="00B071DF"/>
    <w:rsid w:val="00B07290"/>
    <w:rsid w:val="00B1027D"/>
    <w:rsid w:val="00B1056A"/>
    <w:rsid w:val="00B10570"/>
    <w:rsid w:val="00B10C12"/>
    <w:rsid w:val="00B10CD7"/>
    <w:rsid w:val="00B1160A"/>
    <w:rsid w:val="00B11804"/>
    <w:rsid w:val="00B11AF4"/>
    <w:rsid w:val="00B11EB9"/>
    <w:rsid w:val="00B12101"/>
    <w:rsid w:val="00B123C3"/>
    <w:rsid w:val="00B126EB"/>
    <w:rsid w:val="00B128B5"/>
    <w:rsid w:val="00B12CC6"/>
    <w:rsid w:val="00B12DEC"/>
    <w:rsid w:val="00B12E0D"/>
    <w:rsid w:val="00B12F29"/>
    <w:rsid w:val="00B13572"/>
    <w:rsid w:val="00B13724"/>
    <w:rsid w:val="00B137C6"/>
    <w:rsid w:val="00B1399C"/>
    <w:rsid w:val="00B13E06"/>
    <w:rsid w:val="00B14032"/>
    <w:rsid w:val="00B145EA"/>
    <w:rsid w:val="00B14CC0"/>
    <w:rsid w:val="00B14DC5"/>
    <w:rsid w:val="00B1520F"/>
    <w:rsid w:val="00B15490"/>
    <w:rsid w:val="00B15672"/>
    <w:rsid w:val="00B1596F"/>
    <w:rsid w:val="00B15C60"/>
    <w:rsid w:val="00B16316"/>
    <w:rsid w:val="00B163CC"/>
    <w:rsid w:val="00B1652B"/>
    <w:rsid w:val="00B1661F"/>
    <w:rsid w:val="00B16680"/>
    <w:rsid w:val="00B1670D"/>
    <w:rsid w:val="00B16762"/>
    <w:rsid w:val="00B16C7D"/>
    <w:rsid w:val="00B16F84"/>
    <w:rsid w:val="00B170D5"/>
    <w:rsid w:val="00B172F8"/>
    <w:rsid w:val="00B17542"/>
    <w:rsid w:val="00B177CF"/>
    <w:rsid w:val="00B17C76"/>
    <w:rsid w:val="00B203E1"/>
    <w:rsid w:val="00B20533"/>
    <w:rsid w:val="00B20570"/>
    <w:rsid w:val="00B20D28"/>
    <w:rsid w:val="00B20D33"/>
    <w:rsid w:val="00B21039"/>
    <w:rsid w:val="00B2118E"/>
    <w:rsid w:val="00B215B2"/>
    <w:rsid w:val="00B21647"/>
    <w:rsid w:val="00B21A93"/>
    <w:rsid w:val="00B2244B"/>
    <w:rsid w:val="00B22562"/>
    <w:rsid w:val="00B226DD"/>
    <w:rsid w:val="00B22B1D"/>
    <w:rsid w:val="00B230FA"/>
    <w:rsid w:val="00B236E7"/>
    <w:rsid w:val="00B238BF"/>
    <w:rsid w:val="00B241BE"/>
    <w:rsid w:val="00B24288"/>
    <w:rsid w:val="00B249C5"/>
    <w:rsid w:val="00B24A66"/>
    <w:rsid w:val="00B24AAA"/>
    <w:rsid w:val="00B24C37"/>
    <w:rsid w:val="00B24D8A"/>
    <w:rsid w:val="00B24E77"/>
    <w:rsid w:val="00B25011"/>
    <w:rsid w:val="00B251B9"/>
    <w:rsid w:val="00B254A3"/>
    <w:rsid w:val="00B25BD1"/>
    <w:rsid w:val="00B26199"/>
    <w:rsid w:val="00B261B1"/>
    <w:rsid w:val="00B26636"/>
    <w:rsid w:val="00B26881"/>
    <w:rsid w:val="00B2780A"/>
    <w:rsid w:val="00B27A23"/>
    <w:rsid w:val="00B27A30"/>
    <w:rsid w:val="00B27B3E"/>
    <w:rsid w:val="00B27D9A"/>
    <w:rsid w:val="00B27FA0"/>
    <w:rsid w:val="00B3043B"/>
    <w:rsid w:val="00B308C3"/>
    <w:rsid w:val="00B30E79"/>
    <w:rsid w:val="00B30EED"/>
    <w:rsid w:val="00B30FB5"/>
    <w:rsid w:val="00B3115A"/>
    <w:rsid w:val="00B3115B"/>
    <w:rsid w:val="00B3142B"/>
    <w:rsid w:val="00B3144A"/>
    <w:rsid w:val="00B317C1"/>
    <w:rsid w:val="00B31994"/>
    <w:rsid w:val="00B31AB7"/>
    <w:rsid w:val="00B31DEB"/>
    <w:rsid w:val="00B31F9C"/>
    <w:rsid w:val="00B32476"/>
    <w:rsid w:val="00B324C1"/>
    <w:rsid w:val="00B3251D"/>
    <w:rsid w:val="00B3298E"/>
    <w:rsid w:val="00B33041"/>
    <w:rsid w:val="00B330B1"/>
    <w:rsid w:val="00B331A4"/>
    <w:rsid w:val="00B335D2"/>
    <w:rsid w:val="00B338C2"/>
    <w:rsid w:val="00B33A17"/>
    <w:rsid w:val="00B33B1D"/>
    <w:rsid w:val="00B33E8E"/>
    <w:rsid w:val="00B340B7"/>
    <w:rsid w:val="00B34312"/>
    <w:rsid w:val="00B346E1"/>
    <w:rsid w:val="00B34CA3"/>
    <w:rsid w:val="00B34E34"/>
    <w:rsid w:val="00B35256"/>
    <w:rsid w:val="00B3568D"/>
    <w:rsid w:val="00B35C9D"/>
    <w:rsid w:val="00B35F0D"/>
    <w:rsid w:val="00B35FD0"/>
    <w:rsid w:val="00B3629E"/>
    <w:rsid w:val="00B36378"/>
    <w:rsid w:val="00B36799"/>
    <w:rsid w:val="00B36820"/>
    <w:rsid w:val="00B36EB9"/>
    <w:rsid w:val="00B37074"/>
    <w:rsid w:val="00B37371"/>
    <w:rsid w:val="00B37391"/>
    <w:rsid w:val="00B37683"/>
    <w:rsid w:val="00B3779B"/>
    <w:rsid w:val="00B37EBB"/>
    <w:rsid w:val="00B402A8"/>
    <w:rsid w:val="00B402DD"/>
    <w:rsid w:val="00B404A0"/>
    <w:rsid w:val="00B404F4"/>
    <w:rsid w:val="00B40DFB"/>
    <w:rsid w:val="00B40F18"/>
    <w:rsid w:val="00B41076"/>
    <w:rsid w:val="00B410A4"/>
    <w:rsid w:val="00B414A1"/>
    <w:rsid w:val="00B415BA"/>
    <w:rsid w:val="00B416A1"/>
    <w:rsid w:val="00B42399"/>
    <w:rsid w:val="00B4257F"/>
    <w:rsid w:val="00B427F8"/>
    <w:rsid w:val="00B42847"/>
    <w:rsid w:val="00B42851"/>
    <w:rsid w:val="00B429F3"/>
    <w:rsid w:val="00B42EA8"/>
    <w:rsid w:val="00B42EF8"/>
    <w:rsid w:val="00B431AC"/>
    <w:rsid w:val="00B43544"/>
    <w:rsid w:val="00B43886"/>
    <w:rsid w:val="00B43DCA"/>
    <w:rsid w:val="00B43DF8"/>
    <w:rsid w:val="00B441EF"/>
    <w:rsid w:val="00B44328"/>
    <w:rsid w:val="00B44348"/>
    <w:rsid w:val="00B44477"/>
    <w:rsid w:val="00B445D9"/>
    <w:rsid w:val="00B44675"/>
    <w:rsid w:val="00B451AD"/>
    <w:rsid w:val="00B4550B"/>
    <w:rsid w:val="00B459F6"/>
    <w:rsid w:val="00B463CF"/>
    <w:rsid w:val="00B464D7"/>
    <w:rsid w:val="00B46741"/>
    <w:rsid w:val="00B46A0F"/>
    <w:rsid w:val="00B46A82"/>
    <w:rsid w:val="00B46B49"/>
    <w:rsid w:val="00B46D41"/>
    <w:rsid w:val="00B46E20"/>
    <w:rsid w:val="00B46E94"/>
    <w:rsid w:val="00B47218"/>
    <w:rsid w:val="00B47285"/>
    <w:rsid w:val="00B472BC"/>
    <w:rsid w:val="00B4737C"/>
    <w:rsid w:val="00B473E2"/>
    <w:rsid w:val="00B4748A"/>
    <w:rsid w:val="00B47625"/>
    <w:rsid w:val="00B47824"/>
    <w:rsid w:val="00B4790B"/>
    <w:rsid w:val="00B47AD6"/>
    <w:rsid w:val="00B47ECF"/>
    <w:rsid w:val="00B47FF5"/>
    <w:rsid w:val="00B50F2A"/>
    <w:rsid w:val="00B51077"/>
    <w:rsid w:val="00B51230"/>
    <w:rsid w:val="00B512C2"/>
    <w:rsid w:val="00B51458"/>
    <w:rsid w:val="00B51551"/>
    <w:rsid w:val="00B51656"/>
    <w:rsid w:val="00B51778"/>
    <w:rsid w:val="00B51EE3"/>
    <w:rsid w:val="00B5200E"/>
    <w:rsid w:val="00B523D8"/>
    <w:rsid w:val="00B52483"/>
    <w:rsid w:val="00B526A2"/>
    <w:rsid w:val="00B5281C"/>
    <w:rsid w:val="00B528BC"/>
    <w:rsid w:val="00B5312F"/>
    <w:rsid w:val="00B53588"/>
    <w:rsid w:val="00B5359C"/>
    <w:rsid w:val="00B535E6"/>
    <w:rsid w:val="00B53C89"/>
    <w:rsid w:val="00B53F34"/>
    <w:rsid w:val="00B53F62"/>
    <w:rsid w:val="00B544A9"/>
    <w:rsid w:val="00B54AEA"/>
    <w:rsid w:val="00B54B5B"/>
    <w:rsid w:val="00B54DD4"/>
    <w:rsid w:val="00B5543F"/>
    <w:rsid w:val="00B55497"/>
    <w:rsid w:val="00B5562E"/>
    <w:rsid w:val="00B55636"/>
    <w:rsid w:val="00B557F6"/>
    <w:rsid w:val="00B55B27"/>
    <w:rsid w:val="00B55EAC"/>
    <w:rsid w:val="00B55F2C"/>
    <w:rsid w:val="00B55F9D"/>
    <w:rsid w:val="00B5612F"/>
    <w:rsid w:val="00B56228"/>
    <w:rsid w:val="00B56592"/>
    <w:rsid w:val="00B56B18"/>
    <w:rsid w:val="00B57000"/>
    <w:rsid w:val="00B575E7"/>
    <w:rsid w:val="00B5785E"/>
    <w:rsid w:val="00B57B81"/>
    <w:rsid w:val="00B600AB"/>
    <w:rsid w:val="00B600B0"/>
    <w:rsid w:val="00B60333"/>
    <w:rsid w:val="00B60366"/>
    <w:rsid w:val="00B6061C"/>
    <w:rsid w:val="00B60773"/>
    <w:rsid w:val="00B608CF"/>
    <w:rsid w:val="00B60915"/>
    <w:rsid w:val="00B60939"/>
    <w:rsid w:val="00B60AB4"/>
    <w:rsid w:val="00B60AFD"/>
    <w:rsid w:val="00B60EDC"/>
    <w:rsid w:val="00B60F16"/>
    <w:rsid w:val="00B60F65"/>
    <w:rsid w:val="00B612A0"/>
    <w:rsid w:val="00B612BC"/>
    <w:rsid w:val="00B61941"/>
    <w:rsid w:val="00B61BD7"/>
    <w:rsid w:val="00B61E23"/>
    <w:rsid w:val="00B61F76"/>
    <w:rsid w:val="00B61F95"/>
    <w:rsid w:val="00B61FDB"/>
    <w:rsid w:val="00B62715"/>
    <w:rsid w:val="00B62871"/>
    <w:rsid w:val="00B62B52"/>
    <w:rsid w:val="00B62E8A"/>
    <w:rsid w:val="00B62F7F"/>
    <w:rsid w:val="00B62F94"/>
    <w:rsid w:val="00B630C9"/>
    <w:rsid w:val="00B63279"/>
    <w:rsid w:val="00B633CF"/>
    <w:rsid w:val="00B63979"/>
    <w:rsid w:val="00B646FD"/>
    <w:rsid w:val="00B649BA"/>
    <w:rsid w:val="00B64BF9"/>
    <w:rsid w:val="00B65847"/>
    <w:rsid w:val="00B658AC"/>
    <w:rsid w:val="00B65AD2"/>
    <w:rsid w:val="00B65C1B"/>
    <w:rsid w:val="00B66099"/>
    <w:rsid w:val="00B6614D"/>
    <w:rsid w:val="00B663E7"/>
    <w:rsid w:val="00B6690F"/>
    <w:rsid w:val="00B66C89"/>
    <w:rsid w:val="00B66E41"/>
    <w:rsid w:val="00B66F5E"/>
    <w:rsid w:val="00B67331"/>
    <w:rsid w:val="00B6743F"/>
    <w:rsid w:val="00B67591"/>
    <w:rsid w:val="00B70042"/>
    <w:rsid w:val="00B70129"/>
    <w:rsid w:val="00B70245"/>
    <w:rsid w:val="00B7030F"/>
    <w:rsid w:val="00B705C8"/>
    <w:rsid w:val="00B706D0"/>
    <w:rsid w:val="00B709DD"/>
    <w:rsid w:val="00B70A62"/>
    <w:rsid w:val="00B70C06"/>
    <w:rsid w:val="00B70F61"/>
    <w:rsid w:val="00B71234"/>
    <w:rsid w:val="00B718D3"/>
    <w:rsid w:val="00B719B5"/>
    <w:rsid w:val="00B71DDF"/>
    <w:rsid w:val="00B71FC5"/>
    <w:rsid w:val="00B72213"/>
    <w:rsid w:val="00B7236B"/>
    <w:rsid w:val="00B7242C"/>
    <w:rsid w:val="00B724D0"/>
    <w:rsid w:val="00B72602"/>
    <w:rsid w:val="00B727A3"/>
    <w:rsid w:val="00B727C8"/>
    <w:rsid w:val="00B7303F"/>
    <w:rsid w:val="00B73380"/>
    <w:rsid w:val="00B734E7"/>
    <w:rsid w:val="00B73885"/>
    <w:rsid w:val="00B7393A"/>
    <w:rsid w:val="00B73AD7"/>
    <w:rsid w:val="00B742B4"/>
    <w:rsid w:val="00B7488B"/>
    <w:rsid w:val="00B74BFC"/>
    <w:rsid w:val="00B74D00"/>
    <w:rsid w:val="00B7506A"/>
    <w:rsid w:val="00B75313"/>
    <w:rsid w:val="00B75692"/>
    <w:rsid w:val="00B75894"/>
    <w:rsid w:val="00B75C4E"/>
    <w:rsid w:val="00B75EA4"/>
    <w:rsid w:val="00B75FB9"/>
    <w:rsid w:val="00B761ED"/>
    <w:rsid w:val="00B7669F"/>
    <w:rsid w:val="00B76ABD"/>
    <w:rsid w:val="00B76C4A"/>
    <w:rsid w:val="00B76D6F"/>
    <w:rsid w:val="00B76EB3"/>
    <w:rsid w:val="00B7759B"/>
    <w:rsid w:val="00B77616"/>
    <w:rsid w:val="00B77A3A"/>
    <w:rsid w:val="00B77AFA"/>
    <w:rsid w:val="00B77C06"/>
    <w:rsid w:val="00B8059C"/>
    <w:rsid w:val="00B807B2"/>
    <w:rsid w:val="00B80938"/>
    <w:rsid w:val="00B80B0B"/>
    <w:rsid w:val="00B80B14"/>
    <w:rsid w:val="00B80B18"/>
    <w:rsid w:val="00B8130E"/>
    <w:rsid w:val="00B818A4"/>
    <w:rsid w:val="00B82188"/>
    <w:rsid w:val="00B82366"/>
    <w:rsid w:val="00B825A4"/>
    <w:rsid w:val="00B8276D"/>
    <w:rsid w:val="00B82D7C"/>
    <w:rsid w:val="00B82DBF"/>
    <w:rsid w:val="00B82FF9"/>
    <w:rsid w:val="00B8350A"/>
    <w:rsid w:val="00B835A0"/>
    <w:rsid w:val="00B83765"/>
    <w:rsid w:val="00B83786"/>
    <w:rsid w:val="00B83CC7"/>
    <w:rsid w:val="00B83DAA"/>
    <w:rsid w:val="00B83F49"/>
    <w:rsid w:val="00B845C7"/>
    <w:rsid w:val="00B85052"/>
    <w:rsid w:val="00B855F4"/>
    <w:rsid w:val="00B85AE2"/>
    <w:rsid w:val="00B85B78"/>
    <w:rsid w:val="00B86243"/>
    <w:rsid w:val="00B8632D"/>
    <w:rsid w:val="00B8649C"/>
    <w:rsid w:val="00B86A4F"/>
    <w:rsid w:val="00B86A80"/>
    <w:rsid w:val="00B86E5E"/>
    <w:rsid w:val="00B86E72"/>
    <w:rsid w:val="00B87AE4"/>
    <w:rsid w:val="00B87F07"/>
    <w:rsid w:val="00B90667"/>
    <w:rsid w:val="00B90901"/>
    <w:rsid w:val="00B909CD"/>
    <w:rsid w:val="00B91124"/>
    <w:rsid w:val="00B9117D"/>
    <w:rsid w:val="00B911AF"/>
    <w:rsid w:val="00B915D8"/>
    <w:rsid w:val="00B91777"/>
    <w:rsid w:val="00B91AB2"/>
    <w:rsid w:val="00B91BAE"/>
    <w:rsid w:val="00B91CA3"/>
    <w:rsid w:val="00B91CEE"/>
    <w:rsid w:val="00B91FA7"/>
    <w:rsid w:val="00B92029"/>
    <w:rsid w:val="00B9268A"/>
    <w:rsid w:val="00B929AD"/>
    <w:rsid w:val="00B92B01"/>
    <w:rsid w:val="00B92B1A"/>
    <w:rsid w:val="00B92C15"/>
    <w:rsid w:val="00B92D0B"/>
    <w:rsid w:val="00B93CF9"/>
    <w:rsid w:val="00B9423E"/>
    <w:rsid w:val="00B943E3"/>
    <w:rsid w:val="00B94512"/>
    <w:rsid w:val="00B94945"/>
    <w:rsid w:val="00B94B0D"/>
    <w:rsid w:val="00B94E84"/>
    <w:rsid w:val="00B9511B"/>
    <w:rsid w:val="00B9551C"/>
    <w:rsid w:val="00B956AC"/>
    <w:rsid w:val="00B9598C"/>
    <w:rsid w:val="00B959B7"/>
    <w:rsid w:val="00B95CE0"/>
    <w:rsid w:val="00B95E55"/>
    <w:rsid w:val="00B95E6E"/>
    <w:rsid w:val="00B963DB"/>
    <w:rsid w:val="00B9701E"/>
    <w:rsid w:val="00B97084"/>
    <w:rsid w:val="00B97267"/>
    <w:rsid w:val="00B973C0"/>
    <w:rsid w:val="00B9758F"/>
    <w:rsid w:val="00B977F8"/>
    <w:rsid w:val="00B9798D"/>
    <w:rsid w:val="00B979DB"/>
    <w:rsid w:val="00B97A06"/>
    <w:rsid w:val="00B97D7C"/>
    <w:rsid w:val="00B97ED8"/>
    <w:rsid w:val="00BA00A1"/>
    <w:rsid w:val="00BA01A7"/>
    <w:rsid w:val="00BA01AD"/>
    <w:rsid w:val="00BA0676"/>
    <w:rsid w:val="00BA0A78"/>
    <w:rsid w:val="00BA0AD3"/>
    <w:rsid w:val="00BA0B54"/>
    <w:rsid w:val="00BA0B74"/>
    <w:rsid w:val="00BA0D4D"/>
    <w:rsid w:val="00BA1034"/>
    <w:rsid w:val="00BA1232"/>
    <w:rsid w:val="00BA18E1"/>
    <w:rsid w:val="00BA1CE8"/>
    <w:rsid w:val="00BA1E9E"/>
    <w:rsid w:val="00BA2186"/>
    <w:rsid w:val="00BA22C7"/>
    <w:rsid w:val="00BA2383"/>
    <w:rsid w:val="00BA2443"/>
    <w:rsid w:val="00BA290C"/>
    <w:rsid w:val="00BA2C68"/>
    <w:rsid w:val="00BA2D50"/>
    <w:rsid w:val="00BA32C3"/>
    <w:rsid w:val="00BA3634"/>
    <w:rsid w:val="00BA39B6"/>
    <w:rsid w:val="00BA39D2"/>
    <w:rsid w:val="00BA3B81"/>
    <w:rsid w:val="00BA3BCD"/>
    <w:rsid w:val="00BA3BEE"/>
    <w:rsid w:val="00BA3E0B"/>
    <w:rsid w:val="00BA3E3D"/>
    <w:rsid w:val="00BA3F31"/>
    <w:rsid w:val="00BA446C"/>
    <w:rsid w:val="00BA4594"/>
    <w:rsid w:val="00BA472E"/>
    <w:rsid w:val="00BA490E"/>
    <w:rsid w:val="00BA4B10"/>
    <w:rsid w:val="00BA4F54"/>
    <w:rsid w:val="00BA4F56"/>
    <w:rsid w:val="00BA515F"/>
    <w:rsid w:val="00BA55F6"/>
    <w:rsid w:val="00BA5B5F"/>
    <w:rsid w:val="00BA69B8"/>
    <w:rsid w:val="00BA6AC0"/>
    <w:rsid w:val="00BA6C62"/>
    <w:rsid w:val="00BA6D0F"/>
    <w:rsid w:val="00BA718E"/>
    <w:rsid w:val="00BA71C0"/>
    <w:rsid w:val="00BA7781"/>
    <w:rsid w:val="00BA7B2D"/>
    <w:rsid w:val="00BA7C72"/>
    <w:rsid w:val="00BA7D1C"/>
    <w:rsid w:val="00BB0051"/>
    <w:rsid w:val="00BB02FD"/>
    <w:rsid w:val="00BB0999"/>
    <w:rsid w:val="00BB0A37"/>
    <w:rsid w:val="00BB0D32"/>
    <w:rsid w:val="00BB139E"/>
    <w:rsid w:val="00BB19E2"/>
    <w:rsid w:val="00BB1B0F"/>
    <w:rsid w:val="00BB1B45"/>
    <w:rsid w:val="00BB1D56"/>
    <w:rsid w:val="00BB26C7"/>
    <w:rsid w:val="00BB2B06"/>
    <w:rsid w:val="00BB2CB7"/>
    <w:rsid w:val="00BB325F"/>
    <w:rsid w:val="00BB32A1"/>
    <w:rsid w:val="00BB386D"/>
    <w:rsid w:val="00BB3A72"/>
    <w:rsid w:val="00BB3DC3"/>
    <w:rsid w:val="00BB4101"/>
    <w:rsid w:val="00BB4479"/>
    <w:rsid w:val="00BB4A62"/>
    <w:rsid w:val="00BB4B5D"/>
    <w:rsid w:val="00BB4E0F"/>
    <w:rsid w:val="00BB4F2F"/>
    <w:rsid w:val="00BB4F9F"/>
    <w:rsid w:val="00BB51E1"/>
    <w:rsid w:val="00BB568F"/>
    <w:rsid w:val="00BB5940"/>
    <w:rsid w:val="00BB5E46"/>
    <w:rsid w:val="00BB6993"/>
    <w:rsid w:val="00BB6E5E"/>
    <w:rsid w:val="00BB6FA3"/>
    <w:rsid w:val="00BB70F2"/>
    <w:rsid w:val="00BB768D"/>
    <w:rsid w:val="00BB7C09"/>
    <w:rsid w:val="00BB7DAB"/>
    <w:rsid w:val="00BC0643"/>
    <w:rsid w:val="00BC08B1"/>
    <w:rsid w:val="00BC0CD3"/>
    <w:rsid w:val="00BC0D23"/>
    <w:rsid w:val="00BC0D37"/>
    <w:rsid w:val="00BC0D69"/>
    <w:rsid w:val="00BC0E44"/>
    <w:rsid w:val="00BC1276"/>
    <w:rsid w:val="00BC16FB"/>
    <w:rsid w:val="00BC182F"/>
    <w:rsid w:val="00BC18FC"/>
    <w:rsid w:val="00BC1D02"/>
    <w:rsid w:val="00BC2359"/>
    <w:rsid w:val="00BC23D9"/>
    <w:rsid w:val="00BC25FF"/>
    <w:rsid w:val="00BC2922"/>
    <w:rsid w:val="00BC2D3C"/>
    <w:rsid w:val="00BC2DD2"/>
    <w:rsid w:val="00BC2FF9"/>
    <w:rsid w:val="00BC30B8"/>
    <w:rsid w:val="00BC336E"/>
    <w:rsid w:val="00BC3C1B"/>
    <w:rsid w:val="00BC3CDD"/>
    <w:rsid w:val="00BC3E0A"/>
    <w:rsid w:val="00BC44E2"/>
    <w:rsid w:val="00BC4656"/>
    <w:rsid w:val="00BC47F6"/>
    <w:rsid w:val="00BC4915"/>
    <w:rsid w:val="00BC4CF6"/>
    <w:rsid w:val="00BC4F81"/>
    <w:rsid w:val="00BC51DA"/>
    <w:rsid w:val="00BC54B8"/>
    <w:rsid w:val="00BC56A1"/>
    <w:rsid w:val="00BC57BA"/>
    <w:rsid w:val="00BC58BF"/>
    <w:rsid w:val="00BC5E9C"/>
    <w:rsid w:val="00BC5FD0"/>
    <w:rsid w:val="00BC6399"/>
    <w:rsid w:val="00BC661A"/>
    <w:rsid w:val="00BC6635"/>
    <w:rsid w:val="00BC6B32"/>
    <w:rsid w:val="00BC6FFE"/>
    <w:rsid w:val="00BC72D8"/>
    <w:rsid w:val="00BC7549"/>
    <w:rsid w:val="00BC782D"/>
    <w:rsid w:val="00BC7A56"/>
    <w:rsid w:val="00BC7E3C"/>
    <w:rsid w:val="00BC7F20"/>
    <w:rsid w:val="00BD02C4"/>
    <w:rsid w:val="00BD0351"/>
    <w:rsid w:val="00BD0A67"/>
    <w:rsid w:val="00BD0B81"/>
    <w:rsid w:val="00BD0C0C"/>
    <w:rsid w:val="00BD14FF"/>
    <w:rsid w:val="00BD1665"/>
    <w:rsid w:val="00BD1847"/>
    <w:rsid w:val="00BD198D"/>
    <w:rsid w:val="00BD198F"/>
    <w:rsid w:val="00BD1AEE"/>
    <w:rsid w:val="00BD1BA9"/>
    <w:rsid w:val="00BD214A"/>
    <w:rsid w:val="00BD23D2"/>
    <w:rsid w:val="00BD2457"/>
    <w:rsid w:val="00BD25AB"/>
    <w:rsid w:val="00BD27CF"/>
    <w:rsid w:val="00BD2E14"/>
    <w:rsid w:val="00BD301F"/>
    <w:rsid w:val="00BD374C"/>
    <w:rsid w:val="00BD3912"/>
    <w:rsid w:val="00BD3A1E"/>
    <w:rsid w:val="00BD3D4C"/>
    <w:rsid w:val="00BD3DA0"/>
    <w:rsid w:val="00BD41C3"/>
    <w:rsid w:val="00BD4C34"/>
    <w:rsid w:val="00BD4E81"/>
    <w:rsid w:val="00BD5485"/>
    <w:rsid w:val="00BD54FB"/>
    <w:rsid w:val="00BD59CD"/>
    <w:rsid w:val="00BD5B54"/>
    <w:rsid w:val="00BD60ED"/>
    <w:rsid w:val="00BD658C"/>
    <w:rsid w:val="00BD673A"/>
    <w:rsid w:val="00BD6C3C"/>
    <w:rsid w:val="00BD6D40"/>
    <w:rsid w:val="00BD6D49"/>
    <w:rsid w:val="00BD6ED0"/>
    <w:rsid w:val="00BD7063"/>
    <w:rsid w:val="00BD71DB"/>
    <w:rsid w:val="00BD736E"/>
    <w:rsid w:val="00BD7847"/>
    <w:rsid w:val="00BD7A2E"/>
    <w:rsid w:val="00BE0276"/>
    <w:rsid w:val="00BE02F6"/>
    <w:rsid w:val="00BE0439"/>
    <w:rsid w:val="00BE0917"/>
    <w:rsid w:val="00BE09D1"/>
    <w:rsid w:val="00BE0AAE"/>
    <w:rsid w:val="00BE0D21"/>
    <w:rsid w:val="00BE14D0"/>
    <w:rsid w:val="00BE1946"/>
    <w:rsid w:val="00BE1A07"/>
    <w:rsid w:val="00BE1B89"/>
    <w:rsid w:val="00BE1C37"/>
    <w:rsid w:val="00BE1D62"/>
    <w:rsid w:val="00BE2128"/>
    <w:rsid w:val="00BE2180"/>
    <w:rsid w:val="00BE21C6"/>
    <w:rsid w:val="00BE2884"/>
    <w:rsid w:val="00BE2919"/>
    <w:rsid w:val="00BE2A88"/>
    <w:rsid w:val="00BE2D0D"/>
    <w:rsid w:val="00BE2D8D"/>
    <w:rsid w:val="00BE2F3B"/>
    <w:rsid w:val="00BE3589"/>
    <w:rsid w:val="00BE35E6"/>
    <w:rsid w:val="00BE397C"/>
    <w:rsid w:val="00BE3A55"/>
    <w:rsid w:val="00BE3F99"/>
    <w:rsid w:val="00BE4233"/>
    <w:rsid w:val="00BE424E"/>
    <w:rsid w:val="00BE4275"/>
    <w:rsid w:val="00BE4A22"/>
    <w:rsid w:val="00BE4CEF"/>
    <w:rsid w:val="00BE4D58"/>
    <w:rsid w:val="00BE4FDC"/>
    <w:rsid w:val="00BE53C3"/>
    <w:rsid w:val="00BE53FF"/>
    <w:rsid w:val="00BE5CC6"/>
    <w:rsid w:val="00BE61DF"/>
    <w:rsid w:val="00BE66FF"/>
    <w:rsid w:val="00BE72D0"/>
    <w:rsid w:val="00BE73FA"/>
    <w:rsid w:val="00BE762B"/>
    <w:rsid w:val="00BE77E1"/>
    <w:rsid w:val="00BE7A6E"/>
    <w:rsid w:val="00BE7DBE"/>
    <w:rsid w:val="00BE7E28"/>
    <w:rsid w:val="00BE7F91"/>
    <w:rsid w:val="00BF0019"/>
    <w:rsid w:val="00BF0495"/>
    <w:rsid w:val="00BF0965"/>
    <w:rsid w:val="00BF1085"/>
    <w:rsid w:val="00BF14D8"/>
    <w:rsid w:val="00BF1AA2"/>
    <w:rsid w:val="00BF1B36"/>
    <w:rsid w:val="00BF1B6F"/>
    <w:rsid w:val="00BF1F1F"/>
    <w:rsid w:val="00BF23ED"/>
    <w:rsid w:val="00BF2433"/>
    <w:rsid w:val="00BF2540"/>
    <w:rsid w:val="00BF2A89"/>
    <w:rsid w:val="00BF2E22"/>
    <w:rsid w:val="00BF319D"/>
    <w:rsid w:val="00BF3213"/>
    <w:rsid w:val="00BF3466"/>
    <w:rsid w:val="00BF3DDD"/>
    <w:rsid w:val="00BF44BA"/>
    <w:rsid w:val="00BF44D1"/>
    <w:rsid w:val="00BF47E9"/>
    <w:rsid w:val="00BF4C8B"/>
    <w:rsid w:val="00BF6159"/>
    <w:rsid w:val="00BF61C9"/>
    <w:rsid w:val="00BF623A"/>
    <w:rsid w:val="00BF647C"/>
    <w:rsid w:val="00BF6579"/>
    <w:rsid w:val="00BF6604"/>
    <w:rsid w:val="00BF68DA"/>
    <w:rsid w:val="00BF6F2C"/>
    <w:rsid w:val="00BF6FD5"/>
    <w:rsid w:val="00BF7011"/>
    <w:rsid w:val="00BF717B"/>
    <w:rsid w:val="00BF7473"/>
    <w:rsid w:val="00BF74C8"/>
    <w:rsid w:val="00BF7619"/>
    <w:rsid w:val="00BF7749"/>
    <w:rsid w:val="00BF7985"/>
    <w:rsid w:val="00BF7BC7"/>
    <w:rsid w:val="00BF7D03"/>
    <w:rsid w:val="00BF7EB4"/>
    <w:rsid w:val="00BF7FE6"/>
    <w:rsid w:val="00C00D20"/>
    <w:rsid w:val="00C018BC"/>
    <w:rsid w:val="00C01E99"/>
    <w:rsid w:val="00C01F28"/>
    <w:rsid w:val="00C01F40"/>
    <w:rsid w:val="00C021E9"/>
    <w:rsid w:val="00C0248E"/>
    <w:rsid w:val="00C02646"/>
    <w:rsid w:val="00C02778"/>
    <w:rsid w:val="00C028B2"/>
    <w:rsid w:val="00C02973"/>
    <w:rsid w:val="00C02BCF"/>
    <w:rsid w:val="00C02D14"/>
    <w:rsid w:val="00C0320D"/>
    <w:rsid w:val="00C03372"/>
    <w:rsid w:val="00C035EA"/>
    <w:rsid w:val="00C0401A"/>
    <w:rsid w:val="00C0408E"/>
    <w:rsid w:val="00C046AB"/>
    <w:rsid w:val="00C048DE"/>
    <w:rsid w:val="00C04981"/>
    <w:rsid w:val="00C04C2A"/>
    <w:rsid w:val="00C04D86"/>
    <w:rsid w:val="00C050F6"/>
    <w:rsid w:val="00C052CE"/>
    <w:rsid w:val="00C05645"/>
    <w:rsid w:val="00C05BFF"/>
    <w:rsid w:val="00C0603C"/>
    <w:rsid w:val="00C06392"/>
    <w:rsid w:val="00C065C7"/>
    <w:rsid w:val="00C0670B"/>
    <w:rsid w:val="00C0679B"/>
    <w:rsid w:val="00C06B4C"/>
    <w:rsid w:val="00C06C4D"/>
    <w:rsid w:val="00C06EE8"/>
    <w:rsid w:val="00C06F09"/>
    <w:rsid w:val="00C07138"/>
    <w:rsid w:val="00C0727F"/>
    <w:rsid w:val="00C074A7"/>
    <w:rsid w:val="00C0752F"/>
    <w:rsid w:val="00C10340"/>
    <w:rsid w:val="00C10437"/>
    <w:rsid w:val="00C10808"/>
    <w:rsid w:val="00C10855"/>
    <w:rsid w:val="00C1085B"/>
    <w:rsid w:val="00C10BD9"/>
    <w:rsid w:val="00C10C95"/>
    <w:rsid w:val="00C10E1E"/>
    <w:rsid w:val="00C11946"/>
    <w:rsid w:val="00C11C88"/>
    <w:rsid w:val="00C11E1D"/>
    <w:rsid w:val="00C12471"/>
    <w:rsid w:val="00C12799"/>
    <w:rsid w:val="00C127DE"/>
    <w:rsid w:val="00C13096"/>
    <w:rsid w:val="00C13615"/>
    <w:rsid w:val="00C13983"/>
    <w:rsid w:val="00C13AD6"/>
    <w:rsid w:val="00C1434D"/>
    <w:rsid w:val="00C14AB2"/>
    <w:rsid w:val="00C14FAF"/>
    <w:rsid w:val="00C15764"/>
    <w:rsid w:val="00C158F1"/>
    <w:rsid w:val="00C15BD9"/>
    <w:rsid w:val="00C15C56"/>
    <w:rsid w:val="00C15DA9"/>
    <w:rsid w:val="00C15FBA"/>
    <w:rsid w:val="00C160F5"/>
    <w:rsid w:val="00C162B3"/>
    <w:rsid w:val="00C16574"/>
    <w:rsid w:val="00C168DE"/>
    <w:rsid w:val="00C16E51"/>
    <w:rsid w:val="00C1705C"/>
    <w:rsid w:val="00C17070"/>
    <w:rsid w:val="00C170ED"/>
    <w:rsid w:val="00C17771"/>
    <w:rsid w:val="00C1797F"/>
    <w:rsid w:val="00C17B12"/>
    <w:rsid w:val="00C17D9A"/>
    <w:rsid w:val="00C17F18"/>
    <w:rsid w:val="00C20033"/>
    <w:rsid w:val="00C20166"/>
    <w:rsid w:val="00C2021B"/>
    <w:rsid w:val="00C205BE"/>
    <w:rsid w:val="00C207B9"/>
    <w:rsid w:val="00C20B02"/>
    <w:rsid w:val="00C20B84"/>
    <w:rsid w:val="00C2110C"/>
    <w:rsid w:val="00C21608"/>
    <w:rsid w:val="00C21EE9"/>
    <w:rsid w:val="00C223A8"/>
    <w:rsid w:val="00C2259A"/>
    <w:rsid w:val="00C22888"/>
    <w:rsid w:val="00C22C99"/>
    <w:rsid w:val="00C23074"/>
    <w:rsid w:val="00C232A6"/>
    <w:rsid w:val="00C234E1"/>
    <w:rsid w:val="00C23557"/>
    <w:rsid w:val="00C23813"/>
    <w:rsid w:val="00C23957"/>
    <w:rsid w:val="00C239EA"/>
    <w:rsid w:val="00C240E6"/>
    <w:rsid w:val="00C24487"/>
    <w:rsid w:val="00C246C9"/>
    <w:rsid w:val="00C24EE4"/>
    <w:rsid w:val="00C2510B"/>
    <w:rsid w:val="00C25418"/>
    <w:rsid w:val="00C25514"/>
    <w:rsid w:val="00C25625"/>
    <w:rsid w:val="00C25698"/>
    <w:rsid w:val="00C25B1E"/>
    <w:rsid w:val="00C25B42"/>
    <w:rsid w:val="00C25BE6"/>
    <w:rsid w:val="00C25D08"/>
    <w:rsid w:val="00C25D9C"/>
    <w:rsid w:val="00C25FA9"/>
    <w:rsid w:val="00C25FAA"/>
    <w:rsid w:val="00C25FAB"/>
    <w:rsid w:val="00C26400"/>
    <w:rsid w:val="00C26BD0"/>
    <w:rsid w:val="00C272AA"/>
    <w:rsid w:val="00C274D0"/>
    <w:rsid w:val="00C278CA"/>
    <w:rsid w:val="00C27EBC"/>
    <w:rsid w:val="00C30845"/>
    <w:rsid w:val="00C30F13"/>
    <w:rsid w:val="00C31123"/>
    <w:rsid w:val="00C31362"/>
    <w:rsid w:val="00C31649"/>
    <w:rsid w:val="00C31D56"/>
    <w:rsid w:val="00C32102"/>
    <w:rsid w:val="00C324BE"/>
    <w:rsid w:val="00C32968"/>
    <w:rsid w:val="00C32B71"/>
    <w:rsid w:val="00C33790"/>
    <w:rsid w:val="00C3385E"/>
    <w:rsid w:val="00C34090"/>
    <w:rsid w:val="00C34582"/>
    <w:rsid w:val="00C34DC6"/>
    <w:rsid w:val="00C3520F"/>
    <w:rsid w:val="00C357AE"/>
    <w:rsid w:val="00C35835"/>
    <w:rsid w:val="00C35A9E"/>
    <w:rsid w:val="00C35DCD"/>
    <w:rsid w:val="00C367A7"/>
    <w:rsid w:val="00C36B23"/>
    <w:rsid w:val="00C37307"/>
    <w:rsid w:val="00C3782E"/>
    <w:rsid w:val="00C37F94"/>
    <w:rsid w:val="00C40385"/>
    <w:rsid w:val="00C404F4"/>
    <w:rsid w:val="00C4073E"/>
    <w:rsid w:val="00C408A2"/>
    <w:rsid w:val="00C408CF"/>
    <w:rsid w:val="00C408F3"/>
    <w:rsid w:val="00C409E7"/>
    <w:rsid w:val="00C40BAD"/>
    <w:rsid w:val="00C40D76"/>
    <w:rsid w:val="00C40E34"/>
    <w:rsid w:val="00C40F3C"/>
    <w:rsid w:val="00C40F5D"/>
    <w:rsid w:val="00C41037"/>
    <w:rsid w:val="00C4120A"/>
    <w:rsid w:val="00C41780"/>
    <w:rsid w:val="00C41808"/>
    <w:rsid w:val="00C41970"/>
    <w:rsid w:val="00C41B9D"/>
    <w:rsid w:val="00C41D1B"/>
    <w:rsid w:val="00C41E17"/>
    <w:rsid w:val="00C41E75"/>
    <w:rsid w:val="00C42362"/>
    <w:rsid w:val="00C42C01"/>
    <w:rsid w:val="00C42CC7"/>
    <w:rsid w:val="00C42CC8"/>
    <w:rsid w:val="00C42E87"/>
    <w:rsid w:val="00C4356A"/>
    <w:rsid w:val="00C4382A"/>
    <w:rsid w:val="00C43FDF"/>
    <w:rsid w:val="00C444BB"/>
    <w:rsid w:val="00C44578"/>
    <w:rsid w:val="00C44960"/>
    <w:rsid w:val="00C44D0B"/>
    <w:rsid w:val="00C45043"/>
    <w:rsid w:val="00C45366"/>
    <w:rsid w:val="00C4555E"/>
    <w:rsid w:val="00C45757"/>
    <w:rsid w:val="00C459A8"/>
    <w:rsid w:val="00C45D58"/>
    <w:rsid w:val="00C46335"/>
    <w:rsid w:val="00C46DD8"/>
    <w:rsid w:val="00C47231"/>
    <w:rsid w:val="00C473F6"/>
    <w:rsid w:val="00C4746D"/>
    <w:rsid w:val="00C476BD"/>
    <w:rsid w:val="00C47788"/>
    <w:rsid w:val="00C477B9"/>
    <w:rsid w:val="00C47935"/>
    <w:rsid w:val="00C47CF3"/>
    <w:rsid w:val="00C47FB5"/>
    <w:rsid w:val="00C5084D"/>
    <w:rsid w:val="00C5085D"/>
    <w:rsid w:val="00C50B4E"/>
    <w:rsid w:val="00C514E7"/>
    <w:rsid w:val="00C51D02"/>
    <w:rsid w:val="00C51E4C"/>
    <w:rsid w:val="00C5206D"/>
    <w:rsid w:val="00C5224C"/>
    <w:rsid w:val="00C5227B"/>
    <w:rsid w:val="00C5251C"/>
    <w:rsid w:val="00C5276A"/>
    <w:rsid w:val="00C52A9E"/>
    <w:rsid w:val="00C52B27"/>
    <w:rsid w:val="00C52B57"/>
    <w:rsid w:val="00C52C1D"/>
    <w:rsid w:val="00C52CCC"/>
    <w:rsid w:val="00C5304A"/>
    <w:rsid w:val="00C5339D"/>
    <w:rsid w:val="00C533C1"/>
    <w:rsid w:val="00C534FA"/>
    <w:rsid w:val="00C535B9"/>
    <w:rsid w:val="00C538A5"/>
    <w:rsid w:val="00C539A9"/>
    <w:rsid w:val="00C53A2E"/>
    <w:rsid w:val="00C53D97"/>
    <w:rsid w:val="00C53E41"/>
    <w:rsid w:val="00C54180"/>
    <w:rsid w:val="00C541CA"/>
    <w:rsid w:val="00C5468C"/>
    <w:rsid w:val="00C5472E"/>
    <w:rsid w:val="00C5492A"/>
    <w:rsid w:val="00C54AED"/>
    <w:rsid w:val="00C54D4F"/>
    <w:rsid w:val="00C5502C"/>
    <w:rsid w:val="00C55137"/>
    <w:rsid w:val="00C553B0"/>
    <w:rsid w:val="00C55419"/>
    <w:rsid w:val="00C55EFD"/>
    <w:rsid w:val="00C5624A"/>
    <w:rsid w:val="00C563BD"/>
    <w:rsid w:val="00C569AA"/>
    <w:rsid w:val="00C56B00"/>
    <w:rsid w:val="00C56B46"/>
    <w:rsid w:val="00C56BBF"/>
    <w:rsid w:val="00C56C55"/>
    <w:rsid w:val="00C57289"/>
    <w:rsid w:val="00C5736F"/>
    <w:rsid w:val="00C57616"/>
    <w:rsid w:val="00C57EC2"/>
    <w:rsid w:val="00C57F26"/>
    <w:rsid w:val="00C600CC"/>
    <w:rsid w:val="00C602E7"/>
    <w:rsid w:val="00C6066A"/>
    <w:rsid w:val="00C60E01"/>
    <w:rsid w:val="00C61138"/>
    <w:rsid w:val="00C61840"/>
    <w:rsid w:val="00C619B6"/>
    <w:rsid w:val="00C62258"/>
    <w:rsid w:val="00C623AA"/>
    <w:rsid w:val="00C625DF"/>
    <w:rsid w:val="00C626F5"/>
    <w:rsid w:val="00C6292F"/>
    <w:rsid w:val="00C62ACE"/>
    <w:rsid w:val="00C62B71"/>
    <w:rsid w:val="00C6302B"/>
    <w:rsid w:val="00C633F0"/>
    <w:rsid w:val="00C63584"/>
    <w:rsid w:val="00C63790"/>
    <w:rsid w:val="00C639E8"/>
    <w:rsid w:val="00C63CB4"/>
    <w:rsid w:val="00C63D15"/>
    <w:rsid w:val="00C63EF7"/>
    <w:rsid w:val="00C644E9"/>
    <w:rsid w:val="00C64835"/>
    <w:rsid w:val="00C64CC3"/>
    <w:rsid w:val="00C64CF0"/>
    <w:rsid w:val="00C64E08"/>
    <w:rsid w:val="00C64E3C"/>
    <w:rsid w:val="00C65027"/>
    <w:rsid w:val="00C65211"/>
    <w:rsid w:val="00C6546A"/>
    <w:rsid w:val="00C65576"/>
    <w:rsid w:val="00C65651"/>
    <w:rsid w:val="00C65E8A"/>
    <w:rsid w:val="00C66108"/>
    <w:rsid w:val="00C66127"/>
    <w:rsid w:val="00C66165"/>
    <w:rsid w:val="00C662DF"/>
    <w:rsid w:val="00C666B9"/>
    <w:rsid w:val="00C6674E"/>
    <w:rsid w:val="00C667D5"/>
    <w:rsid w:val="00C66868"/>
    <w:rsid w:val="00C669D8"/>
    <w:rsid w:val="00C66DA6"/>
    <w:rsid w:val="00C66E06"/>
    <w:rsid w:val="00C677B0"/>
    <w:rsid w:val="00C67881"/>
    <w:rsid w:val="00C67A77"/>
    <w:rsid w:val="00C67B8E"/>
    <w:rsid w:val="00C67D7B"/>
    <w:rsid w:val="00C67F8D"/>
    <w:rsid w:val="00C7016B"/>
    <w:rsid w:val="00C70214"/>
    <w:rsid w:val="00C70280"/>
    <w:rsid w:val="00C703A5"/>
    <w:rsid w:val="00C70564"/>
    <w:rsid w:val="00C7068B"/>
    <w:rsid w:val="00C7094B"/>
    <w:rsid w:val="00C71577"/>
    <w:rsid w:val="00C71669"/>
    <w:rsid w:val="00C717E6"/>
    <w:rsid w:val="00C71E3E"/>
    <w:rsid w:val="00C72364"/>
    <w:rsid w:val="00C72575"/>
    <w:rsid w:val="00C72777"/>
    <w:rsid w:val="00C72DC0"/>
    <w:rsid w:val="00C72E19"/>
    <w:rsid w:val="00C7303B"/>
    <w:rsid w:val="00C73149"/>
    <w:rsid w:val="00C734CA"/>
    <w:rsid w:val="00C73BC5"/>
    <w:rsid w:val="00C73FF2"/>
    <w:rsid w:val="00C7434D"/>
    <w:rsid w:val="00C74462"/>
    <w:rsid w:val="00C746B5"/>
    <w:rsid w:val="00C74791"/>
    <w:rsid w:val="00C74933"/>
    <w:rsid w:val="00C74AF0"/>
    <w:rsid w:val="00C74C9E"/>
    <w:rsid w:val="00C74DD7"/>
    <w:rsid w:val="00C74F34"/>
    <w:rsid w:val="00C75949"/>
    <w:rsid w:val="00C76015"/>
    <w:rsid w:val="00C760CA"/>
    <w:rsid w:val="00C761ED"/>
    <w:rsid w:val="00C7625F"/>
    <w:rsid w:val="00C762BA"/>
    <w:rsid w:val="00C76A7A"/>
    <w:rsid w:val="00C76B67"/>
    <w:rsid w:val="00C76FB3"/>
    <w:rsid w:val="00C77020"/>
    <w:rsid w:val="00C77039"/>
    <w:rsid w:val="00C7711E"/>
    <w:rsid w:val="00C77166"/>
    <w:rsid w:val="00C7757F"/>
    <w:rsid w:val="00C775BE"/>
    <w:rsid w:val="00C77A41"/>
    <w:rsid w:val="00C77F32"/>
    <w:rsid w:val="00C77FFB"/>
    <w:rsid w:val="00C800DC"/>
    <w:rsid w:val="00C802A8"/>
    <w:rsid w:val="00C80513"/>
    <w:rsid w:val="00C8053B"/>
    <w:rsid w:val="00C8093A"/>
    <w:rsid w:val="00C81511"/>
    <w:rsid w:val="00C8165D"/>
    <w:rsid w:val="00C81923"/>
    <w:rsid w:val="00C81AC8"/>
    <w:rsid w:val="00C81DD6"/>
    <w:rsid w:val="00C81F3F"/>
    <w:rsid w:val="00C82015"/>
    <w:rsid w:val="00C8213F"/>
    <w:rsid w:val="00C824A4"/>
    <w:rsid w:val="00C825F9"/>
    <w:rsid w:val="00C82747"/>
    <w:rsid w:val="00C82956"/>
    <w:rsid w:val="00C82BEF"/>
    <w:rsid w:val="00C82F84"/>
    <w:rsid w:val="00C83150"/>
    <w:rsid w:val="00C832FA"/>
    <w:rsid w:val="00C83670"/>
    <w:rsid w:val="00C836D8"/>
    <w:rsid w:val="00C83841"/>
    <w:rsid w:val="00C83A83"/>
    <w:rsid w:val="00C84336"/>
    <w:rsid w:val="00C84375"/>
    <w:rsid w:val="00C849CC"/>
    <w:rsid w:val="00C8535D"/>
    <w:rsid w:val="00C859A6"/>
    <w:rsid w:val="00C85DBD"/>
    <w:rsid w:val="00C86065"/>
    <w:rsid w:val="00C8633B"/>
    <w:rsid w:val="00C8650E"/>
    <w:rsid w:val="00C86922"/>
    <w:rsid w:val="00C86B8E"/>
    <w:rsid w:val="00C86B9D"/>
    <w:rsid w:val="00C86BD3"/>
    <w:rsid w:val="00C86E3B"/>
    <w:rsid w:val="00C86F51"/>
    <w:rsid w:val="00C875AF"/>
    <w:rsid w:val="00C8797A"/>
    <w:rsid w:val="00C87A17"/>
    <w:rsid w:val="00C87BC5"/>
    <w:rsid w:val="00C87D0F"/>
    <w:rsid w:val="00C87E41"/>
    <w:rsid w:val="00C87FAB"/>
    <w:rsid w:val="00C9025B"/>
    <w:rsid w:val="00C9041D"/>
    <w:rsid w:val="00C90425"/>
    <w:rsid w:val="00C90442"/>
    <w:rsid w:val="00C90BEF"/>
    <w:rsid w:val="00C91215"/>
    <w:rsid w:val="00C913E2"/>
    <w:rsid w:val="00C91D64"/>
    <w:rsid w:val="00C92CA2"/>
    <w:rsid w:val="00C9322A"/>
    <w:rsid w:val="00C93326"/>
    <w:rsid w:val="00C933F1"/>
    <w:rsid w:val="00C938CF"/>
    <w:rsid w:val="00C93A93"/>
    <w:rsid w:val="00C93E30"/>
    <w:rsid w:val="00C94686"/>
    <w:rsid w:val="00C94944"/>
    <w:rsid w:val="00C95086"/>
    <w:rsid w:val="00C9520B"/>
    <w:rsid w:val="00C95498"/>
    <w:rsid w:val="00C9555B"/>
    <w:rsid w:val="00C96054"/>
    <w:rsid w:val="00C963FF"/>
    <w:rsid w:val="00C9654F"/>
    <w:rsid w:val="00C965C0"/>
    <w:rsid w:val="00C96905"/>
    <w:rsid w:val="00C96B8A"/>
    <w:rsid w:val="00C96C54"/>
    <w:rsid w:val="00C97270"/>
    <w:rsid w:val="00C97411"/>
    <w:rsid w:val="00C9752A"/>
    <w:rsid w:val="00C9758C"/>
    <w:rsid w:val="00C9783E"/>
    <w:rsid w:val="00C97FCC"/>
    <w:rsid w:val="00CA0153"/>
    <w:rsid w:val="00CA04D9"/>
    <w:rsid w:val="00CA0FDC"/>
    <w:rsid w:val="00CA10DD"/>
    <w:rsid w:val="00CA1AE0"/>
    <w:rsid w:val="00CA1B9A"/>
    <w:rsid w:val="00CA259C"/>
    <w:rsid w:val="00CA27C1"/>
    <w:rsid w:val="00CA27F0"/>
    <w:rsid w:val="00CA2B18"/>
    <w:rsid w:val="00CA2F46"/>
    <w:rsid w:val="00CA2F57"/>
    <w:rsid w:val="00CA31F4"/>
    <w:rsid w:val="00CA4E95"/>
    <w:rsid w:val="00CA521B"/>
    <w:rsid w:val="00CA5245"/>
    <w:rsid w:val="00CA53F0"/>
    <w:rsid w:val="00CA54E4"/>
    <w:rsid w:val="00CA5569"/>
    <w:rsid w:val="00CA5DA8"/>
    <w:rsid w:val="00CA5F3A"/>
    <w:rsid w:val="00CA6170"/>
    <w:rsid w:val="00CA63BE"/>
    <w:rsid w:val="00CA64B4"/>
    <w:rsid w:val="00CA6A07"/>
    <w:rsid w:val="00CA6D24"/>
    <w:rsid w:val="00CA75A7"/>
    <w:rsid w:val="00CA75ED"/>
    <w:rsid w:val="00CA77A1"/>
    <w:rsid w:val="00CA77FA"/>
    <w:rsid w:val="00CA7B09"/>
    <w:rsid w:val="00CB03D7"/>
    <w:rsid w:val="00CB0440"/>
    <w:rsid w:val="00CB048E"/>
    <w:rsid w:val="00CB06A6"/>
    <w:rsid w:val="00CB0E06"/>
    <w:rsid w:val="00CB116C"/>
    <w:rsid w:val="00CB1C82"/>
    <w:rsid w:val="00CB1DD3"/>
    <w:rsid w:val="00CB1E31"/>
    <w:rsid w:val="00CB1F1D"/>
    <w:rsid w:val="00CB2109"/>
    <w:rsid w:val="00CB252E"/>
    <w:rsid w:val="00CB254C"/>
    <w:rsid w:val="00CB2C1C"/>
    <w:rsid w:val="00CB31C5"/>
    <w:rsid w:val="00CB3D91"/>
    <w:rsid w:val="00CB3E59"/>
    <w:rsid w:val="00CB3E8D"/>
    <w:rsid w:val="00CB4091"/>
    <w:rsid w:val="00CB4618"/>
    <w:rsid w:val="00CB4B70"/>
    <w:rsid w:val="00CB4BAD"/>
    <w:rsid w:val="00CB4F85"/>
    <w:rsid w:val="00CB55CD"/>
    <w:rsid w:val="00CB55ED"/>
    <w:rsid w:val="00CB57EA"/>
    <w:rsid w:val="00CB5B1A"/>
    <w:rsid w:val="00CB5C03"/>
    <w:rsid w:val="00CB5C6D"/>
    <w:rsid w:val="00CB5CA7"/>
    <w:rsid w:val="00CB5F54"/>
    <w:rsid w:val="00CB6067"/>
    <w:rsid w:val="00CB66AA"/>
    <w:rsid w:val="00CB679E"/>
    <w:rsid w:val="00CB6822"/>
    <w:rsid w:val="00CB68E9"/>
    <w:rsid w:val="00CB69F6"/>
    <w:rsid w:val="00CB6CC8"/>
    <w:rsid w:val="00CB6E11"/>
    <w:rsid w:val="00CB6EA9"/>
    <w:rsid w:val="00CB7B78"/>
    <w:rsid w:val="00CB7C41"/>
    <w:rsid w:val="00CB7D73"/>
    <w:rsid w:val="00CB7F0F"/>
    <w:rsid w:val="00CB7FBB"/>
    <w:rsid w:val="00CC0917"/>
    <w:rsid w:val="00CC0AE7"/>
    <w:rsid w:val="00CC1783"/>
    <w:rsid w:val="00CC18F2"/>
    <w:rsid w:val="00CC1920"/>
    <w:rsid w:val="00CC1A0B"/>
    <w:rsid w:val="00CC202A"/>
    <w:rsid w:val="00CC20A5"/>
    <w:rsid w:val="00CC238E"/>
    <w:rsid w:val="00CC2913"/>
    <w:rsid w:val="00CC2D3C"/>
    <w:rsid w:val="00CC33E2"/>
    <w:rsid w:val="00CC359C"/>
    <w:rsid w:val="00CC3E6E"/>
    <w:rsid w:val="00CC4315"/>
    <w:rsid w:val="00CC45A6"/>
    <w:rsid w:val="00CC4657"/>
    <w:rsid w:val="00CC5200"/>
    <w:rsid w:val="00CC523B"/>
    <w:rsid w:val="00CC5834"/>
    <w:rsid w:val="00CC60A8"/>
    <w:rsid w:val="00CC662C"/>
    <w:rsid w:val="00CC6A70"/>
    <w:rsid w:val="00CC6C30"/>
    <w:rsid w:val="00CC6EA0"/>
    <w:rsid w:val="00CC77F7"/>
    <w:rsid w:val="00CC780F"/>
    <w:rsid w:val="00CC7B25"/>
    <w:rsid w:val="00CD0711"/>
    <w:rsid w:val="00CD0830"/>
    <w:rsid w:val="00CD0D9E"/>
    <w:rsid w:val="00CD0FA3"/>
    <w:rsid w:val="00CD11F3"/>
    <w:rsid w:val="00CD122D"/>
    <w:rsid w:val="00CD17B2"/>
    <w:rsid w:val="00CD19DF"/>
    <w:rsid w:val="00CD1CE5"/>
    <w:rsid w:val="00CD1F04"/>
    <w:rsid w:val="00CD1F46"/>
    <w:rsid w:val="00CD20DE"/>
    <w:rsid w:val="00CD25B3"/>
    <w:rsid w:val="00CD28C0"/>
    <w:rsid w:val="00CD2E01"/>
    <w:rsid w:val="00CD30DC"/>
    <w:rsid w:val="00CD32DF"/>
    <w:rsid w:val="00CD3379"/>
    <w:rsid w:val="00CD3E65"/>
    <w:rsid w:val="00CD3E72"/>
    <w:rsid w:val="00CD3FEC"/>
    <w:rsid w:val="00CD40F8"/>
    <w:rsid w:val="00CD426D"/>
    <w:rsid w:val="00CD42EC"/>
    <w:rsid w:val="00CD4339"/>
    <w:rsid w:val="00CD4BC7"/>
    <w:rsid w:val="00CD4C9C"/>
    <w:rsid w:val="00CD502E"/>
    <w:rsid w:val="00CD51BE"/>
    <w:rsid w:val="00CD54E7"/>
    <w:rsid w:val="00CD5538"/>
    <w:rsid w:val="00CD574F"/>
    <w:rsid w:val="00CD5E3A"/>
    <w:rsid w:val="00CD65B0"/>
    <w:rsid w:val="00CD6A10"/>
    <w:rsid w:val="00CD6ADC"/>
    <w:rsid w:val="00CD7A63"/>
    <w:rsid w:val="00CD7A79"/>
    <w:rsid w:val="00CD7F60"/>
    <w:rsid w:val="00CE03A2"/>
    <w:rsid w:val="00CE03D5"/>
    <w:rsid w:val="00CE0D1F"/>
    <w:rsid w:val="00CE0DAD"/>
    <w:rsid w:val="00CE1F96"/>
    <w:rsid w:val="00CE203D"/>
    <w:rsid w:val="00CE2476"/>
    <w:rsid w:val="00CE2747"/>
    <w:rsid w:val="00CE28F4"/>
    <w:rsid w:val="00CE2985"/>
    <w:rsid w:val="00CE353A"/>
    <w:rsid w:val="00CE3658"/>
    <w:rsid w:val="00CE390F"/>
    <w:rsid w:val="00CE3A8E"/>
    <w:rsid w:val="00CE3B7B"/>
    <w:rsid w:val="00CE3DBD"/>
    <w:rsid w:val="00CE4031"/>
    <w:rsid w:val="00CE424C"/>
    <w:rsid w:val="00CE4C6E"/>
    <w:rsid w:val="00CE50CA"/>
    <w:rsid w:val="00CE596D"/>
    <w:rsid w:val="00CE5BA6"/>
    <w:rsid w:val="00CE6274"/>
    <w:rsid w:val="00CE68E5"/>
    <w:rsid w:val="00CE6D0F"/>
    <w:rsid w:val="00CE6D39"/>
    <w:rsid w:val="00CE70FD"/>
    <w:rsid w:val="00CE71C1"/>
    <w:rsid w:val="00CE71DD"/>
    <w:rsid w:val="00CE74A6"/>
    <w:rsid w:val="00CE7759"/>
    <w:rsid w:val="00CE79E5"/>
    <w:rsid w:val="00CE79ED"/>
    <w:rsid w:val="00CE7A53"/>
    <w:rsid w:val="00CE7B1F"/>
    <w:rsid w:val="00CE7FB1"/>
    <w:rsid w:val="00CF0185"/>
    <w:rsid w:val="00CF0240"/>
    <w:rsid w:val="00CF0753"/>
    <w:rsid w:val="00CF08BA"/>
    <w:rsid w:val="00CF099D"/>
    <w:rsid w:val="00CF0D16"/>
    <w:rsid w:val="00CF15BD"/>
    <w:rsid w:val="00CF17B3"/>
    <w:rsid w:val="00CF1B83"/>
    <w:rsid w:val="00CF1EAD"/>
    <w:rsid w:val="00CF2289"/>
    <w:rsid w:val="00CF25B1"/>
    <w:rsid w:val="00CF264F"/>
    <w:rsid w:val="00CF275E"/>
    <w:rsid w:val="00CF2BC2"/>
    <w:rsid w:val="00CF2F26"/>
    <w:rsid w:val="00CF30F3"/>
    <w:rsid w:val="00CF33A5"/>
    <w:rsid w:val="00CF37E5"/>
    <w:rsid w:val="00CF3CDF"/>
    <w:rsid w:val="00CF41D8"/>
    <w:rsid w:val="00CF4203"/>
    <w:rsid w:val="00CF436D"/>
    <w:rsid w:val="00CF4525"/>
    <w:rsid w:val="00CF456B"/>
    <w:rsid w:val="00CF4B69"/>
    <w:rsid w:val="00CF4DA6"/>
    <w:rsid w:val="00CF4E10"/>
    <w:rsid w:val="00CF504A"/>
    <w:rsid w:val="00CF5572"/>
    <w:rsid w:val="00CF58CA"/>
    <w:rsid w:val="00CF5A22"/>
    <w:rsid w:val="00CF5A45"/>
    <w:rsid w:val="00CF5D7A"/>
    <w:rsid w:val="00CF6475"/>
    <w:rsid w:val="00CF650C"/>
    <w:rsid w:val="00CF658C"/>
    <w:rsid w:val="00CF660A"/>
    <w:rsid w:val="00CF6AB7"/>
    <w:rsid w:val="00CF715D"/>
    <w:rsid w:val="00CF7367"/>
    <w:rsid w:val="00CF77B1"/>
    <w:rsid w:val="00CF7AA6"/>
    <w:rsid w:val="00CF7BA2"/>
    <w:rsid w:val="00CF7C40"/>
    <w:rsid w:val="00CF7E8E"/>
    <w:rsid w:val="00D00534"/>
    <w:rsid w:val="00D00601"/>
    <w:rsid w:val="00D0068F"/>
    <w:rsid w:val="00D0069A"/>
    <w:rsid w:val="00D0090C"/>
    <w:rsid w:val="00D0094C"/>
    <w:rsid w:val="00D00FAC"/>
    <w:rsid w:val="00D014F9"/>
    <w:rsid w:val="00D01526"/>
    <w:rsid w:val="00D01874"/>
    <w:rsid w:val="00D01B6E"/>
    <w:rsid w:val="00D01CFF"/>
    <w:rsid w:val="00D0217B"/>
    <w:rsid w:val="00D023ED"/>
    <w:rsid w:val="00D0257C"/>
    <w:rsid w:val="00D0262E"/>
    <w:rsid w:val="00D02744"/>
    <w:rsid w:val="00D027AC"/>
    <w:rsid w:val="00D02908"/>
    <w:rsid w:val="00D02EBB"/>
    <w:rsid w:val="00D03013"/>
    <w:rsid w:val="00D030A4"/>
    <w:rsid w:val="00D03600"/>
    <w:rsid w:val="00D036F8"/>
    <w:rsid w:val="00D0384E"/>
    <w:rsid w:val="00D03885"/>
    <w:rsid w:val="00D040A8"/>
    <w:rsid w:val="00D04473"/>
    <w:rsid w:val="00D04725"/>
    <w:rsid w:val="00D04C42"/>
    <w:rsid w:val="00D058AE"/>
    <w:rsid w:val="00D05979"/>
    <w:rsid w:val="00D05A8E"/>
    <w:rsid w:val="00D05E57"/>
    <w:rsid w:val="00D06015"/>
    <w:rsid w:val="00D0615F"/>
    <w:rsid w:val="00D0632B"/>
    <w:rsid w:val="00D06ACE"/>
    <w:rsid w:val="00D06D3E"/>
    <w:rsid w:val="00D06F9C"/>
    <w:rsid w:val="00D06FD4"/>
    <w:rsid w:val="00D07102"/>
    <w:rsid w:val="00D073C9"/>
    <w:rsid w:val="00D074A8"/>
    <w:rsid w:val="00D07A0C"/>
    <w:rsid w:val="00D07F4B"/>
    <w:rsid w:val="00D10002"/>
    <w:rsid w:val="00D106F6"/>
    <w:rsid w:val="00D10B99"/>
    <w:rsid w:val="00D110BD"/>
    <w:rsid w:val="00D1144A"/>
    <w:rsid w:val="00D11ECB"/>
    <w:rsid w:val="00D11F93"/>
    <w:rsid w:val="00D1220F"/>
    <w:rsid w:val="00D12242"/>
    <w:rsid w:val="00D1231E"/>
    <w:rsid w:val="00D12337"/>
    <w:rsid w:val="00D1263F"/>
    <w:rsid w:val="00D126D0"/>
    <w:rsid w:val="00D12722"/>
    <w:rsid w:val="00D129B9"/>
    <w:rsid w:val="00D12A40"/>
    <w:rsid w:val="00D12AF5"/>
    <w:rsid w:val="00D13007"/>
    <w:rsid w:val="00D135CA"/>
    <w:rsid w:val="00D13804"/>
    <w:rsid w:val="00D13A21"/>
    <w:rsid w:val="00D13C54"/>
    <w:rsid w:val="00D13C5A"/>
    <w:rsid w:val="00D14198"/>
    <w:rsid w:val="00D14392"/>
    <w:rsid w:val="00D14966"/>
    <w:rsid w:val="00D14BF2"/>
    <w:rsid w:val="00D14D03"/>
    <w:rsid w:val="00D154E8"/>
    <w:rsid w:val="00D15A86"/>
    <w:rsid w:val="00D1608F"/>
    <w:rsid w:val="00D16204"/>
    <w:rsid w:val="00D168EF"/>
    <w:rsid w:val="00D16A65"/>
    <w:rsid w:val="00D16CDC"/>
    <w:rsid w:val="00D17475"/>
    <w:rsid w:val="00D17544"/>
    <w:rsid w:val="00D17BCD"/>
    <w:rsid w:val="00D17D6C"/>
    <w:rsid w:val="00D204F7"/>
    <w:rsid w:val="00D20709"/>
    <w:rsid w:val="00D2096A"/>
    <w:rsid w:val="00D20983"/>
    <w:rsid w:val="00D20B0D"/>
    <w:rsid w:val="00D20BC3"/>
    <w:rsid w:val="00D20BFD"/>
    <w:rsid w:val="00D21087"/>
    <w:rsid w:val="00D21506"/>
    <w:rsid w:val="00D21CC8"/>
    <w:rsid w:val="00D21EC6"/>
    <w:rsid w:val="00D22086"/>
    <w:rsid w:val="00D22720"/>
    <w:rsid w:val="00D22881"/>
    <w:rsid w:val="00D2290C"/>
    <w:rsid w:val="00D2308E"/>
    <w:rsid w:val="00D23365"/>
    <w:rsid w:val="00D2402F"/>
    <w:rsid w:val="00D240FD"/>
    <w:rsid w:val="00D24178"/>
    <w:rsid w:val="00D24396"/>
    <w:rsid w:val="00D24424"/>
    <w:rsid w:val="00D24A8F"/>
    <w:rsid w:val="00D24B7C"/>
    <w:rsid w:val="00D24B99"/>
    <w:rsid w:val="00D24D97"/>
    <w:rsid w:val="00D24E6D"/>
    <w:rsid w:val="00D25203"/>
    <w:rsid w:val="00D2526E"/>
    <w:rsid w:val="00D25451"/>
    <w:rsid w:val="00D259B8"/>
    <w:rsid w:val="00D25A53"/>
    <w:rsid w:val="00D25A73"/>
    <w:rsid w:val="00D25B60"/>
    <w:rsid w:val="00D25F2F"/>
    <w:rsid w:val="00D26068"/>
    <w:rsid w:val="00D260F9"/>
    <w:rsid w:val="00D26106"/>
    <w:rsid w:val="00D26118"/>
    <w:rsid w:val="00D268AB"/>
    <w:rsid w:val="00D26AE3"/>
    <w:rsid w:val="00D26AFC"/>
    <w:rsid w:val="00D26D26"/>
    <w:rsid w:val="00D26FD6"/>
    <w:rsid w:val="00D271F6"/>
    <w:rsid w:val="00D2753C"/>
    <w:rsid w:val="00D27716"/>
    <w:rsid w:val="00D27EA9"/>
    <w:rsid w:val="00D30649"/>
    <w:rsid w:val="00D30991"/>
    <w:rsid w:val="00D30AE6"/>
    <w:rsid w:val="00D30DF2"/>
    <w:rsid w:val="00D30E1E"/>
    <w:rsid w:val="00D311BF"/>
    <w:rsid w:val="00D313A9"/>
    <w:rsid w:val="00D31413"/>
    <w:rsid w:val="00D31640"/>
    <w:rsid w:val="00D316D8"/>
    <w:rsid w:val="00D318AE"/>
    <w:rsid w:val="00D31933"/>
    <w:rsid w:val="00D31D3E"/>
    <w:rsid w:val="00D31ECE"/>
    <w:rsid w:val="00D32B16"/>
    <w:rsid w:val="00D32B90"/>
    <w:rsid w:val="00D32BBC"/>
    <w:rsid w:val="00D32D1A"/>
    <w:rsid w:val="00D32E5C"/>
    <w:rsid w:val="00D33100"/>
    <w:rsid w:val="00D33306"/>
    <w:rsid w:val="00D33439"/>
    <w:rsid w:val="00D33649"/>
    <w:rsid w:val="00D33956"/>
    <w:rsid w:val="00D33B3F"/>
    <w:rsid w:val="00D33D7F"/>
    <w:rsid w:val="00D33F67"/>
    <w:rsid w:val="00D34354"/>
    <w:rsid w:val="00D3442E"/>
    <w:rsid w:val="00D35814"/>
    <w:rsid w:val="00D35BE4"/>
    <w:rsid w:val="00D35DD2"/>
    <w:rsid w:val="00D36389"/>
    <w:rsid w:val="00D36CF6"/>
    <w:rsid w:val="00D36EA1"/>
    <w:rsid w:val="00D402CA"/>
    <w:rsid w:val="00D4099A"/>
    <w:rsid w:val="00D409B8"/>
    <w:rsid w:val="00D40B47"/>
    <w:rsid w:val="00D40DCD"/>
    <w:rsid w:val="00D41259"/>
    <w:rsid w:val="00D41361"/>
    <w:rsid w:val="00D413BD"/>
    <w:rsid w:val="00D413DB"/>
    <w:rsid w:val="00D415D3"/>
    <w:rsid w:val="00D41DDC"/>
    <w:rsid w:val="00D41DE4"/>
    <w:rsid w:val="00D41E8A"/>
    <w:rsid w:val="00D4256A"/>
    <w:rsid w:val="00D425C7"/>
    <w:rsid w:val="00D4272C"/>
    <w:rsid w:val="00D42E39"/>
    <w:rsid w:val="00D42F0F"/>
    <w:rsid w:val="00D43DD5"/>
    <w:rsid w:val="00D43E66"/>
    <w:rsid w:val="00D4402B"/>
    <w:rsid w:val="00D441EE"/>
    <w:rsid w:val="00D442D9"/>
    <w:rsid w:val="00D446C5"/>
    <w:rsid w:val="00D449E7"/>
    <w:rsid w:val="00D44B04"/>
    <w:rsid w:val="00D4515F"/>
    <w:rsid w:val="00D45396"/>
    <w:rsid w:val="00D46345"/>
    <w:rsid w:val="00D46375"/>
    <w:rsid w:val="00D464EA"/>
    <w:rsid w:val="00D4672D"/>
    <w:rsid w:val="00D4677B"/>
    <w:rsid w:val="00D46893"/>
    <w:rsid w:val="00D468CF"/>
    <w:rsid w:val="00D46E24"/>
    <w:rsid w:val="00D46FB2"/>
    <w:rsid w:val="00D47098"/>
    <w:rsid w:val="00D47259"/>
    <w:rsid w:val="00D47507"/>
    <w:rsid w:val="00D475F6"/>
    <w:rsid w:val="00D4787E"/>
    <w:rsid w:val="00D47AE0"/>
    <w:rsid w:val="00D47C76"/>
    <w:rsid w:val="00D47CDC"/>
    <w:rsid w:val="00D47D68"/>
    <w:rsid w:val="00D47F97"/>
    <w:rsid w:val="00D50047"/>
    <w:rsid w:val="00D502A1"/>
    <w:rsid w:val="00D50586"/>
    <w:rsid w:val="00D50705"/>
    <w:rsid w:val="00D50BB1"/>
    <w:rsid w:val="00D50CD5"/>
    <w:rsid w:val="00D50D6B"/>
    <w:rsid w:val="00D50FB1"/>
    <w:rsid w:val="00D50FB4"/>
    <w:rsid w:val="00D5108C"/>
    <w:rsid w:val="00D51189"/>
    <w:rsid w:val="00D511E4"/>
    <w:rsid w:val="00D512A3"/>
    <w:rsid w:val="00D512CE"/>
    <w:rsid w:val="00D51405"/>
    <w:rsid w:val="00D51571"/>
    <w:rsid w:val="00D51596"/>
    <w:rsid w:val="00D517BC"/>
    <w:rsid w:val="00D519CF"/>
    <w:rsid w:val="00D51ED1"/>
    <w:rsid w:val="00D52147"/>
    <w:rsid w:val="00D52858"/>
    <w:rsid w:val="00D528CC"/>
    <w:rsid w:val="00D52BF4"/>
    <w:rsid w:val="00D53027"/>
    <w:rsid w:val="00D53534"/>
    <w:rsid w:val="00D5374B"/>
    <w:rsid w:val="00D53861"/>
    <w:rsid w:val="00D53FCC"/>
    <w:rsid w:val="00D5412A"/>
    <w:rsid w:val="00D54421"/>
    <w:rsid w:val="00D546C9"/>
    <w:rsid w:val="00D549DB"/>
    <w:rsid w:val="00D54D7F"/>
    <w:rsid w:val="00D5523B"/>
    <w:rsid w:val="00D552A5"/>
    <w:rsid w:val="00D55BB4"/>
    <w:rsid w:val="00D55D34"/>
    <w:rsid w:val="00D56102"/>
    <w:rsid w:val="00D5620F"/>
    <w:rsid w:val="00D56300"/>
    <w:rsid w:val="00D5647D"/>
    <w:rsid w:val="00D56FDE"/>
    <w:rsid w:val="00D5719B"/>
    <w:rsid w:val="00D575DD"/>
    <w:rsid w:val="00D57615"/>
    <w:rsid w:val="00D5767B"/>
    <w:rsid w:val="00D57715"/>
    <w:rsid w:val="00D577FE"/>
    <w:rsid w:val="00D579F9"/>
    <w:rsid w:val="00D57A27"/>
    <w:rsid w:val="00D57E67"/>
    <w:rsid w:val="00D600F9"/>
    <w:rsid w:val="00D601D9"/>
    <w:rsid w:val="00D601FB"/>
    <w:rsid w:val="00D60213"/>
    <w:rsid w:val="00D6048E"/>
    <w:rsid w:val="00D604D0"/>
    <w:rsid w:val="00D60A8E"/>
    <w:rsid w:val="00D60D2A"/>
    <w:rsid w:val="00D60EE5"/>
    <w:rsid w:val="00D615E2"/>
    <w:rsid w:val="00D61610"/>
    <w:rsid w:val="00D61A66"/>
    <w:rsid w:val="00D61AA3"/>
    <w:rsid w:val="00D61C22"/>
    <w:rsid w:val="00D61EC6"/>
    <w:rsid w:val="00D621C8"/>
    <w:rsid w:val="00D6226E"/>
    <w:rsid w:val="00D62358"/>
    <w:rsid w:val="00D62686"/>
    <w:rsid w:val="00D62744"/>
    <w:rsid w:val="00D62BCD"/>
    <w:rsid w:val="00D62F2A"/>
    <w:rsid w:val="00D631CF"/>
    <w:rsid w:val="00D631D8"/>
    <w:rsid w:val="00D636A3"/>
    <w:rsid w:val="00D63C5C"/>
    <w:rsid w:val="00D641CF"/>
    <w:rsid w:val="00D6484F"/>
    <w:rsid w:val="00D64AED"/>
    <w:rsid w:val="00D64CAC"/>
    <w:rsid w:val="00D65164"/>
    <w:rsid w:val="00D655D3"/>
    <w:rsid w:val="00D658BA"/>
    <w:rsid w:val="00D661BF"/>
    <w:rsid w:val="00D666A2"/>
    <w:rsid w:val="00D66ABA"/>
    <w:rsid w:val="00D66DE9"/>
    <w:rsid w:val="00D66EEA"/>
    <w:rsid w:val="00D67187"/>
    <w:rsid w:val="00D67B40"/>
    <w:rsid w:val="00D67C12"/>
    <w:rsid w:val="00D67E2A"/>
    <w:rsid w:val="00D67E48"/>
    <w:rsid w:val="00D67FC5"/>
    <w:rsid w:val="00D70269"/>
    <w:rsid w:val="00D706DA"/>
    <w:rsid w:val="00D708DD"/>
    <w:rsid w:val="00D70B7B"/>
    <w:rsid w:val="00D70C2B"/>
    <w:rsid w:val="00D70C36"/>
    <w:rsid w:val="00D70E57"/>
    <w:rsid w:val="00D70EC6"/>
    <w:rsid w:val="00D711E6"/>
    <w:rsid w:val="00D71302"/>
    <w:rsid w:val="00D71360"/>
    <w:rsid w:val="00D72262"/>
    <w:rsid w:val="00D725D9"/>
    <w:rsid w:val="00D72897"/>
    <w:rsid w:val="00D72D94"/>
    <w:rsid w:val="00D7315A"/>
    <w:rsid w:val="00D738C1"/>
    <w:rsid w:val="00D73DA6"/>
    <w:rsid w:val="00D73DDC"/>
    <w:rsid w:val="00D746C8"/>
    <w:rsid w:val="00D74814"/>
    <w:rsid w:val="00D74C6D"/>
    <w:rsid w:val="00D74D9F"/>
    <w:rsid w:val="00D74E6F"/>
    <w:rsid w:val="00D751B7"/>
    <w:rsid w:val="00D754BB"/>
    <w:rsid w:val="00D75D71"/>
    <w:rsid w:val="00D764E1"/>
    <w:rsid w:val="00D76A44"/>
    <w:rsid w:val="00D76B63"/>
    <w:rsid w:val="00D76F24"/>
    <w:rsid w:val="00D7746E"/>
    <w:rsid w:val="00D7751E"/>
    <w:rsid w:val="00D77C8C"/>
    <w:rsid w:val="00D8016E"/>
    <w:rsid w:val="00D80257"/>
    <w:rsid w:val="00D80952"/>
    <w:rsid w:val="00D80DC8"/>
    <w:rsid w:val="00D8185C"/>
    <w:rsid w:val="00D81A33"/>
    <w:rsid w:val="00D81BC5"/>
    <w:rsid w:val="00D82086"/>
    <w:rsid w:val="00D822F2"/>
    <w:rsid w:val="00D82313"/>
    <w:rsid w:val="00D82659"/>
    <w:rsid w:val="00D82781"/>
    <w:rsid w:val="00D82B7F"/>
    <w:rsid w:val="00D82BE6"/>
    <w:rsid w:val="00D82C0D"/>
    <w:rsid w:val="00D82CA2"/>
    <w:rsid w:val="00D82E81"/>
    <w:rsid w:val="00D832C9"/>
    <w:rsid w:val="00D8361D"/>
    <w:rsid w:val="00D836C1"/>
    <w:rsid w:val="00D83A94"/>
    <w:rsid w:val="00D83C7B"/>
    <w:rsid w:val="00D83DC6"/>
    <w:rsid w:val="00D8405D"/>
    <w:rsid w:val="00D84119"/>
    <w:rsid w:val="00D848C5"/>
    <w:rsid w:val="00D84C96"/>
    <w:rsid w:val="00D8524D"/>
    <w:rsid w:val="00D8537A"/>
    <w:rsid w:val="00D85872"/>
    <w:rsid w:val="00D85A56"/>
    <w:rsid w:val="00D85BDC"/>
    <w:rsid w:val="00D862A2"/>
    <w:rsid w:val="00D865AD"/>
    <w:rsid w:val="00D865D5"/>
    <w:rsid w:val="00D86C25"/>
    <w:rsid w:val="00D87263"/>
    <w:rsid w:val="00D87312"/>
    <w:rsid w:val="00D87444"/>
    <w:rsid w:val="00D87F96"/>
    <w:rsid w:val="00D90003"/>
    <w:rsid w:val="00D9038A"/>
    <w:rsid w:val="00D90414"/>
    <w:rsid w:val="00D90CDC"/>
    <w:rsid w:val="00D90F28"/>
    <w:rsid w:val="00D90FBA"/>
    <w:rsid w:val="00D9127F"/>
    <w:rsid w:val="00D91308"/>
    <w:rsid w:val="00D91322"/>
    <w:rsid w:val="00D916D9"/>
    <w:rsid w:val="00D9189F"/>
    <w:rsid w:val="00D91C80"/>
    <w:rsid w:val="00D92190"/>
    <w:rsid w:val="00D922C1"/>
    <w:rsid w:val="00D9243F"/>
    <w:rsid w:val="00D928A5"/>
    <w:rsid w:val="00D92F7B"/>
    <w:rsid w:val="00D931B2"/>
    <w:rsid w:val="00D933E9"/>
    <w:rsid w:val="00D9350E"/>
    <w:rsid w:val="00D935B7"/>
    <w:rsid w:val="00D9365E"/>
    <w:rsid w:val="00D93753"/>
    <w:rsid w:val="00D9392D"/>
    <w:rsid w:val="00D93B8B"/>
    <w:rsid w:val="00D93C20"/>
    <w:rsid w:val="00D93C91"/>
    <w:rsid w:val="00D942D7"/>
    <w:rsid w:val="00D94625"/>
    <w:rsid w:val="00D94990"/>
    <w:rsid w:val="00D94AC8"/>
    <w:rsid w:val="00D9551E"/>
    <w:rsid w:val="00D95AB4"/>
    <w:rsid w:val="00D95B1D"/>
    <w:rsid w:val="00D95D94"/>
    <w:rsid w:val="00D96072"/>
    <w:rsid w:val="00D965C2"/>
    <w:rsid w:val="00D965E6"/>
    <w:rsid w:val="00D96622"/>
    <w:rsid w:val="00D96907"/>
    <w:rsid w:val="00D96FEA"/>
    <w:rsid w:val="00D9702D"/>
    <w:rsid w:val="00D97418"/>
    <w:rsid w:val="00DA0B28"/>
    <w:rsid w:val="00DA19E0"/>
    <w:rsid w:val="00DA1F3A"/>
    <w:rsid w:val="00DA29D9"/>
    <w:rsid w:val="00DA2AA0"/>
    <w:rsid w:val="00DA2B15"/>
    <w:rsid w:val="00DA2D2A"/>
    <w:rsid w:val="00DA2EA2"/>
    <w:rsid w:val="00DA2F33"/>
    <w:rsid w:val="00DA303C"/>
    <w:rsid w:val="00DA306A"/>
    <w:rsid w:val="00DA3536"/>
    <w:rsid w:val="00DA365D"/>
    <w:rsid w:val="00DA36F8"/>
    <w:rsid w:val="00DA3838"/>
    <w:rsid w:val="00DA38C7"/>
    <w:rsid w:val="00DA3A27"/>
    <w:rsid w:val="00DA3FE6"/>
    <w:rsid w:val="00DA438C"/>
    <w:rsid w:val="00DA4946"/>
    <w:rsid w:val="00DA4A55"/>
    <w:rsid w:val="00DA4C85"/>
    <w:rsid w:val="00DA4CE4"/>
    <w:rsid w:val="00DA4F2E"/>
    <w:rsid w:val="00DA51A5"/>
    <w:rsid w:val="00DA5527"/>
    <w:rsid w:val="00DA5873"/>
    <w:rsid w:val="00DA58D7"/>
    <w:rsid w:val="00DA590E"/>
    <w:rsid w:val="00DA5963"/>
    <w:rsid w:val="00DA5A08"/>
    <w:rsid w:val="00DA5DDF"/>
    <w:rsid w:val="00DA5E56"/>
    <w:rsid w:val="00DA61D8"/>
    <w:rsid w:val="00DA63AB"/>
    <w:rsid w:val="00DA6438"/>
    <w:rsid w:val="00DA6823"/>
    <w:rsid w:val="00DA6860"/>
    <w:rsid w:val="00DA6A5F"/>
    <w:rsid w:val="00DA6AEB"/>
    <w:rsid w:val="00DA7269"/>
    <w:rsid w:val="00DA72B7"/>
    <w:rsid w:val="00DA77A5"/>
    <w:rsid w:val="00DA79EF"/>
    <w:rsid w:val="00DA7D6A"/>
    <w:rsid w:val="00DB039E"/>
    <w:rsid w:val="00DB060C"/>
    <w:rsid w:val="00DB07FD"/>
    <w:rsid w:val="00DB0B32"/>
    <w:rsid w:val="00DB16AC"/>
    <w:rsid w:val="00DB1952"/>
    <w:rsid w:val="00DB1BBE"/>
    <w:rsid w:val="00DB1E19"/>
    <w:rsid w:val="00DB24B7"/>
    <w:rsid w:val="00DB25F8"/>
    <w:rsid w:val="00DB3686"/>
    <w:rsid w:val="00DB3763"/>
    <w:rsid w:val="00DB3DF0"/>
    <w:rsid w:val="00DB3E15"/>
    <w:rsid w:val="00DB4254"/>
    <w:rsid w:val="00DB43A1"/>
    <w:rsid w:val="00DB4625"/>
    <w:rsid w:val="00DB4EC1"/>
    <w:rsid w:val="00DB551A"/>
    <w:rsid w:val="00DB56AD"/>
    <w:rsid w:val="00DB5745"/>
    <w:rsid w:val="00DB5786"/>
    <w:rsid w:val="00DB5A97"/>
    <w:rsid w:val="00DB5ACF"/>
    <w:rsid w:val="00DB6547"/>
    <w:rsid w:val="00DB670C"/>
    <w:rsid w:val="00DB693F"/>
    <w:rsid w:val="00DB699F"/>
    <w:rsid w:val="00DB7113"/>
    <w:rsid w:val="00DB7155"/>
    <w:rsid w:val="00DB72BC"/>
    <w:rsid w:val="00DB7454"/>
    <w:rsid w:val="00DB7765"/>
    <w:rsid w:val="00DB7768"/>
    <w:rsid w:val="00DB7A7B"/>
    <w:rsid w:val="00DB7ECD"/>
    <w:rsid w:val="00DC0105"/>
    <w:rsid w:val="00DC029A"/>
    <w:rsid w:val="00DC05B2"/>
    <w:rsid w:val="00DC08D5"/>
    <w:rsid w:val="00DC0964"/>
    <w:rsid w:val="00DC12C3"/>
    <w:rsid w:val="00DC18BF"/>
    <w:rsid w:val="00DC1A26"/>
    <w:rsid w:val="00DC1C3A"/>
    <w:rsid w:val="00DC1D90"/>
    <w:rsid w:val="00DC2429"/>
    <w:rsid w:val="00DC298D"/>
    <w:rsid w:val="00DC2995"/>
    <w:rsid w:val="00DC2DA6"/>
    <w:rsid w:val="00DC2EAA"/>
    <w:rsid w:val="00DC3602"/>
    <w:rsid w:val="00DC36F1"/>
    <w:rsid w:val="00DC3AAB"/>
    <w:rsid w:val="00DC4060"/>
    <w:rsid w:val="00DC42E7"/>
    <w:rsid w:val="00DC44C7"/>
    <w:rsid w:val="00DC4630"/>
    <w:rsid w:val="00DC4ADA"/>
    <w:rsid w:val="00DC4F86"/>
    <w:rsid w:val="00DC5392"/>
    <w:rsid w:val="00DC5501"/>
    <w:rsid w:val="00DC55C2"/>
    <w:rsid w:val="00DC567E"/>
    <w:rsid w:val="00DC5BB6"/>
    <w:rsid w:val="00DC5E64"/>
    <w:rsid w:val="00DC5F93"/>
    <w:rsid w:val="00DC6779"/>
    <w:rsid w:val="00DC678C"/>
    <w:rsid w:val="00DC686B"/>
    <w:rsid w:val="00DC7273"/>
    <w:rsid w:val="00DC78C6"/>
    <w:rsid w:val="00DC7FCE"/>
    <w:rsid w:val="00DD0062"/>
    <w:rsid w:val="00DD05F6"/>
    <w:rsid w:val="00DD0672"/>
    <w:rsid w:val="00DD086D"/>
    <w:rsid w:val="00DD0C5A"/>
    <w:rsid w:val="00DD0F30"/>
    <w:rsid w:val="00DD0F81"/>
    <w:rsid w:val="00DD1002"/>
    <w:rsid w:val="00DD1110"/>
    <w:rsid w:val="00DD1299"/>
    <w:rsid w:val="00DD1400"/>
    <w:rsid w:val="00DD1700"/>
    <w:rsid w:val="00DD1728"/>
    <w:rsid w:val="00DD172A"/>
    <w:rsid w:val="00DD1783"/>
    <w:rsid w:val="00DD18D3"/>
    <w:rsid w:val="00DD1B0D"/>
    <w:rsid w:val="00DD1B9A"/>
    <w:rsid w:val="00DD1CB8"/>
    <w:rsid w:val="00DD1CF7"/>
    <w:rsid w:val="00DD1D25"/>
    <w:rsid w:val="00DD1F6C"/>
    <w:rsid w:val="00DD2072"/>
    <w:rsid w:val="00DD20F8"/>
    <w:rsid w:val="00DD2263"/>
    <w:rsid w:val="00DD291F"/>
    <w:rsid w:val="00DD2A88"/>
    <w:rsid w:val="00DD2BAA"/>
    <w:rsid w:val="00DD303A"/>
    <w:rsid w:val="00DD304F"/>
    <w:rsid w:val="00DD3E09"/>
    <w:rsid w:val="00DD3F28"/>
    <w:rsid w:val="00DD4108"/>
    <w:rsid w:val="00DD4498"/>
    <w:rsid w:val="00DD44B3"/>
    <w:rsid w:val="00DD4537"/>
    <w:rsid w:val="00DD48C7"/>
    <w:rsid w:val="00DD4C84"/>
    <w:rsid w:val="00DD4D12"/>
    <w:rsid w:val="00DD4E15"/>
    <w:rsid w:val="00DD51DB"/>
    <w:rsid w:val="00DD549F"/>
    <w:rsid w:val="00DD54C7"/>
    <w:rsid w:val="00DD5BCF"/>
    <w:rsid w:val="00DD5D54"/>
    <w:rsid w:val="00DD5DC3"/>
    <w:rsid w:val="00DD5F1C"/>
    <w:rsid w:val="00DD5FF9"/>
    <w:rsid w:val="00DD6046"/>
    <w:rsid w:val="00DD6121"/>
    <w:rsid w:val="00DD6143"/>
    <w:rsid w:val="00DD6481"/>
    <w:rsid w:val="00DD6BBF"/>
    <w:rsid w:val="00DD6C47"/>
    <w:rsid w:val="00DD7A06"/>
    <w:rsid w:val="00DD7C17"/>
    <w:rsid w:val="00DE030F"/>
    <w:rsid w:val="00DE0A86"/>
    <w:rsid w:val="00DE1475"/>
    <w:rsid w:val="00DE16F1"/>
    <w:rsid w:val="00DE1BD8"/>
    <w:rsid w:val="00DE1CE0"/>
    <w:rsid w:val="00DE1D92"/>
    <w:rsid w:val="00DE30DC"/>
    <w:rsid w:val="00DE314C"/>
    <w:rsid w:val="00DE3565"/>
    <w:rsid w:val="00DE35C0"/>
    <w:rsid w:val="00DE37C4"/>
    <w:rsid w:val="00DE38F4"/>
    <w:rsid w:val="00DE42EB"/>
    <w:rsid w:val="00DE46D6"/>
    <w:rsid w:val="00DE4BF6"/>
    <w:rsid w:val="00DE4C02"/>
    <w:rsid w:val="00DE4DBF"/>
    <w:rsid w:val="00DE4FCB"/>
    <w:rsid w:val="00DE51BA"/>
    <w:rsid w:val="00DE658E"/>
    <w:rsid w:val="00DE678F"/>
    <w:rsid w:val="00DE6B56"/>
    <w:rsid w:val="00DE70D8"/>
    <w:rsid w:val="00DE70DF"/>
    <w:rsid w:val="00DE72B6"/>
    <w:rsid w:val="00DE730D"/>
    <w:rsid w:val="00DE7489"/>
    <w:rsid w:val="00DE7A37"/>
    <w:rsid w:val="00DE7BBE"/>
    <w:rsid w:val="00DE7D42"/>
    <w:rsid w:val="00DF094D"/>
    <w:rsid w:val="00DF0C13"/>
    <w:rsid w:val="00DF0D95"/>
    <w:rsid w:val="00DF0E50"/>
    <w:rsid w:val="00DF0E68"/>
    <w:rsid w:val="00DF0F21"/>
    <w:rsid w:val="00DF1346"/>
    <w:rsid w:val="00DF15BB"/>
    <w:rsid w:val="00DF1AAE"/>
    <w:rsid w:val="00DF1AD4"/>
    <w:rsid w:val="00DF1F97"/>
    <w:rsid w:val="00DF1FB7"/>
    <w:rsid w:val="00DF2080"/>
    <w:rsid w:val="00DF2146"/>
    <w:rsid w:val="00DF23EB"/>
    <w:rsid w:val="00DF282E"/>
    <w:rsid w:val="00DF2A68"/>
    <w:rsid w:val="00DF2E8E"/>
    <w:rsid w:val="00DF3088"/>
    <w:rsid w:val="00DF32D6"/>
    <w:rsid w:val="00DF3375"/>
    <w:rsid w:val="00DF3645"/>
    <w:rsid w:val="00DF3734"/>
    <w:rsid w:val="00DF3840"/>
    <w:rsid w:val="00DF384C"/>
    <w:rsid w:val="00DF3D8C"/>
    <w:rsid w:val="00DF3FF5"/>
    <w:rsid w:val="00DF423C"/>
    <w:rsid w:val="00DF43D3"/>
    <w:rsid w:val="00DF44E8"/>
    <w:rsid w:val="00DF4E17"/>
    <w:rsid w:val="00DF53EC"/>
    <w:rsid w:val="00DF55FB"/>
    <w:rsid w:val="00DF5728"/>
    <w:rsid w:val="00DF5C41"/>
    <w:rsid w:val="00DF6267"/>
    <w:rsid w:val="00DF6287"/>
    <w:rsid w:val="00DF636C"/>
    <w:rsid w:val="00DF6382"/>
    <w:rsid w:val="00DF6392"/>
    <w:rsid w:val="00DF64D4"/>
    <w:rsid w:val="00DF746B"/>
    <w:rsid w:val="00DF756F"/>
    <w:rsid w:val="00DF7686"/>
    <w:rsid w:val="00DF7F0F"/>
    <w:rsid w:val="00DF7F98"/>
    <w:rsid w:val="00E0000A"/>
    <w:rsid w:val="00E00206"/>
    <w:rsid w:val="00E005E0"/>
    <w:rsid w:val="00E00B69"/>
    <w:rsid w:val="00E00D75"/>
    <w:rsid w:val="00E00FFB"/>
    <w:rsid w:val="00E01551"/>
    <w:rsid w:val="00E01566"/>
    <w:rsid w:val="00E015AB"/>
    <w:rsid w:val="00E016B3"/>
    <w:rsid w:val="00E01BFE"/>
    <w:rsid w:val="00E022A2"/>
    <w:rsid w:val="00E0306A"/>
    <w:rsid w:val="00E03389"/>
    <w:rsid w:val="00E0354F"/>
    <w:rsid w:val="00E03CCC"/>
    <w:rsid w:val="00E03DB1"/>
    <w:rsid w:val="00E04148"/>
    <w:rsid w:val="00E0484A"/>
    <w:rsid w:val="00E04996"/>
    <w:rsid w:val="00E04FC3"/>
    <w:rsid w:val="00E05141"/>
    <w:rsid w:val="00E054CD"/>
    <w:rsid w:val="00E05530"/>
    <w:rsid w:val="00E05633"/>
    <w:rsid w:val="00E0675D"/>
    <w:rsid w:val="00E06E61"/>
    <w:rsid w:val="00E06FA8"/>
    <w:rsid w:val="00E0706F"/>
    <w:rsid w:val="00E071AD"/>
    <w:rsid w:val="00E07411"/>
    <w:rsid w:val="00E077FA"/>
    <w:rsid w:val="00E07BBE"/>
    <w:rsid w:val="00E07CBD"/>
    <w:rsid w:val="00E07E2E"/>
    <w:rsid w:val="00E07E32"/>
    <w:rsid w:val="00E10149"/>
    <w:rsid w:val="00E105AD"/>
    <w:rsid w:val="00E10697"/>
    <w:rsid w:val="00E108FD"/>
    <w:rsid w:val="00E10E74"/>
    <w:rsid w:val="00E10F15"/>
    <w:rsid w:val="00E10F92"/>
    <w:rsid w:val="00E1160B"/>
    <w:rsid w:val="00E1194C"/>
    <w:rsid w:val="00E119EE"/>
    <w:rsid w:val="00E11B64"/>
    <w:rsid w:val="00E11D8C"/>
    <w:rsid w:val="00E1209E"/>
    <w:rsid w:val="00E120BF"/>
    <w:rsid w:val="00E12519"/>
    <w:rsid w:val="00E12799"/>
    <w:rsid w:val="00E128FB"/>
    <w:rsid w:val="00E130DA"/>
    <w:rsid w:val="00E13338"/>
    <w:rsid w:val="00E136C4"/>
    <w:rsid w:val="00E136D6"/>
    <w:rsid w:val="00E1380F"/>
    <w:rsid w:val="00E1391A"/>
    <w:rsid w:val="00E13E65"/>
    <w:rsid w:val="00E1400F"/>
    <w:rsid w:val="00E143FD"/>
    <w:rsid w:val="00E14D1B"/>
    <w:rsid w:val="00E14DBD"/>
    <w:rsid w:val="00E1565C"/>
    <w:rsid w:val="00E16372"/>
    <w:rsid w:val="00E1641D"/>
    <w:rsid w:val="00E167BB"/>
    <w:rsid w:val="00E16F6E"/>
    <w:rsid w:val="00E172B0"/>
    <w:rsid w:val="00E17588"/>
    <w:rsid w:val="00E177A5"/>
    <w:rsid w:val="00E17AB2"/>
    <w:rsid w:val="00E17D84"/>
    <w:rsid w:val="00E20D4B"/>
    <w:rsid w:val="00E20ED6"/>
    <w:rsid w:val="00E21358"/>
    <w:rsid w:val="00E2143D"/>
    <w:rsid w:val="00E21E69"/>
    <w:rsid w:val="00E22152"/>
    <w:rsid w:val="00E221FD"/>
    <w:rsid w:val="00E2249B"/>
    <w:rsid w:val="00E228B6"/>
    <w:rsid w:val="00E228F0"/>
    <w:rsid w:val="00E22C81"/>
    <w:rsid w:val="00E22DA3"/>
    <w:rsid w:val="00E235F6"/>
    <w:rsid w:val="00E2382B"/>
    <w:rsid w:val="00E23BBF"/>
    <w:rsid w:val="00E23E54"/>
    <w:rsid w:val="00E24023"/>
    <w:rsid w:val="00E24088"/>
    <w:rsid w:val="00E24123"/>
    <w:rsid w:val="00E241A2"/>
    <w:rsid w:val="00E24850"/>
    <w:rsid w:val="00E24893"/>
    <w:rsid w:val="00E24D2C"/>
    <w:rsid w:val="00E24E2B"/>
    <w:rsid w:val="00E24F10"/>
    <w:rsid w:val="00E24F62"/>
    <w:rsid w:val="00E251D5"/>
    <w:rsid w:val="00E253ED"/>
    <w:rsid w:val="00E2594F"/>
    <w:rsid w:val="00E25AFB"/>
    <w:rsid w:val="00E261C1"/>
    <w:rsid w:val="00E2635C"/>
    <w:rsid w:val="00E263A6"/>
    <w:rsid w:val="00E263C0"/>
    <w:rsid w:val="00E264A1"/>
    <w:rsid w:val="00E26C5D"/>
    <w:rsid w:val="00E26CE8"/>
    <w:rsid w:val="00E27060"/>
    <w:rsid w:val="00E27718"/>
    <w:rsid w:val="00E2771E"/>
    <w:rsid w:val="00E27AD7"/>
    <w:rsid w:val="00E27EA7"/>
    <w:rsid w:val="00E27F4D"/>
    <w:rsid w:val="00E27F59"/>
    <w:rsid w:val="00E3013D"/>
    <w:rsid w:val="00E302B9"/>
    <w:rsid w:val="00E308D8"/>
    <w:rsid w:val="00E3095E"/>
    <w:rsid w:val="00E309B3"/>
    <w:rsid w:val="00E309EF"/>
    <w:rsid w:val="00E30B6B"/>
    <w:rsid w:val="00E30D8A"/>
    <w:rsid w:val="00E30DAF"/>
    <w:rsid w:val="00E310A9"/>
    <w:rsid w:val="00E31CBB"/>
    <w:rsid w:val="00E31D71"/>
    <w:rsid w:val="00E31DFC"/>
    <w:rsid w:val="00E31E32"/>
    <w:rsid w:val="00E31EC9"/>
    <w:rsid w:val="00E31F1D"/>
    <w:rsid w:val="00E32365"/>
    <w:rsid w:val="00E32AF7"/>
    <w:rsid w:val="00E32B74"/>
    <w:rsid w:val="00E32CDD"/>
    <w:rsid w:val="00E33564"/>
    <w:rsid w:val="00E335F7"/>
    <w:rsid w:val="00E3387B"/>
    <w:rsid w:val="00E33950"/>
    <w:rsid w:val="00E33D54"/>
    <w:rsid w:val="00E34151"/>
    <w:rsid w:val="00E345AA"/>
    <w:rsid w:val="00E34B95"/>
    <w:rsid w:val="00E35400"/>
    <w:rsid w:val="00E354B8"/>
    <w:rsid w:val="00E358BB"/>
    <w:rsid w:val="00E35965"/>
    <w:rsid w:val="00E3597D"/>
    <w:rsid w:val="00E35B40"/>
    <w:rsid w:val="00E35CF0"/>
    <w:rsid w:val="00E35D00"/>
    <w:rsid w:val="00E35EC3"/>
    <w:rsid w:val="00E36039"/>
    <w:rsid w:val="00E36095"/>
    <w:rsid w:val="00E36672"/>
    <w:rsid w:val="00E36B2D"/>
    <w:rsid w:val="00E37043"/>
    <w:rsid w:val="00E373A1"/>
    <w:rsid w:val="00E37569"/>
    <w:rsid w:val="00E377D9"/>
    <w:rsid w:val="00E37BA2"/>
    <w:rsid w:val="00E37DD8"/>
    <w:rsid w:val="00E4010C"/>
    <w:rsid w:val="00E40214"/>
    <w:rsid w:val="00E40AC0"/>
    <w:rsid w:val="00E40CB9"/>
    <w:rsid w:val="00E40F2D"/>
    <w:rsid w:val="00E41185"/>
    <w:rsid w:val="00E4124E"/>
    <w:rsid w:val="00E4132D"/>
    <w:rsid w:val="00E41593"/>
    <w:rsid w:val="00E4189E"/>
    <w:rsid w:val="00E4199A"/>
    <w:rsid w:val="00E41A15"/>
    <w:rsid w:val="00E41A86"/>
    <w:rsid w:val="00E41ACE"/>
    <w:rsid w:val="00E41B92"/>
    <w:rsid w:val="00E41CA1"/>
    <w:rsid w:val="00E41E30"/>
    <w:rsid w:val="00E424FD"/>
    <w:rsid w:val="00E4257C"/>
    <w:rsid w:val="00E4258E"/>
    <w:rsid w:val="00E427E2"/>
    <w:rsid w:val="00E42BE8"/>
    <w:rsid w:val="00E42DC3"/>
    <w:rsid w:val="00E42DEF"/>
    <w:rsid w:val="00E43295"/>
    <w:rsid w:val="00E4364F"/>
    <w:rsid w:val="00E438C8"/>
    <w:rsid w:val="00E44075"/>
    <w:rsid w:val="00E44906"/>
    <w:rsid w:val="00E44970"/>
    <w:rsid w:val="00E44E55"/>
    <w:rsid w:val="00E44F1A"/>
    <w:rsid w:val="00E4552F"/>
    <w:rsid w:val="00E45849"/>
    <w:rsid w:val="00E45B36"/>
    <w:rsid w:val="00E45E73"/>
    <w:rsid w:val="00E4672E"/>
    <w:rsid w:val="00E469F4"/>
    <w:rsid w:val="00E46EFA"/>
    <w:rsid w:val="00E4722D"/>
    <w:rsid w:val="00E4747A"/>
    <w:rsid w:val="00E474ED"/>
    <w:rsid w:val="00E47A0A"/>
    <w:rsid w:val="00E47A8E"/>
    <w:rsid w:val="00E47B2C"/>
    <w:rsid w:val="00E47B47"/>
    <w:rsid w:val="00E47BAF"/>
    <w:rsid w:val="00E5045F"/>
    <w:rsid w:val="00E50779"/>
    <w:rsid w:val="00E50F02"/>
    <w:rsid w:val="00E51068"/>
    <w:rsid w:val="00E512BD"/>
    <w:rsid w:val="00E51E37"/>
    <w:rsid w:val="00E52899"/>
    <w:rsid w:val="00E528B8"/>
    <w:rsid w:val="00E52B76"/>
    <w:rsid w:val="00E52D99"/>
    <w:rsid w:val="00E52E63"/>
    <w:rsid w:val="00E531C7"/>
    <w:rsid w:val="00E53236"/>
    <w:rsid w:val="00E5363B"/>
    <w:rsid w:val="00E537E5"/>
    <w:rsid w:val="00E53A32"/>
    <w:rsid w:val="00E5430A"/>
    <w:rsid w:val="00E543BD"/>
    <w:rsid w:val="00E54A14"/>
    <w:rsid w:val="00E54B72"/>
    <w:rsid w:val="00E5505D"/>
    <w:rsid w:val="00E55075"/>
    <w:rsid w:val="00E552F7"/>
    <w:rsid w:val="00E55369"/>
    <w:rsid w:val="00E55424"/>
    <w:rsid w:val="00E554D0"/>
    <w:rsid w:val="00E557F7"/>
    <w:rsid w:val="00E55A5C"/>
    <w:rsid w:val="00E55B30"/>
    <w:rsid w:val="00E56225"/>
    <w:rsid w:val="00E56AF2"/>
    <w:rsid w:val="00E56B81"/>
    <w:rsid w:val="00E5719C"/>
    <w:rsid w:val="00E5764E"/>
    <w:rsid w:val="00E579A8"/>
    <w:rsid w:val="00E57BA1"/>
    <w:rsid w:val="00E60624"/>
    <w:rsid w:val="00E6068D"/>
    <w:rsid w:val="00E6099F"/>
    <w:rsid w:val="00E60B06"/>
    <w:rsid w:val="00E61568"/>
    <w:rsid w:val="00E61882"/>
    <w:rsid w:val="00E62031"/>
    <w:rsid w:val="00E620E5"/>
    <w:rsid w:val="00E6235B"/>
    <w:rsid w:val="00E623AC"/>
    <w:rsid w:val="00E62733"/>
    <w:rsid w:val="00E62851"/>
    <w:rsid w:val="00E6287C"/>
    <w:rsid w:val="00E62A92"/>
    <w:rsid w:val="00E62D77"/>
    <w:rsid w:val="00E636EB"/>
    <w:rsid w:val="00E63B20"/>
    <w:rsid w:val="00E64B9A"/>
    <w:rsid w:val="00E65934"/>
    <w:rsid w:val="00E659EF"/>
    <w:rsid w:val="00E659FA"/>
    <w:rsid w:val="00E65E79"/>
    <w:rsid w:val="00E65FC6"/>
    <w:rsid w:val="00E664C1"/>
    <w:rsid w:val="00E66A81"/>
    <w:rsid w:val="00E67052"/>
    <w:rsid w:val="00E67072"/>
    <w:rsid w:val="00E671E8"/>
    <w:rsid w:val="00E67306"/>
    <w:rsid w:val="00E673D7"/>
    <w:rsid w:val="00E67416"/>
    <w:rsid w:val="00E67590"/>
    <w:rsid w:val="00E67610"/>
    <w:rsid w:val="00E676F9"/>
    <w:rsid w:val="00E677F2"/>
    <w:rsid w:val="00E679A3"/>
    <w:rsid w:val="00E67C18"/>
    <w:rsid w:val="00E67ECA"/>
    <w:rsid w:val="00E70134"/>
    <w:rsid w:val="00E70844"/>
    <w:rsid w:val="00E70A07"/>
    <w:rsid w:val="00E70A5D"/>
    <w:rsid w:val="00E710E2"/>
    <w:rsid w:val="00E71551"/>
    <w:rsid w:val="00E718B6"/>
    <w:rsid w:val="00E719D7"/>
    <w:rsid w:val="00E71E1F"/>
    <w:rsid w:val="00E7208D"/>
    <w:rsid w:val="00E720A6"/>
    <w:rsid w:val="00E72B0C"/>
    <w:rsid w:val="00E72E0E"/>
    <w:rsid w:val="00E72EA8"/>
    <w:rsid w:val="00E72FBB"/>
    <w:rsid w:val="00E7342D"/>
    <w:rsid w:val="00E73567"/>
    <w:rsid w:val="00E73581"/>
    <w:rsid w:val="00E7368E"/>
    <w:rsid w:val="00E73740"/>
    <w:rsid w:val="00E73DBB"/>
    <w:rsid w:val="00E73F20"/>
    <w:rsid w:val="00E74251"/>
    <w:rsid w:val="00E745C7"/>
    <w:rsid w:val="00E747D0"/>
    <w:rsid w:val="00E74878"/>
    <w:rsid w:val="00E74BAF"/>
    <w:rsid w:val="00E74C39"/>
    <w:rsid w:val="00E74D0E"/>
    <w:rsid w:val="00E74D7E"/>
    <w:rsid w:val="00E7510F"/>
    <w:rsid w:val="00E7562F"/>
    <w:rsid w:val="00E76AE4"/>
    <w:rsid w:val="00E77301"/>
    <w:rsid w:val="00E77861"/>
    <w:rsid w:val="00E778DB"/>
    <w:rsid w:val="00E77A71"/>
    <w:rsid w:val="00E77AA0"/>
    <w:rsid w:val="00E77AA8"/>
    <w:rsid w:val="00E77BED"/>
    <w:rsid w:val="00E77D12"/>
    <w:rsid w:val="00E77D71"/>
    <w:rsid w:val="00E80594"/>
    <w:rsid w:val="00E8065D"/>
    <w:rsid w:val="00E8086B"/>
    <w:rsid w:val="00E80E7A"/>
    <w:rsid w:val="00E8109B"/>
    <w:rsid w:val="00E8116D"/>
    <w:rsid w:val="00E81231"/>
    <w:rsid w:val="00E812CA"/>
    <w:rsid w:val="00E8132E"/>
    <w:rsid w:val="00E817C3"/>
    <w:rsid w:val="00E81832"/>
    <w:rsid w:val="00E818D1"/>
    <w:rsid w:val="00E81B32"/>
    <w:rsid w:val="00E81CD6"/>
    <w:rsid w:val="00E81FB0"/>
    <w:rsid w:val="00E8201E"/>
    <w:rsid w:val="00E821F4"/>
    <w:rsid w:val="00E8269D"/>
    <w:rsid w:val="00E82893"/>
    <w:rsid w:val="00E82A3F"/>
    <w:rsid w:val="00E82BC3"/>
    <w:rsid w:val="00E831CB"/>
    <w:rsid w:val="00E83547"/>
    <w:rsid w:val="00E8363D"/>
    <w:rsid w:val="00E837B6"/>
    <w:rsid w:val="00E839FA"/>
    <w:rsid w:val="00E83A8C"/>
    <w:rsid w:val="00E83BDF"/>
    <w:rsid w:val="00E84177"/>
    <w:rsid w:val="00E84537"/>
    <w:rsid w:val="00E84661"/>
    <w:rsid w:val="00E84891"/>
    <w:rsid w:val="00E84B32"/>
    <w:rsid w:val="00E85870"/>
    <w:rsid w:val="00E85919"/>
    <w:rsid w:val="00E85A9D"/>
    <w:rsid w:val="00E86148"/>
    <w:rsid w:val="00E86300"/>
    <w:rsid w:val="00E86598"/>
    <w:rsid w:val="00E86718"/>
    <w:rsid w:val="00E8683D"/>
    <w:rsid w:val="00E869D4"/>
    <w:rsid w:val="00E86B85"/>
    <w:rsid w:val="00E8721A"/>
    <w:rsid w:val="00E87312"/>
    <w:rsid w:val="00E875CA"/>
    <w:rsid w:val="00E87611"/>
    <w:rsid w:val="00E87615"/>
    <w:rsid w:val="00E878EA"/>
    <w:rsid w:val="00E9021C"/>
    <w:rsid w:val="00E90244"/>
    <w:rsid w:val="00E90475"/>
    <w:rsid w:val="00E905B1"/>
    <w:rsid w:val="00E90B67"/>
    <w:rsid w:val="00E90BF0"/>
    <w:rsid w:val="00E910A3"/>
    <w:rsid w:val="00E910E0"/>
    <w:rsid w:val="00E91A9B"/>
    <w:rsid w:val="00E92311"/>
    <w:rsid w:val="00E928D1"/>
    <w:rsid w:val="00E92970"/>
    <w:rsid w:val="00E92B71"/>
    <w:rsid w:val="00E92E14"/>
    <w:rsid w:val="00E92E2D"/>
    <w:rsid w:val="00E9305E"/>
    <w:rsid w:val="00E9319A"/>
    <w:rsid w:val="00E931FB"/>
    <w:rsid w:val="00E93471"/>
    <w:rsid w:val="00E9363B"/>
    <w:rsid w:val="00E94028"/>
    <w:rsid w:val="00E94114"/>
    <w:rsid w:val="00E943E8"/>
    <w:rsid w:val="00E94538"/>
    <w:rsid w:val="00E94641"/>
    <w:rsid w:val="00E94C8C"/>
    <w:rsid w:val="00E94E62"/>
    <w:rsid w:val="00E94F84"/>
    <w:rsid w:val="00E954EC"/>
    <w:rsid w:val="00E9590D"/>
    <w:rsid w:val="00E95915"/>
    <w:rsid w:val="00E95A0F"/>
    <w:rsid w:val="00E95BB1"/>
    <w:rsid w:val="00E95D4C"/>
    <w:rsid w:val="00E95D9F"/>
    <w:rsid w:val="00E97019"/>
    <w:rsid w:val="00E97142"/>
    <w:rsid w:val="00E972BC"/>
    <w:rsid w:val="00E976BF"/>
    <w:rsid w:val="00E978F1"/>
    <w:rsid w:val="00E97970"/>
    <w:rsid w:val="00E97CBD"/>
    <w:rsid w:val="00E97EB1"/>
    <w:rsid w:val="00EA00A5"/>
    <w:rsid w:val="00EA045C"/>
    <w:rsid w:val="00EA05F7"/>
    <w:rsid w:val="00EA0612"/>
    <w:rsid w:val="00EA06EF"/>
    <w:rsid w:val="00EA0900"/>
    <w:rsid w:val="00EA0E3C"/>
    <w:rsid w:val="00EA0F28"/>
    <w:rsid w:val="00EA0FB1"/>
    <w:rsid w:val="00EA153C"/>
    <w:rsid w:val="00EA1723"/>
    <w:rsid w:val="00EA172A"/>
    <w:rsid w:val="00EA186F"/>
    <w:rsid w:val="00EA18D1"/>
    <w:rsid w:val="00EA1B7C"/>
    <w:rsid w:val="00EA1DF2"/>
    <w:rsid w:val="00EA28FE"/>
    <w:rsid w:val="00EA2A3B"/>
    <w:rsid w:val="00EA2AD2"/>
    <w:rsid w:val="00EA2D0F"/>
    <w:rsid w:val="00EA32A4"/>
    <w:rsid w:val="00EA340D"/>
    <w:rsid w:val="00EA34DB"/>
    <w:rsid w:val="00EA3569"/>
    <w:rsid w:val="00EA3864"/>
    <w:rsid w:val="00EA3CF8"/>
    <w:rsid w:val="00EA3DC4"/>
    <w:rsid w:val="00EA3F07"/>
    <w:rsid w:val="00EA42AC"/>
    <w:rsid w:val="00EA4417"/>
    <w:rsid w:val="00EA4551"/>
    <w:rsid w:val="00EA4832"/>
    <w:rsid w:val="00EA4D95"/>
    <w:rsid w:val="00EA4EC3"/>
    <w:rsid w:val="00EA5021"/>
    <w:rsid w:val="00EA5302"/>
    <w:rsid w:val="00EA5373"/>
    <w:rsid w:val="00EA5D83"/>
    <w:rsid w:val="00EA5FE0"/>
    <w:rsid w:val="00EA6445"/>
    <w:rsid w:val="00EA65B8"/>
    <w:rsid w:val="00EA65EE"/>
    <w:rsid w:val="00EA6A3F"/>
    <w:rsid w:val="00EA6E3E"/>
    <w:rsid w:val="00EA6E9F"/>
    <w:rsid w:val="00EA739D"/>
    <w:rsid w:val="00EA7408"/>
    <w:rsid w:val="00EA7506"/>
    <w:rsid w:val="00EA7686"/>
    <w:rsid w:val="00EA7737"/>
    <w:rsid w:val="00EA7A9F"/>
    <w:rsid w:val="00EA7B01"/>
    <w:rsid w:val="00EA7C1A"/>
    <w:rsid w:val="00EB000F"/>
    <w:rsid w:val="00EB0061"/>
    <w:rsid w:val="00EB0135"/>
    <w:rsid w:val="00EB0274"/>
    <w:rsid w:val="00EB02F5"/>
    <w:rsid w:val="00EB03B2"/>
    <w:rsid w:val="00EB0541"/>
    <w:rsid w:val="00EB0832"/>
    <w:rsid w:val="00EB0B71"/>
    <w:rsid w:val="00EB0BF9"/>
    <w:rsid w:val="00EB0E2B"/>
    <w:rsid w:val="00EB0FE3"/>
    <w:rsid w:val="00EB1663"/>
    <w:rsid w:val="00EB18AD"/>
    <w:rsid w:val="00EB18D3"/>
    <w:rsid w:val="00EB1AB2"/>
    <w:rsid w:val="00EB1D6D"/>
    <w:rsid w:val="00EB1E56"/>
    <w:rsid w:val="00EB2284"/>
    <w:rsid w:val="00EB2409"/>
    <w:rsid w:val="00EB25ED"/>
    <w:rsid w:val="00EB2899"/>
    <w:rsid w:val="00EB28DC"/>
    <w:rsid w:val="00EB2CA9"/>
    <w:rsid w:val="00EB2CC6"/>
    <w:rsid w:val="00EB2E11"/>
    <w:rsid w:val="00EB2F05"/>
    <w:rsid w:val="00EB2FD2"/>
    <w:rsid w:val="00EB31D9"/>
    <w:rsid w:val="00EB337D"/>
    <w:rsid w:val="00EB3413"/>
    <w:rsid w:val="00EB35E8"/>
    <w:rsid w:val="00EB377D"/>
    <w:rsid w:val="00EB3C2D"/>
    <w:rsid w:val="00EB3D5D"/>
    <w:rsid w:val="00EB440B"/>
    <w:rsid w:val="00EB444B"/>
    <w:rsid w:val="00EB4475"/>
    <w:rsid w:val="00EB452F"/>
    <w:rsid w:val="00EB48E2"/>
    <w:rsid w:val="00EB493F"/>
    <w:rsid w:val="00EB4B24"/>
    <w:rsid w:val="00EB4C6D"/>
    <w:rsid w:val="00EB52A9"/>
    <w:rsid w:val="00EB54A9"/>
    <w:rsid w:val="00EB59E3"/>
    <w:rsid w:val="00EB5AC1"/>
    <w:rsid w:val="00EB5B83"/>
    <w:rsid w:val="00EB5F0A"/>
    <w:rsid w:val="00EB5F88"/>
    <w:rsid w:val="00EB62CD"/>
    <w:rsid w:val="00EB6324"/>
    <w:rsid w:val="00EB6473"/>
    <w:rsid w:val="00EB6593"/>
    <w:rsid w:val="00EB65D5"/>
    <w:rsid w:val="00EB6653"/>
    <w:rsid w:val="00EB6A53"/>
    <w:rsid w:val="00EB7051"/>
    <w:rsid w:val="00EB71BF"/>
    <w:rsid w:val="00EB753A"/>
    <w:rsid w:val="00EB75DD"/>
    <w:rsid w:val="00EB7845"/>
    <w:rsid w:val="00EB7FC6"/>
    <w:rsid w:val="00EC00C9"/>
    <w:rsid w:val="00EC00EF"/>
    <w:rsid w:val="00EC023E"/>
    <w:rsid w:val="00EC0381"/>
    <w:rsid w:val="00EC0764"/>
    <w:rsid w:val="00EC0FA0"/>
    <w:rsid w:val="00EC12B9"/>
    <w:rsid w:val="00EC1379"/>
    <w:rsid w:val="00EC17DF"/>
    <w:rsid w:val="00EC1BB0"/>
    <w:rsid w:val="00EC2572"/>
    <w:rsid w:val="00EC263B"/>
    <w:rsid w:val="00EC2C0D"/>
    <w:rsid w:val="00EC2E2F"/>
    <w:rsid w:val="00EC2E5A"/>
    <w:rsid w:val="00EC2FD3"/>
    <w:rsid w:val="00EC319D"/>
    <w:rsid w:val="00EC35A8"/>
    <w:rsid w:val="00EC4580"/>
    <w:rsid w:val="00EC48EA"/>
    <w:rsid w:val="00EC5258"/>
    <w:rsid w:val="00EC52BD"/>
    <w:rsid w:val="00EC579C"/>
    <w:rsid w:val="00EC6025"/>
    <w:rsid w:val="00EC6862"/>
    <w:rsid w:val="00EC6C77"/>
    <w:rsid w:val="00EC6D89"/>
    <w:rsid w:val="00EC6FE0"/>
    <w:rsid w:val="00EC71C3"/>
    <w:rsid w:val="00EC7609"/>
    <w:rsid w:val="00EC77DD"/>
    <w:rsid w:val="00EC7C7B"/>
    <w:rsid w:val="00EC7CDB"/>
    <w:rsid w:val="00EC7D1C"/>
    <w:rsid w:val="00ED0006"/>
    <w:rsid w:val="00ED10B6"/>
    <w:rsid w:val="00ED182D"/>
    <w:rsid w:val="00ED19A1"/>
    <w:rsid w:val="00ED1F90"/>
    <w:rsid w:val="00ED2120"/>
    <w:rsid w:val="00ED27F3"/>
    <w:rsid w:val="00ED2AFA"/>
    <w:rsid w:val="00ED2B83"/>
    <w:rsid w:val="00ED2BBE"/>
    <w:rsid w:val="00ED2CFB"/>
    <w:rsid w:val="00ED346F"/>
    <w:rsid w:val="00ED3501"/>
    <w:rsid w:val="00ED3704"/>
    <w:rsid w:val="00ED385F"/>
    <w:rsid w:val="00ED3DAC"/>
    <w:rsid w:val="00ED3F94"/>
    <w:rsid w:val="00ED4BD1"/>
    <w:rsid w:val="00ED4BE9"/>
    <w:rsid w:val="00ED4CC3"/>
    <w:rsid w:val="00ED4F30"/>
    <w:rsid w:val="00ED506E"/>
    <w:rsid w:val="00ED50CD"/>
    <w:rsid w:val="00ED5144"/>
    <w:rsid w:val="00ED547D"/>
    <w:rsid w:val="00ED5CDF"/>
    <w:rsid w:val="00ED6282"/>
    <w:rsid w:val="00ED628A"/>
    <w:rsid w:val="00ED6967"/>
    <w:rsid w:val="00ED6B17"/>
    <w:rsid w:val="00ED6ECC"/>
    <w:rsid w:val="00ED79DC"/>
    <w:rsid w:val="00ED7B74"/>
    <w:rsid w:val="00ED7E21"/>
    <w:rsid w:val="00EE018B"/>
    <w:rsid w:val="00EE0590"/>
    <w:rsid w:val="00EE0735"/>
    <w:rsid w:val="00EE07D3"/>
    <w:rsid w:val="00EE0FAA"/>
    <w:rsid w:val="00EE105D"/>
    <w:rsid w:val="00EE10FF"/>
    <w:rsid w:val="00EE1892"/>
    <w:rsid w:val="00EE1A50"/>
    <w:rsid w:val="00EE1CB3"/>
    <w:rsid w:val="00EE2011"/>
    <w:rsid w:val="00EE2090"/>
    <w:rsid w:val="00EE24CF"/>
    <w:rsid w:val="00EE25BB"/>
    <w:rsid w:val="00EE3008"/>
    <w:rsid w:val="00EE3118"/>
    <w:rsid w:val="00EE3870"/>
    <w:rsid w:val="00EE3919"/>
    <w:rsid w:val="00EE442D"/>
    <w:rsid w:val="00EE4590"/>
    <w:rsid w:val="00EE4741"/>
    <w:rsid w:val="00EE47EC"/>
    <w:rsid w:val="00EE4CB2"/>
    <w:rsid w:val="00EE4E47"/>
    <w:rsid w:val="00EE4EE8"/>
    <w:rsid w:val="00EE4EED"/>
    <w:rsid w:val="00EE5243"/>
    <w:rsid w:val="00EE5860"/>
    <w:rsid w:val="00EE5B9B"/>
    <w:rsid w:val="00EE5BF7"/>
    <w:rsid w:val="00EE5ED3"/>
    <w:rsid w:val="00EE5EE4"/>
    <w:rsid w:val="00EE5EEC"/>
    <w:rsid w:val="00EE664C"/>
    <w:rsid w:val="00EE6806"/>
    <w:rsid w:val="00EE69A7"/>
    <w:rsid w:val="00EE69D2"/>
    <w:rsid w:val="00EE6A7C"/>
    <w:rsid w:val="00EE70A8"/>
    <w:rsid w:val="00EE7332"/>
    <w:rsid w:val="00EE7749"/>
    <w:rsid w:val="00EE79D1"/>
    <w:rsid w:val="00EE7C7D"/>
    <w:rsid w:val="00EE7CD2"/>
    <w:rsid w:val="00EE7E85"/>
    <w:rsid w:val="00EF04C2"/>
    <w:rsid w:val="00EF08EC"/>
    <w:rsid w:val="00EF0AC8"/>
    <w:rsid w:val="00EF0BED"/>
    <w:rsid w:val="00EF0DFE"/>
    <w:rsid w:val="00EF0EBA"/>
    <w:rsid w:val="00EF11F1"/>
    <w:rsid w:val="00EF1395"/>
    <w:rsid w:val="00EF1468"/>
    <w:rsid w:val="00EF1688"/>
    <w:rsid w:val="00EF1822"/>
    <w:rsid w:val="00EF1996"/>
    <w:rsid w:val="00EF1B3D"/>
    <w:rsid w:val="00EF1D7F"/>
    <w:rsid w:val="00EF288C"/>
    <w:rsid w:val="00EF2D7F"/>
    <w:rsid w:val="00EF2E0E"/>
    <w:rsid w:val="00EF2E5E"/>
    <w:rsid w:val="00EF2FDF"/>
    <w:rsid w:val="00EF30A8"/>
    <w:rsid w:val="00EF3136"/>
    <w:rsid w:val="00EF3C24"/>
    <w:rsid w:val="00EF3D5F"/>
    <w:rsid w:val="00EF3ECE"/>
    <w:rsid w:val="00EF4412"/>
    <w:rsid w:val="00EF50CD"/>
    <w:rsid w:val="00EF578A"/>
    <w:rsid w:val="00EF5CEB"/>
    <w:rsid w:val="00EF6346"/>
    <w:rsid w:val="00EF65F4"/>
    <w:rsid w:val="00EF677E"/>
    <w:rsid w:val="00EF699D"/>
    <w:rsid w:val="00EF6D92"/>
    <w:rsid w:val="00EF6F2A"/>
    <w:rsid w:val="00EF6FB4"/>
    <w:rsid w:val="00EF7194"/>
    <w:rsid w:val="00EF733E"/>
    <w:rsid w:val="00EF7423"/>
    <w:rsid w:val="00EF7667"/>
    <w:rsid w:val="00EF77D4"/>
    <w:rsid w:val="00EF7FEE"/>
    <w:rsid w:val="00F0036A"/>
    <w:rsid w:val="00F003B1"/>
    <w:rsid w:val="00F006F3"/>
    <w:rsid w:val="00F010B6"/>
    <w:rsid w:val="00F0144B"/>
    <w:rsid w:val="00F0155A"/>
    <w:rsid w:val="00F01696"/>
    <w:rsid w:val="00F0184A"/>
    <w:rsid w:val="00F01A31"/>
    <w:rsid w:val="00F0295E"/>
    <w:rsid w:val="00F02A6F"/>
    <w:rsid w:val="00F02B12"/>
    <w:rsid w:val="00F02C69"/>
    <w:rsid w:val="00F03069"/>
    <w:rsid w:val="00F03312"/>
    <w:rsid w:val="00F03741"/>
    <w:rsid w:val="00F037CD"/>
    <w:rsid w:val="00F03AF2"/>
    <w:rsid w:val="00F03B12"/>
    <w:rsid w:val="00F03ECB"/>
    <w:rsid w:val="00F04089"/>
    <w:rsid w:val="00F046E2"/>
    <w:rsid w:val="00F04844"/>
    <w:rsid w:val="00F0492A"/>
    <w:rsid w:val="00F04933"/>
    <w:rsid w:val="00F04977"/>
    <w:rsid w:val="00F04A24"/>
    <w:rsid w:val="00F04A86"/>
    <w:rsid w:val="00F050E5"/>
    <w:rsid w:val="00F055FA"/>
    <w:rsid w:val="00F05833"/>
    <w:rsid w:val="00F058C9"/>
    <w:rsid w:val="00F05B6C"/>
    <w:rsid w:val="00F062E7"/>
    <w:rsid w:val="00F067A2"/>
    <w:rsid w:val="00F06BAE"/>
    <w:rsid w:val="00F06C5F"/>
    <w:rsid w:val="00F07188"/>
    <w:rsid w:val="00F07194"/>
    <w:rsid w:val="00F074CD"/>
    <w:rsid w:val="00F0786E"/>
    <w:rsid w:val="00F078E7"/>
    <w:rsid w:val="00F07AD8"/>
    <w:rsid w:val="00F07EA1"/>
    <w:rsid w:val="00F1016C"/>
    <w:rsid w:val="00F102F7"/>
    <w:rsid w:val="00F1056E"/>
    <w:rsid w:val="00F107F8"/>
    <w:rsid w:val="00F10E28"/>
    <w:rsid w:val="00F110D5"/>
    <w:rsid w:val="00F1148A"/>
    <w:rsid w:val="00F1149F"/>
    <w:rsid w:val="00F11803"/>
    <w:rsid w:val="00F11870"/>
    <w:rsid w:val="00F11A66"/>
    <w:rsid w:val="00F11C06"/>
    <w:rsid w:val="00F1250E"/>
    <w:rsid w:val="00F1278E"/>
    <w:rsid w:val="00F127EB"/>
    <w:rsid w:val="00F12D1C"/>
    <w:rsid w:val="00F13069"/>
    <w:rsid w:val="00F1325E"/>
    <w:rsid w:val="00F13580"/>
    <w:rsid w:val="00F1367C"/>
    <w:rsid w:val="00F13834"/>
    <w:rsid w:val="00F1387F"/>
    <w:rsid w:val="00F139B8"/>
    <w:rsid w:val="00F13BDF"/>
    <w:rsid w:val="00F13E76"/>
    <w:rsid w:val="00F13F95"/>
    <w:rsid w:val="00F14352"/>
    <w:rsid w:val="00F144D3"/>
    <w:rsid w:val="00F1483E"/>
    <w:rsid w:val="00F14FFE"/>
    <w:rsid w:val="00F15238"/>
    <w:rsid w:val="00F15283"/>
    <w:rsid w:val="00F15390"/>
    <w:rsid w:val="00F1583C"/>
    <w:rsid w:val="00F1588C"/>
    <w:rsid w:val="00F15950"/>
    <w:rsid w:val="00F15B72"/>
    <w:rsid w:val="00F15DB5"/>
    <w:rsid w:val="00F15FA9"/>
    <w:rsid w:val="00F160A4"/>
    <w:rsid w:val="00F1610E"/>
    <w:rsid w:val="00F1632E"/>
    <w:rsid w:val="00F16374"/>
    <w:rsid w:val="00F163A8"/>
    <w:rsid w:val="00F165A9"/>
    <w:rsid w:val="00F16878"/>
    <w:rsid w:val="00F17085"/>
    <w:rsid w:val="00F17280"/>
    <w:rsid w:val="00F175EB"/>
    <w:rsid w:val="00F175EC"/>
    <w:rsid w:val="00F1768F"/>
    <w:rsid w:val="00F176B2"/>
    <w:rsid w:val="00F1773A"/>
    <w:rsid w:val="00F17913"/>
    <w:rsid w:val="00F17D11"/>
    <w:rsid w:val="00F17E8F"/>
    <w:rsid w:val="00F17FBF"/>
    <w:rsid w:val="00F17FCC"/>
    <w:rsid w:val="00F202AB"/>
    <w:rsid w:val="00F205DC"/>
    <w:rsid w:val="00F2065C"/>
    <w:rsid w:val="00F2083E"/>
    <w:rsid w:val="00F20AA0"/>
    <w:rsid w:val="00F20AEE"/>
    <w:rsid w:val="00F20C7F"/>
    <w:rsid w:val="00F20E40"/>
    <w:rsid w:val="00F21342"/>
    <w:rsid w:val="00F213F5"/>
    <w:rsid w:val="00F21481"/>
    <w:rsid w:val="00F2168B"/>
    <w:rsid w:val="00F21A64"/>
    <w:rsid w:val="00F220B0"/>
    <w:rsid w:val="00F22278"/>
    <w:rsid w:val="00F22614"/>
    <w:rsid w:val="00F22942"/>
    <w:rsid w:val="00F22A3D"/>
    <w:rsid w:val="00F22A55"/>
    <w:rsid w:val="00F22AAF"/>
    <w:rsid w:val="00F22B0D"/>
    <w:rsid w:val="00F22BC7"/>
    <w:rsid w:val="00F22CF5"/>
    <w:rsid w:val="00F23108"/>
    <w:rsid w:val="00F23197"/>
    <w:rsid w:val="00F235F4"/>
    <w:rsid w:val="00F2373A"/>
    <w:rsid w:val="00F23B71"/>
    <w:rsid w:val="00F23E9F"/>
    <w:rsid w:val="00F23EBC"/>
    <w:rsid w:val="00F24434"/>
    <w:rsid w:val="00F245C1"/>
    <w:rsid w:val="00F246E3"/>
    <w:rsid w:val="00F24837"/>
    <w:rsid w:val="00F24953"/>
    <w:rsid w:val="00F25088"/>
    <w:rsid w:val="00F254BF"/>
    <w:rsid w:val="00F2572D"/>
    <w:rsid w:val="00F2575F"/>
    <w:rsid w:val="00F257ED"/>
    <w:rsid w:val="00F25C4E"/>
    <w:rsid w:val="00F2640E"/>
    <w:rsid w:val="00F26A2E"/>
    <w:rsid w:val="00F26CB8"/>
    <w:rsid w:val="00F27244"/>
    <w:rsid w:val="00F276BA"/>
    <w:rsid w:val="00F277E9"/>
    <w:rsid w:val="00F27B70"/>
    <w:rsid w:val="00F27CEA"/>
    <w:rsid w:val="00F300DB"/>
    <w:rsid w:val="00F3099F"/>
    <w:rsid w:val="00F30B69"/>
    <w:rsid w:val="00F30D91"/>
    <w:rsid w:val="00F310B0"/>
    <w:rsid w:val="00F312FF"/>
    <w:rsid w:val="00F315F3"/>
    <w:rsid w:val="00F3182B"/>
    <w:rsid w:val="00F31842"/>
    <w:rsid w:val="00F319F1"/>
    <w:rsid w:val="00F31DE4"/>
    <w:rsid w:val="00F3237C"/>
    <w:rsid w:val="00F32518"/>
    <w:rsid w:val="00F3286F"/>
    <w:rsid w:val="00F329BE"/>
    <w:rsid w:val="00F32FE2"/>
    <w:rsid w:val="00F332AC"/>
    <w:rsid w:val="00F332E7"/>
    <w:rsid w:val="00F33746"/>
    <w:rsid w:val="00F338FF"/>
    <w:rsid w:val="00F33DE9"/>
    <w:rsid w:val="00F34774"/>
    <w:rsid w:val="00F3484F"/>
    <w:rsid w:val="00F34AA2"/>
    <w:rsid w:val="00F34CA6"/>
    <w:rsid w:val="00F34ED2"/>
    <w:rsid w:val="00F35087"/>
    <w:rsid w:val="00F35143"/>
    <w:rsid w:val="00F3581C"/>
    <w:rsid w:val="00F3589B"/>
    <w:rsid w:val="00F35CF7"/>
    <w:rsid w:val="00F36173"/>
    <w:rsid w:val="00F3619A"/>
    <w:rsid w:val="00F36369"/>
    <w:rsid w:val="00F363D3"/>
    <w:rsid w:val="00F36980"/>
    <w:rsid w:val="00F36C1C"/>
    <w:rsid w:val="00F36C9D"/>
    <w:rsid w:val="00F36D0A"/>
    <w:rsid w:val="00F371CE"/>
    <w:rsid w:val="00F37395"/>
    <w:rsid w:val="00F37580"/>
    <w:rsid w:val="00F3793A"/>
    <w:rsid w:val="00F37B64"/>
    <w:rsid w:val="00F37C3A"/>
    <w:rsid w:val="00F40172"/>
    <w:rsid w:val="00F40189"/>
    <w:rsid w:val="00F4055A"/>
    <w:rsid w:val="00F4063A"/>
    <w:rsid w:val="00F4087C"/>
    <w:rsid w:val="00F410C2"/>
    <w:rsid w:val="00F411F8"/>
    <w:rsid w:val="00F412B8"/>
    <w:rsid w:val="00F415E3"/>
    <w:rsid w:val="00F42B51"/>
    <w:rsid w:val="00F42C00"/>
    <w:rsid w:val="00F42FD9"/>
    <w:rsid w:val="00F42FEC"/>
    <w:rsid w:val="00F431E1"/>
    <w:rsid w:val="00F433AB"/>
    <w:rsid w:val="00F4365D"/>
    <w:rsid w:val="00F43669"/>
    <w:rsid w:val="00F43AF8"/>
    <w:rsid w:val="00F43CA6"/>
    <w:rsid w:val="00F43E94"/>
    <w:rsid w:val="00F43FD5"/>
    <w:rsid w:val="00F43FE8"/>
    <w:rsid w:val="00F44097"/>
    <w:rsid w:val="00F4429C"/>
    <w:rsid w:val="00F44D04"/>
    <w:rsid w:val="00F44D59"/>
    <w:rsid w:val="00F44DA2"/>
    <w:rsid w:val="00F45007"/>
    <w:rsid w:val="00F45143"/>
    <w:rsid w:val="00F4522E"/>
    <w:rsid w:val="00F456F8"/>
    <w:rsid w:val="00F45837"/>
    <w:rsid w:val="00F464D0"/>
    <w:rsid w:val="00F4680B"/>
    <w:rsid w:val="00F46CB6"/>
    <w:rsid w:val="00F46E4D"/>
    <w:rsid w:val="00F470A1"/>
    <w:rsid w:val="00F47545"/>
    <w:rsid w:val="00F475DB"/>
    <w:rsid w:val="00F47A7B"/>
    <w:rsid w:val="00F47ADC"/>
    <w:rsid w:val="00F47C05"/>
    <w:rsid w:val="00F50A8A"/>
    <w:rsid w:val="00F50AC2"/>
    <w:rsid w:val="00F50BA7"/>
    <w:rsid w:val="00F50E0B"/>
    <w:rsid w:val="00F512DC"/>
    <w:rsid w:val="00F5162C"/>
    <w:rsid w:val="00F51BE1"/>
    <w:rsid w:val="00F51D75"/>
    <w:rsid w:val="00F51EF2"/>
    <w:rsid w:val="00F51F76"/>
    <w:rsid w:val="00F523BE"/>
    <w:rsid w:val="00F526A1"/>
    <w:rsid w:val="00F5350D"/>
    <w:rsid w:val="00F53598"/>
    <w:rsid w:val="00F535C1"/>
    <w:rsid w:val="00F539B3"/>
    <w:rsid w:val="00F54386"/>
    <w:rsid w:val="00F5438F"/>
    <w:rsid w:val="00F54679"/>
    <w:rsid w:val="00F55069"/>
    <w:rsid w:val="00F55B48"/>
    <w:rsid w:val="00F55DE2"/>
    <w:rsid w:val="00F55E41"/>
    <w:rsid w:val="00F55E73"/>
    <w:rsid w:val="00F561E2"/>
    <w:rsid w:val="00F563A6"/>
    <w:rsid w:val="00F56B79"/>
    <w:rsid w:val="00F56DDF"/>
    <w:rsid w:val="00F5700C"/>
    <w:rsid w:val="00F5751D"/>
    <w:rsid w:val="00F57964"/>
    <w:rsid w:val="00F579E7"/>
    <w:rsid w:val="00F609B4"/>
    <w:rsid w:val="00F60B5D"/>
    <w:rsid w:val="00F60EE3"/>
    <w:rsid w:val="00F6128E"/>
    <w:rsid w:val="00F61458"/>
    <w:rsid w:val="00F6179D"/>
    <w:rsid w:val="00F6179E"/>
    <w:rsid w:val="00F61935"/>
    <w:rsid w:val="00F619CC"/>
    <w:rsid w:val="00F623F8"/>
    <w:rsid w:val="00F626A5"/>
    <w:rsid w:val="00F626DE"/>
    <w:rsid w:val="00F62991"/>
    <w:rsid w:val="00F630BC"/>
    <w:rsid w:val="00F63134"/>
    <w:rsid w:val="00F63262"/>
    <w:rsid w:val="00F635A8"/>
    <w:rsid w:val="00F63961"/>
    <w:rsid w:val="00F64034"/>
    <w:rsid w:val="00F645B8"/>
    <w:rsid w:val="00F64D33"/>
    <w:rsid w:val="00F64DF8"/>
    <w:rsid w:val="00F650BB"/>
    <w:rsid w:val="00F652DE"/>
    <w:rsid w:val="00F6537A"/>
    <w:rsid w:val="00F65599"/>
    <w:rsid w:val="00F65A6B"/>
    <w:rsid w:val="00F65BB3"/>
    <w:rsid w:val="00F65C07"/>
    <w:rsid w:val="00F65CD2"/>
    <w:rsid w:val="00F65D6B"/>
    <w:rsid w:val="00F65E33"/>
    <w:rsid w:val="00F66116"/>
    <w:rsid w:val="00F66124"/>
    <w:rsid w:val="00F66277"/>
    <w:rsid w:val="00F66479"/>
    <w:rsid w:val="00F66562"/>
    <w:rsid w:val="00F66BFD"/>
    <w:rsid w:val="00F66E15"/>
    <w:rsid w:val="00F67059"/>
    <w:rsid w:val="00F67162"/>
    <w:rsid w:val="00F67C85"/>
    <w:rsid w:val="00F67CBC"/>
    <w:rsid w:val="00F67FA6"/>
    <w:rsid w:val="00F70345"/>
    <w:rsid w:val="00F70B65"/>
    <w:rsid w:val="00F71167"/>
    <w:rsid w:val="00F7134E"/>
    <w:rsid w:val="00F71684"/>
    <w:rsid w:val="00F716DC"/>
    <w:rsid w:val="00F71796"/>
    <w:rsid w:val="00F71FA8"/>
    <w:rsid w:val="00F72062"/>
    <w:rsid w:val="00F721A1"/>
    <w:rsid w:val="00F721B1"/>
    <w:rsid w:val="00F723E2"/>
    <w:rsid w:val="00F72726"/>
    <w:rsid w:val="00F72793"/>
    <w:rsid w:val="00F733C2"/>
    <w:rsid w:val="00F73475"/>
    <w:rsid w:val="00F7399D"/>
    <w:rsid w:val="00F7445A"/>
    <w:rsid w:val="00F745DD"/>
    <w:rsid w:val="00F74784"/>
    <w:rsid w:val="00F7480B"/>
    <w:rsid w:val="00F752E9"/>
    <w:rsid w:val="00F75339"/>
    <w:rsid w:val="00F7533E"/>
    <w:rsid w:val="00F75466"/>
    <w:rsid w:val="00F75B14"/>
    <w:rsid w:val="00F761CF"/>
    <w:rsid w:val="00F76398"/>
    <w:rsid w:val="00F76769"/>
    <w:rsid w:val="00F76A6E"/>
    <w:rsid w:val="00F76C10"/>
    <w:rsid w:val="00F76C37"/>
    <w:rsid w:val="00F76CC5"/>
    <w:rsid w:val="00F77008"/>
    <w:rsid w:val="00F77145"/>
    <w:rsid w:val="00F771CF"/>
    <w:rsid w:val="00F772B4"/>
    <w:rsid w:val="00F7793E"/>
    <w:rsid w:val="00F77A42"/>
    <w:rsid w:val="00F805AA"/>
    <w:rsid w:val="00F80687"/>
    <w:rsid w:val="00F80DE5"/>
    <w:rsid w:val="00F80E5D"/>
    <w:rsid w:val="00F80EEA"/>
    <w:rsid w:val="00F81035"/>
    <w:rsid w:val="00F81315"/>
    <w:rsid w:val="00F8154A"/>
    <w:rsid w:val="00F81943"/>
    <w:rsid w:val="00F81DC5"/>
    <w:rsid w:val="00F8231D"/>
    <w:rsid w:val="00F825C5"/>
    <w:rsid w:val="00F8292C"/>
    <w:rsid w:val="00F82DC7"/>
    <w:rsid w:val="00F83041"/>
    <w:rsid w:val="00F83205"/>
    <w:rsid w:val="00F83316"/>
    <w:rsid w:val="00F8374F"/>
    <w:rsid w:val="00F83993"/>
    <w:rsid w:val="00F839AF"/>
    <w:rsid w:val="00F83C8A"/>
    <w:rsid w:val="00F83E4B"/>
    <w:rsid w:val="00F83FF7"/>
    <w:rsid w:val="00F84024"/>
    <w:rsid w:val="00F8442D"/>
    <w:rsid w:val="00F847D5"/>
    <w:rsid w:val="00F84A63"/>
    <w:rsid w:val="00F84AF0"/>
    <w:rsid w:val="00F84CC1"/>
    <w:rsid w:val="00F84D6D"/>
    <w:rsid w:val="00F84FCF"/>
    <w:rsid w:val="00F85010"/>
    <w:rsid w:val="00F851CE"/>
    <w:rsid w:val="00F85431"/>
    <w:rsid w:val="00F85A75"/>
    <w:rsid w:val="00F85A9D"/>
    <w:rsid w:val="00F85C5D"/>
    <w:rsid w:val="00F8602C"/>
    <w:rsid w:val="00F86326"/>
    <w:rsid w:val="00F8650B"/>
    <w:rsid w:val="00F86623"/>
    <w:rsid w:val="00F8694D"/>
    <w:rsid w:val="00F86AE8"/>
    <w:rsid w:val="00F870D4"/>
    <w:rsid w:val="00F8718A"/>
    <w:rsid w:val="00F87481"/>
    <w:rsid w:val="00F875B8"/>
    <w:rsid w:val="00F87997"/>
    <w:rsid w:val="00F87CB5"/>
    <w:rsid w:val="00F87DEF"/>
    <w:rsid w:val="00F9015D"/>
    <w:rsid w:val="00F902CB"/>
    <w:rsid w:val="00F9085B"/>
    <w:rsid w:val="00F90EF7"/>
    <w:rsid w:val="00F910E2"/>
    <w:rsid w:val="00F918C7"/>
    <w:rsid w:val="00F91C67"/>
    <w:rsid w:val="00F91E71"/>
    <w:rsid w:val="00F927F0"/>
    <w:rsid w:val="00F9287F"/>
    <w:rsid w:val="00F92AFD"/>
    <w:rsid w:val="00F92BA3"/>
    <w:rsid w:val="00F92F8B"/>
    <w:rsid w:val="00F9328C"/>
    <w:rsid w:val="00F93603"/>
    <w:rsid w:val="00F93782"/>
    <w:rsid w:val="00F93BB3"/>
    <w:rsid w:val="00F93D02"/>
    <w:rsid w:val="00F93EFD"/>
    <w:rsid w:val="00F93FD9"/>
    <w:rsid w:val="00F942FE"/>
    <w:rsid w:val="00F948D2"/>
    <w:rsid w:val="00F94E54"/>
    <w:rsid w:val="00F951FF"/>
    <w:rsid w:val="00F953B7"/>
    <w:rsid w:val="00F9571D"/>
    <w:rsid w:val="00F959B9"/>
    <w:rsid w:val="00F959FE"/>
    <w:rsid w:val="00F95AF3"/>
    <w:rsid w:val="00F95CA2"/>
    <w:rsid w:val="00F95EB5"/>
    <w:rsid w:val="00F95EC4"/>
    <w:rsid w:val="00F961A2"/>
    <w:rsid w:val="00F96D98"/>
    <w:rsid w:val="00F9709F"/>
    <w:rsid w:val="00F974D5"/>
    <w:rsid w:val="00F974DE"/>
    <w:rsid w:val="00F975E7"/>
    <w:rsid w:val="00F977E6"/>
    <w:rsid w:val="00F97A78"/>
    <w:rsid w:val="00F97E96"/>
    <w:rsid w:val="00FA016F"/>
    <w:rsid w:val="00FA05DD"/>
    <w:rsid w:val="00FA0D84"/>
    <w:rsid w:val="00FA0DB3"/>
    <w:rsid w:val="00FA107A"/>
    <w:rsid w:val="00FA11E7"/>
    <w:rsid w:val="00FA12BE"/>
    <w:rsid w:val="00FA12DF"/>
    <w:rsid w:val="00FA14CD"/>
    <w:rsid w:val="00FA17B7"/>
    <w:rsid w:val="00FA1A78"/>
    <w:rsid w:val="00FA1C9D"/>
    <w:rsid w:val="00FA1EB6"/>
    <w:rsid w:val="00FA22C8"/>
    <w:rsid w:val="00FA2355"/>
    <w:rsid w:val="00FA2435"/>
    <w:rsid w:val="00FA24C9"/>
    <w:rsid w:val="00FA2637"/>
    <w:rsid w:val="00FA27B2"/>
    <w:rsid w:val="00FA27CE"/>
    <w:rsid w:val="00FA29FD"/>
    <w:rsid w:val="00FA2B44"/>
    <w:rsid w:val="00FA2B7B"/>
    <w:rsid w:val="00FA2E4F"/>
    <w:rsid w:val="00FA33BE"/>
    <w:rsid w:val="00FA3973"/>
    <w:rsid w:val="00FA3AE1"/>
    <w:rsid w:val="00FA3BED"/>
    <w:rsid w:val="00FA3CE1"/>
    <w:rsid w:val="00FA3DEF"/>
    <w:rsid w:val="00FA40D7"/>
    <w:rsid w:val="00FA430A"/>
    <w:rsid w:val="00FA43A1"/>
    <w:rsid w:val="00FA4464"/>
    <w:rsid w:val="00FA47FE"/>
    <w:rsid w:val="00FA526B"/>
    <w:rsid w:val="00FA56DC"/>
    <w:rsid w:val="00FA5AF7"/>
    <w:rsid w:val="00FA5B2E"/>
    <w:rsid w:val="00FA5BCB"/>
    <w:rsid w:val="00FA6108"/>
    <w:rsid w:val="00FA66AA"/>
    <w:rsid w:val="00FA6805"/>
    <w:rsid w:val="00FA682E"/>
    <w:rsid w:val="00FA7680"/>
    <w:rsid w:val="00FA76B8"/>
    <w:rsid w:val="00FA77D4"/>
    <w:rsid w:val="00FA7946"/>
    <w:rsid w:val="00FA7ABB"/>
    <w:rsid w:val="00FA7B2E"/>
    <w:rsid w:val="00FA7D89"/>
    <w:rsid w:val="00FB07D8"/>
    <w:rsid w:val="00FB0832"/>
    <w:rsid w:val="00FB0994"/>
    <w:rsid w:val="00FB0BC2"/>
    <w:rsid w:val="00FB1942"/>
    <w:rsid w:val="00FB1A97"/>
    <w:rsid w:val="00FB1B79"/>
    <w:rsid w:val="00FB27AA"/>
    <w:rsid w:val="00FB2FBE"/>
    <w:rsid w:val="00FB2FCB"/>
    <w:rsid w:val="00FB3190"/>
    <w:rsid w:val="00FB335A"/>
    <w:rsid w:val="00FB33B1"/>
    <w:rsid w:val="00FB3BB6"/>
    <w:rsid w:val="00FB3D32"/>
    <w:rsid w:val="00FB4545"/>
    <w:rsid w:val="00FB4674"/>
    <w:rsid w:val="00FB4765"/>
    <w:rsid w:val="00FB4847"/>
    <w:rsid w:val="00FB4849"/>
    <w:rsid w:val="00FB496A"/>
    <w:rsid w:val="00FB4D91"/>
    <w:rsid w:val="00FB51BC"/>
    <w:rsid w:val="00FB526B"/>
    <w:rsid w:val="00FB558C"/>
    <w:rsid w:val="00FB5AF2"/>
    <w:rsid w:val="00FB5D2B"/>
    <w:rsid w:val="00FB5F54"/>
    <w:rsid w:val="00FB6A9A"/>
    <w:rsid w:val="00FB706A"/>
    <w:rsid w:val="00FB7361"/>
    <w:rsid w:val="00FB73C7"/>
    <w:rsid w:val="00FB7A0C"/>
    <w:rsid w:val="00FB7C69"/>
    <w:rsid w:val="00FC00C2"/>
    <w:rsid w:val="00FC0200"/>
    <w:rsid w:val="00FC042A"/>
    <w:rsid w:val="00FC043A"/>
    <w:rsid w:val="00FC04C0"/>
    <w:rsid w:val="00FC0509"/>
    <w:rsid w:val="00FC0750"/>
    <w:rsid w:val="00FC0D01"/>
    <w:rsid w:val="00FC0E02"/>
    <w:rsid w:val="00FC0E32"/>
    <w:rsid w:val="00FC1074"/>
    <w:rsid w:val="00FC15D9"/>
    <w:rsid w:val="00FC17A0"/>
    <w:rsid w:val="00FC1884"/>
    <w:rsid w:val="00FC1D18"/>
    <w:rsid w:val="00FC1E13"/>
    <w:rsid w:val="00FC2013"/>
    <w:rsid w:val="00FC2115"/>
    <w:rsid w:val="00FC243A"/>
    <w:rsid w:val="00FC28D3"/>
    <w:rsid w:val="00FC28EC"/>
    <w:rsid w:val="00FC2DB6"/>
    <w:rsid w:val="00FC37AE"/>
    <w:rsid w:val="00FC3804"/>
    <w:rsid w:val="00FC3BC7"/>
    <w:rsid w:val="00FC3E19"/>
    <w:rsid w:val="00FC451D"/>
    <w:rsid w:val="00FC4526"/>
    <w:rsid w:val="00FC4536"/>
    <w:rsid w:val="00FC5CFA"/>
    <w:rsid w:val="00FC60B8"/>
    <w:rsid w:val="00FC657D"/>
    <w:rsid w:val="00FC6605"/>
    <w:rsid w:val="00FC6985"/>
    <w:rsid w:val="00FC6A45"/>
    <w:rsid w:val="00FC7134"/>
    <w:rsid w:val="00FC714D"/>
    <w:rsid w:val="00FC7251"/>
    <w:rsid w:val="00FC72A1"/>
    <w:rsid w:val="00FC738F"/>
    <w:rsid w:val="00FC74A6"/>
    <w:rsid w:val="00FC76B3"/>
    <w:rsid w:val="00FC79DC"/>
    <w:rsid w:val="00FC7A82"/>
    <w:rsid w:val="00FC7B55"/>
    <w:rsid w:val="00FC7D47"/>
    <w:rsid w:val="00FC7DDA"/>
    <w:rsid w:val="00FC7EA5"/>
    <w:rsid w:val="00FD0056"/>
    <w:rsid w:val="00FD0393"/>
    <w:rsid w:val="00FD05C0"/>
    <w:rsid w:val="00FD092C"/>
    <w:rsid w:val="00FD092E"/>
    <w:rsid w:val="00FD0C80"/>
    <w:rsid w:val="00FD0F82"/>
    <w:rsid w:val="00FD0FED"/>
    <w:rsid w:val="00FD1232"/>
    <w:rsid w:val="00FD1C8A"/>
    <w:rsid w:val="00FD1E92"/>
    <w:rsid w:val="00FD1FDF"/>
    <w:rsid w:val="00FD203D"/>
    <w:rsid w:val="00FD2100"/>
    <w:rsid w:val="00FD2447"/>
    <w:rsid w:val="00FD2985"/>
    <w:rsid w:val="00FD2ACB"/>
    <w:rsid w:val="00FD2EBE"/>
    <w:rsid w:val="00FD318E"/>
    <w:rsid w:val="00FD32E1"/>
    <w:rsid w:val="00FD3820"/>
    <w:rsid w:val="00FD3961"/>
    <w:rsid w:val="00FD3F24"/>
    <w:rsid w:val="00FD3FD7"/>
    <w:rsid w:val="00FD3FF2"/>
    <w:rsid w:val="00FD4110"/>
    <w:rsid w:val="00FD446D"/>
    <w:rsid w:val="00FD4702"/>
    <w:rsid w:val="00FD49F4"/>
    <w:rsid w:val="00FD4D4C"/>
    <w:rsid w:val="00FD4F2C"/>
    <w:rsid w:val="00FD509E"/>
    <w:rsid w:val="00FD5121"/>
    <w:rsid w:val="00FD5A92"/>
    <w:rsid w:val="00FD5C3C"/>
    <w:rsid w:val="00FD5D9E"/>
    <w:rsid w:val="00FD6641"/>
    <w:rsid w:val="00FD6E13"/>
    <w:rsid w:val="00FD6EA9"/>
    <w:rsid w:val="00FD6EEC"/>
    <w:rsid w:val="00FD7210"/>
    <w:rsid w:val="00FD7504"/>
    <w:rsid w:val="00FD75D0"/>
    <w:rsid w:val="00FD77EB"/>
    <w:rsid w:val="00FD7BF2"/>
    <w:rsid w:val="00FD7EC7"/>
    <w:rsid w:val="00FD7F2B"/>
    <w:rsid w:val="00FD7F4F"/>
    <w:rsid w:val="00FE014E"/>
    <w:rsid w:val="00FE0322"/>
    <w:rsid w:val="00FE1147"/>
    <w:rsid w:val="00FE1271"/>
    <w:rsid w:val="00FE1A8E"/>
    <w:rsid w:val="00FE1FDF"/>
    <w:rsid w:val="00FE24E6"/>
    <w:rsid w:val="00FE2563"/>
    <w:rsid w:val="00FE25CA"/>
    <w:rsid w:val="00FE2814"/>
    <w:rsid w:val="00FE2A9F"/>
    <w:rsid w:val="00FE2D71"/>
    <w:rsid w:val="00FE3198"/>
    <w:rsid w:val="00FE39C6"/>
    <w:rsid w:val="00FE4725"/>
    <w:rsid w:val="00FE473D"/>
    <w:rsid w:val="00FE4E21"/>
    <w:rsid w:val="00FE4F77"/>
    <w:rsid w:val="00FE50A7"/>
    <w:rsid w:val="00FE556E"/>
    <w:rsid w:val="00FE5E48"/>
    <w:rsid w:val="00FE5EB2"/>
    <w:rsid w:val="00FE6189"/>
    <w:rsid w:val="00FE6BBF"/>
    <w:rsid w:val="00FE6FEB"/>
    <w:rsid w:val="00FE70B2"/>
    <w:rsid w:val="00FE72F4"/>
    <w:rsid w:val="00FE73D9"/>
    <w:rsid w:val="00FE789E"/>
    <w:rsid w:val="00FE79A3"/>
    <w:rsid w:val="00FE7C0E"/>
    <w:rsid w:val="00FE7C1A"/>
    <w:rsid w:val="00FF0248"/>
    <w:rsid w:val="00FF05C9"/>
    <w:rsid w:val="00FF085F"/>
    <w:rsid w:val="00FF09DD"/>
    <w:rsid w:val="00FF0BA7"/>
    <w:rsid w:val="00FF0C9A"/>
    <w:rsid w:val="00FF100E"/>
    <w:rsid w:val="00FF13A4"/>
    <w:rsid w:val="00FF13D5"/>
    <w:rsid w:val="00FF1668"/>
    <w:rsid w:val="00FF1A9B"/>
    <w:rsid w:val="00FF1C24"/>
    <w:rsid w:val="00FF1E53"/>
    <w:rsid w:val="00FF2496"/>
    <w:rsid w:val="00FF28BD"/>
    <w:rsid w:val="00FF28D5"/>
    <w:rsid w:val="00FF2C53"/>
    <w:rsid w:val="00FF2DD7"/>
    <w:rsid w:val="00FF2E3F"/>
    <w:rsid w:val="00FF30B7"/>
    <w:rsid w:val="00FF36D7"/>
    <w:rsid w:val="00FF36ED"/>
    <w:rsid w:val="00FF3814"/>
    <w:rsid w:val="00FF3A92"/>
    <w:rsid w:val="00FF3DCF"/>
    <w:rsid w:val="00FF3E0F"/>
    <w:rsid w:val="00FF4201"/>
    <w:rsid w:val="00FF4240"/>
    <w:rsid w:val="00FF439D"/>
    <w:rsid w:val="00FF4404"/>
    <w:rsid w:val="00FF4619"/>
    <w:rsid w:val="00FF4A64"/>
    <w:rsid w:val="00FF4FC7"/>
    <w:rsid w:val="00FF501E"/>
    <w:rsid w:val="00FF5688"/>
    <w:rsid w:val="00FF5A2D"/>
    <w:rsid w:val="00FF5AA3"/>
    <w:rsid w:val="00FF5BF0"/>
    <w:rsid w:val="00FF5FED"/>
    <w:rsid w:val="00FF614E"/>
    <w:rsid w:val="00FF61EC"/>
    <w:rsid w:val="00FF62FB"/>
    <w:rsid w:val="00FF63F9"/>
    <w:rsid w:val="00FF6585"/>
    <w:rsid w:val="00FF66EF"/>
    <w:rsid w:val="00FF6C5A"/>
    <w:rsid w:val="00FF6F8C"/>
    <w:rsid w:val="00FF70E4"/>
    <w:rsid w:val="00FF71C5"/>
    <w:rsid w:val="00FF7808"/>
    <w:rsid w:val="00FF7CB0"/>
    <w:rsid w:val="00FF7F1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97969"/>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B13724"/>
    <w:pPr>
      <w:keepNext/>
      <w:widowControl/>
      <w:outlineLvl w:val="1"/>
    </w:pPr>
    <w:rPr>
      <w:b/>
      <w:i/>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B13724"/>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Char1"/>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Char1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
    <w:basedOn w:val="TableNormal"/>
    <w:uiPriority w:val="9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D53534"/>
    <w:pPr>
      <w:numPr>
        <w:numId w:val="2"/>
      </w:numPr>
      <w:outlineLvl w:val="0"/>
    </w:pPr>
    <w:rPr>
      <w:rFonts w:ascii="Arial" w:hAnsi="Arial" w:cs="Arial"/>
      <w:snapToGrid w:val="0"/>
      <w:sz w:val="22"/>
      <w:szCs w:val="22"/>
      <w:lang w:eastAsia="en-US"/>
    </w:rPr>
  </w:style>
  <w:style w:type="paragraph" w:customStyle="1" w:styleId="Default">
    <w:name w:val="Default"/>
    <w:rsid w:val="00101A04"/>
    <w:pPr>
      <w:autoSpaceDE w:val="0"/>
      <w:autoSpaceDN w:val="0"/>
      <w:adjustRightInd w:val="0"/>
    </w:pPr>
    <w:rPr>
      <w:color w:val="000000"/>
      <w:sz w:val="24"/>
      <w:szCs w:val="24"/>
      <w:lang w:val="en-US" w:eastAsia="en-US"/>
    </w:rPr>
  </w:style>
  <w:style w:type="character" w:customStyle="1" w:styleId="apple-converted-space">
    <w:name w:val="apple-converted-space"/>
    <w:basedOn w:val="DefaultParagraphFont"/>
    <w:rsid w:val="00D6048E"/>
  </w:style>
  <w:style w:type="character" w:styleId="Emphasis">
    <w:name w:val="Emphasis"/>
    <w:basedOn w:val="DefaultParagraphFont"/>
    <w:uiPriority w:val="20"/>
    <w:qFormat/>
    <w:rsid w:val="00D6048E"/>
    <w:rPr>
      <w:i/>
      <w:iCs/>
    </w:rPr>
  </w:style>
  <w:style w:type="paragraph" w:styleId="DocumentMap">
    <w:name w:val="Document Map"/>
    <w:basedOn w:val="Normal"/>
    <w:link w:val="DocumentMapChar"/>
    <w:semiHidden/>
    <w:unhideWhenUsed/>
    <w:rsid w:val="00750A5D"/>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750A5D"/>
    <w:rPr>
      <w:snapToGrid w:val="0"/>
      <w:sz w:val="24"/>
      <w:szCs w:val="24"/>
      <w:lang w:eastAsia="en-US"/>
    </w:rPr>
  </w:style>
  <w:style w:type="paragraph" w:customStyle="1" w:styleId="TableText1">
    <w:name w:val="Table Text"/>
    <w:link w:val="TableTextChar0"/>
    <w:uiPriority w:val="99"/>
    <w:qFormat/>
    <w:rsid w:val="008D1D00"/>
    <w:pPr>
      <w:keepNext/>
      <w:keepLines/>
      <w:tabs>
        <w:tab w:val="left" w:pos="416"/>
        <w:tab w:val="left" w:pos="582"/>
      </w:tabs>
      <w:spacing w:before="40" w:after="40"/>
    </w:pPr>
    <w:rPr>
      <w:rFonts w:ascii="Arial" w:eastAsiaTheme="minorEastAsia" w:hAnsi="Arial"/>
      <w:noProof/>
      <w:sz w:val="18"/>
      <w:szCs w:val="18"/>
      <w:lang w:eastAsia="en-US"/>
    </w:rPr>
  </w:style>
  <w:style w:type="character" w:customStyle="1" w:styleId="TableTextChar0">
    <w:name w:val="Table Text Char"/>
    <w:link w:val="TableText1"/>
    <w:uiPriority w:val="99"/>
    <w:rsid w:val="008D1D00"/>
    <w:rPr>
      <w:rFonts w:ascii="Arial" w:eastAsiaTheme="minorEastAsia" w:hAnsi="Arial"/>
      <w:noProof/>
      <w:sz w:val="18"/>
      <w:szCs w:val="18"/>
      <w:lang w:eastAsia="en-US"/>
    </w:rPr>
  </w:style>
  <w:style w:type="paragraph" w:customStyle="1" w:styleId="TableNotes">
    <w:name w:val="Table Notes"/>
    <w:basedOn w:val="Normal"/>
    <w:next w:val="Normal"/>
    <w:uiPriority w:val="99"/>
    <w:qFormat/>
    <w:rsid w:val="001B0A4F"/>
    <w:pPr>
      <w:keepNext/>
      <w:keepLines/>
      <w:widowControl/>
      <w:spacing w:after="360"/>
      <w:contextualSpacing/>
      <w:jc w:val="left"/>
    </w:pPr>
    <w:rPr>
      <w:rFonts w:cs="Times New Roman"/>
      <w:snapToGrid/>
      <w:sz w:val="16"/>
      <w:szCs w:val="24"/>
      <w:lang w:eastAsia="en-AU"/>
    </w:rPr>
  </w:style>
  <w:style w:type="character" w:styleId="FootnoteReference">
    <w:name w:val="footnote reference"/>
    <w:rsid w:val="009E480C"/>
    <w:rPr>
      <w:vertAlign w:val="superscript"/>
    </w:rPr>
  </w:style>
  <w:style w:type="paragraph" w:customStyle="1" w:styleId="TableHeading0">
    <w:name w:val="Table Heading"/>
    <w:basedOn w:val="Normal"/>
    <w:rsid w:val="009E480C"/>
    <w:pPr>
      <w:widowControl/>
      <w:spacing w:before="80" w:after="80"/>
      <w:jc w:val="center"/>
    </w:pPr>
    <w:rPr>
      <w:rFonts w:cs="Times New Roman"/>
      <w:b/>
      <w:snapToGrid/>
      <w:sz w:val="20"/>
      <w:szCs w:val="22"/>
      <w:lang w:eastAsia="en-AU"/>
    </w:rPr>
  </w:style>
  <w:style w:type="paragraph" w:customStyle="1" w:styleId="TableName0">
    <w:name w:val="Table Name"/>
    <w:basedOn w:val="Normal"/>
    <w:link w:val="TableNameChar"/>
    <w:rsid w:val="009E480C"/>
    <w:pPr>
      <w:widowControl/>
      <w:spacing w:after="120"/>
      <w:ind w:left="1134" w:hanging="1134"/>
      <w:jc w:val="left"/>
    </w:pPr>
    <w:rPr>
      <w:rFonts w:cs="Times New Roman"/>
      <w:b/>
      <w:snapToGrid/>
      <w:sz w:val="20"/>
      <w:szCs w:val="24"/>
      <w:lang w:eastAsia="en-AU"/>
    </w:rPr>
  </w:style>
  <w:style w:type="character" w:customStyle="1" w:styleId="TableNameChar">
    <w:name w:val="Table Name Char"/>
    <w:link w:val="TableName0"/>
    <w:rsid w:val="009E480C"/>
    <w:rPr>
      <w:rFonts w:ascii="Arial" w:hAnsi="Arial"/>
      <w:b/>
      <w:szCs w:val="24"/>
    </w:rPr>
  </w:style>
  <w:style w:type="character" w:customStyle="1" w:styleId="ListParagraphChar">
    <w:name w:val="List Paragraph Char"/>
    <w:aliases w:val="BulletPoints Char"/>
    <w:link w:val="ListParagraph"/>
    <w:uiPriority w:val="72"/>
    <w:rsid w:val="008B4AF8"/>
    <w:rPr>
      <w:rFonts w:ascii="Arial" w:hAnsi="Arial" w:cs="Arial"/>
      <w:snapToGrid w:val="0"/>
      <w:sz w:val="22"/>
      <w:lang w:eastAsia="en-US"/>
    </w:rPr>
  </w:style>
  <w:style w:type="table" w:customStyle="1" w:styleId="TableGrid3">
    <w:name w:val="Table Grid3"/>
    <w:basedOn w:val="TableNormal"/>
    <w:next w:val="TableGrid"/>
    <w:uiPriority w:val="59"/>
    <w:locked/>
    <w:rsid w:val="002B310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4"/>
    <w:link w:val="TabletitleChar"/>
    <w:qFormat/>
    <w:rsid w:val="00D9243F"/>
    <w:pPr>
      <w:keepNext w:val="0"/>
      <w:widowControl/>
      <w:spacing w:after="20"/>
      <w:jc w:val="left"/>
    </w:pPr>
    <w:rPr>
      <w:rFonts w:asciiTheme="minorHAnsi" w:eastAsiaTheme="minorEastAsia" w:hAnsiTheme="minorHAnsi" w:cstheme="minorBidi"/>
      <w:bCs w:val="0"/>
      <w:i w:val="0"/>
      <w:snapToGrid/>
      <w:sz w:val="24"/>
      <w:szCs w:val="24"/>
      <w:lang w:eastAsia="en-AU"/>
    </w:rPr>
  </w:style>
  <w:style w:type="character" w:customStyle="1" w:styleId="TabletitleChar">
    <w:name w:val="Table title Char"/>
    <w:basedOn w:val="DefaultParagraphFont"/>
    <w:link w:val="Tabletitle"/>
    <w:rsid w:val="00D9243F"/>
    <w:rPr>
      <w:rFonts w:asciiTheme="minorHAnsi" w:eastAsiaTheme="minorEastAsia" w:hAnsiTheme="minorHAnsi" w:cstheme="minorBidi"/>
      <w:b/>
      <w:sz w:val="24"/>
      <w:szCs w:val="24"/>
    </w:rPr>
  </w:style>
  <w:style w:type="paragraph" w:styleId="FootnoteText">
    <w:name w:val="footnote text"/>
    <w:basedOn w:val="Normal"/>
    <w:link w:val="FootnoteTextChar"/>
    <w:semiHidden/>
    <w:unhideWhenUsed/>
    <w:rsid w:val="00274081"/>
    <w:rPr>
      <w:sz w:val="20"/>
    </w:rPr>
  </w:style>
  <w:style w:type="character" w:customStyle="1" w:styleId="FootnoteTextChar">
    <w:name w:val="Footnote Text Char"/>
    <w:basedOn w:val="DefaultParagraphFont"/>
    <w:link w:val="FootnoteText"/>
    <w:semiHidden/>
    <w:rsid w:val="00274081"/>
    <w:rPr>
      <w:rFonts w:ascii="Arial" w:hAnsi="Arial" w:cs="Arial"/>
      <w:snapToGrid w:val="0"/>
      <w:lang w:eastAsia="en-US"/>
    </w:rPr>
  </w:style>
  <w:style w:type="paragraph" w:customStyle="1" w:styleId="PBACHeading10">
    <w:name w:val="PBAC Heading 1"/>
    <w:qFormat/>
    <w:rsid w:val="00FD3FF2"/>
    <w:pPr>
      <w:ind w:left="720" w:hanging="720"/>
    </w:pPr>
    <w:rPr>
      <w:rFonts w:ascii="Arial" w:eastAsia="Times New Roman"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97969"/>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B13724"/>
    <w:pPr>
      <w:keepNext/>
      <w:widowControl/>
      <w:outlineLvl w:val="1"/>
    </w:pPr>
    <w:rPr>
      <w:b/>
      <w:i/>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B13724"/>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Char1"/>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Char1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
    <w:basedOn w:val="TableNormal"/>
    <w:uiPriority w:val="9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D53534"/>
    <w:pPr>
      <w:numPr>
        <w:numId w:val="2"/>
      </w:numPr>
      <w:outlineLvl w:val="0"/>
    </w:pPr>
    <w:rPr>
      <w:rFonts w:ascii="Arial" w:hAnsi="Arial" w:cs="Arial"/>
      <w:snapToGrid w:val="0"/>
      <w:sz w:val="22"/>
      <w:szCs w:val="22"/>
      <w:lang w:eastAsia="en-US"/>
    </w:rPr>
  </w:style>
  <w:style w:type="paragraph" w:customStyle="1" w:styleId="Default">
    <w:name w:val="Default"/>
    <w:rsid w:val="00101A04"/>
    <w:pPr>
      <w:autoSpaceDE w:val="0"/>
      <w:autoSpaceDN w:val="0"/>
      <w:adjustRightInd w:val="0"/>
    </w:pPr>
    <w:rPr>
      <w:color w:val="000000"/>
      <w:sz w:val="24"/>
      <w:szCs w:val="24"/>
      <w:lang w:val="en-US" w:eastAsia="en-US"/>
    </w:rPr>
  </w:style>
  <w:style w:type="character" w:customStyle="1" w:styleId="apple-converted-space">
    <w:name w:val="apple-converted-space"/>
    <w:basedOn w:val="DefaultParagraphFont"/>
    <w:rsid w:val="00D6048E"/>
  </w:style>
  <w:style w:type="character" w:styleId="Emphasis">
    <w:name w:val="Emphasis"/>
    <w:basedOn w:val="DefaultParagraphFont"/>
    <w:uiPriority w:val="20"/>
    <w:qFormat/>
    <w:rsid w:val="00D6048E"/>
    <w:rPr>
      <w:i/>
      <w:iCs/>
    </w:rPr>
  </w:style>
  <w:style w:type="paragraph" w:styleId="DocumentMap">
    <w:name w:val="Document Map"/>
    <w:basedOn w:val="Normal"/>
    <w:link w:val="DocumentMapChar"/>
    <w:semiHidden/>
    <w:unhideWhenUsed/>
    <w:rsid w:val="00750A5D"/>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750A5D"/>
    <w:rPr>
      <w:snapToGrid w:val="0"/>
      <w:sz w:val="24"/>
      <w:szCs w:val="24"/>
      <w:lang w:eastAsia="en-US"/>
    </w:rPr>
  </w:style>
  <w:style w:type="paragraph" w:customStyle="1" w:styleId="TableText1">
    <w:name w:val="Table Text"/>
    <w:link w:val="TableTextChar0"/>
    <w:uiPriority w:val="99"/>
    <w:qFormat/>
    <w:rsid w:val="008D1D00"/>
    <w:pPr>
      <w:keepNext/>
      <w:keepLines/>
      <w:tabs>
        <w:tab w:val="left" w:pos="416"/>
        <w:tab w:val="left" w:pos="582"/>
      </w:tabs>
      <w:spacing w:before="40" w:after="40"/>
    </w:pPr>
    <w:rPr>
      <w:rFonts w:ascii="Arial" w:eastAsiaTheme="minorEastAsia" w:hAnsi="Arial"/>
      <w:noProof/>
      <w:sz w:val="18"/>
      <w:szCs w:val="18"/>
      <w:lang w:eastAsia="en-US"/>
    </w:rPr>
  </w:style>
  <w:style w:type="character" w:customStyle="1" w:styleId="TableTextChar0">
    <w:name w:val="Table Text Char"/>
    <w:link w:val="TableText1"/>
    <w:uiPriority w:val="99"/>
    <w:rsid w:val="008D1D00"/>
    <w:rPr>
      <w:rFonts w:ascii="Arial" w:eastAsiaTheme="minorEastAsia" w:hAnsi="Arial"/>
      <w:noProof/>
      <w:sz w:val="18"/>
      <w:szCs w:val="18"/>
      <w:lang w:eastAsia="en-US"/>
    </w:rPr>
  </w:style>
  <w:style w:type="paragraph" w:customStyle="1" w:styleId="TableNotes">
    <w:name w:val="Table Notes"/>
    <w:basedOn w:val="Normal"/>
    <w:next w:val="Normal"/>
    <w:uiPriority w:val="99"/>
    <w:qFormat/>
    <w:rsid w:val="001B0A4F"/>
    <w:pPr>
      <w:keepNext/>
      <w:keepLines/>
      <w:widowControl/>
      <w:spacing w:after="360"/>
      <w:contextualSpacing/>
      <w:jc w:val="left"/>
    </w:pPr>
    <w:rPr>
      <w:rFonts w:cs="Times New Roman"/>
      <w:snapToGrid/>
      <w:sz w:val="16"/>
      <w:szCs w:val="24"/>
      <w:lang w:eastAsia="en-AU"/>
    </w:rPr>
  </w:style>
  <w:style w:type="character" w:styleId="FootnoteReference">
    <w:name w:val="footnote reference"/>
    <w:rsid w:val="009E480C"/>
    <w:rPr>
      <w:vertAlign w:val="superscript"/>
    </w:rPr>
  </w:style>
  <w:style w:type="paragraph" w:customStyle="1" w:styleId="TableHeading0">
    <w:name w:val="Table Heading"/>
    <w:basedOn w:val="Normal"/>
    <w:rsid w:val="009E480C"/>
    <w:pPr>
      <w:widowControl/>
      <w:spacing w:before="80" w:after="80"/>
      <w:jc w:val="center"/>
    </w:pPr>
    <w:rPr>
      <w:rFonts w:cs="Times New Roman"/>
      <w:b/>
      <w:snapToGrid/>
      <w:sz w:val="20"/>
      <w:szCs w:val="22"/>
      <w:lang w:eastAsia="en-AU"/>
    </w:rPr>
  </w:style>
  <w:style w:type="paragraph" w:customStyle="1" w:styleId="TableName0">
    <w:name w:val="Table Name"/>
    <w:basedOn w:val="Normal"/>
    <w:link w:val="TableNameChar"/>
    <w:rsid w:val="009E480C"/>
    <w:pPr>
      <w:widowControl/>
      <w:spacing w:after="120"/>
      <w:ind w:left="1134" w:hanging="1134"/>
      <w:jc w:val="left"/>
    </w:pPr>
    <w:rPr>
      <w:rFonts w:cs="Times New Roman"/>
      <w:b/>
      <w:snapToGrid/>
      <w:sz w:val="20"/>
      <w:szCs w:val="24"/>
      <w:lang w:eastAsia="en-AU"/>
    </w:rPr>
  </w:style>
  <w:style w:type="character" w:customStyle="1" w:styleId="TableNameChar">
    <w:name w:val="Table Name Char"/>
    <w:link w:val="TableName0"/>
    <w:rsid w:val="009E480C"/>
    <w:rPr>
      <w:rFonts w:ascii="Arial" w:hAnsi="Arial"/>
      <w:b/>
      <w:szCs w:val="24"/>
    </w:rPr>
  </w:style>
  <w:style w:type="character" w:customStyle="1" w:styleId="ListParagraphChar">
    <w:name w:val="List Paragraph Char"/>
    <w:aliases w:val="BulletPoints Char"/>
    <w:link w:val="ListParagraph"/>
    <w:uiPriority w:val="72"/>
    <w:rsid w:val="008B4AF8"/>
    <w:rPr>
      <w:rFonts w:ascii="Arial" w:hAnsi="Arial" w:cs="Arial"/>
      <w:snapToGrid w:val="0"/>
      <w:sz w:val="22"/>
      <w:lang w:eastAsia="en-US"/>
    </w:rPr>
  </w:style>
  <w:style w:type="table" w:customStyle="1" w:styleId="TableGrid3">
    <w:name w:val="Table Grid3"/>
    <w:basedOn w:val="TableNormal"/>
    <w:next w:val="TableGrid"/>
    <w:uiPriority w:val="59"/>
    <w:locked/>
    <w:rsid w:val="002B310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4"/>
    <w:link w:val="TabletitleChar"/>
    <w:qFormat/>
    <w:rsid w:val="00D9243F"/>
    <w:pPr>
      <w:keepNext w:val="0"/>
      <w:widowControl/>
      <w:spacing w:after="20"/>
      <w:jc w:val="left"/>
    </w:pPr>
    <w:rPr>
      <w:rFonts w:asciiTheme="minorHAnsi" w:eastAsiaTheme="minorEastAsia" w:hAnsiTheme="minorHAnsi" w:cstheme="minorBidi"/>
      <w:bCs w:val="0"/>
      <w:i w:val="0"/>
      <w:snapToGrid/>
      <w:sz w:val="24"/>
      <w:szCs w:val="24"/>
      <w:lang w:eastAsia="en-AU"/>
    </w:rPr>
  </w:style>
  <w:style w:type="character" w:customStyle="1" w:styleId="TabletitleChar">
    <w:name w:val="Table title Char"/>
    <w:basedOn w:val="DefaultParagraphFont"/>
    <w:link w:val="Tabletitle"/>
    <w:rsid w:val="00D9243F"/>
    <w:rPr>
      <w:rFonts w:asciiTheme="minorHAnsi" w:eastAsiaTheme="minorEastAsia" w:hAnsiTheme="minorHAnsi" w:cstheme="minorBidi"/>
      <w:b/>
      <w:sz w:val="24"/>
      <w:szCs w:val="24"/>
    </w:rPr>
  </w:style>
  <w:style w:type="paragraph" w:styleId="FootnoteText">
    <w:name w:val="footnote text"/>
    <w:basedOn w:val="Normal"/>
    <w:link w:val="FootnoteTextChar"/>
    <w:semiHidden/>
    <w:unhideWhenUsed/>
    <w:rsid w:val="00274081"/>
    <w:rPr>
      <w:sz w:val="20"/>
    </w:rPr>
  </w:style>
  <w:style w:type="character" w:customStyle="1" w:styleId="FootnoteTextChar">
    <w:name w:val="Footnote Text Char"/>
    <w:basedOn w:val="DefaultParagraphFont"/>
    <w:link w:val="FootnoteText"/>
    <w:semiHidden/>
    <w:rsid w:val="00274081"/>
    <w:rPr>
      <w:rFonts w:ascii="Arial" w:hAnsi="Arial" w:cs="Arial"/>
      <w:snapToGrid w:val="0"/>
      <w:lang w:eastAsia="en-US"/>
    </w:rPr>
  </w:style>
  <w:style w:type="paragraph" w:customStyle="1" w:styleId="PBACHeading10">
    <w:name w:val="PBAC Heading 1"/>
    <w:qFormat/>
    <w:rsid w:val="00FD3FF2"/>
    <w:pPr>
      <w:ind w:left="720" w:hanging="720"/>
    </w:pPr>
    <w:rPr>
      <w:rFonts w:ascii="Arial" w:eastAsia="Times New Roman"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3920">
      <w:bodyDiv w:val="1"/>
      <w:marLeft w:val="0"/>
      <w:marRight w:val="0"/>
      <w:marTop w:val="0"/>
      <w:marBottom w:val="0"/>
      <w:divBdr>
        <w:top w:val="none" w:sz="0" w:space="0" w:color="auto"/>
        <w:left w:val="none" w:sz="0" w:space="0" w:color="auto"/>
        <w:bottom w:val="none" w:sz="0" w:space="0" w:color="auto"/>
        <w:right w:val="none" w:sz="0" w:space="0" w:color="auto"/>
      </w:divBdr>
    </w:div>
    <w:div w:id="157312436">
      <w:bodyDiv w:val="1"/>
      <w:marLeft w:val="0"/>
      <w:marRight w:val="0"/>
      <w:marTop w:val="0"/>
      <w:marBottom w:val="0"/>
      <w:divBdr>
        <w:top w:val="none" w:sz="0" w:space="0" w:color="auto"/>
        <w:left w:val="none" w:sz="0" w:space="0" w:color="auto"/>
        <w:bottom w:val="none" w:sz="0" w:space="0" w:color="auto"/>
        <w:right w:val="none" w:sz="0" w:space="0" w:color="auto"/>
      </w:divBdr>
    </w:div>
    <w:div w:id="172886868">
      <w:bodyDiv w:val="1"/>
      <w:marLeft w:val="0"/>
      <w:marRight w:val="0"/>
      <w:marTop w:val="0"/>
      <w:marBottom w:val="0"/>
      <w:divBdr>
        <w:top w:val="none" w:sz="0" w:space="0" w:color="auto"/>
        <w:left w:val="none" w:sz="0" w:space="0" w:color="auto"/>
        <w:bottom w:val="none" w:sz="0" w:space="0" w:color="auto"/>
        <w:right w:val="none" w:sz="0" w:space="0" w:color="auto"/>
      </w:divBdr>
    </w:div>
    <w:div w:id="251552077">
      <w:bodyDiv w:val="1"/>
      <w:marLeft w:val="0"/>
      <w:marRight w:val="0"/>
      <w:marTop w:val="0"/>
      <w:marBottom w:val="0"/>
      <w:divBdr>
        <w:top w:val="none" w:sz="0" w:space="0" w:color="auto"/>
        <w:left w:val="none" w:sz="0" w:space="0" w:color="auto"/>
        <w:bottom w:val="none" w:sz="0" w:space="0" w:color="auto"/>
        <w:right w:val="none" w:sz="0" w:space="0" w:color="auto"/>
      </w:divBdr>
    </w:div>
    <w:div w:id="346103436">
      <w:bodyDiv w:val="1"/>
      <w:marLeft w:val="0"/>
      <w:marRight w:val="0"/>
      <w:marTop w:val="0"/>
      <w:marBottom w:val="0"/>
      <w:divBdr>
        <w:top w:val="none" w:sz="0" w:space="0" w:color="auto"/>
        <w:left w:val="none" w:sz="0" w:space="0" w:color="auto"/>
        <w:bottom w:val="none" w:sz="0" w:space="0" w:color="auto"/>
        <w:right w:val="none" w:sz="0" w:space="0" w:color="auto"/>
      </w:divBdr>
    </w:div>
    <w:div w:id="460341050">
      <w:bodyDiv w:val="1"/>
      <w:marLeft w:val="0"/>
      <w:marRight w:val="0"/>
      <w:marTop w:val="0"/>
      <w:marBottom w:val="0"/>
      <w:divBdr>
        <w:top w:val="none" w:sz="0" w:space="0" w:color="auto"/>
        <w:left w:val="none" w:sz="0" w:space="0" w:color="auto"/>
        <w:bottom w:val="none" w:sz="0" w:space="0" w:color="auto"/>
        <w:right w:val="none" w:sz="0" w:space="0" w:color="auto"/>
      </w:divBdr>
    </w:div>
    <w:div w:id="571694008">
      <w:bodyDiv w:val="1"/>
      <w:marLeft w:val="0"/>
      <w:marRight w:val="0"/>
      <w:marTop w:val="0"/>
      <w:marBottom w:val="0"/>
      <w:divBdr>
        <w:top w:val="none" w:sz="0" w:space="0" w:color="auto"/>
        <w:left w:val="none" w:sz="0" w:space="0" w:color="auto"/>
        <w:bottom w:val="none" w:sz="0" w:space="0" w:color="auto"/>
        <w:right w:val="none" w:sz="0" w:space="0" w:color="auto"/>
      </w:divBdr>
    </w:div>
    <w:div w:id="635380531">
      <w:bodyDiv w:val="1"/>
      <w:marLeft w:val="0"/>
      <w:marRight w:val="0"/>
      <w:marTop w:val="0"/>
      <w:marBottom w:val="0"/>
      <w:divBdr>
        <w:top w:val="none" w:sz="0" w:space="0" w:color="auto"/>
        <w:left w:val="none" w:sz="0" w:space="0" w:color="auto"/>
        <w:bottom w:val="none" w:sz="0" w:space="0" w:color="auto"/>
        <w:right w:val="none" w:sz="0" w:space="0" w:color="auto"/>
      </w:divBdr>
    </w:div>
    <w:div w:id="640379781">
      <w:bodyDiv w:val="1"/>
      <w:marLeft w:val="0"/>
      <w:marRight w:val="0"/>
      <w:marTop w:val="0"/>
      <w:marBottom w:val="0"/>
      <w:divBdr>
        <w:top w:val="none" w:sz="0" w:space="0" w:color="auto"/>
        <w:left w:val="none" w:sz="0" w:space="0" w:color="auto"/>
        <w:bottom w:val="none" w:sz="0" w:space="0" w:color="auto"/>
        <w:right w:val="none" w:sz="0" w:space="0" w:color="auto"/>
      </w:divBdr>
    </w:div>
    <w:div w:id="772432526">
      <w:bodyDiv w:val="1"/>
      <w:marLeft w:val="0"/>
      <w:marRight w:val="0"/>
      <w:marTop w:val="0"/>
      <w:marBottom w:val="0"/>
      <w:divBdr>
        <w:top w:val="none" w:sz="0" w:space="0" w:color="auto"/>
        <w:left w:val="none" w:sz="0" w:space="0" w:color="auto"/>
        <w:bottom w:val="none" w:sz="0" w:space="0" w:color="auto"/>
        <w:right w:val="none" w:sz="0" w:space="0" w:color="auto"/>
      </w:divBdr>
    </w:div>
    <w:div w:id="822814748">
      <w:bodyDiv w:val="1"/>
      <w:marLeft w:val="0"/>
      <w:marRight w:val="0"/>
      <w:marTop w:val="0"/>
      <w:marBottom w:val="0"/>
      <w:divBdr>
        <w:top w:val="none" w:sz="0" w:space="0" w:color="auto"/>
        <w:left w:val="none" w:sz="0" w:space="0" w:color="auto"/>
        <w:bottom w:val="none" w:sz="0" w:space="0" w:color="auto"/>
        <w:right w:val="none" w:sz="0" w:space="0" w:color="auto"/>
      </w:divBdr>
    </w:div>
    <w:div w:id="847988145">
      <w:bodyDiv w:val="1"/>
      <w:marLeft w:val="0"/>
      <w:marRight w:val="0"/>
      <w:marTop w:val="0"/>
      <w:marBottom w:val="0"/>
      <w:divBdr>
        <w:top w:val="none" w:sz="0" w:space="0" w:color="auto"/>
        <w:left w:val="none" w:sz="0" w:space="0" w:color="auto"/>
        <w:bottom w:val="none" w:sz="0" w:space="0" w:color="auto"/>
        <w:right w:val="none" w:sz="0" w:space="0" w:color="auto"/>
      </w:divBdr>
    </w:div>
    <w:div w:id="871379699">
      <w:bodyDiv w:val="1"/>
      <w:marLeft w:val="0"/>
      <w:marRight w:val="0"/>
      <w:marTop w:val="0"/>
      <w:marBottom w:val="0"/>
      <w:divBdr>
        <w:top w:val="none" w:sz="0" w:space="0" w:color="auto"/>
        <w:left w:val="none" w:sz="0" w:space="0" w:color="auto"/>
        <w:bottom w:val="none" w:sz="0" w:space="0" w:color="auto"/>
        <w:right w:val="none" w:sz="0" w:space="0" w:color="auto"/>
      </w:divBdr>
    </w:div>
    <w:div w:id="1138108585">
      <w:bodyDiv w:val="1"/>
      <w:marLeft w:val="0"/>
      <w:marRight w:val="0"/>
      <w:marTop w:val="0"/>
      <w:marBottom w:val="0"/>
      <w:divBdr>
        <w:top w:val="none" w:sz="0" w:space="0" w:color="auto"/>
        <w:left w:val="none" w:sz="0" w:space="0" w:color="auto"/>
        <w:bottom w:val="none" w:sz="0" w:space="0" w:color="auto"/>
        <w:right w:val="none" w:sz="0" w:space="0" w:color="auto"/>
      </w:divBdr>
    </w:div>
    <w:div w:id="1250235596">
      <w:bodyDiv w:val="1"/>
      <w:marLeft w:val="0"/>
      <w:marRight w:val="0"/>
      <w:marTop w:val="0"/>
      <w:marBottom w:val="0"/>
      <w:divBdr>
        <w:top w:val="none" w:sz="0" w:space="0" w:color="auto"/>
        <w:left w:val="none" w:sz="0" w:space="0" w:color="auto"/>
        <w:bottom w:val="none" w:sz="0" w:space="0" w:color="auto"/>
        <w:right w:val="none" w:sz="0" w:space="0" w:color="auto"/>
      </w:divBdr>
    </w:div>
    <w:div w:id="1458597089">
      <w:bodyDiv w:val="1"/>
      <w:marLeft w:val="0"/>
      <w:marRight w:val="0"/>
      <w:marTop w:val="0"/>
      <w:marBottom w:val="0"/>
      <w:divBdr>
        <w:top w:val="none" w:sz="0" w:space="0" w:color="auto"/>
        <w:left w:val="none" w:sz="0" w:space="0" w:color="auto"/>
        <w:bottom w:val="none" w:sz="0" w:space="0" w:color="auto"/>
        <w:right w:val="none" w:sz="0" w:space="0" w:color="auto"/>
      </w:divBdr>
    </w:div>
    <w:div w:id="1559122747">
      <w:bodyDiv w:val="1"/>
      <w:marLeft w:val="0"/>
      <w:marRight w:val="0"/>
      <w:marTop w:val="0"/>
      <w:marBottom w:val="0"/>
      <w:divBdr>
        <w:top w:val="none" w:sz="0" w:space="0" w:color="auto"/>
        <w:left w:val="none" w:sz="0" w:space="0" w:color="auto"/>
        <w:bottom w:val="none" w:sz="0" w:space="0" w:color="auto"/>
        <w:right w:val="none" w:sz="0" w:space="0" w:color="auto"/>
      </w:divBdr>
    </w:div>
    <w:div w:id="1594128078">
      <w:bodyDiv w:val="1"/>
      <w:marLeft w:val="0"/>
      <w:marRight w:val="0"/>
      <w:marTop w:val="0"/>
      <w:marBottom w:val="0"/>
      <w:divBdr>
        <w:top w:val="none" w:sz="0" w:space="0" w:color="auto"/>
        <w:left w:val="none" w:sz="0" w:space="0" w:color="auto"/>
        <w:bottom w:val="none" w:sz="0" w:space="0" w:color="auto"/>
        <w:right w:val="none" w:sz="0" w:space="0" w:color="auto"/>
      </w:divBdr>
    </w:div>
    <w:div w:id="1606033699">
      <w:bodyDiv w:val="1"/>
      <w:marLeft w:val="0"/>
      <w:marRight w:val="0"/>
      <w:marTop w:val="0"/>
      <w:marBottom w:val="0"/>
      <w:divBdr>
        <w:top w:val="none" w:sz="0" w:space="0" w:color="auto"/>
        <w:left w:val="none" w:sz="0" w:space="0" w:color="auto"/>
        <w:bottom w:val="none" w:sz="0" w:space="0" w:color="auto"/>
        <w:right w:val="none" w:sz="0" w:space="0" w:color="auto"/>
      </w:divBdr>
    </w:div>
    <w:div w:id="1678537267">
      <w:bodyDiv w:val="1"/>
      <w:marLeft w:val="0"/>
      <w:marRight w:val="0"/>
      <w:marTop w:val="0"/>
      <w:marBottom w:val="0"/>
      <w:divBdr>
        <w:top w:val="none" w:sz="0" w:space="0" w:color="auto"/>
        <w:left w:val="none" w:sz="0" w:space="0" w:color="auto"/>
        <w:bottom w:val="none" w:sz="0" w:space="0" w:color="auto"/>
        <w:right w:val="none" w:sz="0" w:space="0" w:color="auto"/>
      </w:divBdr>
    </w:div>
    <w:div w:id="1688752671">
      <w:bodyDiv w:val="1"/>
      <w:marLeft w:val="0"/>
      <w:marRight w:val="0"/>
      <w:marTop w:val="0"/>
      <w:marBottom w:val="0"/>
      <w:divBdr>
        <w:top w:val="none" w:sz="0" w:space="0" w:color="auto"/>
        <w:left w:val="none" w:sz="0" w:space="0" w:color="auto"/>
        <w:bottom w:val="none" w:sz="0" w:space="0" w:color="auto"/>
        <w:right w:val="none" w:sz="0" w:space="0" w:color="auto"/>
      </w:divBdr>
    </w:div>
    <w:div w:id="1695811680">
      <w:bodyDiv w:val="1"/>
      <w:marLeft w:val="0"/>
      <w:marRight w:val="0"/>
      <w:marTop w:val="0"/>
      <w:marBottom w:val="0"/>
      <w:divBdr>
        <w:top w:val="none" w:sz="0" w:space="0" w:color="auto"/>
        <w:left w:val="none" w:sz="0" w:space="0" w:color="auto"/>
        <w:bottom w:val="none" w:sz="0" w:space="0" w:color="auto"/>
        <w:right w:val="none" w:sz="0" w:space="0" w:color="auto"/>
      </w:divBdr>
      <w:divsChild>
        <w:div w:id="272589068">
          <w:marLeft w:val="0"/>
          <w:marRight w:val="0"/>
          <w:marTop w:val="0"/>
          <w:marBottom w:val="0"/>
          <w:divBdr>
            <w:top w:val="none" w:sz="0" w:space="0" w:color="auto"/>
            <w:left w:val="none" w:sz="0" w:space="0" w:color="auto"/>
            <w:bottom w:val="none" w:sz="0" w:space="0" w:color="auto"/>
            <w:right w:val="none" w:sz="0" w:space="0" w:color="auto"/>
          </w:divBdr>
          <w:divsChild>
            <w:div w:id="1237398058">
              <w:marLeft w:val="0"/>
              <w:marRight w:val="0"/>
              <w:marTop w:val="0"/>
              <w:marBottom w:val="0"/>
              <w:divBdr>
                <w:top w:val="none" w:sz="0" w:space="0" w:color="auto"/>
                <w:left w:val="none" w:sz="0" w:space="0" w:color="auto"/>
                <w:bottom w:val="none" w:sz="0" w:space="0" w:color="auto"/>
                <w:right w:val="none" w:sz="0" w:space="0" w:color="auto"/>
              </w:divBdr>
              <w:divsChild>
                <w:div w:id="16014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1348">
          <w:marLeft w:val="0"/>
          <w:marRight w:val="0"/>
          <w:marTop w:val="0"/>
          <w:marBottom w:val="0"/>
          <w:divBdr>
            <w:top w:val="none" w:sz="0" w:space="0" w:color="auto"/>
            <w:left w:val="none" w:sz="0" w:space="0" w:color="auto"/>
            <w:bottom w:val="none" w:sz="0" w:space="0" w:color="auto"/>
            <w:right w:val="none" w:sz="0" w:space="0" w:color="auto"/>
          </w:divBdr>
          <w:divsChild>
            <w:div w:id="253710886">
              <w:marLeft w:val="0"/>
              <w:marRight w:val="0"/>
              <w:marTop w:val="0"/>
              <w:marBottom w:val="0"/>
              <w:divBdr>
                <w:top w:val="none" w:sz="0" w:space="0" w:color="auto"/>
                <w:left w:val="none" w:sz="0" w:space="0" w:color="auto"/>
                <w:bottom w:val="none" w:sz="0" w:space="0" w:color="auto"/>
                <w:right w:val="none" w:sz="0" w:space="0" w:color="auto"/>
              </w:divBdr>
              <w:divsChild>
                <w:div w:id="10123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559759">
      <w:bodyDiv w:val="1"/>
      <w:marLeft w:val="0"/>
      <w:marRight w:val="0"/>
      <w:marTop w:val="0"/>
      <w:marBottom w:val="0"/>
      <w:divBdr>
        <w:top w:val="none" w:sz="0" w:space="0" w:color="auto"/>
        <w:left w:val="none" w:sz="0" w:space="0" w:color="auto"/>
        <w:bottom w:val="none" w:sz="0" w:space="0" w:color="auto"/>
        <w:right w:val="none" w:sz="0" w:space="0" w:color="auto"/>
      </w:divBdr>
    </w:div>
    <w:div w:id="1740131886">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12862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6361-C96D-457C-9CF0-ED053744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6355</Words>
  <Characters>35176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2017-02-09T03:20:00Z</dcterms:created>
  <dcterms:modified xsi:type="dcterms:W3CDTF">2017-02-16T00:37:00Z</dcterms:modified>
</cp:coreProperties>
</file>