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284652" w:rsidRDefault="0098551D" w:rsidP="008A50F1">
      <w:pPr>
        <w:pStyle w:val="Title"/>
        <w:ind w:left="720" w:hanging="720"/>
        <w:rPr>
          <w:szCs w:val="28"/>
        </w:rPr>
      </w:pPr>
      <w:bookmarkStart w:id="0" w:name="_GoBack"/>
      <w:bookmarkEnd w:id="0"/>
      <w:r w:rsidRPr="00284652">
        <w:rPr>
          <w:szCs w:val="28"/>
        </w:rPr>
        <w:t>4.05</w:t>
      </w:r>
      <w:r w:rsidR="007C0F57" w:rsidRPr="00284652">
        <w:rPr>
          <w:szCs w:val="28"/>
        </w:rPr>
        <w:tab/>
      </w:r>
      <w:r w:rsidRPr="00284652">
        <w:rPr>
          <w:szCs w:val="28"/>
        </w:rPr>
        <w:t>IBRUTINIB</w:t>
      </w:r>
      <w:r w:rsidR="00755B8E">
        <w:rPr>
          <w:szCs w:val="28"/>
        </w:rPr>
        <w:t xml:space="preserve">, </w:t>
      </w:r>
      <w:r w:rsidR="008A50F1" w:rsidRPr="00284652">
        <w:rPr>
          <w:szCs w:val="28"/>
        </w:rPr>
        <w:br/>
      </w:r>
      <w:r w:rsidR="00C652D2" w:rsidRPr="00284652">
        <w:rPr>
          <w:szCs w:val="28"/>
        </w:rPr>
        <w:t>140 mg capsules, 90</w:t>
      </w:r>
      <w:r w:rsidR="0004240E" w:rsidRPr="00284652">
        <w:rPr>
          <w:szCs w:val="28"/>
        </w:rPr>
        <w:t>,</w:t>
      </w:r>
      <w:r w:rsidR="008A50F1" w:rsidRPr="00284652">
        <w:rPr>
          <w:szCs w:val="28"/>
        </w:rPr>
        <w:t xml:space="preserve"> </w:t>
      </w:r>
      <w:r w:rsidR="008A50F1" w:rsidRPr="00284652">
        <w:rPr>
          <w:szCs w:val="28"/>
        </w:rPr>
        <w:br/>
      </w:r>
      <w:r w:rsidR="00C652D2" w:rsidRPr="00284652">
        <w:rPr>
          <w:szCs w:val="28"/>
        </w:rPr>
        <w:t>Imbruvica</w:t>
      </w:r>
      <w:r w:rsidR="00C652D2" w:rsidRPr="00284652">
        <w:rPr>
          <w:szCs w:val="28"/>
          <w:vertAlign w:val="superscript"/>
        </w:rPr>
        <w:t>®</w:t>
      </w:r>
      <w:r w:rsidR="00EF44A0" w:rsidRPr="00284652">
        <w:rPr>
          <w:szCs w:val="28"/>
        </w:rPr>
        <w:t xml:space="preserve">, </w:t>
      </w:r>
      <w:r w:rsidR="001F3337">
        <w:rPr>
          <w:szCs w:val="28"/>
        </w:rPr>
        <w:br/>
      </w:r>
      <w:r w:rsidR="00C652D2" w:rsidRPr="00284652">
        <w:rPr>
          <w:szCs w:val="28"/>
        </w:rPr>
        <w:t>Janssen-Cilag Pty Ltd</w:t>
      </w:r>
      <w:r w:rsidR="00007A5A">
        <w:rPr>
          <w:szCs w:val="28"/>
        </w:rPr>
        <w:t>.</w:t>
      </w:r>
    </w:p>
    <w:p w:rsidR="00C27B58" w:rsidRPr="00284652" w:rsidRDefault="00C27B58" w:rsidP="00C27B58">
      <w:pPr>
        <w:pStyle w:val="NoSpacing"/>
      </w:pPr>
    </w:p>
    <w:p w:rsidR="007B2ED6" w:rsidRPr="00284652" w:rsidRDefault="007B2ED6" w:rsidP="007B2ED6">
      <w:pPr>
        <w:pStyle w:val="Heading1"/>
        <w:widowControl/>
        <w:numPr>
          <w:ilvl w:val="0"/>
          <w:numId w:val="5"/>
        </w:numPr>
      </w:pPr>
      <w:r w:rsidRPr="00284652">
        <w:t>Purpose of Application</w:t>
      </w:r>
    </w:p>
    <w:p w:rsidR="007B2ED6" w:rsidRPr="00284652" w:rsidRDefault="007B2ED6" w:rsidP="007B2ED6">
      <w:pPr>
        <w:pStyle w:val="ListParagraph"/>
        <w:rPr>
          <w:b/>
          <w:szCs w:val="22"/>
        </w:rPr>
      </w:pPr>
    </w:p>
    <w:p w:rsidR="007B2ED6" w:rsidRPr="00284652" w:rsidRDefault="007B2ED6" w:rsidP="007B2ED6">
      <w:pPr>
        <w:pStyle w:val="ListParagraph"/>
        <w:widowControl/>
        <w:numPr>
          <w:ilvl w:val="1"/>
          <w:numId w:val="5"/>
        </w:numPr>
        <w:rPr>
          <w:szCs w:val="22"/>
        </w:rPr>
      </w:pPr>
      <w:r w:rsidRPr="00284652">
        <w:rPr>
          <w:szCs w:val="22"/>
        </w:rPr>
        <w:t>The current minor re-submission sought to address the following issue</w:t>
      </w:r>
      <w:r w:rsidR="009129A4" w:rsidRPr="00284652">
        <w:rPr>
          <w:szCs w:val="22"/>
        </w:rPr>
        <w:t>s</w:t>
      </w:r>
      <w:r w:rsidRPr="00284652">
        <w:rPr>
          <w:szCs w:val="22"/>
        </w:rPr>
        <w:t xml:space="preserve"> arising from the PBAC</w:t>
      </w:r>
      <w:r w:rsidR="00324B77" w:rsidRPr="00284652">
        <w:rPr>
          <w:szCs w:val="22"/>
        </w:rPr>
        <w:t>’s</w:t>
      </w:r>
      <w:r w:rsidRPr="00284652">
        <w:rPr>
          <w:szCs w:val="22"/>
        </w:rPr>
        <w:t xml:space="preserve"> rejection of the minor re-submission at the August 2016 Special meeting: the </w:t>
      </w:r>
      <w:r w:rsidR="009129A4" w:rsidRPr="00284652">
        <w:rPr>
          <w:szCs w:val="22"/>
        </w:rPr>
        <w:t xml:space="preserve">high </w:t>
      </w:r>
      <w:r w:rsidR="004209B1">
        <w:rPr>
          <w:szCs w:val="22"/>
        </w:rPr>
        <w:t xml:space="preserve">and uncertain </w:t>
      </w:r>
      <w:r w:rsidR="009129A4" w:rsidRPr="00284652">
        <w:rPr>
          <w:szCs w:val="22"/>
        </w:rPr>
        <w:t xml:space="preserve">incremental cost-effectiveness ratio and </w:t>
      </w:r>
      <w:r w:rsidRPr="00284652">
        <w:rPr>
          <w:szCs w:val="22"/>
        </w:rPr>
        <w:t>overall cost to Government f</w:t>
      </w:r>
      <w:r w:rsidR="00227DD4" w:rsidRPr="00284652">
        <w:rPr>
          <w:szCs w:val="22"/>
        </w:rPr>
        <w:t>r</w:t>
      </w:r>
      <w:r w:rsidRPr="00284652">
        <w:rPr>
          <w:szCs w:val="22"/>
        </w:rPr>
        <w:t>om adoption of the option 2 proposal in the form of a Risk Share Agreement (RSA).</w:t>
      </w:r>
    </w:p>
    <w:p w:rsidR="006516CA" w:rsidRPr="00284652" w:rsidRDefault="006516CA" w:rsidP="007B2ED6">
      <w:pPr>
        <w:rPr>
          <w:rFonts w:ascii="Arial" w:hAnsi="Arial"/>
          <w:sz w:val="22"/>
          <w:szCs w:val="22"/>
        </w:rPr>
      </w:pPr>
    </w:p>
    <w:p w:rsidR="00E6110B" w:rsidRPr="00284652" w:rsidRDefault="00E6110B" w:rsidP="007B2ED6">
      <w:pPr>
        <w:rPr>
          <w:rFonts w:ascii="Arial" w:hAnsi="Arial"/>
          <w:sz w:val="22"/>
          <w:szCs w:val="22"/>
        </w:rPr>
      </w:pPr>
    </w:p>
    <w:p w:rsidR="007B2ED6" w:rsidRPr="00284652" w:rsidRDefault="007B2ED6" w:rsidP="007B2ED6">
      <w:pPr>
        <w:pStyle w:val="Heading1"/>
        <w:widowControl/>
        <w:numPr>
          <w:ilvl w:val="0"/>
          <w:numId w:val="5"/>
        </w:numPr>
      </w:pPr>
      <w:r w:rsidRPr="00284652">
        <w:t>Requested listing</w:t>
      </w:r>
    </w:p>
    <w:p w:rsidR="007B2ED6" w:rsidRPr="00284652" w:rsidRDefault="007B2ED6" w:rsidP="007B2ED6"/>
    <w:p w:rsidR="00A95BAA" w:rsidRPr="006B2F80" w:rsidRDefault="0054700E" w:rsidP="006B2F80">
      <w:pPr>
        <w:pStyle w:val="ListParagraph"/>
        <w:widowControl/>
        <w:numPr>
          <w:ilvl w:val="1"/>
          <w:numId w:val="5"/>
        </w:numPr>
        <w:rPr>
          <w:szCs w:val="22"/>
        </w:rPr>
      </w:pPr>
      <w:r w:rsidRPr="00284652">
        <w:rPr>
          <w:szCs w:val="22"/>
        </w:rPr>
        <w:t>T</w:t>
      </w:r>
      <w:r w:rsidR="00B7377E" w:rsidRPr="00284652">
        <w:rPr>
          <w:szCs w:val="22"/>
        </w:rPr>
        <w:t>he submission</w:t>
      </w:r>
      <w:r w:rsidRPr="00284652">
        <w:rPr>
          <w:szCs w:val="22"/>
        </w:rPr>
        <w:t xml:space="preserve"> propose</w:t>
      </w:r>
      <w:r w:rsidR="00534165" w:rsidRPr="00284652">
        <w:rPr>
          <w:szCs w:val="22"/>
        </w:rPr>
        <w:t>d</w:t>
      </w:r>
      <w:r w:rsidRPr="00284652">
        <w:rPr>
          <w:szCs w:val="22"/>
        </w:rPr>
        <w:t xml:space="preserve"> the listing that PBAC considered appropriate in its August 2016 consideration (this corresponds to the 2nd of the two restrictions proposed by Janssen in its submission to the August meeting, and represents the broader patient population)</w:t>
      </w:r>
      <w:r w:rsidR="00B7377E" w:rsidRPr="00284652">
        <w:rPr>
          <w:szCs w:val="22"/>
        </w:rPr>
        <w:t xml:space="preserve">. </w:t>
      </w:r>
      <w:r w:rsidR="00534165" w:rsidRPr="006B2F80">
        <w:rPr>
          <w:szCs w:val="22"/>
        </w:rPr>
        <w:t>Secretariat suggested a</w:t>
      </w:r>
      <w:r w:rsidR="00A95BAA" w:rsidRPr="006B2F80">
        <w:rPr>
          <w:szCs w:val="22"/>
        </w:rPr>
        <w:t xml:space="preserve">dditions </w:t>
      </w:r>
      <w:r w:rsidR="00324B77" w:rsidRPr="006B2F80">
        <w:rPr>
          <w:szCs w:val="22"/>
        </w:rPr>
        <w:t>we</w:t>
      </w:r>
      <w:r w:rsidR="00A95BAA" w:rsidRPr="006B2F80">
        <w:rPr>
          <w:szCs w:val="22"/>
        </w:rPr>
        <w:t>re marked in Italics.</w:t>
      </w:r>
    </w:p>
    <w:p w:rsidR="007B2ED6" w:rsidRPr="00E07EB8" w:rsidRDefault="007B2ED6" w:rsidP="007B2ED6">
      <w:pPr>
        <w:pStyle w:val="ListParagraph"/>
        <w:rPr>
          <w:b/>
        </w:rPr>
      </w:pPr>
    </w:p>
    <w:p w:rsidR="00E6110B" w:rsidRPr="00284652" w:rsidRDefault="00E6110B"/>
    <w:tbl>
      <w:tblPr>
        <w:tblW w:w="4596" w:type="pct"/>
        <w:tblInd w:w="736" w:type="dxa"/>
        <w:tblCellMar>
          <w:left w:w="28" w:type="dxa"/>
          <w:right w:w="28" w:type="dxa"/>
        </w:tblCellMar>
        <w:tblLook w:val="0000" w:firstRow="0" w:lastRow="0" w:firstColumn="0" w:lastColumn="0" w:noHBand="0" w:noVBand="0"/>
      </w:tblPr>
      <w:tblGrid>
        <w:gridCol w:w="2243"/>
        <w:gridCol w:w="594"/>
        <w:gridCol w:w="568"/>
        <w:gridCol w:w="706"/>
        <w:gridCol w:w="1417"/>
        <w:gridCol w:w="386"/>
        <w:gridCol w:w="768"/>
        <w:gridCol w:w="1666"/>
      </w:tblGrid>
      <w:tr w:rsidR="007B2ED6" w:rsidRPr="00284652" w:rsidTr="00E6110B">
        <w:trPr>
          <w:cantSplit/>
          <w:trHeight w:val="471"/>
        </w:trPr>
        <w:tc>
          <w:tcPr>
            <w:tcW w:w="1699" w:type="pct"/>
            <w:gridSpan w:val="2"/>
            <w:tcBorders>
              <w:bottom w:val="single" w:sz="4" w:space="0" w:color="auto"/>
            </w:tcBorders>
          </w:tcPr>
          <w:p w:rsidR="007B2ED6" w:rsidRPr="00284652" w:rsidRDefault="007B2ED6" w:rsidP="009A3C0E">
            <w:pPr>
              <w:keepNext/>
              <w:rPr>
                <w:rFonts w:ascii="Arial Narrow" w:hAnsi="Arial Narrow"/>
                <w:b/>
                <w:sz w:val="20"/>
              </w:rPr>
            </w:pPr>
            <w:r w:rsidRPr="00284652">
              <w:rPr>
                <w:rFonts w:ascii="Arial Narrow" w:hAnsi="Arial Narrow"/>
                <w:b/>
                <w:sz w:val="20"/>
              </w:rPr>
              <w:t>Name, Restriction,</w:t>
            </w:r>
          </w:p>
          <w:p w:rsidR="007B2ED6" w:rsidRPr="00284652" w:rsidRDefault="007B2ED6" w:rsidP="009A3C0E">
            <w:pPr>
              <w:keepNext/>
              <w:rPr>
                <w:rFonts w:ascii="Arial Narrow" w:hAnsi="Arial Narrow"/>
                <w:b/>
                <w:sz w:val="20"/>
              </w:rPr>
            </w:pPr>
            <w:r w:rsidRPr="00284652">
              <w:rPr>
                <w:rFonts w:ascii="Arial Narrow" w:hAnsi="Arial Narrow"/>
                <w:b/>
                <w:sz w:val="20"/>
              </w:rPr>
              <w:t>Manner of administration and form</w:t>
            </w:r>
          </w:p>
        </w:tc>
        <w:tc>
          <w:tcPr>
            <w:tcW w:w="340" w:type="pct"/>
            <w:tcBorders>
              <w:bottom w:val="single" w:sz="4" w:space="0" w:color="auto"/>
            </w:tcBorders>
          </w:tcPr>
          <w:p w:rsidR="007B2ED6" w:rsidRPr="00284652" w:rsidRDefault="007B2ED6" w:rsidP="009A3C0E">
            <w:pPr>
              <w:keepNext/>
              <w:jc w:val="center"/>
              <w:rPr>
                <w:rFonts w:ascii="Arial Narrow" w:hAnsi="Arial Narrow"/>
                <w:b/>
                <w:sz w:val="20"/>
              </w:rPr>
            </w:pPr>
            <w:r w:rsidRPr="00284652">
              <w:rPr>
                <w:rFonts w:ascii="Arial Narrow" w:hAnsi="Arial Narrow"/>
                <w:b/>
                <w:sz w:val="20"/>
              </w:rPr>
              <w:t>Max.</w:t>
            </w:r>
          </w:p>
          <w:p w:rsidR="007B2ED6" w:rsidRPr="00284652" w:rsidRDefault="007B2ED6" w:rsidP="009A3C0E">
            <w:pPr>
              <w:keepNext/>
              <w:jc w:val="center"/>
              <w:rPr>
                <w:rFonts w:ascii="Arial Narrow" w:hAnsi="Arial Narrow"/>
                <w:b/>
                <w:sz w:val="20"/>
              </w:rPr>
            </w:pPr>
            <w:r w:rsidRPr="00284652">
              <w:rPr>
                <w:rFonts w:ascii="Arial Narrow" w:hAnsi="Arial Narrow"/>
                <w:b/>
                <w:sz w:val="20"/>
              </w:rPr>
              <w:t>Qty</w:t>
            </w:r>
          </w:p>
        </w:tc>
        <w:tc>
          <w:tcPr>
            <w:tcW w:w="423" w:type="pct"/>
            <w:tcBorders>
              <w:bottom w:val="single" w:sz="4" w:space="0" w:color="auto"/>
            </w:tcBorders>
          </w:tcPr>
          <w:p w:rsidR="007B2ED6" w:rsidRPr="00284652" w:rsidRDefault="007B2ED6" w:rsidP="009A3C0E">
            <w:pPr>
              <w:keepNext/>
              <w:jc w:val="center"/>
              <w:rPr>
                <w:rFonts w:ascii="Arial Narrow" w:hAnsi="Arial Narrow"/>
                <w:b/>
                <w:sz w:val="20"/>
              </w:rPr>
            </w:pPr>
            <w:r w:rsidRPr="00284652">
              <w:rPr>
                <w:rFonts w:ascii="Arial Narrow" w:hAnsi="Arial Narrow"/>
                <w:b/>
                <w:sz w:val="20"/>
              </w:rPr>
              <w:t>№.of</w:t>
            </w:r>
          </w:p>
          <w:p w:rsidR="007B2ED6" w:rsidRPr="00284652" w:rsidRDefault="007B2ED6" w:rsidP="009A3C0E">
            <w:pPr>
              <w:keepNext/>
              <w:jc w:val="center"/>
              <w:rPr>
                <w:rFonts w:ascii="Arial Narrow" w:hAnsi="Arial Narrow"/>
                <w:b/>
                <w:sz w:val="20"/>
              </w:rPr>
            </w:pPr>
            <w:r w:rsidRPr="00284652">
              <w:rPr>
                <w:rFonts w:ascii="Arial Narrow" w:hAnsi="Arial Narrow"/>
                <w:b/>
                <w:sz w:val="20"/>
              </w:rPr>
              <w:t>Rpts</w:t>
            </w:r>
          </w:p>
        </w:tc>
        <w:tc>
          <w:tcPr>
            <w:tcW w:w="849" w:type="pct"/>
            <w:tcBorders>
              <w:bottom w:val="single" w:sz="4" w:space="0" w:color="auto"/>
            </w:tcBorders>
          </w:tcPr>
          <w:p w:rsidR="007B2ED6" w:rsidRPr="00284652" w:rsidRDefault="007B2ED6" w:rsidP="009A3C0E">
            <w:pPr>
              <w:keepNext/>
              <w:jc w:val="center"/>
              <w:rPr>
                <w:rFonts w:ascii="Arial Narrow" w:hAnsi="Arial Narrow"/>
                <w:b/>
                <w:sz w:val="20"/>
              </w:rPr>
            </w:pPr>
            <w:r w:rsidRPr="00284652">
              <w:rPr>
                <w:rFonts w:ascii="Arial Narrow" w:hAnsi="Arial Narrow"/>
                <w:b/>
                <w:sz w:val="20"/>
              </w:rPr>
              <w:t>Dispensed Price for Max. Qty</w:t>
            </w:r>
          </w:p>
        </w:tc>
        <w:tc>
          <w:tcPr>
            <w:tcW w:w="1690" w:type="pct"/>
            <w:gridSpan w:val="3"/>
            <w:tcBorders>
              <w:bottom w:val="single" w:sz="4" w:space="0" w:color="auto"/>
            </w:tcBorders>
          </w:tcPr>
          <w:p w:rsidR="007B2ED6" w:rsidRPr="00284652" w:rsidRDefault="007B2ED6" w:rsidP="009A3C0E">
            <w:pPr>
              <w:keepNext/>
              <w:jc w:val="center"/>
              <w:rPr>
                <w:rFonts w:ascii="Arial Narrow" w:hAnsi="Arial Narrow"/>
                <w:b/>
                <w:sz w:val="20"/>
                <w:lang w:val="fr-FR"/>
              </w:rPr>
            </w:pPr>
            <w:r w:rsidRPr="00284652">
              <w:rPr>
                <w:rFonts w:ascii="Arial Narrow" w:hAnsi="Arial Narrow"/>
                <w:b/>
                <w:sz w:val="20"/>
              </w:rPr>
              <w:t>Proprietary Name and Manufacturer</w:t>
            </w:r>
          </w:p>
        </w:tc>
      </w:tr>
      <w:tr w:rsidR="007B2ED6" w:rsidRPr="00284652" w:rsidTr="00E6110B">
        <w:trPr>
          <w:cantSplit/>
          <w:trHeight w:val="577"/>
        </w:trPr>
        <w:tc>
          <w:tcPr>
            <w:tcW w:w="1699" w:type="pct"/>
            <w:gridSpan w:val="2"/>
          </w:tcPr>
          <w:p w:rsidR="007B2ED6" w:rsidRPr="00284652" w:rsidRDefault="007B2ED6" w:rsidP="009A3C0E">
            <w:pPr>
              <w:keepNext/>
              <w:rPr>
                <w:rFonts w:ascii="Arial Narrow" w:hAnsi="Arial Narrow"/>
                <w:sz w:val="20"/>
              </w:rPr>
            </w:pPr>
            <w:r w:rsidRPr="00284652">
              <w:rPr>
                <w:rFonts w:ascii="Arial Narrow" w:hAnsi="Arial Narrow"/>
                <w:smallCaps/>
                <w:sz w:val="20"/>
              </w:rPr>
              <w:t>ibrutinib</w:t>
            </w:r>
          </w:p>
          <w:p w:rsidR="007B2ED6" w:rsidRPr="00284652" w:rsidRDefault="007B2ED6" w:rsidP="009A3C0E">
            <w:pPr>
              <w:keepNext/>
              <w:rPr>
                <w:rFonts w:ascii="Arial Narrow" w:hAnsi="Arial Narrow"/>
                <w:sz w:val="20"/>
              </w:rPr>
            </w:pPr>
            <w:r w:rsidRPr="00284652">
              <w:rPr>
                <w:rFonts w:ascii="Arial Narrow" w:hAnsi="Arial Narrow"/>
                <w:sz w:val="20"/>
              </w:rPr>
              <w:t>Capsule 140 mg, 90</w:t>
            </w:r>
          </w:p>
        </w:tc>
        <w:tc>
          <w:tcPr>
            <w:tcW w:w="340" w:type="pct"/>
          </w:tcPr>
          <w:p w:rsidR="007B2ED6" w:rsidRPr="00284652" w:rsidRDefault="007B2ED6" w:rsidP="009A3C0E">
            <w:pPr>
              <w:keepNext/>
              <w:jc w:val="center"/>
              <w:rPr>
                <w:rFonts w:ascii="Arial Narrow" w:hAnsi="Arial Narrow"/>
                <w:sz w:val="20"/>
              </w:rPr>
            </w:pPr>
          </w:p>
          <w:p w:rsidR="007B2ED6" w:rsidRPr="00284652" w:rsidRDefault="007B2ED6" w:rsidP="009A3C0E">
            <w:pPr>
              <w:keepNext/>
              <w:jc w:val="center"/>
              <w:rPr>
                <w:rFonts w:ascii="Arial Narrow" w:hAnsi="Arial Narrow"/>
                <w:sz w:val="20"/>
              </w:rPr>
            </w:pPr>
            <w:r w:rsidRPr="00284652">
              <w:rPr>
                <w:rFonts w:ascii="Arial Narrow" w:hAnsi="Arial Narrow"/>
                <w:sz w:val="20"/>
              </w:rPr>
              <w:t>1</w:t>
            </w:r>
          </w:p>
        </w:tc>
        <w:tc>
          <w:tcPr>
            <w:tcW w:w="423" w:type="pct"/>
          </w:tcPr>
          <w:p w:rsidR="007B2ED6" w:rsidRPr="00284652" w:rsidRDefault="007B2ED6" w:rsidP="009A3C0E">
            <w:pPr>
              <w:keepNext/>
              <w:jc w:val="center"/>
              <w:rPr>
                <w:rFonts w:ascii="Arial Narrow" w:hAnsi="Arial Narrow"/>
                <w:sz w:val="20"/>
              </w:rPr>
            </w:pPr>
          </w:p>
          <w:p w:rsidR="007B2ED6" w:rsidRPr="00284652" w:rsidRDefault="007B2ED6" w:rsidP="009A3C0E">
            <w:pPr>
              <w:keepNext/>
              <w:jc w:val="center"/>
              <w:rPr>
                <w:rFonts w:ascii="Arial Narrow" w:hAnsi="Arial Narrow"/>
                <w:sz w:val="20"/>
              </w:rPr>
            </w:pPr>
            <w:r w:rsidRPr="00284652">
              <w:rPr>
                <w:rFonts w:ascii="Arial Narrow" w:hAnsi="Arial Narrow"/>
                <w:sz w:val="20"/>
              </w:rPr>
              <w:t>5</w:t>
            </w:r>
          </w:p>
        </w:tc>
        <w:tc>
          <w:tcPr>
            <w:tcW w:w="1080" w:type="pct"/>
            <w:gridSpan w:val="2"/>
            <w:vAlign w:val="center"/>
          </w:tcPr>
          <w:p w:rsidR="007B2ED6" w:rsidRPr="00284652" w:rsidRDefault="007B2ED6" w:rsidP="009A3C0E">
            <w:pPr>
              <w:jc w:val="center"/>
              <w:rPr>
                <w:rFonts w:ascii="Arial Narrow" w:hAnsi="Arial Narrow"/>
                <w:sz w:val="20"/>
              </w:rPr>
            </w:pPr>
            <w:r w:rsidRPr="00284652">
              <w:rPr>
                <w:rFonts w:ascii="Arial Narrow" w:hAnsi="Arial Narrow"/>
                <w:sz w:val="20"/>
              </w:rPr>
              <w:t>Published $</w:t>
            </w:r>
            <w:r w:rsidR="002D571E">
              <w:rPr>
                <w:rFonts w:ascii="Arial Narrow" w:hAnsi="Arial Narrow"/>
                <w:noProof/>
                <w:color w:val="000000"/>
                <w:sz w:val="20"/>
                <w:highlight w:val="black"/>
              </w:rPr>
              <w:t>'''''''''''''''''''</w:t>
            </w:r>
          </w:p>
          <w:p w:rsidR="007B2ED6" w:rsidRPr="00284652" w:rsidRDefault="007B2ED6" w:rsidP="009A3C0E">
            <w:pPr>
              <w:jc w:val="center"/>
              <w:rPr>
                <w:rFonts w:ascii="Arial Narrow" w:hAnsi="Arial Narrow"/>
                <w:sz w:val="20"/>
              </w:rPr>
            </w:pPr>
          </w:p>
        </w:tc>
        <w:tc>
          <w:tcPr>
            <w:tcW w:w="460" w:type="pct"/>
            <w:vAlign w:val="center"/>
          </w:tcPr>
          <w:p w:rsidR="007B2ED6" w:rsidRPr="00284652" w:rsidRDefault="007B2ED6" w:rsidP="009A3C0E">
            <w:pPr>
              <w:keepNext/>
              <w:jc w:val="center"/>
              <w:rPr>
                <w:rFonts w:ascii="Arial Narrow" w:hAnsi="Arial Narrow"/>
                <w:sz w:val="20"/>
              </w:rPr>
            </w:pPr>
            <w:r w:rsidRPr="00284652">
              <w:rPr>
                <w:rFonts w:ascii="Arial Narrow" w:hAnsi="Arial Narrow"/>
                <w:sz w:val="20"/>
              </w:rPr>
              <w:t>Imbruvica</w:t>
            </w:r>
          </w:p>
        </w:tc>
        <w:tc>
          <w:tcPr>
            <w:tcW w:w="998" w:type="pct"/>
            <w:vAlign w:val="center"/>
          </w:tcPr>
          <w:p w:rsidR="007B2ED6" w:rsidRPr="00284652" w:rsidRDefault="007B2ED6" w:rsidP="009A3C0E">
            <w:pPr>
              <w:keepNext/>
              <w:jc w:val="center"/>
              <w:rPr>
                <w:rFonts w:ascii="Arial Narrow" w:hAnsi="Arial Narrow"/>
                <w:sz w:val="20"/>
              </w:rPr>
            </w:pPr>
            <w:r w:rsidRPr="00284652">
              <w:rPr>
                <w:rFonts w:ascii="Arial Narrow" w:hAnsi="Arial Narrow"/>
                <w:sz w:val="20"/>
              </w:rPr>
              <w:t>Janssen</w:t>
            </w:r>
          </w:p>
        </w:tc>
      </w:tr>
      <w:tr w:rsidR="007B2ED6" w:rsidRPr="00284652" w:rsidTr="009A3C0E">
        <w:trPr>
          <w:cantSplit/>
          <w:trHeight w:val="360"/>
        </w:trPr>
        <w:tc>
          <w:tcPr>
            <w:tcW w:w="5000" w:type="pct"/>
            <w:gridSpan w:val="8"/>
          </w:tcPr>
          <w:p w:rsidR="007B2ED6" w:rsidRPr="00755B8E" w:rsidRDefault="007B2ED6" w:rsidP="009A3C0E">
            <w:pPr>
              <w:rPr>
                <w:rFonts w:ascii="Arial" w:hAnsi="Arial" w:cs="Arial"/>
                <w:sz w:val="20"/>
              </w:rPr>
            </w:pPr>
            <w:r w:rsidRPr="00755B8E">
              <w:rPr>
                <w:rFonts w:ascii="Arial" w:hAnsi="Arial" w:cs="Arial"/>
                <w:sz w:val="20"/>
                <w:u w:val="single"/>
              </w:rPr>
              <w:t>Authority required</w:t>
            </w:r>
            <w:r w:rsidRPr="00755B8E">
              <w:rPr>
                <w:rFonts w:ascii="Arial" w:hAnsi="Arial" w:cs="Arial"/>
                <w:sz w:val="20"/>
              </w:rPr>
              <w:t xml:space="preserve"> (TELEPHONE) </w:t>
            </w:r>
          </w:p>
        </w:tc>
      </w:tr>
      <w:tr w:rsidR="007B2ED6" w:rsidRPr="00284652" w:rsidTr="009A3C0E">
        <w:tblPrEx>
          <w:tblCellMar>
            <w:left w:w="108" w:type="dxa"/>
            <w:right w:w="108" w:type="dxa"/>
          </w:tblCellMar>
        </w:tblPrEx>
        <w:trPr>
          <w:cantSplit/>
          <w:trHeight w:val="360"/>
        </w:trPr>
        <w:tc>
          <w:tcPr>
            <w:tcW w:w="5000" w:type="pct"/>
            <w:gridSpan w:val="8"/>
            <w:tcBorders>
              <w:bottom w:val="single" w:sz="4" w:space="0" w:color="auto"/>
            </w:tcBorders>
          </w:tcPr>
          <w:p w:rsidR="007B2ED6" w:rsidRPr="00284652" w:rsidRDefault="007B2ED6" w:rsidP="009A3C0E">
            <w:pPr>
              <w:rPr>
                <w:rFonts w:ascii="Arial Narrow" w:hAnsi="Arial Narrow"/>
                <w:sz w:val="20"/>
              </w:rPr>
            </w:pPr>
          </w:p>
        </w:tc>
      </w:tr>
      <w:tr w:rsidR="007B2ED6" w:rsidRPr="00284652" w:rsidTr="009A3C0E">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b/>
                <w:sz w:val="20"/>
              </w:rPr>
            </w:pPr>
            <w:r w:rsidRPr="00284652">
              <w:rPr>
                <w:rFonts w:ascii="Arial Narrow" w:hAnsi="Arial Narrow"/>
                <w:b/>
                <w:sz w:val="20"/>
              </w:rPr>
              <w:t>Category / Program</w:t>
            </w:r>
          </w:p>
        </w:tc>
        <w:tc>
          <w:tcPr>
            <w:tcW w:w="3657" w:type="pct"/>
            <w:gridSpan w:val="7"/>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sz w:val="20"/>
              </w:rPr>
            </w:pPr>
            <w:r w:rsidRPr="00284652">
              <w:rPr>
                <w:rFonts w:ascii="Arial Narrow" w:hAnsi="Arial Narrow"/>
                <w:sz w:val="20"/>
              </w:rPr>
              <w:t>GENERAL – General Schedule (Code GE)</w:t>
            </w:r>
          </w:p>
        </w:tc>
      </w:tr>
      <w:tr w:rsidR="007B2ED6" w:rsidRPr="00284652" w:rsidTr="009A3C0E">
        <w:tblPrEx>
          <w:tblCellMar>
            <w:left w:w="108" w:type="dxa"/>
            <w:right w:w="108" w:type="dxa"/>
          </w:tblCellMar>
        </w:tblPrEx>
        <w:trPr>
          <w:cantSplit/>
          <w:trHeight w:val="465"/>
        </w:trPr>
        <w:tc>
          <w:tcPr>
            <w:tcW w:w="1343" w:type="pct"/>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b/>
                <w:sz w:val="20"/>
              </w:rPr>
            </w:pPr>
            <w:r w:rsidRPr="00284652">
              <w:rPr>
                <w:rFonts w:ascii="Arial Narrow" w:hAnsi="Arial Narrow"/>
                <w:b/>
                <w:sz w:val="20"/>
              </w:rPr>
              <w:t>Prescriber type:</w:t>
            </w:r>
          </w:p>
        </w:tc>
        <w:tc>
          <w:tcPr>
            <w:tcW w:w="3657" w:type="pct"/>
            <w:gridSpan w:val="7"/>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sz w:val="20"/>
              </w:rPr>
            </w:pPr>
            <w:r w:rsidRPr="003A3F8D">
              <w:rPr>
                <w:rFonts w:ascii="Arial Narrow" w:hAnsi="Arial Narrow"/>
                <w:sz w:val="20"/>
              </w:rPr>
              <w:fldChar w:fldCharType="begin">
                <w:ffData>
                  <w:name w:val="Check1"/>
                  <w:enabled/>
                  <w:calcOnExit w:val="0"/>
                  <w:checkBox>
                    <w:sizeAuto/>
                    <w:default w:val="0"/>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 xml:space="preserve">Dental  </w:t>
            </w:r>
            <w:r w:rsidRPr="003A3F8D">
              <w:rPr>
                <w:rFonts w:ascii="Arial Narrow" w:hAnsi="Arial Narrow"/>
                <w:sz w:val="20"/>
              </w:rPr>
              <w:fldChar w:fldCharType="begin">
                <w:ffData>
                  <w:name w:val=""/>
                  <w:enabled/>
                  <w:calcOnExit w:val="0"/>
                  <w:checkBox>
                    <w:sizeAuto/>
                    <w:default w:val="1"/>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 xml:space="preserve">Medical Practitioners  </w:t>
            </w:r>
            <w:r w:rsidRPr="003A3F8D">
              <w:rPr>
                <w:rFonts w:ascii="Arial Narrow" w:hAnsi="Arial Narrow"/>
                <w:sz w:val="20"/>
              </w:rPr>
              <w:fldChar w:fldCharType="begin">
                <w:ffData>
                  <w:name w:val="Check3"/>
                  <w:enabled/>
                  <w:calcOnExit w:val="0"/>
                  <w:checkBox>
                    <w:sizeAuto/>
                    <w:default w:val="0"/>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 xml:space="preserve">Nurse practitioners  </w:t>
            </w: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Optometrists</w:t>
            </w:r>
          </w:p>
          <w:p w:rsidR="007B2ED6" w:rsidRPr="00284652" w:rsidRDefault="007B2ED6" w:rsidP="009A3C0E">
            <w:pPr>
              <w:rPr>
                <w:rFonts w:ascii="Arial Narrow" w:hAnsi="Arial Narrow"/>
                <w:sz w:val="20"/>
              </w:rPr>
            </w:pPr>
            <w:r w:rsidRPr="003A3F8D">
              <w:rPr>
                <w:rFonts w:ascii="Arial Narrow" w:hAnsi="Arial Narrow"/>
                <w:sz w:val="20"/>
              </w:rPr>
              <w:fldChar w:fldCharType="begin">
                <w:ffData>
                  <w:name w:val="Check5"/>
                  <w:enabled/>
                  <w:calcOnExit w:val="0"/>
                  <w:checkBox>
                    <w:sizeAuto/>
                    <w:default w:val="0"/>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Midwives</w:t>
            </w:r>
          </w:p>
        </w:tc>
      </w:tr>
      <w:tr w:rsidR="007B2ED6" w:rsidRPr="00284652" w:rsidTr="009A3C0E">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b/>
                <w:sz w:val="20"/>
              </w:rPr>
            </w:pPr>
            <w:r w:rsidRPr="00284652">
              <w:rPr>
                <w:rFonts w:ascii="Arial Narrow" w:hAnsi="Arial Narrow"/>
                <w:b/>
                <w:sz w:val="20"/>
              </w:rPr>
              <w:t>PBS Indication:</w:t>
            </w:r>
          </w:p>
        </w:tc>
        <w:tc>
          <w:tcPr>
            <w:tcW w:w="3657" w:type="pct"/>
            <w:gridSpan w:val="7"/>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sz w:val="20"/>
              </w:rPr>
            </w:pPr>
            <w:r w:rsidRPr="00284652">
              <w:rPr>
                <w:rFonts w:ascii="Arial Narrow" w:hAnsi="Arial Narrow"/>
                <w:sz w:val="20"/>
              </w:rPr>
              <w:t>Chronic lymphocytic leukaemia (CLL) or small lymphocytic lymphoma (SLL)</w:t>
            </w:r>
          </w:p>
        </w:tc>
      </w:tr>
      <w:tr w:rsidR="007B2ED6" w:rsidRPr="00284652" w:rsidTr="009A3C0E">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i/>
                <w:sz w:val="20"/>
              </w:rPr>
            </w:pPr>
            <w:r w:rsidRPr="00284652">
              <w:rPr>
                <w:rFonts w:ascii="Arial Narrow" w:hAnsi="Arial Narrow"/>
                <w:b/>
                <w:sz w:val="20"/>
              </w:rPr>
              <w:t>Restriction Level / Method:</w:t>
            </w:r>
          </w:p>
        </w:tc>
        <w:tc>
          <w:tcPr>
            <w:tcW w:w="3657" w:type="pct"/>
            <w:gridSpan w:val="7"/>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sz w:val="20"/>
              </w:rPr>
            </w:pPr>
            <w:r w:rsidRPr="003A3F8D">
              <w:rPr>
                <w:rFonts w:ascii="Arial Narrow" w:hAnsi="Arial Narrow"/>
                <w:sz w:val="20"/>
              </w:rPr>
              <w:fldChar w:fldCharType="begin">
                <w:ffData>
                  <w:name w:val="Check1"/>
                  <w:enabled/>
                  <w:calcOnExit w:val="0"/>
                  <w:checkBox>
                    <w:sizeAuto/>
                    <w:default w:val="0"/>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Restricted benefit</w:t>
            </w:r>
          </w:p>
          <w:p w:rsidR="007B2ED6" w:rsidRPr="00284652" w:rsidRDefault="007B2ED6" w:rsidP="009A3C0E">
            <w:pPr>
              <w:rPr>
                <w:rFonts w:ascii="Arial Narrow" w:hAnsi="Arial Narrow"/>
                <w:sz w:val="20"/>
              </w:rPr>
            </w:pPr>
            <w:r w:rsidRPr="003A3F8D">
              <w:rPr>
                <w:rFonts w:ascii="Arial Narrow" w:hAnsi="Arial Narrow"/>
                <w:sz w:val="20"/>
              </w:rPr>
              <w:fldChar w:fldCharType="begin">
                <w:ffData>
                  <w:name w:val=""/>
                  <w:enabled/>
                  <w:calcOnExit w:val="0"/>
                  <w:checkBox>
                    <w:sizeAuto/>
                    <w:default w:val="1"/>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In Writing</w:t>
            </w:r>
          </w:p>
          <w:p w:rsidR="007B2ED6" w:rsidRPr="00284652" w:rsidRDefault="007B2ED6" w:rsidP="009A3C0E">
            <w:pPr>
              <w:rPr>
                <w:rFonts w:ascii="Arial Narrow" w:hAnsi="Arial Narrow"/>
                <w:sz w:val="20"/>
              </w:rPr>
            </w:pPr>
            <w:r w:rsidRPr="003A3F8D">
              <w:rPr>
                <w:rFonts w:ascii="Arial Narrow" w:hAnsi="Arial Narrow"/>
                <w:sz w:val="20"/>
              </w:rPr>
              <w:fldChar w:fldCharType="begin">
                <w:ffData>
                  <w:name w:val=""/>
                  <w:enabled/>
                  <w:calcOnExit w:val="0"/>
                  <w:checkBox>
                    <w:sizeAuto/>
                    <w:default w:val="1"/>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Telephone</w:t>
            </w:r>
          </w:p>
          <w:p w:rsidR="007B2ED6" w:rsidRPr="00284652" w:rsidRDefault="007B2ED6" w:rsidP="009A3C0E">
            <w:pPr>
              <w:rPr>
                <w:rFonts w:ascii="Arial Narrow" w:hAnsi="Arial Narrow"/>
                <w:sz w:val="20"/>
              </w:rPr>
            </w:pP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Emergency</w:t>
            </w:r>
          </w:p>
          <w:p w:rsidR="007B2ED6" w:rsidRPr="00284652" w:rsidRDefault="007B2ED6" w:rsidP="009A3C0E">
            <w:pPr>
              <w:rPr>
                <w:rFonts w:ascii="Arial Narrow" w:hAnsi="Arial Narrow"/>
                <w:sz w:val="20"/>
              </w:rPr>
            </w:pPr>
            <w:r w:rsidRPr="003A3F8D">
              <w:rPr>
                <w:rFonts w:ascii="Arial Narrow" w:hAnsi="Arial Narrow"/>
                <w:sz w:val="20"/>
              </w:rPr>
              <w:fldChar w:fldCharType="begin">
                <w:ffData>
                  <w:name w:val="Check5"/>
                  <w:enabled/>
                  <w:calcOnExit w:val="0"/>
                  <w:checkBox>
                    <w:sizeAuto/>
                    <w:default w:val="0"/>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Authority Required - Electronic</w:t>
            </w:r>
          </w:p>
          <w:p w:rsidR="007B2ED6" w:rsidRPr="00284652" w:rsidRDefault="007B2ED6" w:rsidP="009A3C0E">
            <w:pPr>
              <w:rPr>
                <w:rFonts w:ascii="Arial Narrow" w:hAnsi="Arial Narrow"/>
                <w:sz w:val="20"/>
              </w:rPr>
            </w:pPr>
            <w:r w:rsidRPr="003A3F8D">
              <w:rPr>
                <w:rFonts w:ascii="Arial Narrow" w:hAnsi="Arial Narrow"/>
                <w:sz w:val="20"/>
              </w:rPr>
              <w:fldChar w:fldCharType="begin">
                <w:ffData>
                  <w:name w:val=""/>
                  <w:enabled/>
                  <w:calcOnExit w:val="0"/>
                  <w:checkBox>
                    <w:sizeAuto/>
                    <w:default w:val="0"/>
                  </w:checkBox>
                </w:ffData>
              </w:fldChar>
            </w:r>
            <w:r w:rsidRPr="00284652">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3A3F8D">
              <w:rPr>
                <w:rFonts w:ascii="Arial Narrow" w:hAnsi="Arial Narrow"/>
                <w:sz w:val="20"/>
              </w:rPr>
              <w:fldChar w:fldCharType="end"/>
            </w:r>
            <w:r w:rsidRPr="00284652">
              <w:rPr>
                <w:rFonts w:ascii="Arial Narrow" w:hAnsi="Arial Narrow"/>
                <w:sz w:val="20"/>
              </w:rPr>
              <w:t>Streamlined</w:t>
            </w:r>
          </w:p>
        </w:tc>
      </w:tr>
      <w:tr w:rsidR="007B2ED6" w:rsidRPr="00284652" w:rsidTr="009A3C0E">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i/>
                <w:sz w:val="20"/>
              </w:rPr>
            </w:pPr>
            <w:r w:rsidRPr="00284652">
              <w:rPr>
                <w:rFonts w:ascii="Arial Narrow" w:hAnsi="Arial Narrow"/>
                <w:b/>
                <w:sz w:val="20"/>
              </w:rPr>
              <w:t>Clinical criteria:</w:t>
            </w:r>
          </w:p>
        </w:tc>
        <w:tc>
          <w:tcPr>
            <w:tcW w:w="3657" w:type="pct"/>
            <w:gridSpan w:val="7"/>
            <w:tcBorders>
              <w:top w:val="single" w:sz="4" w:space="0" w:color="auto"/>
              <w:left w:val="single" w:sz="4" w:space="0" w:color="auto"/>
              <w:bottom w:val="single" w:sz="4" w:space="0" w:color="auto"/>
              <w:right w:val="single" w:sz="4" w:space="0" w:color="auto"/>
            </w:tcBorders>
          </w:tcPr>
          <w:p w:rsidR="007B2ED6" w:rsidRPr="00284652" w:rsidRDefault="007B2ED6" w:rsidP="00E6110B">
            <w:pPr>
              <w:pStyle w:val="BodyText"/>
              <w:spacing w:after="0"/>
              <w:rPr>
                <w:rFonts w:ascii="Arial Narrow" w:hAnsi="Arial Narrow"/>
                <w:sz w:val="20"/>
              </w:rPr>
            </w:pPr>
            <w:r w:rsidRPr="00284652">
              <w:rPr>
                <w:rFonts w:ascii="Arial Narrow" w:hAnsi="Arial Narrow"/>
                <w:sz w:val="20"/>
              </w:rPr>
              <w:t>The treatment must be as monotherapy;</w:t>
            </w:r>
          </w:p>
          <w:p w:rsidR="007B2ED6" w:rsidRPr="00284652" w:rsidRDefault="007B2ED6" w:rsidP="00E6110B">
            <w:pPr>
              <w:pStyle w:val="BodyText"/>
              <w:spacing w:after="0"/>
              <w:rPr>
                <w:rFonts w:ascii="Arial Narrow" w:hAnsi="Arial Narrow"/>
                <w:sz w:val="20"/>
              </w:rPr>
            </w:pPr>
            <w:r w:rsidRPr="00284652">
              <w:rPr>
                <w:rFonts w:ascii="Arial Narrow" w:hAnsi="Arial Narrow"/>
                <w:sz w:val="20"/>
              </w:rPr>
              <w:t>AND</w:t>
            </w:r>
          </w:p>
          <w:p w:rsidR="007B2ED6" w:rsidRPr="00284652" w:rsidRDefault="007B2ED6" w:rsidP="00E6110B">
            <w:pPr>
              <w:pStyle w:val="BodyText"/>
              <w:spacing w:after="0"/>
              <w:rPr>
                <w:rFonts w:ascii="Arial Narrow" w:hAnsi="Arial Narrow"/>
                <w:sz w:val="20"/>
              </w:rPr>
            </w:pPr>
            <w:r w:rsidRPr="00284652">
              <w:rPr>
                <w:rFonts w:ascii="Arial Narrow" w:hAnsi="Arial Narrow"/>
                <w:sz w:val="20"/>
              </w:rPr>
              <w:t>The condition must have relapsed or be refractory to at least one prior therapy;</w:t>
            </w:r>
          </w:p>
          <w:p w:rsidR="007B2ED6" w:rsidRPr="00284652" w:rsidRDefault="007B2ED6" w:rsidP="00E6110B">
            <w:pPr>
              <w:pStyle w:val="BodyText"/>
              <w:spacing w:after="0"/>
              <w:rPr>
                <w:rFonts w:ascii="Arial Narrow" w:hAnsi="Arial Narrow"/>
                <w:sz w:val="20"/>
              </w:rPr>
            </w:pPr>
            <w:r w:rsidRPr="00284652">
              <w:rPr>
                <w:rFonts w:ascii="Arial Narrow" w:hAnsi="Arial Narrow"/>
                <w:sz w:val="20"/>
              </w:rPr>
              <w:t>AND</w:t>
            </w:r>
          </w:p>
          <w:p w:rsidR="007B2ED6" w:rsidRPr="00284652" w:rsidRDefault="007B2ED6" w:rsidP="00E6110B">
            <w:pPr>
              <w:pStyle w:val="BodyText"/>
              <w:spacing w:after="0"/>
              <w:rPr>
                <w:rFonts w:ascii="Arial Narrow" w:hAnsi="Arial Narrow"/>
                <w:sz w:val="20"/>
              </w:rPr>
            </w:pPr>
            <w:r w:rsidRPr="00284652">
              <w:rPr>
                <w:rFonts w:ascii="Arial Narrow" w:hAnsi="Arial Narrow"/>
                <w:sz w:val="20"/>
              </w:rPr>
              <w:t>Patient must have a WHO performance status of 0 or 1.</w:t>
            </w:r>
          </w:p>
          <w:p w:rsidR="007B2ED6" w:rsidRPr="00284652" w:rsidRDefault="007B2ED6" w:rsidP="00E6110B">
            <w:pPr>
              <w:pStyle w:val="BodyText"/>
              <w:spacing w:after="0"/>
              <w:rPr>
                <w:rFonts w:ascii="Arial Narrow" w:hAnsi="Arial Narrow"/>
                <w:sz w:val="20"/>
              </w:rPr>
            </w:pPr>
            <w:r w:rsidRPr="00284652">
              <w:rPr>
                <w:rFonts w:ascii="Arial Narrow" w:hAnsi="Arial Narrow"/>
                <w:sz w:val="20"/>
              </w:rPr>
              <w:t>AND</w:t>
            </w:r>
          </w:p>
          <w:p w:rsidR="007B2ED6" w:rsidRPr="00284652" w:rsidRDefault="007B2ED6" w:rsidP="00E6110B">
            <w:pPr>
              <w:pStyle w:val="BodyText"/>
              <w:spacing w:after="0"/>
              <w:rPr>
                <w:rFonts w:ascii="Arial Narrow" w:hAnsi="Arial Narrow"/>
                <w:sz w:val="20"/>
              </w:rPr>
            </w:pPr>
            <w:r w:rsidRPr="00284652">
              <w:rPr>
                <w:rFonts w:ascii="Arial Narrow" w:hAnsi="Arial Narrow"/>
                <w:sz w:val="20"/>
              </w:rPr>
              <w:t>The patient must be considered unsuitable for treatment or retreatment with a purine analogue.</w:t>
            </w:r>
          </w:p>
        </w:tc>
      </w:tr>
      <w:tr w:rsidR="007B2ED6" w:rsidRPr="00284652" w:rsidTr="009A3C0E">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sz w:val="20"/>
              </w:rPr>
            </w:pPr>
            <w:r w:rsidRPr="00284652">
              <w:rPr>
                <w:rFonts w:ascii="Arial Narrow" w:hAnsi="Arial Narrow"/>
                <w:b/>
                <w:sz w:val="20"/>
              </w:rPr>
              <w:lastRenderedPageBreak/>
              <w:t>Prescriber Instructions</w:t>
            </w:r>
          </w:p>
        </w:tc>
        <w:tc>
          <w:tcPr>
            <w:tcW w:w="3657" w:type="pct"/>
            <w:gridSpan w:val="7"/>
            <w:tcBorders>
              <w:top w:val="single" w:sz="4" w:space="0" w:color="auto"/>
              <w:left w:val="single" w:sz="4" w:space="0" w:color="auto"/>
              <w:bottom w:val="single" w:sz="4" w:space="0" w:color="auto"/>
              <w:right w:val="single" w:sz="4" w:space="0" w:color="auto"/>
            </w:tcBorders>
          </w:tcPr>
          <w:p w:rsidR="007B2ED6" w:rsidRPr="00284652" w:rsidRDefault="007B2ED6" w:rsidP="009A3C0E">
            <w:pPr>
              <w:rPr>
                <w:rFonts w:ascii="Arial Narrow" w:hAnsi="Arial Narrow"/>
                <w:sz w:val="20"/>
              </w:rPr>
            </w:pPr>
            <w:r w:rsidRPr="00284652">
              <w:rPr>
                <w:rFonts w:ascii="Arial Narrow" w:hAnsi="Arial Narrow"/>
                <w:sz w:val="20"/>
              </w:rPr>
              <w:t>A patient is considered unsuitable for treatment or retreatment with a purine analogue as demonstrated by at least one of the following:</w:t>
            </w:r>
          </w:p>
          <w:p w:rsidR="007B2ED6" w:rsidRPr="00284652" w:rsidRDefault="007B2ED6" w:rsidP="009A3C0E">
            <w:pPr>
              <w:rPr>
                <w:rFonts w:ascii="Arial Narrow" w:hAnsi="Arial Narrow"/>
                <w:sz w:val="20"/>
              </w:rPr>
            </w:pPr>
            <w:r w:rsidRPr="00284652">
              <w:rPr>
                <w:rFonts w:ascii="Arial Narrow" w:hAnsi="Arial Narrow"/>
                <w:sz w:val="20"/>
              </w:rPr>
              <w:t>a.</w:t>
            </w:r>
            <w:r w:rsidRPr="00284652">
              <w:rPr>
                <w:rFonts w:ascii="Arial Narrow" w:hAnsi="Arial Narrow"/>
                <w:sz w:val="20"/>
              </w:rPr>
              <w:tab/>
              <w:t>Failure to respond (stable disease or disease progression on treatment), or a progression-free interval of less than 3 years from treatment with a purine analogue-based therapy and anti-CD20-containing chemoimmunotherapy regimen after at least two cycles</w:t>
            </w:r>
          </w:p>
          <w:p w:rsidR="007B2ED6" w:rsidRPr="00284652" w:rsidRDefault="007B2ED6" w:rsidP="009A3C0E">
            <w:pPr>
              <w:rPr>
                <w:rFonts w:ascii="Arial Narrow" w:hAnsi="Arial Narrow"/>
                <w:sz w:val="20"/>
              </w:rPr>
            </w:pPr>
            <w:r w:rsidRPr="00284652">
              <w:rPr>
                <w:rFonts w:ascii="Arial Narrow" w:hAnsi="Arial Narrow"/>
                <w:sz w:val="20"/>
              </w:rPr>
              <w:t>b.</w:t>
            </w:r>
            <w:r w:rsidRPr="00284652">
              <w:rPr>
                <w:rFonts w:ascii="Arial Narrow" w:hAnsi="Arial Narrow"/>
                <w:sz w:val="20"/>
              </w:rPr>
              <w:tab/>
              <w:t>Age ≥ 70 years</w:t>
            </w:r>
          </w:p>
          <w:p w:rsidR="007B2ED6" w:rsidRPr="00284652" w:rsidRDefault="007B2ED6" w:rsidP="009A3C0E">
            <w:pPr>
              <w:rPr>
                <w:rFonts w:ascii="Arial Narrow" w:hAnsi="Arial Narrow"/>
                <w:sz w:val="20"/>
              </w:rPr>
            </w:pPr>
            <w:r w:rsidRPr="00284652">
              <w:rPr>
                <w:rFonts w:ascii="Arial Narrow" w:hAnsi="Arial Narrow"/>
                <w:sz w:val="20"/>
              </w:rPr>
              <w:t>c.</w:t>
            </w:r>
            <w:r w:rsidRPr="00284652">
              <w:rPr>
                <w:rFonts w:ascii="Arial Narrow" w:hAnsi="Arial Narrow"/>
                <w:sz w:val="20"/>
              </w:rPr>
              <w:tab/>
              <w:t>Age ≥ 65 years and the presence of comorbidities (Cumulative Illness Rating Scale ≥ 6 or creatinine clearance &lt;70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p>
          <w:p w:rsidR="007B2ED6" w:rsidRPr="00284652" w:rsidRDefault="007B2ED6" w:rsidP="009A3C0E">
            <w:pPr>
              <w:rPr>
                <w:rFonts w:ascii="Arial Narrow" w:hAnsi="Arial Narrow"/>
                <w:sz w:val="20"/>
              </w:rPr>
            </w:pPr>
            <w:r w:rsidRPr="00284652">
              <w:rPr>
                <w:rFonts w:ascii="Arial Narrow" w:hAnsi="Arial Narrow"/>
                <w:sz w:val="20"/>
              </w:rPr>
              <w:t>d.</w:t>
            </w:r>
            <w:r w:rsidRPr="00284652">
              <w:rPr>
                <w:rFonts w:ascii="Arial Narrow" w:hAnsi="Arial Narrow"/>
                <w:sz w:val="20"/>
              </w:rPr>
              <w:tab/>
              <w:t>History of purine analogue-associated autoimmune anaemia or autoimmune thrombocytopenia</w:t>
            </w:r>
          </w:p>
          <w:p w:rsidR="007B2ED6" w:rsidRPr="00284652" w:rsidRDefault="007B2ED6" w:rsidP="009A3C0E">
            <w:pPr>
              <w:rPr>
                <w:rFonts w:ascii="Arial Narrow" w:hAnsi="Arial Narrow"/>
                <w:sz w:val="20"/>
              </w:rPr>
            </w:pPr>
            <w:r w:rsidRPr="00284652">
              <w:rPr>
                <w:rFonts w:ascii="Arial Narrow" w:hAnsi="Arial Narrow"/>
                <w:sz w:val="20"/>
              </w:rPr>
              <w:t>e.</w:t>
            </w:r>
            <w:r w:rsidRPr="00284652">
              <w:rPr>
                <w:rFonts w:ascii="Arial Narrow" w:hAnsi="Arial Narrow"/>
                <w:sz w:val="20"/>
              </w:rPr>
              <w:tab/>
              <w:t>17p deletion</w:t>
            </w:r>
          </w:p>
          <w:p w:rsidR="007B2ED6" w:rsidRPr="00284652" w:rsidRDefault="007B2ED6" w:rsidP="009A3C0E">
            <w:pPr>
              <w:rPr>
                <w:rFonts w:ascii="Arial Narrow" w:hAnsi="Arial Narrow"/>
                <w:sz w:val="20"/>
              </w:rPr>
            </w:pPr>
          </w:p>
          <w:p w:rsidR="007B2ED6" w:rsidRPr="00284652" w:rsidRDefault="007B2ED6" w:rsidP="009A3C0E">
            <w:pPr>
              <w:rPr>
                <w:rFonts w:ascii="Arial Narrow" w:hAnsi="Arial Narrow"/>
                <w:sz w:val="20"/>
              </w:rPr>
            </w:pPr>
            <w:r w:rsidRPr="00284652">
              <w:rPr>
                <w:rFonts w:ascii="Arial Narrow" w:hAnsi="Arial Narrow"/>
                <w:sz w:val="20"/>
              </w:rPr>
              <w:t>Treatment must be discontinued in patients who experience disease progression while on treatment.</w:t>
            </w:r>
          </w:p>
        </w:tc>
      </w:tr>
      <w:tr w:rsidR="007B2ED6" w:rsidRPr="00284652" w:rsidTr="009A3C0E">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7B2ED6" w:rsidRPr="00284652" w:rsidRDefault="007B2ED6" w:rsidP="009A3C0E">
            <w:pPr>
              <w:jc w:val="both"/>
              <w:rPr>
                <w:rFonts w:ascii="Arial Narrow" w:hAnsi="Arial Narrow"/>
                <w:b/>
                <w:sz w:val="20"/>
              </w:rPr>
            </w:pPr>
            <w:r w:rsidRPr="00284652">
              <w:rPr>
                <w:rFonts w:ascii="Arial Narrow" w:hAnsi="Arial Narrow" w:cs="Arial"/>
                <w:b/>
                <w:sz w:val="20"/>
                <w:szCs w:val="20"/>
              </w:rPr>
              <w:t>Administrative Advice</w:t>
            </w:r>
          </w:p>
        </w:tc>
        <w:tc>
          <w:tcPr>
            <w:tcW w:w="3657" w:type="pct"/>
            <w:gridSpan w:val="7"/>
            <w:tcBorders>
              <w:top w:val="single" w:sz="4" w:space="0" w:color="auto"/>
              <w:left w:val="single" w:sz="4" w:space="0" w:color="auto"/>
              <w:bottom w:val="single" w:sz="4" w:space="0" w:color="auto"/>
              <w:right w:val="single" w:sz="4" w:space="0" w:color="auto"/>
            </w:tcBorders>
          </w:tcPr>
          <w:p w:rsidR="007B2ED6" w:rsidRPr="00284652" w:rsidRDefault="00341612" w:rsidP="009A3C0E">
            <w:pPr>
              <w:tabs>
                <w:tab w:val="left" w:pos="3533"/>
              </w:tabs>
              <w:rPr>
                <w:rFonts w:ascii="Arial Narrow" w:hAnsi="Arial Narrow"/>
                <w:sz w:val="20"/>
                <w:szCs w:val="20"/>
              </w:rPr>
            </w:pPr>
            <w:r w:rsidRPr="00284652">
              <w:rPr>
                <w:rFonts w:ascii="Arial Narrow" w:hAnsi="Arial Narrow"/>
                <w:i/>
                <w:sz w:val="20"/>
                <w:szCs w:val="20"/>
              </w:rPr>
              <w:t>Special Pricing Arrangements apply.</w:t>
            </w:r>
          </w:p>
        </w:tc>
      </w:tr>
    </w:tbl>
    <w:p w:rsidR="007B2ED6" w:rsidRPr="00E07EB8" w:rsidRDefault="007B2ED6" w:rsidP="007B2ED6">
      <w:pPr>
        <w:rPr>
          <w:szCs w:val="22"/>
        </w:rPr>
      </w:pPr>
    </w:p>
    <w:p w:rsidR="00B7377E" w:rsidRPr="00284652" w:rsidRDefault="00B7377E" w:rsidP="006516CA">
      <w:pPr>
        <w:pStyle w:val="ListParagraph"/>
        <w:widowControl/>
        <w:ind w:left="0"/>
        <w:rPr>
          <w:i/>
          <w:szCs w:val="22"/>
        </w:rPr>
      </w:pPr>
    </w:p>
    <w:p w:rsidR="007B2ED6" w:rsidRPr="00284652" w:rsidRDefault="007B2ED6" w:rsidP="007B2ED6">
      <w:pPr>
        <w:pStyle w:val="Heading1"/>
        <w:widowControl/>
        <w:numPr>
          <w:ilvl w:val="0"/>
          <w:numId w:val="5"/>
        </w:numPr>
      </w:pPr>
      <w:r w:rsidRPr="00284652">
        <w:t>Background</w:t>
      </w:r>
    </w:p>
    <w:p w:rsidR="007B2ED6" w:rsidRPr="00284652" w:rsidRDefault="007B2ED6" w:rsidP="007B2ED6">
      <w:pPr>
        <w:jc w:val="both"/>
        <w:rPr>
          <w:rFonts w:ascii="Arial" w:hAnsi="Arial"/>
          <w:sz w:val="22"/>
          <w:szCs w:val="22"/>
        </w:rPr>
      </w:pPr>
    </w:p>
    <w:p w:rsidR="007B2ED6" w:rsidRPr="00284652" w:rsidRDefault="007B2ED6" w:rsidP="007B2ED6">
      <w:pPr>
        <w:pStyle w:val="ListParagraph"/>
        <w:widowControl/>
        <w:numPr>
          <w:ilvl w:val="1"/>
          <w:numId w:val="5"/>
        </w:numPr>
        <w:rPr>
          <w:i/>
          <w:szCs w:val="22"/>
        </w:rPr>
      </w:pPr>
      <w:r w:rsidRPr="00284652">
        <w:rPr>
          <w:szCs w:val="22"/>
        </w:rPr>
        <w:t xml:space="preserve">Ibrutinib is TGA registered for the treatment of (1) patients with CLL/SLL who have received at least one prior therapy or as first line in patients with CLL with 17p deletion and (2) patients with mantle cell lymphoma who have received at least one prior therapy. </w:t>
      </w:r>
    </w:p>
    <w:p w:rsidR="007B2ED6" w:rsidRPr="00284652" w:rsidRDefault="007B2ED6" w:rsidP="007B2ED6">
      <w:pPr>
        <w:pStyle w:val="ListParagraph"/>
        <w:rPr>
          <w:szCs w:val="22"/>
        </w:rPr>
      </w:pPr>
    </w:p>
    <w:p w:rsidR="00C1746D" w:rsidRPr="00E07EB8" w:rsidRDefault="007B2ED6" w:rsidP="007B2ED6">
      <w:pPr>
        <w:pStyle w:val="ListParagraph"/>
        <w:widowControl/>
        <w:numPr>
          <w:ilvl w:val="1"/>
          <w:numId w:val="5"/>
        </w:numPr>
        <w:rPr>
          <w:b/>
          <w:szCs w:val="22"/>
        </w:rPr>
      </w:pPr>
      <w:r w:rsidRPr="00284652">
        <w:rPr>
          <w:szCs w:val="22"/>
        </w:rPr>
        <w:t>The PBAC did not recommend ibrutinib</w:t>
      </w:r>
      <w:r w:rsidR="00324B77" w:rsidRPr="00284652">
        <w:rPr>
          <w:szCs w:val="22"/>
        </w:rPr>
        <w:t xml:space="preserve"> of CLL/SLL</w:t>
      </w:r>
      <w:r w:rsidRPr="00284652">
        <w:rPr>
          <w:szCs w:val="22"/>
        </w:rPr>
        <w:t xml:space="preserve"> in July 2015 (major submission), November 2015 (minor re-submission)</w:t>
      </w:r>
      <w:r w:rsidR="009A3C0E" w:rsidRPr="00284652">
        <w:rPr>
          <w:szCs w:val="22"/>
        </w:rPr>
        <w:t>,</w:t>
      </w:r>
      <w:r w:rsidRPr="00284652">
        <w:rPr>
          <w:szCs w:val="22"/>
        </w:rPr>
        <w:t xml:space="preserve"> March 2016 (minor re-submission)</w:t>
      </w:r>
      <w:r w:rsidR="009A3C0E" w:rsidRPr="00284652">
        <w:rPr>
          <w:szCs w:val="22"/>
        </w:rPr>
        <w:t xml:space="preserve"> or August 2016 Special (minor re-submission)</w:t>
      </w:r>
      <w:r w:rsidRPr="00284652">
        <w:rPr>
          <w:szCs w:val="22"/>
        </w:rPr>
        <w:t xml:space="preserve">. </w:t>
      </w:r>
    </w:p>
    <w:p w:rsidR="00C1746D" w:rsidRPr="00C1746D" w:rsidRDefault="00C1746D" w:rsidP="00E07EB8">
      <w:pPr>
        <w:pStyle w:val="ListParagraph"/>
        <w:rPr>
          <w:szCs w:val="22"/>
        </w:rPr>
      </w:pPr>
    </w:p>
    <w:p w:rsidR="00C1746D" w:rsidRPr="000520F0" w:rsidRDefault="00C1746D" w:rsidP="000520F0">
      <w:pPr>
        <w:pStyle w:val="ListParagraph"/>
        <w:widowControl/>
        <w:numPr>
          <w:ilvl w:val="1"/>
          <w:numId w:val="5"/>
        </w:numPr>
        <w:rPr>
          <w:szCs w:val="22"/>
        </w:rPr>
      </w:pPr>
      <w:r>
        <w:rPr>
          <w:szCs w:val="22"/>
        </w:rPr>
        <w:t>In August 2016 t</w:t>
      </w:r>
      <w:r w:rsidRPr="005E39BD">
        <w:rPr>
          <w:szCs w:val="22"/>
        </w:rPr>
        <w:t xml:space="preserve">he PBAC did not recommend the listing of ibrutinib for the treatment of relapsed </w:t>
      </w:r>
      <w:r>
        <w:rPr>
          <w:szCs w:val="22"/>
        </w:rPr>
        <w:t xml:space="preserve">or </w:t>
      </w:r>
      <w:r w:rsidRPr="005E39BD">
        <w:rPr>
          <w:szCs w:val="22"/>
        </w:rPr>
        <w:t>refractory CLL</w:t>
      </w:r>
      <w:r>
        <w:rPr>
          <w:szCs w:val="22"/>
        </w:rPr>
        <w:t>/</w:t>
      </w:r>
      <w:r w:rsidRPr="005E39BD">
        <w:rPr>
          <w:szCs w:val="22"/>
        </w:rPr>
        <w:t>SLL because, at the price proposed by the submission</w:t>
      </w:r>
      <w:r>
        <w:rPr>
          <w:szCs w:val="22"/>
        </w:rPr>
        <w:t>,</w:t>
      </w:r>
      <w:r w:rsidRPr="005E39BD">
        <w:rPr>
          <w:szCs w:val="22"/>
        </w:rPr>
        <w:t xml:space="preserve"> the </w:t>
      </w:r>
      <w:r>
        <w:rPr>
          <w:szCs w:val="22"/>
        </w:rPr>
        <w:t xml:space="preserve">incremental cost per quality adjusted life year (QALY) gained </w:t>
      </w:r>
      <w:r w:rsidRPr="005E39BD">
        <w:rPr>
          <w:szCs w:val="22"/>
        </w:rPr>
        <w:t xml:space="preserve">was unacceptably high. Additionally, </w:t>
      </w:r>
      <w:r>
        <w:rPr>
          <w:szCs w:val="22"/>
        </w:rPr>
        <w:t>t</w:t>
      </w:r>
      <w:r w:rsidRPr="005E39BD">
        <w:rPr>
          <w:szCs w:val="22"/>
        </w:rPr>
        <w:t xml:space="preserve">he PBAC noted the financial impact of listing </w:t>
      </w:r>
      <w:r>
        <w:rPr>
          <w:szCs w:val="22"/>
        </w:rPr>
        <w:t>ibrutinib at the proposed price</w:t>
      </w:r>
      <w:r w:rsidRPr="005E39BD">
        <w:rPr>
          <w:szCs w:val="22"/>
        </w:rPr>
        <w:t xml:space="preserve"> was high with a total net cost to the PBS of </w:t>
      </w:r>
      <w:r w:rsidR="006A64D1">
        <w:rPr>
          <w:szCs w:val="22"/>
        </w:rPr>
        <w:t>more than $100 million</w:t>
      </w:r>
      <w:r w:rsidRPr="005E39BD">
        <w:rPr>
          <w:szCs w:val="22"/>
        </w:rPr>
        <w:t xml:space="preserve"> over the first 5 years of listing, and as such</w:t>
      </w:r>
      <w:r>
        <w:rPr>
          <w:szCs w:val="22"/>
        </w:rPr>
        <w:t>,</w:t>
      </w:r>
      <w:r w:rsidRPr="005E39BD">
        <w:rPr>
          <w:szCs w:val="22"/>
        </w:rPr>
        <w:t xml:space="preserve"> there would be a significant opportunity cost to the Commonwealth. </w:t>
      </w:r>
    </w:p>
    <w:p w:rsidR="00C1746D" w:rsidRPr="00C1746D" w:rsidRDefault="00C1746D" w:rsidP="00E07EB8">
      <w:pPr>
        <w:pStyle w:val="ListParagraph"/>
        <w:rPr>
          <w:szCs w:val="22"/>
        </w:rPr>
      </w:pPr>
    </w:p>
    <w:p w:rsidR="00B7377E" w:rsidRPr="00284652" w:rsidRDefault="007B2ED6" w:rsidP="007B2ED6">
      <w:pPr>
        <w:pStyle w:val="ListParagraph"/>
        <w:widowControl/>
        <w:numPr>
          <w:ilvl w:val="1"/>
          <w:numId w:val="5"/>
        </w:numPr>
        <w:rPr>
          <w:b/>
          <w:szCs w:val="22"/>
        </w:rPr>
      </w:pPr>
      <w:r w:rsidRPr="00284652">
        <w:rPr>
          <w:szCs w:val="22"/>
        </w:rPr>
        <w:t xml:space="preserve">The current minor re-submission sought to address the </w:t>
      </w:r>
      <w:r w:rsidR="006516CA" w:rsidRPr="00284652">
        <w:rPr>
          <w:szCs w:val="22"/>
        </w:rPr>
        <w:t xml:space="preserve">outstanding </w:t>
      </w:r>
      <w:r w:rsidRPr="00284652">
        <w:rPr>
          <w:szCs w:val="22"/>
        </w:rPr>
        <w:t>issue</w:t>
      </w:r>
      <w:r w:rsidR="009129A4" w:rsidRPr="00284652">
        <w:rPr>
          <w:szCs w:val="22"/>
        </w:rPr>
        <w:t>s</w:t>
      </w:r>
      <w:r w:rsidRPr="00284652">
        <w:rPr>
          <w:szCs w:val="22"/>
        </w:rPr>
        <w:t xml:space="preserve"> </w:t>
      </w:r>
      <w:r w:rsidR="00324B77" w:rsidRPr="00284652">
        <w:rPr>
          <w:szCs w:val="22"/>
        </w:rPr>
        <w:t>of</w:t>
      </w:r>
      <w:r w:rsidR="00B7377E" w:rsidRPr="00284652">
        <w:rPr>
          <w:szCs w:val="22"/>
        </w:rPr>
        <w:t xml:space="preserve"> the </w:t>
      </w:r>
      <w:r w:rsidR="00872D76">
        <w:rPr>
          <w:szCs w:val="22"/>
        </w:rPr>
        <w:t xml:space="preserve">high </w:t>
      </w:r>
      <w:r w:rsidR="00872D76" w:rsidRPr="00284652">
        <w:rPr>
          <w:szCs w:val="22"/>
        </w:rPr>
        <w:t>incremental cost effectiveness ratio</w:t>
      </w:r>
      <w:r w:rsidR="00872D76">
        <w:rPr>
          <w:szCs w:val="22"/>
        </w:rPr>
        <w:t xml:space="preserve"> (ICER) and </w:t>
      </w:r>
      <w:r w:rsidR="00B7377E" w:rsidRPr="00284652">
        <w:rPr>
          <w:szCs w:val="22"/>
        </w:rPr>
        <w:t xml:space="preserve">overall cost to government by proposing </w:t>
      </w:r>
      <w:r w:rsidR="009A3C0E" w:rsidRPr="00284652">
        <w:rPr>
          <w:szCs w:val="22"/>
        </w:rPr>
        <w:t>a revised Risk Share Agreement (RSA)</w:t>
      </w:r>
      <w:r w:rsidR="009129A4" w:rsidRPr="00284652">
        <w:rPr>
          <w:szCs w:val="22"/>
        </w:rPr>
        <w:t xml:space="preserve">, which also had the effect of reducing the </w:t>
      </w:r>
      <w:r w:rsidR="00D2788D" w:rsidRPr="00284652">
        <w:rPr>
          <w:szCs w:val="22"/>
        </w:rPr>
        <w:t>ICER</w:t>
      </w:r>
      <w:r w:rsidR="004209B1">
        <w:rPr>
          <w:szCs w:val="22"/>
        </w:rPr>
        <w:t>,</w:t>
      </w:r>
      <w:r w:rsidR="009129A4" w:rsidRPr="00284652">
        <w:rPr>
          <w:szCs w:val="22"/>
        </w:rPr>
        <w:t xml:space="preserve"> in the event the caps </w:t>
      </w:r>
      <w:r w:rsidR="00D2788D" w:rsidRPr="00284652">
        <w:rPr>
          <w:szCs w:val="22"/>
        </w:rPr>
        <w:t xml:space="preserve">proposed </w:t>
      </w:r>
      <w:r w:rsidR="009129A4" w:rsidRPr="00284652">
        <w:rPr>
          <w:szCs w:val="22"/>
        </w:rPr>
        <w:t xml:space="preserve">in the risk share arrangement </w:t>
      </w:r>
      <w:r w:rsidR="00D2788D" w:rsidRPr="00284652">
        <w:rPr>
          <w:szCs w:val="22"/>
        </w:rPr>
        <w:t>are reached</w:t>
      </w:r>
    </w:p>
    <w:p w:rsidR="00B7377E" w:rsidRPr="00284652" w:rsidRDefault="00B7377E" w:rsidP="006516CA">
      <w:pPr>
        <w:pStyle w:val="ListParagraph"/>
        <w:rPr>
          <w:szCs w:val="22"/>
        </w:rPr>
      </w:pPr>
    </w:p>
    <w:p w:rsidR="007B2ED6" w:rsidRPr="00284652" w:rsidRDefault="00324B77" w:rsidP="007B2ED6">
      <w:pPr>
        <w:pStyle w:val="ListParagraph"/>
        <w:widowControl/>
        <w:numPr>
          <w:ilvl w:val="1"/>
          <w:numId w:val="5"/>
        </w:numPr>
        <w:rPr>
          <w:b/>
          <w:szCs w:val="22"/>
        </w:rPr>
      </w:pPr>
      <w:r w:rsidRPr="00284652">
        <w:rPr>
          <w:szCs w:val="22"/>
        </w:rPr>
        <w:t>Table 1 summarise</w:t>
      </w:r>
      <w:r w:rsidR="009129A4" w:rsidRPr="00284652">
        <w:rPr>
          <w:szCs w:val="22"/>
        </w:rPr>
        <w:t>s</w:t>
      </w:r>
      <w:r w:rsidR="007B2ED6" w:rsidRPr="00284652">
        <w:rPr>
          <w:szCs w:val="22"/>
        </w:rPr>
        <w:t xml:space="preserve"> the key differences between the July 2015 submission, the November 2015 minor re-submission</w:t>
      </w:r>
      <w:r w:rsidR="009A3C0E" w:rsidRPr="00284652">
        <w:rPr>
          <w:szCs w:val="22"/>
        </w:rPr>
        <w:t>,</w:t>
      </w:r>
      <w:r w:rsidR="007B2ED6" w:rsidRPr="00284652">
        <w:rPr>
          <w:szCs w:val="22"/>
        </w:rPr>
        <w:t xml:space="preserve"> the March 2016 minor re-submission</w:t>
      </w:r>
      <w:r w:rsidR="009A3C0E" w:rsidRPr="00284652">
        <w:rPr>
          <w:szCs w:val="22"/>
        </w:rPr>
        <w:t xml:space="preserve"> and the August 2016 minor re-submission</w:t>
      </w:r>
      <w:r w:rsidR="007B2ED6" w:rsidRPr="00284652">
        <w:rPr>
          <w:szCs w:val="22"/>
        </w:rPr>
        <w:t xml:space="preserve">. Table 2 </w:t>
      </w:r>
      <w:r w:rsidR="009129A4" w:rsidRPr="00284652">
        <w:rPr>
          <w:szCs w:val="22"/>
        </w:rPr>
        <w:t xml:space="preserve">provides </w:t>
      </w:r>
      <w:r w:rsidR="007B2ED6" w:rsidRPr="00284652">
        <w:rPr>
          <w:szCs w:val="22"/>
        </w:rPr>
        <w:t>further detail</w:t>
      </w:r>
      <w:r w:rsidRPr="00284652">
        <w:rPr>
          <w:szCs w:val="22"/>
        </w:rPr>
        <w:t>s</w:t>
      </w:r>
      <w:r w:rsidR="001727E3" w:rsidRPr="00284652">
        <w:rPr>
          <w:szCs w:val="22"/>
        </w:rPr>
        <w:t xml:space="preserve"> </w:t>
      </w:r>
      <w:r w:rsidR="0054700E" w:rsidRPr="00284652">
        <w:rPr>
          <w:szCs w:val="22"/>
        </w:rPr>
        <w:t>on the proposal made in this submission</w:t>
      </w:r>
      <w:r w:rsidR="007B2ED6" w:rsidRPr="00284652">
        <w:rPr>
          <w:szCs w:val="22"/>
        </w:rPr>
        <w:t>, and present</w:t>
      </w:r>
      <w:r w:rsidRPr="00284652">
        <w:rPr>
          <w:szCs w:val="22"/>
        </w:rPr>
        <w:t>ed</w:t>
      </w:r>
      <w:r w:rsidR="007B2ED6" w:rsidRPr="00284652">
        <w:rPr>
          <w:szCs w:val="22"/>
        </w:rPr>
        <w:t xml:space="preserve"> </w:t>
      </w:r>
      <w:r w:rsidR="009A3C0E" w:rsidRPr="00284652">
        <w:rPr>
          <w:szCs w:val="22"/>
        </w:rPr>
        <w:t>the revised ICERs</w:t>
      </w:r>
      <w:r w:rsidR="007B2ED6" w:rsidRPr="00284652">
        <w:rPr>
          <w:szCs w:val="22"/>
        </w:rPr>
        <w:t xml:space="preserve"> </w:t>
      </w:r>
      <w:r w:rsidR="009A3C0E" w:rsidRPr="00284652">
        <w:rPr>
          <w:szCs w:val="22"/>
        </w:rPr>
        <w:t>calculated</w:t>
      </w:r>
      <w:r w:rsidR="007B2ED6" w:rsidRPr="00284652">
        <w:rPr>
          <w:szCs w:val="22"/>
        </w:rPr>
        <w:t xml:space="preserve"> during the </w:t>
      </w:r>
      <w:r w:rsidR="002D49F0" w:rsidRPr="00284652">
        <w:rPr>
          <w:szCs w:val="22"/>
        </w:rPr>
        <w:t xml:space="preserve">preparation of the overview </w:t>
      </w:r>
      <w:r w:rsidR="007B2ED6" w:rsidRPr="00284652">
        <w:rPr>
          <w:szCs w:val="22"/>
        </w:rPr>
        <w:t xml:space="preserve">of this minor re-submission. </w:t>
      </w:r>
    </w:p>
    <w:p w:rsidR="00AE34A5" w:rsidRPr="00284652" w:rsidRDefault="00AE34A5" w:rsidP="00AE34A5">
      <w:pPr>
        <w:pStyle w:val="ListParagraph"/>
        <w:widowControl/>
        <w:rPr>
          <w:b/>
          <w:szCs w:val="22"/>
        </w:rPr>
        <w:sectPr w:rsidR="00AE34A5" w:rsidRPr="00284652" w:rsidSect="00F935AB">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pPr>
    </w:p>
    <w:p w:rsidR="00AE34A5" w:rsidRPr="00284652" w:rsidRDefault="00AE34A5" w:rsidP="00AE34A5">
      <w:pPr>
        <w:keepNext/>
        <w:tabs>
          <w:tab w:val="left" w:pos="993"/>
        </w:tabs>
        <w:spacing w:after="120"/>
        <w:jc w:val="both"/>
        <w:rPr>
          <w:rFonts w:ascii="Arial Narrow" w:hAnsi="Arial Narrow"/>
          <w:b/>
          <w:sz w:val="22"/>
          <w:szCs w:val="20"/>
          <w:lang w:eastAsia="en-US"/>
        </w:rPr>
      </w:pPr>
      <w:bookmarkStart w:id="1" w:name="_Ref427228267"/>
      <w:r w:rsidRPr="00284652">
        <w:rPr>
          <w:rFonts w:ascii="Arial Narrow" w:hAnsi="Arial Narrow"/>
          <w:b/>
          <w:sz w:val="22"/>
          <w:szCs w:val="20"/>
          <w:lang w:eastAsia="en-US"/>
        </w:rPr>
        <w:lastRenderedPageBreak/>
        <w:t>Table 1: Key differences between the July 2015 submission, the November 2015</w:t>
      </w:r>
      <w:bookmarkEnd w:id="1"/>
      <w:r w:rsidRPr="00284652">
        <w:rPr>
          <w:rFonts w:ascii="Arial Narrow" w:hAnsi="Arial Narrow"/>
          <w:b/>
          <w:sz w:val="22"/>
          <w:szCs w:val="20"/>
          <w:lang w:eastAsia="en-US"/>
        </w:rPr>
        <w:t>, March 2016 and August 2016 minor re-submissions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3069"/>
        <w:gridCol w:w="3826"/>
        <w:gridCol w:w="1986"/>
        <w:gridCol w:w="2124"/>
        <w:gridCol w:w="1876"/>
      </w:tblGrid>
      <w:tr w:rsidR="001727E3" w:rsidRPr="00284652" w:rsidTr="00703193">
        <w:trPr>
          <w:cantSplit/>
          <w:tblHeader/>
        </w:trPr>
        <w:tc>
          <w:tcPr>
            <w:tcW w:w="421" w:type="pct"/>
            <w:shd w:val="clear" w:color="auto" w:fill="auto"/>
          </w:tcPr>
          <w:p w:rsidR="007C5EF7" w:rsidRPr="00284652" w:rsidRDefault="007C5EF7" w:rsidP="00AE34A5">
            <w:pPr>
              <w:rPr>
                <w:rFonts w:ascii="Arial Narrow" w:hAnsi="Arial Narrow" w:cs="Arial"/>
                <w:sz w:val="20"/>
                <w:szCs w:val="20"/>
              </w:rPr>
            </w:pP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b/>
                <w:sz w:val="20"/>
                <w:szCs w:val="20"/>
              </w:rPr>
              <w:t>July 2015 submission</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b/>
                <w:sz w:val="20"/>
                <w:szCs w:val="20"/>
              </w:rPr>
              <w:t>November 2015 minor re-submission</w:t>
            </w: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b/>
                <w:sz w:val="20"/>
                <w:szCs w:val="20"/>
              </w:rPr>
              <w:t>March 2016 minor re-submission</w:t>
            </w:r>
          </w:p>
        </w:tc>
        <w:tc>
          <w:tcPr>
            <w:tcW w:w="755" w:type="pct"/>
          </w:tcPr>
          <w:p w:rsidR="007C5EF7" w:rsidRPr="00284652" w:rsidRDefault="007C5EF7" w:rsidP="00AE34A5">
            <w:pPr>
              <w:rPr>
                <w:rFonts w:ascii="Arial Narrow" w:hAnsi="Arial Narrow" w:cs="Arial"/>
                <w:b/>
                <w:sz w:val="20"/>
                <w:szCs w:val="20"/>
              </w:rPr>
            </w:pPr>
            <w:r w:rsidRPr="00284652">
              <w:rPr>
                <w:rFonts w:ascii="Arial Narrow" w:hAnsi="Arial Narrow" w:cs="Arial"/>
                <w:b/>
                <w:sz w:val="20"/>
                <w:szCs w:val="20"/>
              </w:rPr>
              <w:t>August 2016 minor resubmission</w:t>
            </w:r>
          </w:p>
        </w:tc>
        <w:tc>
          <w:tcPr>
            <w:tcW w:w="667" w:type="pct"/>
          </w:tcPr>
          <w:p w:rsidR="007C5EF7" w:rsidRPr="00284652" w:rsidRDefault="007C5EF7" w:rsidP="00AE34A5">
            <w:pPr>
              <w:rPr>
                <w:rFonts w:ascii="Arial Narrow" w:hAnsi="Arial Narrow" w:cs="Arial"/>
                <w:b/>
                <w:sz w:val="20"/>
                <w:szCs w:val="20"/>
              </w:rPr>
            </w:pPr>
            <w:r w:rsidRPr="00284652">
              <w:rPr>
                <w:rFonts w:ascii="Arial Narrow" w:hAnsi="Arial Narrow" w:cs="Arial"/>
                <w:b/>
                <w:sz w:val="20"/>
                <w:szCs w:val="20"/>
              </w:rPr>
              <w:t>November 2016 minor resubmission</w:t>
            </w: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Requested PBS listing for:</w:t>
            </w: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Relapsed or refractory CLL and SLL, where the patient must have received ≥1 prior therapy, and be considered unsuitable for treatment or retreatment with a purine analogue.</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As per the July 2015 major submission. Additional criteria were included in the requested listing to define patients who are unsuitable for treatment or retreatment with a purine analogue based on the eligibility criteria in the RESONATE study.</w:t>
            </w: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755" w:type="pct"/>
          </w:tcPr>
          <w:p w:rsidR="007C5EF7" w:rsidRPr="00284652" w:rsidRDefault="00513280" w:rsidP="00AE34A5">
            <w:pPr>
              <w:rPr>
                <w:rFonts w:ascii="Arial Narrow" w:hAnsi="Arial Narrow" w:cs="Arial"/>
                <w:sz w:val="20"/>
                <w:szCs w:val="20"/>
              </w:rPr>
            </w:pPr>
            <w:r w:rsidRPr="00284652">
              <w:rPr>
                <w:rFonts w:ascii="Arial Narrow" w:hAnsi="Arial Narrow" w:cs="Arial"/>
                <w:sz w:val="20"/>
                <w:szCs w:val="20"/>
              </w:rPr>
              <w:t xml:space="preserve">Two options </w:t>
            </w:r>
          </w:p>
          <w:p w:rsidR="007C5EF7" w:rsidRPr="00284652" w:rsidRDefault="007C5EF7" w:rsidP="00AE34A5">
            <w:pPr>
              <w:numPr>
                <w:ilvl w:val="0"/>
                <w:numId w:val="19"/>
              </w:numPr>
              <w:ind w:left="330" w:hanging="283"/>
              <w:contextualSpacing/>
              <w:rPr>
                <w:rFonts w:ascii="Arial Narrow" w:hAnsi="Arial Narrow" w:cs="Arial"/>
                <w:sz w:val="20"/>
                <w:szCs w:val="20"/>
              </w:rPr>
            </w:pPr>
            <w:r w:rsidRPr="00284652">
              <w:rPr>
                <w:rFonts w:ascii="Arial Narrow" w:hAnsi="Arial Narrow" w:cs="Arial"/>
                <w:sz w:val="20"/>
                <w:szCs w:val="20"/>
              </w:rPr>
              <w:t>As per March 2016 PBAC recommendation;</w:t>
            </w:r>
          </w:p>
          <w:p w:rsidR="007C5EF7" w:rsidRPr="00284652" w:rsidRDefault="007C5EF7" w:rsidP="00AE34A5">
            <w:pPr>
              <w:numPr>
                <w:ilvl w:val="0"/>
                <w:numId w:val="19"/>
              </w:numPr>
              <w:ind w:left="330" w:hanging="283"/>
              <w:contextualSpacing/>
              <w:rPr>
                <w:rFonts w:ascii="Arial Narrow" w:hAnsi="Arial Narrow" w:cs="Arial"/>
                <w:sz w:val="20"/>
                <w:szCs w:val="20"/>
              </w:rPr>
            </w:pPr>
            <w:r w:rsidRPr="00284652">
              <w:rPr>
                <w:rFonts w:ascii="Arial Narrow" w:hAnsi="Arial Narrow" w:cs="Arial"/>
                <w:sz w:val="20"/>
                <w:szCs w:val="20"/>
              </w:rPr>
              <w:t>As per Nov 15 and Mar 16 minor resubmissions</w:t>
            </w:r>
          </w:p>
        </w:tc>
        <w:tc>
          <w:tcPr>
            <w:tcW w:w="667" w:type="pct"/>
          </w:tcPr>
          <w:p w:rsidR="007C5EF7" w:rsidRPr="00284652" w:rsidRDefault="0054700E" w:rsidP="0054700E">
            <w:pPr>
              <w:rPr>
                <w:rFonts w:ascii="Arial Narrow" w:hAnsi="Arial Narrow" w:cs="Arial"/>
                <w:sz w:val="20"/>
                <w:szCs w:val="20"/>
              </w:rPr>
            </w:pPr>
            <w:r w:rsidRPr="00284652">
              <w:rPr>
                <w:rFonts w:ascii="Arial Narrow" w:hAnsi="Arial Narrow" w:cs="Arial"/>
                <w:sz w:val="20"/>
                <w:szCs w:val="20"/>
              </w:rPr>
              <w:t>Broader population</w:t>
            </w:r>
            <w:r w:rsidR="00562F24" w:rsidRPr="00284652">
              <w:rPr>
                <w:rFonts w:ascii="Arial Narrow" w:hAnsi="Arial Narrow" w:cs="Arial"/>
                <w:sz w:val="20"/>
                <w:szCs w:val="20"/>
              </w:rPr>
              <w:t xml:space="preserve"> </w:t>
            </w:r>
            <w:r w:rsidRPr="00284652">
              <w:rPr>
                <w:rFonts w:ascii="Arial Narrow" w:hAnsi="Arial Narrow" w:cs="Arial"/>
                <w:sz w:val="20"/>
                <w:szCs w:val="20"/>
              </w:rPr>
              <w:t>a</w:t>
            </w:r>
            <w:r w:rsidR="00562F24" w:rsidRPr="00284652">
              <w:rPr>
                <w:rFonts w:ascii="Arial Narrow" w:hAnsi="Arial Narrow" w:cs="Arial"/>
                <w:sz w:val="20"/>
                <w:szCs w:val="20"/>
              </w:rPr>
              <w:t>s per Nov 15 and Mar 16 minor resubmissions</w:t>
            </w: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Requested restriction</w:t>
            </w: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Authority required (STREAMLINED)</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Authority required (TELEPHONE)</w:t>
            </w:r>
          </w:p>
          <w:p w:rsidR="007C5EF7" w:rsidRPr="00284652" w:rsidRDefault="007C5EF7" w:rsidP="00AE34A5">
            <w:pPr>
              <w:rPr>
                <w:rFonts w:ascii="Arial Narrow" w:hAnsi="Arial Narrow" w:cs="Arial"/>
                <w:sz w:val="20"/>
                <w:szCs w:val="20"/>
              </w:rPr>
            </w:pP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755"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667" w:type="pct"/>
          </w:tcPr>
          <w:p w:rsidR="007C5EF7" w:rsidRPr="00284652" w:rsidRDefault="00562F24" w:rsidP="00AE34A5">
            <w:pPr>
              <w:rPr>
                <w:rFonts w:ascii="Arial Narrow" w:hAnsi="Arial Narrow" w:cs="Arial"/>
                <w:sz w:val="20"/>
                <w:szCs w:val="20"/>
              </w:rPr>
            </w:pPr>
            <w:r w:rsidRPr="00284652">
              <w:rPr>
                <w:rFonts w:ascii="Arial Narrow" w:hAnsi="Arial Narrow" w:cs="Arial"/>
                <w:sz w:val="20"/>
                <w:szCs w:val="20"/>
              </w:rPr>
              <w:t>No Change</w:t>
            </w: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Effective ex-manufacturer price</w:t>
            </w: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w:t>
            </w:r>
            <w:r w:rsidR="002D571E">
              <w:rPr>
                <w:rFonts w:ascii="Arial Narrow" w:hAnsi="Arial Narrow" w:cs="Arial"/>
                <w:noProof/>
                <w:color w:val="000000"/>
                <w:sz w:val="20"/>
                <w:szCs w:val="20"/>
                <w:highlight w:val="black"/>
              </w:rPr>
              <w:t>'''''''''''''''''''''''</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 xml:space="preserve">The minor re-submission offered a </w:t>
            </w:r>
            <w:r w:rsidR="002D571E">
              <w:rPr>
                <w:rFonts w:ascii="Arial Narrow" w:hAnsi="Arial Narrow" w:cs="Arial"/>
                <w:noProof/>
                <w:color w:val="000000"/>
                <w:sz w:val="20"/>
                <w:szCs w:val="20"/>
                <w:highlight w:val="black"/>
              </w:rPr>
              <w:t>'''''</w:t>
            </w:r>
            <w:r w:rsidRPr="00284652">
              <w:rPr>
                <w:rFonts w:ascii="Arial Narrow" w:hAnsi="Arial Narrow" w:cs="Arial"/>
                <w:sz w:val="20"/>
                <w:szCs w:val="20"/>
              </w:rPr>
              <w:t>% price reduction with a new effective ex-manufacturer price of $</w:t>
            </w:r>
            <w:r w:rsidR="002D571E">
              <w:rPr>
                <w:rFonts w:ascii="Arial Narrow" w:hAnsi="Arial Narrow" w:cs="Arial"/>
                <w:noProof/>
                <w:color w:val="000000"/>
                <w:sz w:val="20"/>
                <w:szCs w:val="20"/>
                <w:highlight w:val="black"/>
              </w:rPr>
              <w:t>''''''''''''''''''''</w:t>
            </w:r>
            <w:r w:rsidRPr="00284652">
              <w:rPr>
                <w:rFonts w:ascii="Arial Narrow" w:hAnsi="Arial Narrow" w:cs="Arial"/>
                <w:sz w:val="20"/>
                <w:szCs w:val="20"/>
              </w:rPr>
              <w:t>.</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PBAC stated that the effective price should be such that the economic evaluation has an ICER of &lt;$</w:t>
            </w:r>
            <w:r w:rsidR="002D571E">
              <w:rPr>
                <w:rFonts w:ascii="Arial Narrow" w:hAnsi="Arial Narrow" w:cs="Arial"/>
                <w:noProof/>
                <w:color w:val="000000"/>
                <w:sz w:val="20"/>
                <w:szCs w:val="20"/>
                <w:highlight w:val="black"/>
              </w:rPr>
              <w:t>''''''''''''''''</w:t>
            </w:r>
            <w:r w:rsidRPr="00284652">
              <w:rPr>
                <w:rFonts w:ascii="Arial Narrow" w:hAnsi="Arial Narrow" w:cs="Arial"/>
                <w:sz w:val="20"/>
                <w:szCs w:val="20"/>
              </w:rPr>
              <w:t xml:space="preserve">/QALY with the criteria stated in Table 2. </w:t>
            </w: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 as new model resulted in ICER &lt;$</w:t>
            </w:r>
            <w:r w:rsidR="002D571E">
              <w:rPr>
                <w:rFonts w:ascii="Arial Narrow" w:hAnsi="Arial Narrow" w:cs="Arial"/>
                <w:noProof/>
                <w:color w:val="000000"/>
                <w:sz w:val="20"/>
                <w:szCs w:val="20"/>
                <w:highlight w:val="black"/>
              </w:rPr>
              <w:t>'''''''''''''''</w:t>
            </w:r>
            <w:r w:rsidRPr="00284652">
              <w:rPr>
                <w:rFonts w:ascii="Arial Narrow" w:hAnsi="Arial Narrow" w:cs="Arial"/>
                <w:sz w:val="20"/>
                <w:szCs w:val="20"/>
              </w:rPr>
              <w:t>/QALY</w:t>
            </w:r>
          </w:p>
        </w:tc>
        <w:tc>
          <w:tcPr>
            <w:tcW w:w="755"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Option 1</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w:t>
            </w:r>
            <w:r w:rsidR="002D571E">
              <w:rPr>
                <w:rFonts w:ascii="Arial Narrow" w:hAnsi="Arial Narrow" w:cs="Arial"/>
                <w:noProof/>
                <w:color w:val="000000"/>
                <w:sz w:val="20"/>
                <w:szCs w:val="20"/>
                <w:highlight w:val="black"/>
              </w:rPr>
              <w:t>''''''''''''''''''</w:t>
            </w:r>
            <w:r w:rsidRPr="00284652">
              <w:rPr>
                <w:rFonts w:ascii="Arial Narrow" w:hAnsi="Arial Narrow" w:cs="Arial"/>
                <w:sz w:val="20"/>
                <w:szCs w:val="20"/>
              </w:rPr>
              <w:tab/>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Option 2</w:t>
            </w:r>
          </w:p>
          <w:p w:rsidR="007C5EF7" w:rsidRPr="002D571E" w:rsidRDefault="002D571E" w:rsidP="00AE34A5">
            <w:pPr>
              <w:rPr>
                <w:rFonts w:ascii="Arial Narrow" w:hAnsi="Arial Narrow" w:cs="Arial"/>
                <w:sz w:val="20"/>
                <w:szCs w:val="20"/>
                <w:highlight w:val="black"/>
              </w:rPr>
            </w:pPr>
            <w:r>
              <w:rPr>
                <w:rFonts w:ascii="Arial Narrow" w:hAnsi="Arial Narrow" w:cs="Arial"/>
                <w:noProof/>
                <w:color w:val="000000"/>
                <w:sz w:val="20"/>
                <w:szCs w:val="20"/>
                <w:highlight w:val="black"/>
              </w:rPr>
              <w:t>''''''''''' ''''' ''''''''''''''''''''''''''</w:t>
            </w:r>
          </w:p>
          <w:p w:rsidR="007C5EF7" w:rsidRPr="002D571E" w:rsidRDefault="002D571E" w:rsidP="00AE34A5">
            <w:pPr>
              <w:rPr>
                <w:rFonts w:ascii="Arial Narrow" w:hAnsi="Arial Narrow" w:cs="Arial"/>
                <w:sz w:val="20"/>
                <w:szCs w:val="20"/>
                <w:highlight w:val="black"/>
              </w:rPr>
            </w:pPr>
            <w:r>
              <w:rPr>
                <w:rFonts w:ascii="Arial Narrow" w:hAnsi="Arial Narrow" w:cs="Arial"/>
                <w:noProof/>
                <w:color w:val="000000"/>
                <w:sz w:val="20"/>
                <w:szCs w:val="20"/>
                <w:highlight w:val="black"/>
              </w:rPr>
              <w:t>'''''''''' ''''' '''''''''''''''''''''' ''''''''''''''''''''''''' ''''''''''''''''' ''''''''''' ''''''''''''' ''''''''''''''' '''''''''' ''''''''''''''''''''''''''</w:t>
            </w:r>
          </w:p>
          <w:p w:rsidR="007C5EF7" w:rsidRPr="00284652" w:rsidRDefault="007C5EF7" w:rsidP="00AE34A5">
            <w:pPr>
              <w:rPr>
                <w:rFonts w:ascii="Arial Narrow" w:hAnsi="Arial Narrow" w:cs="Arial"/>
                <w:sz w:val="20"/>
                <w:szCs w:val="20"/>
              </w:rPr>
            </w:pPr>
          </w:p>
        </w:tc>
        <w:tc>
          <w:tcPr>
            <w:tcW w:w="667" w:type="pct"/>
          </w:tcPr>
          <w:p w:rsidR="00562F24" w:rsidRPr="00284652" w:rsidRDefault="00562F24" w:rsidP="00562F24">
            <w:pPr>
              <w:rPr>
                <w:rFonts w:ascii="Arial Narrow" w:hAnsi="Arial Narrow" w:cs="Arial"/>
                <w:sz w:val="20"/>
                <w:szCs w:val="20"/>
              </w:rPr>
            </w:pPr>
            <w:r w:rsidRPr="00284652">
              <w:rPr>
                <w:rFonts w:ascii="Arial Narrow" w:hAnsi="Arial Narrow" w:cs="Arial"/>
                <w:sz w:val="20"/>
                <w:szCs w:val="20"/>
              </w:rPr>
              <w:t>No Change</w:t>
            </w:r>
          </w:p>
          <w:p w:rsidR="00562F24" w:rsidRPr="002D571E" w:rsidRDefault="00562F24" w:rsidP="00562F24">
            <w:pPr>
              <w:rPr>
                <w:rFonts w:ascii="Arial Narrow" w:hAnsi="Arial Narrow" w:cs="Arial"/>
                <w:sz w:val="20"/>
                <w:szCs w:val="20"/>
              </w:rPr>
            </w:pPr>
          </w:p>
          <w:p w:rsidR="00562F24" w:rsidRPr="002D571E" w:rsidRDefault="002D571E" w:rsidP="00562F24">
            <w:pPr>
              <w:rPr>
                <w:rFonts w:ascii="Arial Narrow" w:hAnsi="Arial Narrow" w:cs="Arial"/>
                <w:sz w:val="20"/>
                <w:szCs w:val="20"/>
                <w:highlight w:val="black"/>
              </w:rPr>
            </w:pPr>
            <w:r>
              <w:rPr>
                <w:rFonts w:ascii="Arial Narrow" w:hAnsi="Arial Narrow" w:cs="Arial"/>
                <w:noProof/>
                <w:color w:val="000000"/>
                <w:sz w:val="20"/>
                <w:szCs w:val="20"/>
                <w:highlight w:val="black"/>
              </w:rPr>
              <w:t>'''''''''' '''''' '''''''''''''''''''''''''</w:t>
            </w:r>
          </w:p>
          <w:p w:rsidR="00562F24" w:rsidRPr="002D571E" w:rsidRDefault="002D571E" w:rsidP="00562F24">
            <w:pPr>
              <w:rPr>
                <w:rFonts w:ascii="Arial Narrow" w:hAnsi="Arial Narrow" w:cs="Arial"/>
                <w:sz w:val="20"/>
                <w:szCs w:val="20"/>
                <w:highlight w:val="black"/>
              </w:rPr>
            </w:pPr>
            <w:r>
              <w:rPr>
                <w:rFonts w:ascii="Arial Narrow" w:hAnsi="Arial Narrow" w:cs="Arial"/>
                <w:noProof/>
                <w:color w:val="000000"/>
                <w:sz w:val="20"/>
                <w:szCs w:val="20"/>
                <w:highlight w:val="black"/>
              </w:rPr>
              <w:t>''''''''''' ''''' ''''''''''''''''''''''' ''''''''''''''''''''''''' '''''''''''''''' ''''''''''' ''''''''''''' ''''''''''''' '''''''''' ''''''''''''''''''''''''</w:t>
            </w:r>
          </w:p>
          <w:p w:rsidR="007C5EF7" w:rsidRPr="00284652" w:rsidRDefault="007C5EF7" w:rsidP="00AE34A5">
            <w:pPr>
              <w:rPr>
                <w:rFonts w:ascii="Arial Narrow" w:hAnsi="Arial Narrow" w:cs="Arial"/>
                <w:sz w:val="20"/>
                <w:szCs w:val="20"/>
              </w:rPr>
            </w:pP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Main comparator</w:t>
            </w: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Rituximab plus chlorambucil</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755"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667" w:type="pct"/>
          </w:tcPr>
          <w:p w:rsidR="007C5EF7" w:rsidRPr="00284652" w:rsidRDefault="00562F24" w:rsidP="00AE34A5">
            <w:pPr>
              <w:rPr>
                <w:rFonts w:ascii="Arial Narrow" w:hAnsi="Arial Narrow" w:cs="Arial"/>
                <w:sz w:val="20"/>
                <w:szCs w:val="20"/>
              </w:rPr>
            </w:pPr>
            <w:r w:rsidRPr="00284652">
              <w:rPr>
                <w:rFonts w:ascii="Arial Narrow" w:hAnsi="Arial Narrow" w:cs="Arial"/>
                <w:sz w:val="20"/>
                <w:szCs w:val="20"/>
              </w:rPr>
              <w:t>No Change</w:t>
            </w: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lastRenderedPageBreak/>
              <w:t>Clinical evidence</w:t>
            </w:r>
          </w:p>
        </w:tc>
        <w:tc>
          <w:tcPr>
            <w:tcW w:w="1091" w:type="pct"/>
          </w:tcPr>
          <w:p w:rsidR="007C5EF7" w:rsidRPr="00284652" w:rsidRDefault="007C5EF7" w:rsidP="00AE34A5">
            <w:pPr>
              <w:rPr>
                <w:rFonts w:ascii="Arial Narrow" w:hAnsi="Arial Narrow" w:cs="Arial"/>
                <w:sz w:val="20"/>
                <w:szCs w:val="20"/>
                <w:u w:val="single"/>
              </w:rPr>
            </w:pPr>
            <w:r w:rsidRPr="00284652">
              <w:rPr>
                <w:rFonts w:ascii="Arial Narrow" w:hAnsi="Arial Narrow" w:cs="Arial"/>
                <w:sz w:val="20"/>
                <w:szCs w:val="20"/>
                <w:u w:val="single"/>
              </w:rPr>
              <w:t>Interim analysis (median follow-up 9.4 months)</w:t>
            </w:r>
          </w:p>
          <w:p w:rsidR="007C5EF7" w:rsidRPr="00284652" w:rsidRDefault="007C5EF7" w:rsidP="00AE34A5">
            <w:pPr>
              <w:rPr>
                <w:rFonts w:ascii="Arial Narrow" w:hAnsi="Arial Narrow" w:cs="Arial"/>
                <w:b/>
                <w:sz w:val="20"/>
                <w:szCs w:val="20"/>
              </w:rPr>
            </w:pPr>
            <w:r w:rsidRPr="00284652">
              <w:rPr>
                <w:rFonts w:ascii="Arial Narrow" w:hAnsi="Arial Narrow" w:cs="Arial"/>
                <w:b/>
                <w:sz w:val="20"/>
                <w:szCs w:val="20"/>
              </w:rPr>
              <w:t>Median OS</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Ibrutinib (N=195): not reached</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Ofatumumab (N=196): not reached</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HR: 0.43 (95% CI: 0.24, 0.79)</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u w:val="single"/>
              </w:rPr>
            </w:pPr>
            <w:r w:rsidRPr="00284652">
              <w:rPr>
                <w:rFonts w:ascii="Arial Narrow" w:hAnsi="Arial Narrow" w:cs="Arial"/>
                <w:sz w:val="20"/>
                <w:szCs w:val="20"/>
                <w:u w:val="single"/>
              </w:rPr>
              <w:t>Longer-term follow-up (median follow-up 16 months)</w:t>
            </w:r>
          </w:p>
          <w:p w:rsidR="007C5EF7" w:rsidRPr="00284652" w:rsidRDefault="007C5EF7" w:rsidP="00AE34A5">
            <w:pPr>
              <w:rPr>
                <w:rFonts w:ascii="Arial Narrow" w:hAnsi="Arial Narrow" w:cs="Arial"/>
                <w:b/>
                <w:sz w:val="20"/>
                <w:szCs w:val="20"/>
              </w:rPr>
            </w:pPr>
            <w:r w:rsidRPr="00284652">
              <w:rPr>
                <w:rFonts w:ascii="Arial Narrow" w:hAnsi="Arial Narrow" w:cs="Arial"/>
                <w:b/>
                <w:sz w:val="20"/>
                <w:szCs w:val="20"/>
              </w:rPr>
              <w:t>Median OS</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Ibrutinib (N=195): not reached</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Ofatumumab (N=196): not reached</w:t>
            </w:r>
          </w:p>
          <w:p w:rsidR="007C5EF7" w:rsidRPr="002D571E" w:rsidRDefault="002D571E" w:rsidP="00AE34A5">
            <w:pPr>
              <w:keepNext/>
              <w:numPr>
                <w:ilvl w:val="0"/>
                <w:numId w:val="15"/>
              </w:numPr>
              <w:ind w:left="0" w:firstLine="0"/>
              <w:rPr>
                <w:rFonts w:ascii="Arial Narrow" w:hAnsi="Arial Narrow" w:cs="Arial"/>
                <w:sz w:val="20"/>
                <w:szCs w:val="20"/>
              </w:rPr>
            </w:pPr>
            <w:r>
              <w:rPr>
                <w:rFonts w:ascii="Arial Narrow" w:hAnsi="Arial Narrow" w:cs="Arial"/>
                <w:noProof/>
                <w:color w:val="000000"/>
                <w:sz w:val="20"/>
                <w:szCs w:val="20"/>
                <w:highlight w:val="black"/>
              </w:rPr>
              <w:t>'''''''''' '''''''''' '''</w:t>
            </w:r>
            <w:r>
              <w:rPr>
                <w:rFonts w:ascii="Arial Narrow" w:hAnsi="Arial Narrow" w:cs="Arial"/>
                <w:i/>
                <w:noProof/>
                <w:color w:val="000000"/>
                <w:sz w:val="20"/>
                <w:szCs w:val="20"/>
                <w:highlight w:val="black"/>
              </w:rPr>
              <w:t xml:space="preserve">''''''''''' ''''''' </w:t>
            </w:r>
            <w:r>
              <w:rPr>
                <w:rFonts w:ascii="Arial Narrow" w:hAnsi="Arial Narrow" w:cs="Arial"/>
                <w:noProof/>
                <w:color w:val="000000"/>
                <w:sz w:val="20"/>
                <w:szCs w:val="20"/>
                <w:highlight w:val="black"/>
              </w:rPr>
              <w:t xml:space="preserve">''''''''''''' ''''''''''''''' '''''''' '''''''''''''''''''''' </w:t>
            </w:r>
          </w:p>
          <w:p w:rsidR="007C5EF7" w:rsidRPr="00284652" w:rsidRDefault="002D571E" w:rsidP="00AE34A5">
            <w:pPr>
              <w:keepNext/>
              <w:numPr>
                <w:ilvl w:val="0"/>
                <w:numId w:val="15"/>
              </w:numPr>
              <w:ind w:left="0" w:firstLine="0"/>
              <w:rPr>
                <w:rFonts w:ascii="Arial Narrow" w:hAnsi="Arial Narrow" w:cs="Arial"/>
                <w:sz w:val="20"/>
                <w:szCs w:val="20"/>
              </w:rPr>
            </w:pPr>
            <w:r>
              <w:rPr>
                <w:rFonts w:ascii="Arial Narrow" w:hAnsi="Arial Narrow" w:cs="Arial"/>
                <w:noProof/>
                <w:color w:val="000000"/>
                <w:sz w:val="20"/>
                <w:szCs w:val="20"/>
                <w:highlight w:val="black"/>
              </w:rPr>
              <w:t>'''''''' '''''''''' '''</w:t>
            </w:r>
            <w:r>
              <w:rPr>
                <w:rFonts w:ascii="Arial Narrow" w:hAnsi="Arial Narrow" w:cs="Arial"/>
                <w:i/>
                <w:noProof/>
                <w:color w:val="000000"/>
                <w:sz w:val="20"/>
                <w:szCs w:val="20"/>
                <w:highlight w:val="black"/>
              </w:rPr>
              <w:t xml:space="preserve">'''''''''' ''''''' </w:t>
            </w:r>
            <w:r>
              <w:rPr>
                <w:rFonts w:ascii="Arial Narrow" w:hAnsi="Arial Narrow" w:cs="Arial"/>
                <w:noProof/>
                <w:color w:val="000000"/>
                <w:sz w:val="20"/>
                <w:szCs w:val="20"/>
                <w:highlight w:val="black"/>
              </w:rPr>
              <w:t>''''''''''' '''''''''''''''' '''''''''' ''''''''''''''''''''''''' ''''' '''''''''''''''''''''''</w:t>
            </w:r>
            <w:r w:rsidR="007C5EF7" w:rsidRPr="00284652">
              <w:rPr>
                <w:rFonts w:ascii="Arial Narrow" w:hAnsi="Arial Narrow" w:cs="Arial"/>
                <w:sz w:val="20"/>
                <w:szCs w:val="20"/>
              </w:rPr>
              <w:t xml:space="preserve">  </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A comparison of ibrutinib to idelalisib + ofatumumab using ofatumumab as the common comparator was provided. This information was not pivotal to the minor re-submission.</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The minor re-submission examined four methodologies to adjust for crossover. The preferred method was the RPFST.</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b/>
                <w:sz w:val="20"/>
                <w:szCs w:val="20"/>
              </w:rPr>
            </w:pPr>
            <w:r w:rsidRPr="00284652">
              <w:rPr>
                <w:rFonts w:ascii="Arial Narrow" w:hAnsi="Arial Narrow" w:cs="Arial"/>
                <w:i/>
                <w:sz w:val="20"/>
                <w:szCs w:val="20"/>
              </w:rPr>
              <w:t xml:space="preserve">For ibrutinib versus ofatumumab the OS HR adjusted using the RPSFT method for the median follow-up of 16 months was </w:t>
            </w:r>
            <w:r w:rsidR="002D571E">
              <w:rPr>
                <w:rFonts w:ascii="Arial Narrow" w:hAnsi="Arial Narrow" w:cs="Arial"/>
                <w:i/>
                <w:noProof/>
                <w:color w:val="000000"/>
                <w:sz w:val="20"/>
                <w:szCs w:val="20"/>
                <w:highlight w:val="black"/>
              </w:rPr>
              <w:t>'''''''''' '''''''''''''' ''''''' '''''''''''' '''''''''''''</w:t>
            </w: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Presentation of ITT (EOS), RPSFT methodology and ITT (amended).</w:t>
            </w:r>
          </w:p>
          <w:p w:rsidR="007C5EF7" w:rsidRPr="00284652" w:rsidRDefault="007C5EF7" w:rsidP="00AE34A5">
            <w:pPr>
              <w:rPr>
                <w:rFonts w:ascii="Arial Narrow" w:hAnsi="Arial Narrow" w:cs="Arial"/>
                <w:sz w:val="20"/>
                <w:szCs w:val="20"/>
              </w:rPr>
            </w:pPr>
          </w:p>
        </w:tc>
        <w:tc>
          <w:tcPr>
            <w:tcW w:w="755"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667" w:type="pct"/>
          </w:tcPr>
          <w:p w:rsidR="007C5EF7" w:rsidRPr="00284652" w:rsidRDefault="00562F24" w:rsidP="00AE34A5">
            <w:pPr>
              <w:rPr>
                <w:rFonts w:ascii="Arial Narrow" w:hAnsi="Arial Narrow" w:cs="Arial"/>
                <w:sz w:val="20"/>
                <w:szCs w:val="20"/>
              </w:rPr>
            </w:pPr>
            <w:r w:rsidRPr="00284652">
              <w:rPr>
                <w:rFonts w:ascii="Arial Narrow" w:hAnsi="Arial Narrow" w:cs="Arial"/>
                <w:sz w:val="20"/>
                <w:szCs w:val="20"/>
              </w:rPr>
              <w:t>No Change</w:t>
            </w: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Clinical claim</w:t>
            </w: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As evidenced by statistically significant and clinically relevant improvements in PFS, OS, and ORR, ibrutinib has a superior efficacy profile compared to ofatumumab (and by extension chlorambucil plus rituximab, the main comparator) and a different but acceptable safety and tolerability profile.</w:t>
            </w:r>
          </w:p>
          <w:p w:rsidR="007C5EF7" w:rsidRPr="00284652" w:rsidRDefault="007C5EF7" w:rsidP="00AE34A5">
            <w:pPr>
              <w:rPr>
                <w:rFonts w:ascii="Arial Narrow" w:hAnsi="Arial Narrow" w:cs="Arial"/>
                <w:sz w:val="20"/>
                <w:szCs w:val="20"/>
              </w:rPr>
            </w:pPr>
          </w:p>
          <w:p w:rsidR="007C5EF7" w:rsidRPr="00284652" w:rsidRDefault="007C5EF7" w:rsidP="00176925">
            <w:pPr>
              <w:rPr>
                <w:rFonts w:ascii="Arial Narrow" w:hAnsi="Arial Narrow" w:cs="Arial"/>
                <w:sz w:val="20"/>
                <w:szCs w:val="20"/>
              </w:rPr>
            </w:pPr>
            <w:r w:rsidRPr="00284652">
              <w:rPr>
                <w:rFonts w:ascii="Arial Narrow" w:hAnsi="Arial Narrow" w:cs="Arial"/>
                <w:sz w:val="20"/>
                <w:szCs w:val="20"/>
              </w:rPr>
              <w:t>See paragraph 7.7, July 2015 PBAC</w:t>
            </w:r>
            <w:r w:rsidR="009272DD">
              <w:rPr>
                <w:rFonts w:ascii="Arial Narrow" w:hAnsi="Arial Narrow" w:cs="Arial"/>
                <w:sz w:val="20"/>
                <w:szCs w:val="20"/>
              </w:rPr>
              <w:t xml:space="preserve"> Public Summary Document (PSD)</w:t>
            </w:r>
            <w:r w:rsidRPr="00284652">
              <w:rPr>
                <w:rFonts w:ascii="Arial Narrow" w:hAnsi="Arial Narrow" w:cs="Arial"/>
                <w:sz w:val="20"/>
                <w:szCs w:val="20"/>
              </w:rPr>
              <w:t xml:space="preserve"> for PBAC comments on appropriateness.  </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 xml:space="preserve">No change. </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The minor resubmission did not identify any new evidence to determine the magnitude of benefit of ibrutinib over rituximab given in combination with chlorambucil.</w:t>
            </w: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755"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 change</w:t>
            </w:r>
          </w:p>
        </w:tc>
        <w:tc>
          <w:tcPr>
            <w:tcW w:w="667" w:type="pct"/>
          </w:tcPr>
          <w:p w:rsidR="007C5EF7" w:rsidRPr="00284652" w:rsidRDefault="00562F24" w:rsidP="00AE34A5">
            <w:pPr>
              <w:rPr>
                <w:rFonts w:ascii="Arial Narrow" w:hAnsi="Arial Narrow" w:cs="Arial"/>
                <w:sz w:val="20"/>
                <w:szCs w:val="20"/>
              </w:rPr>
            </w:pPr>
            <w:r w:rsidRPr="00284652">
              <w:rPr>
                <w:rFonts w:ascii="Arial Narrow" w:hAnsi="Arial Narrow" w:cs="Arial"/>
                <w:sz w:val="20"/>
                <w:szCs w:val="20"/>
              </w:rPr>
              <w:t>No Change</w:t>
            </w: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Economic model</w:t>
            </w: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Cost-utility analysis.</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3-state model.</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20-year time horizon.</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LYG and QALY outcomes.</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Markov model.</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Transition probabilities derived based on extrapolated PFS and OS KM estimates.</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Convergence of overall survival curves starting at 2 years with full convergence at 25 years.</w:t>
            </w:r>
          </w:p>
          <w:p w:rsidR="007C5EF7" w:rsidRPr="00284652" w:rsidRDefault="007C5EF7" w:rsidP="00AE34A5">
            <w:pPr>
              <w:rPr>
                <w:rFonts w:ascii="Arial Narrow" w:hAnsi="Arial Narrow" w:cs="Arial"/>
                <w:sz w:val="20"/>
                <w:szCs w:val="20"/>
              </w:rPr>
            </w:pP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The structure of the economic model was unchanged.</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The following relevant model inputs were revised:</w:t>
            </w:r>
          </w:p>
          <w:p w:rsidR="007C5EF7" w:rsidRPr="00284652" w:rsidRDefault="007C5EF7" w:rsidP="00AE34A5">
            <w:pPr>
              <w:numPr>
                <w:ilvl w:val="0"/>
                <w:numId w:val="18"/>
              </w:numPr>
              <w:contextualSpacing/>
              <w:rPr>
                <w:rFonts w:ascii="Arial Narrow" w:hAnsi="Arial Narrow" w:cs="Arial"/>
                <w:sz w:val="20"/>
                <w:szCs w:val="20"/>
              </w:rPr>
            </w:pPr>
            <w:r w:rsidRPr="00284652">
              <w:rPr>
                <w:rFonts w:ascii="Arial Narrow" w:hAnsi="Arial Narrow" w:cs="Arial"/>
                <w:sz w:val="20"/>
                <w:szCs w:val="20"/>
              </w:rPr>
              <w:t>Discounted price for ibrutinib.</w:t>
            </w:r>
          </w:p>
          <w:p w:rsidR="007C5EF7" w:rsidRPr="00284652" w:rsidRDefault="007C5EF7" w:rsidP="00AE34A5">
            <w:pPr>
              <w:numPr>
                <w:ilvl w:val="0"/>
                <w:numId w:val="18"/>
              </w:numPr>
              <w:contextualSpacing/>
              <w:rPr>
                <w:rFonts w:ascii="Arial Narrow" w:hAnsi="Arial Narrow" w:cs="Arial"/>
                <w:sz w:val="20"/>
                <w:szCs w:val="20"/>
              </w:rPr>
            </w:pPr>
            <w:r w:rsidRPr="00284652">
              <w:rPr>
                <w:rFonts w:ascii="Arial Narrow" w:hAnsi="Arial Narrow" w:cs="Arial"/>
                <w:sz w:val="20"/>
                <w:szCs w:val="20"/>
              </w:rPr>
              <w:t>Time horizon truncated to15 years (from 20 years).</w:t>
            </w:r>
          </w:p>
          <w:p w:rsidR="007C5EF7" w:rsidRPr="00284652" w:rsidRDefault="002D571E" w:rsidP="00AE34A5">
            <w:pPr>
              <w:numPr>
                <w:ilvl w:val="0"/>
                <w:numId w:val="18"/>
              </w:numPr>
              <w:contextualSpacing/>
              <w:rPr>
                <w:rFonts w:ascii="Arial Narrow" w:hAnsi="Arial Narrow" w:cs="Arial"/>
                <w:sz w:val="20"/>
                <w:szCs w:val="20"/>
              </w:rPr>
            </w:pPr>
            <w:r>
              <w:rPr>
                <w:rFonts w:ascii="Arial Narrow" w:hAnsi="Arial Narrow" w:cs="Arial"/>
                <w:noProof/>
                <w:color w:val="000000"/>
                <w:sz w:val="20"/>
                <w:szCs w:val="20"/>
                <w:highlight w:val="black"/>
              </w:rPr>
              <w:t>''''''''''</w:t>
            </w:r>
            <w:r w:rsidR="007C5EF7" w:rsidRPr="00284652">
              <w:rPr>
                <w:rFonts w:ascii="Arial Narrow" w:hAnsi="Arial Narrow" w:cs="Arial"/>
                <w:sz w:val="20"/>
                <w:szCs w:val="20"/>
              </w:rPr>
              <w:t xml:space="preserve"> reduction in the hazard of event in comparator arm (progression and death) to address the uncertainty in the magnitude of the treatment effect of ofatumumab versus rituximab plus chlorambucil.</w:t>
            </w:r>
          </w:p>
          <w:p w:rsidR="007C5EF7" w:rsidRPr="00284652" w:rsidRDefault="007C5EF7" w:rsidP="00AE34A5">
            <w:pPr>
              <w:ind w:left="360"/>
              <w:contextualSpacing/>
              <w:rPr>
                <w:rFonts w:ascii="Arial Narrow" w:hAnsi="Arial Narrow" w:cs="Arial"/>
                <w:sz w:val="20"/>
                <w:szCs w:val="20"/>
              </w:rPr>
            </w:pP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The following model inputs were revised:</w:t>
            </w:r>
          </w:p>
          <w:p w:rsidR="007C5EF7" w:rsidRPr="00284652" w:rsidRDefault="007C5EF7" w:rsidP="00AE34A5">
            <w:pPr>
              <w:numPr>
                <w:ilvl w:val="0"/>
                <w:numId w:val="18"/>
              </w:numPr>
              <w:contextualSpacing/>
              <w:rPr>
                <w:rFonts w:ascii="Arial Narrow" w:hAnsi="Arial Narrow" w:cs="Arial"/>
                <w:sz w:val="20"/>
                <w:szCs w:val="20"/>
              </w:rPr>
            </w:pPr>
            <w:r w:rsidRPr="00284652">
              <w:rPr>
                <w:rFonts w:ascii="Arial Narrow" w:hAnsi="Arial Narrow" w:cs="Arial"/>
                <w:sz w:val="20"/>
                <w:szCs w:val="20"/>
              </w:rPr>
              <w:t>Time horizon truncated to 10 years (from 15 years).</w:t>
            </w:r>
          </w:p>
          <w:p w:rsidR="007C5EF7" w:rsidRPr="00284652" w:rsidRDefault="007C5EF7" w:rsidP="00AE34A5">
            <w:pPr>
              <w:numPr>
                <w:ilvl w:val="0"/>
                <w:numId w:val="18"/>
              </w:numPr>
              <w:contextualSpacing/>
              <w:rPr>
                <w:rFonts w:ascii="Arial Narrow" w:hAnsi="Arial Narrow" w:cs="Arial"/>
                <w:sz w:val="20"/>
                <w:szCs w:val="20"/>
              </w:rPr>
            </w:pPr>
            <w:r w:rsidRPr="00284652">
              <w:rPr>
                <w:rFonts w:ascii="Arial Narrow" w:hAnsi="Arial Narrow" w:cs="Arial"/>
                <w:sz w:val="20"/>
                <w:szCs w:val="20"/>
              </w:rPr>
              <w:t>Removal of the convergence of the overall survival curves.</w:t>
            </w:r>
          </w:p>
          <w:p w:rsidR="007C5EF7" w:rsidRPr="00284652" w:rsidRDefault="007C5EF7" w:rsidP="00AE34A5">
            <w:pPr>
              <w:rPr>
                <w:rFonts w:ascii="Arial Narrow" w:hAnsi="Arial Narrow" w:cs="Arial"/>
                <w:sz w:val="20"/>
                <w:szCs w:val="20"/>
              </w:rPr>
            </w:pPr>
          </w:p>
        </w:tc>
        <w:tc>
          <w:tcPr>
            <w:tcW w:w="755"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November 2015 model with the following adjustments specified by PBAC at that meeting:</w:t>
            </w:r>
          </w:p>
          <w:p w:rsidR="007C5EF7" w:rsidRPr="00284652" w:rsidRDefault="007C5EF7" w:rsidP="00AE34A5">
            <w:pPr>
              <w:numPr>
                <w:ilvl w:val="0"/>
                <w:numId w:val="18"/>
              </w:numPr>
              <w:contextualSpacing/>
              <w:rPr>
                <w:rFonts w:ascii="Arial Narrow" w:hAnsi="Arial Narrow" w:cs="Arial"/>
                <w:sz w:val="20"/>
                <w:szCs w:val="20"/>
              </w:rPr>
            </w:pPr>
            <w:r w:rsidRPr="00284652">
              <w:rPr>
                <w:rFonts w:ascii="Arial Narrow" w:hAnsi="Arial Narrow" w:cs="Arial"/>
                <w:sz w:val="20"/>
                <w:szCs w:val="20"/>
              </w:rPr>
              <w:t>10 year time horizon;</w:t>
            </w:r>
          </w:p>
          <w:p w:rsidR="007C5EF7" w:rsidRPr="00284652" w:rsidRDefault="007C5EF7" w:rsidP="00AE34A5">
            <w:pPr>
              <w:numPr>
                <w:ilvl w:val="0"/>
                <w:numId w:val="18"/>
              </w:numPr>
              <w:contextualSpacing/>
              <w:rPr>
                <w:rFonts w:ascii="Arial Narrow" w:hAnsi="Arial Narrow" w:cs="Arial"/>
                <w:sz w:val="20"/>
                <w:szCs w:val="20"/>
              </w:rPr>
            </w:pPr>
            <w:r w:rsidRPr="00284652">
              <w:rPr>
                <w:rFonts w:ascii="Arial Narrow" w:hAnsi="Arial Narrow" w:cs="Arial"/>
                <w:sz w:val="20"/>
                <w:szCs w:val="20"/>
              </w:rPr>
              <w:t>OS based on the unadjusted  ITT analysis;</w:t>
            </w:r>
          </w:p>
          <w:p w:rsidR="007C5EF7" w:rsidRPr="00284652" w:rsidRDefault="002D571E" w:rsidP="00AE34A5">
            <w:pPr>
              <w:numPr>
                <w:ilvl w:val="0"/>
                <w:numId w:val="18"/>
              </w:numPr>
              <w:contextualSpacing/>
              <w:rPr>
                <w:rFonts w:ascii="Arial Narrow" w:hAnsi="Arial Narrow" w:cs="Arial"/>
                <w:sz w:val="20"/>
                <w:szCs w:val="20"/>
              </w:rPr>
            </w:pPr>
            <w:r>
              <w:rPr>
                <w:rFonts w:ascii="Arial Narrow" w:hAnsi="Arial Narrow" w:cs="Arial"/>
                <w:noProof/>
                <w:color w:val="000000"/>
                <w:sz w:val="20"/>
                <w:szCs w:val="20"/>
                <w:highlight w:val="black"/>
              </w:rPr>
              <w:t>''''''''''</w:t>
            </w:r>
            <w:r w:rsidR="007C5EF7" w:rsidRPr="00284652">
              <w:rPr>
                <w:rFonts w:ascii="Arial Narrow" w:hAnsi="Arial Narrow" w:cs="Arial"/>
                <w:sz w:val="20"/>
                <w:szCs w:val="20"/>
              </w:rPr>
              <w:t xml:space="preserve"> reduction in hazard of events with ofatumumab</w:t>
            </w:r>
          </w:p>
          <w:p w:rsidR="007C5EF7" w:rsidRPr="00284652" w:rsidRDefault="007C5EF7" w:rsidP="00AE34A5">
            <w:pPr>
              <w:rPr>
                <w:rFonts w:ascii="Arial Narrow" w:hAnsi="Arial Narrow" w:cs="Arial"/>
                <w:sz w:val="20"/>
                <w:szCs w:val="20"/>
              </w:rPr>
            </w:pPr>
          </w:p>
          <w:p w:rsidR="007C5EF7" w:rsidRPr="00284652" w:rsidRDefault="007C5EF7" w:rsidP="00324B77">
            <w:pPr>
              <w:rPr>
                <w:rFonts w:ascii="Arial Narrow" w:hAnsi="Arial Narrow" w:cs="Arial"/>
                <w:sz w:val="20"/>
                <w:szCs w:val="20"/>
              </w:rPr>
            </w:pPr>
            <w:r w:rsidRPr="00284652">
              <w:rPr>
                <w:rFonts w:ascii="Arial Narrow" w:hAnsi="Arial Narrow" w:cs="Arial"/>
                <w:sz w:val="20"/>
                <w:szCs w:val="20"/>
              </w:rPr>
              <w:t>The OS ha</w:t>
            </w:r>
            <w:r w:rsidR="00324B77" w:rsidRPr="00284652">
              <w:rPr>
                <w:rFonts w:ascii="Arial Narrow" w:hAnsi="Arial Narrow" w:cs="Arial"/>
                <w:sz w:val="20"/>
                <w:szCs w:val="20"/>
              </w:rPr>
              <w:t>d</w:t>
            </w:r>
            <w:r w:rsidRPr="00284652">
              <w:rPr>
                <w:rFonts w:ascii="Arial Narrow" w:hAnsi="Arial Narrow" w:cs="Arial"/>
                <w:sz w:val="20"/>
                <w:szCs w:val="20"/>
              </w:rPr>
              <w:t xml:space="preserve"> been converged as per the November 2015 model. The period over </w:t>
            </w:r>
            <w:r w:rsidR="00324B77" w:rsidRPr="00284652">
              <w:rPr>
                <w:rFonts w:ascii="Arial Narrow" w:hAnsi="Arial Narrow" w:cs="Arial"/>
                <w:sz w:val="20"/>
                <w:szCs w:val="20"/>
              </w:rPr>
              <w:t>which the OS curves converge had</w:t>
            </w:r>
            <w:r w:rsidRPr="00284652">
              <w:rPr>
                <w:rFonts w:ascii="Arial Narrow" w:hAnsi="Arial Narrow" w:cs="Arial"/>
                <w:sz w:val="20"/>
                <w:szCs w:val="20"/>
              </w:rPr>
              <w:t xml:space="preserve"> not been adjusted for the revised time </w:t>
            </w:r>
            <w:r w:rsidR="00324B77" w:rsidRPr="00284652">
              <w:rPr>
                <w:rFonts w:ascii="Arial Narrow" w:hAnsi="Arial Narrow" w:cs="Arial"/>
                <w:sz w:val="20"/>
                <w:szCs w:val="20"/>
              </w:rPr>
              <w:t>horizon, and hence the curves did</w:t>
            </w:r>
            <w:r w:rsidRPr="00284652">
              <w:rPr>
                <w:rFonts w:ascii="Arial Narrow" w:hAnsi="Arial Narrow" w:cs="Arial"/>
                <w:sz w:val="20"/>
                <w:szCs w:val="20"/>
              </w:rPr>
              <w:t xml:space="preserve"> not converge at the end of the 10 years (they converge</w:t>
            </w:r>
            <w:r w:rsidR="00324B77" w:rsidRPr="00284652">
              <w:rPr>
                <w:rFonts w:ascii="Arial Narrow" w:hAnsi="Arial Narrow" w:cs="Arial"/>
                <w:sz w:val="20"/>
                <w:szCs w:val="20"/>
              </w:rPr>
              <w:t>d at 25 years which wa</w:t>
            </w:r>
            <w:r w:rsidRPr="00284652">
              <w:rPr>
                <w:rFonts w:ascii="Arial Narrow" w:hAnsi="Arial Narrow" w:cs="Arial"/>
                <w:sz w:val="20"/>
                <w:szCs w:val="20"/>
              </w:rPr>
              <w:t>s beyond the model time horizon).</w:t>
            </w:r>
          </w:p>
        </w:tc>
        <w:tc>
          <w:tcPr>
            <w:tcW w:w="667" w:type="pct"/>
          </w:tcPr>
          <w:p w:rsidR="007C5EF7" w:rsidRPr="00284652" w:rsidRDefault="00562F24" w:rsidP="00AE34A5">
            <w:pPr>
              <w:rPr>
                <w:rFonts w:ascii="Arial Narrow" w:hAnsi="Arial Narrow" w:cs="Arial"/>
                <w:sz w:val="20"/>
                <w:szCs w:val="20"/>
              </w:rPr>
            </w:pPr>
            <w:r w:rsidRPr="00284652">
              <w:rPr>
                <w:rFonts w:ascii="Arial Narrow" w:hAnsi="Arial Narrow" w:cs="Arial"/>
                <w:sz w:val="20"/>
                <w:szCs w:val="20"/>
              </w:rPr>
              <w:t>No Change in model structure.</w:t>
            </w:r>
          </w:p>
          <w:p w:rsidR="00562F24" w:rsidRPr="00284652" w:rsidRDefault="00562F24" w:rsidP="00AE34A5">
            <w:pPr>
              <w:rPr>
                <w:rFonts w:ascii="Arial Narrow" w:hAnsi="Arial Narrow" w:cs="Arial"/>
                <w:sz w:val="20"/>
                <w:szCs w:val="20"/>
              </w:rPr>
            </w:pPr>
          </w:p>
          <w:p w:rsidR="00562F24" w:rsidRPr="00284652" w:rsidRDefault="00562F24" w:rsidP="00AE34A5">
            <w:pPr>
              <w:rPr>
                <w:rFonts w:ascii="Arial Narrow" w:hAnsi="Arial Narrow" w:cs="Arial"/>
                <w:sz w:val="20"/>
                <w:szCs w:val="20"/>
              </w:rPr>
            </w:pP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Base case ICER</w:t>
            </w:r>
          </w:p>
        </w:tc>
        <w:tc>
          <w:tcPr>
            <w:tcW w:w="1091" w:type="pct"/>
          </w:tcPr>
          <w:p w:rsidR="007C5EF7" w:rsidRPr="00284652" w:rsidRDefault="007C5EF7" w:rsidP="00AE34A5">
            <w:pPr>
              <w:rPr>
                <w:rFonts w:ascii="Arial Narrow" w:hAnsi="Arial Narrow"/>
                <w:sz w:val="20"/>
                <w:szCs w:val="20"/>
              </w:rPr>
            </w:pPr>
            <w:r w:rsidRPr="00284652">
              <w:rPr>
                <w:rFonts w:ascii="Arial Narrow" w:hAnsi="Arial Narrow"/>
                <w:sz w:val="20"/>
                <w:szCs w:val="20"/>
              </w:rPr>
              <w:t xml:space="preserve">Main submission: </w:t>
            </w:r>
          </w:p>
          <w:p w:rsidR="007C5EF7" w:rsidRPr="00284652" w:rsidRDefault="007C5EF7" w:rsidP="00AE34A5">
            <w:pPr>
              <w:rPr>
                <w:rFonts w:ascii="Arial Narrow" w:hAnsi="Arial Narrow"/>
                <w:sz w:val="20"/>
                <w:szCs w:val="20"/>
              </w:rPr>
            </w:pPr>
            <w:r w:rsidRPr="00284652">
              <w:rPr>
                <w:rFonts w:ascii="Arial Narrow" w:hAnsi="Arial Narrow"/>
                <w:sz w:val="20"/>
                <w:szCs w:val="20"/>
              </w:rPr>
              <w:t>base case $</w:t>
            </w:r>
            <w:r w:rsidR="002D571E">
              <w:rPr>
                <w:rFonts w:ascii="Arial Narrow" w:hAnsi="Arial Narrow"/>
                <w:noProof/>
                <w:color w:val="000000"/>
                <w:sz w:val="20"/>
                <w:szCs w:val="20"/>
                <w:highlight w:val="black"/>
              </w:rPr>
              <w:t>''''''''''''''''</w:t>
            </w:r>
            <w:r w:rsidRPr="00284652">
              <w:rPr>
                <w:rFonts w:ascii="Arial Narrow" w:hAnsi="Arial Narrow"/>
                <w:sz w:val="20"/>
                <w:szCs w:val="20"/>
              </w:rPr>
              <w:t>/QALY, with OS based on the unadjusted ITT analysis</w:t>
            </w:r>
          </w:p>
          <w:p w:rsidR="007C5EF7" w:rsidRPr="00284652" w:rsidRDefault="007C5EF7" w:rsidP="00AE34A5">
            <w:pPr>
              <w:rPr>
                <w:rFonts w:ascii="Arial Narrow" w:hAnsi="Arial Narrow"/>
                <w:sz w:val="20"/>
                <w:szCs w:val="20"/>
              </w:rPr>
            </w:pPr>
            <w:r w:rsidRPr="00284652">
              <w:rPr>
                <w:rFonts w:ascii="Arial Narrow" w:hAnsi="Arial Narrow"/>
                <w:sz w:val="20"/>
                <w:szCs w:val="20"/>
              </w:rPr>
              <w:t xml:space="preserve">Pre-PBAC response: respecified base case </w:t>
            </w:r>
          </w:p>
          <w:p w:rsidR="007C5EF7" w:rsidRPr="00284652" w:rsidRDefault="007C5EF7" w:rsidP="00AE34A5">
            <w:pPr>
              <w:rPr>
                <w:rFonts w:ascii="Arial Narrow" w:hAnsi="Arial Narrow"/>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r w:rsidRPr="00284652">
              <w:rPr>
                <w:rFonts w:ascii="Arial Narrow" w:hAnsi="Arial Narrow"/>
                <w:sz w:val="20"/>
                <w:szCs w:val="20"/>
              </w:rPr>
              <w:t>/QALY, using RPSFT methodology.</w:t>
            </w:r>
          </w:p>
        </w:tc>
        <w:tc>
          <w:tcPr>
            <w:tcW w:w="1360" w:type="pct"/>
            <w:shd w:val="clear" w:color="auto" w:fill="auto"/>
          </w:tcPr>
          <w:p w:rsidR="007C5EF7" w:rsidRPr="00284652" w:rsidRDefault="007C5EF7" w:rsidP="00AE34A5">
            <w:pPr>
              <w:rPr>
                <w:rFonts w:ascii="Arial Narrow" w:hAnsi="Arial Narrow"/>
                <w:i/>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r w:rsidRPr="00284652">
              <w:rPr>
                <w:rFonts w:ascii="Arial Narrow" w:hAnsi="Arial Narrow"/>
                <w:sz w:val="20"/>
                <w:szCs w:val="20"/>
              </w:rPr>
              <w:t>/QALY (with OS adjusted using the RPSFT methodology)</w:t>
            </w:r>
          </w:p>
          <w:p w:rsidR="007C5EF7" w:rsidRPr="00284652" w:rsidRDefault="007C5EF7" w:rsidP="00AE34A5">
            <w:pPr>
              <w:rPr>
                <w:rFonts w:ascii="Arial Narrow" w:hAnsi="Arial Narrow"/>
                <w:sz w:val="20"/>
                <w:szCs w:val="20"/>
              </w:rPr>
            </w:pPr>
          </w:p>
          <w:p w:rsidR="007C5EF7" w:rsidRPr="00284652" w:rsidRDefault="007C5EF7" w:rsidP="00AE34A5">
            <w:pPr>
              <w:rPr>
                <w:rFonts w:ascii="Arial Narrow" w:hAnsi="Arial Narrow" w:cs="Arial"/>
                <w:sz w:val="20"/>
                <w:szCs w:val="20"/>
              </w:rPr>
            </w:pPr>
          </w:p>
        </w:tc>
        <w:tc>
          <w:tcPr>
            <w:tcW w:w="706" w:type="pct"/>
          </w:tcPr>
          <w:p w:rsidR="007C5EF7" w:rsidRPr="00284652" w:rsidRDefault="007C5EF7" w:rsidP="00AE34A5">
            <w:pPr>
              <w:rPr>
                <w:rFonts w:ascii="Arial Narrow" w:hAnsi="Arial Narrow"/>
                <w:i/>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r w:rsidRPr="00284652">
              <w:rPr>
                <w:rFonts w:ascii="Arial Narrow" w:hAnsi="Arial Narrow"/>
                <w:sz w:val="20"/>
                <w:szCs w:val="20"/>
              </w:rPr>
              <w:t>/QALY</w:t>
            </w:r>
          </w:p>
          <w:p w:rsidR="007C5EF7" w:rsidRPr="00284652" w:rsidRDefault="007C5EF7" w:rsidP="00AE34A5">
            <w:pPr>
              <w:rPr>
                <w:rFonts w:ascii="Arial Narrow" w:hAnsi="Arial Narrow"/>
                <w:sz w:val="20"/>
                <w:szCs w:val="20"/>
              </w:rPr>
            </w:pPr>
          </w:p>
          <w:p w:rsidR="007C5EF7" w:rsidRPr="00284652" w:rsidRDefault="007C5EF7" w:rsidP="00AE34A5">
            <w:pPr>
              <w:rPr>
                <w:rFonts w:ascii="Arial Narrow" w:hAnsi="Arial Narrow"/>
                <w:sz w:val="20"/>
                <w:szCs w:val="20"/>
              </w:rPr>
            </w:pPr>
          </w:p>
        </w:tc>
        <w:tc>
          <w:tcPr>
            <w:tcW w:w="755" w:type="pct"/>
          </w:tcPr>
          <w:p w:rsidR="007C5EF7" w:rsidRPr="00284652" w:rsidRDefault="007C5EF7" w:rsidP="00AE34A5">
            <w:pPr>
              <w:rPr>
                <w:rFonts w:ascii="Arial Narrow" w:hAnsi="Arial Narrow"/>
                <w:sz w:val="20"/>
                <w:szCs w:val="20"/>
              </w:rPr>
            </w:pPr>
            <w:r w:rsidRPr="00284652">
              <w:rPr>
                <w:rFonts w:ascii="Arial Narrow" w:hAnsi="Arial Narrow"/>
                <w:sz w:val="20"/>
                <w:szCs w:val="20"/>
              </w:rPr>
              <w:t>Option 1</w:t>
            </w:r>
          </w:p>
          <w:p w:rsidR="007C5EF7" w:rsidRPr="00284652" w:rsidRDefault="007C5EF7" w:rsidP="00AE34A5">
            <w:pPr>
              <w:rPr>
                <w:rFonts w:ascii="Arial Narrow" w:hAnsi="Arial Narrow"/>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r w:rsidRPr="00284652">
              <w:rPr>
                <w:rFonts w:ascii="Arial Narrow" w:hAnsi="Arial Narrow"/>
                <w:sz w:val="20"/>
                <w:szCs w:val="20"/>
              </w:rPr>
              <w:tab/>
            </w:r>
          </w:p>
          <w:p w:rsidR="007C5EF7" w:rsidRPr="00284652" w:rsidRDefault="007C5EF7" w:rsidP="00AE34A5">
            <w:pPr>
              <w:rPr>
                <w:rFonts w:ascii="Arial Narrow" w:hAnsi="Arial Narrow"/>
                <w:sz w:val="20"/>
                <w:szCs w:val="20"/>
              </w:rPr>
            </w:pPr>
            <w:r w:rsidRPr="00284652">
              <w:rPr>
                <w:rFonts w:ascii="Arial Narrow" w:hAnsi="Arial Narrow"/>
                <w:sz w:val="20"/>
                <w:szCs w:val="20"/>
              </w:rPr>
              <w:t>Option 2</w:t>
            </w:r>
          </w:p>
          <w:p w:rsidR="007C5EF7" w:rsidRPr="00284652" w:rsidRDefault="007C5EF7" w:rsidP="00AE34A5">
            <w:pPr>
              <w:rPr>
                <w:rFonts w:ascii="Arial Narrow" w:hAnsi="Arial Narrow"/>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p>
          <w:p w:rsidR="007C5EF7" w:rsidRPr="00284652" w:rsidRDefault="007C5EF7" w:rsidP="00AE34A5">
            <w:pPr>
              <w:rPr>
                <w:rFonts w:ascii="Arial Narrow" w:hAnsi="Arial Narrow"/>
                <w:i/>
                <w:sz w:val="20"/>
                <w:szCs w:val="20"/>
              </w:rPr>
            </w:pPr>
          </w:p>
        </w:tc>
        <w:tc>
          <w:tcPr>
            <w:tcW w:w="667" w:type="pct"/>
          </w:tcPr>
          <w:p w:rsidR="007C5EF7" w:rsidRPr="00284652" w:rsidRDefault="002428DD" w:rsidP="00AE34A5">
            <w:pPr>
              <w:rPr>
                <w:rFonts w:ascii="Arial Narrow" w:hAnsi="Arial Narrow"/>
                <w:sz w:val="20"/>
                <w:szCs w:val="20"/>
              </w:rPr>
            </w:pPr>
            <w:r w:rsidRPr="00284652">
              <w:rPr>
                <w:rFonts w:ascii="Arial Narrow" w:hAnsi="Arial Narrow"/>
                <w:sz w:val="20"/>
                <w:szCs w:val="20"/>
              </w:rPr>
              <w:t>If caps reached:</w:t>
            </w:r>
          </w:p>
          <w:p w:rsidR="00A37A52" w:rsidRPr="00284652" w:rsidRDefault="00A37A52" w:rsidP="00AE34A5">
            <w:pPr>
              <w:rPr>
                <w:rFonts w:ascii="Arial Narrow" w:hAnsi="Arial Narrow"/>
                <w:sz w:val="20"/>
                <w:szCs w:val="20"/>
              </w:rPr>
            </w:pPr>
          </w:p>
          <w:p w:rsidR="002A4562" w:rsidRDefault="00562F24" w:rsidP="00AE34A5">
            <w:pPr>
              <w:rPr>
                <w:rFonts w:ascii="Arial Narrow" w:hAnsi="Arial Narrow"/>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r w:rsidRPr="00284652">
              <w:rPr>
                <w:rFonts w:ascii="Arial Narrow" w:hAnsi="Arial Narrow"/>
                <w:sz w:val="20"/>
                <w:szCs w:val="20"/>
              </w:rPr>
              <w:t xml:space="preserve"> </w:t>
            </w:r>
          </w:p>
          <w:p w:rsidR="00562F24" w:rsidRPr="00284652" w:rsidRDefault="00562F24" w:rsidP="00AE34A5">
            <w:pPr>
              <w:rPr>
                <w:rFonts w:ascii="Arial Narrow" w:hAnsi="Arial Narrow"/>
                <w:sz w:val="20"/>
                <w:szCs w:val="20"/>
              </w:rPr>
            </w:pPr>
            <w:r w:rsidRPr="00284652">
              <w:rPr>
                <w:rFonts w:ascii="Arial Narrow" w:hAnsi="Arial Narrow"/>
                <w:sz w:val="20"/>
                <w:szCs w:val="20"/>
              </w:rPr>
              <w:t>(25 y Converge)</w:t>
            </w:r>
          </w:p>
          <w:p w:rsidR="00562F24" w:rsidRPr="00E07EB8" w:rsidRDefault="00562F24" w:rsidP="00AE34A5">
            <w:pPr>
              <w:rPr>
                <w:rFonts w:ascii="Arial Narrow" w:hAnsi="Arial Narrow"/>
                <w:sz w:val="20"/>
                <w:szCs w:val="20"/>
              </w:rPr>
            </w:pPr>
          </w:p>
          <w:p w:rsidR="002A4562" w:rsidRDefault="00562F24" w:rsidP="00AE34A5">
            <w:pPr>
              <w:rPr>
                <w:rFonts w:ascii="Arial Narrow" w:hAnsi="Arial Narrow"/>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r w:rsidRPr="00284652">
              <w:rPr>
                <w:rFonts w:ascii="Arial Narrow" w:hAnsi="Arial Narrow"/>
                <w:sz w:val="20"/>
                <w:szCs w:val="20"/>
              </w:rPr>
              <w:t xml:space="preserve"> </w:t>
            </w:r>
          </w:p>
          <w:p w:rsidR="00562F24" w:rsidRPr="00284652" w:rsidRDefault="00562F24" w:rsidP="00AE34A5">
            <w:pPr>
              <w:rPr>
                <w:rFonts w:ascii="Arial Narrow" w:hAnsi="Arial Narrow"/>
                <w:sz w:val="20"/>
                <w:szCs w:val="20"/>
              </w:rPr>
            </w:pPr>
            <w:r w:rsidRPr="00284652">
              <w:rPr>
                <w:rFonts w:ascii="Arial Narrow" w:hAnsi="Arial Narrow"/>
                <w:sz w:val="20"/>
                <w:szCs w:val="20"/>
              </w:rPr>
              <w:t>(10 y Converge)</w:t>
            </w:r>
          </w:p>
          <w:p w:rsidR="00562F24" w:rsidRPr="00284652" w:rsidRDefault="00562F24" w:rsidP="00AE34A5">
            <w:pPr>
              <w:rPr>
                <w:rFonts w:ascii="Arial Narrow" w:hAnsi="Arial Narrow"/>
                <w:sz w:val="20"/>
                <w:szCs w:val="20"/>
              </w:rPr>
            </w:pPr>
            <w:r w:rsidRPr="00284652">
              <w:rPr>
                <w:rFonts w:ascii="Arial Narrow" w:hAnsi="Arial Narrow"/>
                <w:i/>
                <w:sz w:val="20"/>
                <w:szCs w:val="20"/>
              </w:rPr>
              <w:t>See also Table 2</w:t>
            </w: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Financial estimates</w:t>
            </w: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Incidence based approach.</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i/>
                <w:sz w:val="20"/>
                <w:szCs w:val="20"/>
              </w:rPr>
            </w:pPr>
            <w:r w:rsidRPr="00284652">
              <w:rPr>
                <w:rFonts w:ascii="Arial Narrow" w:hAnsi="Arial Narrow" w:cs="Arial"/>
                <w:i/>
                <w:sz w:val="20"/>
                <w:szCs w:val="20"/>
              </w:rPr>
              <w:t xml:space="preserve">Method was inappropriate, DUSC developed new estimates. </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The financial estimates prepared by the DUSC for the July 2015 submission were accepted.</w:t>
            </w:r>
          </w:p>
        </w:tc>
        <w:tc>
          <w:tcPr>
            <w:tcW w:w="706"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Unchanged</w:t>
            </w:r>
          </w:p>
        </w:tc>
        <w:tc>
          <w:tcPr>
            <w:tcW w:w="755"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Option 1</w:t>
            </w:r>
          </w:p>
          <w:p w:rsidR="007C5EF7" w:rsidRPr="00284652" w:rsidRDefault="002D571E" w:rsidP="00AE34A5">
            <w:pPr>
              <w:rPr>
                <w:rFonts w:ascii="Arial Narrow" w:hAnsi="Arial Narrow" w:cs="Arial"/>
                <w:sz w:val="20"/>
                <w:szCs w:val="20"/>
              </w:rPr>
            </w:pPr>
            <w:r>
              <w:rPr>
                <w:rFonts w:ascii="Arial Narrow" w:hAnsi="Arial Narrow" w:cs="Arial"/>
                <w:noProof/>
                <w:color w:val="000000"/>
                <w:sz w:val="20"/>
                <w:szCs w:val="20"/>
                <w:highlight w:val="black"/>
              </w:rPr>
              <w:t>'''''''''''</w:t>
            </w:r>
            <w:r w:rsidR="007C5EF7" w:rsidRPr="00284652">
              <w:rPr>
                <w:rFonts w:ascii="Arial Narrow" w:hAnsi="Arial Narrow" w:cs="Arial"/>
                <w:sz w:val="20"/>
                <w:szCs w:val="20"/>
              </w:rPr>
              <w:t xml:space="preserve"> of DUSC population</w:t>
            </w: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Option 2</w:t>
            </w:r>
          </w:p>
          <w:p w:rsidR="007C5EF7" w:rsidRPr="00284652" w:rsidRDefault="002D571E" w:rsidP="00AE34A5">
            <w:pPr>
              <w:rPr>
                <w:rFonts w:ascii="Arial Narrow" w:hAnsi="Arial Narrow" w:cs="Arial"/>
                <w:sz w:val="20"/>
                <w:szCs w:val="20"/>
              </w:rPr>
            </w:pPr>
            <w:r>
              <w:rPr>
                <w:rFonts w:ascii="Arial Narrow" w:hAnsi="Arial Narrow" w:cs="Arial"/>
                <w:noProof/>
                <w:color w:val="000000"/>
                <w:sz w:val="20"/>
                <w:szCs w:val="20"/>
                <w:highlight w:val="black"/>
              </w:rPr>
              <w:t>''''''''''''</w:t>
            </w:r>
            <w:r w:rsidR="007C5EF7" w:rsidRPr="00284652">
              <w:rPr>
                <w:rFonts w:ascii="Arial Narrow" w:hAnsi="Arial Narrow" w:cs="Arial"/>
                <w:sz w:val="20"/>
                <w:szCs w:val="20"/>
              </w:rPr>
              <w:t xml:space="preserve"> of DUSC population</w:t>
            </w:r>
          </w:p>
        </w:tc>
        <w:tc>
          <w:tcPr>
            <w:tcW w:w="667" w:type="pct"/>
          </w:tcPr>
          <w:p w:rsidR="007C5EF7" w:rsidRPr="00284652" w:rsidRDefault="00562F24" w:rsidP="00AE34A5">
            <w:pPr>
              <w:rPr>
                <w:rFonts w:ascii="Arial Narrow" w:hAnsi="Arial Narrow" w:cs="Arial"/>
                <w:sz w:val="20"/>
                <w:szCs w:val="20"/>
              </w:rPr>
            </w:pPr>
            <w:r w:rsidRPr="00284652">
              <w:rPr>
                <w:rFonts w:ascii="Arial Narrow" w:hAnsi="Arial Narrow" w:cs="Arial"/>
                <w:sz w:val="20"/>
                <w:szCs w:val="20"/>
              </w:rPr>
              <w:t>No Change</w:t>
            </w:r>
          </w:p>
        </w:tc>
      </w:tr>
      <w:tr w:rsidR="001727E3" w:rsidRPr="00284652" w:rsidTr="00703193">
        <w:trPr>
          <w:cantSplit/>
        </w:trPr>
        <w:tc>
          <w:tcPr>
            <w:tcW w:w="421"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Risk sharing arrangement</w:t>
            </w:r>
          </w:p>
        </w:tc>
        <w:tc>
          <w:tcPr>
            <w:tcW w:w="1091"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 xml:space="preserve">The submission stated that a risk share arrangement should be based upon an assumption of </w:t>
            </w:r>
            <w:r w:rsidR="002D571E">
              <w:rPr>
                <w:rFonts w:ascii="Arial Narrow" w:hAnsi="Arial Narrow" w:cs="Arial"/>
                <w:noProof/>
                <w:color w:val="000000"/>
                <w:sz w:val="20"/>
                <w:szCs w:val="20"/>
                <w:highlight w:val="black"/>
              </w:rPr>
              <w:t>''''''''''</w:t>
            </w:r>
            <w:r w:rsidRPr="00284652">
              <w:rPr>
                <w:rFonts w:ascii="Arial Narrow" w:hAnsi="Arial Narrow" w:cs="Arial"/>
                <w:sz w:val="20"/>
                <w:szCs w:val="20"/>
              </w:rPr>
              <w:t>% uptake in eligible patients with an appropriate financial buffer before any rebates apply.</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To reduce the risk of leakage, the submission stated willingness to work with the Department to negotiate a risk-sharing arrangement.</w:t>
            </w:r>
          </w:p>
        </w:tc>
        <w:tc>
          <w:tcPr>
            <w:tcW w:w="1360" w:type="pct"/>
            <w:shd w:val="clear" w:color="auto" w:fill="auto"/>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The minor re-submission used the DUSC estimates to calculate caps for the proposed RSA. The proposed caps are based upon the assumption that all eligible patients as proposed by the DUSC’s estimates will access ibrutinib.</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 xml:space="preserve">The minor re-submission acknowledges the potential for leakage to other populations (purine suitable, first-line CLL with 17p deletion and mantle cell lymphoma). An additional rebate of </w:t>
            </w:r>
            <w:r w:rsidR="002D571E">
              <w:rPr>
                <w:rFonts w:ascii="Arial Narrow" w:hAnsi="Arial Narrow" w:cs="Arial"/>
                <w:noProof/>
                <w:color w:val="000000"/>
                <w:sz w:val="20"/>
                <w:szCs w:val="20"/>
                <w:highlight w:val="black"/>
              </w:rPr>
              <w:t>'''''</w:t>
            </w:r>
            <w:r w:rsidRPr="00284652">
              <w:rPr>
                <w:rFonts w:ascii="Arial Narrow" w:hAnsi="Arial Narrow" w:cs="Arial"/>
                <w:sz w:val="20"/>
                <w:szCs w:val="20"/>
              </w:rPr>
              <w:t>% for all Commonwealth payments exceeding the subsidisation caps was proposed.</w:t>
            </w:r>
          </w:p>
          <w:p w:rsidR="007C5EF7" w:rsidRPr="00284652" w:rsidRDefault="007C5EF7" w:rsidP="00AE34A5">
            <w:pPr>
              <w:rPr>
                <w:rFonts w:ascii="Arial Narrow" w:hAnsi="Arial Narrow" w:cs="Arial"/>
                <w:i/>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i/>
                <w:sz w:val="20"/>
                <w:szCs w:val="20"/>
              </w:rPr>
              <w:t xml:space="preserve">The PBAC recommended that a RSA would be required consisting of a cap on expenditure with a </w:t>
            </w:r>
            <w:r w:rsidR="002D571E">
              <w:rPr>
                <w:rFonts w:ascii="Arial Narrow" w:hAnsi="Arial Narrow" w:cs="Arial"/>
                <w:i/>
                <w:noProof/>
                <w:color w:val="000000"/>
                <w:sz w:val="20"/>
                <w:szCs w:val="20"/>
                <w:highlight w:val="black"/>
              </w:rPr>
              <w:t>''''''''''</w:t>
            </w:r>
            <w:r w:rsidRPr="00284652">
              <w:rPr>
                <w:rFonts w:ascii="Arial Narrow" w:hAnsi="Arial Narrow" w:cs="Arial"/>
                <w:i/>
                <w:sz w:val="20"/>
                <w:szCs w:val="20"/>
              </w:rPr>
              <w:t>% rebate for budget certainty. The PBAC recommended that the RSA should be based on the DUSC estimates of the patient population representative of those included in the RESONATE trial.</w:t>
            </w:r>
          </w:p>
        </w:tc>
        <w:tc>
          <w:tcPr>
            <w:tcW w:w="706" w:type="pct"/>
          </w:tcPr>
          <w:p w:rsidR="007C5EF7" w:rsidRPr="00284652" w:rsidRDefault="007C5EF7" w:rsidP="00AE34A5">
            <w:pPr>
              <w:rPr>
                <w:rFonts w:ascii="Arial Narrow" w:hAnsi="Arial Narrow" w:cs="Arial"/>
                <w:sz w:val="20"/>
                <w:szCs w:val="20"/>
              </w:rPr>
            </w:pPr>
          </w:p>
          <w:p w:rsidR="007C5EF7" w:rsidRPr="00284652" w:rsidRDefault="007C5EF7" w:rsidP="00F47526">
            <w:pPr>
              <w:rPr>
                <w:rFonts w:ascii="Arial Narrow" w:hAnsi="Arial Narrow" w:cs="Arial"/>
                <w:sz w:val="20"/>
                <w:szCs w:val="20"/>
              </w:rPr>
            </w:pPr>
            <w:r w:rsidRPr="00284652">
              <w:rPr>
                <w:rFonts w:ascii="Arial Narrow" w:hAnsi="Arial Narrow" w:cs="Arial"/>
                <w:sz w:val="20"/>
                <w:szCs w:val="20"/>
              </w:rPr>
              <w:t>The minor re-submission requested negotiations with the Department</w:t>
            </w:r>
            <w:r w:rsidR="00CE5F4F">
              <w:rPr>
                <w:rFonts w:ascii="Arial Narrow" w:hAnsi="Arial Narrow" w:cs="Arial"/>
                <w:sz w:val="20"/>
                <w:szCs w:val="20"/>
              </w:rPr>
              <w:t>.</w:t>
            </w:r>
          </w:p>
        </w:tc>
        <w:tc>
          <w:tcPr>
            <w:tcW w:w="755" w:type="pct"/>
          </w:tcPr>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Same for Options 1 and 2</w:t>
            </w:r>
          </w:p>
          <w:p w:rsidR="007C5EF7" w:rsidRPr="00284652" w:rsidRDefault="007C5EF7" w:rsidP="00AE34A5">
            <w:pPr>
              <w:rPr>
                <w:rFonts w:ascii="Arial Narrow" w:hAnsi="Arial Narrow" w:cs="Arial"/>
                <w:sz w:val="20"/>
                <w:szCs w:val="20"/>
              </w:rPr>
            </w:pPr>
          </w:p>
          <w:p w:rsidR="007C5EF7" w:rsidRPr="002D571E" w:rsidRDefault="002D571E" w:rsidP="00AE34A5">
            <w:pPr>
              <w:rPr>
                <w:rFonts w:ascii="Arial Narrow" w:hAnsi="Arial Narrow" w:cs="Arial"/>
                <w:sz w:val="20"/>
                <w:szCs w:val="20"/>
                <w:highlight w:val="black"/>
              </w:rPr>
            </w:pPr>
            <w:r>
              <w:rPr>
                <w:rFonts w:ascii="Arial Narrow" w:hAnsi="Arial Narrow" w:cs="Arial"/>
                <w:noProof/>
                <w:color w:val="000000"/>
                <w:sz w:val="20"/>
                <w:szCs w:val="20"/>
                <w:highlight w:val="black"/>
              </w:rPr>
              <w:t>'''''''''' '''' '''''''' ''''' '''''''''' '''' ''''''''''''''' ''''''''''''''''' '''''''''''''''''''''''' ''''''''' ''''''''''''''''''''''' ''' '''''''''''''' '''''''''''''''''' ''''' ''''''''''''''''''''''''' '''''''''''' ''''''' '''''''''''''''''''''''''''''' ''''''''' ''''' '''''''''' ''''''''''''''''''</w:t>
            </w:r>
          </w:p>
          <w:p w:rsidR="007C5EF7" w:rsidRPr="002D571E" w:rsidRDefault="007C5EF7" w:rsidP="00AE34A5">
            <w:pPr>
              <w:rPr>
                <w:rFonts w:ascii="Arial Narrow" w:hAnsi="Arial Narrow" w:cs="Arial"/>
                <w:sz w:val="20"/>
                <w:szCs w:val="20"/>
              </w:rPr>
            </w:pPr>
          </w:p>
          <w:p w:rsidR="007C5EF7" w:rsidRPr="002D571E" w:rsidRDefault="002D571E" w:rsidP="00AE34A5">
            <w:pPr>
              <w:rPr>
                <w:rFonts w:ascii="Arial Narrow" w:hAnsi="Arial Narrow" w:cs="Arial"/>
                <w:sz w:val="20"/>
                <w:szCs w:val="20"/>
                <w:highlight w:val="black"/>
              </w:rPr>
            </w:pPr>
            <w:r>
              <w:rPr>
                <w:rFonts w:ascii="Arial Narrow" w:hAnsi="Arial Narrow" w:cs="Arial"/>
                <w:noProof/>
                <w:color w:val="000000"/>
                <w:sz w:val="20"/>
                <w:szCs w:val="20"/>
                <w:highlight w:val="black"/>
              </w:rPr>
              <w:t>'''''''''''''' '''''''''''''''''''''''' ''''' ''''''''' '''</w:t>
            </w:r>
          </w:p>
          <w:p w:rsidR="007C5EF7" w:rsidRPr="002D571E" w:rsidRDefault="007C5EF7" w:rsidP="00AE34A5">
            <w:pPr>
              <w:rPr>
                <w:rFonts w:ascii="Arial Narrow" w:hAnsi="Arial Narrow" w:cs="Arial"/>
                <w:sz w:val="20"/>
                <w:szCs w:val="20"/>
              </w:rPr>
            </w:pPr>
          </w:p>
          <w:p w:rsidR="007C5EF7" w:rsidRPr="002D571E" w:rsidRDefault="002D571E" w:rsidP="00AE34A5">
            <w:pPr>
              <w:rPr>
                <w:rFonts w:ascii="Arial Narrow" w:hAnsi="Arial Narrow" w:cs="Arial"/>
                <w:sz w:val="20"/>
                <w:szCs w:val="20"/>
              </w:rPr>
            </w:pPr>
            <w:r>
              <w:rPr>
                <w:rFonts w:ascii="Arial Narrow" w:hAnsi="Arial Narrow" w:cs="Arial"/>
                <w:noProof/>
                <w:color w:val="000000"/>
                <w:sz w:val="20"/>
                <w:szCs w:val="20"/>
                <w:highlight w:val="black"/>
              </w:rPr>
              <w:t>''''''''''' ''' ''''''' ''''' '''''''''''' '''' '''''''''''''' ''''''''''''''''' '''''''''''''''''''''''''</w:t>
            </w:r>
            <w:r>
              <w:rPr>
                <w:noProof/>
                <w:color w:val="000000"/>
                <w:sz w:val="20"/>
                <w:szCs w:val="20"/>
                <w:highlight w:val="black"/>
              </w:rPr>
              <w:t xml:space="preserve"> </w:t>
            </w:r>
            <w:r>
              <w:rPr>
                <w:rFonts w:ascii="Arial Narrow" w:hAnsi="Arial Narrow" w:cs="Arial"/>
                <w:noProof/>
                <w:color w:val="000000"/>
                <w:sz w:val="20"/>
                <w:szCs w:val="20"/>
                <w:highlight w:val="black"/>
              </w:rPr>
              <w:t>'''''''''' ''''''''''''''''''''' '''' ''''''''''''' ''''''''''''''''' '''' ''''''''''''''''''''' '''' ''''''''''' ''''''''''''''''</w:t>
            </w:r>
          </w:p>
          <w:p w:rsidR="007C5EF7" w:rsidRPr="002D571E" w:rsidRDefault="007C5EF7" w:rsidP="00AE34A5">
            <w:pPr>
              <w:rPr>
                <w:rFonts w:ascii="Arial Narrow" w:hAnsi="Arial Narrow" w:cs="Arial"/>
                <w:sz w:val="20"/>
                <w:szCs w:val="20"/>
              </w:rPr>
            </w:pPr>
          </w:p>
          <w:p w:rsidR="007C5EF7" w:rsidRPr="002D571E" w:rsidRDefault="002D571E" w:rsidP="00AE34A5">
            <w:pPr>
              <w:rPr>
                <w:rFonts w:ascii="Arial Narrow" w:hAnsi="Arial Narrow" w:cs="Arial"/>
                <w:sz w:val="20"/>
                <w:szCs w:val="20"/>
                <w:highlight w:val="black"/>
              </w:rPr>
            </w:pPr>
            <w:r>
              <w:rPr>
                <w:rFonts w:ascii="Arial Narrow" w:hAnsi="Arial Narrow" w:cs="Arial"/>
                <w:noProof/>
                <w:color w:val="000000"/>
                <w:sz w:val="20"/>
                <w:szCs w:val="20"/>
                <w:highlight w:val="black"/>
              </w:rPr>
              <w:t>'''''''''''''''' '''''''''''''''''''''''' '''' '''''''' '''</w:t>
            </w:r>
          </w:p>
          <w:p w:rsidR="007C5EF7" w:rsidRPr="002D571E" w:rsidRDefault="007C5EF7" w:rsidP="00AE34A5">
            <w:pPr>
              <w:rPr>
                <w:rFonts w:ascii="Arial Narrow" w:hAnsi="Arial Narrow" w:cs="Arial"/>
                <w:sz w:val="20"/>
                <w:szCs w:val="20"/>
              </w:rPr>
            </w:pPr>
          </w:p>
          <w:p w:rsidR="007C5EF7" w:rsidRPr="002D571E" w:rsidRDefault="002D571E" w:rsidP="00AE34A5">
            <w:pPr>
              <w:rPr>
                <w:rFonts w:ascii="Arial Narrow" w:hAnsi="Arial Narrow" w:cs="Arial"/>
                <w:sz w:val="20"/>
                <w:szCs w:val="20"/>
                <w:highlight w:val="black"/>
              </w:rPr>
            </w:pPr>
            <w:r>
              <w:rPr>
                <w:rFonts w:ascii="Arial Narrow" w:hAnsi="Arial Narrow" w:cs="Arial"/>
                <w:noProof/>
                <w:color w:val="000000"/>
                <w:sz w:val="20"/>
                <w:szCs w:val="20"/>
                <w:highlight w:val="black"/>
              </w:rPr>
              <w:t>'''''''''''' ''''''''''''''' ''''''''''' '''''''' '''''</w:t>
            </w:r>
          </w:p>
          <w:p w:rsidR="007C5EF7" w:rsidRPr="00284652" w:rsidRDefault="007C5EF7" w:rsidP="00AE34A5">
            <w:pPr>
              <w:rPr>
                <w:rFonts w:ascii="Arial Narrow" w:hAnsi="Arial Narrow" w:cs="Arial"/>
                <w:sz w:val="20"/>
                <w:szCs w:val="20"/>
              </w:rPr>
            </w:pPr>
          </w:p>
          <w:p w:rsidR="007C5EF7" w:rsidRPr="00284652" w:rsidRDefault="007C5EF7" w:rsidP="00AE34A5">
            <w:pPr>
              <w:rPr>
                <w:rFonts w:ascii="Arial Narrow" w:hAnsi="Arial Narrow" w:cs="Arial"/>
                <w:sz w:val="20"/>
                <w:szCs w:val="20"/>
              </w:rPr>
            </w:pPr>
            <w:r w:rsidRPr="00284652">
              <w:rPr>
                <w:rFonts w:ascii="Arial Narrow" w:hAnsi="Arial Narrow" w:cs="Arial"/>
                <w:sz w:val="20"/>
                <w:szCs w:val="20"/>
              </w:rPr>
              <w:t>Special Pricing Arrangement with public DPMQ of $</w:t>
            </w:r>
            <w:r w:rsidR="002D571E">
              <w:rPr>
                <w:rFonts w:ascii="Arial Narrow" w:hAnsi="Arial Narrow" w:cs="Arial"/>
                <w:noProof/>
                <w:color w:val="000000"/>
                <w:sz w:val="20"/>
                <w:szCs w:val="20"/>
                <w:highlight w:val="black"/>
              </w:rPr>
              <w:t>''''''''''''''''''</w:t>
            </w:r>
          </w:p>
          <w:p w:rsidR="007C5EF7" w:rsidRPr="00284652" w:rsidRDefault="007C5EF7" w:rsidP="00AE34A5">
            <w:pPr>
              <w:rPr>
                <w:rFonts w:ascii="Arial Narrow" w:hAnsi="Arial Narrow" w:cs="Arial"/>
                <w:sz w:val="20"/>
                <w:szCs w:val="20"/>
              </w:rPr>
            </w:pPr>
          </w:p>
        </w:tc>
        <w:tc>
          <w:tcPr>
            <w:tcW w:w="667" w:type="pct"/>
          </w:tcPr>
          <w:p w:rsidR="00562F24" w:rsidRPr="00284652" w:rsidRDefault="00562F24" w:rsidP="00AE34A5">
            <w:pPr>
              <w:rPr>
                <w:rFonts w:ascii="Arial Narrow" w:hAnsi="Arial Narrow" w:cs="Arial"/>
                <w:sz w:val="20"/>
                <w:szCs w:val="20"/>
              </w:rPr>
            </w:pPr>
            <w:r w:rsidRPr="00284652">
              <w:rPr>
                <w:rFonts w:ascii="Arial Narrow" w:hAnsi="Arial Narrow" w:cs="Arial"/>
                <w:sz w:val="20"/>
                <w:szCs w:val="20"/>
              </w:rPr>
              <w:t>No Change to prices and cap numbers.</w:t>
            </w:r>
          </w:p>
          <w:p w:rsidR="00562F24" w:rsidRPr="00284652" w:rsidRDefault="00562F24" w:rsidP="00AE34A5">
            <w:pPr>
              <w:rPr>
                <w:rFonts w:ascii="Arial Narrow" w:hAnsi="Arial Narrow" w:cs="Arial"/>
                <w:sz w:val="20"/>
                <w:szCs w:val="20"/>
              </w:rPr>
            </w:pPr>
          </w:p>
          <w:p w:rsidR="00562F24" w:rsidRPr="00284652" w:rsidRDefault="00562F24" w:rsidP="00AE34A5">
            <w:pPr>
              <w:rPr>
                <w:rFonts w:ascii="Arial Narrow" w:hAnsi="Arial Narrow" w:cs="Arial"/>
                <w:sz w:val="20"/>
                <w:szCs w:val="20"/>
              </w:rPr>
            </w:pPr>
          </w:p>
          <w:p w:rsidR="00562F24" w:rsidRPr="00284652" w:rsidRDefault="00562F24" w:rsidP="00AE34A5">
            <w:pPr>
              <w:rPr>
                <w:rFonts w:ascii="Arial Narrow" w:hAnsi="Arial Narrow" w:cs="Arial"/>
                <w:sz w:val="20"/>
                <w:szCs w:val="20"/>
              </w:rPr>
            </w:pPr>
            <w:r w:rsidRPr="00284652">
              <w:rPr>
                <w:rFonts w:ascii="Arial Narrow" w:hAnsi="Arial Narrow" w:cs="Arial"/>
                <w:sz w:val="20"/>
                <w:szCs w:val="20"/>
              </w:rPr>
              <w:t>Reduces overall cap to $</w:t>
            </w:r>
            <w:r w:rsidR="002D571E">
              <w:rPr>
                <w:rFonts w:ascii="Arial Narrow" w:hAnsi="Arial Narrow" w:cs="Arial"/>
                <w:noProof/>
                <w:color w:val="000000"/>
                <w:sz w:val="20"/>
                <w:szCs w:val="20"/>
                <w:highlight w:val="black"/>
              </w:rPr>
              <w:t>'''''''''' ''''</w:t>
            </w:r>
            <w:r w:rsidRPr="00284652">
              <w:rPr>
                <w:rFonts w:ascii="Arial Narrow" w:hAnsi="Arial Narrow" w:cs="Arial"/>
                <w:sz w:val="20"/>
                <w:szCs w:val="20"/>
              </w:rPr>
              <w:t xml:space="preserve"> over 5 years.</w:t>
            </w:r>
          </w:p>
          <w:p w:rsidR="00562F24" w:rsidRPr="00284652" w:rsidRDefault="00562F24" w:rsidP="00AE34A5">
            <w:pPr>
              <w:rPr>
                <w:rFonts w:ascii="Arial Narrow" w:hAnsi="Arial Narrow" w:cs="Arial"/>
                <w:sz w:val="20"/>
                <w:szCs w:val="20"/>
              </w:rPr>
            </w:pPr>
          </w:p>
        </w:tc>
      </w:tr>
    </w:tbl>
    <w:p w:rsidR="00AE34A5" w:rsidRPr="00284652" w:rsidRDefault="00AE34A5" w:rsidP="00AE34A5">
      <w:pPr>
        <w:rPr>
          <w:rFonts w:ascii="Arial Narrow" w:hAnsi="Arial Narrow"/>
          <w:sz w:val="18"/>
        </w:rPr>
      </w:pPr>
      <w:r w:rsidRPr="00284652">
        <w:rPr>
          <w:rFonts w:ascii="Arial Narrow" w:hAnsi="Arial Narrow"/>
          <w:sz w:val="18"/>
        </w:rPr>
        <w:t>Source: compiled for the Minor Overview</w:t>
      </w:r>
    </w:p>
    <w:p w:rsidR="00AE34A5" w:rsidRPr="00284652" w:rsidRDefault="00AE34A5" w:rsidP="00AE34A5">
      <w:pPr>
        <w:rPr>
          <w:rFonts w:ascii="Arial Narrow" w:hAnsi="Arial Narrow"/>
          <w:sz w:val="18"/>
        </w:rPr>
      </w:pPr>
      <w:r w:rsidRPr="00284652">
        <w:rPr>
          <w:rFonts w:ascii="Arial Narrow" w:hAnsi="Arial Narrow"/>
          <w:sz w:val="18"/>
        </w:rPr>
        <w:t>CLL = chronic lymphocytic leukaemia; SLL = small lymphocytic lymphoma; PBS = pharmaceutical benefit scheme; DPMQ = dispensed price for maximum quantity; ICER = incremental cost effectiveness ratio; QALY = quality adjusted life years; PBAC = pharmaceutical benefit advisory committee; OS = overall survival; RPSFT = rank preserving structural failure time; HR = hazard ratio; EOS = end of study; ITT = intention to treat; PFS = progression free survival; ORR  =</w:t>
      </w:r>
      <w:r w:rsidRPr="00284652">
        <w:t xml:space="preserve"> </w:t>
      </w:r>
      <w:r w:rsidRPr="00284652">
        <w:rPr>
          <w:rFonts w:ascii="Arial Narrow" w:hAnsi="Arial Narrow"/>
          <w:sz w:val="18"/>
        </w:rPr>
        <w:t>overall response rate; LYG = life year gained; KM = Kaplan–Meier; DUSC = Drug Utilisation Sub Committee; RSA =risk sharing arrangement</w:t>
      </w:r>
    </w:p>
    <w:p w:rsidR="00AE34A5" w:rsidRPr="00284652" w:rsidRDefault="00AE34A5" w:rsidP="00AE34A5">
      <w:pPr>
        <w:keepNext/>
        <w:tabs>
          <w:tab w:val="left" w:pos="993"/>
        </w:tabs>
        <w:jc w:val="both"/>
        <w:rPr>
          <w:rFonts w:ascii="Arial Narrow" w:hAnsi="Arial Narrow"/>
          <w:b/>
          <w:sz w:val="22"/>
          <w:szCs w:val="20"/>
          <w:lang w:eastAsia="en-US"/>
        </w:rPr>
      </w:pPr>
      <w:r w:rsidRPr="00284652">
        <w:rPr>
          <w:rFonts w:ascii="Arial Narrow" w:hAnsi="Arial Narrow"/>
          <w:b/>
          <w:sz w:val="22"/>
          <w:szCs w:val="20"/>
          <w:lang w:eastAsia="en-US"/>
        </w:rPr>
        <w:t>Table 2: Comparison between previous considerations and current submission</w:t>
      </w:r>
    </w:p>
    <w:tbl>
      <w:tblPr>
        <w:tblStyle w:val="TableGrid1"/>
        <w:tblW w:w="5000" w:type="pct"/>
        <w:tblLook w:val="04A0" w:firstRow="1" w:lastRow="0" w:firstColumn="1" w:lastColumn="0" w:noHBand="0" w:noVBand="1"/>
        <w:tblCaption w:val="Comparison between previous considerations and current submission"/>
      </w:tblPr>
      <w:tblGrid>
        <w:gridCol w:w="1203"/>
        <w:gridCol w:w="1384"/>
        <w:gridCol w:w="1503"/>
        <w:gridCol w:w="2553"/>
        <w:gridCol w:w="2408"/>
        <w:gridCol w:w="2264"/>
        <w:gridCol w:w="2859"/>
      </w:tblGrid>
      <w:tr w:rsidR="004C751F" w:rsidRPr="00284652" w:rsidTr="00F677EC">
        <w:trPr>
          <w:tblHeader/>
        </w:trPr>
        <w:tc>
          <w:tcPr>
            <w:tcW w:w="426" w:type="pct"/>
          </w:tcPr>
          <w:p w:rsidR="004C751F" w:rsidRPr="00284652" w:rsidRDefault="004C751F" w:rsidP="00AE34A5">
            <w:pPr>
              <w:keepNext/>
              <w:rPr>
                <w:rFonts w:ascii="Arial Narrow" w:hAnsi="Arial Narrow"/>
                <w:sz w:val="20"/>
                <w:szCs w:val="20"/>
              </w:rPr>
            </w:pPr>
          </w:p>
        </w:tc>
        <w:tc>
          <w:tcPr>
            <w:tcW w:w="3563" w:type="pct"/>
            <w:gridSpan w:val="5"/>
          </w:tcPr>
          <w:p w:rsidR="004C751F" w:rsidRPr="00284652" w:rsidRDefault="004C751F" w:rsidP="00AE34A5">
            <w:pPr>
              <w:keepNext/>
              <w:jc w:val="center"/>
              <w:rPr>
                <w:rFonts w:ascii="Arial Narrow" w:hAnsi="Arial Narrow"/>
                <w:b/>
                <w:sz w:val="20"/>
                <w:szCs w:val="20"/>
              </w:rPr>
            </w:pPr>
            <w:r w:rsidRPr="00284652">
              <w:rPr>
                <w:rFonts w:ascii="Arial Narrow" w:hAnsi="Arial Narrow"/>
                <w:b/>
                <w:sz w:val="20"/>
                <w:szCs w:val="20"/>
              </w:rPr>
              <w:t>Previous considerations</w:t>
            </w:r>
          </w:p>
        </w:tc>
        <w:tc>
          <w:tcPr>
            <w:tcW w:w="1005" w:type="pct"/>
          </w:tcPr>
          <w:p w:rsidR="004C751F" w:rsidRPr="00284652" w:rsidRDefault="007D2B7A" w:rsidP="00AE34A5">
            <w:pPr>
              <w:keepNext/>
              <w:jc w:val="center"/>
              <w:rPr>
                <w:rFonts w:ascii="Arial Narrow" w:hAnsi="Arial Narrow"/>
                <w:b/>
                <w:sz w:val="20"/>
                <w:szCs w:val="20"/>
              </w:rPr>
            </w:pPr>
            <w:r w:rsidRPr="00284652">
              <w:rPr>
                <w:rFonts w:ascii="Arial Narrow" w:hAnsi="Arial Narrow"/>
                <w:b/>
                <w:sz w:val="20"/>
                <w:szCs w:val="20"/>
              </w:rPr>
              <w:t xml:space="preserve">November 2016 </w:t>
            </w:r>
            <w:r w:rsidR="004C751F" w:rsidRPr="00284652">
              <w:rPr>
                <w:rFonts w:ascii="Arial Narrow" w:hAnsi="Arial Narrow"/>
                <w:b/>
                <w:sz w:val="20"/>
                <w:szCs w:val="20"/>
              </w:rPr>
              <w:t>submission</w:t>
            </w:r>
          </w:p>
        </w:tc>
      </w:tr>
      <w:tr w:rsidR="00B7485C" w:rsidRPr="00284652" w:rsidTr="00F677EC">
        <w:trPr>
          <w:trHeight w:val="469"/>
          <w:tblHeader/>
        </w:trPr>
        <w:tc>
          <w:tcPr>
            <w:tcW w:w="426" w:type="pct"/>
          </w:tcPr>
          <w:p w:rsidR="00703193" w:rsidRPr="00284652" w:rsidRDefault="00703193" w:rsidP="00AE34A5">
            <w:pPr>
              <w:keepNext/>
              <w:rPr>
                <w:rFonts w:ascii="Arial Narrow" w:hAnsi="Arial Narrow"/>
                <w:sz w:val="20"/>
                <w:szCs w:val="20"/>
              </w:rPr>
            </w:pPr>
          </w:p>
        </w:tc>
        <w:tc>
          <w:tcPr>
            <w:tcW w:w="479" w:type="pct"/>
          </w:tcPr>
          <w:p w:rsidR="00703193" w:rsidRPr="00284652" w:rsidRDefault="00703193" w:rsidP="00AE34A5">
            <w:pPr>
              <w:keepNext/>
              <w:jc w:val="center"/>
              <w:rPr>
                <w:rFonts w:ascii="Arial Narrow" w:hAnsi="Arial Narrow"/>
                <w:sz w:val="20"/>
                <w:szCs w:val="20"/>
              </w:rPr>
            </w:pPr>
            <w:r w:rsidRPr="00284652">
              <w:rPr>
                <w:rFonts w:ascii="Arial Narrow" w:hAnsi="Arial Narrow"/>
                <w:sz w:val="20"/>
                <w:szCs w:val="20"/>
              </w:rPr>
              <w:t>Nov 2015 submission</w:t>
            </w:r>
          </w:p>
        </w:tc>
        <w:tc>
          <w:tcPr>
            <w:tcW w:w="532" w:type="pct"/>
          </w:tcPr>
          <w:p w:rsidR="00703193" w:rsidRPr="00284652" w:rsidRDefault="00703193" w:rsidP="00AE34A5">
            <w:pPr>
              <w:keepNext/>
              <w:jc w:val="center"/>
              <w:rPr>
                <w:rFonts w:ascii="Arial Narrow" w:hAnsi="Arial Narrow"/>
                <w:sz w:val="20"/>
                <w:szCs w:val="20"/>
              </w:rPr>
            </w:pPr>
            <w:r w:rsidRPr="00284652">
              <w:rPr>
                <w:rFonts w:ascii="Arial Narrow" w:hAnsi="Arial Narrow"/>
                <w:sz w:val="20"/>
                <w:szCs w:val="20"/>
              </w:rPr>
              <w:t>Nov 2015</w:t>
            </w:r>
          </w:p>
          <w:p w:rsidR="00703193" w:rsidRPr="00284652" w:rsidRDefault="00703193" w:rsidP="00AE34A5">
            <w:pPr>
              <w:keepNext/>
              <w:jc w:val="center"/>
              <w:rPr>
                <w:rFonts w:ascii="Arial Narrow" w:hAnsi="Arial Narrow"/>
                <w:sz w:val="20"/>
                <w:szCs w:val="20"/>
              </w:rPr>
            </w:pPr>
            <w:r w:rsidRPr="00284652">
              <w:rPr>
                <w:rFonts w:ascii="Arial Narrow" w:hAnsi="Arial Narrow"/>
                <w:sz w:val="20"/>
                <w:szCs w:val="20"/>
              </w:rPr>
              <w:t>PBAC</w:t>
            </w:r>
          </w:p>
        </w:tc>
        <w:tc>
          <w:tcPr>
            <w:tcW w:w="902" w:type="pct"/>
          </w:tcPr>
          <w:p w:rsidR="00703193" w:rsidRPr="00284652" w:rsidRDefault="00703193" w:rsidP="00AE34A5">
            <w:pPr>
              <w:keepNext/>
              <w:jc w:val="center"/>
              <w:rPr>
                <w:rFonts w:ascii="Arial Narrow" w:hAnsi="Arial Narrow"/>
                <w:sz w:val="20"/>
                <w:szCs w:val="20"/>
              </w:rPr>
            </w:pPr>
            <w:r w:rsidRPr="00284652">
              <w:rPr>
                <w:rFonts w:ascii="Arial Narrow" w:hAnsi="Arial Narrow"/>
                <w:sz w:val="20"/>
                <w:szCs w:val="20"/>
              </w:rPr>
              <w:t>March 2016</w:t>
            </w:r>
          </w:p>
          <w:p w:rsidR="00703193" w:rsidRPr="00284652" w:rsidRDefault="00703193" w:rsidP="00AE34A5">
            <w:pPr>
              <w:keepNext/>
              <w:jc w:val="center"/>
              <w:rPr>
                <w:rFonts w:ascii="Arial Narrow" w:hAnsi="Arial Narrow"/>
                <w:sz w:val="20"/>
                <w:szCs w:val="20"/>
              </w:rPr>
            </w:pPr>
            <w:r w:rsidRPr="00284652">
              <w:rPr>
                <w:rFonts w:ascii="Arial Narrow" w:hAnsi="Arial Narrow"/>
                <w:sz w:val="20"/>
                <w:szCs w:val="20"/>
              </w:rPr>
              <w:t>PBAC</w:t>
            </w:r>
          </w:p>
        </w:tc>
        <w:tc>
          <w:tcPr>
            <w:tcW w:w="851" w:type="pct"/>
          </w:tcPr>
          <w:p w:rsidR="00703193" w:rsidRPr="00284652" w:rsidRDefault="00703193" w:rsidP="00AE34A5">
            <w:pPr>
              <w:keepNext/>
              <w:jc w:val="center"/>
              <w:rPr>
                <w:rFonts w:ascii="Arial Narrow" w:hAnsi="Arial Narrow"/>
                <w:sz w:val="20"/>
                <w:szCs w:val="20"/>
              </w:rPr>
            </w:pPr>
            <w:r w:rsidRPr="00284652">
              <w:rPr>
                <w:rFonts w:ascii="Arial Narrow" w:hAnsi="Arial Narrow"/>
                <w:sz w:val="20"/>
                <w:szCs w:val="20"/>
              </w:rPr>
              <w:t>August 2016</w:t>
            </w:r>
            <w:r w:rsidRPr="00284652">
              <w:rPr>
                <w:rFonts w:ascii="Arial Narrow" w:hAnsi="Arial Narrow"/>
                <w:sz w:val="20"/>
                <w:szCs w:val="20"/>
              </w:rPr>
              <w:br/>
              <w:t>Option 1</w:t>
            </w:r>
          </w:p>
        </w:tc>
        <w:tc>
          <w:tcPr>
            <w:tcW w:w="800" w:type="pct"/>
          </w:tcPr>
          <w:p w:rsidR="00703193" w:rsidRPr="00284652" w:rsidRDefault="00703193" w:rsidP="00AE34A5">
            <w:pPr>
              <w:keepNext/>
              <w:jc w:val="center"/>
              <w:rPr>
                <w:rFonts w:ascii="Arial Narrow" w:hAnsi="Arial Narrow"/>
                <w:sz w:val="20"/>
                <w:szCs w:val="20"/>
              </w:rPr>
            </w:pPr>
            <w:r w:rsidRPr="00284652">
              <w:rPr>
                <w:rFonts w:ascii="Arial Narrow" w:hAnsi="Arial Narrow"/>
                <w:sz w:val="20"/>
                <w:szCs w:val="20"/>
              </w:rPr>
              <w:t>August 2016</w:t>
            </w:r>
            <w:r w:rsidRPr="00284652">
              <w:rPr>
                <w:rFonts w:ascii="Arial Narrow" w:hAnsi="Arial Narrow"/>
                <w:sz w:val="20"/>
                <w:szCs w:val="20"/>
              </w:rPr>
              <w:br/>
              <w:t>Option 2</w:t>
            </w:r>
          </w:p>
        </w:tc>
        <w:tc>
          <w:tcPr>
            <w:tcW w:w="1011" w:type="pct"/>
          </w:tcPr>
          <w:p w:rsidR="00703193" w:rsidRPr="00284652" w:rsidRDefault="00703193" w:rsidP="00AE34A5">
            <w:pPr>
              <w:keepNext/>
              <w:jc w:val="center"/>
              <w:rPr>
                <w:rFonts w:ascii="Arial Narrow" w:hAnsi="Arial Narrow"/>
                <w:sz w:val="20"/>
                <w:szCs w:val="20"/>
              </w:rPr>
            </w:pPr>
            <w:r w:rsidRPr="00284652">
              <w:rPr>
                <w:rFonts w:ascii="Arial Narrow" w:hAnsi="Arial Narrow"/>
                <w:sz w:val="20"/>
                <w:szCs w:val="20"/>
              </w:rPr>
              <w:t>Option 2</w:t>
            </w:r>
          </w:p>
        </w:tc>
      </w:tr>
      <w:tr w:rsidR="00B7485C" w:rsidRPr="00284652" w:rsidTr="00F677EC">
        <w:trPr>
          <w:tblHeader/>
        </w:trPr>
        <w:tc>
          <w:tcPr>
            <w:tcW w:w="426" w:type="pct"/>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Target population</w:t>
            </w:r>
          </w:p>
        </w:tc>
        <w:tc>
          <w:tcPr>
            <w:tcW w:w="1011" w:type="pct"/>
            <w:gridSpan w:val="2"/>
            <w:shd w:val="clear" w:color="auto" w:fill="EAF1DD" w:themeFill="accent3" w:themeFillTint="33"/>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RR CLL or SLL with</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have received at least one prior therapy; and</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must be considered unsuitable</w:t>
            </w:r>
            <w:r w:rsidRPr="00284652">
              <w:rPr>
                <w:rFonts w:ascii="Arial Narrow" w:hAnsi="Arial Narrow"/>
                <w:sz w:val="20"/>
                <w:szCs w:val="20"/>
                <w:vertAlign w:val="superscript"/>
              </w:rPr>
              <w:t>1</w:t>
            </w:r>
            <w:r w:rsidRPr="00284652">
              <w:rPr>
                <w:rFonts w:ascii="Arial Narrow" w:hAnsi="Arial Narrow"/>
                <w:sz w:val="20"/>
                <w:szCs w:val="20"/>
              </w:rPr>
              <w:t xml:space="preserve"> for treatment or retreatment with a purine analogue</w:t>
            </w:r>
          </w:p>
        </w:tc>
        <w:tc>
          <w:tcPr>
            <w:tcW w:w="902" w:type="pct"/>
            <w:shd w:val="clear" w:color="auto" w:fill="E5DFEC" w:themeFill="accent4" w:themeFillTint="33"/>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RR CLL or SLL who have received at least one prior therapy and with</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xml:space="preserve">17p deletion and/or </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11q deletion and/or</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xml:space="preserve">TP 53 mutation </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OR</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Refractory to FCR</w:t>
            </w:r>
            <w:r w:rsidRPr="00284652">
              <w:rPr>
                <w:rFonts w:ascii="Arial Narrow" w:hAnsi="Arial Narrow"/>
                <w:sz w:val="20"/>
                <w:szCs w:val="20"/>
                <w:vertAlign w:val="superscript"/>
              </w:rPr>
              <w:t>2</w:t>
            </w:r>
          </w:p>
        </w:tc>
        <w:tc>
          <w:tcPr>
            <w:tcW w:w="851" w:type="pct"/>
            <w:shd w:val="clear" w:color="auto" w:fill="E5DFEC" w:themeFill="accent4" w:themeFillTint="33"/>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RR CLL or SLL who have received at least one prior therapy and with</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xml:space="preserve">17p deletion and/or </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11q deletion and/or</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xml:space="preserve">TP 53 mutation </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OR</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Refractory to FCR2</w:t>
            </w:r>
          </w:p>
        </w:tc>
        <w:tc>
          <w:tcPr>
            <w:tcW w:w="800" w:type="pct"/>
            <w:shd w:val="clear" w:color="auto" w:fill="EAF1DD" w:themeFill="accent3" w:themeFillTint="33"/>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RR CLL or SLL with</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have received at least one prior therapy; and</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must be considered unsuitable for treatment or retreatment with a purine analogue</w:t>
            </w:r>
          </w:p>
        </w:tc>
        <w:tc>
          <w:tcPr>
            <w:tcW w:w="1011" w:type="pct"/>
            <w:shd w:val="clear" w:color="auto" w:fill="EAF1DD" w:themeFill="accent3" w:themeFillTint="33"/>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RR CLL or SLL with</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have received at least one prior therapy; and</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 must be considered unsuitable for treatment or retreatment with a purine analogue</w:t>
            </w:r>
          </w:p>
        </w:tc>
      </w:tr>
      <w:tr w:rsidR="00B7485C" w:rsidRPr="00284652" w:rsidTr="00F677EC">
        <w:trPr>
          <w:trHeight w:val="569"/>
          <w:tblHeader/>
        </w:trPr>
        <w:tc>
          <w:tcPr>
            <w:tcW w:w="426" w:type="pct"/>
            <w:vAlign w:val="center"/>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Price (AEMP)</w:t>
            </w:r>
          </w:p>
        </w:tc>
        <w:tc>
          <w:tcPr>
            <w:tcW w:w="479" w:type="pct"/>
            <w:vAlign w:val="center"/>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p>
        </w:tc>
        <w:tc>
          <w:tcPr>
            <w:tcW w:w="532" w:type="pct"/>
            <w:vAlign w:val="center"/>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w:t>
            </w:r>
            <w:r w:rsidR="002D571E">
              <w:rPr>
                <w:rFonts w:ascii="Arial Narrow" w:hAnsi="Arial Narrow"/>
                <w:noProof/>
                <w:color w:val="000000"/>
                <w:sz w:val="20"/>
                <w:szCs w:val="20"/>
                <w:highlight w:val="black"/>
              </w:rPr>
              <w:t>'''''''''''''''''''</w:t>
            </w:r>
          </w:p>
        </w:tc>
        <w:tc>
          <w:tcPr>
            <w:tcW w:w="902" w:type="pct"/>
            <w:vAlign w:val="center"/>
          </w:tcPr>
          <w:p w:rsidR="00703193" w:rsidRPr="00284652" w:rsidRDefault="006A64D1" w:rsidP="00AE34A5">
            <w:pPr>
              <w:keepNext/>
              <w:rPr>
                <w:rFonts w:ascii="Arial Narrow" w:hAnsi="Arial Narrow"/>
                <w:sz w:val="20"/>
                <w:szCs w:val="20"/>
              </w:rPr>
            </w:pPr>
            <w:r>
              <w:rPr>
                <w:rFonts w:ascii="Arial Narrow" w:hAnsi="Arial Narrow"/>
                <w:sz w:val="20"/>
                <w:szCs w:val="20"/>
              </w:rPr>
              <w:t>$</w:t>
            </w:r>
            <w:r w:rsidR="002D571E">
              <w:rPr>
                <w:rFonts w:ascii="Arial Narrow" w:hAnsi="Arial Narrow"/>
                <w:noProof/>
                <w:color w:val="000000"/>
                <w:sz w:val="20"/>
                <w:szCs w:val="20"/>
                <w:highlight w:val="black"/>
              </w:rPr>
              <w:t>'''''''''''''''''</w:t>
            </w:r>
          </w:p>
        </w:tc>
        <w:tc>
          <w:tcPr>
            <w:tcW w:w="851" w:type="pct"/>
            <w:vAlign w:val="center"/>
          </w:tcPr>
          <w:p w:rsidR="00703193" w:rsidRPr="002D571E" w:rsidRDefault="002D571E" w:rsidP="00AE34A5">
            <w:pPr>
              <w:keepNext/>
              <w:rPr>
                <w:rFonts w:ascii="Arial Narrow" w:hAnsi="Arial Narrow"/>
                <w:sz w:val="20"/>
                <w:szCs w:val="20"/>
                <w:highlight w:val="black"/>
              </w:rPr>
            </w:pPr>
            <w:r>
              <w:rPr>
                <w:rFonts w:ascii="Arial Narrow" w:hAnsi="Arial Narrow"/>
                <w:noProof/>
                <w:color w:val="000000"/>
                <w:sz w:val="20"/>
                <w:szCs w:val="20"/>
                <w:highlight w:val="black"/>
              </w:rPr>
              <w:t>'''''''''''''''''''''' ''''' '''''''' ''''</w:t>
            </w:r>
          </w:p>
          <w:p w:rsidR="00703193" w:rsidRPr="002D571E" w:rsidRDefault="002D571E" w:rsidP="00AE34A5">
            <w:pPr>
              <w:keepNext/>
              <w:rPr>
                <w:rFonts w:ascii="Arial Narrow" w:hAnsi="Arial Narrow"/>
                <w:sz w:val="20"/>
                <w:szCs w:val="20"/>
                <w:highlight w:val="black"/>
              </w:rPr>
            </w:pPr>
            <w:r>
              <w:rPr>
                <w:rFonts w:ascii="Arial Narrow" w:hAnsi="Arial Narrow"/>
                <w:noProof/>
                <w:color w:val="000000"/>
                <w:sz w:val="20"/>
                <w:szCs w:val="20"/>
                <w:highlight w:val="black"/>
              </w:rPr>
              <w:t>''''''''''''''''''''''''' '''' '''''''''' '''''</w:t>
            </w:r>
          </w:p>
        </w:tc>
        <w:tc>
          <w:tcPr>
            <w:tcW w:w="800" w:type="pct"/>
            <w:vAlign w:val="center"/>
          </w:tcPr>
          <w:p w:rsidR="00703193" w:rsidRPr="002D571E" w:rsidRDefault="002D571E" w:rsidP="00AE34A5">
            <w:pPr>
              <w:keepNext/>
              <w:rPr>
                <w:rFonts w:ascii="Arial Narrow" w:hAnsi="Arial Narrow"/>
                <w:sz w:val="20"/>
                <w:szCs w:val="20"/>
                <w:highlight w:val="black"/>
              </w:rPr>
            </w:pPr>
            <w:r>
              <w:rPr>
                <w:rFonts w:ascii="Arial Narrow" w:hAnsi="Arial Narrow"/>
                <w:noProof/>
                <w:color w:val="000000"/>
                <w:sz w:val="20"/>
                <w:szCs w:val="20"/>
                <w:highlight w:val="black"/>
              </w:rPr>
              <w:t>''''''''''' ''''' '''''''''''''''''''''''</w:t>
            </w:r>
          </w:p>
          <w:p w:rsidR="00703193" w:rsidRPr="002D571E" w:rsidRDefault="002D571E" w:rsidP="00AE34A5">
            <w:pPr>
              <w:keepNext/>
              <w:rPr>
                <w:rFonts w:ascii="Arial Narrow" w:hAnsi="Arial Narrow"/>
                <w:sz w:val="20"/>
                <w:szCs w:val="20"/>
                <w:highlight w:val="black"/>
              </w:rPr>
            </w:pPr>
            <w:r>
              <w:rPr>
                <w:rFonts w:ascii="Arial Narrow" w:hAnsi="Arial Narrow"/>
                <w:noProof/>
                <w:color w:val="000000"/>
                <w:sz w:val="20"/>
                <w:szCs w:val="20"/>
                <w:highlight w:val="black"/>
              </w:rPr>
              <w:t>'''''''''' ''''' ''''''''''''''''''''''''</w:t>
            </w:r>
          </w:p>
        </w:tc>
        <w:tc>
          <w:tcPr>
            <w:tcW w:w="1011" w:type="pct"/>
            <w:vAlign w:val="center"/>
          </w:tcPr>
          <w:p w:rsidR="00703193" w:rsidRPr="002D571E" w:rsidRDefault="002D571E" w:rsidP="004C751F">
            <w:pPr>
              <w:keepNext/>
              <w:rPr>
                <w:rFonts w:ascii="Arial Narrow" w:hAnsi="Arial Narrow"/>
                <w:sz w:val="20"/>
                <w:szCs w:val="20"/>
                <w:highlight w:val="black"/>
              </w:rPr>
            </w:pPr>
            <w:r>
              <w:rPr>
                <w:rFonts w:ascii="Arial Narrow" w:hAnsi="Arial Narrow"/>
                <w:noProof/>
                <w:color w:val="000000"/>
                <w:sz w:val="20"/>
                <w:szCs w:val="20"/>
                <w:highlight w:val="black"/>
              </w:rPr>
              <w:t>'''''''''' ''''' '''''''''''''''''''''''</w:t>
            </w:r>
          </w:p>
          <w:p w:rsidR="00703193" w:rsidRPr="002D571E" w:rsidRDefault="002D571E" w:rsidP="004C751F">
            <w:pPr>
              <w:keepNext/>
              <w:rPr>
                <w:rFonts w:ascii="Arial Narrow" w:hAnsi="Arial Narrow"/>
                <w:sz w:val="20"/>
                <w:szCs w:val="20"/>
                <w:highlight w:val="black"/>
              </w:rPr>
            </w:pPr>
            <w:r>
              <w:rPr>
                <w:rFonts w:ascii="Arial Narrow" w:hAnsi="Arial Narrow"/>
                <w:noProof/>
                <w:color w:val="000000"/>
                <w:sz w:val="20"/>
                <w:szCs w:val="20"/>
                <w:highlight w:val="black"/>
              </w:rPr>
              <w:t>''''''''''' '''''' '''''''''''''''''''''''</w:t>
            </w:r>
          </w:p>
        </w:tc>
      </w:tr>
      <w:tr w:rsidR="00B7485C" w:rsidRPr="00284652" w:rsidTr="00F677EC">
        <w:trPr>
          <w:tblHeader/>
        </w:trPr>
        <w:tc>
          <w:tcPr>
            <w:tcW w:w="426" w:type="pct"/>
            <w:vAlign w:val="center"/>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ICER ($/QALY)</w:t>
            </w:r>
          </w:p>
        </w:tc>
        <w:tc>
          <w:tcPr>
            <w:tcW w:w="479"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$75,000/QALY - $105,000/QALY</w:t>
            </w:r>
          </w:p>
        </w:tc>
        <w:tc>
          <w:tcPr>
            <w:tcW w:w="532" w:type="pct"/>
            <w:vAlign w:val="center"/>
          </w:tcPr>
          <w:p w:rsidR="00703193" w:rsidRPr="00284652" w:rsidRDefault="00B7485C" w:rsidP="00B7485C">
            <w:pPr>
              <w:keepNext/>
              <w:rPr>
                <w:rFonts w:ascii="Arial Narrow" w:hAnsi="Arial Narrow"/>
                <w:sz w:val="20"/>
                <w:szCs w:val="20"/>
              </w:rPr>
            </w:pPr>
            <w:r>
              <w:rPr>
                <w:rFonts w:ascii="Arial Narrow" w:hAnsi="Arial Narrow"/>
                <w:sz w:val="20"/>
                <w:szCs w:val="20"/>
              </w:rPr>
              <w:t>$45,000/QALY - $75,000/QALY</w:t>
            </w:r>
          </w:p>
        </w:tc>
        <w:tc>
          <w:tcPr>
            <w:tcW w:w="902"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$45,000/QALY - $75,000/QALY</w:t>
            </w:r>
          </w:p>
        </w:tc>
        <w:tc>
          <w:tcPr>
            <w:tcW w:w="851"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$45,000/QALY - $75,000/QALY</w:t>
            </w:r>
            <w:r w:rsidRPr="00284652" w:rsidDel="00B7485C">
              <w:rPr>
                <w:rFonts w:ascii="Arial Narrow" w:hAnsi="Arial Narrow"/>
                <w:sz w:val="20"/>
                <w:szCs w:val="20"/>
              </w:rPr>
              <w:t xml:space="preserve"> </w:t>
            </w:r>
            <w:r w:rsidR="002D571E">
              <w:rPr>
                <w:rFonts w:ascii="Arial Narrow" w:hAnsi="Arial Narrow"/>
                <w:noProof/>
                <w:color w:val="000000"/>
                <w:sz w:val="20"/>
                <w:szCs w:val="20"/>
                <w:highlight w:val="black"/>
              </w:rPr>
              <w:t>''''' ''''''''' ''''</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w:t>
            </w:r>
            <w:r w:rsidR="00B7485C">
              <w:rPr>
                <w:rFonts w:ascii="Arial Narrow" w:hAnsi="Arial Narrow"/>
                <w:sz w:val="20"/>
                <w:szCs w:val="20"/>
              </w:rPr>
              <w:t>$45,000/QALY - $75,000/QALY</w:t>
            </w:r>
            <w:r w:rsidR="00B7485C" w:rsidRPr="00284652" w:rsidDel="00B7485C">
              <w:rPr>
                <w:rFonts w:ascii="Arial Narrow" w:hAnsi="Arial Narrow"/>
                <w:sz w:val="20"/>
                <w:szCs w:val="20"/>
              </w:rPr>
              <w:t xml:space="preserve"> </w:t>
            </w:r>
            <w:r w:rsidR="002D571E">
              <w:rPr>
                <w:rFonts w:ascii="Arial Narrow" w:hAnsi="Arial Narrow"/>
                <w:noProof/>
                <w:color w:val="000000"/>
                <w:sz w:val="20"/>
                <w:szCs w:val="20"/>
                <w:highlight w:val="black"/>
              </w:rPr>
              <w:t>''''' '''''''' '''</w:t>
            </w:r>
            <w:r w:rsidRPr="00284652">
              <w:rPr>
                <w:rFonts w:ascii="Arial Narrow" w:hAnsi="Arial Narrow"/>
                <w:sz w:val="20"/>
                <w:szCs w:val="20"/>
              </w:rPr>
              <w:t>]</w:t>
            </w:r>
          </w:p>
        </w:tc>
        <w:tc>
          <w:tcPr>
            <w:tcW w:w="800"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$45,000/QALY - $75,000/QALY</w:t>
            </w:r>
            <w:r w:rsidR="00703193" w:rsidRPr="00284652">
              <w:rPr>
                <w:rFonts w:ascii="Arial Narrow" w:hAnsi="Arial Narrow"/>
                <w:sz w:val="20"/>
                <w:szCs w:val="20"/>
                <w:vertAlign w:val="superscript"/>
              </w:rPr>
              <w:t>3</w:t>
            </w:r>
          </w:p>
        </w:tc>
        <w:tc>
          <w:tcPr>
            <w:tcW w:w="1011" w:type="pct"/>
            <w:vAlign w:val="center"/>
          </w:tcPr>
          <w:p w:rsidR="00703193" w:rsidRPr="00284652" w:rsidRDefault="00B7485C" w:rsidP="00AE34A5">
            <w:pPr>
              <w:keepNext/>
              <w:rPr>
                <w:rFonts w:ascii="Arial Narrow" w:hAnsi="Arial Narrow"/>
                <w:sz w:val="20"/>
                <w:szCs w:val="20"/>
                <w:vertAlign w:val="superscript"/>
              </w:rPr>
            </w:pPr>
            <w:r>
              <w:rPr>
                <w:rFonts w:ascii="Arial Narrow" w:hAnsi="Arial Narrow"/>
                <w:sz w:val="20"/>
                <w:szCs w:val="20"/>
              </w:rPr>
              <w:t>$45,000/QALY - $75,000/QALY</w:t>
            </w:r>
            <w:r w:rsidR="00703193" w:rsidRPr="00284652">
              <w:rPr>
                <w:rFonts w:ascii="Arial Narrow" w:hAnsi="Arial Narrow"/>
                <w:sz w:val="20"/>
                <w:szCs w:val="20"/>
                <w:vertAlign w:val="superscript"/>
              </w:rPr>
              <w:t>4</w:t>
            </w:r>
          </w:p>
          <w:p w:rsidR="00703193" w:rsidRPr="00284652" w:rsidRDefault="00B7485C" w:rsidP="00A37A52">
            <w:pPr>
              <w:keepNext/>
              <w:rPr>
                <w:rFonts w:ascii="Arial Narrow" w:hAnsi="Arial Narrow"/>
                <w:sz w:val="20"/>
                <w:szCs w:val="20"/>
                <w:vertAlign w:val="superscript"/>
              </w:rPr>
            </w:pPr>
            <w:r>
              <w:rPr>
                <w:rFonts w:ascii="Arial Narrow" w:hAnsi="Arial Narrow"/>
                <w:sz w:val="20"/>
                <w:szCs w:val="20"/>
              </w:rPr>
              <w:t>$75,000/QALY - $105,000/QALY</w:t>
            </w:r>
            <w:r w:rsidR="00703193" w:rsidRPr="00284652">
              <w:rPr>
                <w:rFonts w:ascii="Arial Narrow" w:hAnsi="Arial Narrow"/>
                <w:sz w:val="20"/>
                <w:szCs w:val="20"/>
                <w:vertAlign w:val="superscript"/>
              </w:rPr>
              <w:t>5</w:t>
            </w:r>
          </w:p>
        </w:tc>
      </w:tr>
      <w:tr w:rsidR="00B7485C" w:rsidRPr="00284652" w:rsidTr="00F677EC">
        <w:trPr>
          <w:trHeight w:val="385"/>
          <w:tblHeader/>
        </w:trPr>
        <w:tc>
          <w:tcPr>
            <w:tcW w:w="426" w:type="pct"/>
            <w:vAlign w:val="center"/>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No patients</w:t>
            </w:r>
          </w:p>
        </w:tc>
        <w:tc>
          <w:tcPr>
            <w:tcW w:w="479" w:type="pct"/>
            <w:shd w:val="clear" w:color="auto" w:fill="FFFFFF" w:themeFill="background1"/>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Less than 10,000</w:t>
            </w:r>
            <w:r w:rsidR="00703193" w:rsidRPr="00284652">
              <w:rPr>
                <w:rFonts w:ascii="Arial Narrow" w:hAnsi="Arial Narrow"/>
                <w:sz w:val="20"/>
                <w:szCs w:val="20"/>
                <w:vertAlign w:val="superscript"/>
              </w:rPr>
              <w:t>6</w:t>
            </w:r>
          </w:p>
        </w:tc>
        <w:tc>
          <w:tcPr>
            <w:tcW w:w="532"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Less than 10,000</w:t>
            </w:r>
          </w:p>
        </w:tc>
        <w:tc>
          <w:tcPr>
            <w:tcW w:w="902"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Less than 10,000</w:t>
            </w:r>
            <w:r w:rsidRPr="00B7485C" w:rsidDel="00B7485C">
              <w:rPr>
                <w:rFonts w:ascii="Arial Narrow" w:hAnsi="Arial Narrow"/>
                <w:sz w:val="20"/>
                <w:szCs w:val="20"/>
              </w:rPr>
              <w:t xml:space="preserve"> </w:t>
            </w:r>
            <w:r w:rsidR="00703193" w:rsidRPr="00284652">
              <w:rPr>
                <w:rFonts w:ascii="Arial Narrow" w:hAnsi="Arial Narrow"/>
                <w:sz w:val="20"/>
                <w:szCs w:val="20"/>
              </w:rPr>
              <w:t>(</w:t>
            </w:r>
            <w:r w:rsidR="002D571E">
              <w:rPr>
                <w:rFonts w:ascii="Arial Narrow" w:hAnsi="Arial Narrow"/>
                <w:noProof/>
                <w:color w:val="000000"/>
                <w:sz w:val="20"/>
                <w:szCs w:val="20"/>
                <w:highlight w:val="black"/>
              </w:rPr>
              <w:t>'''''</w:t>
            </w:r>
            <w:r w:rsidR="00703193" w:rsidRPr="00284652">
              <w:rPr>
                <w:rFonts w:ascii="Arial Narrow" w:hAnsi="Arial Narrow"/>
                <w:sz w:val="20"/>
                <w:szCs w:val="20"/>
              </w:rPr>
              <w:t xml:space="preserve">% of </w:t>
            </w:r>
            <w:r w:rsidR="002D571E">
              <w:rPr>
                <w:rFonts w:ascii="Arial Narrow" w:hAnsi="Arial Narrow"/>
                <w:noProof/>
                <w:color w:val="000000"/>
                <w:sz w:val="20"/>
                <w:szCs w:val="20"/>
                <w:highlight w:val="black"/>
              </w:rPr>
              <w:t>''''''''''''</w:t>
            </w:r>
            <w:r w:rsidR="00703193" w:rsidRPr="00284652">
              <w:rPr>
                <w:rFonts w:ascii="Arial Narrow" w:hAnsi="Arial Narrow"/>
                <w:sz w:val="20"/>
                <w:szCs w:val="20"/>
              </w:rPr>
              <w:t xml:space="preserve">) </w:t>
            </w:r>
          </w:p>
        </w:tc>
        <w:tc>
          <w:tcPr>
            <w:tcW w:w="851"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Less than 10,000</w:t>
            </w:r>
            <w:r w:rsidRPr="00B7485C" w:rsidDel="00B7485C">
              <w:rPr>
                <w:rFonts w:ascii="Arial Narrow" w:hAnsi="Arial Narrow"/>
                <w:sz w:val="20"/>
                <w:szCs w:val="20"/>
              </w:rPr>
              <w:t xml:space="preserve"> </w:t>
            </w:r>
            <w:r w:rsidR="00703193" w:rsidRPr="00284652">
              <w:rPr>
                <w:rFonts w:ascii="Arial Narrow" w:hAnsi="Arial Narrow"/>
                <w:sz w:val="20"/>
                <w:szCs w:val="20"/>
              </w:rPr>
              <w:t>(</w:t>
            </w:r>
            <w:r w:rsidR="002D571E">
              <w:rPr>
                <w:rFonts w:ascii="Arial Narrow" w:hAnsi="Arial Narrow"/>
                <w:noProof/>
                <w:color w:val="000000"/>
                <w:sz w:val="20"/>
                <w:szCs w:val="20"/>
                <w:highlight w:val="black"/>
              </w:rPr>
              <w:t>'''''''</w:t>
            </w:r>
            <w:r w:rsidR="00703193" w:rsidRPr="00284652">
              <w:rPr>
                <w:rFonts w:ascii="Arial Narrow" w:hAnsi="Arial Narrow"/>
                <w:sz w:val="20"/>
                <w:szCs w:val="20"/>
              </w:rPr>
              <w:t xml:space="preserve">% of </w:t>
            </w:r>
            <w:r w:rsidR="002D571E">
              <w:rPr>
                <w:rFonts w:ascii="Arial Narrow" w:hAnsi="Arial Narrow"/>
                <w:noProof/>
                <w:color w:val="000000"/>
                <w:sz w:val="20"/>
                <w:szCs w:val="20"/>
                <w:highlight w:val="black"/>
              </w:rPr>
              <w:t>''''''''''''''</w:t>
            </w:r>
            <w:r w:rsidR="00703193" w:rsidRPr="00284652">
              <w:rPr>
                <w:rFonts w:ascii="Arial Narrow" w:hAnsi="Arial Narrow"/>
                <w:sz w:val="20"/>
                <w:szCs w:val="20"/>
              </w:rPr>
              <w:t>)</w:t>
            </w:r>
          </w:p>
        </w:tc>
        <w:tc>
          <w:tcPr>
            <w:tcW w:w="800"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Less than 10,000</w:t>
            </w:r>
          </w:p>
        </w:tc>
        <w:tc>
          <w:tcPr>
            <w:tcW w:w="1011"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Less than 10,000</w:t>
            </w:r>
          </w:p>
        </w:tc>
      </w:tr>
      <w:tr w:rsidR="00B7485C" w:rsidRPr="00284652" w:rsidTr="00F677EC">
        <w:trPr>
          <w:trHeight w:val="546"/>
          <w:tblHeader/>
        </w:trPr>
        <w:tc>
          <w:tcPr>
            <w:tcW w:w="426" w:type="pct"/>
            <w:vAlign w:val="center"/>
          </w:tcPr>
          <w:p w:rsidR="00703193" w:rsidRPr="00284652" w:rsidRDefault="00703193" w:rsidP="00AE34A5">
            <w:pPr>
              <w:keepNext/>
              <w:rPr>
                <w:rFonts w:ascii="Arial Narrow" w:hAnsi="Arial Narrow"/>
                <w:sz w:val="20"/>
                <w:szCs w:val="20"/>
              </w:rPr>
            </w:pPr>
            <w:r w:rsidRPr="00284652">
              <w:rPr>
                <w:rFonts w:ascii="Arial Narrow" w:hAnsi="Arial Narrow"/>
                <w:sz w:val="20"/>
                <w:szCs w:val="20"/>
              </w:rPr>
              <w:t>Cost to PBS over 5 years</w:t>
            </w:r>
            <w:r w:rsidRPr="00284652">
              <w:rPr>
                <w:rFonts w:ascii="Arial Narrow" w:hAnsi="Arial Narrow"/>
                <w:sz w:val="20"/>
                <w:szCs w:val="20"/>
                <w:vertAlign w:val="superscript"/>
              </w:rPr>
              <w:t>7</w:t>
            </w:r>
          </w:p>
        </w:tc>
        <w:tc>
          <w:tcPr>
            <w:tcW w:w="479"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More than $100 million</w:t>
            </w:r>
          </w:p>
        </w:tc>
        <w:tc>
          <w:tcPr>
            <w:tcW w:w="532"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More than $100 million</w:t>
            </w:r>
          </w:p>
        </w:tc>
        <w:tc>
          <w:tcPr>
            <w:tcW w:w="902"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More than $100 million</w:t>
            </w:r>
          </w:p>
        </w:tc>
        <w:tc>
          <w:tcPr>
            <w:tcW w:w="851"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More than $100 million</w:t>
            </w:r>
            <w:r w:rsidRPr="00284652" w:rsidDel="00B7485C">
              <w:rPr>
                <w:rFonts w:ascii="Arial Narrow" w:hAnsi="Arial Narrow"/>
                <w:sz w:val="20"/>
                <w:szCs w:val="20"/>
              </w:rPr>
              <w:t xml:space="preserve"> </w:t>
            </w:r>
            <w:r w:rsidR="002D571E">
              <w:rPr>
                <w:rFonts w:ascii="Arial Narrow" w:hAnsi="Arial Narrow"/>
                <w:noProof/>
                <w:color w:val="000000"/>
                <w:sz w:val="20"/>
                <w:szCs w:val="20"/>
                <w:highlight w:val="black"/>
              </w:rPr>
              <w:t>''''''''''' ''''''</w:t>
            </w:r>
          </w:p>
          <w:p w:rsidR="00703193" w:rsidRPr="00284652" w:rsidRDefault="00703193" w:rsidP="00AE34A5">
            <w:pPr>
              <w:keepNext/>
              <w:rPr>
                <w:rFonts w:ascii="Arial Narrow" w:hAnsi="Arial Narrow"/>
                <w:sz w:val="20"/>
                <w:szCs w:val="20"/>
              </w:rPr>
            </w:pPr>
            <w:r w:rsidRPr="00284652">
              <w:rPr>
                <w:rFonts w:ascii="Arial Narrow" w:hAnsi="Arial Narrow"/>
                <w:sz w:val="20"/>
                <w:szCs w:val="20"/>
              </w:rPr>
              <w:t>[</w:t>
            </w:r>
            <w:r w:rsidR="00B7485C">
              <w:rPr>
                <w:rFonts w:ascii="Arial Narrow" w:hAnsi="Arial Narrow"/>
                <w:sz w:val="20"/>
                <w:szCs w:val="20"/>
              </w:rPr>
              <w:t>More than $100 million</w:t>
            </w:r>
            <w:r w:rsidR="00B7485C" w:rsidRPr="00284652" w:rsidDel="00B7485C">
              <w:rPr>
                <w:rFonts w:ascii="Arial Narrow" w:hAnsi="Arial Narrow"/>
                <w:sz w:val="20"/>
                <w:szCs w:val="20"/>
              </w:rPr>
              <w:t xml:space="preserve"> </w:t>
            </w:r>
            <w:r w:rsidRPr="00284652">
              <w:rPr>
                <w:rFonts w:ascii="Arial Narrow" w:hAnsi="Arial Narrow"/>
                <w:sz w:val="20"/>
                <w:szCs w:val="20"/>
              </w:rPr>
              <w:t>(</w:t>
            </w:r>
            <w:r w:rsidR="002D571E">
              <w:rPr>
                <w:rFonts w:ascii="Arial Narrow" w:hAnsi="Arial Narrow"/>
                <w:noProof/>
                <w:color w:val="000000"/>
                <w:sz w:val="20"/>
                <w:szCs w:val="20"/>
                <w:highlight w:val="black"/>
              </w:rPr>
              <w:t>''''''''' '''''</w:t>
            </w:r>
            <w:r w:rsidRPr="00284652">
              <w:rPr>
                <w:rFonts w:ascii="Arial Narrow" w:hAnsi="Arial Narrow"/>
                <w:sz w:val="20"/>
                <w:szCs w:val="20"/>
              </w:rPr>
              <w:t>]</w:t>
            </w:r>
          </w:p>
        </w:tc>
        <w:tc>
          <w:tcPr>
            <w:tcW w:w="800" w:type="pct"/>
            <w:vAlign w:val="center"/>
          </w:tcPr>
          <w:p w:rsidR="00703193" w:rsidRPr="00284652" w:rsidRDefault="00B7485C" w:rsidP="00AE34A5">
            <w:pPr>
              <w:keepNext/>
              <w:rPr>
                <w:rFonts w:ascii="Arial Narrow" w:hAnsi="Arial Narrow"/>
                <w:sz w:val="20"/>
                <w:szCs w:val="20"/>
              </w:rPr>
            </w:pPr>
            <w:r>
              <w:rPr>
                <w:rFonts w:ascii="Arial Narrow" w:hAnsi="Arial Narrow"/>
                <w:sz w:val="20"/>
                <w:szCs w:val="20"/>
              </w:rPr>
              <w:t>More than $100 million</w:t>
            </w:r>
            <w:r w:rsidRPr="00284652" w:rsidDel="00B7485C">
              <w:rPr>
                <w:rFonts w:ascii="Arial Narrow" w:hAnsi="Arial Narrow"/>
                <w:sz w:val="20"/>
                <w:szCs w:val="20"/>
              </w:rPr>
              <w:t xml:space="preserve"> </w:t>
            </w:r>
            <w:r w:rsidR="002D571E">
              <w:rPr>
                <w:rFonts w:ascii="Arial Narrow" w:hAnsi="Arial Narrow"/>
                <w:noProof/>
                <w:color w:val="000000"/>
                <w:sz w:val="20"/>
                <w:szCs w:val="20"/>
                <w:highlight w:val="black"/>
              </w:rPr>
              <w:t>''''''''''' '''''</w:t>
            </w:r>
          </w:p>
          <w:p w:rsidR="00703193" w:rsidRPr="00284652" w:rsidRDefault="00B7485C" w:rsidP="00AE34A5">
            <w:pPr>
              <w:keepNext/>
              <w:rPr>
                <w:rFonts w:ascii="Arial Narrow" w:hAnsi="Arial Narrow"/>
                <w:sz w:val="20"/>
                <w:szCs w:val="20"/>
              </w:rPr>
            </w:pPr>
            <w:r>
              <w:rPr>
                <w:rFonts w:ascii="Arial Narrow" w:hAnsi="Arial Narrow"/>
                <w:sz w:val="20"/>
                <w:szCs w:val="20"/>
              </w:rPr>
              <w:t>More than $100 million</w:t>
            </w:r>
            <w:r w:rsidRPr="00284652" w:rsidDel="00B7485C">
              <w:rPr>
                <w:rFonts w:ascii="Arial Narrow" w:hAnsi="Arial Narrow"/>
                <w:sz w:val="20"/>
                <w:szCs w:val="20"/>
              </w:rPr>
              <w:t xml:space="preserve"> </w:t>
            </w:r>
            <w:r w:rsidR="002D571E">
              <w:rPr>
                <w:rFonts w:ascii="Arial Narrow" w:hAnsi="Arial Narrow"/>
                <w:noProof/>
                <w:color w:val="000000"/>
                <w:sz w:val="20"/>
                <w:szCs w:val="20"/>
                <w:highlight w:val="black"/>
              </w:rPr>
              <w:t>''''''''''''' '''''</w:t>
            </w:r>
          </w:p>
        </w:tc>
        <w:tc>
          <w:tcPr>
            <w:tcW w:w="1011" w:type="pct"/>
            <w:vAlign w:val="center"/>
          </w:tcPr>
          <w:p w:rsidR="00703193" w:rsidRPr="00284652" w:rsidRDefault="00B7485C" w:rsidP="004C751F">
            <w:pPr>
              <w:keepNext/>
              <w:rPr>
                <w:rFonts w:ascii="Arial Narrow" w:hAnsi="Arial Narrow"/>
                <w:sz w:val="20"/>
                <w:szCs w:val="20"/>
              </w:rPr>
            </w:pPr>
            <w:r>
              <w:rPr>
                <w:rFonts w:ascii="Arial Narrow" w:hAnsi="Arial Narrow"/>
                <w:sz w:val="20"/>
                <w:szCs w:val="20"/>
              </w:rPr>
              <w:t>More than $100 million</w:t>
            </w:r>
          </w:p>
        </w:tc>
      </w:tr>
    </w:tbl>
    <w:p w:rsidR="00AE34A5" w:rsidRPr="00284652" w:rsidRDefault="00AE34A5" w:rsidP="00AE34A5">
      <w:pPr>
        <w:keepNext/>
        <w:rPr>
          <w:rFonts w:ascii="Arial Narrow" w:eastAsiaTheme="minorHAnsi" w:hAnsi="Arial Narrow" w:cstheme="minorBidi"/>
          <w:sz w:val="18"/>
          <w:szCs w:val="18"/>
          <w:lang w:eastAsia="en-US"/>
        </w:rPr>
      </w:pPr>
      <w:r w:rsidRPr="00284652">
        <w:rPr>
          <w:rFonts w:ascii="Arial Narrow" w:eastAsiaTheme="minorHAnsi" w:hAnsi="Arial Narrow" w:cstheme="minorBidi"/>
          <w:sz w:val="18"/>
          <w:szCs w:val="18"/>
          <w:vertAlign w:val="superscript"/>
          <w:lang w:eastAsia="en-US"/>
        </w:rPr>
        <w:t xml:space="preserve">1 </w:t>
      </w:r>
      <w:r w:rsidRPr="00284652">
        <w:rPr>
          <w:rFonts w:ascii="Arial Narrow" w:eastAsiaTheme="minorHAnsi" w:hAnsi="Arial Narrow" w:cstheme="minorBidi"/>
          <w:sz w:val="18"/>
          <w:szCs w:val="18"/>
          <w:lang w:eastAsia="en-US"/>
        </w:rPr>
        <w:t>The additional criteria put forward by Janssen for consideration at the November 2015 PBAC meeting to define “unsuitable” are reproduced below:</w:t>
      </w:r>
    </w:p>
    <w:p w:rsidR="00AE34A5" w:rsidRPr="00284652" w:rsidRDefault="00AE34A5" w:rsidP="00AE34A5">
      <w:pPr>
        <w:keepNext/>
        <w:ind w:left="426" w:hanging="426"/>
        <w:rPr>
          <w:rFonts w:ascii="Arial Narrow" w:eastAsiaTheme="minorHAnsi" w:hAnsi="Arial Narrow" w:cstheme="minorBidi"/>
          <w:sz w:val="18"/>
          <w:szCs w:val="18"/>
          <w:lang w:eastAsia="en-US"/>
        </w:rPr>
      </w:pPr>
      <w:r w:rsidRPr="00284652">
        <w:rPr>
          <w:rFonts w:ascii="Arial Narrow" w:eastAsiaTheme="minorHAnsi" w:hAnsi="Arial Narrow" w:cstheme="minorBidi"/>
          <w:sz w:val="18"/>
          <w:szCs w:val="18"/>
          <w:lang w:eastAsia="en-US"/>
        </w:rPr>
        <w:t>a)</w:t>
      </w:r>
      <w:r w:rsidRPr="00284652">
        <w:rPr>
          <w:rFonts w:ascii="Arial Narrow" w:eastAsiaTheme="minorHAnsi" w:hAnsi="Arial Narrow" w:cstheme="minorBidi"/>
          <w:sz w:val="18"/>
          <w:szCs w:val="18"/>
          <w:lang w:eastAsia="en-US"/>
        </w:rPr>
        <w:tab/>
        <w:t>Failure to respond (stable disease or disease progression on treatment), or a progression-free interval of less than 3 years from treatment with a purine analogue– based therapy and anti-CD20-containing chemo-immunotherapy regimen after at least two cycles OR</w:t>
      </w:r>
    </w:p>
    <w:p w:rsidR="00AE34A5" w:rsidRPr="00284652" w:rsidRDefault="00AE34A5" w:rsidP="00AE34A5">
      <w:pPr>
        <w:keepNext/>
        <w:ind w:left="426" w:hanging="426"/>
        <w:rPr>
          <w:rFonts w:ascii="Arial Narrow" w:eastAsiaTheme="minorHAnsi" w:hAnsi="Arial Narrow" w:cstheme="minorBidi"/>
          <w:sz w:val="18"/>
          <w:szCs w:val="18"/>
          <w:lang w:eastAsia="en-US"/>
        </w:rPr>
      </w:pPr>
      <w:r w:rsidRPr="00284652">
        <w:rPr>
          <w:rFonts w:ascii="Arial Narrow" w:eastAsiaTheme="minorHAnsi" w:hAnsi="Arial Narrow" w:cstheme="minorBidi"/>
          <w:sz w:val="18"/>
          <w:szCs w:val="18"/>
          <w:lang w:eastAsia="en-US"/>
        </w:rPr>
        <w:t>b)</w:t>
      </w:r>
      <w:r w:rsidRPr="00284652">
        <w:rPr>
          <w:rFonts w:ascii="Arial Narrow" w:eastAsiaTheme="minorHAnsi" w:hAnsi="Arial Narrow" w:cstheme="minorBidi"/>
          <w:sz w:val="18"/>
          <w:szCs w:val="18"/>
          <w:lang w:eastAsia="en-US"/>
        </w:rPr>
        <w:tab/>
        <w:t>Age ≥ 70 years OR</w:t>
      </w:r>
    </w:p>
    <w:p w:rsidR="00AE34A5" w:rsidRPr="00284652" w:rsidRDefault="00AE34A5" w:rsidP="00AE34A5">
      <w:pPr>
        <w:keepNext/>
        <w:ind w:left="426" w:hanging="426"/>
        <w:rPr>
          <w:rFonts w:ascii="Arial Narrow" w:eastAsiaTheme="minorHAnsi" w:hAnsi="Arial Narrow" w:cstheme="minorBidi"/>
          <w:sz w:val="18"/>
          <w:szCs w:val="18"/>
          <w:lang w:eastAsia="en-US"/>
        </w:rPr>
      </w:pPr>
      <w:r w:rsidRPr="00284652">
        <w:rPr>
          <w:rFonts w:ascii="Arial Narrow" w:eastAsiaTheme="minorHAnsi" w:hAnsi="Arial Narrow" w:cstheme="minorBidi"/>
          <w:sz w:val="18"/>
          <w:szCs w:val="18"/>
          <w:lang w:eastAsia="en-US"/>
        </w:rPr>
        <w:t>c)</w:t>
      </w:r>
      <w:r w:rsidRPr="00284652">
        <w:rPr>
          <w:rFonts w:ascii="Arial Narrow" w:eastAsiaTheme="minorHAnsi" w:hAnsi="Arial Narrow" w:cstheme="minorBidi"/>
          <w:sz w:val="18"/>
          <w:szCs w:val="18"/>
          <w:lang w:eastAsia="en-US"/>
        </w:rPr>
        <w:tab/>
        <w:t>Age ≥ 65 and the presence of comorbidities (Cumulative Illness Rating Scale ≥ 6 or creatinine clearance &lt;70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 OR</w:t>
      </w:r>
    </w:p>
    <w:p w:rsidR="00AE34A5" w:rsidRPr="00284652" w:rsidRDefault="00AE34A5" w:rsidP="00AE34A5">
      <w:pPr>
        <w:keepNext/>
        <w:ind w:left="426" w:hanging="426"/>
        <w:rPr>
          <w:rFonts w:ascii="Arial Narrow" w:eastAsiaTheme="minorHAnsi" w:hAnsi="Arial Narrow" w:cstheme="minorBidi"/>
          <w:sz w:val="18"/>
          <w:szCs w:val="18"/>
          <w:lang w:eastAsia="en-US"/>
        </w:rPr>
      </w:pPr>
      <w:r w:rsidRPr="00284652">
        <w:rPr>
          <w:rFonts w:ascii="Arial Narrow" w:eastAsiaTheme="minorHAnsi" w:hAnsi="Arial Narrow" w:cstheme="minorBidi"/>
          <w:sz w:val="18"/>
          <w:szCs w:val="18"/>
          <w:lang w:eastAsia="en-US"/>
        </w:rPr>
        <w:t>d)</w:t>
      </w:r>
      <w:r w:rsidRPr="00284652">
        <w:rPr>
          <w:rFonts w:ascii="Arial Narrow" w:eastAsiaTheme="minorHAnsi" w:hAnsi="Arial Narrow" w:cstheme="minorBidi"/>
          <w:sz w:val="18"/>
          <w:szCs w:val="18"/>
          <w:lang w:eastAsia="en-US"/>
        </w:rPr>
        <w:tab/>
        <w:t>History of purine analogue–associated autoimmune anaemia or autoimmune thrombocytopenia OR</w:t>
      </w:r>
    </w:p>
    <w:p w:rsidR="00AE34A5" w:rsidRPr="00284652" w:rsidRDefault="00AE34A5" w:rsidP="00AE34A5">
      <w:pPr>
        <w:keepNext/>
        <w:ind w:left="426" w:hanging="426"/>
        <w:rPr>
          <w:rFonts w:ascii="Arial Narrow" w:eastAsiaTheme="minorHAnsi" w:hAnsi="Arial Narrow" w:cstheme="minorBidi"/>
          <w:sz w:val="18"/>
          <w:szCs w:val="18"/>
          <w:lang w:eastAsia="en-US"/>
        </w:rPr>
      </w:pPr>
      <w:r w:rsidRPr="00284652">
        <w:rPr>
          <w:rFonts w:ascii="Arial Narrow" w:eastAsiaTheme="minorHAnsi" w:hAnsi="Arial Narrow" w:cstheme="minorBidi"/>
          <w:sz w:val="18"/>
          <w:szCs w:val="18"/>
          <w:lang w:eastAsia="en-US"/>
        </w:rPr>
        <w:t>e)</w:t>
      </w:r>
      <w:r w:rsidRPr="00284652">
        <w:rPr>
          <w:rFonts w:ascii="Arial Narrow" w:eastAsiaTheme="minorHAnsi" w:hAnsi="Arial Narrow" w:cstheme="minorBidi"/>
          <w:sz w:val="18"/>
          <w:szCs w:val="18"/>
          <w:lang w:eastAsia="en-US"/>
        </w:rPr>
        <w:tab/>
        <w:t>del17p</w:t>
      </w:r>
    </w:p>
    <w:p w:rsidR="004A5E01" w:rsidRPr="00284652" w:rsidRDefault="00AE34A5" w:rsidP="00AE34A5">
      <w:pPr>
        <w:keepNext/>
        <w:rPr>
          <w:rFonts w:ascii="Arial Narrow" w:eastAsiaTheme="minorHAnsi" w:hAnsi="Arial Narrow" w:cstheme="minorBidi"/>
          <w:sz w:val="18"/>
          <w:szCs w:val="18"/>
          <w:lang w:eastAsia="en-US"/>
        </w:rPr>
      </w:pPr>
      <w:r w:rsidRPr="00284652">
        <w:rPr>
          <w:rFonts w:ascii="Arial Narrow" w:eastAsiaTheme="minorHAnsi" w:hAnsi="Arial Narrow" w:cstheme="minorBidi"/>
          <w:sz w:val="18"/>
          <w:szCs w:val="18"/>
          <w:vertAlign w:val="superscript"/>
          <w:lang w:eastAsia="en-US"/>
        </w:rPr>
        <w:t>2</w:t>
      </w:r>
      <w:r w:rsidRPr="00284652">
        <w:rPr>
          <w:rFonts w:ascii="Arial Narrow" w:eastAsiaTheme="minorHAnsi" w:hAnsi="Arial Narrow" w:cstheme="minorBidi"/>
          <w:sz w:val="18"/>
          <w:szCs w:val="18"/>
          <w:lang w:eastAsia="en-US"/>
        </w:rPr>
        <w:t xml:space="preserve"> Refractory to FCR = refractory to fludarabine, cyclophosphamide and rituximab: failure to achieve at least a partial response at the completion of FCR (a minimum of 3 cycles) or a progression free interval of less than 1 year following completion of FCR; </w:t>
      </w:r>
      <w:r w:rsidRPr="00284652">
        <w:rPr>
          <w:rFonts w:ascii="Arial Narrow" w:eastAsiaTheme="minorHAnsi" w:hAnsi="Arial Narrow" w:cstheme="minorBidi"/>
          <w:sz w:val="18"/>
          <w:szCs w:val="18"/>
          <w:vertAlign w:val="superscript"/>
          <w:lang w:eastAsia="en-US"/>
        </w:rPr>
        <w:t>3</w:t>
      </w:r>
      <w:r w:rsidRPr="00284652">
        <w:rPr>
          <w:rFonts w:ascii="Arial Narrow" w:eastAsiaTheme="minorHAnsi" w:hAnsi="Arial Narrow" w:cstheme="minorBidi"/>
          <w:sz w:val="18"/>
          <w:szCs w:val="18"/>
          <w:lang w:eastAsia="en-US"/>
        </w:rPr>
        <w:t xml:space="preserve">  calculated using weighted AEMP of $</w:t>
      </w:r>
      <w:r w:rsidR="002D571E">
        <w:rPr>
          <w:rFonts w:ascii="Arial Narrow" w:eastAsiaTheme="minorHAnsi" w:hAnsi="Arial Narrow" w:cstheme="minorBidi"/>
          <w:noProof/>
          <w:color w:val="000000"/>
          <w:sz w:val="18"/>
          <w:szCs w:val="18"/>
          <w:highlight w:val="black"/>
          <w:lang w:eastAsia="en-US"/>
        </w:rPr>
        <w:t>''''''''''''''''''</w:t>
      </w:r>
      <w:r w:rsidRPr="00284652">
        <w:rPr>
          <w:rFonts w:ascii="Arial Narrow" w:eastAsiaTheme="minorHAnsi" w:hAnsi="Arial Narrow" w:cstheme="minorBidi"/>
          <w:sz w:val="18"/>
          <w:szCs w:val="18"/>
          <w:lang w:eastAsia="en-US"/>
        </w:rPr>
        <w:t xml:space="preserve">; </w:t>
      </w:r>
      <w:r w:rsidRPr="00284652">
        <w:rPr>
          <w:rFonts w:ascii="Arial Narrow" w:eastAsiaTheme="minorHAnsi" w:hAnsi="Arial Narrow" w:cstheme="minorBidi"/>
          <w:sz w:val="18"/>
          <w:szCs w:val="18"/>
          <w:vertAlign w:val="superscript"/>
          <w:lang w:eastAsia="en-US"/>
        </w:rPr>
        <w:t>4</w:t>
      </w:r>
      <w:r w:rsidRPr="00284652">
        <w:rPr>
          <w:rFonts w:ascii="Arial Narrow" w:eastAsiaTheme="minorHAnsi" w:hAnsi="Arial Narrow" w:cstheme="minorBidi"/>
          <w:sz w:val="18"/>
          <w:szCs w:val="18"/>
          <w:lang w:eastAsia="en-US"/>
        </w:rPr>
        <w:t xml:space="preserve"> calculated using weighted AEMP of $</w:t>
      </w:r>
      <w:r w:rsidR="002D571E">
        <w:rPr>
          <w:rFonts w:ascii="Arial Narrow" w:eastAsiaTheme="minorHAnsi" w:hAnsi="Arial Narrow" w:cstheme="minorBidi"/>
          <w:noProof/>
          <w:color w:val="000000"/>
          <w:sz w:val="18"/>
          <w:szCs w:val="18"/>
          <w:highlight w:val="black"/>
          <w:lang w:eastAsia="en-US"/>
        </w:rPr>
        <w:t xml:space="preserve">''''''''''''''''''' </w:t>
      </w:r>
      <w:r w:rsidR="00D5065F" w:rsidRPr="00284652">
        <w:rPr>
          <w:rFonts w:ascii="Arial Narrow" w:eastAsiaTheme="minorHAnsi" w:hAnsi="Arial Narrow" w:cstheme="minorBidi"/>
          <w:sz w:val="18"/>
          <w:szCs w:val="18"/>
          <w:lang w:eastAsia="en-US"/>
        </w:rPr>
        <w:t>with convergence of OS curves at 25 years</w:t>
      </w:r>
      <w:r w:rsidRPr="00284652">
        <w:rPr>
          <w:rFonts w:ascii="Arial Narrow" w:eastAsiaTheme="minorHAnsi" w:hAnsi="Arial Narrow" w:cstheme="minorBidi"/>
          <w:sz w:val="18"/>
          <w:szCs w:val="18"/>
          <w:lang w:eastAsia="en-US"/>
        </w:rPr>
        <w:t>;</w:t>
      </w:r>
      <w:r w:rsidR="00D5065F" w:rsidRPr="00284652">
        <w:rPr>
          <w:rFonts w:ascii="Arial Narrow" w:eastAsiaTheme="minorHAnsi" w:hAnsi="Arial Narrow" w:cstheme="minorBidi"/>
          <w:sz w:val="18"/>
          <w:szCs w:val="18"/>
          <w:lang w:eastAsia="en-US"/>
        </w:rPr>
        <w:t xml:space="preserve"> </w:t>
      </w:r>
      <w:r w:rsidR="00D5065F" w:rsidRPr="00284652">
        <w:rPr>
          <w:rFonts w:ascii="Arial Narrow" w:eastAsiaTheme="minorHAnsi" w:hAnsi="Arial Narrow" w:cstheme="minorBidi"/>
          <w:sz w:val="18"/>
          <w:szCs w:val="18"/>
          <w:vertAlign w:val="superscript"/>
          <w:lang w:eastAsia="en-US"/>
        </w:rPr>
        <w:t>5</w:t>
      </w:r>
      <w:r w:rsidR="00D5065F" w:rsidRPr="00284652">
        <w:rPr>
          <w:rFonts w:ascii="Arial Narrow" w:eastAsiaTheme="minorHAnsi" w:hAnsi="Arial Narrow" w:cstheme="minorBidi"/>
          <w:sz w:val="18"/>
          <w:szCs w:val="18"/>
          <w:lang w:eastAsia="en-US"/>
        </w:rPr>
        <w:t xml:space="preserve"> calculated using weighted AEMP of $</w:t>
      </w:r>
      <w:r w:rsidR="002D571E">
        <w:rPr>
          <w:rFonts w:ascii="Arial Narrow" w:eastAsiaTheme="minorHAnsi" w:hAnsi="Arial Narrow" w:cstheme="minorBidi"/>
          <w:noProof/>
          <w:color w:val="000000"/>
          <w:sz w:val="18"/>
          <w:szCs w:val="18"/>
          <w:highlight w:val="black"/>
          <w:lang w:eastAsia="en-US"/>
        </w:rPr>
        <w:t>'''''''''''''''''</w:t>
      </w:r>
      <w:r w:rsidR="00D5065F" w:rsidRPr="00284652">
        <w:rPr>
          <w:rFonts w:ascii="Arial Narrow" w:eastAsiaTheme="minorHAnsi" w:hAnsi="Arial Narrow" w:cstheme="minorBidi"/>
          <w:sz w:val="18"/>
          <w:szCs w:val="18"/>
          <w:lang w:eastAsia="en-US"/>
        </w:rPr>
        <w:t xml:space="preserve"> with convergence of OS curves at 10 years</w:t>
      </w:r>
      <w:r w:rsidRPr="00284652">
        <w:rPr>
          <w:rFonts w:ascii="Arial Narrow" w:eastAsiaTheme="minorHAnsi" w:hAnsi="Arial Narrow" w:cstheme="minorBidi"/>
          <w:sz w:val="18"/>
          <w:szCs w:val="18"/>
          <w:lang w:eastAsia="en-US"/>
        </w:rPr>
        <w:t xml:space="preserve">  </w:t>
      </w:r>
      <w:r w:rsidR="00D5065F" w:rsidRPr="00284652">
        <w:rPr>
          <w:rFonts w:ascii="Arial Narrow" w:eastAsiaTheme="minorHAnsi" w:hAnsi="Arial Narrow" w:cstheme="minorBidi"/>
          <w:sz w:val="18"/>
          <w:szCs w:val="18"/>
          <w:vertAlign w:val="superscript"/>
          <w:lang w:eastAsia="en-US"/>
        </w:rPr>
        <w:t>6</w:t>
      </w:r>
      <w:r w:rsidRPr="00284652">
        <w:rPr>
          <w:rFonts w:ascii="Arial Narrow" w:eastAsiaTheme="minorHAnsi" w:hAnsi="Arial Narrow" w:cstheme="minorBidi"/>
          <w:sz w:val="18"/>
          <w:szCs w:val="18"/>
          <w:lang w:eastAsia="en-US"/>
        </w:rPr>
        <w:t xml:space="preserve"> No patients per DUSC advice July 2015; </w:t>
      </w:r>
      <w:r w:rsidRPr="00284652">
        <w:rPr>
          <w:rFonts w:ascii="Arial Narrow" w:eastAsiaTheme="minorHAnsi" w:hAnsi="Arial Narrow" w:cstheme="minorBidi"/>
          <w:sz w:val="18"/>
          <w:szCs w:val="18"/>
          <w:vertAlign w:val="superscript"/>
          <w:lang w:eastAsia="en-US"/>
        </w:rPr>
        <w:t xml:space="preserve">7 </w:t>
      </w:r>
      <w:r w:rsidRPr="00284652">
        <w:rPr>
          <w:rFonts w:ascii="Arial Narrow" w:eastAsiaTheme="minorHAnsi" w:hAnsi="Arial Narrow" w:cstheme="minorBidi"/>
          <w:sz w:val="18"/>
          <w:szCs w:val="18"/>
          <w:lang w:eastAsia="en-US"/>
        </w:rPr>
        <w:t>Approximate cost, calculated using $</w:t>
      </w:r>
      <w:r w:rsidR="002D571E">
        <w:rPr>
          <w:rFonts w:ascii="Arial Narrow" w:eastAsiaTheme="minorHAnsi" w:hAnsi="Arial Narrow" w:cstheme="minorBidi"/>
          <w:noProof/>
          <w:color w:val="000000"/>
          <w:sz w:val="18"/>
          <w:szCs w:val="18"/>
          <w:highlight w:val="black"/>
          <w:lang w:eastAsia="en-US"/>
        </w:rPr>
        <w:t>''''''''''</w:t>
      </w:r>
      <w:r w:rsidRPr="00284652">
        <w:rPr>
          <w:rFonts w:ascii="Arial Narrow" w:eastAsiaTheme="minorHAnsi" w:hAnsi="Arial Narrow" w:cstheme="minorBidi"/>
          <w:sz w:val="18"/>
          <w:szCs w:val="18"/>
          <w:lang w:eastAsia="en-US"/>
        </w:rPr>
        <w:t xml:space="preserve"> cost estimate from November submission adjusted to take into account price and number of patients in each scenario</w:t>
      </w:r>
    </w:p>
    <w:p w:rsidR="004A5E01" w:rsidRPr="00284652" w:rsidRDefault="004A5E01" w:rsidP="00AE34A5">
      <w:pPr>
        <w:keepNext/>
        <w:rPr>
          <w:rFonts w:ascii="Arial Narrow" w:eastAsiaTheme="minorHAnsi" w:hAnsi="Arial Narrow" w:cstheme="minorBidi"/>
          <w:sz w:val="18"/>
          <w:szCs w:val="18"/>
          <w:lang w:eastAsia="en-US"/>
        </w:rPr>
        <w:sectPr w:rsidR="004A5E01" w:rsidRPr="00284652" w:rsidSect="009A3C0E">
          <w:pgSz w:w="16838" w:h="11906" w:orient="landscape" w:code="9"/>
          <w:pgMar w:top="1440" w:right="1440" w:bottom="1440" w:left="1440" w:header="1440" w:footer="1440" w:gutter="0"/>
          <w:pgNumType w:start="5"/>
          <w:cols w:space="708"/>
          <w:docGrid w:linePitch="360"/>
        </w:sectPr>
      </w:pPr>
    </w:p>
    <w:p w:rsidR="00703193" w:rsidRPr="00284652" w:rsidRDefault="00703193" w:rsidP="00703193">
      <w:pPr>
        <w:rPr>
          <w:szCs w:val="22"/>
        </w:rPr>
      </w:pPr>
      <w:r w:rsidRPr="00284652">
        <w:rPr>
          <w:rFonts w:ascii="Arial" w:hAnsi="Arial"/>
          <w:i/>
          <w:sz w:val="22"/>
          <w:szCs w:val="22"/>
        </w:rPr>
        <w:t>For more detail on PBAC’s view, see section 5 “PBAC outcome”</w:t>
      </w:r>
    </w:p>
    <w:p w:rsidR="00703193" w:rsidRDefault="00703193" w:rsidP="004A5E01">
      <w:pPr>
        <w:jc w:val="both"/>
        <w:rPr>
          <w:rFonts w:ascii="Arial" w:hAnsi="Arial"/>
          <w:sz w:val="22"/>
          <w:szCs w:val="22"/>
        </w:rPr>
      </w:pPr>
    </w:p>
    <w:p w:rsidR="00F706AF" w:rsidRPr="00284652" w:rsidRDefault="00F706AF" w:rsidP="004A5E01">
      <w:pPr>
        <w:jc w:val="both"/>
        <w:rPr>
          <w:rFonts w:ascii="Arial" w:hAnsi="Arial"/>
          <w:sz w:val="22"/>
          <w:szCs w:val="22"/>
        </w:rPr>
      </w:pPr>
    </w:p>
    <w:p w:rsidR="004A5E01" w:rsidRPr="00284652" w:rsidRDefault="004A5E01" w:rsidP="00F706AF">
      <w:pPr>
        <w:pStyle w:val="PBACHeading1"/>
        <w:numPr>
          <w:ilvl w:val="0"/>
          <w:numId w:val="5"/>
        </w:numPr>
      </w:pPr>
      <w:r w:rsidRPr="00284652">
        <w:t>Consideration of the evidence</w:t>
      </w:r>
    </w:p>
    <w:p w:rsidR="00F706AF" w:rsidRDefault="00F706AF" w:rsidP="00F706AF">
      <w:pPr>
        <w:widowControl w:val="0"/>
        <w:jc w:val="both"/>
        <w:rPr>
          <w:rFonts w:ascii="Arial" w:hAnsi="Arial" w:cs="Arial"/>
          <w:b/>
          <w:bCs/>
          <w:i/>
          <w:snapToGrid w:val="0"/>
          <w:sz w:val="22"/>
          <w:szCs w:val="22"/>
        </w:rPr>
      </w:pPr>
    </w:p>
    <w:p w:rsidR="00026AD3" w:rsidRDefault="00026AD3" w:rsidP="006B2F80">
      <w:pPr>
        <w:pStyle w:val="Heading2"/>
      </w:pPr>
      <w:r w:rsidRPr="006B2F80">
        <w:t>Sponsor hearing</w:t>
      </w:r>
    </w:p>
    <w:p w:rsidR="006B2F80" w:rsidRPr="006B2F80" w:rsidRDefault="006B2F80" w:rsidP="006B2F80"/>
    <w:p w:rsidR="00BB7EC3" w:rsidRPr="00284652" w:rsidRDefault="00026AD3" w:rsidP="00026AD3">
      <w:pPr>
        <w:pStyle w:val="ListParagraph"/>
        <w:widowControl/>
        <w:numPr>
          <w:ilvl w:val="1"/>
          <w:numId w:val="5"/>
        </w:numPr>
        <w:rPr>
          <w:szCs w:val="22"/>
        </w:rPr>
      </w:pPr>
      <w:r w:rsidRPr="00284652">
        <w:rPr>
          <w:bCs/>
          <w:szCs w:val="22"/>
        </w:rPr>
        <w:t>There was no hearing for this item as it was a minor submission</w:t>
      </w:r>
    </w:p>
    <w:p w:rsidR="00026AD3" w:rsidRPr="00284652" w:rsidRDefault="00026AD3" w:rsidP="00026AD3">
      <w:pPr>
        <w:pStyle w:val="ListParagraph"/>
        <w:widowControl/>
        <w:rPr>
          <w:bCs/>
          <w:szCs w:val="22"/>
        </w:rPr>
      </w:pPr>
    </w:p>
    <w:p w:rsidR="00026AD3" w:rsidRDefault="00026AD3" w:rsidP="006B2F80">
      <w:pPr>
        <w:pStyle w:val="Heading2"/>
      </w:pPr>
      <w:r w:rsidRPr="006B2F80">
        <w:t>Consumer comment</w:t>
      </w:r>
    </w:p>
    <w:p w:rsidR="006B2F80" w:rsidRPr="006B2F80" w:rsidRDefault="006B2F80" w:rsidP="006B2F80"/>
    <w:p w:rsidR="00026AD3" w:rsidRPr="00284652" w:rsidRDefault="00026AD3" w:rsidP="00026AD3">
      <w:pPr>
        <w:pStyle w:val="ListParagraph"/>
        <w:widowControl/>
        <w:numPr>
          <w:ilvl w:val="1"/>
          <w:numId w:val="5"/>
        </w:numPr>
        <w:rPr>
          <w:bCs/>
          <w:szCs w:val="22"/>
        </w:rPr>
      </w:pPr>
      <w:r w:rsidRPr="00284652">
        <w:rPr>
          <w:bCs/>
          <w:szCs w:val="22"/>
        </w:rPr>
        <w:t>The PBAC noted that no consumer comments were received for this item.</w:t>
      </w:r>
    </w:p>
    <w:p w:rsidR="006B2F80" w:rsidRDefault="006B2F80" w:rsidP="006B2F80"/>
    <w:p w:rsidR="00416C46" w:rsidRPr="006B2F80" w:rsidRDefault="00416C46" w:rsidP="006B2F80">
      <w:pPr>
        <w:pStyle w:val="Heading2"/>
      </w:pPr>
      <w:r w:rsidRPr="006B2F80">
        <w:t>Estimated PBS usage &amp; financial implications</w:t>
      </w:r>
    </w:p>
    <w:p w:rsidR="00416C46" w:rsidRPr="00284652" w:rsidRDefault="00416C46" w:rsidP="00416C46">
      <w:pPr>
        <w:ind w:left="720" w:hanging="720"/>
        <w:jc w:val="both"/>
        <w:rPr>
          <w:rFonts w:ascii="Arial" w:hAnsi="Arial"/>
          <w:b/>
          <w:i/>
          <w:sz w:val="22"/>
          <w:szCs w:val="22"/>
        </w:rPr>
      </w:pPr>
    </w:p>
    <w:p w:rsidR="00255E34" w:rsidRPr="00284652" w:rsidRDefault="00416C46" w:rsidP="00416C46">
      <w:pPr>
        <w:pStyle w:val="ListParagraph"/>
        <w:widowControl/>
        <w:numPr>
          <w:ilvl w:val="1"/>
          <w:numId w:val="5"/>
        </w:numPr>
        <w:rPr>
          <w:szCs w:val="22"/>
        </w:rPr>
      </w:pPr>
      <w:r w:rsidRPr="00284652">
        <w:rPr>
          <w:szCs w:val="22"/>
        </w:rPr>
        <w:t xml:space="preserve">The </w:t>
      </w:r>
      <w:r w:rsidR="006D5AFE" w:rsidRPr="00284652">
        <w:rPr>
          <w:szCs w:val="22"/>
        </w:rPr>
        <w:t>November</w:t>
      </w:r>
      <w:r w:rsidRPr="00284652">
        <w:rPr>
          <w:szCs w:val="22"/>
        </w:rPr>
        <w:t xml:space="preserve"> 2016 minor re-submission presented updated financial estimates that appropriately assume the</w:t>
      </w:r>
      <w:r w:rsidR="00B21808" w:rsidRPr="00284652">
        <w:rPr>
          <w:szCs w:val="22"/>
        </w:rPr>
        <w:t xml:space="preserve"> same</w:t>
      </w:r>
      <w:r w:rsidRPr="00284652">
        <w:rPr>
          <w:szCs w:val="22"/>
        </w:rPr>
        <w:t xml:space="preserve"> eligible population with RR CLL or SLL as identified by the July 2015 DUSC advice to the PBAC and a mean duration of ibrutinib therapy of </w:t>
      </w:r>
      <w:r w:rsidR="002D571E">
        <w:rPr>
          <w:noProof/>
          <w:color w:val="000000"/>
          <w:szCs w:val="22"/>
          <w:highlight w:val="black"/>
        </w:rPr>
        <w:t xml:space="preserve">''''''''''' </w:t>
      </w:r>
      <w:r w:rsidRPr="00284652">
        <w:rPr>
          <w:szCs w:val="22"/>
        </w:rPr>
        <w:t>months</w:t>
      </w:r>
      <w:r w:rsidR="00255E34" w:rsidRPr="00284652">
        <w:rPr>
          <w:szCs w:val="22"/>
        </w:rPr>
        <w:t>.</w:t>
      </w:r>
      <w:r w:rsidR="006D5AFE" w:rsidRPr="00284652">
        <w:rPr>
          <w:szCs w:val="22"/>
        </w:rPr>
        <w:t xml:space="preserve"> </w:t>
      </w:r>
      <w:r w:rsidR="00255E34" w:rsidRPr="00284652">
        <w:rPr>
          <w:szCs w:val="22"/>
        </w:rPr>
        <w:t>T</w:t>
      </w:r>
      <w:r w:rsidR="006D5AFE" w:rsidRPr="00284652">
        <w:rPr>
          <w:szCs w:val="22"/>
        </w:rPr>
        <w:t xml:space="preserve">he only difference to the August 2016 minor re-submission </w:t>
      </w:r>
      <w:r w:rsidR="003A0D3A" w:rsidRPr="00284652">
        <w:rPr>
          <w:szCs w:val="22"/>
        </w:rPr>
        <w:t xml:space="preserve">was </w:t>
      </w:r>
      <w:r w:rsidR="000F580D" w:rsidRPr="00284652">
        <w:rPr>
          <w:szCs w:val="22"/>
        </w:rPr>
        <w:t xml:space="preserve">that the </w:t>
      </w:r>
      <w:r w:rsidR="002D571E">
        <w:rPr>
          <w:noProof/>
          <w:color w:val="000000"/>
          <w:szCs w:val="22"/>
          <w:highlight w:val="black"/>
        </w:rPr>
        <w:t>''''''''''' ''''' '''''''''''' ''''''' '''' '''''''' '''''''''' ''''''''''' '''''''''''''''''' ''''''' ''''''''''''''''''''' ''''''''''''' ''''' ''''''''' ''''''''''''''' ''''''''''' ''''''' ''''''''''''''''''''''''''' ''''' ''''''' ''''''''''''''''</w:t>
      </w:r>
      <w:r w:rsidRPr="00284652">
        <w:rPr>
          <w:szCs w:val="22"/>
        </w:rPr>
        <w:t xml:space="preserve"> </w:t>
      </w:r>
    </w:p>
    <w:p w:rsidR="00255E34" w:rsidRPr="00284652" w:rsidRDefault="00255E34" w:rsidP="00B21808">
      <w:pPr>
        <w:pStyle w:val="ListParagraph"/>
        <w:widowControl/>
        <w:rPr>
          <w:szCs w:val="22"/>
        </w:rPr>
      </w:pPr>
    </w:p>
    <w:p w:rsidR="001727E3" w:rsidRPr="00284652" w:rsidRDefault="00416C46" w:rsidP="002D49F0">
      <w:pPr>
        <w:pStyle w:val="ListParagraph"/>
        <w:widowControl/>
        <w:numPr>
          <w:ilvl w:val="1"/>
          <w:numId w:val="5"/>
        </w:numPr>
        <w:rPr>
          <w:szCs w:val="22"/>
        </w:rPr>
      </w:pPr>
      <w:r w:rsidRPr="00284652">
        <w:rPr>
          <w:szCs w:val="22"/>
        </w:rPr>
        <w:t xml:space="preserve">The </w:t>
      </w:r>
      <w:r w:rsidR="003A0D3A" w:rsidRPr="00284652">
        <w:rPr>
          <w:szCs w:val="22"/>
        </w:rPr>
        <w:t>PBAC</w:t>
      </w:r>
      <w:r w:rsidRPr="00284652">
        <w:rPr>
          <w:szCs w:val="22"/>
        </w:rPr>
        <w:t xml:space="preserve"> noted that the submission’s estimates of the number of patients assumed to initiate treatment with ibrutinib </w:t>
      </w:r>
      <w:r w:rsidR="003A0D3A" w:rsidRPr="00284652">
        <w:rPr>
          <w:szCs w:val="22"/>
        </w:rPr>
        <w:t>we</w:t>
      </w:r>
      <w:r w:rsidRPr="00284652">
        <w:rPr>
          <w:szCs w:val="22"/>
        </w:rPr>
        <w:t>re consistent with the July 2015 DUSC advice</w:t>
      </w:r>
      <w:r w:rsidR="00872D76">
        <w:rPr>
          <w:szCs w:val="22"/>
        </w:rPr>
        <w:t>.</w:t>
      </w:r>
    </w:p>
    <w:p w:rsidR="00416C46" w:rsidRPr="00284652" w:rsidRDefault="00416C46" w:rsidP="002D49F0">
      <w:pPr>
        <w:pStyle w:val="ListParagraph"/>
        <w:widowControl/>
        <w:rPr>
          <w:i/>
          <w:szCs w:val="22"/>
        </w:rPr>
      </w:pPr>
    </w:p>
    <w:p w:rsidR="00416C46" w:rsidRPr="00284652" w:rsidRDefault="00416C46" w:rsidP="00416C46">
      <w:pPr>
        <w:pStyle w:val="ListParagraph"/>
        <w:widowControl/>
        <w:numPr>
          <w:ilvl w:val="1"/>
          <w:numId w:val="5"/>
        </w:numPr>
        <w:rPr>
          <w:szCs w:val="22"/>
        </w:rPr>
      </w:pPr>
      <w:r w:rsidRPr="00284652">
        <w:rPr>
          <w:szCs w:val="22"/>
        </w:rPr>
        <w:t xml:space="preserve">The </w:t>
      </w:r>
      <w:r w:rsidR="003A0D3A" w:rsidRPr="00284652">
        <w:rPr>
          <w:szCs w:val="22"/>
        </w:rPr>
        <w:t>PBAC</w:t>
      </w:r>
      <w:r w:rsidR="002D49F0" w:rsidRPr="00284652">
        <w:rPr>
          <w:szCs w:val="22"/>
        </w:rPr>
        <w:t xml:space="preserve"> </w:t>
      </w:r>
      <w:r w:rsidRPr="00284652">
        <w:rPr>
          <w:szCs w:val="22"/>
        </w:rPr>
        <w:t xml:space="preserve">noted that, consistent with the DUSC advice, the estimated number of patients </w:t>
      </w:r>
      <w:r w:rsidR="006D5AFE" w:rsidRPr="00284652">
        <w:rPr>
          <w:szCs w:val="22"/>
        </w:rPr>
        <w:t>wa</w:t>
      </w:r>
      <w:r w:rsidRPr="00284652">
        <w:rPr>
          <w:szCs w:val="22"/>
        </w:rPr>
        <w:t xml:space="preserve">s highest in year 1 and the estimated number of packs highest in year 2 because of the assumption </w:t>
      </w:r>
      <w:r w:rsidR="006D5AFE" w:rsidRPr="00284652">
        <w:rPr>
          <w:szCs w:val="22"/>
        </w:rPr>
        <w:t xml:space="preserve">(from DUSC </w:t>
      </w:r>
      <w:r w:rsidR="00955466" w:rsidRPr="00284652">
        <w:rPr>
          <w:szCs w:val="22"/>
        </w:rPr>
        <w:t xml:space="preserve">July </w:t>
      </w:r>
      <w:r w:rsidR="006D5AFE" w:rsidRPr="00284652">
        <w:rPr>
          <w:szCs w:val="22"/>
        </w:rPr>
        <w:t>2015)</w:t>
      </w:r>
      <w:r w:rsidR="00955466" w:rsidRPr="00284652">
        <w:rPr>
          <w:szCs w:val="22"/>
        </w:rPr>
        <w:t xml:space="preserve"> </w:t>
      </w:r>
      <w:r w:rsidRPr="00284652">
        <w:rPr>
          <w:szCs w:val="22"/>
        </w:rPr>
        <w:t>that prevalent patients diagnosed to 2013 inclusive w</w:t>
      </w:r>
      <w:r w:rsidR="007D2B7A" w:rsidRPr="00284652">
        <w:rPr>
          <w:szCs w:val="22"/>
        </w:rPr>
        <w:t>ould</w:t>
      </w:r>
      <w:r w:rsidRPr="00284652">
        <w:rPr>
          <w:szCs w:val="22"/>
        </w:rPr>
        <w:t xml:space="preserve"> start ibrutinib in the first 2 years of listing and continue treatment for an average of </w:t>
      </w:r>
      <w:r w:rsidR="002D571E">
        <w:rPr>
          <w:noProof/>
          <w:color w:val="000000"/>
          <w:szCs w:val="22"/>
          <w:highlight w:val="black"/>
        </w:rPr>
        <w:t>''''''''''</w:t>
      </w:r>
      <w:r w:rsidRPr="00284652">
        <w:rPr>
          <w:szCs w:val="22"/>
        </w:rPr>
        <w:t xml:space="preserve"> month</w:t>
      </w:r>
      <w:r w:rsidR="00255E34" w:rsidRPr="00284652">
        <w:rPr>
          <w:szCs w:val="22"/>
        </w:rPr>
        <w:t>s</w:t>
      </w:r>
      <w:r w:rsidRPr="00284652">
        <w:rPr>
          <w:szCs w:val="22"/>
        </w:rPr>
        <w:t>. Patients diagnosed from 2014 onwards w</w:t>
      </w:r>
      <w:r w:rsidR="003A0D3A" w:rsidRPr="00284652">
        <w:rPr>
          <w:szCs w:val="22"/>
        </w:rPr>
        <w:t>ould</w:t>
      </w:r>
      <w:r w:rsidRPr="00284652">
        <w:rPr>
          <w:szCs w:val="22"/>
        </w:rPr>
        <w:t xml:space="preserve"> start 2</w:t>
      </w:r>
      <w:r w:rsidR="00255E34" w:rsidRPr="00284652">
        <w:rPr>
          <w:szCs w:val="22"/>
        </w:rPr>
        <w:t> </w:t>
      </w:r>
      <w:r w:rsidRPr="00284652">
        <w:rPr>
          <w:szCs w:val="22"/>
        </w:rPr>
        <w:t>years after diagnos</w:t>
      </w:r>
      <w:r w:rsidR="00255E34" w:rsidRPr="00284652">
        <w:rPr>
          <w:szCs w:val="22"/>
        </w:rPr>
        <w:t>i</w:t>
      </w:r>
      <w:r w:rsidRPr="00284652">
        <w:rPr>
          <w:szCs w:val="22"/>
        </w:rPr>
        <w:t>s.</w:t>
      </w:r>
      <w:r w:rsidR="007D2B7A" w:rsidRPr="00284652">
        <w:rPr>
          <w:szCs w:val="22"/>
        </w:rPr>
        <w:t xml:space="preserve"> This was considered to still be applicable to the current submission.</w:t>
      </w:r>
    </w:p>
    <w:p w:rsidR="00416C46" w:rsidRPr="00284652" w:rsidRDefault="00416C46" w:rsidP="00416C46">
      <w:pPr>
        <w:pStyle w:val="ListParagraph"/>
        <w:rPr>
          <w:i/>
          <w:szCs w:val="22"/>
        </w:rPr>
      </w:pPr>
    </w:p>
    <w:p w:rsidR="00416C46" w:rsidRPr="00284652" w:rsidRDefault="00416C46" w:rsidP="00416C46">
      <w:pPr>
        <w:jc w:val="both"/>
        <w:rPr>
          <w:rFonts w:ascii="Arial Narrow" w:hAnsi="Arial Narrow"/>
          <w:b/>
          <w:sz w:val="22"/>
          <w:szCs w:val="20"/>
        </w:rPr>
      </w:pPr>
      <w:r w:rsidRPr="00284652">
        <w:rPr>
          <w:rFonts w:ascii="Arial Narrow" w:hAnsi="Arial Narrow"/>
          <w:b/>
          <w:sz w:val="22"/>
          <w:szCs w:val="20"/>
        </w:rPr>
        <w:t xml:space="preserve">Table </w:t>
      </w:r>
      <w:r w:rsidR="006D5AFE" w:rsidRPr="00284652">
        <w:rPr>
          <w:rFonts w:ascii="Arial Narrow" w:hAnsi="Arial Narrow"/>
          <w:b/>
          <w:sz w:val="22"/>
          <w:szCs w:val="20"/>
        </w:rPr>
        <w:t>3</w:t>
      </w:r>
      <w:r w:rsidRPr="00284652">
        <w:rPr>
          <w:rFonts w:ascii="Arial Narrow" w:hAnsi="Arial Narrow"/>
          <w:b/>
          <w:sz w:val="22"/>
          <w:szCs w:val="20"/>
        </w:rPr>
        <w:t xml:space="preserve">: </w:t>
      </w:r>
      <w:r w:rsidR="007D2B7A" w:rsidRPr="00284652">
        <w:rPr>
          <w:rFonts w:ascii="Arial Narrow" w:hAnsi="Arial Narrow"/>
          <w:b/>
          <w:sz w:val="22"/>
          <w:szCs w:val="20"/>
        </w:rPr>
        <w:t>November</w:t>
      </w:r>
      <w:r w:rsidRPr="00284652">
        <w:rPr>
          <w:rFonts w:ascii="Arial Narrow" w:hAnsi="Arial Narrow"/>
          <w:b/>
          <w:sz w:val="22"/>
          <w:szCs w:val="20"/>
        </w:rPr>
        <w:t xml:space="preserve"> 2016 resubmission financial Implications of listing ibrutinib</w:t>
      </w:r>
    </w:p>
    <w:tbl>
      <w:tblPr>
        <w:tblW w:w="4942" w:type="pct"/>
        <w:tblInd w:w="108" w:type="dxa"/>
        <w:tblLayout w:type="fixed"/>
        <w:tblLook w:val="04A0" w:firstRow="1" w:lastRow="0" w:firstColumn="1" w:lastColumn="0" w:noHBand="0" w:noVBand="1"/>
      </w:tblPr>
      <w:tblGrid>
        <w:gridCol w:w="1048"/>
        <w:gridCol w:w="1157"/>
        <w:gridCol w:w="1155"/>
        <w:gridCol w:w="1155"/>
        <w:gridCol w:w="1155"/>
        <w:gridCol w:w="1155"/>
        <w:gridCol w:w="1155"/>
        <w:gridCol w:w="1155"/>
      </w:tblGrid>
      <w:tr w:rsidR="00416C46" w:rsidRPr="00284652" w:rsidTr="00E6110B">
        <w:trPr>
          <w:trHeight w:val="825"/>
        </w:trPr>
        <w:tc>
          <w:tcPr>
            <w:tcW w:w="574" w:type="pct"/>
            <w:tcBorders>
              <w:top w:val="single" w:sz="4" w:space="0" w:color="auto"/>
              <w:left w:val="single" w:sz="4" w:space="0" w:color="auto"/>
              <w:bottom w:val="single" w:sz="4" w:space="0" w:color="auto"/>
              <w:right w:val="double" w:sz="4" w:space="0" w:color="auto"/>
            </w:tcBorders>
            <w:shd w:val="clear" w:color="auto" w:fill="auto"/>
            <w:noWrap/>
            <w:vAlign w:val="bottom"/>
            <w:hideMark/>
          </w:tcPr>
          <w:p w:rsidR="00416C46" w:rsidRPr="00284652" w:rsidRDefault="00416C46" w:rsidP="00A37A52">
            <w:pPr>
              <w:rPr>
                <w:rFonts w:ascii="Arial Narrow" w:hAnsi="Arial Narrow"/>
                <w:color w:val="000000"/>
                <w:sz w:val="18"/>
                <w:szCs w:val="18"/>
              </w:rPr>
            </w:pPr>
            <w:r w:rsidRPr="00284652">
              <w:rPr>
                <w:rFonts w:ascii="Arial Narrow" w:hAnsi="Arial Narrow"/>
                <w:color w:val="000000"/>
                <w:sz w:val="18"/>
                <w:szCs w:val="18"/>
              </w:rPr>
              <w:t> </w:t>
            </w:r>
          </w:p>
        </w:tc>
        <w:tc>
          <w:tcPr>
            <w:tcW w:w="634" w:type="pct"/>
            <w:tcBorders>
              <w:top w:val="single" w:sz="4" w:space="0" w:color="auto"/>
              <w:left w:val="double" w:sz="4" w:space="0" w:color="auto"/>
              <w:bottom w:val="single" w:sz="4" w:space="0" w:color="auto"/>
              <w:right w:val="double" w:sz="4" w:space="0" w:color="auto"/>
            </w:tcBorders>
            <w:shd w:val="clear" w:color="auto" w:fill="auto"/>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Ex-Manufacturer Price</w:t>
            </w:r>
          </w:p>
        </w:tc>
        <w:tc>
          <w:tcPr>
            <w:tcW w:w="632" w:type="pct"/>
            <w:tcBorders>
              <w:top w:val="single" w:sz="4" w:space="0" w:color="auto"/>
              <w:left w:val="double" w:sz="4" w:space="0" w:color="auto"/>
              <w:bottom w:val="single" w:sz="4" w:space="0" w:color="auto"/>
              <w:right w:val="single" w:sz="4" w:space="0" w:color="auto"/>
            </w:tcBorders>
            <w:shd w:val="clear" w:color="auto" w:fill="auto"/>
            <w:noWrap/>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Year 1</w:t>
            </w:r>
          </w:p>
        </w:tc>
        <w:tc>
          <w:tcPr>
            <w:tcW w:w="632" w:type="pct"/>
            <w:tcBorders>
              <w:top w:val="single" w:sz="4" w:space="0" w:color="auto"/>
              <w:left w:val="nil"/>
              <w:bottom w:val="single" w:sz="4" w:space="0" w:color="auto"/>
              <w:right w:val="single" w:sz="4" w:space="0" w:color="auto"/>
            </w:tcBorders>
            <w:shd w:val="clear" w:color="auto" w:fill="auto"/>
            <w:noWrap/>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Year 2</w:t>
            </w:r>
          </w:p>
        </w:tc>
        <w:tc>
          <w:tcPr>
            <w:tcW w:w="632" w:type="pct"/>
            <w:tcBorders>
              <w:top w:val="single" w:sz="4" w:space="0" w:color="auto"/>
              <w:left w:val="nil"/>
              <w:bottom w:val="single" w:sz="4" w:space="0" w:color="auto"/>
              <w:right w:val="single" w:sz="4" w:space="0" w:color="auto"/>
            </w:tcBorders>
            <w:shd w:val="clear" w:color="auto" w:fill="auto"/>
            <w:noWrap/>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Year 3</w:t>
            </w:r>
          </w:p>
        </w:tc>
        <w:tc>
          <w:tcPr>
            <w:tcW w:w="632" w:type="pct"/>
            <w:tcBorders>
              <w:top w:val="single" w:sz="4" w:space="0" w:color="auto"/>
              <w:left w:val="nil"/>
              <w:bottom w:val="single" w:sz="4" w:space="0" w:color="auto"/>
              <w:right w:val="single" w:sz="4" w:space="0" w:color="auto"/>
            </w:tcBorders>
            <w:shd w:val="clear" w:color="auto" w:fill="auto"/>
            <w:noWrap/>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Year 4</w:t>
            </w:r>
          </w:p>
        </w:tc>
        <w:tc>
          <w:tcPr>
            <w:tcW w:w="632" w:type="pct"/>
            <w:tcBorders>
              <w:top w:val="single" w:sz="4" w:space="0" w:color="auto"/>
              <w:left w:val="nil"/>
              <w:bottom w:val="single" w:sz="4" w:space="0" w:color="auto"/>
              <w:right w:val="thinThickSmallGap" w:sz="24" w:space="0" w:color="auto"/>
            </w:tcBorders>
            <w:shd w:val="clear" w:color="auto" w:fill="auto"/>
            <w:noWrap/>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Year 5</w:t>
            </w:r>
          </w:p>
        </w:tc>
        <w:tc>
          <w:tcPr>
            <w:tcW w:w="631" w:type="pct"/>
            <w:tcBorders>
              <w:top w:val="single" w:sz="4" w:space="0" w:color="auto"/>
              <w:left w:val="thinThickSmallGap" w:sz="24" w:space="0" w:color="auto"/>
              <w:bottom w:val="single" w:sz="4" w:space="0" w:color="auto"/>
              <w:right w:val="single" w:sz="4" w:space="0" w:color="auto"/>
            </w:tcBorders>
            <w:shd w:val="clear" w:color="auto" w:fill="D9D9D9" w:themeFill="background1" w:themeFillShade="D9"/>
            <w:noWrap/>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Cumulative total</w:t>
            </w:r>
          </w:p>
        </w:tc>
      </w:tr>
      <w:tr w:rsidR="00416C46" w:rsidRPr="00284652" w:rsidTr="00E6110B">
        <w:trPr>
          <w:trHeight w:val="335"/>
        </w:trPr>
        <w:tc>
          <w:tcPr>
            <w:tcW w:w="1208" w:type="pct"/>
            <w:gridSpan w:val="2"/>
            <w:tcBorders>
              <w:top w:val="nil"/>
              <w:left w:val="single" w:sz="4" w:space="0" w:color="auto"/>
              <w:bottom w:val="single" w:sz="4" w:space="0" w:color="auto"/>
              <w:right w:val="double" w:sz="4" w:space="0" w:color="auto"/>
            </w:tcBorders>
            <w:shd w:val="clear" w:color="auto" w:fill="DBE5F1" w:themeFill="accent1" w:themeFillTint="33"/>
            <w:vAlign w:val="center"/>
          </w:tcPr>
          <w:p w:rsidR="00416C46" w:rsidRPr="00284652" w:rsidRDefault="00416C46" w:rsidP="00416C46">
            <w:pPr>
              <w:rPr>
                <w:rFonts w:ascii="Arial Narrow" w:hAnsi="Arial Narrow"/>
                <w:color w:val="000000"/>
                <w:sz w:val="18"/>
                <w:szCs w:val="18"/>
              </w:rPr>
            </w:pPr>
            <w:r w:rsidRPr="00284652">
              <w:rPr>
                <w:rFonts w:ascii="Arial Narrow" w:hAnsi="Arial Narrow"/>
                <w:color w:val="000000"/>
                <w:sz w:val="18"/>
                <w:szCs w:val="18"/>
              </w:rPr>
              <w:t>August 2016 re-submission</w:t>
            </w:r>
          </w:p>
        </w:tc>
        <w:tc>
          <w:tcPr>
            <w:tcW w:w="3792" w:type="pct"/>
            <w:gridSpan w:val="6"/>
            <w:tcBorders>
              <w:top w:val="nil"/>
              <w:left w:val="double" w:sz="4" w:space="0" w:color="auto"/>
              <w:bottom w:val="single" w:sz="4" w:space="0" w:color="auto"/>
              <w:right w:val="single" w:sz="4" w:space="0" w:color="auto"/>
            </w:tcBorders>
            <w:shd w:val="clear" w:color="auto" w:fill="DBE5F1" w:themeFill="accent1" w:themeFillTint="33"/>
            <w:vAlign w:val="center"/>
          </w:tcPr>
          <w:p w:rsidR="00416C46" w:rsidRPr="00284652" w:rsidRDefault="00416C46" w:rsidP="00A37A52">
            <w:pPr>
              <w:rPr>
                <w:rFonts w:ascii="Arial Narrow" w:hAnsi="Arial Narrow"/>
                <w:color w:val="000000"/>
                <w:sz w:val="18"/>
                <w:szCs w:val="18"/>
              </w:rPr>
            </w:pPr>
            <w:r w:rsidRPr="00284652">
              <w:rPr>
                <w:rFonts w:ascii="Arial Narrow" w:hAnsi="Arial Narrow"/>
                <w:color w:val="000000"/>
                <w:sz w:val="18"/>
                <w:szCs w:val="18"/>
              </w:rPr>
              <w:t xml:space="preserve">Net Cost R/PBS of Ibrutinib (based on re-submission estimates) </w:t>
            </w:r>
          </w:p>
        </w:tc>
      </w:tr>
      <w:tr w:rsidR="00416C46" w:rsidRPr="00284652" w:rsidTr="00E6110B">
        <w:trPr>
          <w:trHeight w:val="825"/>
        </w:trPr>
        <w:tc>
          <w:tcPr>
            <w:tcW w:w="574" w:type="pct"/>
            <w:tcBorders>
              <w:top w:val="nil"/>
              <w:left w:val="single" w:sz="4" w:space="0" w:color="auto"/>
              <w:bottom w:val="single" w:sz="4" w:space="0" w:color="auto"/>
              <w:right w:val="double" w:sz="4" w:space="0" w:color="auto"/>
            </w:tcBorders>
            <w:shd w:val="clear" w:color="auto" w:fill="auto"/>
            <w:vAlign w:val="center"/>
            <w:hideMark/>
          </w:tcPr>
          <w:p w:rsidR="00416C46" w:rsidRPr="00284652" w:rsidRDefault="00416C46" w:rsidP="00A37A52">
            <w:pPr>
              <w:rPr>
                <w:rFonts w:ascii="Arial Narrow" w:hAnsi="Arial Narrow"/>
                <w:color w:val="000000"/>
                <w:sz w:val="18"/>
                <w:szCs w:val="18"/>
              </w:rPr>
            </w:pPr>
            <w:r w:rsidRPr="00284652">
              <w:rPr>
                <w:rFonts w:ascii="Arial Narrow" w:hAnsi="Arial Narrow"/>
                <w:color w:val="000000"/>
                <w:sz w:val="18"/>
                <w:szCs w:val="18"/>
              </w:rPr>
              <w:t xml:space="preserve">Option 2: </w:t>
            </w:r>
          </w:p>
        </w:tc>
        <w:tc>
          <w:tcPr>
            <w:tcW w:w="634" w:type="pct"/>
            <w:tcBorders>
              <w:top w:val="nil"/>
              <w:left w:val="double" w:sz="4" w:space="0" w:color="auto"/>
              <w:bottom w:val="single" w:sz="4" w:space="0" w:color="auto"/>
              <w:right w:val="double" w:sz="4" w:space="0" w:color="auto"/>
            </w:tcBorders>
            <w:shd w:val="clear" w:color="auto" w:fill="auto"/>
            <w:vAlign w:val="center"/>
            <w:hideMark/>
          </w:tcPr>
          <w:p w:rsidR="00416C46" w:rsidRPr="00284652" w:rsidRDefault="002D571E" w:rsidP="00A37A52">
            <w:pPr>
              <w:jc w:val="center"/>
              <w:rPr>
                <w:rFonts w:ascii="Arial Narrow" w:hAnsi="Arial Narrow"/>
                <w:color w:val="000000"/>
                <w:sz w:val="18"/>
                <w:szCs w:val="18"/>
              </w:rPr>
            </w:pPr>
            <w:r>
              <w:rPr>
                <w:rFonts w:ascii="Arial Narrow" w:hAnsi="Arial Narrow"/>
                <w:noProof/>
                <w:color w:val="000000"/>
                <w:sz w:val="18"/>
                <w:szCs w:val="18"/>
                <w:highlight w:val="black"/>
              </w:rPr>
              <w:t>''''''</w:t>
            </w:r>
            <w:r w:rsidR="00416C46" w:rsidRPr="00284652">
              <w:rPr>
                <w:rFonts w:ascii="Arial Narrow" w:hAnsi="Arial Narrow"/>
                <w:color w:val="000000"/>
                <w:sz w:val="18"/>
                <w:szCs w:val="18"/>
              </w:rPr>
              <w:t>% at $</w:t>
            </w:r>
            <w:r>
              <w:rPr>
                <w:rFonts w:ascii="Arial Narrow" w:hAnsi="Arial Narrow"/>
                <w:noProof/>
                <w:color w:val="000000"/>
                <w:sz w:val="18"/>
                <w:szCs w:val="18"/>
                <w:highlight w:val="black"/>
              </w:rPr>
              <w:t>'''''''''''''''''''''</w:t>
            </w:r>
            <w:r w:rsidR="00416C46" w:rsidRPr="00284652">
              <w:rPr>
                <w:rFonts w:ascii="Arial Narrow" w:hAnsi="Arial Narrow"/>
                <w:color w:val="000000"/>
                <w:sz w:val="18"/>
                <w:szCs w:val="18"/>
              </w:rPr>
              <w:br/>
            </w:r>
            <w:r>
              <w:rPr>
                <w:rFonts w:ascii="Arial Narrow" w:hAnsi="Arial Narrow"/>
                <w:noProof/>
                <w:color w:val="000000"/>
                <w:sz w:val="18"/>
                <w:szCs w:val="18"/>
                <w:highlight w:val="black"/>
              </w:rPr>
              <w:t>'''''''</w:t>
            </w:r>
            <w:r w:rsidR="00416C46" w:rsidRPr="00284652">
              <w:rPr>
                <w:rFonts w:ascii="Arial Narrow" w:hAnsi="Arial Narrow"/>
                <w:color w:val="000000"/>
                <w:sz w:val="18"/>
                <w:szCs w:val="18"/>
              </w:rPr>
              <w:t>% at $</w:t>
            </w:r>
            <w:r>
              <w:rPr>
                <w:rFonts w:ascii="Arial Narrow" w:hAnsi="Arial Narrow"/>
                <w:noProof/>
                <w:color w:val="000000"/>
                <w:sz w:val="18"/>
                <w:szCs w:val="18"/>
                <w:highlight w:val="black"/>
              </w:rPr>
              <w:t>''''''''''''''''''''</w:t>
            </w:r>
          </w:p>
        </w:tc>
        <w:tc>
          <w:tcPr>
            <w:tcW w:w="632" w:type="pct"/>
            <w:tcBorders>
              <w:top w:val="nil"/>
              <w:left w:val="double" w:sz="4" w:space="0" w:color="auto"/>
              <w:bottom w:val="single" w:sz="4" w:space="0" w:color="auto"/>
              <w:right w:val="single" w:sz="4" w:space="0" w:color="auto"/>
            </w:tcBorders>
            <w:shd w:val="clear" w:color="auto" w:fill="auto"/>
            <w:noWrap/>
            <w:vAlign w:val="center"/>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2" w:type="pct"/>
            <w:tcBorders>
              <w:top w:val="nil"/>
              <w:left w:val="nil"/>
              <w:bottom w:val="single" w:sz="4" w:space="0" w:color="auto"/>
              <w:right w:val="single" w:sz="4" w:space="0" w:color="auto"/>
            </w:tcBorders>
            <w:shd w:val="clear" w:color="auto" w:fill="auto"/>
            <w:noWrap/>
            <w:vAlign w:val="center"/>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2" w:type="pct"/>
            <w:tcBorders>
              <w:top w:val="nil"/>
              <w:left w:val="nil"/>
              <w:bottom w:val="single" w:sz="4" w:space="0" w:color="auto"/>
              <w:right w:val="single" w:sz="4" w:space="0" w:color="auto"/>
            </w:tcBorders>
            <w:shd w:val="clear" w:color="auto" w:fill="auto"/>
            <w:noWrap/>
            <w:vAlign w:val="center"/>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2" w:type="pct"/>
            <w:tcBorders>
              <w:top w:val="nil"/>
              <w:left w:val="nil"/>
              <w:bottom w:val="single" w:sz="4" w:space="0" w:color="auto"/>
              <w:right w:val="single" w:sz="4" w:space="0" w:color="auto"/>
            </w:tcBorders>
            <w:shd w:val="clear" w:color="auto" w:fill="auto"/>
            <w:noWrap/>
            <w:vAlign w:val="center"/>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2" w:type="pct"/>
            <w:tcBorders>
              <w:top w:val="nil"/>
              <w:left w:val="nil"/>
              <w:bottom w:val="single" w:sz="4" w:space="0" w:color="auto"/>
              <w:right w:val="thinThickSmallGap" w:sz="24" w:space="0" w:color="auto"/>
            </w:tcBorders>
            <w:shd w:val="clear" w:color="auto" w:fill="auto"/>
            <w:noWrap/>
            <w:vAlign w:val="center"/>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1" w:type="pct"/>
            <w:tcBorders>
              <w:top w:val="nil"/>
              <w:left w:val="thinThickSmallGap" w:sz="24" w:space="0" w:color="auto"/>
              <w:bottom w:val="single" w:sz="4" w:space="0" w:color="auto"/>
              <w:right w:val="single" w:sz="4" w:space="0" w:color="auto"/>
            </w:tcBorders>
            <w:shd w:val="clear" w:color="auto" w:fill="D9D9D9" w:themeFill="background1" w:themeFillShade="D9"/>
            <w:noWrap/>
            <w:vAlign w:val="center"/>
            <w:hideMark/>
          </w:tcPr>
          <w:p w:rsidR="00416C46" w:rsidRPr="00284652" w:rsidRDefault="00416C46" w:rsidP="00A37A52">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r>
      <w:tr w:rsidR="00416C46" w:rsidRPr="00284652" w:rsidTr="00E6110B">
        <w:trPr>
          <w:trHeight w:val="335"/>
        </w:trPr>
        <w:tc>
          <w:tcPr>
            <w:tcW w:w="1208" w:type="pct"/>
            <w:gridSpan w:val="2"/>
            <w:tcBorders>
              <w:top w:val="nil"/>
              <w:left w:val="single" w:sz="4" w:space="0" w:color="auto"/>
              <w:bottom w:val="single" w:sz="4" w:space="0" w:color="auto"/>
              <w:right w:val="double" w:sz="4" w:space="0" w:color="auto"/>
            </w:tcBorders>
            <w:shd w:val="clear" w:color="auto" w:fill="DBE5F1" w:themeFill="accent1" w:themeFillTint="33"/>
            <w:vAlign w:val="center"/>
          </w:tcPr>
          <w:p w:rsidR="00416C46" w:rsidRPr="00284652" w:rsidRDefault="00416C46" w:rsidP="006D5AFE">
            <w:pPr>
              <w:rPr>
                <w:rFonts w:ascii="Arial Narrow" w:hAnsi="Arial Narrow"/>
                <w:color w:val="000000"/>
                <w:sz w:val="18"/>
                <w:szCs w:val="18"/>
              </w:rPr>
            </w:pPr>
            <w:r w:rsidRPr="00284652">
              <w:rPr>
                <w:rFonts w:ascii="Arial Narrow" w:hAnsi="Arial Narrow"/>
                <w:color w:val="000000"/>
                <w:sz w:val="18"/>
                <w:szCs w:val="18"/>
              </w:rPr>
              <w:t>Current Proposal to PBAC</w:t>
            </w:r>
          </w:p>
        </w:tc>
        <w:tc>
          <w:tcPr>
            <w:tcW w:w="3792" w:type="pct"/>
            <w:gridSpan w:val="6"/>
            <w:tcBorders>
              <w:top w:val="nil"/>
              <w:left w:val="double" w:sz="4" w:space="0" w:color="auto"/>
              <w:bottom w:val="single" w:sz="4" w:space="0" w:color="auto"/>
              <w:right w:val="single" w:sz="4" w:space="0" w:color="auto"/>
            </w:tcBorders>
            <w:shd w:val="clear" w:color="auto" w:fill="DBE5F1" w:themeFill="accent1" w:themeFillTint="33"/>
            <w:vAlign w:val="center"/>
          </w:tcPr>
          <w:p w:rsidR="00416C46" w:rsidRPr="00284652" w:rsidRDefault="00416C46" w:rsidP="00A37A52">
            <w:pPr>
              <w:rPr>
                <w:rFonts w:ascii="Arial Narrow" w:hAnsi="Arial Narrow"/>
                <w:color w:val="000000"/>
                <w:sz w:val="18"/>
                <w:szCs w:val="18"/>
              </w:rPr>
            </w:pPr>
            <w:r w:rsidRPr="00284652">
              <w:rPr>
                <w:rFonts w:ascii="Arial Narrow" w:hAnsi="Arial Narrow"/>
                <w:color w:val="000000"/>
                <w:sz w:val="18"/>
                <w:szCs w:val="18"/>
              </w:rPr>
              <w:t xml:space="preserve">Net Cost R/PBS of Ibrutinib (based on re-submission estimates removing some packs) </w:t>
            </w:r>
          </w:p>
        </w:tc>
      </w:tr>
      <w:tr w:rsidR="00416C46" w:rsidRPr="00284652" w:rsidTr="00E6110B">
        <w:trPr>
          <w:trHeight w:val="825"/>
        </w:trPr>
        <w:tc>
          <w:tcPr>
            <w:tcW w:w="574" w:type="pct"/>
            <w:tcBorders>
              <w:top w:val="nil"/>
              <w:left w:val="single" w:sz="4" w:space="0" w:color="auto"/>
              <w:bottom w:val="single" w:sz="4" w:space="0" w:color="auto"/>
              <w:right w:val="double" w:sz="4" w:space="0" w:color="auto"/>
            </w:tcBorders>
            <w:shd w:val="clear" w:color="auto" w:fill="auto"/>
            <w:vAlign w:val="center"/>
            <w:hideMark/>
          </w:tcPr>
          <w:p w:rsidR="00416C46" w:rsidRPr="00284652" w:rsidRDefault="006D5AFE" w:rsidP="00A37A52">
            <w:pPr>
              <w:rPr>
                <w:rFonts w:ascii="Arial Narrow" w:hAnsi="Arial Narrow"/>
                <w:color w:val="000000"/>
                <w:sz w:val="18"/>
                <w:szCs w:val="18"/>
              </w:rPr>
            </w:pPr>
            <w:r w:rsidRPr="00284652">
              <w:rPr>
                <w:rFonts w:ascii="Arial Narrow" w:hAnsi="Arial Narrow"/>
                <w:color w:val="000000"/>
                <w:sz w:val="18"/>
                <w:szCs w:val="18"/>
              </w:rPr>
              <w:t xml:space="preserve">Modified </w:t>
            </w:r>
            <w:r w:rsidR="00416C46" w:rsidRPr="00284652">
              <w:rPr>
                <w:rFonts w:ascii="Arial Narrow" w:hAnsi="Arial Narrow"/>
                <w:color w:val="000000"/>
                <w:sz w:val="18"/>
                <w:szCs w:val="18"/>
              </w:rPr>
              <w:t xml:space="preserve">Option 2: </w:t>
            </w:r>
          </w:p>
        </w:tc>
        <w:tc>
          <w:tcPr>
            <w:tcW w:w="634" w:type="pct"/>
            <w:tcBorders>
              <w:top w:val="nil"/>
              <w:left w:val="double" w:sz="4" w:space="0" w:color="auto"/>
              <w:bottom w:val="single" w:sz="4" w:space="0" w:color="auto"/>
              <w:right w:val="double" w:sz="4" w:space="0" w:color="auto"/>
            </w:tcBorders>
            <w:shd w:val="clear" w:color="auto" w:fill="auto"/>
            <w:vAlign w:val="center"/>
            <w:hideMark/>
          </w:tcPr>
          <w:p w:rsidR="00416C46" w:rsidRPr="00284652" w:rsidRDefault="002D571E" w:rsidP="00A37A52">
            <w:pPr>
              <w:jc w:val="center"/>
              <w:rPr>
                <w:rFonts w:ascii="Arial Narrow" w:hAnsi="Arial Narrow"/>
                <w:color w:val="000000"/>
                <w:sz w:val="18"/>
                <w:szCs w:val="18"/>
              </w:rPr>
            </w:pPr>
            <w:r>
              <w:rPr>
                <w:rFonts w:ascii="Arial Narrow" w:hAnsi="Arial Narrow"/>
                <w:noProof/>
                <w:color w:val="000000"/>
                <w:sz w:val="18"/>
                <w:szCs w:val="18"/>
                <w:highlight w:val="black"/>
              </w:rPr>
              <w:t>''''''</w:t>
            </w:r>
            <w:r w:rsidR="00416C46" w:rsidRPr="00284652">
              <w:rPr>
                <w:rFonts w:ascii="Arial Narrow" w:hAnsi="Arial Narrow"/>
                <w:color w:val="000000"/>
                <w:sz w:val="18"/>
                <w:szCs w:val="18"/>
              </w:rPr>
              <w:t>% at $</w:t>
            </w:r>
            <w:r>
              <w:rPr>
                <w:rFonts w:ascii="Arial Narrow" w:hAnsi="Arial Narrow"/>
                <w:noProof/>
                <w:color w:val="000000"/>
                <w:sz w:val="18"/>
                <w:szCs w:val="18"/>
                <w:highlight w:val="black"/>
              </w:rPr>
              <w:t>'''''''''''''''''''</w:t>
            </w:r>
            <w:r>
              <w:rPr>
                <w:rFonts w:ascii="Arial Narrow" w:hAnsi="Arial Narrow"/>
                <w:noProof/>
                <w:color w:val="000000"/>
                <w:sz w:val="18"/>
                <w:szCs w:val="18"/>
                <w:highlight w:val="black"/>
              </w:rPr>
              <w:br/>
              <w:t>''''''</w:t>
            </w:r>
            <w:r w:rsidR="00416C46" w:rsidRPr="00284652">
              <w:rPr>
                <w:rFonts w:ascii="Arial Narrow" w:hAnsi="Arial Narrow"/>
                <w:color w:val="000000"/>
                <w:sz w:val="18"/>
                <w:szCs w:val="18"/>
              </w:rPr>
              <w:t>% at $</w:t>
            </w:r>
            <w:r>
              <w:rPr>
                <w:rFonts w:ascii="Arial Narrow" w:hAnsi="Arial Narrow"/>
                <w:noProof/>
                <w:color w:val="000000"/>
                <w:sz w:val="18"/>
                <w:szCs w:val="18"/>
                <w:highlight w:val="black"/>
              </w:rPr>
              <w:t>''''''''''''''''''''''</w:t>
            </w:r>
          </w:p>
        </w:tc>
        <w:tc>
          <w:tcPr>
            <w:tcW w:w="632" w:type="pct"/>
            <w:tcBorders>
              <w:top w:val="nil"/>
              <w:left w:val="double" w:sz="4" w:space="0" w:color="auto"/>
              <w:bottom w:val="single" w:sz="4" w:space="0" w:color="auto"/>
              <w:right w:val="single" w:sz="4" w:space="0" w:color="auto"/>
            </w:tcBorders>
            <w:shd w:val="clear" w:color="auto" w:fill="auto"/>
            <w:noWrap/>
            <w:vAlign w:val="center"/>
            <w:hideMark/>
          </w:tcPr>
          <w:p w:rsidR="00416C46" w:rsidRPr="00284652" w:rsidRDefault="006D5AFE" w:rsidP="006D5AFE">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2" w:type="pct"/>
            <w:tcBorders>
              <w:top w:val="nil"/>
              <w:left w:val="nil"/>
              <w:bottom w:val="single" w:sz="4" w:space="0" w:color="auto"/>
              <w:right w:val="single" w:sz="4" w:space="0" w:color="auto"/>
            </w:tcBorders>
            <w:shd w:val="clear" w:color="auto" w:fill="auto"/>
            <w:noWrap/>
            <w:vAlign w:val="center"/>
            <w:hideMark/>
          </w:tcPr>
          <w:p w:rsidR="00416C46" w:rsidRPr="00284652" w:rsidRDefault="006D5AFE" w:rsidP="006D5AFE">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2" w:type="pct"/>
            <w:tcBorders>
              <w:top w:val="nil"/>
              <w:left w:val="nil"/>
              <w:bottom w:val="single" w:sz="4" w:space="0" w:color="auto"/>
              <w:right w:val="single" w:sz="4" w:space="0" w:color="auto"/>
            </w:tcBorders>
            <w:shd w:val="clear" w:color="auto" w:fill="auto"/>
            <w:noWrap/>
            <w:vAlign w:val="center"/>
            <w:hideMark/>
          </w:tcPr>
          <w:p w:rsidR="00416C46" w:rsidRPr="00284652" w:rsidRDefault="006D5AFE" w:rsidP="006D5AFE">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2" w:type="pct"/>
            <w:tcBorders>
              <w:top w:val="nil"/>
              <w:left w:val="nil"/>
              <w:bottom w:val="single" w:sz="4" w:space="0" w:color="auto"/>
              <w:right w:val="single" w:sz="4" w:space="0" w:color="auto"/>
            </w:tcBorders>
            <w:shd w:val="clear" w:color="auto" w:fill="auto"/>
            <w:noWrap/>
            <w:vAlign w:val="center"/>
            <w:hideMark/>
          </w:tcPr>
          <w:p w:rsidR="00416C46" w:rsidRPr="00284652" w:rsidRDefault="006D5AFE" w:rsidP="006D5AFE">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2" w:type="pct"/>
            <w:tcBorders>
              <w:top w:val="nil"/>
              <w:left w:val="nil"/>
              <w:bottom w:val="single" w:sz="4" w:space="0" w:color="auto"/>
              <w:right w:val="thinThickSmallGap" w:sz="24" w:space="0" w:color="auto"/>
            </w:tcBorders>
            <w:shd w:val="clear" w:color="auto" w:fill="auto"/>
            <w:noWrap/>
            <w:vAlign w:val="center"/>
            <w:hideMark/>
          </w:tcPr>
          <w:p w:rsidR="00416C46" w:rsidRPr="00284652" w:rsidRDefault="006D5AFE" w:rsidP="00A37A52">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c>
          <w:tcPr>
            <w:tcW w:w="631" w:type="pct"/>
            <w:tcBorders>
              <w:top w:val="nil"/>
              <w:left w:val="thinThickSmallGap" w:sz="24" w:space="0" w:color="auto"/>
              <w:bottom w:val="single" w:sz="4" w:space="0" w:color="auto"/>
              <w:right w:val="single" w:sz="4" w:space="0" w:color="auto"/>
            </w:tcBorders>
            <w:shd w:val="clear" w:color="auto" w:fill="D9D9D9" w:themeFill="background1" w:themeFillShade="D9"/>
            <w:noWrap/>
            <w:vAlign w:val="center"/>
            <w:hideMark/>
          </w:tcPr>
          <w:p w:rsidR="00416C46" w:rsidRPr="00284652" w:rsidRDefault="006D5AFE" w:rsidP="00A37A52">
            <w:pPr>
              <w:jc w:val="center"/>
              <w:rPr>
                <w:rFonts w:ascii="Arial Narrow" w:hAnsi="Arial Narrow"/>
                <w:color w:val="000000"/>
                <w:sz w:val="18"/>
                <w:szCs w:val="18"/>
              </w:rPr>
            </w:pPr>
            <w:r w:rsidRPr="00284652">
              <w:rPr>
                <w:rFonts w:ascii="Arial Narrow" w:hAnsi="Arial Narrow"/>
                <w:color w:val="000000"/>
                <w:sz w:val="18"/>
                <w:szCs w:val="18"/>
              </w:rPr>
              <w:t>$</w:t>
            </w:r>
            <w:r w:rsidR="002D571E">
              <w:rPr>
                <w:rFonts w:ascii="Arial Narrow" w:hAnsi="Arial Narrow"/>
                <w:noProof/>
                <w:color w:val="000000"/>
                <w:sz w:val="18"/>
                <w:szCs w:val="18"/>
                <w:highlight w:val="black"/>
              </w:rPr>
              <w:t>''''''''''''''''''''''''''''''''</w:t>
            </w:r>
          </w:p>
        </w:tc>
      </w:tr>
    </w:tbl>
    <w:p w:rsidR="00416C46" w:rsidRPr="00284652" w:rsidRDefault="00416C46" w:rsidP="00416C46">
      <w:pPr>
        <w:spacing w:after="200"/>
        <w:jc w:val="both"/>
        <w:rPr>
          <w:rFonts w:ascii="Arial Narrow" w:eastAsiaTheme="minorHAnsi" w:hAnsi="Arial Narrow" w:cstheme="minorBidi"/>
          <w:bCs/>
          <w:sz w:val="18"/>
          <w:szCs w:val="18"/>
          <w:lang w:val="en-GB" w:eastAsia="en-US"/>
        </w:rPr>
      </w:pPr>
      <w:r w:rsidRPr="00284652">
        <w:rPr>
          <w:rFonts w:ascii="Arial Narrow" w:eastAsiaTheme="minorHAnsi" w:hAnsi="Arial Narrow" w:cstheme="minorBidi"/>
          <w:bCs/>
          <w:sz w:val="18"/>
          <w:szCs w:val="18"/>
          <w:lang w:val="en-GB" w:eastAsia="en-US"/>
        </w:rPr>
        <w:t xml:space="preserve">Source:  Table </w:t>
      </w:r>
      <w:r w:rsidR="006D5AFE" w:rsidRPr="00284652">
        <w:rPr>
          <w:rFonts w:ascii="Arial Narrow" w:eastAsiaTheme="minorHAnsi" w:hAnsi="Arial Narrow" w:cstheme="minorBidi"/>
          <w:bCs/>
          <w:sz w:val="18"/>
          <w:szCs w:val="18"/>
          <w:lang w:val="en-GB" w:eastAsia="en-US"/>
        </w:rPr>
        <w:t>3</w:t>
      </w:r>
      <w:r w:rsidRPr="00284652">
        <w:rPr>
          <w:rFonts w:ascii="Arial Narrow" w:eastAsiaTheme="minorHAnsi" w:hAnsi="Arial Narrow" w:cstheme="minorBidi"/>
          <w:bCs/>
          <w:sz w:val="18"/>
          <w:szCs w:val="18"/>
          <w:lang w:val="en-GB" w:eastAsia="en-US"/>
        </w:rPr>
        <w:t xml:space="preserve">, pp </w:t>
      </w:r>
      <w:r w:rsidR="006D5AFE" w:rsidRPr="00284652">
        <w:rPr>
          <w:rFonts w:ascii="Arial Narrow" w:eastAsiaTheme="minorHAnsi" w:hAnsi="Arial Narrow" w:cstheme="minorBidi"/>
          <w:bCs/>
          <w:sz w:val="18"/>
          <w:szCs w:val="18"/>
          <w:lang w:val="en-GB" w:eastAsia="en-US"/>
        </w:rPr>
        <w:t>6</w:t>
      </w:r>
      <w:r w:rsidRPr="00284652">
        <w:rPr>
          <w:rFonts w:ascii="Arial Narrow" w:eastAsiaTheme="minorHAnsi" w:hAnsi="Arial Narrow" w:cstheme="minorBidi"/>
          <w:bCs/>
          <w:sz w:val="18"/>
          <w:szCs w:val="18"/>
          <w:lang w:val="en-GB" w:eastAsia="en-US"/>
        </w:rPr>
        <w:t xml:space="preserve"> of </w:t>
      </w:r>
      <w:r w:rsidR="006D5AFE" w:rsidRPr="00284652">
        <w:rPr>
          <w:rFonts w:ascii="Arial Narrow" w:eastAsiaTheme="minorHAnsi" w:hAnsi="Arial Narrow" w:cstheme="minorBidi"/>
          <w:bCs/>
          <w:sz w:val="18"/>
          <w:szCs w:val="18"/>
          <w:lang w:val="en-GB" w:eastAsia="en-US"/>
        </w:rPr>
        <w:t>November</w:t>
      </w:r>
      <w:r w:rsidRPr="00284652">
        <w:rPr>
          <w:rFonts w:ascii="Arial Narrow" w:eastAsiaTheme="minorHAnsi" w:hAnsi="Arial Narrow" w:cstheme="minorBidi"/>
          <w:bCs/>
          <w:sz w:val="18"/>
          <w:szCs w:val="18"/>
          <w:lang w:val="en-GB" w:eastAsia="en-US"/>
        </w:rPr>
        <w:t xml:space="preserve"> 2016 minor resubmission</w:t>
      </w:r>
    </w:p>
    <w:p w:rsidR="00416C46" w:rsidRPr="006B2F80" w:rsidRDefault="00416C46" w:rsidP="006B2F80">
      <w:pPr>
        <w:pStyle w:val="Heading2"/>
      </w:pPr>
      <w:r w:rsidRPr="00284652">
        <w:t xml:space="preserve">Risk Share Proposal </w:t>
      </w:r>
    </w:p>
    <w:p w:rsidR="00416C46" w:rsidRPr="00284652" w:rsidRDefault="00416C46" w:rsidP="00416C46">
      <w:pPr>
        <w:ind w:left="720" w:hanging="720"/>
        <w:jc w:val="both"/>
        <w:rPr>
          <w:rFonts w:ascii="Arial" w:hAnsi="Arial"/>
          <w:b/>
          <w:i/>
          <w:sz w:val="22"/>
          <w:szCs w:val="22"/>
        </w:rPr>
      </w:pPr>
    </w:p>
    <w:p w:rsidR="00416C46" w:rsidRPr="00284652" w:rsidRDefault="00416C46" w:rsidP="00416C46">
      <w:pPr>
        <w:pStyle w:val="ListParagraph"/>
        <w:widowControl/>
        <w:numPr>
          <w:ilvl w:val="1"/>
          <w:numId w:val="5"/>
        </w:numPr>
        <w:rPr>
          <w:szCs w:val="22"/>
        </w:rPr>
      </w:pPr>
      <w:r w:rsidRPr="00284652">
        <w:rPr>
          <w:szCs w:val="22"/>
        </w:rPr>
        <w:t>Th</w:t>
      </w:r>
      <w:r w:rsidR="00703193" w:rsidRPr="00284652">
        <w:rPr>
          <w:szCs w:val="22"/>
        </w:rPr>
        <w:t>e</w:t>
      </w:r>
      <w:r w:rsidRPr="00284652">
        <w:rPr>
          <w:szCs w:val="22"/>
        </w:rPr>
        <w:t xml:space="preserve"> minor re-submission proposed the same risk share arrangement </w:t>
      </w:r>
      <w:r w:rsidR="007D2B7A" w:rsidRPr="00284652">
        <w:rPr>
          <w:szCs w:val="22"/>
        </w:rPr>
        <w:t xml:space="preserve">structure </w:t>
      </w:r>
      <w:r w:rsidR="00955466" w:rsidRPr="00284652">
        <w:rPr>
          <w:szCs w:val="22"/>
        </w:rPr>
        <w:t>as in the August 2016 minor re-submission</w:t>
      </w:r>
      <w:r w:rsidRPr="00284652">
        <w:rPr>
          <w:szCs w:val="22"/>
        </w:rPr>
        <w:t>.</w:t>
      </w:r>
    </w:p>
    <w:p w:rsidR="00416C46" w:rsidRPr="002D571E" w:rsidRDefault="002D571E" w:rsidP="002D571E">
      <w:pPr>
        <w:ind w:left="1134" w:hanging="425"/>
        <w:rPr>
          <w:szCs w:val="22"/>
          <w:highlight w:val="black"/>
        </w:rPr>
      </w:pP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p>
    <w:p w:rsidR="00416C46" w:rsidRPr="002D571E" w:rsidRDefault="002D571E" w:rsidP="002D571E">
      <w:pPr>
        <w:ind w:left="1134" w:hanging="425"/>
        <w:rPr>
          <w:szCs w:val="22"/>
          <w:highlight w:val="black"/>
        </w:rPr>
      </w:pP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p>
    <w:p w:rsidR="000F580D" w:rsidRPr="002D571E" w:rsidRDefault="002D571E" w:rsidP="002D571E">
      <w:pPr>
        <w:ind w:left="1134" w:hanging="425"/>
        <w:rPr>
          <w:szCs w:val="22"/>
          <w:highlight w:val="black"/>
        </w:rPr>
      </w:pP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p>
    <w:p w:rsidR="00416C46" w:rsidRPr="002D571E" w:rsidRDefault="002D571E" w:rsidP="002D571E">
      <w:pPr>
        <w:ind w:left="1134" w:hanging="425"/>
        <w:rPr>
          <w:szCs w:val="22"/>
          <w:highlight w:val="black"/>
        </w:rPr>
      </w:pP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p>
    <w:p w:rsidR="00416C46" w:rsidRPr="002D571E" w:rsidRDefault="002D571E" w:rsidP="002D571E">
      <w:pPr>
        <w:ind w:left="1134" w:hanging="425"/>
        <w:rPr>
          <w:szCs w:val="22"/>
          <w:highlight w:val="black"/>
        </w:rPr>
      </w:pP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p>
    <w:p w:rsidR="00955466" w:rsidRPr="00284652" w:rsidRDefault="00955466" w:rsidP="00416C46">
      <w:pPr>
        <w:jc w:val="both"/>
        <w:rPr>
          <w:rFonts w:ascii="Arial" w:hAnsi="Arial"/>
          <w:sz w:val="22"/>
          <w:szCs w:val="22"/>
        </w:rPr>
      </w:pPr>
    </w:p>
    <w:p w:rsidR="00955466" w:rsidRPr="00284652" w:rsidRDefault="00955466" w:rsidP="00955466">
      <w:pPr>
        <w:pStyle w:val="ListParagraph"/>
        <w:widowControl/>
        <w:numPr>
          <w:ilvl w:val="1"/>
          <w:numId w:val="5"/>
        </w:numPr>
        <w:rPr>
          <w:szCs w:val="22"/>
        </w:rPr>
      </w:pPr>
      <w:r w:rsidRPr="00284652">
        <w:rPr>
          <w:szCs w:val="22"/>
        </w:rPr>
        <w:t>The sponsor has adjusted the overall cost to government in the risk share agreement</w:t>
      </w:r>
      <w:r w:rsidR="007D2B7A" w:rsidRPr="00284652">
        <w:rPr>
          <w:szCs w:val="22"/>
        </w:rPr>
        <w:t>,</w:t>
      </w:r>
      <w:r w:rsidRPr="00284652">
        <w:rPr>
          <w:szCs w:val="22"/>
        </w:rPr>
        <w:t xml:space="preserve"> </w:t>
      </w:r>
      <w:r w:rsidR="007D2B7A" w:rsidRPr="00284652">
        <w:rPr>
          <w:szCs w:val="22"/>
        </w:rPr>
        <w:t xml:space="preserve">by </w:t>
      </w:r>
      <w:r w:rsidR="002D571E">
        <w:rPr>
          <w:noProof/>
          <w:color w:val="000000"/>
          <w:szCs w:val="22"/>
          <w:highlight w:val="black"/>
        </w:rPr>
        <w:t>'''''''''''''''''''''' ''''''''''''' ''''''''''''''</w:t>
      </w:r>
      <w:r w:rsidR="007D2B7A" w:rsidRPr="00284652">
        <w:rPr>
          <w:szCs w:val="22"/>
        </w:rPr>
        <w:t xml:space="preserve">, </w:t>
      </w:r>
      <w:r w:rsidRPr="00284652">
        <w:rPr>
          <w:szCs w:val="22"/>
        </w:rPr>
        <w:t xml:space="preserve">to give an overall reduction in the </w:t>
      </w:r>
      <w:r w:rsidR="001727E3" w:rsidRPr="00284652">
        <w:rPr>
          <w:szCs w:val="22"/>
        </w:rPr>
        <w:t>n</w:t>
      </w:r>
      <w:r w:rsidRPr="00284652">
        <w:rPr>
          <w:szCs w:val="22"/>
        </w:rPr>
        <w:t xml:space="preserve">et </w:t>
      </w:r>
      <w:r w:rsidR="001727E3" w:rsidRPr="00284652">
        <w:rPr>
          <w:szCs w:val="22"/>
        </w:rPr>
        <w:t>c</w:t>
      </w:r>
      <w:r w:rsidRPr="00284652">
        <w:rPr>
          <w:szCs w:val="22"/>
        </w:rPr>
        <w:t>ost</w:t>
      </w:r>
      <w:r w:rsidR="001727E3" w:rsidRPr="00284652">
        <w:rPr>
          <w:szCs w:val="22"/>
        </w:rPr>
        <w:t xml:space="preserve"> to the</w:t>
      </w:r>
      <w:r w:rsidRPr="00284652">
        <w:rPr>
          <w:szCs w:val="22"/>
        </w:rPr>
        <w:t xml:space="preserve"> R/PBS of</w:t>
      </w:r>
      <w:r w:rsidR="001727E3" w:rsidRPr="00284652">
        <w:rPr>
          <w:szCs w:val="22"/>
        </w:rPr>
        <w:t xml:space="preserve"> i</w:t>
      </w:r>
      <w:r w:rsidRPr="00284652">
        <w:rPr>
          <w:szCs w:val="22"/>
        </w:rPr>
        <w:t xml:space="preserve">brutinib over </w:t>
      </w:r>
      <w:r w:rsidR="009F2548" w:rsidRPr="00284652">
        <w:rPr>
          <w:szCs w:val="22"/>
        </w:rPr>
        <w:t xml:space="preserve">5 years of </w:t>
      </w:r>
      <w:r w:rsidR="002D571E">
        <w:rPr>
          <w:noProof/>
          <w:color w:val="000000"/>
          <w:szCs w:val="22"/>
          <w:highlight w:val="black"/>
        </w:rPr>
        <w:t>'''''''''''</w:t>
      </w:r>
      <w:r w:rsidR="009F2548" w:rsidRPr="00284652">
        <w:rPr>
          <w:szCs w:val="22"/>
        </w:rPr>
        <w:t xml:space="preserve">% to </w:t>
      </w:r>
      <w:r w:rsidR="00A36925">
        <w:rPr>
          <w:szCs w:val="22"/>
        </w:rPr>
        <w:t>more than $100 million</w:t>
      </w:r>
      <w:r w:rsidR="009F2548" w:rsidRPr="00284652">
        <w:rPr>
          <w:szCs w:val="22"/>
        </w:rPr>
        <w:t>.</w:t>
      </w:r>
    </w:p>
    <w:p w:rsidR="005173D2" w:rsidRPr="00284652" w:rsidRDefault="005173D2" w:rsidP="005173D2">
      <w:pPr>
        <w:pStyle w:val="ListParagraph"/>
        <w:widowControl/>
        <w:rPr>
          <w:szCs w:val="22"/>
        </w:rPr>
      </w:pPr>
    </w:p>
    <w:p w:rsidR="005173D2" w:rsidRPr="00284652" w:rsidRDefault="000F580D" w:rsidP="005173D2">
      <w:pPr>
        <w:pStyle w:val="ListParagraph"/>
        <w:widowControl/>
        <w:numPr>
          <w:ilvl w:val="1"/>
          <w:numId w:val="5"/>
        </w:numPr>
        <w:rPr>
          <w:szCs w:val="22"/>
        </w:rPr>
      </w:pPr>
      <w:r w:rsidRPr="00284652">
        <w:rPr>
          <w:szCs w:val="22"/>
        </w:rPr>
        <w:t xml:space="preserve">The </w:t>
      </w:r>
      <w:r w:rsidR="005173D2" w:rsidRPr="00284652">
        <w:rPr>
          <w:szCs w:val="22"/>
        </w:rPr>
        <w:t>incremental cost</w:t>
      </w:r>
      <w:r w:rsidR="007D2B7A" w:rsidRPr="00284652">
        <w:rPr>
          <w:szCs w:val="22"/>
        </w:rPr>
        <w:t>-</w:t>
      </w:r>
      <w:r w:rsidR="005173D2" w:rsidRPr="00284652">
        <w:rPr>
          <w:szCs w:val="22"/>
        </w:rPr>
        <w:t xml:space="preserve">effectiveness ratio </w:t>
      </w:r>
      <w:r w:rsidRPr="00284652">
        <w:rPr>
          <w:szCs w:val="22"/>
        </w:rPr>
        <w:t>of ibrutinib for CLL/SLL under th</w:t>
      </w:r>
      <w:r w:rsidR="007D2B7A" w:rsidRPr="00284652">
        <w:rPr>
          <w:szCs w:val="22"/>
        </w:rPr>
        <w:t>e</w:t>
      </w:r>
      <w:r w:rsidRPr="00284652">
        <w:rPr>
          <w:szCs w:val="22"/>
        </w:rPr>
        <w:t xml:space="preserve"> </w:t>
      </w:r>
      <w:r w:rsidR="007D2B7A" w:rsidRPr="00284652">
        <w:rPr>
          <w:szCs w:val="22"/>
        </w:rPr>
        <w:t>November 2016 proposal wa</w:t>
      </w:r>
      <w:r w:rsidRPr="00284652">
        <w:rPr>
          <w:szCs w:val="22"/>
        </w:rPr>
        <w:t xml:space="preserve">s estimated to be </w:t>
      </w:r>
      <w:r w:rsidR="00A36925">
        <w:rPr>
          <w:szCs w:val="22"/>
        </w:rPr>
        <w:t>$45,000 - $75,000</w:t>
      </w:r>
      <w:r w:rsidR="005173D2" w:rsidRPr="00284652">
        <w:rPr>
          <w:szCs w:val="22"/>
        </w:rPr>
        <w:t xml:space="preserve"> per QALY gained when the </w:t>
      </w:r>
      <w:r w:rsidR="003A6A82" w:rsidRPr="00284652">
        <w:rPr>
          <w:szCs w:val="22"/>
        </w:rPr>
        <w:t>OS curves converge</w:t>
      </w:r>
      <w:r w:rsidR="007D2B7A" w:rsidRPr="00284652">
        <w:rPr>
          <w:szCs w:val="22"/>
        </w:rPr>
        <w:t>d</w:t>
      </w:r>
      <w:r w:rsidR="003A6A82" w:rsidRPr="00284652">
        <w:rPr>
          <w:szCs w:val="22"/>
        </w:rPr>
        <w:t xml:space="preserve"> at 25 years and </w:t>
      </w:r>
      <w:r w:rsidR="00A36925">
        <w:rPr>
          <w:szCs w:val="22"/>
        </w:rPr>
        <w:t>$75,000 - $105,000</w:t>
      </w:r>
      <w:r w:rsidR="003A6A82" w:rsidRPr="00284652">
        <w:rPr>
          <w:szCs w:val="22"/>
        </w:rPr>
        <w:t xml:space="preserve"> per QALY gained when the OS curves converge</w:t>
      </w:r>
      <w:r w:rsidR="007D2B7A" w:rsidRPr="00284652">
        <w:rPr>
          <w:szCs w:val="22"/>
        </w:rPr>
        <w:t>d</w:t>
      </w:r>
      <w:r w:rsidR="003A6A82" w:rsidRPr="00284652">
        <w:rPr>
          <w:szCs w:val="22"/>
        </w:rPr>
        <w:t xml:space="preserve"> at 10</w:t>
      </w:r>
      <w:r w:rsidR="00255E34" w:rsidRPr="00284652">
        <w:rPr>
          <w:szCs w:val="22"/>
        </w:rPr>
        <w:t> </w:t>
      </w:r>
      <w:r w:rsidR="003A6A82" w:rsidRPr="00284652">
        <w:rPr>
          <w:szCs w:val="22"/>
        </w:rPr>
        <w:t>years.</w:t>
      </w:r>
      <w:r w:rsidR="00255E34" w:rsidRPr="00284652">
        <w:rPr>
          <w:szCs w:val="22"/>
        </w:rPr>
        <w:t xml:space="preserve"> </w:t>
      </w:r>
    </w:p>
    <w:p w:rsidR="00955466" w:rsidRPr="00284652" w:rsidRDefault="00955466" w:rsidP="00955466">
      <w:pPr>
        <w:pStyle w:val="ListParagraph"/>
        <w:widowControl/>
        <w:rPr>
          <w:szCs w:val="22"/>
        </w:rPr>
      </w:pPr>
    </w:p>
    <w:p w:rsidR="000F580D" w:rsidRPr="00284652" w:rsidRDefault="000F580D" w:rsidP="000F580D">
      <w:pPr>
        <w:pStyle w:val="ListParagraph"/>
        <w:widowControl/>
        <w:numPr>
          <w:ilvl w:val="1"/>
          <w:numId w:val="5"/>
        </w:numPr>
        <w:rPr>
          <w:szCs w:val="22"/>
        </w:rPr>
      </w:pPr>
      <w:r w:rsidRPr="00284652">
        <w:rPr>
          <w:szCs w:val="22"/>
        </w:rPr>
        <w:t xml:space="preserve">The </w:t>
      </w:r>
      <w:r w:rsidR="002D49F0" w:rsidRPr="00284652">
        <w:rPr>
          <w:szCs w:val="22"/>
        </w:rPr>
        <w:t>Secretariat</w:t>
      </w:r>
      <w:r w:rsidRPr="00284652">
        <w:rPr>
          <w:szCs w:val="22"/>
        </w:rPr>
        <w:t xml:space="preserve"> noted that it may be appropriate for the risk share arrangement to include a requirement that, if the </w:t>
      </w:r>
      <w:r w:rsidR="002D571E">
        <w:rPr>
          <w:noProof/>
          <w:color w:val="000000"/>
          <w:szCs w:val="22"/>
          <w:highlight w:val="black"/>
        </w:rPr>
        <w:t>''''''' '''</w:t>
      </w:r>
      <w:r w:rsidRPr="00284652">
        <w:rPr>
          <w:szCs w:val="22"/>
        </w:rPr>
        <w:t xml:space="preserve"> cap is not exceeded in a </w:t>
      </w:r>
      <w:r w:rsidR="001727E3" w:rsidRPr="00284652">
        <w:rPr>
          <w:szCs w:val="22"/>
        </w:rPr>
        <w:t xml:space="preserve">deed </w:t>
      </w:r>
      <w:r w:rsidRPr="00284652">
        <w:rPr>
          <w:szCs w:val="22"/>
        </w:rPr>
        <w:t xml:space="preserve">year, reconciliation is conducted to ensure that </w:t>
      </w:r>
      <w:r w:rsidR="002D571E">
        <w:rPr>
          <w:noProof/>
          <w:color w:val="000000"/>
          <w:szCs w:val="22"/>
          <w:highlight w:val="black"/>
        </w:rPr>
        <w:t>'''''</w:t>
      </w:r>
      <w:r w:rsidRPr="00284652">
        <w:rPr>
          <w:szCs w:val="22"/>
        </w:rPr>
        <w:t xml:space="preserve">% of use in that year is </w:t>
      </w:r>
      <w:r w:rsidR="001727E3" w:rsidRPr="00284652">
        <w:rPr>
          <w:szCs w:val="22"/>
        </w:rPr>
        <w:t xml:space="preserve">at </w:t>
      </w:r>
      <w:r w:rsidRPr="00284652">
        <w:rPr>
          <w:szCs w:val="22"/>
        </w:rPr>
        <w:t>$</w:t>
      </w:r>
      <w:r w:rsidR="002D571E">
        <w:rPr>
          <w:noProof/>
          <w:color w:val="000000"/>
          <w:szCs w:val="22"/>
          <w:highlight w:val="black"/>
        </w:rPr>
        <w:t>'''''''''''''''''''</w:t>
      </w:r>
      <w:r w:rsidRPr="00284652">
        <w:rPr>
          <w:szCs w:val="22"/>
        </w:rPr>
        <w:t xml:space="preserve"> and </w:t>
      </w:r>
      <w:r w:rsidR="002D571E">
        <w:rPr>
          <w:noProof/>
          <w:color w:val="000000"/>
          <w:szCs w:val="22"/>
          <w:highlight w:val="black"/>
        </w:rPr>
        <w:t>''''''</w:t>
      </w:r>
      <w:r w:rsidRPr="00284652">
        <w:rPr>
          <w:szCs w:val="22"/>
        </w:rPr>
        <w:t xml:space="preserve">% </w:t>
      </w:r>
      <w:r w:rsidR="001727E3" w:rsidRPr="00284652">
        <w:rPr>
          <w:szCs w:val="22"/>
        </w:rPr>
        <w:t>at</w:t>
      </w:r>
      <w:r w:rsidRPr="00284652">
        <w:rPr>
          <w:szCs w:val="22"/>
        </w:rPr>
        <w:t xml:space="preserve"> $</w:t>
      </w:r>
      <w:r w:rsidR="002D571E">
        <w:rPr>
          <w:noProof/>
          <w:color w:val="000000"/>
          <w:szCs w:val="22"/>
          <w:highlight w:val="black"/>
        </w:rPr>
        <w:t>''''''''''''''''''''''</w:t>
      </w:r>
      <w:r w:rsidRPr="00284652">
        <w:rPr>
          <w:szCs w:val="22"/>
        </w:rPr>
        <w:t>.</w:t>
      </w:r>
    </w:p>
    <w:p w:rsidR="00534165" w:rsidRPr="00284652" w:rsidRDefault="00534165" w:rsidP="00534165">
      <w:pPr>
        <w:pStyle w:val="ListParagraph"/>
        <w:widowControl/>
        <w:rPr>
          <w:szCs w:val="22"/>
        </w:rPr>
      </w:pPr>
    </w:p>
    <w:p w:rsidR="000F580D" w:rsidRPr="00284652" w:rsidRDefault="00534165" w:rsidP="00026AD3">
      <w:pPr>
        <w:rPr>
          <w:szCs w:val="22"/>
        </w:rPr>
      </w:pPr>
      <w:r w:rsidRPr="00284652">
        <w:rPr>
          <w:rFonts w:ascii="Arial" w:hAnsi="Arial"/>
          <w:i/>
          <w:sz w:val="22"/>
          <w:szCs w:val="22"/>
        </w:rPr>
        <w:t xml:space="preserve">For more detail on PBAC’s view, see section </w:t>
      </w:r>
      <w:r w:rsidR="004A5E01" w:rsidRPr="00284652">
        <w:rPr>
          <w:rFonts w:ascii="Arial" w:hAnsi="Arial"/>
          <w:i/>
          <w:sz w:val="22"/>
          <w:szCs w:val="22"/>
        </w:rPr>
        <w:t>5</w:t>
      </w:r>
      <w:r w:rsidRPr="00284652">
        <w:rPr>
          <w:rFonts w:ascii="Arial" w:hAnsi="Arial"/>
          <w:i/>
          <w:sz w:val="22"/>
          <w:szCs w:val="22"/>
        </w:rPr>
        <w:t xml:space="preserve"> “PBAC outcome”</w:t>
      </w:r>
    </w:p>
    <w:p w:rsidR="003872CF" w:rsidRDefault="003872CF" w:rsidP="00026AD3">
      <w:pPr>
        <w:rPr>
          <w:rFonts w:ascii="Arial" w:hAnsi="Arial"/>
          <w:sz w:val="22"/>
          <w:szCs w:val="22"/>
        </w:rPr>
      </w:pPr>
    </w:p>
    <w:p w:rsidR="00AA6C9D" w:rsidRPr="00284652" w:rsidRDefault="00AA6C9D" w:rsidP="00026AD3">
      <w:pPr>
        <w:rPr>
          <w:rFonts w:ascii="Arial" w:hAnsi="Arial"/>
          <w:sz w:val="22"/>
          <w:szCs w:val="22"/>
        </w:rPr>
      </w:pPr>
    </w:p>
    <w:p w:rsidR="00026AD3" w:rsidRPr="006B2F80" w:rsidRDefault="00026AD3" w:rsidP="006B2F80">
      <w:pPr>
        <w:pStyle w:val="PBACHeading1"/>
        <w:numPr>
          <w:ilvl w:val="0"/>
          <w:numId w:val="5"/>
        </w:numPr>
      </w:pPr>
      <w:r w:rsidRPr="006B2F80">
        <w:t>PBAC Outcome</w:t>
      </w:r>
    </w:p>
    <w:p w:rsidR="00026AD3" w:rsidRPr="00284652" w:rsidRDefault="00026AD3" w:rsidP="00026AD3">
      <w:pPr>
        <w:contextualSpacing/>
        <w:jc w:val="both"/>
        <w:rPr>
          <w:rFonts w:ascii="Arial" w:hAnsi="Arial" w:cs="Arial"/>
          <w:bCs/>
          <w:snapToGrid w:val="0"/>
          <w:sz w:val="22"/>
          <w:szCs w:val="22"/>
          <w:lang w:val="en-GB"/>
        </w:rPr>
      </w:pPr>
    </w:p>
    <w:p w:rsidR="00BC2461" w:rsidRPr="00284652" w:rsidRDefault="00BC2461" w:rsidP="00BC2461">
      <w:pPr>
        <w:pStyle w:val="ListParagraph"/>
        <w:widowControl/>
        <w:numPr>
          <w:ilvl w:val="1"/>
          <w:numId w:val="5"/>
        </w:numPr>
        <w:rPr>
          <w:szCs w:val="22"/>
        </w:rPr>
      </w:pPr>
      <w:r w:rsidRPr="00284652">
        <w:rPr>
          <w:szCs w:val="22"/>
        </w:rPr>
        <w:t xml:space="preserve">The PBAC did not recommend the listing of ibrutinib for the treatment of relapsed or refractory chronic lymphocytic leukaemia (CLL) or small lymphocytic lymphoma (SLL) because, </w:t>
      </w:r>
      <w:r w:rsidR="005A42C8" w:rsidRPr="00284652">
        <w:rPr>
          <w:szCs w:val="22"/>
        </w:rPr>
        <w:t xml:space="preserve">although the </w:t>
      </w:r>
      <w:r w:rsidR="00372D5B" w:rsidRPr="00284652">
        <w:rPr>
          <w:szCs w:val="22"/>
        </w:rPr>
        <w:t xml:space="preserve">new </w:t>
      </w:r>
      <w:r w:rsidR="005A42C8" w:rsidRPr="00284652">
        <w:rPr>
          <w:szCs w:val="22"/>
        </w:rPr>
        <w:t>submission proposed a reduction in the total expenditure caps for ibrutinib compared to the previous submission, and</w:t>
      </w:r>
      <w:r w:rsidR="00372D5B" w:rsidRPr="00284652">
        <w:rPr>
          <w:szCs w:val="22"/>
        </w:rPr>
        <w:t xml:space="preserve"> although</w:t>
      </w:r>
      <w:r w:rsidR="005A42C8" w:rsidRPr="00284652">
        <w:rPr>
          <w:szCs w:val="22"/>
        </w:rPr>
        <w:t xml:space="preserve"> that reduction would </w:t>
      </w:r>
      <w:r w:rsidR="001A2BED">
        <w:rPr>
          <w:szCs w:val="22"/>
        </w:rPr>
        <w:t xml:space="preserve">effectively </w:t>
      </w:r>
      <w:r w:rsidR="005A42C8" w:rsidRPr="00284652">
        <w:rPr>
          <w:szCs w:val="22"/>
        </w:rPr>
        <w:t>reduce</w:t>
      </w:r>
      <w:r w:rsidRPr="00284652">
        <w:rPr>
          <w:szCs w:val="22"/>
        </w:rPr>
        <w:t xml:space="preserve"> the incremental cost per quality adjusted life year (QALY) gained </w:t>
      </w:r>
      <w:r w:rsidR="005A42C8" w:rsidRPr="00284652">
        <w:rPr>
          <w:szCs w:val="22"/>
        </w:rPr>
        <w:t>in th</w:t>
      </w:r>
      <w:r w:rsidR="00372D5B" w:rsidRPr="00284652">
        <w:rPr>
          <w:szCs w:val="22"/>
        </w:rPr>
        <w:t xml:space="preserve">e event that usage </w:t>
      </w:r>
      <w:r w:rsidR="001A2BED">
        <w:rPr>
          <w:szCs w:val="22"/>
        </w:rPr>
        <w:t>exceeded</w:t>
      </w:r>
      <w:r w:rsidR="001A2BED" w:rsidRPr="00284652">
        <w:rPr>
          <w:szCs w:val="22"/>
        </w:rPr>
        <w:t xml:space="preserve"> </w:t>
      </w:r>
      <w:r w:rsidR="00372D5B" w:rsidRPr="00284652">
        <w:rPr>
          <w:szCs w:val="22"/>
        </w:rPr>
        <w:t>the level of the</w:t>
      </w:r>
      <w:r w:rsidR="005A42C8" w:rsidRPr="00284652">
        <w:rPr>
          <w:szCs w:val="22"/>
        </w:rPr>
        <w:t xml:space="preserve"> </w:t>
      </w:r>
      <w:r w:rsidR="00372D5B" w:rsidRPr="00284652">
        <w:rPr>
          <w:szCs w:val="22"/>
        </w:rPr>
        <w:t xml:space="preserve">new </w:t>
      </w:r>
      <w:r w:rsidR="005A42C8" w:rsidRPr="00284652">
        <w:rPr>
          <w:szCs w:val="22"/>
        </w:rPr>
        <w:t>caps, the cost-eff</w:t>
      </w:r>
      <w:r w:rsidR="00372D5B" w:rsidRPr="00284652">
        <w:rPr>
          <w:szCs w:val="22"/>
        </w:rPr>
        <w:t>ectiveness of treatment remained</w:t>
      </w:r>
      <w:r w:rsidR="005A42C8" w:rsidRPr="00284652">
        <w:rPr>
          <w:szCs w:val="22"/>
        </w:rPr>
        <w:t xml:space="preserve"> </w:t>
      </w:r>
      <w:r w:rsidRPr="00284652">
        <w:rPr>
          <w:szCs w:val="22"/>
        </w:rPr>
        <w:t xml:space="preserve">unacceptably high and uncertain. Additionally, the PBAC </w:t>
      </w:r>
      <w:r w:rsidR="005A42C8" w:rsidRPr="00284652">
        <w:rPr>
          <w:szCs w:val="22"/>
        </w:rPr>
        <w:t>remained of the view that</w:t>
      </w:r>
      <w:r w:rsidR="00372D5B" w:rsidRPr="00284652">
        <w:rPr>
          <w:szCs w:val="22"/>
        </w:rPr>
        <w:t>,</w:t>
      </w:r>
      <w:r w:rsidR="005A42C8" w:rsidRPr="00284652">
        <w:rPr>
          <w:szCs w:val="22"/>
        </w:rPr>
        <w:t xml:space="preserve"> </w:t>
      </w:r>
      <w:r w:rsidRPr="00284652">
        <w:rPr>
          <w:szCs w:val="22"/>
        </w:rPr>
        <w:t>a</w:t>
      </w:r>
      <w:r w:rsidR="005A42C8" w:rsidRPr="00284652">
        <w:rPr>
          <w:szCs w:val="22"/>
        </w:rPr>
        <w:t>t a</w:t>
      </w:r>
      <w:r w:rsidRPr="00284652">
        <w:rPr>
          <w:szCs w:val="22"/>
        </w:rPr>
        <w:t xml:space="preserve"> total net cost to the PBS of </w:t>
      </w:r>
      <w:r w:rsidR="00A36925">
        <w:rPr>
          <w:szCs w:val="22"/>
        </w:rPr>
        <w:t>more than $100 million</w:t>
      </w:r>
      <w:r w:rsidRPr="00284652">
        <w:rPr>
          <w:szCs w:val="22"/>
        </w:rPr>
        <w:t xml:space="preserve"> over the first 5 years of listing</w:t>
      </w:r>
      <w:r w:rsidR="005A42C8" w:rsidRPr="00284652">
        <w:rPr>
          <w:szCs w:val="22"/>
        </w:rPr>
        <w:t xml:space="preserve"> ibrutinib</w:t>
      </w:r>
      <w:r w:rsidR="00372D5B" w:rsidRPr="00284652">
        <w:rPr>
          <w:szCs w:val="22"/>
        </w:rPr>
        <w:t>,</w:t>
      </w:r>
      <w:r w:rsidRPr="00284652">
        <w:rPr>
          <w:szCs w:val="22"/>
        </w:rPr>
        <w:t xml:space="preserve"> there would</w:t>
      </w:r>
      <w:r w:rsidR="005A42C8" w:rsidRPr="00284652">
        <w:rPr>
          <w:szCs w:val="22"/>
        </w:rPr>
        <w:t xml:space="preserve"> be </w:t>
      </w:r>
      <w:r w:rsidRPr="00284652">
        <w:rPr>
          <w:szCs w:val="22"/>
        </w:rPr>
        <w:t xml:space="preserve">a significant opportunity cost to the Commonwealth. </w:t>
      </w:r>
    </w:p>
    <w:p w:rsidR="00BA4C11" w:rsidRPr="00284652" w:rsidRDefault="00BA4C11" w:rsidP="00BA4C11">
      <w:pPr>
        <w:pStyle w:val="ListParagraph"/>
        <w:widowControl/>
        <w:rPr>
          <w:szCs w:val="22"/>
        </w:rPr>
      </w:pPr>
    </w:p>
    <w:p w:rsidR="00123250" w:rsidRPr="00284652" w:rsidRDefault="00123250">
      <w:pPr>
        <w:pStyle w:val="ListParagraph"/>
        <w:widowControl/>
        <w:numPr>
          <w:ilvl w:val="1"/>
          <w:numId w:val="5"/>
        </w:numPr>
        <w:rPr>
          <w:szCs w:val="22"/>
        </w:rPr>
      </w:pPr>
      <w:r w:rsidRPr="004209B1">
        <w:rPr>
          <w:snapToGrid/>
          <w:szCs w:val="22"/>
        </w:rPr>
        <w:t xml:space="preserve">The PBAC recalled its previous </w:t>
      </w:r>
      <w:r w:rsidR="00BA4C11" w:rsidRPr="004209B1">
        <w:rPr>
          <w:snapToGrid/>
          <w:szCs w:val="22"/>
        </w:rPr>
        <w:t xml:space="preserve">clinical advice that ibrutinib is an effective treatment for CLL and SLL based on the results of the RESONATE trial and that the broader </w:t>
      </w:r>
      <w:r w:rsidR="00372D5B" w:rsidRPr="00284652">
        <w:rPr>
          <w:szCs w:val="22"/>
        </w:rPr>
        <w:t>PBS restriction</w:t>
      </w:r>
      <w:r w:rsidR="00BA4C11" w:rsidRPr="004209B1">
        <w:rPr>
          <w:snapToGrid/>
          <w:szCs w:val="22"/>
        </w:rPr>
        <w:t xml:space="preserve"> </w:t>
      </w:r>
      <w:r w:rsidR="00372D5B" w:rsidRPr="004209B1">
        <w:rPr>
          <w:snapToGrid/>
          <w:szCs w:val="22"/>
        </w:rPr>
        <w:t xml:space="preserve">for use as monotherapy, in patients with a WHO performance status of 0 or </w:t>
      </w:r>
      <w:r w:rsidR="004209B1">
        <w:rPr>
          <w:szCs w:val="22"/>
        </w:rPr>
        <w:t>1</w:t>
      </w:r>
      <w:r w:rsidR="00372D5B" w:rsidRPr="00284652">
        <w:rPr>
          <w:szCs w:val="22"/>
        </w:rPr>
        <w:t>;</w:t>
      </w:r>
      <w:r w:rsidR="004209B1">
        <w:rPr>
          <w:szCs w:val="22"/>
        </w:rPr>
        <w:t xml:space="preserve"> </w:t>
      </w:r>
      <w:r w:rsidR="00372D5B" w:rsidRPr="00284652">
        <w:rPr>
          <w:szCs w:val="22"/>
        </w:rPr>
        <w:t xml:space="preserve">who </w:t>
      </w:r>
      <w:r w:rsidR="00372D5B" w:rsidRPr="004209B1">
        <w:rPr>
          <w:szCs w:val="22"/>
        </w:rPr>
        <w:t xml:space="preserve">have relapsed </w:t>
      </w:r>
      <w:r w:rsidR="00372D5B" w:rsidRPr="00284652">
        <w:rPr>
          <w:szCs w:val="22"/>
        </w:rPr>
        <w:t>or are</w:t>
      </w:r>
      <w:r w:rsidR="00372D5B" w:rsidRPr="004209B1">
        <w:rPr>
          <w:szCs w:val="22"/>
        </w:rPr>
        <w:t xml:space="preserve"> refractory to at least one prior therapy; and who are unsuitable for treatment or retreatment with a purine analogue, is appropriate.</w:t>
      </w:r>
    </w:p>
    <w:p w:rsidR="00026AD3" w:rsidRPr="00284652" w:rsidRDefault="00026AD3" w:rsidP="00026AD3">
      <w:pPr>
        <w:widowControl w:val="0"/>
        <w:ind w:left="720"/>
        <w:contextualSpacing/>
        <w:jc w:val="both"/>
        <w:rPr>
          <w:rFonts w:ascii="Arial" w:hAnsi="Arial" w:cs="Arial"/>
          <w:bCs/>
          <w:snapToGrid w:val="0"/>
          <w:sz w:val="22"/>
          <w:szCs w:val="22"/>
          <w:lang w:val="en-GB"/>
        </w:rPr>
      </w:pPr>
    </w:p>
    <w:p w:rsidR="00F8311C" w:rsidRPr="00284652" w:rsidRDefault="00026AD3" w:rsidP="00026AD3">
      <w:pPr>
        <w:widowControl w:val="0"/>
        <w:numPr>
          <w:ilvl w:val="1"/>
          <w:numId w:val="5"/>
        </w:numPr>
        <w:contextualSpacing/>
        <w:jc w:val="both"/>
        <w:rPr>
          <w:rFonts w:ascii="Arial" w:hAnsi="Arial" w:cs="Arial"/>
          <w:bCs/>
          <w:snapToGrid w:val="0"/>
          <w:sz w:val="22"/>
          <w:szCs w:val="22"/>
          <w:lang w:val="en-GB"/>
        </w:rPr>
      </w:pPr>
      <w:r w:rsidRPr="00284652">
        <w:rPr>
          <w:rFonts w:ascii="Arial" w:hAnsi="Arial" w:cs="Arial"/>
          <w:bCs/>
          <w:snapToGrid w:val="0"/>
          <w:sz w:val="22"/>
          <w:szCs w:val="22"/>
          <w:lang w:val="en-GB"/>
        </w:rPr>
        <w:t>The PBAC</w:t>
      </w:r>
      <w:r w:rsidR="00BC2461" w:rsidRPr="00284652">
        <w:rPr>
          <w:rFonts w:ascii="Arial" w:hAnsi="Arial" w:cs="Arial"/>
          <w:bCs/>
          <w:snapToGrid w:val="0"/>
          <w:sz w:val="22"/>
          <w:szCs w:val="22"/>
          <w:lang w:val="en-GB"/>
        </w:rPr>
        <w:t xml:space="preserve"> recalled </w:t>
      </w:r>
      <w:r w:rsidR="00123250" w:rsidRPr="00284652">
        <w:rPr>
          <w:rFonts w:ascii="Arial" w:hAnsi="Arial" w:cs="Arial"/>
          <w:bCs/>
          <w:snapToGrid w:val="0"/>
          <w:sz w:val="22"/>
          <w:szCs w:val="22"/>
          <w:lang w:val="en-GB"/>
        </w:rPr>
        <w:t xml:space="preserve">its previous advice from August 2016 that the incremental benefit of ibrutinib over its comparator (chlorambucil plus rituximab) as estimated in the economic model remained uncertain. </w:t>
      </w:r>
      <w:r w:rsidR="007C56FD">
        <w:rPr>
          <w:rFonts w:ascii="Arial" w:hAnsi="Arial" w:cs="Arial"/>
          <w:bCs/>
          <w:snapToGrid w:val="0"/>
          <w:sz w:val="22"/>
          <w:szCs w:val="22"/>
          <w:lang w:val="en-GB"/>
        </w:rPr>
        <w:t>A key driver of t</w:t>
      </w:r>
      <w:r w:rsidR="00123250" w:rsidRPr="00284652">
        <w:rPr>
          <w:rFonts w:ascii="Arial" w:hAnsi="Arial" w:cs="Arial"/>
          <w:bCs/>
          <w:snapToGrid w:val="0"/>
          <w:sz w:val="22"/>
          <w:szCs w:val="22"/>
          <w:lang w:val="en-GB"/>
        </w:rPr>
        <w:t xml:space="preserve">his uncertainty </w:t>
      </w:r>
      <w:r w:rsidR="007C56FD">
        <w:rPr>
          <w:rFonts w:ascii="Arial" w:hAnsi="Arial" w:cs="Arial"/>
          <w:bCs/>
          <w:snapToGrid w:val="0"/>
          <w:sz w:val="22"/>
          <w:szCs w:val="22"/>
          <w:lang w:val="en-GB"/>
        </w:rPr>
        <w:t xml:space="preserve">was the </w:t>
      </w:r>
      <w:r w:rsidR="00123250" w:rsidRPr="00284652">
        <w:rPr>
          <w:rFonts w:ascii="Arial" w:hAnsi="Arial" w:cs="Arial"/>
          <w:bCs/>
          <w:snapToGrid w:val="0"/>
          <w:sz w:val="22"/>
          <w:szCs w:val="22"/>
          <w:lang w:val="en-GB"/>
        </w:rPr>
        <w:t xml:space="preserve">large proportion of the </w:t>
      </w:r>
      <w:r w:rsidR="00BA4C11" w:rsidRPr="00284652">
        <w:rPr>
          <w:rFonts w:ascii="Arial" w:hAnsi="Arial" w:cs="Arial"/>
          <w:bCs/>
          <w:snapToGrid w:val="0"/>
          <w:sz w:val="22"/>
          <w:szCs w:val="22"/>
          <w:lang w:val="en-GB"/>
        </w:rPr>
        <w:t>estimated survival gain wa</w:t>
      </w:r>
      <w:r w:rsidR="00123250" w:rsidRPr="00284652">
        <w:rPr>
          <w:rFonts w:ascii="Arial" w:hAnsi="Arial" w:cs="Arial"/>
          <w:bCs/>
          <w:snapToGrid w:val="0"/>
          <w:sz w:val="22"/>
          <w:szCs w:val="22"/>
          <w:lang w:val="en-GB"/>
        </w:rPr>
        <w:t>s from the extrapolated part of the survival curves</w:t>
      </w:r>
      <w:r w:rsidR="007C56FD">
        <w:rPr>
          <w:rFonts w:ascii="Arial" w:hAnsi="Arial" w:cs="Arial"/>
          <w:bCs/>
          <w:snapToGrid w:val="0"/>
          <w:sz w:val="22"/>
          <w:szCs w:val="22"/>
          <w:lang w:val="en-GB"/>
        </w:rPr>
        <w:t xml:space="preserve"> (</w:t>
      </w:r>
      <w:r w:rsidR="002D571E">
        <w:rPr>
          <w:rFonts w:ascii="Arial" w:hAnsi="Arial" w:cs="Arial"/>
          <w:bCs/>
          <w:noProof/>
          <w:snapToGrid w:val="0"/>
          <w:color w:val="000000"/>
          <w:sz w:val="22"/>
          <w:szCs w:val="22"/>
          <w:highlight w:val="black"/>
          <w:lang w:val="en-GB"/>
        </w:rPr>
        <w:t>'''''''''' '''''''''' ''''' ''''''''''''''''''''''''''' '''''''''' '''''''''''' '''''''''''''''''''''''''''''''''''''''</w:t>
      </w:r>
      <w:r w:rsidR="007C56FD">
        <w:rPr>
          <w:rFonts w:ascii="Arial" w:hAnsi="Arial" w:cs="Arial"/>
          <w:bCs/>
          <w:snapToGrid w:val="0"/>
          <w:sz w:val="22"/>
          <w:szCs w:val="22"/>
          <w:lang w:val="en-GB"/>
        </w:rPr>
        <w:t xml:space="preserve"> when the model is truncated at 10 years</w:t>
      </w:r>
      <w:r w:rsidR="007C56FD" w:rsidRPr="00284652">
        <w:rPr>
          <w:rFonts w:ascii="Arial" w:hAnsi="Arial" w:cs="Arial"/>
          <w:bCs/>
          <w:snapToGrid w:val="0"/>
          <w:sz w:val="22"/>
          <w:szCs w:val="22"/>
          <w:lang w:val="en-GB"/>
        </w:rPr>
        <w:t>)</w:t>
      </w:r>
      <w:r w:rsidR="00123250" w:rsidRPr="00284652">
        <w:rPr>
          <w:rFonts w:ascii="Arial" w:hAnsi="Arial" w:cs="Arial"/>
          <w:bCs/>
          <w:snapToGrid w:val="0"/>
          <w:sz w:val="22"/>
          <w:szCs w:val="22"/>
          <w:lang w:val="en-GB"/>
        </w:rPr>
        <w:t xml:space="preserve">. As a result, the extent of benefit </w:t>
      </w:r>
      <w:r w:rsidR="00BA4C11" w:rsidRPr="00284652">
        <w:rPr>
          <w:rFonts w:ascii="Arial" w:hAnsi="Arial" w:cs="Arial"/>
          <w:bCs/>
          <w:snapToGrid w:val="0"/>
          <w:sz w:val="22"/>
          <w:szCs w:val="22"/>
          <w:lang w:val="en-GB"/>
        </w:rPr>
        <w:t>wa</w:t>
      </w:r>
      <w:r w:rsidR="00123250" w:rsidRPr="00284652">
        <w:rPr>
          <w:rFonts w:ascii="Arial" w:hAnsi="Arial" w:cs="Arial"/>
          <w:bCs/>
          <w:snapToGrid w:val="0"/>
          <w:sz w:val="22"/>
          <w:szCs w:val="22"/>
          <w:lang w:val="en-GB"/>
        </w:rPr>
        <w:t xml:space="preserve">s highly influenced by the approach taken to extrapolate the survival </w:t>
      </w:r>
      <w:r w:rsidR="001A6540" w:rsidRPr="00284652">
        <w:rPr>
          <w:rFonts w:ascii="Arial" w:hAnsi="Arial" w:cs="Arial"/>
          <w:bCs/>
          <w:snapToGrid w:val="0"/>
          <w:sz w:val="22"/>
          <w:szCs w:val="22"/>
          <w:lang w:val="en-GB"/>
        </w:rPr>
        <w:t>curves</w:t>
      </w:r>
      <w:r w:rsidR="00123250" w:rsidRPr="00284652">
        <w:rPr>
          <w:rFonts w:ascii="Arial" w:hAnsi="Arial" w:cs="Arial"/>
          <w:bCs/>
          <w:snapToGrid w:val="0"/>
          <w:sz w:val="22"/>
          <w:szCs w:val="22"/>
          <w:lang w:val="en-GB"/>
        </w:rPr>
        <w:t xml:space="preserve"> and in particular th</w:t>
      </w:r>
      <w:r w:rsidR="00BA4C11" w:rsidRPr="00284652">
        <w:rPr>
          <w:rFonts w:ascii="Arial" w:hAnsi="Arial" w:cs="Arial"/>
          <w:bCs/>
          <w:snapToGrid w:val="0"/>
          <w:sz w:val="22"/>
          <w:szCs w:val="22"/>
          <w:lang w:val="en-GB"/>
        </w:rPr>
        <w:t>e period over which the curves we</w:t>
      </w:r>
      <w:r w:rsidR="00123250" w:rsidRPr="00284652">
        <w:rPr>
          <w:rFonts w:ascii="Arial" w:hAnsi="Arial" w:cs="Arial"/>
          <w:bCs/>
          <w:snapToGrid w:val="0"/>
          <w:sz w:val="22"/>
          <w:szCs w:val="22"/>
          <w:lang w:val="en-GB"/>
        </w:rPr>
        <w:t>re converged</w:t>
      </w:r>
      <w:r w:rsidR="00F8311C" w:rsidRPr="00284652">
        <w:rPr>
          <w:rFonts w:ascii="Arial" w:hAnsi="Arial" w:cs="Arial"/>
          <w:bCs/>
          <w:snapToGrid w:val="0"/>
          <w:sz w:val="22"/>
          <w:szCs w:val="22"/>
          <w:lang w:val="en-GB"/>
        </w:rPr>
        <w:t xml:space="preserve"> (see figures 1 an</w:t>
      </w:r>
      <w:r w:rsidR="006E2228" w:rsidRPr="00284652">
        <w:rPr>
          <w:rFonts w:ascii="Arial" w:hAnsi="Arial" w:cs="Arial"/>
          <w:bCs/>
          <w:snapToGrid w:val="0"/>
          <w:sz w:val="22"/>
          <w:szCs w:val="22"/>
          <w:lang w:val="en-GB"/>
        </w:rPr>
        <w:t>d 2)</w:t>
      </w:r>
      <w:r w:rsidR="009272DD">
        <w:rPr>
          <w:rFonts w:ascii="Arial" w:hAnsi="Arial" w:cs="Arial"/>
          <w:bCs/>
          <w:snapToGrid w:val="0"/>
          <w:sz w:val="22"/>
          <w:szCs w:val="22"/>
          <w:lang w:val="en-GB"/>
        </w:rPr>
        <w:t>.</w:t>
      </w:r>
    </w:p>
    <w:p w:rsidR="00F706AF" w:rsidRDefault="00F706AF">
      <w:pPr>
        <w:rPr>
          <w:rFonts w:ascii="Arial" w:hAnsi="Arial" w:cs="Arial"/>
          <w:bCs/>
          <w:snapToGrid w:val="0"/>
          <w:sz w:val="22"/>
          <w:szCs w:val="22"/>
          <w:lang w:val="en-GB" w:eastAsia="en-US"/>
        </w:rPr>
      </w:pPr>
      <w:r>
        <w:rPr>
          <w:bCs/>
          <w:szCs w:val="22"/>
          <w:lang w:val="en-GB"/>
        </w:rPr>
        <w:br w:type="page"/>
      </w:r>
    </w:p>
    <w:p w:rsidR="00F8311C" w:rsidRPr="00284652" w:rsidRDefault="00F8311C" w:rsidP="00F8311C">
      <w:pPr>
        <w:pStyle w:val="ListParagraph"/>
        <w:rPr>
          <w:bCs/>
          <w:szCs w:val="22"/>
          <w:lang w:val="en-GB"/>
        </w:rPr>
      </w:pPr>
      <w:r w:rsidRPr="00284652">
        <w:rPr>
          <w:bCs/>
          <w:szCs w:val="22"/>
          <w:lang w:val="en-GB"/>
        </w:rPr>
        <w:t>Figure 1: Convergence of OS over 25 years</w:t>
      </w:r>
    </w:p>
    <w:p w:rsidR="00F8311C" w:rsidRPr="00284652" w:rsidRDefault="002D571E" w:rsidP="00F8311C">
      <w:pPr>
        <w:pStyle w:val="ListParagraph"/>
        <w:rPr>
          <w:bCs/>
          <w:szCs w:val="22"/>
          <w:lang w:val="en-GB"/>
        </w:rPr>
      </w:pPr>
      <w:r>
        <w:rPr>
          <w:bCs/>
          <w:noProof/>
          <w:snapToGrid/>
          <w:szCs w:val="22"/>
          <w:lang w:eastAsia="en-AU"/>
        </w:rPr>
        <w:drawing>
          <wp:inline distT="0" distB="0" distL="0" distR="0" wp14:anchorId="324A3191" wp14:editId="635C4591">
            <wp:extent cx="5730875" cy="3761740"/>
            <wp:effectExtent l="0" t="0" r="3175" b="0"/>
            <wp:docPr id="4" name="Picture 4" title="Convergence of overall survival over 25 years [Redac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0875" cy="3761740"/>
                    </a:xfrm>
                    <a:prstGeom prst="rect">
                      <a:avLst/>
                    </a:prstGeom>
                  </pic:spPr>
                </pic:pic>
              </a:graphicData>
            </a:graphic>
          </wp:inline>
        </w:drawing>
      </w:r>
      <w:r w:rsidR="00F8311C" w:rsidRPr="00284652">
        <w:rPr>
          <w:bCs/>
          <w:szCs w:val="22"/>
          <w:lang w:val="en-GB"/>
        </w:rPr>
        <w:t xml:space="preserve"> </w:t>
      </w:r>
    </w:p>
    <w:p w:rsidR="00F8311C" w:rsidRPr="00284652" w:rsidRDefault="00F8311C" w:rsidP="00F8311C">
      <w:pPr>
        <w:pStyle w:val="ListParagraph"/>
        <w:rPr>
          <w:bCs/>
          <w:szCs w:val="22"/>
          <w:lang w:val="en-GB"/>
        </w:rPr>
      </w:pPr>
      <w:r w:rsidRPr="00284652">
        <w:rPr>
          <w:bCs/>
          <w:szCs w:val="22"/>
          <w:lang w:val="en-GB"/>
        </w:rPr>
        <w:t>Figure 2: Convergence of OS over 10 years</w:t>
      </w:r>
    </w:p>
    <w:p w:rsidR="00F8311C" w:rsidRPr="00284652" w:rsidRDefault="00F8311C" w:rsidP="00F8311C">
      <w:pPr>
        <w:pStyle w:val="ListParagraph"/>
        <w:rPr>
          <w:bCs/>
          <w:szCs w:val="22"/>
          <w:lang w:val="en-GB"/>
        </w:rPr>
      </w:pPr>
      <w:r w:rsidRPr="00284652">
        <w:rPr>
          <w:bCs/>
          <w:szCs w:val="22"/>
          <w:lang w:val="en-GB"/>
        </w:rPr>
        <w:t xml:space="preserve"> </w:t>
      </w:r>
      <w:r w:rsidR="002D571E">
        <w:rPr>
          <w:bCs/>
          <w:noProof/>
          <w:snapToGrid/>
          <w:szCs w:val="22"/>
          <w:lang w:eastAsia="en-AU"/>
        </w:rPr>
        <w:drawing>
          <wp:inline distT="0" distB="0" distL="0" distR="0" wp14:anchorId="65E5A6DD" wp14:editId="363F484C">
            <wp:extent cx="5717540" cy="3820160"/>
            <wp:effectExtent l="0" t="0" r="0" b="8890"/>
            <wp:docPr id="3" name="Picture 3" title="Convergence of overall survival over 10 years [redac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17540" cy="3820160"/>
                    </a:xfrm>
                    <a:prstGeom prst="rect">
                      <a:avLst/>
                    </a:prstGeom>
                  </pic:spPr>
                </pic:pic>
              </a:graphicData>
            </a:graphic>
          </wp:inline>
        </w:drawing>
      </w:r>
    </w:p>
    <w:p w:rsidR="008B4B50" w:rsidRDefault="008B4B50">
      <w:pPr>
        <w:rPr>
          <w:rFonts w:ascii="Arial" w:hAnsi="Arial" w:cs="Arial"/>
          <w:bCs/>
          <w:snapToGrid w:val="0"/>
          <w:sz w:val="22"/>
          <w:szCs w:val="22"/>
          <w:lang w:val="en-GB"/>
        </w:rPr>
      </w:pPr>
      <w:r>
        <w:rPr>
          <w:rFonts w:ascii="Arial" w:hAnsi="Arial" w:cs="Arial"/>
          <w:bCs/>
          <w:snapToGrid w:val="0"/>
          <w:sz w:val="22"/>
          <w:szCs w:val="22"/>
          <w:lang w:val="en-GB"/>
        </w:rPr>
        <w:br w:type="page"/>
      </w:r>
    </w:p>
    <w:p w:rsidR="003E6873" w:rsidRPr="00284652" w:rsidRDefault="006E2228">
      <w:pPr>
        <w:widowControl w:val="0"/>
        <w:numPr>
          <w:ilvl w:val="1"/>
          <w:numId w:val="5"/>
        </w:numPr>
        <w:contextualSpacing/>
        <w:jc w:val="both"/>
        <w:rPr>
          <w:rFonts w:ascii="Arial" w:hAnsi="Arial" w:cs="Arial"/>
          <w:bCs/>
          <w:snapToGrid w:val="0"/>
          <w:sz w:val="22"/>
          <w:szCs w:val="22"/>
          <w:lang w:val="en-GB"/>
        </w:rPr>
      </w:pPr>
      <w:r w:rsidRPr="00284652">
        <w:rPr>
          <w:rFonts w:ascii="Arial" w:hAnsi="Arial" w:cs="Arial"/>
          <w:bCs/>
          <w:snapToGrid w:val="0"/>
          <w:sz w:val="22"/>
          <w:szCs w:val="22"/>
          <w:lang w:val="en-GB"/>
        </w:rPr>
        <w:t xml:space="preserve">The PBAC also recalled that </w:t>
      </w:r>
      <w:r w:rsidR="003E6873" w:rsidRPr="00284652">
        <w:rPr>
          <w:rFonts w:ascii="Arial" w:hAnsi="Arial" w:cs="Arial"/>
          <w:bCs/>
          <w:snapToGrid w:val="0"/>
          <w:sz w:val="22"/>
          <w:szCs w:val="22"/>
          <w:lang w:val="en-GB"/>
        </w:rPr>
        <w:t>in November 2015, it had considered an effective ex-manufacturer price of $</w:t>
      </w:r>
      <w:r w:rsidR="002D571E">
        <w:rPr>
          <w:rFonts w:ascii="Arial" w:hAnsi="Arial" w:cs="Arial"/>
          <w:bCs/>
          <w:noProof/>
          <w:snapToGrid w:val="0"/>
          <w:color w:val="000000"/>
          <w:sz w:val="22"/>
          <w:szCs w:val="22"/>
          <w:highlight w:val="black"/>
          <w:lang w:val="en-GB"/>
        </w:rPr>
        <w:t>'''''''''''''''''''</w:t>
      </w:r>
      <w:r w:rsidR="003E6873" w:rsidRPr="00284652">
        <w:rPr>
          <w:rFonts w:ascii="Arial" w:hAnsi="Arial" w:cs="Arial"/>
          <w:bCs/>
          <w:snapToGrid w:val="0"/>
          <w:sz w:val="22"/>
          <w:szCs w:val="22"/>
          <w:lang w:val="en-GB"/>
        </w:rPr>
        <w:t xml:space="preserve"> to represent a cost-effective price, however in subsequent deliberations the PBAC had noted this price only gave an acceptable cost per QALY gained (</w:t>
      </w:r>
      <w:r w:rsidR="00A36925">
        <w:rPr>
          <w:rFonts w:ascii="Arial" w:hAnsi="Arial" w:cs="Arial"/>
          <w:bCs/>
          <w:snapToGrid w:val="0"/>
          <w:sz w:val="22"/>
          <w:szCs w:val="22"/>
          <w:lang w:val="en-GB"/>
        </w:rPr>
        <w:t>$45,000 - $75,000</w:t>
      </w:r>
      <w:r w:rsidR="003E6873" w:rsidRPr="00284652">
        <w:rPr>
          <w:rFonts w:ascii="Arial" w:hAnsi="Arial" w:cs="Arial"/>
          <w:bCs/>
          <w:snapToGrid w:val="0"/>
          <w:sz w:val="22"/>
          <w:szCs w:val="22"/>
          <w:lang w:val="en-GB"/>
        </w:rPr>
        <w:t>) if the overall survival curves were assumed to converge over 25 years.  If the survival curves were assumed to converge over 10 years, then at a price of $</w:t>
      </w:r>
      <w:r w:rsidR="002D571E">
        <w:rPr>
          <w:rFonts w:ascii="Arial" w:hAnsi="Arial" w:cs="Arial"/>
          <w:bCs/>
          <w:noProof/>
          <w:snapToGrid w:val="0"/>
          <w:color w:val="000000"/>
          <w:sz w:val="22"/>
          <w:szCs w:val="22"/>
          <w:highlight w:val="black"/>
          <w:lang w:val="en-GB"/>
        </w:rPr>
        <w:t>''''''''''''''''''''''</w:t>
      </w:r>
      <w:r w:rsidR="003E6873" w:rsidRPr="00284652">
        <w:rPr>
          <w:rFonts w:ascii="Arial" w:hAnsi="Arial" w:cs="Arial"/>
          <w:bCs/>
          <w:snapToGrid w:val="0"/>
          <w:sz w:val="22"/>
          <w:szCs w:val="22"/>
          <w:lang w:val="en-GB"/>
        </w:rPr>
        <w:t xml:space="preserve">, the cost per QALY gained was </w:t>
      </w:r>
      <w:r w:rsidR="00A36925">
        <w:rPr>
          <w:rFonts w:ascii="Arial" w:hAnsi="Arial" w:cs="Arial"/>
          <w:bCs/>
          <w:snapToGrid w:val="0"/>
          <w:sz w:val="22"/>
          <w:szCs w:val="22"/>
          <w:lang w:val="en-GB"/>
        </w:rPr>
        <w:t>$75,000 - $105,000</w:t>
      </w:r>
      <w:r w:rsidR="003E6873" w:rsidRPr="00284652">
        <w:rPr>
          <w:rFonts w:ascii="Arial" w:hAnsi="Arial" w:cs="Arial"/>
          <w:bCs/>
          <w:snapToGrid w:val="0"/>
          <w:sz w:val="22"/>
          <w:szCs w:val="22"/>
          <w:lang w:val="en-GB"/>
        </w:rPr>
        <w:t>.  The PBAC recalled it had noted at that time that the large difference in ratios that result from the different approaches taken to convergence highlight that the cost-effectiveness ratios for ibrutinib are imprecise and hence uncertain.</w:t>
      </w:r>
    </w:p>
    <w:p w:rsidR="003E6873" w:rsidRPr="00284652" w:rsidRDefault="003E6873" w:rsidP="004209B1">
      <w:pPr>
        <w:widowControl w:val="0"/>
        <w:ind w:left="720"/>
        <w:contextualSpacing/>
        <w:jc w:val="both"/>
        <w:rPr>
          <w:rFonts w:ascii="Arial" w:hAnsi="Arial" w:cs="Arial"/>
          <w:bCs/>
          <w:snapToGrid w:val="0"/>
          <w:sz w:val="22"/>
          <w:szCs w:val="22"/>
          <w:lang w:val="en-GB"/>
        </w:rPr>
      </w:pPr>
    </w:p>
    <w:p w:rsidR="00FF0314" w:rsidRPr="00284652" w:rsidRDefault="00FF0314">
      <w:pPr>
        <w:widowControl w:val="0"/>
        <w:numPr>
          <w:ilvl w:val="1"/>
          <w:numId w:val="5"/>
        </w:numPr>
        <w:contextualSpacing/>
        <w:jc w:val="both"/>
        <w:rPr>
          <w:rFonts w:ascii="Arial" w:hAnsi="Arial" w:cs="Arial"/>
          <w:bCs/>
          <w:snapToGrid w:val="0"/>
          <w:sz w:val="22"/>
          <w:szCs w:val="22"/>
          <w:lang w:val="en-GB"/>
        </w:rPr>
      </w:pPr>
      <w:r w:rsidRPr="00284652">
        <w:rPr>
          <w:rFonts w:ascii="Arial" w:hAnsi="Arial" w:cs="Arial"/>
          <w:bCs/>
          <w:snapToGrid w:val="0"/>
          <w:sz w:val="22"/>
          <w:szCs w:val="22"/>
          <w:lang w:val="en-GB"/>
        </w:rPr>
        <w:t xml:space="preserve">The </w:t>
      </w:r>
      <w:r w:rsidR="006B75FC" w:rsidRPr="00284652">
        <w:rPr>
          <w:rFonts w:ascii="Arial" w:hAnsi="Arial" w:cs="Arial"/>
          <w:bCs/>
          <w:snapToGrid w:val="0"/>
          <w:sz w:val="22"/>
          <w:szCs w:val="22"/>
          <w:lang w:val="en-GB"/>
        </w:rPr>
        <w:t xml:space="preserve">PBAC </w:t>
      </w:r>
      <w:r w:rsidR="003E6873" w:rsidRPr="00284652">
        <w:rPr>
          <w:rFonts w:ascii="Arial" w:hAnsi="Arial" w:cs="Arial"/>
          <w:bCs/>
          <w:snapToGrid w:val="0"/>
          <w:sz w:val="22"/>
          <w:szCs w:val="22"/>
          <w:lang w:val="en-GB"/>
        </w:rPr>
        <w:t xml:space="preserve">acknowledged </w:t>
      </w:r>
      <w:r w:rsidR="006B75FC" w:rsidRPr="00284652">
        <w:rPr>
          <w:rFonts w:ascii="Arial" w:hAnsi="Arial" w:cs="Arial"/>
          <w:bCs/>
          <w:snapToGrid w:val="0"/>
          <w:sz w:val="22"/>
          <w:szCs w:val="22"/>
          <w:lang w:val="en-GB"/>
        </w:rPr>
        <w:t xml:space="preserve">that the </w:t>
      </w:r>
      <w:r w:rsidRPr="00284652">
        <w:rPr>
          <w:rFonts w:ascii="Arial" w:hAnsi="Arial" w:cs="Arial"/>
          <w:bCs/>
          <w:snapToGrid w:val="0"/>
          <w:sz w:val="22"/>
          <w:szCs w:val="22"/>
          <w:lang w:val="en-GB"/>
        </w:rPr>
        <w:t xml:space="preserve">sponsor proposed </w:t>
      </w:r>
      <w:r w:rsidR="006B75FC" w:rsidRPr="00284652">
        <w:rPr>
          <w:rFonts w:ascii="Arial" w:hAnsi="Arial" w:cs="Arial"/>
          <w:bCs/>
          <w:snapToGrid w:val="0"/>
          <w:sz w:val="22"/>
          <w:szCs w:val="22"/>
          <w:lang w:val="en-GB"/>
        </w:rPr>
        <w:t>a</w:t>
      </w:r>
      <w:r w:rsidR="00AD1187" w:rsidRPr="00284652">
        <w:rPr>
          <w:rFonts w:ascii="Arial" w:hAnsi="Arial" w:cs="Arial"/>
          <w:bCs/>
          <w:snapToGrid w:val="0"/>
          <w:sz w:val="22"/>
          <w:szCs w:val="22"/>
          <w:lang w:val="en-GB"/>
        </w:rPr>
        <w:t xml:space="preserve"> reduction in the expenditure caps in the</w:t>
      </w:r>
      <w:r w:rsidRPr="00284652">
        <w:rPr>
          <w:rFonts w:ascii="Arial" w:hAnsi="Arial" w:cs="Arial"/>
          <w:bCs/>
          <w:snapToGrid w:val="0"/>
          <w:sz w:val="22"/>
          <w:szCs w:val="22"/>
          <w:lang w:val="en-GB"/>
        </w:rPr>
        <w:t xml:space="preserve"> risk share arrangement </w:t>
      </w:r>
      <w:r w:rsidR="00AD1187" w:rsidRPr="00284652">
        <w:rPr>
          <w:rFonts w:ascii="Arial" w:hAnsi="Arial" w:cs="Arial"/>
          <w:bCs/>
          <w:snapToGrid w:val="0"/>
          <w:sz w:val="22"/>
          <w:szCs w:val="22"/>
          <w:lang w:val="en-GB"/>
        </w:rPr>
        <w:t>compared with</w:t>
      </w:r>
      <w:r w:rsidR="006B75FC" w:rsidRPr="00284652">
        <w:rPr>
          <w:rFonts w:ascii="Arial" w:hAnsi="Arial" w:cs="Arial"/>
          <w:bCs/>
          <w:snapToGrid w:val="0"/>
          <w:sz w:val="22"/>
          <w:szCs w:val="22"/>
          <w:lang w:val="en-GB"/>
        </w:rPr>
        <w:t xml:space="preserve"> the August 2016 submission </w:t>
      </w:r>
      <w:r w:rsidR="00AD1187" w:rsidRPr="00284652">
        <w:rPr>
          <w:rFonts w:ascii="Arial" w:hAnsi="Arial" w:cs="Arial"/>
          <w:bCs/>
          <w:snapToGrid w:val="0"/>
          <w:sz w:val="22"/>
          <w:szCs w:val="22"/>
          <w:lang w:val="en-GB"/>
        </w:rPr>
        <w:t xml:space="preserve">which resulted in </w:t>
      </w:r>
      <w:r w:rsidR="006B75FC" w:rsidRPr="00284652">
        <w:rPr>
          <w:rFonts w:ascii="Arial" w:hAnsi="Arial" w:cs="Arial"/>
          <w:bCs/>
          <w:snapToGrid w:val="0"/>
          <w:sz w:val="22"/>
          <w:szCs w:val="22"/>
          <w:lang w:val="en-GB"/>
        </w:rPr>
        <w:t xml:space="preserve">an approximately </w:t>
      </w:r>
      <w:r w:rsidR="002D571E">
        <w:rPr>
          <w:rFonts w:ascii="Arial" w:hAnsi="Arial" w:cs="Arial"/>
          <w:bCs/>
          <w:noProof/>
          <w:snapToGrid w:val="0"/>
          <w:color w:val="000000"/>
          <w:sz w:val="22"/>
          <w:szCs w:val="22"/>
          <w:highlight w:val="black"/>
          <w:lang w:val="en-GB"/>
        </w:rPr>
        <w:t>''''''''''''</w:t>
      </w:r>
      <w:r w:rsidR="006B75FC" w:rsidRPr="00284652">
        <w:rPr>
          <w:rFonts w:ascii="Arial" w:hAnsi="Arial" w:cs="Arial"/>
          <w:bCs/>
          <w:snapToGrid w:val="0"/>
          <w:sz w:val="22"/>
          <w:szCs w:val="22"/>
          <w:lang w:val="en-GB"/>
        </w:rPr>
        <w:t xml:space="preserve">% reduction </w:t>
      </w:r>
      <w:r w:rsidR="00AD1187" w:rsidRPr="00284652">
        <w:rPr>
          <w:rFonts w:ascii="Arial" w:hAnsi="Arial" w:cs="Arial"/>
          <w:bCs/>
          <w:snapToGrid w:val="0"/>
          <w:sz w:val="22"/>
          <w:szCs w:val="22"/>
          <w:lang w:val="en-GB"/>
        </w:rPr>
        <w:t>in</w:t>
      </w:r>
      <w:r w:rsidR="006B75FC" w:rsidRPr="00284652">
        <w:rPr>
          <w:rFonts w:ascii="Arial" w:hAnsi="Arial" w:cs="Arial"/>
          <w:bCs/>
          <w:snapToGrid w:val="0"/>
          <w:sz w:val="22"/>
          <w:szCs w:val="22"/>
          <w:lang w:val="en-GB"/>
        </w:rPr>
        <w:t xml:space="preserve"> the overall cost to </w:t>
      </w:r>
      <w:r w:rsidR="00AD1187" w:rsidRPr="00284652">
        <w:rPr>
          <w:rFonts w:ascii="Arial" w:hAnsi="Arial" w:cs="Arial"/>
          <w:bCs/>
          <w:snapToGrid w:val="0"/>
          <w:sz w:val="22"/>
          <w:szCs w:val="22"/>
          <w:lang w:val="en-GB"/>
        </w:rPr>
        <w:t xml:space="preserve">the </w:t>
      </w:r>
      <w:r w:rsidR="006B75FC" w:rsidRPr="00284652">
        <w:rPr>
          <w:rFonts w:ascii="Arial" w:hAnsi="Arial" w:cs="Arial"/>
          <w:bCs/>
          <w:snapToGrid w:val="0"/>
          <w:sz w:val="22"/>
          <w:szCs w:val="22"/>
          <w:lang w:val="en-GB"/>
        </w:rPr>
        <w:t>Commonwealth</w:t>
      </w:r>
      <w:r w:rsidR="00AD1187" w:rsidRPr="00284652">
        <w:rPr>
          <w:rFonts w:ascii="Arial" w:hAnsi="Arial" w:cs="Arial"/>
          <w:bCs/>
          <w:snapToGrid w:val="0"/>
          <w:sz w:val="22"/>
          <w:szCs w:val="22"/>
          <w:lang w:val="en-GB"/>
        </w:rPr>
        <w:t>.</w:t>
      </w:r>
    </w:p>
    <w:p w:rsidR="00123250" w:rsidRPr="00284652" w:rsidRDefault="00123250" w:rsidP="00123250">
      <w:pPr>
        <w:widowControl w:val="0"/>
        <w:ind w:left="720"/>
        <w:contextualSpacing/>
        <w:jc w:val="both"/>
        <w:rPr>
          <w:rFonts w:ascii="Arial" w:hAnsi="Arial" w:cs="Arial"/>
          <w:bCs/>
          <w:snapToGrid w:val="0"/>
          <w:sz w:val="22"/>
          <w:szCs w:val="22"/>
          <w:lang w:val="en-GB"/>
        </w:rPr>
      </w:pPr>
    </w:p>
    <w:p w:rsidR="00026AD3" w:rsidRPr="00284652" w:rsidRDefault="00026AD3" w:rsidP="001E3685">
      <w:pPr>
        <w:widowControl w:val="0"/>
        <w:numPr>
          <w:ilvl w:val="1"/>
          <w:numId w:val="5"/>
        </w:numPr>
        <w:contextualSpacing/>
        <w:jc w:val="both"/>
        <w:rPr>
          <w:rFonts w:ascii="Arial" w:hAnsi="Arial" w:cs="Arial"/>
          <w:bCs/>
          <w:snapToGrid w:val="0"/>
          <w:sz w:val="22"/>
          <w:szCs w:val="22"/>
          <w:lang w:val="en-GB"/>
        </w:rPr>
      </w:pPr>
      <w:r w:rsidRPr="00284652">
        <w:rPr>
          <w:rFonts w:ascii="Arial" w:hAnsi="Arial" w:cs="Arial"/>
          <w:bCs/>
          <w:snapToGrid w:val="0"/>
          <w:sz w:val="22"/>
          <w:szCs w:val="22"/>
          <w:lang w:val="en-GB"/>
        </w:rPr>
        <w:t xml:space="preserve">The PBAC </w:t>
      </w:r>
      <w:r w:rsidR="006B75FC" w:rsidRPr="00284652">
        <w:rPr>
          <w:rFonts w:ascii="Arial" w:hAnsi="Arial" w:cs="Arial"/>
          <w:bCs/>
          <w:snapToGrid w:val="0"/>
          <w:sz w:val="22"/>
          <w:szCs w:val="22"/>
          <w:lang w:val="en-GB"/>
        </w:rPr>
        <w:t xml:space="preserve">further </w:t>
      </w:r>
      <w:r w:rsidR="00AD1187" w:rsidRPr="00284652">
        <w:rPr>
          <w:rFonts w:ascii="Arial" w:hAnsi="Arial" w:cs="Arial"/>
          <w:bCs/>
          <w:snapToGrid w:val="0"/>
          <w:sz w:val="22"/>
          <w:szCs w:val="22"/>
          <w:lang w:val="en-GB"/>
        </w:rPr>
        <w:t xml:space="preserve">acknowledged that if usage is consistent with the proposed new risk share caps, </w:t>
      </w:r>
      <w:r w:rsidR="00FF0314" w:rsidRPr="00284652">
        <w:rPr>
          <w:rFonts w:ascii="Arial" w:hAnsi="Arial" w:cs="Arial"/>
          <w:bCs/>
          <w:snapToGrid w:val="0"/>
          <w:sz w:val="22"/>
          <w:szCs w:val="22"/>
          <w:lang w:val="en-GB"/>
        </w:rPr>
        <w:t xml:space="preserve">the cost per QALY gained </w:t>
      </w:r>
      <w:r w:rsidR="00AD1187" w:rsidRPr="00284652">
        <w:rPr>
          <w:rFonts w:ascii="Arial" w:hAnsi="Arial" w:cs="Arial"/>
          <w:bCs/>
          <w:snapToGrid w:val="0"/>
          <w:sz w:val="22"/>
          <w:szCs w:val="22"/>
          <w:lang w:val="en-GB"/>
        </w:rPr>
        <w:t>wa</w:t>
      </w:r>
      <w:r w:rsidR="00FF0314" w:rsidRPr="00284652">
        <w:rPr>
          <w:rFonts w:ascii="Arial" w:hAnsi="Arial" w:cs="Arial"/>
          <w:bCs/>
          <w:snapToGrid w:val="0"/>
          <w:sz w:val="22"/>
          <w:szCs w:val="22"/>
          <w:lang w:val="en-GB"/>
        </w:rPr>
        <w:t xml:space="preserve">s </w:t>
      </w:r>
      <w:r w:rsidR="00A36925" w:rsidRPr="00284652">
        <w:rPr>
          <w:rFonts w:ascii="Arial" w:hAnsi="Arial" w:cs="Arial"/>
          <w:bCs/>
          <w:snapToGrid w:val="0"/>
          <w:sz w:val="22"/>
          <w:szCs w:val="22"/>
          <w:lang w:val="en-GB"/>
        </w:rPr>
        <w:t>(</w:t>
      </w:r>
      <w:r w:rsidR="00A36925">
        <w:rPr>
          <w:rFonts w:ascii="Arial" w:hAnsi="Arial" w:cs="Arial"/>
          <w:bCs/>
          <w:snapToGrid w:val="0"/>
          <w:sz w:val="22"/>
          <w:szCs w:val="22"/>
          <w:lang w:val="en-GB"/>
        </w:rPr>
        <w:t>$45,000 - $75,000</w:t>
      </w:r>
      <w:r w:rsidR="00FF0314" w:rsidRPr="00284652">
        <w:rPr>
          <w:rFonts w:ascii="Arial" w:hAnsi="Arial" w:cs="Arial"/>
          <w:bCs/>
          <w:snapToGrid w:val="0"/>
          <w:sz w:val="22"/>
          <w:szCs w:val="22"/>
          <w:lang w:val="en-GB"/>
        </w:rPr>
        <w:t xml:space="preserve"> if the overall survival curves were assumed to converge over 25 years</w:t>
      </w:r>
      <w:r w:rsidR="00AD1187" w:rsidRPr="00284652">
        <w:rPr>
          <w:rFonts w:ascii="Arial" w:hAnsi="Arial" w:cs="Arial"/>
          <w:bCs/>
          <w:snapToGrid w:val="0"/>
          <w:sz w:val="22"/>
          <w:szCs w:val="22"/>
          <w:lang w:val="en-GB"/>
        </w:rPr>
        <w:t xml:space="preserve"> and </w:t>
      </w:r>
      <w:r w:rsidR="00A36925">
        <w:rPr>
          <w:rFonts w:ascii="Arial" w:hAnsi="Arial" w:cs="Arial"/>
          <w:bCs/>
          <w:snapToGrid w:val="0"/>
          <w:sz w:val="22"/>
          <w:szCs w:val="22"/>
          <w:lang w:val="en-GB"/>
        </w:rPr>
        <w:t>$75,000 - $105,000</w:t>
      </w:r>
      <w:r w:rsidR="00FF0314" w:rsidRPr="00284652">
        <w:rPr>
          <w:rFonts w:ascii="Arial" w:hAnsi="Arial" w:cs="Arial"/>
          <w:bCs/>
          <w:snapToGrid w:val="0"/>
          <w:sz w:val="22"/>
          <w:szCs w:val="22"/>
          <w:lang w:val="en-GB"/>
        </w:rPr>
        <w:t xml:space="preserve"> per QALY gained if the curves were converged over 10 years.  The PBAC</w:t>
      </w:r>
      <w:r w:rsidR="00922276">
        <w:rPr>
          <w:rFonts w:ascii="Arial" w:hAnsi="Arial" w:cs="Arial"/>
          <w:bCs/>
          <w:snapToGrid w:val="0"/>
          <w:sz w:val="22"/>
          <w:szCs w:val="22"/>
          <w:lang w:val="en-GB"/>
        </w:rPr>
        <w:t xml:space="preserve"> again noted that </w:t>
      </w:r>
      <w:r w:rsidR="00EE237D">
        <w:rPr>
          <w:rFonts w:ascii="Arial" w:hAnsi="Arial" w:cs="Arial"/>
          <w:bCs/>
          <w:snapToGrid w:val="0"/>
          <w:sz w:val="22"/>
          <w:szCs w:val="22"/>
          <w:lang w:val="en-GB"/>
        </w:rPr>
        <w:t>c</w:t>
      </w:r>
      <w:r w:rsidR="00EE237D" w:rsidRPr="00EE237D">
        <w:rPr>
          <w:rFonts w:ascii="Arial" w:hAnsi="Arial" w:cs="Arial"/>
          <w:bCs/>
          <w:snapToGrid w:val="0"/>
          <w:sz w:val="22"/>
          <w:szCs w:val="22"/>
          <w:lang w:val="en-GB"/>
        </w:rPr>
        <w:t xml:space="preserve">onverging the overall survival curves over 10 years rather than 25 years had a substantial impact on the incremental gain in survival and thus the cost per QALY gained. </w:t>
      </w:r>
      <w:r w:rsidR="00EE237D">
        <w:rPr>
          <w:rFonts w:ascii="Arial" w:hAnsi="Arial" w:cs="Arial"/>
          <w:bCs/>
          <w:snapToGrid w:val="0"/>
          <w:sz w:val="22"/>
          <w:szCs w:val="22"/>
          <w:lang w:val="en-GB"/>
        </w:rPr>
        <w:t>Furthermore,</w:t>
      </w:r>
      <w:r w:rsidR="00EE237D" w:rsidRPr="00EE237D">
        <w:rPr>
          <w:rFonts w:ascii="Arial" w:hAnsi="Arial" w:cs="Arial"/>
          <w:bCs/>
          <w:snapToGrid w:val="0"/>
          <w:sz w:val="22"/>
          <w:szCs w:val="22"/>
          <w:lang w:val="en-GB"/>
        </w:rPr>
        <w:t xml:space="preserve"> </w:t>
      </w:r>
      <w:r w:rsidR="00922276">
        <w:rPr>
          <w:rFonts w:ascii="Arial" w:hAnsi="Arial" w:cs="Arial"/>
          <w:bCs/>
          <w:snapToGrid w:val="0"/>
          <w:sz w:val="22"/>
          <w:szCs w:val="22"/>
          <w:lang w:val="en-GB"/>
        </w:rPr>
        <w:t xml:space="preserve">the assumption that </w:t>
      </w:r>
      <w:r w:rsidR="00284652" w:rsidRPr="00E07EB8">
        <w:rPr>
          <w:rFonts w:ascii="Arial" w:hAnsi="Arial" w:cs="Arial"/>
          <w:bCs/>
          <w:snapToGrid w:val="0"/>
          <w:sz w:val="22"/>
          <w:szCs w:val="22"/>
          <w:lang w:val="en-GB"/>
        </w:rPr>
        <w:t>the survival curves converge</w:t>
      </w:r>
      <w:r w:rsidR="00AD1187" w:rsidRPr="00E07EB8">
        <w:rPr>
          <w:rFonts w:ascii="Arial" w:hAnsi="Arial" w:cs="Arial"/>
          <w:bCs/>
          <w:snapToGrid w:val="0"/>
          <w:sz w:val="22"/>
          <w:szCs w:val="22"/>
          <w:lang w:val="en-GB"/>
        </w:rPr>
        <w:t xml:space="preserve"> over 25 years</w:t>
      </w:r>
      <w:r w:rsidR="00922276">
        <w:rPr>
          <w:rFonts w:ascii="Arial" w:hAnsi="Arial" w:cs="Arial"/>
          <w:bCs/>
          <w:snapToGrid w:val="0"/>
          <w:sz w:val="22"/>
          <w:szCs w:val="22"/>
          <w:lang w:val="en-GB"/>
        </w:rPr>
        <w:t xml:space="preserve"> </w:t>
      </w:r>
      <w:r w:rsidR="00284652" w:rsidRPr="00284652">
        <w:rPr>
          <w:rFonts w:ascii="Arial" w:hAnsi="Arial" w:cs="Arial"/>
          <w:bCs/>
          <w:snapToGrid w:val="0"/>
          <w:sz w:val="22"/>
          <w:szCs w:val="22"/>
          <w:lang w:val="en-GB"/>
        </w:rPr>
        <w:t xml:space="preserve">resulted in </w:t>
      </w:r>
      <w:r w:rsidR="002D571E">
        <w:rPr>
          <w:rFonts w:ascii="Arial" w:hAnsi="Arial" w:cs="Arial"/>
          <w:bCs/>
          <w:noProof/>
          <w:snapToGrid w:val="0"/>
          <w:color w:val="000000"/>
          <w:sz w:val="22"/>
          <w:szCs w:val="22"/>
          <w:highlight w:val="black"/>
          <w:lang w:val="en-GB"/>
        </w:rPr>
        <w:t>'''''''</w:t>
      </w:r>
      <w:r w:rsidR="00284652" w:rsidRPr="00284652">
        <w:rPr>
          <w:rFonts w:ascii="Arial" w:hAnsi="Arial" w:cs="Arial"/>
          <w:bCs/>
          <w:snapToGrid w:val="0"/>
          <w:sz w:val="22"/>
          <w:szCs w:val="22"/>
          <w:lang w:val="en-GB"/>
        </w:rPr>
        <w:t xml:space="preserve">% of patients treated with ibrutinib being alive at 10 years compared with </w:t>
      </w:r>
      <w:r w:rsidR="002D571E">
        <w:rPr>
          <w:rFonts w:ascii="Arial" w:hAnsi="Arial" w:cs="Arial"/>
          <w:bCs/>
          <w:noProof/>
          <w:snapToGrid w:val="0"/>
          <w:color w:val="000000"/>
          <w:sz w:val="22"/>
          <w:szCs w:val="22"/>
          <w:highlight w:val="black"/>
          <w:lang w:val="en-GB"/>
        </w:rPr>
        <w:t>''''''</w:t>
      </w:r>
      <w:r w:rsidR="00284652" w:rsidRPr="00284652">
        <w:rPr>
          <w:rFonts w:ascii="Arial" w:hAnsi="Arial" w:cs="Arial"/>
          <w:bCs/>
          <w:snapToGrid w:val="0"/>
          <w:sz w:val="22"/>
          <w:szCs w:val="22"/>
          <w:lang w:val="en-GB"/>
        </w:rPr>
        <w:t xml:space="preserve">% of patients in the comparator arm. </w:t>
      </w:r>
      <w:r w:rsidR="00922276">
        <w:rPr>
          <w:rFonts w:ascii="Arial" w:hAnsi="Arial" w:cs="Arial"/>
          <w:bCs/>
          <w:snapToGrid w:val="0"/>
          <w:sz w:val="22"/>
          <w:szCs w:val="22"/>
          <w:lang w:val="en-GB"/>
        </w:rPr>
        <w:t>As previously, t</w:t>
      </w:r>
      <w:r w:rsidR="00284652" w:rsidRPr="00284652">
        <w:rPr>
          <w:rFonts w:ascii="Arial" w:hAnsi="Arial" w:cs="Arial"/>
          <w:bCs/>
          <w:snapToGrid w:val="0"/>
          <w:sz w:val="22"/>
          <w:szCs w:val="22"/>
          <w:lang w:val="en-GB"/>
        </w:rPr>
        <w:t xml:space="preserve">he PBAC considered this difference at 10 years to be inconsistent with a life expectancy of less than 24 months for patients with relapsed or refractory CLL or SLL. The PBAC </w:t>
      </w:r>
      <w:r w:rsidR="00FF0314" w:rsidRPr="00284652">
        <w:rPr>
          <w:rFonts w:ascii="Arial" w:hAnsi="Arial" w:cs="Arial"/>
          <w:bCs/>
          <w:snapToGrid w:val="0"/>
          <w:sz w:val="22"/>
          <w:szCs w:val="22"/>
          <w:lang w:val="en-GB"/>
        </w:rPr>
        <w:t>considered a further reduction in price would be required to achieve cost-effectiveness in the population preferred by the sponsor, clinicians and PBAC.</w:t>
      </w:r>
      <w:r w:rsidR="001A2BED">
        <w:rPr>
          <w:rFonts w:ascii="Arial" w:hAnsi="Arial" w:cs="Arial"/>
          <w:bCs/>
          <w:snapToGrid w:val="0"/>
          <w:sz w:val="22"/>
          <w:szCs w:val="22"/>
          <w:lang w:val="en-GB"/>
        </w:rPr>
        <w:t xml:space="preserve"> Alternatively, a further reduction in the overall expenditure caps could </w:t>
      </w:r>
      <w:r w:rsidR="00A33FEB">
        <w:rPr>
          <w:rFonts w:ascii="Arial" w:hAnsi="Arial" w:cs="Arial"/>
          <w:bCs/>
          <w:snapToGrid w:val="0"/>
          <w:sz w:val="22"/>
          <w:szCs w:val="22"/>
          <w:lang w:val="en-GB"/>
        </w:rPr>
        <w:t xml:space="preserve">potentially </w:t>
      </w:r>
      <w:r w:rsidR="001A2BED">
        <w:rPr>
          <w:rFonts w:ascii="Arial" w:hAnsi="Arial" w:cs="Arial"/>
          <w:bCs/>
          <w:snapToGrid w:val="0"/>
          <w:sz w:val="22"/>
          <w:szCs w:val="22"/>
          <w:lang w:val="en-GB"/>
        </w:rPr>
        <w:t xml:space="preserve">provide the PBAC with additional confidence </w:t>
      </w:r>
      <w:r w:rsidR="00C556A2">
        <w:rPr>
          <w:rFonts w:ascii="Arial" w:hAnsi="Arial" w:cs="Arial"/>
          <w:bCs/>
          <w:snapToGrid w:val="0"/>
          <w:sz w:val="22"/>
          <w:szCs w:val="22"/>
          <w:lang w:val="en-GB"/>
        </w:rPr>
        <w:t xml:space="preserve">in the cost effectiveness of ibrutinib for this condition </w:t>
      </w:r>
      <w:r w:rsidR="001A2BED">
        <w:rPr>
          <w:rFonts w:ascii="Arial" w:hAnsi="Arial" w:cs="Arial"/>
          <w:bCs/>
          <w:snapToGrid w:val="0"/>
          <w:sz w:val="22"/>
          <w:szCs w:val="22"/>
          <w:lang w:val="en-GB"/>
        </w:rPr>
        <w:t>to enable a recommendation for listing.</w:t>
      </w:r>
    </w:p>
    <w:p w:rsidR="00026AD3" w:rsidRPr="004209B1" w:rsidRDefault="00026AD3" w:rsidP="00026AD3">
      <w:pPr>
        <w:widowControl w:val="0"/>
        <w:ind w:left="720"/>
        <w:contextualSpacing/>
        <w:jc w:val="both"/>
        <w:rPr>
          <w:rFonts w:ascii="Arial" w:hAnsi="Arial" w:cs="Arial"/>
          <w:bCs/>
          <w:snapToGrid w:val="0"/>
          <w:sz w:val="22"/>
          <w:szCs w:val="22"/>
          <w:lang w:val="en-GB"/>
        </w:rPr>
      </w:pPr>
    </w:p>
    <w:p w:rsidR="00123250" w:rsidRPr="00284652" w:rsidRDefault="00123250" w:rsidP="00123250">
      <w:pPr>
        <w:widowControl w:val="0"/>
        <w:numPr>
          <w:ilvl w:val="1"/>
          <w:numId w:val="5"/>
        </w:numPr>
        <w:contextualSpacing/>
        <w:jc w:val="both"/>
        <w:rPr>
          <w:rFonts w:ascii="Arial" w:hAnsi="Arial" w:cs="Arial"/>
          <w:bCs/>
          <w:snapToGrid w:val="0"/>
          <w:sz w:val="22"/>
          <w:szCs w:val="22"/>
          <w:lang w:val="en-GB"/>
        </w:rPr>
      </w:pPr>
      <w:r w:rsidRPr="00284652">
        <w:rPr>
          <w:rFonts w:ascii="Arial" w:hAnsi="Arial" w:cs="Arial"/>
          <w:bCs/>
          <w:snapToGrid w:val="0"/>
          <w:sz w:val="22"/>
          <w:szCs w:val="22"/>
          <w:lang w:val="en-GB"/>
        </w:rPr>
        <w:t>The PBAC noted that the named patient program was not included in</w:t>
      </w:r>
      <w:r w:rsidR="00BA4C11" w:rsidRPr="00284652">
        <w:rPr>
          <w:rFonts w:ascii="Arial" w:hAnsi="Arial" w:cs="Arial"/>
          <w:bCs/>
          <w:snapToGrid w:val="0"/>
          <w:sz w:val="22"/>
          <w:szCs w:val="22"/>
          <w:lang w:val="en-GB"/>
        </w:rPr>
        <w:t xml:space="preserve"> current re-</w:t>
      </w:r>
      <w:r w:rsidRPr="00284652">
        <w:rPr>
          <w:rFonts w:ascii="Arial" w:hAnsi="Arial" w:cs="Arial"/>
          <w:bCs/>
          <w:snapToGrid w:val="0"/>
          <w:sz w:val="22"/>
          <w:szCs w:val="22"/>
          <w:lang w:val="en-GB"/>
        </w:rPr>
        <w:t xml:space="preserve">submission but that the sponsor had previously requested grandfathering for </w:t>
      </w:r>
      <w:r w:rsidR="002D571E">
        <w:rPr>
          <w:rFonts w:ascii="Arial" w:hAnsi="Arial" w:cs="Arial"/>
          <w:bCs/>
          <w:noProof/>
          <w:snapToGrid w:val="0"/>
          <w:color w:val="000000"/>
          <w:sz w:val="22"/>
          <w:szCs w:val="22"/>
          <w:highlight w:val="black"/>
          <w:lang w:val="en-GB"/>
        </w:rPr>
        <w:t>''''''''</w:t>
      </w:r>
      <w:r w:rsidR="00BA4C11" w:rsidRPr="00284652">
        <w:rPr>
          <w:rFonts w:ascii="Arial" w:hAnsi="Arial" w:cs="Arial"/>
          <w:bCs/>
          <w:snapToGrid w:val="0"/>
          <w:sz w:val="22"/>
          <w:szCs w:val="22"/>
          <w:lang w:val="en-GB"/>
        </w:rPr>
        <w:t xml:space="preserve"> (March 2016 submission Pre-PBAC</w:t>
      </w:r>
      <w:r w:rsidR="00D85C8E" w:rsidRPr="00284652">
        <w:rPr>
          <w:rFonts w:ascii="Arial" w:hAnsi="Arial" w:cs="Arial"/>
          <w:bCs/>
          <w:snapToGrid w:val="0"/>
          <w:sz w:val="22"/>
          <w:szCs w:val="22"/>
          <w:lang w:val="en-GB"/>
        </w:rPr>
        <w:t xml:space="preserve"> response</w:t>
      </w:r>
      <w:r w:rsidR="00BA4C11" w:rsidRPr="00284652">
        <w:rPr>
          <w:rFonts w:ascii="Arial" w:hAnsi="Arial" w:cs="Arial"/>
          <w:bCs/>
          <w:snapToGrid w:val="0"/>
          <w:sz w:val="22"/>
          <w:szCs w:val="22"/>
          <w:lang w:val="en-GB"/>
        </w:rPr>
        <w:t>)</w:t>
      </w:r>
      <w:r w:rsidRPr="00284652">
        <w:rPr>
          <w:rFonts w:ascii="Arial" w:hAnsi="Arial" w:cs="Arial"/>
          <w:bCs/>
          <w:snapToGrid w:val="0"/>
          <w:sz w:val="22"/>
          <w:szCs w:val="22"/>
          <w:lang w:val="en-GB"/>
        </w:rPr>
        <w:t xml:space="preserve">. Any </w:t>
      </w:r>
      <w:r w:rsidR="00BA4C11" w:rsidRPr="00284652">
        <w:rPr>
          <w:rFonts w:ascii="Arial" w:hAnsi="Arial" w:cs="Arial"/>
          <w:bCs/>
          <w:snapToGrid w:val="0"/>
          <w:sz w:val="22"/>
          <w:szCs w:val="22"/>
          <w:lang w:val="en-GB"/>
        </w:rPr>
        <w:t xml:space="preserve">new </w:t>
      </w:r>
      <w:r w:rsidRPr="00284652">
        <w:rPr>
          <w:rFonts w:ascii="Arial" w:hAnsi="Arial" w:cs="Arial"/>
          <w:bCs/>
          <w:snapToGrid w:val="0"/>
          <w:sz w:val="22"/>
          <w:szCs w:val="22"/>
          <w:lang w:val="en-GB"/>
        </w:rPr>
        <w:t>submission w</w:t>
      </w:r>
      <w:r w:rsidR="00BA4C11" w:rsidRPr="00284652">
        <w:rPr>
          <w:rFonts w:ascii="Arial" w:hAnsi="Arial" w:cs="Arial"/>
          <w:bCs/>
          <w:snapToGrid w:val="0"/>
          <w:sz w:val="22"/>
          <w:szCs w:val="22"/>
          <w:lang w:val="en-GB"/>
        </w:rPr>
        <w:t xml:space="preserve">ould </w:t>
      </w:r>
      <w:r w:rsidRPr="00284652">
        <w:rPr>
          <w:rFonts w:ascii="Arial" w:hAnsi="Arial" w:cs="Arial"/>
          <w:bCs/>
          <w:snapToGrid w:val="0"/>
          <w:sz w:val="22"/>
          <w:szCs w:val="22"/>
          <w:lang w:val="en-GB"/>
        </w:rPr>
        <w:t>need to include data on how many</w:t>
      </w:r>
      <w:r w:rsidR="00D85C8E" w:rsidRPr="00284652">
        <w:rPr>
          <w:rFonts w:ascii="Arial" w:hAnsi="Arial" w:cs="Arial"/>
          <w:bCs/>
          <w:snapToGrid w:val="0"/>
          <w:sz w:val="22"/>
          <w:szCs w:val="22"/>
          <w:lang w:val="en-GB"/>
        </w:rPr>
        <w:t xml:space="preserve"> of the named patient population</w:t>
      </w:r>
      <w:r w:rsidRPr="00284652">
        <w:rPr>
          <w:rFonts w:ascii="Arial" w:hAnsi="Arial" w:cs="Arial"/>
          <w:bCs/>
          <w:snapToGrid w:val="0"/>
          <w:sz w:val="22"/>
          <w:szCs w:val="22"/>
          <w:lang w:val="en-GB"/>
        </w:rPr>
        <w:t xml:space="preserve"> </w:t>
      </w:r>
      <w:r w:rsidR="00BA4C11" w:rsidRPr="00284652">
        <w:rPr>
          <w:rFonts w:ascii="Arial" w:hAnsi="Arial" w:cs="Arial"/>
          <w:bCs/>
          <w:snapToGrid w:val="0"/>
          <w:sz w:val="22"/>
          <w:szCs w:val="22"/>
          <w:lang w:val="en-GB"/>
        </w:rPr>
        <w:t xml:space="preserve">would </w:t>
      </w:r>
      <w:r w:rsidRPr="00284652">
        <w:rPr>
          <w:rFonts w:ascii="Arial" w:hAnsi="Arial" w:cs="Arial"/>
          <w:bCs/>
          <w:snapToGrid w:val="0"/>
          <w:sz w:val="22"/>
          <w:szCs w:val="22"/>
          <w:lang w:val="en-GB"/>
        </w:rPr>
        <w:t>meet the PBS eligibility criteria</w:t>
      </w:r>
      <w:r w:rsidR="00BA4C11" w:rsidRPr="00284652">
        <w:rPr>
          <w:rFonts w:ascii="Arial" w:hAnsi="Arial" w:cs="Arial"/>
          <w:bCs/>
          <w:snapToGrid w:val="0"/>
          <w:sz w:val="22"/>
          <w:szCs w:val="22"/>
          <w:lang w:val="en-GB"/>
        </w:rPr>
        <w:t xml:space="preserve"> and include all grandfathered patients into the financial estimates</w:t>
      </w:r>
      <w:r w:rsidRPr="00284652">
        <w:rPr>
          <w:rFonts w:ascii="Arial" w:hAnsi="Arial" w:cs="Arial"/>
          <w:bCs/>
          <w:snapToGrid w:val="0"/>
          <w:sz w:val="22"/>
          <w:szCs w:val="22"/>
          <w:lang w:val="en-GB"/>
        </w:rPr>
        <w:t>.</w:t>
      </w:r>
    </w:p>
    <w:p w:rsidR="00123250" w:rsidRPr="00284652" w:rsidRDefault="00123250" w:rsidP="00123250">
      <w:pPr>
        <w:widowControl w:val="0"/>
        <w:ind w:left="720"/>
        <w:contextualSpacing/>
        <w:jc w:val="both"/>
        <w:rPr>
          <w:rFonts w:ascii="Arial" w:hAnsi="Arial" w:cs="Arial"/>
          <w:bCs/>
          <w:snapToGrid w:val="0"/>
          <w:sz w:val="22"/>
          <w:szCs w:val="22"/>
          <w:lang w:val="en-GB"/>
        </w:rPr>
      </w:pPr>
    </w:p>
    <w:p w:rsidR="00123250" w:rsidRPr="00284652" w:rsidRDefault="006B75FC" w:rsidP="00123250">
      <w:pPr>
        <w:widowControl w:val="0"/>
        <w:numPr>
          <w:ilvl w:val="1"/>
          <w:numId w:val="5"/>
        </w:numPr>
        <w:contextualSpacing/>
        <w:jc w:val="both"/>
        <w:rPr>
          <w:rFonts w:ascii="Arial" w:hAnsi="Arial" w:cs="Arial"/>
          <w:bCs/>
          <w:snapToGrid w:val="0"/>
          <w:sz w:val="22"/>
          <w:szCs w:val="22"/>
          <w:lang w:val="en-GB"/>
        </w:rPr>
      </w:pPr>
      <w:r w:rsidRPr="00284652">
        <w:rPr>
          <w:rFonts w:ascii="Arial" w:hAnsi="Arial"/>
          <w:sz w:val="22"/>
          <w:szCs w:val="22"/>
        </w:rPr>
        <w:t xml:space="preserve">The PBAC acknowledged the sponsor’s proposal for a </w:t>
      </w:r>
      <w:r w:rsidR="002D571E">
        <w:rPr>
          <w:rFonts w:ascii="Arial" w:hAnsi="Arial"/>
          <w:noProof/>
          <w:color w:val="000000"/>
          <w:sz w:val="22"/>
          <w:szCs w:val="22"/>
          <w:highlight w:val="black"/>
        </w:rPr>
        <w:t>'''''''''</w:t>
      </w:r>
      <w:r w:rsidRPr="00284652">
        <w:rPr>
          <w:rFonts w:ascii="Arial" w:hAnsi="Arial"/>
          <w:sz w:val="22"/>
          <w:szCs w:val="22"/>
        </w:rPr>
        <w:t xml:space="preserve">% rebate for usage beyond the </w:t>
      </w:r>
      <w:r w:rsidR="002D571E">
        <w:rPr>
          <w:rFonts w:ascii="Arial" w:hAnsi="Arial"/>
          <w:noProof/>
          <w:color w:val="000000"/>
          <w:sz w:val="22"/>
          <w:szCs w:val="22"/>
          <w:highlight w:val="black"/>
        </w:rPr>
        <w:t>''''''''''''''''''' '''''''''' '''''''''''''' ''''''''</w:t>
      </w:r>
      <w:r w:rsidRPr="00284652">
        <w:rPr>
          <w:rFonts w:ascii="Arial" w:hAnsi="Arial"/>
          <w:sz w:val="22"/>
          <w:szCs w:val="22"/>
        </w:rPr>
        <w:t>. However, t</w:t>
      </w:r>
      <w:r w:rsidR="00BA4C11" w:rsidRPr="00284652">
        <w:rPr>
          <w:rFonts w:ascii="Arial" w:hAnsi="Arial" w:cs="Arial"/>
          <w:bCs/>
          <w:snapToGrid w:val="0"/>
          <w:sz w:val="22"/>
          <w:szCs w:val="22"/>
          <w:lang w:val="en-GB"/>
        </w:rPr>
        <w:t>he PBAC</w:t>
      </w:r>
      <w:r w:rsidR="00123250" w:rsidRPr="00284652">
        <w:rPr>
          <w:rFonts w:ascii="Arial" w:hAnsi="Arial" w:cs="Arial"/>
          <w:bCs/>
          <w:snapToGrid w:val="0"/>
          <w:sz w:val="22"/>
          <w:szCs w:val="22"/>
          <w:lang w:val="en-GB"/>
        </w:rPr>
        <w:t xml:space="preserve"> noted that it </w:t>
      </w:r>
      <w:r w:rsidRPr="00284652">
        <w:rPr>
          <w:rFonts w:ascii="Arial" w:hAnsi="Arial" w:cs="Arial"/>
          <w:bCs/>
          <w:snapToGrid w:val="0"/>
          <w:sz w:val="22"/>
          <w:szCs w:val="22"/>
          <w:lang w:val="en-GB"/>
        </w:rPr>
        <w:t>would be</w:t>
      </w:r>
      <w:r w:rsidR="00123250" w:rsidRPr="00284652">
        <w:rPr>
          <w:rFonts w:ascii="Arial" w:hAnsi="Arial" w:cs="Arial"/>
          <w:bCs/>
          <w:snapToGrid w:val="0"/>
          <w:sz w:val="22"/>
          <w:szCs w:val="22"/>
          <w:lang w:val="en-GB"/>
        </w:rPr>
        <w:t xml:space="preserve"> appropriate for the risk share arrangement to include a requi</w:t>
      </w:r>
      <w:r w:rsidRPr="00284652">
        <w:rPr>
          <w:rFonts w:ascii="Arial" w:hAnsi="Arial" w:cs="Arial"/>
          <w:bCs/>
          <w:snapToGrid w:val="0"/>
          <w:sz w:val="22"/>
          <w:szCs w:val="22"/>
          <w:lang w:val="en-GB"/>
        </w:rPr>
        <w:t xml:space="preserve">rement that, if </w:t>
      </w:r>
      <w:r w:rsidR="002D571E">
        <w:rPr>
          <w:rFonts w:ascii="Arial" w:hAnsi="Arial" w:cs="Arial"/>
          <w:bCs/>
          <w:noProof/>
          <w:snapToGrid w:val="0"/>
          <w:color w:val="000000"/>
          <w:sz w:val="22"/>
          <w:szCs w:val="22"/>
          <w:highlight w:val="black"/>
          <w:lang w:val="en-GB"/>
        </w:rPr>
        <w:t>''''''' ''''''' ''' ''''''''''</w:t>
      </w:r>
      <w:r w:rsidRPr="00471F08">
        <w:rPr>
          <w:rFonts w:ascii="Arial" w:hAnsi="Arial" w:cs="Arial"/>
          <w:bCs/>
          <w:snapToGrid w:val="0"/>
          <w:sz w:val="22"/>
          <w:szCs w:val="22"/>
          <w:lang w:val="en-GB"/>
        </w:rPr>
        <w:t xml:space="preserve"> </w:t>
      </w:r>
      <w:r w:rsidRPr="00284652">
        <w:rPr>
          <w:rFonts w:ascii="Arial" w:hAnsi="Arial" w:cs="Arial"/>
          <w:bCs/>
          <w:snapToGrid w:val="0"/>
          <w:sz w:val="22"/>
          <w:szCs w:val="22"/>
          <w:lang w:val="en-GB"/>
        </w:rPr>
        <w:t>wa</w:t>
      </w:r>
      <w:r w:rsidR="00123250" w:rsidRPr="00284652">
        <w:rPr>
          <w:rFonts w:ascii="Arial" w:hAnsi="Arial" w:cs="Arial"/>
          <w:bCs/>
          <w:snapToGrid w:val="0"/>
          <w:sz w:val="22"/>
          <w:szCs w:val="22"/>
          <w:lang w:val="en-GB"/>
        </w:rPr>
        <w:t xml:space="preserve">s not exceeded </w:t>
      </w:r>
      <w:r w:rsidRPr="00284652">
        <w:rPr>
          <w:rFonts w:ascii="Arial" w:hAnsi="Arial" w:cs="Arial"/>
          <w:bCs/>
          <w:snapToGrid w:val="0"/>
          <w:sz w:val="22"/>
          <w:szCs w:val="22"/>
          <w:lang w:val="en-GB"/>
        </w:rPr>
        <w:t>in a deed year, reconciliation would</w:t>
      </w:r>
      <w:r w:rsidR="00123250" w:rsidRPr="00284652">
        <w:rPr>
          <w:rFonts w:ascii="Arial" w:hAnsi="Arial" w:cs="Arial"/>
          <w:bCs/>
          <w:snapToGrid w:val="0"/>
          <w:sz w:val="22"/>
          <w:szCs w:val="22"/>
          <w:lang w:val="en-GB"/>
        </w:rPr>
        <w:t xml:space="preserve"> conducted to ensur</w:t>
      </w:r>
      <w:r w:rsidRPr="00284652">
        <w:rPr>
          <w:rFonts w:ascii="Arial" w:hAnsi="Arial" w:cs="Arial"/>
          <w:bCs/>
          <w:snapToGrid w:val="0"/>
          <w:sz w:val="22"/>
          <w:szCs w:val="22"/>
          <w:lang w:val="en-GB"/>
        </w:rPr>
        <w:t xml:space="preserve">e that </w:t>
      </w:r>
      <w:r w:rsidR="002D571E">
        <w:rPr>
          <w:rFonts w:ascii="Arial" w:hAnsi="Arial" w:cs="Arial"/>
          <w:bCs/>
          <w:noProof/>
          <w:snapToGrid w:val="0"/>
          <w:color w:val="000000"/>
          <w:sz w:val="22"/>
          <w:szCs w:val="22"/>
          <w:highlight w:val="black"/>
          <w:lang w:val="en-GB"/>
        </w:rPr>
        <w:t>'''''</w:t>
      </w:r>
      <w:r w:rsidRPr="00284652">
        <w:rPr>
          <w:rFonts w:ascii="Arial" w:hAnsi="Arial" w:cs="Arial"/>
          <w:bCs/>
          <w:snapToGrid w:val="0"/>
          <w:sz w:val="22"/>
          <w:szCs w:val="22"/>
          <w:lang w:val="en-GB"/>
        </w:rPr>
        <w:t>% of use in that year wa</w:t>
      </w:r>
      <w:r w:rsidR="00123250" w:rsidRPr="00284652">
        <w:rPr>
          <w:rFonts w:ascii="Arial" w:hAnsi="Arial" w:cs="Arial"/>
          <w:bCs/>
          <w:snapToGrid w:val="0"/>
          <w:sz w:val="22"/>
          <w:szCs w:val="22"/>
          <w:lang w:val="en-GB"/>
        </w:rPr>
        <w:t xml:space="preserve">s at </w:t>
      </w:r>
      <w:r w:rsidR="002D571E">
        <w:rPr>
          <w:rFonts w:ascii="Arial" w:hAnsi="Arial" w:cs="Arial"/>
          <w:bCs/>
          <w:noProof/>
          <w:snapToGrid w:val="0"/>
          <w:color w:val="000000"/>
          <w:sz w:val="22"/>
          <w:szCs w:val="22"/>
          <w:highlight w:val="black"/>
          <w:lang w:val="en-GB"/>
        </w:rPr>
        <w:t>'''''''' '''''''''''''''' ''''''' ''' ''''''''''''</w:t>
      </w:r>
      <w:r w:rsidR="00123250" w:rsidRPr="00284652">
        <w:rPr>
          <w:rFonts w:ascii="Arial" w:hAnsi="Arial" w:cs="Arial"/>
          <w:bCs/>
          <w:snapToGrid w:val="0"/>
          <w:sz w:val="22"/>
          <w:szCs w:val="22"/>
          <w:lang w:val="en-GB"/>
        </w:rPr>
        <w:t xml:space="preserve"> and </w:t>
      </w:r>
      <w:r w:rsidR="002D571E">
        <w:rPr>
          <w:rFonts w:ascii="Arial" w:hAnsi="Arial" w:cs="Arial"/>
          <w:bCs/>
          <w:noProof/>
          <w:snapToGrid w:val="0"/>
          <w:color w:val="000000"/>
          <w:sz w:val="22"/>
          <w:szCs w:val="22"/>
          <w:highlight w:val="black"/>
          <w:lang w:val="en-GB"/>
        </w:rPr>
        <w:t>''''''''''' '''' '''''''' ''''''' '''</w:t>
      </w:r>
      <w:r w:rsidR="00284652" w:rsidRPr="00284652">
        <w:rPr>
          <w:rFonts w:ascii="Arial" w:hAnsi="Arial" w:cs="Arial"/>
          <w:bCs/>
          <w:snapToGrid w:val="0"/>
          <w:sz w:val="22"/>
          <w:szCs w:val="22"/>
          <w:lang w:val="en-GB"/>
        </w:rPr>
        <w:t xml:space="preserve"> price.</w:t>
      </w:r>
      <w:r w:rsidRPr="00284652">
        <w:rPr>
          <w:rFonts w:ascii="Arial" w:hAnsi="Arial" w:cs="Arial"/>
          <w:bCs/>
          <w:snapToGrid w:val="0"/>
          <w:sz w:val="22"/>
          <w:szCs w:val="22"/>
          <w:lang w:val="en-GB"/>
        </w:rPr>
        <w:t xml:space="preserve"> </w:t>
      </w:r>
    </w:p>
    <w:p w:rsidR="00026AD3" w:rsidRPr="004209B1" w:rsidRDefault="00026AD3" w:rsidP="00026AD3">
      <w:pPr>
        <w:widowControl w:val="0"/>
        <w:ind w:left="720"/>
        <w:contextualSpacing/>
        <w:jc w:val="both"/>
        <w:rPr>
          <w:rFonts w:ascii="Arial" w:hAnsi="Arial" w:cs="Arial"/>
          <w:bCs/>
          <w:snapToGrid w:val="0"/>
          <w:sz w:val="22"/>
          <w:szCs w:val="22"/>
          <w:lang w:val="en-GB"/>
        </w:rPr>
      </w:pPr>
    </w:p>
    <w:p w:rsidR="00026AD3" w:rsidRPr="00284652" w:rsidRDefault="00026AD3" w:rsidP="00BA4C11">
      <w:pPr>
        <w:widowControl w:val="0"/>
        <w:numPr>
          <w:ilvl w:val="1"/>
          <w:numId w:val="5"/>
        </w:numPr>
        <w:contextualSpacing/>
        <w:jc w:val="both"/>
        <w:rPr>
          <w:rFonts w:ascii="Arial" w:hAnsi="Arial" w:cs="Arial"/>
          <w:b/>
          <w:snapToGrid w:val="0"/>
          <w:sz w:val="22"/>
          <w:szCs w:val="22"/>
          <w:lang w:val="en-GB"/>
        </w:rPr>
      </w:pPr>
      <w:r w:rsidRPr="00284652">
        <w:rPr>
          <w:rFonts w:ascii="Arial" w:hAnsi="Arial" w:cs="Arial"/>
          <w:bCs/>
          <w:snapToGrid w:val="0"/>
          <w:sz w:val="22"/>
          <w:szCs w:val="22"/>
          <w:lang w:val="en-GB"/>
        </w:rPr>
        <w:t>The PBA</w:t>
      </w:r>
      <w:r w:rsidR="00BA4C11" w:rsidRPr="00284652">
        <w:rPr>
          <w:rFonts w:ascii="Arial" w:hAnsi="Arial" w:cs="Arial"/>
          <w:bCs/>
          <w:snapToGrid w:val="0"/>
          <w:sz w:val="22"/>
          <w:szCs w:val="22"/>
          <w:lang w:val="en-GB"/>
        </w:rPr>
        <w:t>C noted that this submission is</w:t>
      </w:r>
      <w:r w:rsidRPr="00284652">
        <w:rPr>
          <w:rFonts w:ascii="Arial" w:hAnsi="Arial" w:cs="Arial"/>
          <w:bCs/>
          <w:snapToGrid w:val="0"/>
          <w:sz w:val="22"/>
          <w:szCs w:val="22"/>
          <w:lang w:val="en-GB"/>
        </w:rPr>
        <w:t xml:space="preserve"> eligible for an Independent Review. </w:t>
      </w:r>
    </w:p>
    <w:p w:rsidR="00026AD3" w:rsidRPr="004209B1" w:rsidRDefault="00026AD3" w:rsidP="00026AD3">
      <w:pPr>
        <w:jc w:val="both"/>
        <w:rPr>
          <w:rFonts w:ascii="Arial" w:hAnsi="Arial" w:cs="Arial"/>
          <w:b/>
          <w:bCs/>
          <w:snapToGrid w:val="0"/>
          <w:sz w:val="22"/>
          <w:szCs w:val="22"/>
          <w:lang w:val="en-GB"/>
        </w:rPr>
      </w:pPr>
    </w:p>
    <w:p w:rsidR="00026AD3" w:rsidRPr="00284652" w:rsidRDefault="00026AD3" w:rsidP="00026AD3">
      <w:pPr>
        <w:jc w:val="both"/>
        <w:rPr>
          <w:rFonts w:ascii="Arial" w:hAnsi="Arial" w:cs="Arial"/>
          <w:b/>
          <w:bCs/>
          <w:snapToGrid w:val="0"/>
          <w:sz w:val="22"/>
          <w:szCs w:val="22"/>
          <w:lang w:val="en-GB"/>
        </w:rPr>
      </w:pPr>
      <w:r w:rsidRPr="00284652">
        <w:rPr>
          <w:rFonts w:ascii="Arial" w:hAnsi="Arial" w:cs="Arial"/>
          <w:b/>
          <w:bCs/>
          <w:snapToGrid w:val="0"/>
          <w:sz w:val="22"/>
          <w:szCs w:val="22"/>
          <w:lang w:val="en-GB"/>
        </w:rPr>
        <w:t>Outcome:</w:t>
      </w:r>
    </w:p>
    <w:p w:rsidR="00471F08" w:rsidRDefault="00A5497B" w:rsidP="00E64DCF">
      <w:pPr>
        <w:jc w:val="both"/>
        <w:rPr>
          <w:rFonts w:ascii="Arial" w:hAnsi="Arial" w:cs="Arial"/>
          <w:bCs/>
          <w:snapToGrid w:val="0"/>
          <w:sz w:val="22"/>
          <w:szCs w:val="22"/>
          <w:lang w:val="en-GB"/>
        </w:rPr>
      </w:pPr>
      <w:r w:rsidRPr="00284652">
        <w:rPr>
          <w:rFonts w:ascii="Arial" w:hAnsi="Arial" w:cs="Arial"/>
          <w:bCs/>
          <w:snapToGrid w:val="0"/>
          <w:sz w:val="22"/>
          <w:szCs w:val="22"/>
          <w:lang w:val="en-GB"/>
        </w:rPr>
        <w:t>Rejected</w:t>
      </w:r>
    </w:p>
    <w:p w:rsidR="00E64DCF" w:rsidRDefault="00E64DCF" w:rsidP="00E64DCF">
      <w:pPr>
        <w:jc w:val="both"/>
        <w:rPr>
          <w:rFonts w:ascii="Arial" w:hAnsi="Arial" w:cs="Arial"/>
          <w:bCs/>
          <w:snapToGrid w:val="0"/>
          <w:sz w:val="22"/>
          <w:szCs w:val="22"/>
          <w:lang w:val="en-GB"/>
        </w:rPr>
      </w:pPr>
    </w:p>
    <w:p w:rsidR="00EA00EB" w:rsidRPr="00E64DCF" w:rsidRDefault="00EA00EB" w:rsidP="00E64DCF">
      <w:pPr>
        <w:jc w:val="both"/>
        <w:rPr>
          <w:rFonts w:ascii="Arial" w:hAnsi="Arial" w:cs="Arial"/>
          <w:bCs/>
          <w:snapToGrid w:val="0"/>
          <w:sz w:val="22"/>
          <w:szCs w:val="22"/>
          <w:lang w:val="en-GB"/>
        </w:rPr>
      </w:pPr>
    </w:p>
    <w:p w:rsidR="0016054C" w:rsidRPr="0016054C" w:rsidRDefault="0016054C" w:rsidP="0016054C">
      <w:pPr>
        <w:widowControl w:val="0"/>
        <w:numPr>
          <w:ilvl w:val="0"/>
          <w:numId w:val="5"/>
        </w:numPr>
        <w:jc w:val="both"/>
        <w:outlineLvl w:val="0"/>
        <w:rPr>
          <w:rFonts w:ascii="Arial" w:hAnsi="Arial" w:cs="Arial"/>
          <w:b/>
          <w:snapToGrid w:val="0"/>
          <w:sz w:val="22"/>
          <w:szCs w:val="22"/>
          <w:lang w:eastAsia="en-US"/>
        </w:rPr>
      </w:pPr>
      <w:r w:rsidRPr="0016054C">
        <w:rPr>
          <w:rFonts w:ascii="Arial" w:hAnsi="Arial" w:cs="Arial"/>
          <w:b/>
          <w:snapToGrid w:val="0"/>
          <w:sz w:val="22"/>
          <w:szCs w:val="22"/>
          <w:lang w:eastAsia="en-US"/>
        </w:rPr>
        <w:t>Context for Decision</w:t>
      </w:r>
    </w:p>
    <w:p w:rsidR="0016054C" w:rsidRPr="0016054C" w:rsidRDefault="0016054C" w:rsidP="0016054C">
      <w:pPr>
        <w:widowControl w:val="0"/>
        <w:ind w:left="426"/>
        <w:jc w:val="both"/>
        <w:rPr>
          <w:rFonts w:ascii="Arial" w:hAnsi="Arial" w:cs="Arial"/>
          <w:snapToGrid w:val="0"/>
          <w:sz w:val="22"/>
          <w:szCs w:val="20"/>
          <w:lang w:eastAsia="en-US"/>
        </w:rPr>
      </w:pPr>
    </w:p>
    <w:p w:rsidR="0016054C" w:rsidRPr="0016054C" w:rsidRDefault="0016054C" w:rsidP="0016054C">
      <w:pPr>
        <w:widowControl w:val="0"/>
        <w:ind w:left="709"/>
        <w:jc w:val="both"/>
        <w:rPr>
          <w:rFonts w:ascii="Arial" w:hAnsi="Arial" w:cs="Arial"/>
          <w:snapToGrid w:val="0"/>
          <w:sz w:val="22"/>
          <w:szCs w:val="20"/>
          <w:lang w:eastAsia="en-US"/>
        </w:rPr>
      </w:pPr>
      <w:r w:rsidRPr="0016054C">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6054C" w:rsidRDefault="0016054C" w:rsidP="0016054C">
      <w:pPr>
        <w:widowControl w:val="0"/>
        <w:ind w:left="426"/>
        <w:jc w:val="both"/>
        <w:rPr>
          <w:rFonts w:ascii="Arial" w:hAnsi="Arial" w:cs="Arial"/>
          <w:snapToGrid w:val="0"/>
          <w:sz w:val="22"/>
          <w:szCs w:val="20"/>
          <w:lang w:eastAsia="en-US"/>
        </w:rPr>
      </w:pPr>
    </w:p>
    <w:p w:rsidR="00EA00EB" w:rsidRPr="0016054C" w:rsidRDefault="00EA00EB" w:rsidP="0016054C">
      <w:pPr>
        <w:widowControl w:val="0"/>
        <w:ind w:left="426"/>
        <w:jc w:val="both"/>
        <w:rPr>
          <w:rFonts w:ascii="Arial" w:hAnsi="Arial" w:cs="Arial"/>
          <w:snapToGrid w:val="0"/>
          <w:sz w:val="22"/>
          <w:szCs w:val="20"/>
          <w:lang w:eastAsia="en-US"/>
        </w:rPr>
      </w:pPr>
    </w:p>
    <w:p w:rsidR="0016054C" w:rsidRPr="0016054C" w:rsidRDefault="0016054C" w:rsidP="0016054C">
      <w:pPr>
        <w:widowControl w:val="0"/>
        <w:numPr>
          <w:ilvl w:val="0"/>
          <w:numId w:val="5"/>
        </w:numPr>
        <w:jc w:val="both"/>
        <w:outlineLvl w:val="0"/>
        <w:rPr>
          <w:rFonts w:ascii="Arial" w:hAnsi="Arial" w:cs="Arial"/>
          <w:b/>
          <w:snapToGrid w:val="0"/>
          <w:sz w:val="22"/>
          <w:szCs w:val="22"/>
          <w:lang w:eastAsia="en-US"/>
        </w:rPr>
      </w:pPr>
      <w:r w:rsidRPr="0016054C">
        <w:rPr>
          <w:rFonts w:ascii="Arial" w:hAnsi="Arial" w:cs="Arial"/>
          <w:b/>
          <w:snapToGrid w:val="0"/>
          <w:sz w:val="22"/>
          <w:szCs w:val="22"/>
          <w:lang w:eastAsia="en-US"/>
        </w:rPr>
        <w:t>Sponsor’s Comment</w:t>
      </w:r>
    </w:p>
    <w:p w:rsidR="0016054C" w:rsidRPr="0016054C" w:rsidRDefault="0016054C" w:rsidP="0016054C">
      <w:pPr>
        <w:widowControl w:val="0"/>
        <w:ind w:left="426"/>
        <w:jc w:val="both"/>
        <w:rPr>
          <w:rFonts w:ascii="Arial" w:hAnsi="Arial" w:cs="Arial"/>
          <w:bCs/>
          <w:snapToGrid w:val="0"/>
          <w:sz w:val="22"/>
          <w:szCs w:val="20"/>
          <w:highlight w:val="yellow"/>
          <w:lang w:val="en-GB" w:eastAsia="en-US"/>
        </w:rPr>
      </w:pPr>
    </w:p>
    <w:p w:rsidR="00334776" w:rsidRDefault="00334776" w:rsidP="00334776">
      <w:pPr>
        <w:widowControl w:val="0"/>
        <w:spacing w:after="120"/>
        <w:ind w:left="709"/>
        <w:jc w:val="both"/>
        <w:rPr>
          <w:rFonts w:ascii="Arial" w:hAnsi="Arial" w:cs="Arial"/>
          <w:bCs/>
          <w:snapToGrid w:val="0"/>
          <w:sz w:val="22"/>
          <w:szCs w:val="20"/>
          <w:lang w:val="en-GB" w:eastAsia="en-US"/>
        </w:rPr>
      </w:pPr>
      <w:r>
        <w:rPr>
          <w:rFonts w:ascii="Arial" w:hAnsi="Arial" w:cs="Arial"/>
          <w:bCs/>
          <w:snapToGrid w:val="0"/>
          <w:sz w:val="22"/>
          <w:szCs w:val="20"/>
          <w:lang w:val="en-GB" w:eastAsia="en-US"/>
        </w:rPr>
        <w:t>Janssen will continue to engage with the PBAC and Department of Health to work towards a resolution.</w:t>
      </w:r>
    </w:p>
    <w:p w:rsidR="00186D32" w:rsidRDefault="00186D32" w:rsidP="00186D32">
      <w:pPr>
        <w:widowControl w:val="0"/>
        <w:spacing w:after="120"/>
        <w:jc w:val="both"/>
        <w:rPr>
          <w:rFonts w:ascii="Arial" w:hAnsi="Arial" w:cs="Arial"/>
          <w:bCs/>
          <w:snapToGrid w:val="0"/>
          <w:sz w:val="22"/>
          <w:szCs w:val="20"/>
          <w:lang w:val="en-GB" w:eastAsia="en-US"/>
        </w:rPr>
      </w:pPr>
    </w:p>
    <w:p w:rsidR="00186D32" w:rsidRDefault="00186D32" w:rsidP="00186D32">
      <w:pPr>
        <w:widowControl w:val="0"/>
        <w:numPr>
          <w:ilvl w:val="0"/>
          <w:numId w:val="5"/>
        </w:numPr>
        <w:jc w:val="both"/>
        <w:outlineLvl w:val="0"/>
        <w:rPr>
          <w:rFonts w:ascii="Arial" w:hAnsi="Arial" w:cs="Arial"/>
          <w:b/>
          <w:bCs/>
          <w:snapToGrid w:val="0"/>
          <w:color w:val="FF0000"/>
          <w:sz w:val="22"/>
          <w:szCs w:val="22"/>
        </w:rPr>
      </w:pPr>
      <w:r w:rsidRPr="00186D32">
        <w:rPr>
          <w:rFonts w:ascii="Arial" w:hAnsi="Arial" w:cs="Arial"/>
          <w:b/>
          <w:snapToGrid w:val="0"/>
          <w:sz w:val="22"/>
          <w:szCs w:val="22"/>
          <w:lang w:eastAsia="en-US"/>
        </w:rPr>
        <w:t>Addendum to November 2016 PBAC Minutes</w:t>
      </w:r>
    </w:p>
    <w:p w:rsidR="00186D32" w:rsidRPr="006B4AEB" w:rsidRDefault="00186D32" w:rsidP="00186D32">
      <w:pPr>
        <w:widowControl w:val="0"/>
        <w:jc w:val="both"/>
        <w:rPr>
          <w:rFonts w:ascii="Arial" w:hAnsi="Arial" w:cs="Arial"/>
          <w:bCs/>
          <w:snapToGrid w:val="0"/>
          <w:sz w:val="22"/>
          <w:szCs w:val="22"/>
        </w:rPr>
      </w:pPr>
    </w:p>
    <w:p w:rsidR="00186D32" w:rsidRDefault="00186D32" w:rsidP="00755B8E">
      <w:pPr>
        <w:pStyle w:val="Heading2"/>
        <w:rPr>
          <w:snapToGrid w:val="0"/>
        </w:rPr>
      </w:pPr>
      <w:r w:rsidRPr="006B4AEB">
        <w:rPr>
          <w:snapToGrid w:val="0"/>
        </w:rPr>
        <w:t>Background</w:t>
      </w:r>
    </w:p>
    <w:p w:rsidR="00755B8E" w:rsidRPr="006B4AEB" w:rsidRDefault="00755B8E" w:rsidP="00186D32">
      <w:pPr>
        <w:widowControl w:val="0"/>
        <w:jc w:val="both"/>
        <w:rPr>
          <w:rFonts w:ascii="Arial" w:hAnsi="Arial" w:cs="Arial"/>
          <w:b/>
          <w:bCs/>
          <w:snapToGrid w:val="0"/>
          <w:sz w:val="22"/>
          <w:szCs w:val="22"/>
        </w:rPr>
      </w:pPr>
    </w:p>
    <w:p w:rsidR="00186D32" w:rsidRPr="006B4AEB" w:rsidRDefault="00186D32" w:rsidP="00186D32">
      <w:pPr>
        <w:widowControl w:val="0"/>
        <w:jc w:val="both"/>
        <w:rPr>
          <w:rFonts w:ascii="Arial" w:hAnsi="Arial" w:cs="Arial"/>
          <w:bCs/>
          <w:snapToGrid w:val="0"/>
          <w:sz w:val="22"/>
          <w:szCs w:val="22"/>
        </w:rPr>
      </w:pPr>
      <w:r w:rsidRPr="006B4AEB">
        <w:rPr>
          <w:rFonts w:ascii="Arial" w:hAnsi="Arial" w:cs="Arial"/>
          <w:bCs/>
          <w:snapToGrid w:val="0"/>
          <w:sz w:val="22"/>
          <w:szCs w:val="22"/>
        </w:rPr>
        <w:t>Subsequent to the November 2016 PBAC meeting, the sponsor revised the proposal it had made to the PBAC in the November 2016 submission.</w:t>
      </w:r>
      <w:r w:rsidR="00755B8E">
        <w:rPr>
          <w:rFonts w:ascii="Arial" w:hAnsi="Arial" w:cs="Arial"/>
          <w:bCs/>
          <w:snapToGrid w:val="0"/>
          <w:sz w:val="22"/>
          <w:szCs w:val="22"/>
        </w:rPr>
        <w:t xml:space="preserve"> </w:t>
      </w:r>
      <w:r w:rsidRPr="006B4AEB">
        <w:rPr>
          <w:rFonts w:ascii="Arial" w:hAnsi="Arial" w:cs="Arial"/>
          <w:bCs/>
          <w:snapToGrid w:val="0"/>
          <w:sz w:val="22"/>
          <w:szCs w:val="22"/>
        </w:rPr>
        <w:t xml:space="preserve">The new offer, dated </w:t>
      </w:r>
      <w:r w:rsidR="00755B8E">
        <w:rPr>
          <w:rFonts w:ascii="Arial" w:hAnsi="Arial" w:cs="Arial"/>
          <w:snapToGrid w:val="0"/>
          <w:sz w:val="22"/>
          <w:szCs w:val="22"/>
        </w:rPr>
        <w:t>23 January </w:t>
      </w:r>
      <w:r w:rsidRPr="006B4AEB">
        <w:rPr>
          <w:rFonts w:ascii="Arial" w:hAnsi="Arial" w:cs="Arial"/>
          <w:snapToGrid w:val="0"/>
          <w:sz w:val="22"/>
          <w:szCs w:val="22"/>
        </w:rPr>
        <w:t>2017</w:t>
      </w:r>
      <w:r>
        <w:rPr>
          <w:rFonts w:ascii="Arial" w:hAnsi="Arial" w:cs="Arial"/>
          <w:snapToGrid w:val="0"/>
          <w:sz w:val="22"/>
          <w:szCs w:val="22"/>
        </w:rPr>
        <w:t xml:space="preserve"> </w:t>
      </w:r>
      <w:r w:rsidRPr="006B4AEB">
        <w:rPr>
          <w:rFonts w:ascii="Arial" w:hAnsi="Arial" w:cs="Arial"/>
          <w:bCs/>
          <w:snapToGrid w:val="0"/>
          <w:sz w:val="22"/>
          <w:szCs w:val="22"/>
        </w:rPr>
        <w:t xml:space="preserve">represents a </w:t>
      </w:r>
      <w:r w:rsidR="00634107">
        <w:rPr>
          <w:rFonts w:ascii="Arial" w:hAnsi="Arial" w:cs="Arial"/>
          <w:bCs/>
          <w:noProof/>
          <w:snapToGrid w:val="0"/>
          <w:color w:val="000000"/>
          <w:sz w:val="22"/>
          <w:szCs w:val="22"/>
          <w:highlight w:val="black"/>
        </w:rPr>
        <w:t>''''''''''''</w:t>
      </w:r>
      <w:r w:rsidRPr="006B4AEB">
        <w:rPr>
          <w:rFonts w:ascii="Arial" w:hAnsi="Arial" w:cs="Arial"/>
          <w:bCs/>
          <w:snapToGrid w:val="0"/>
          <w:sz w:val="22"/>
          <w:szCs w:val="22"/>
        </w:rPr>
        <w:t xml:space="preserve">% reduction in the gross </w:t>
      </w:r>
      <w:r w:rsidR="00EA00EB">
        <w:rPr>
          <w:rFonts w:ascii="Arial" w:hAnsi="Arial" w:cs="Arial"/>
          <w:bCs/>
          <w:snapToGrid w:val="0"/>
          <w:sz w:val="22"/>
          <w:szCs w:val="22"/>
        </w:rPr>
        <w:t>cost to the PBS over the August </w:t>
      </w:r>
      <w:r w:rsidRPr="006B4AEB">
        <w:rPr>
          <w:rFonts w:ascii="Arial" w:hAnsi="Arial" w:cs="Arial"/>
          <w:bCs/>
          <w:snapToGrid w:val="0"/>
          <w:sz w:val="22"/>
          <w:szCs w:val="22"/>
        </w:rPr>
        <w:t>2016 submission (</w:t>
      </w:r>
      <w:r w:rsidR="0031336D" w:rsidRPr="0031336D">
        <w:rPr>
          <w:rFonts w:ascii="Arial" w:hAnsi="Arial" w:cs="Arial"/>
          <w:bCs/>
          <w:snapToGrid w:val="0"/>
          <w:sz w:val="22"/>
          <w:szCs w:val="22"/>
        </w:rPr>
        <w:t>more than $100 million</w:t>
      </w:r>
      <w:r w:rsidRPr="006B4AEB">
        <w:rPr>
          <w:rFonts w:ascii="Arial" w:hAnsi="Arial" w:cs="Arial"/>
          <w:bCs/>
          <w:snapToGrid w:val="0"/>
          <w:sz w:val="22"/>
          <w:szCs w:val="22"/>
        </w:rPr>
        <w:t xml:space="preserve">) and a </w:t>
      </w:r>
      <w:r w:rsidR="00634107">
        <w:rPr>
          <w:rFonts w:ascii="Arial" w:hAnsi="Arial" w:cs="Arial"/>
          <w:bCs/>
          <w:noProof/>
          <w:snapToGrid w:val="0"/>
          <w:color w:val="000000"/>
          <w:sz w:val="22"/>
          <w:szCs w:val="22"/>
          <w:highlight w:val="black"/>
        </w:rPr>
        <w:t>''''''''''</w:t>
      </w:r>
      <w:r w:rsidRPr="006B4AEB">
        <w:rPr>
          <w:rFonts w:ascii="Arial" w:hAnsi="Arial" w:cs="Arial"/>
          <w:bCs/>
          <w:snapToGrid w:val="0"/>
          <w:sz w:val="22"/>
          <w:szCs w:val="22"/>
        </w:rPr>
        <w:t>% reduction in gross cost to the PBS from the November 2016 submission (</w:t>
      </w:r>
      <w:r w:rsidR="0031336D" w:rsidRPr="0031336D">
        <w:rPr>
          <w:rFonts w:ascii="Arial" w:hAnsi="Arial" w:cs="Arial"/>
          <w:bCs/>
          <w:snapToGrid w:val="0"/>
          <w:sz w:val="22"/>
          <w:szCs w:val="22"/>
        </w:rPr>
        <w:t>more than $100 million</w:t>
      </w:r>
      <w:r w:rsidRPr="006B4AEB">
        <w:rPr>
          <w:rFonts w:ascii="Arial" w:hAnsi="Arial" w:cs="Arial"/>
          <w:bCs/>
          <w:snapToGrid w:val="0"/>
          <w:sz w:val="22"/>
          <w:szCs w:val="22"/>
        </w:rPr>
        <w:t xml:space="preserve">), to be achieved by a reduction in the level of the first cap (from </w:t>
      </w:r>
      <w:r w:rsidR="00634107">
        <w:rPr>
          <w:rFonts w:ascii="Arial" w:hAnsi="Arial" w:cs="Arial"/>
          <w:bCs/>
          <w:noProof/>
          <w:snapToGrid w:val="0"/>
          <w:color w:val="000000"/>
          <w:sz w:val="22"/>
          <w:szCs w:val="22"/>
          <w:highlight w:val="black"/>
        </w:rPr>
        <w:t>'''''' ''''' ''''''</w:t>
      </w:r>
      <w:r w:rsidRPr="006B4AEB">
        <w:rPr>
          <w:rFonts w:ascii="Arial" w:hAnsi="Arial" w:cs="Arial"/>
          <w:bCs/>
          <w:snapToGrid w:val="0"/>
          <w:sz w:val="22"/>
          <w:szCs w:val="22"/>
        </w:rPr>
        <w:t xml:space="preserve">% of estimated </w:t>
      </w:r>
      <w:r w:rsidR="0031336D">
        <w:rPr>
          <w:rFonts w:ascii="Arial" w:hAnsi="Arial" w:cs="Arial"/>
          <w:bCs/>
          <w:snapToGrid w:val="0"/>
          <w:sz w:val="22"/>
          <w:szCs w:val="22"/>
        </w:rPr>
        <w:t>expenditure) and the total cap.</w:t>
      </w:r>
    </w:p>
    <w:p w:rsidR="00186D32" w:rsidRPr="006B4AEB" w:rsidRDefault="00186D32" w:rsidP="00186D32">
      <w:pPr>
        <w:jc w:val="both"/>
        <w:rPr>
          <w:rFonts w:ascii="Arial Narrow" w:hAnsi="Arial Narrow"/>
          <w:b/>
          <w:sz w:val="22"/>
          <w:szCs w:val="20"/>
        </w:rPr>
      </w:pPr>
    </w:p>
    <w:p w:rsidR="00186D32" w:rsidRPr="006B4AEB" w:rsidRDefault="00186D32" w:rsidP="00186D32">
      <w:pPr>
        <w:rPr>
          <w:rFonts w:ascii="Arial" w:hAnsi="Arial"/>
          <w:sz w:val="22"/>
          <w:szCs w:val="22"/>
        </w:rPr>
      </w:pPr>
      <w:r w:rsidRPr="006B4AEB">
        <w:rPr>
          <w:rFonts w:ascii="Arial" w:hAnsi="Arial"/>
          <w:sz w:val="22"/>
          <w:szCs w:val="22"/>
        </w:rPr>
        <w:t>A summary of the revised proposal follows:</w:t>
      </w:r>
    </w:p>
    <w:p w:rsidR="00186D32" w:rsidRPr="00634107" w:rsidRDefault="00634107" w:rsidP="00634107">
      <w:pPr>
        <w:widowControl w:val="0"/>
        <w:ind w:left="720" w:hanging="720"/>
        <w:contextualSpacing/>
        <w:jc w:val="both"/>
        <w:rPr>
          <w:rFonts w:ascii="Arial" w:hAnsi="Arial" w:cs="Arial"/>
          <w:snapToGrid w:val="0"/>
          <w:sz w:val="22"/>
          <w:szCs w:val="22"/>
          <w:highlight w:val="black"/>
        </w:rPr>
      </w:pP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p>
    <w:p w:rsidR="00186D32" w:rsidRPr="00634107" w:rsidRDefault="00634107" w:rsidP="00634107">
      <w:pPr>
        <w:widowControl w:val="0"/>
        <w:ind w:left="720" w:hanging="720"/>
        <w:contextualSpacing/>
        <w:jc w:val="both"/>
        <w:rPr>
          <w:rFonts w:ascii="Arial" w:hAnsi="Arial" w:cs="Arial"/>
          <w:snapToGrid w:val="0"/>
          <w:sz w:val="22"/>
          <w:szCs w:val="22"/>
          <w:highlight w:val="black"/>
        </w:rPr>
      </w:pP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p>
    <w:p w:rsidR="00186D32" w:rsidRPr="00634107" w:rsidRDefault="00634107" w:rsidP="00634107">
      <w:pPr>
        <w:widowControl w:val="0"/>
        <w:ind w:left="720" w:hanging="720"/>
        <w:contextualSpacing/>
        <w:jc w:val="both"/>
        <w:rPr>
          <w:rFonts w:ascii="Arial" w:hAnsi="Arial" w:cs="Arial"/>
          <w:snapToGrid w:val="0"/>
          <w:sz w:val="22"/>
          <w:szCs w:val="22"/>
          <w:highlight w:val="black"/>
        </w:rPr>
      </w:pP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r>
        <w:rPr>
          <w:rFonts w:ascii="Symbol" w:hAnsi="Symbol" w:cs="Arial"/>
          <w:noProof/>
          <w:snapToGrid w:val="0"/>
          <w:color w:val="000000"/>
          <w:sz w:val="22"/>
          <w:szCs w:val="22"/>
          <w:highlight w:val="black"/>
        </w:rPr>
        <w:t></w:t>
      </w:r>
    </w:p>
    <w:p w:rsidR="00186D32" w:rsidRPr="006B4AEB" w:rsidRDefault="00634107" w:rsidP="00186D32">
      <w:pPr>
        <w:widowControl w:val="0"/>
        <w:numPr>
          <w:ilvl w:val="0"/>
          <w:numId w:val="26"/>
        </w:numPr>
        <w:contextualSpacing/>
        <w:jc w:val="both"/>
        <w:rPr>
          <w:rFonts w:ascii="Arial" w:hAnsi="Arial" w:cs="Arial"/>
          <w:snapToGrid w:val="0"/>
          <w:sz w:val="22"/>
          <w:szCs w:val="22"/>
        </w:rPr>
      </w:pPr>
      <w:r>
        <w:rPr>
          <w:rFonts w:ascii="Arial" w:hAnsi="Arial" w:cs="Arial"/>
          <w:noProof/>
          <w:snapToGrid w:val="0"/>
          <w:color w:val="000000"/>
          <w:sz w:val="22"/>
          <w:szCs w:val="22"/>
          <w:highlight w:val="black"/>
        </w:rPr>
        <w:t>''''''' ''''''''''''''''''''''''''''''''' ''''' '''''''''''''''''''''''''' ''''''''''''' '''''''''''' '''' '''''''''''''''' ''' '''''''''''' '''''''''' ''''' ''''''''''''''</w:t>
      </w:r>
      <w:r w:rsidR="00186D32" w:rsidRPr="006B4AEB">
        <w:rPr>
          <w:rFonts w:ascii="Arial" w:hAnsi="Arial" w:cs="Arial"/>
          <w:snapToGrid w:val="0"/>
          <w:sz w:val="22"/>
          <w:szCs w:val="22"/>
        </w:rPr>
        <w:t>;</w:t>
      </w:r>
    </w:p>
    <w:p w:rsidR="00186D32" w:rsidRPr="006B4AEB" w:rsidRDefault="00186D32" w:rsidP="00186D32">
      <w:pPr>
        <w:widowControl w:val="0"/>
        <w:numPr>
          <w:ilvl w:val="0"/>
          <w:numId w:val="26"/>
        </w:numPr>
        <w:contextualSpacing/>
        <w:jc w:val="both"/>
        <w:rPr>
          <w:rFonts w:ascii="Arial" w:hAnsi="Arial" w:cs="Arial"/>
          <w:snapToGrid w:val="0"/>
          <w:sz w:val="22"/>
          <w:szCs w:val="22"/>
        </w:rPr>
      </w:pPr>
      <w:r w:rsidRPr="006B4AEB">
        <w:rPr>
          <w:rFonts w:ascii="Arial" w:hAnsi="Arial" w:cs="Arial"/>
          <w:snapToGrid w:val="0"/>
          <w:sz w:val="22"/>
          <w:szCs w:val="22"/>
        </w:rPr>
        <w:t xml:space="preserve">an estimated gross PBS impact over 5 years of </w:t>
      </w:r>
      <w:r w:rsidR="0031336D" w:rsidRPr="0031336D">
        <w:rPr>
          <w:rFonts w:ascii="Arial" w:hAnsi="Arial" w:cs="Arial"/>
          <w:bCs/>
          <w:snapToGrid w:val="0"/>
          <w:sz w:val="22"/>
          <w:szCs w:val="22"/>
        </w:rPr>
        <w:t>more than $100 million</w:t>
      </w:r>
      <w:r w:rsidR="0031336D" w:rsidRPr="006B4AEB" w:rsidDel="0031336D">
        <w:rPr>
          <w:rFonts w:ascii="Arial" w:hAnsi="Arial" w:cs="Arial"/>
          <w:snapToGrid w:val="0"/>
          <w:sz w:val="22"/>
          <w:szCs w:val="22"/>
        </w:rPr>
        <w:t xml:space="preserve"> </w:t>
      </w:r>
      <w:r w:rsidRPr="006B4AEB">
        <w:rPr>
          <w:rFonts w:ascii="Arial" w:hAnsi="Arial" w:cs="Arial"/>
          <w:snapToGrid w:val="0"/>
          <w:sz w:val="22"/>
          <w:szCs w:val="22"/>
        </w:rPr>
        <w:t xml:space="preserve">(with the cost offset for the comparator (rituximab plus chlorambucil) the net cost to the PBS is </w:t>
      </w:r>
      <w:r w:rsidR="0031336D" w:rsidRPr="0031336D">
        <w:rPr>
          <w:rFonts w:ascii="Arial" w:hAnsi="Arial" w:cs="Arial"/>
          <w:bCs/>
          <w:snapToGrid w:val="0"/>
          <w:sz w:val="22"/>
          <w:szCs w:val="22"/>
        </w:rPr>
        <w:t>more than $100 million</w:t>
      </w:r>
      <w:r w:rsidRPr="006B4AEB">
        <w:rPr>
          <w:rFonts w:ascii="Arial" w:hAnsi="Arial" w:cs="Arial"/>
          <w:snapToGrid w:val="0"/>
          <w:sz w:val="22"/>
          <w:szCs w:val="22"/>
        </w:rPr>
        <w:t>); and</w:t>
      </w:r>
    </w:p>
    <w:p w:rsidR="00186D32" w:rsidRPr="006B4AEB" w:rsidRDefault="00186D32" w:rsidP="00186D32">
      <w:pPr>
        <w:widowControl w:val="0"/>
        <w:numPr>
          <w:ilvl w:val="0"/>
          <w:numId w:val="26"/>
        </w:numPr>
        <w:contextualSpacing/>
        <w:jc w:val="both"/>
        <w:rPr>
          <w:rFonts w:ascii="Arial" w:hAnsi="Arial" w:cs="Arial"/>
          <w:snapToGrid w:val="0"/>
          <w:sz w:val="22"/>
          <w:szCs w:val="22"/>
        </w:rPr>
      </w:pPr>
      <w:r w:rsidRPr="006B4AEB">
        <w:rPr>
          <w:rFonts w:ascii="Arial" w:hAnsi="Arial" w:cs="Arial"/>
          <w:snapToGrid w:val="0"/>
          <w:sz w:val="22"/>
          <w:szCs w:val="22"/>
        </w:rPr>
        <w:t>an incremental cost per quality adjusted life year (QALY) gained of $</w:t>
      </w:r>
      <w:r w:rsidR="0031336D">
        <w:rPr>
          <w:rFonts w:ascii="Arial" w:hAnsi="Arial" w:cs="Arial"/>
          <w:snapToGrid w:val="0"/>
          <w:sz w:val="22"/>
          <w:szCs w:val="22"/>
        </w:rPr>
        <w:t>45,000 - $75,000</w:t>
      </w:r>
      <w:r w:rsidRPr="006B4AEB">
        <w:rPr>
          <w:rFonts w:ascii="Arial" w:hAnsi="Arial" w:cs="Arial"/>
          <w:snapToGrid w:val="0"/>
          <w:sz w:val="22"/>
          <w:szCs w:val="22"/>
        </w:rPr>
        <w:t xml:space="preserve"> if OS curves are converged over 10 years, </w:t>
      </w:r>
      <w:r w:rsidR="0031336D" w:rsidRPr="006B4AEB">
        <w:rPr>
          <w:rFonts w:ascii="Arial" w:hAnsi="Arial" w:cs="Arial"/>
          <w:snapToGrid w:val="0"/>
          <w:sz w:val="22"/>
          <w:szCs w:val="22"/>
        </w:rPr>
        <w:t>$</w:t>
      </w:r>
      <w:r w:rsidR="0031336D">
        <w:rPr>
          <w:rFonts w:ascii="Arial" w:hAnsi="Arial" w:cs="Arial"/>
          <w:snapToGrid w:val="0"/>
          <w:sz w:val="22"/>
          <w:szCs w:val="22"/>
        </w:rPr>
        <w:t>45,000 - $75,000</w:t>
      </w:r>
      <w:r w:rsidRPr="006B4AEB">
        <w:rPr>
          <w:rFonts w:ascii="Arial" w:hAnsi="Arial" w:cs="Arial"/>
          <w:snapToGrid w:val="0"/>
          <w:sz w:val="22"/>
          <w:szCs w:val="22"/>
        </w:rPr>
        <w:t>if OS curves converged over 25 years</w:t>
      </w:r>
      <w:r w:rsidR="00EA00EB">
        <w:rPr>
          <w:rFonts w:ascii="Arial" w:hAnsi="Arial" w:cs="Arial"/>
          <w:snapToGrid w:val="0"/>
          <w:sz w:val="22"/>
          <w:szCs w:val="22"/>
        </w:rPr>
        <w:t>.</w:t>
      </w:r>
    </w:p>
    <w:p w:rsidR="00186D32" w:rsidRPr="006B4AEB" w:rsidRDefault="00186D32" w:rsidP="00186D32">
      <w:pPr>
        <w:jc w:val="both"/>
        <w:rPr>
          <w:rFonts w:ascii="Arial Narrow" w:hAnsi="Arial Narrow"/>
          <w:b/>
          <w:sz w:val="22"/>
          <w:szCs w:val="20"/>
        </w:rPr>
      </w:pPr>
    </w:p>
    <w:p w:rsidR="00186D32" w:rsidRPr="006B4AEB" w:rsidRDefault="00186D32" w:rsidP="00186D32">
      <w:pPr>
        <w:rPr>
          <w:szCs w:val="22"/>
        </w:rPr>
      </w:pPr>
      <w:r w:rsidRPr="006B4AEB">
        <w:rPr>
          <w:rFonts w:ascii="Arial" w:hAnsi="Arial" w:cs="Arial"/>
          <w:sz w:val="22"/>
          <w:szCs w:val="22"/>
        </w:rPr>
        <w:t>The submission’s estimates of the impact of the revisions to the caps on the gross financial implications to the PBS of listing ibrutinib are as follows</w:t>
      </w:r>
      <w:r w:rsidRPr="006B4AEB">
        <w:rPr>
          <w:szCs w:val="22"/>
        </w:rPr>
        <w:t>:</w:t>
      </w:r>
    </w:p>
    <w:p w:rsidR="00186D32" w:rsidRPr="006B4AEB" w:rsidRDefault="00186D32" w:rsidP="00186D32">
      <w:pPr>
        <w:widowControl w:val="0"/>
        <w:ind w:left="720"/>
        <w:contextualSpacing/>
        <w:jc w:val="both"/>
        <w:rPr>
          <w:rFonts w:ascii="Arial" w:hAnsi="Arial" w:cs="Arial"/>
          <w:snapToGrid w:val="0"/>
          <w:sz w:val="22"/>
          <w:szCs w:val="22"/>
        </w:rPr>
      </w:pPr>
    </w:p>
    <w:tbl>
      <w:tblPr>
        <w:tblW w:w="8931" w:type="dxa"/>
        <w:tblInd w:w="108" w:type="dxa"/>
        <w:tblLayout w:type="fixed"/>
        <w:tblLook w:val="04A0" w:firstRow="1" w:lastRow="0" w:firstColumn="1" w:lastColumn="0" w:noHBand="0" w:noVBand="1"/>
      </w:tblPr>
      <w:tblGrid>
        <w:gridCol w:w="993"/>
        <w:gridCol w:w="1417"/>
        <w:gridCol w:w="1559"/>
        <w:gridCol w:w="737"/>
        <w:gridCol w:w="737"/>
        <w:gridCol w:w="737"/>
        <w:gridCol w:w="737"/>
        <w:gridCol w:w="737"/>
        <w:gridCol w:w="1277"/>
      </w:tblGrid>
      <w:tr w:rsidR="00186D32" w:rsidRPr="00EA00EB" w:rsidTr="00EA00EB">
        <w:trPr>
          <w:trHeight w:val="170"/>
        </w:trPr>
        <w:tc>
          <w:tcPr>
            <w:tcW w:w="993" w:type="dxa"/>
            <w:tcBorders>
              <w:top w:val="single" w:sz="4" w:space="0" w:color="auto"/>
              <w:left w:val="single" w:sz="4" w:space="0" w:color="auto"/>
              <w:bottom w:val="single" w:sz="4" w:space="0" w:color="auto"/>
              <w:right w:val="double" w:sz="4" w:space="0" w:color="auto"/>
            </w:tcBorders>
            <w:shd w:val="clear" w:color="auto" w:fill="auto"/>
            <w:noWrap/>
            <w:vAlign w:val="center"/>
          </w:tcPr>
          <w:p w:rsidR="00186D32" w:rsidRPr="00EA00EB" w:rsidRDefault="00186D32" w:rsidP="00EA00EB">
            <w:pPr>
              <w:jc w:val="center"/>
              <w:rPr>
                <w:rFonts w:ascii="Arial Narrow" w:hAnsi="Arial Narrow" w:cs="Calibri"/>
                <w:color w:val="000000"/>
                <w:sz w:val="20"/>
                <w:szCs w:val="20"/>
              </w:rPr>
            </w:pPr>
          </w:p>
        </w:tc>
        <w:tc>
          <w:tcPr>
            <w:tcW w:w="1417" w:type="dxa"/>
            <w:tcBorders>
              <w:top w:val="single" w:sz="4" w:space="0" w:color="auto"/>
              <w:left w:val="double" w:sz="4" w:space="0" w:color="auto"/>
              <w:bottom w:val="single" w:sz="4" w:space="0" w:color="auto"/>
              <w:right w:val="single" w:sz="4" w:space="0" w:color="auto"/>
            </w:tcBorders>
            <w:shd w:val="clear" w:color="auto" w:fill="auto"/>
            <w:vAlign w:val="center"/>
          </w:tcPr>
          <w:p w:rsidR="00186D32" w:rsidRPr="00EA00EB" w:rsidRDefault="00186D32" w:rsidP="00EA00EB">
            <w:pPr>
              <w:jc w:val="center"/>
              <w:rPr>
                <w:rFonts w:ascii="Arial Narrow" w:hAnsi="Arial Narrow" w:cs="Calibri"/>
                <w:b/>
                <w:bCs/>
                <w:color w:val="000000"/>
                <w:sz w:val="20"/>
                <w:szCs w:val="20"/>
              </w:rPr>
            </w:pPr>
          </w:p>
        </w:tc>
        <w:tc>
          <w:tcPr>
            <w:tcW w:w="1559" w:type="dxa"/>
            <w:tcBorders>
              <w:top w:val="single" w:sz="4" w:space="0" w:color="auto"/>
              <w:left w:val="nil"/>
              <w:bottom w:val="single" w:sz="4" w:space="0" w:color="auto"/>
              <w:right w:val="double" w:sz="4" w:space="0" w:color="auto"/>
            </w:tcBorders>
            <w:shd w:val="clear" w:color="auto" w:fill="auto"/>
            <w:noWrap/>
            <w:vAlign w:val="center"/>
          </w:tcPr>
          <w:p w:rsidR="00186D32" w:rsidRPr="00EA00EB" w:rsidRDefault="00186D32" w:rsidP="00EA00EB">
            <w:pPr>
              <w:jc w:val="center"/>
              <w:rPr>
                <w:rFonts w:ascii="Arial Narrow" w:hAnsi="Arial Narrow" w:cs="Calibri"/>
                <w:b/>
                <w:bCs/>
                <w:color w:val="000000"/>
                <w:sz w:val="20"/>
                <w:szCs w:val="20"/>
              </w:rPr>
            </w:pPr>
          </w:p>
        </w:tc>
        <w:tc>
          <w:tcPr>
            <w:tcW w:w="4962" w:type="dxa"/>
            <w:gridSpan w:val="6"/>
            <w:tcBorders>
              <w:top w:val="single" w:sz="4" w:space="0" w:color="auto"/>
              <w:left w:val="double" w:sz="4" w:space="0" w:color="auto"/>
              <w:bottom w:val="single" w:sz="4" w:space="0" w:color="auto"/>
              <w:right w:val="single" w:sz="4" w:space="0" w:color="auto"/>
            </w:tcBorders>
            <w:shd w:val="clear" w:color="auto" w:fill="auto"/>
            <w:noWrap/>
            <w:vAlign w:val="center"/>
          </w:tcPr>
          <w:p w:rsidR="00186D32" w:rsidRPr="00EA00EB" w:rsidRDefault="00186D32" w:rsidP="00EA00EB">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Annual Cost (millions)</w:t>
            </w:r>
          </w:p>
        </w:tc>
      </w:tr>
      <w:tr w:rsidR="00EA00EB" w:rsidRPr="00EA00EB" w:rsidTr="00EA00EB">
        <w:trPr>
          <w:trHeight w:val="340"/>
        </w:trPr>
        <w:tc>
          <w:tcPr>
            <w:tcW w:w="993"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rsidR="00186D32" w:rsidRPr="00EA00EB" w:rsidRDefault="00186D32" w:rsidP="0031336D">
            <w:pPr>
              <w:jc w:val="both"/>
              <w:rPr>
                <w:rFonts w:ascii="Arial Narrow" w:hAnsi="Arial Narrow" w:cs="Calibri"/>
                <w:color w:val="000000"/>
                <w:sz w:val="20"/>
                <w:szCs w:val="20"/>
              </w:rPr>
            </w:pPr>
            <w:r w:rsidRPr="00EA00EB">
              <w:rPr>
                <w:rFonts w:ascii="Arial Narrow" w:hAnsi="Arial Narrow" w:cs="Calibri"/>
                <w:color w:val="000000"/>
                <w:sz w:val="20"/>
                <w:szCs w:val="20"/>
              </w:rPr>
              <w:t> </w:t>
            </w:r>
          </w:p>
        </w:tc>
        <w:tc>
          <w:tcPr>
            <w:tcW w:w="1417"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186D32" w:rsidRPr="00EA00EB" w:rsidRDefault="00186D32" w:rsidP="0031336D">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Ex-Manufacturer Price</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186D32" w:rsidRPr="00EA00EB" w:rsidRDefault="00186D32" w:rsidP="0031336D">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DPMQ</w:t>
            </w:r>
          </w:p>
        </w:tc>
        <w:tc>
          <w:tcPr>
            <w:tcW w:w="73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186D32" w:rsidRPr="00EA00EB" w:rsidRDefault="00186D32" w:rsidP="0031336D">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Year 1</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186D32" w:rsidRPr="00EA00EB" w:rsidRDefault="00186D32" w:rsidP="0031336D">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Year 2</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186D32" w:rsidRPr="00EA00EB" w:rsidRDefault="00186D32" w:rsidP="0031336D">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Year 3</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186D32" w:rsidRPr="00EA00EB" w:rsidRDefault="00186D32" w:rsidP="0031336D">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Year 4</w:t>
            </w:r>
          </w:p>
        </w:tc>
        <w:tc>
          <w:tcPr>
            <w:tcW w:w="737" w:type="dxa"/>
            <w:tcBorders>
              <w:top w:val="single" w:sz="4" w:space="0" w:color="auto"/>
              <w:left w:val="nil"/>
              <w:bottom w:val="single" w:sz="4" w:space="0" w:color="auto"/>
              <w:right w:val="thinThickSmallGap" w:sz="24" w:space="0" w:color="auto"/>
            </w:tcBorders>
            <w:shd w:val="clear" w:color="auto" w:fill="auto"/>
            <w:noWrap/>
            <w:vAlign w:val="center"/>
            <w:hideMark/>
          </w:tcPr>
          <w:p w:rsidR="00186D32" w:rsidRPr="00EA00EB" w:rsidRDefault="00186D32" w:rsidP="0031336D">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Year 5</w:t>
            </w:r>
          </w:p>
        </w:tc>
        <w:tc>
          <w:tcPr>
            <w:tcW w:w="1277" w:type="dxa"/>
            <w:tcBorders>
              <w:top w:val="single" w:sz="4" w:space="0" w:color="auto"/>
              <w:left w:val="thinThickSmallGap" w:sz="24" w:space="0" w:color="auto"/>
              <w:bottom w:val="single" w:sz="4" w:space="0" w:color="auto"/>
              <w:right w:val="single" w:sz="4" w:space="0" w:color="auto"/>
            </w:tcBorders>
            <w:shd w:val="clear" w:color="auto" w:fill="D9D9D9" w:themeFill="background1" w:themeFillShade="D9"/>
            <w:noWrap/>
            <w:vAlign w:val="center"/>
            <w:hideMark/>
          </w:tcPr>
          <w:p w:rsidR="00186D32" w:rsidRPr="00EA00EB" w:rsidRDefault="00186D32" w:rsidP="0031336D">
            <w:pPr>
              <w:jc w:val="center"/>
              <w:rPr>
                <w:rFonts w:ascii="Arial Narrow" w:hAnsi="Arial Narrow" w:cs="Calibri"/>
                <w:b/>
                <w:bCs/>
                <w:color w:val="000000"/>
                <w:sz w:val="20"/>
                <w:szCs w:val="20"/>
              </w:rPr>
            </w:pPr>
            <w:r w:rsidRPr="00EA00EB">
              <w:rPr>
                <w:rFonts w:ascii="Arial Narrow" w:hAnsi="Arial Narrow" w:cs="Calibri"/>
                <w:b/>
                <w:bCs/>
                <w:color w:val="000000"/>
                <w:sz w:val="20"/>
                <w:szCs w:val="20"/>
              </w:rPr>
              <w:t>Cumulative total</w:t>
            </w:r>
          </w:p>
        </w:tc>
      </w:tr>
      <w:tr w:rsidR="00EA00EB" w:rsidRPr="00EA00EB" w:rsidTr="00EA00EB">
        <w:trPr>
          <w:trHeight w:val="825"/>
        </w:trPr>
        <w:tc>
          <w:tcPr>
            <w:tcW w:w="993"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rsidR="00186D32" w:rsidRPr="00EA00EB" w:rsidRDefault="00186D32" w:rsidP="0031336D">
            <w:pPr>
              <w:rPr>
                <w:rFonts w:ascii="Arial Narrow" w:hAnsi="Arial Narrow" w:cs="Calibri"/>
                <w:sz w:val="20"/>
                <w:szCs w:val="20"/>
              </w:rPr>
            </w:pPr>
            <w:r w:rsidRPr="00EA00EB">
              <w:rPr>
                <w:rFonts w:ascii="Arial Narrow" w:hAnsi="Arial Narrow" w:cs="Calibri"/>
                <w:b/>
                <w:sz w:val="20"/>
                <w:szCs w:val="20"/>
              </w:rPr>
              <w:t xml:space="preserve">Net Cost R/PBS of listing Ibrutinib </w:t>
            </w:r>
          </w:p>
        </w:tc>
        <w:tc>
          <w:tcPr>
            <w:tcW w:w="1417"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186D32" w:rsidRPr="00634107" w:rsidRDefault="00634107" w:rsidP="0031336D">
            <w:pPr>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 '''' ''''''''''''''''''''''''</w:t>
            </w:r>
            <w:r>
              <w:rPr>
                <w:rFonts w:ascii="Arial Narrow" w:hAnsi="Arial Narrow" w:cs="Calibri"/>
                <w:bCs/>
                <w:noProof/>
                <w:color w:val="000000"/>
                <w:sz w:val="20"/>
                <w:szCs w:val="20"/>
                <w:highlight w:val="black"/>
              </w:rPr>
              <w:br/>
              <w:t>'''''''''' ''''' ''''''''''''''''''''''''''</w:t>
            </w:r>
          </w:p>
        </w:tc>
        <w:tc>
          <w:tcPr>
            <w:tcW w:w="1559" w:type="dxa"/>
            <w:tcBorders>
              <w:top w:val="single" w:sz="4" w:space="0" w:color="auto"/>
              <w:left w:val="nil"/>
              <w:bottom w:val="single" w:sz="4" w:space="0" w:color="auto"/>
              <w:right w:val="double" w:sz="4" w:space="0" w:color="auto"/>
            </w:tcBorders>
            <w:shd w:val="clear" w:color="auto" w:fill="auto"/>
            <w:noWrap/>
            <w:vAlign w:val="center"/>
            <w:hideMark/>
          </w:tcPr>
          <w:p w:rsidR="00186D32" w:rsidRPr="00634107" w:rsidRDefault="00634107" w:rsidP="0031336D">
            <w:pPr>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 '''' '''''''''''''''''''''''''</w:t>
            </w:r>
            <w:r>
              <w:rPr>
                <w:rFonts w:ascii="Arial Narrow" w:hAnsi="Arial Narrow" w:cs="Calibri"/>
                <w:bCs/>
                <w:noProof/>
                <w:color w:val="000000"/>
                <w:sz w:val="20"/>
                <w:szCs w:val="20"/>
                <w:highlight w:val="black"/>
              </w:rPr>
              <w:br/>
              <w:t>'''''''''' '''' '''''''''''''''''''''''''</w:t>
            </w:r>
          </w:p>
        </w:tc>
        <w:tc>
          <w:tcPr>
            <w:tcW w:w="73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186D32" w:rsidRPr="00EA00EB" w:rsidRDefault="00186D32" w:rsidP="0031336D">
            <w:pPr>
              <w:jc w:val="center"/>
              <w:rPr>
                <w:rFonts w:ascii="Arial Narrow" w:hAnsi="Arial Narrow" w:cs="Calibri"/>
                <w:bCs/>
                <w:color w:val="000000"/>
                <w:sz w:val="20"/>
                <w:szCs w:val="20"/>
              </w:rPr>
            </w:pPr>
            <w:r w:rsidRPr="00EA00EB">
              <w:rPr>
                <w:rFonts w:ascii="Arial Narrow" w:hAnsi="Arial Narrow" w:cs="Calibri"/>
                <w:bCs/>
                <w:color w:val="000000"/>
                <w:sz w:val="20"/>
                <w:szCs w:val="20"/>
              </w:rPr>
              <w:t>$</w:t>
            </w:r>
            <w:r w:rsidR="00634107">
              <w:rPr>
                <w:rFonts w:ascii="Arial Narrow" w:hAnsi="Arial Narrow" w:cs="Calibri"/>
                <w:bCs/>
                <w:noProof/>
                <w:color w:val="000000"/>
                <w:sz w:val="20"/>
                <w:szCs w:val="20"/>
                <w:highlight w:val="black"/>
              </w:rPr>
              <w:t>''''''''''</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186D32" w:rsidRPr="00EA00EB" w:rsidRDefault="00186D32" w:rsidP="0031336D">
            <w:pPr>
              <w:jc w:val="center"/>
              <w:rPr>
                <w:rFonts w:ascii="Arial Narrow" w:hAnsi="Arial Narrow" w:cs="Calibri"/>
                <w:bCs/>
                <w:color w:val="000000"/>
                <w:sz w:val="20"/>
                <w:szCs w:val="20"/>
              </w:rPr>
            </w:pPr>
            <w:r w:rsidRPr="00EA00EB">
              <w:rPr>
                <w:rFonts w:ascii="Arial Narrow" w:hAnsi="Arial Narrow" w:cs="Calibri"/>
                <w:bCs/>
                <w:color w:val="000000"/>
                <w:sz w:val="20"/>
                <w:szCs w:val="20"/>
              </w:rPr>
              <w:t>$</w:t>
            </w:r>
            <w:r w:rsidR="00634107">
              <w:rPr>
                <w:rFonts w:ascii="Arial Narrow" w:hAnsi="Arial Narrow" w:cs="Calibri"/>
                <w:bCs/>
                <w:noProof/>
                <w:color w:val="000000"/>
                <w:sz w:val="20"/>
                <w:szCs w:val="20"/>
                <w:highlight w:val="black"/>
              </w:rPr>
              <w:t>''''''''''''</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186D32" w:rsidRPr="00EA00EB" w:rsidRDefault="00186D32" w:rsidP="0031336D">
            <w:pPr>
              <w:jc w:val="center"/>
              <w:rPr>
                <w:rFonts w:ascii="Arial Narrow" w:hAnsi="Arial Narrow" w:cs="Calibri"/>
                <w:bCs/>
                <w:color w:val="000000"/>
                <w:sz w:val="20"/>
                <w:szCs w:val="20"/>
              </w:rPr>
            </w:pPr>
            <w:r w:rsidRPr="00EA00EB">
              <w:rPr>
                <w:rFonts w:ascii="Arial Narrow" w:hAnsi="Arial Narrow" w:cs="Calibri"/>
                <w:bCs/>
                <w:color w:val="000000"/>
                <w:sz w:val="20"/>
                <w:szCs w:val="20"/>
              </w:rPr>
              <w:t>$</w:t>
            </w:r>
            <w:r w:rsidR="00634107">
              <w:rPr>
                <w:rFonts w:ascii="Arial Narrow" w:hAnsi="Arial Narrow" w:cs="Calibri"/>
                <w:bCs/>
                <w:noProof/>
                <w:color w:val="000000"/>
                <w:sz w:val="20"/>
                <w:szCs w:val="20"/>
                <w:highlight w:val="black"/>
              </w:rPr>
              <w:t>''''''''''</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186D32" w:rsidRPr="00EA00EB" w:rsidRDefault="00186D32" w:rsidP="0031336D">
            <w:pPr>
              <w:jc w:val="center"/>
              <w:rPr>
                <w:rFonts w:ascii="Arial Narrow" w:hAnsi="Arial Narrow" w:cs="Calibri"/>
                <w:bCs/>
                <w:color w:val="000000"/>
                <w:sz w:val="20"/>
                <w:szCs w:val="20"/>
              </w:rPr>
            </w:pPr>
            <w:r w:rsidRPr="00EA00EB">
              <w:rPr>
                <w:rFonts w:ascii="Arial Narrow" w:hAnsi="Arial Narrow" w:cs="Calibri"/>
                <w:bCs/>
                <w:color w:val="000000"/>
                <w:sz w:val="20"/>
                <w:szCs w:val="20"/>
              </w:rPr>
              <w:t>$</w:t>
            </w:r>
            <w:r w:rsidR="00634107">
              <w:rPr>
                <w:rFonts w:ascii="Arial Narrow" w:hAnsi="Arial Narrow" w:cs="Calibri"/>
                <w:bCs/>
                <w:noProof/>
                <w:color w:val="000000"/>
                <w:sz w:val="20"/>
                <w:szCs w:val="20"/>
                <w:highlight w:val="black"/>
              </w:rPr>
              <w:t>''''''''''</w:t>
            </w:r>
          </w:p>
        </w:tc>
        <w:tc>
          <w:tcPr>
            <w:tcW w:w="737" w:type="dxa"/>
            <w:tcBorders>
              <w:top w:val="single" w:sz="4" w:space="0" w:color="auto"/>
              <w:left w:val="nil"/>
              <w:bottom w:val="single" w:sz="4" w:space="0" w:color="auto"/>
              <w:right w:val="thinThickSmallGap" w:sz="24" w:space="0" w:color="auto"/>
            </w:tcBorders>
            <w:shd w:val="clear" w:color="auto" w:fill="auto"/>
            <w:noWrap/>
            <w:vAlign w:val="center"/>
            <w:hideMark/>
          </w:tcPr>
          <w:p w:rsidR="00186D32" w:rsidRPr="00EA00EB" w:rsidRDefault="00186D32" w:rsidP="0031336D">
            <w:pPr>
              <w:jc w:val="center"/>
              <w:rPr>
                <w:rFonts w:ascii="Arial Narrow" w:hAnsi="Arial Narrow" w:cs="Calibri"/>
                <w:bCs/>
                <w:color w:val="000000"/>
                <w:sz w:val="20"/>
                <w:szCs w:val="20"/>
              </w:rPr>
            </w:pPr>
            <w:r w:rsidRPr="00EA00EB">
              <w:rPr>
                <w:rFonts w:ascii="Arial Narrow" w:hAnsi="Arial Narrow" w:cs="Calibri"/>
                <w:bCs/>
                <w:color w:val="000000"/>
                <w:sz w:val="20"/>
                <w:szCs w:val="20"/>
              </w:rPr>
              <w:t>$</w:t>
            </w:r>
            <w:r w:rsidR="00634107">
              <w:rPr>
                <w:rFonts w:ascii="Arial Narrow" w:hAnsi="Arial Narrow" w:cs="Calibri"/>
                <w:bCs/>
                <w:noProof/>
                <w:color w:val="000000"/>
                <w:sz w:val="20"/>
                <w:szCs w:val="20"/>
                <w:highlight w:val="black"/>
              </w:rPr>
              <w:t>'''''''''''</w:t>
            </w:r>
          </w:p>
        </w:tc>
        <w:tc>
          <w:tcPr>
            <w:tcW w:w="1277" w:type="dxa"/>
            <w:tcBorders>
              <w:top w:val="single" w:sz="4" w:space="0" w:color="auto"/>
              <w:left w:val="thinThickSmallGap" w:sz="24" w:space="0" w:color="auto"/>
              <w:bottom w:val="single" w:sz="4" w:space="0" w:color="auto"/>
              <w:right w:val="single" w:sz="4" w:space="0" w:color="auto"/>
            </w:tcBorders>
            <w:shd w:val="clear" w:color="auto" w:fill="D9D9D9" w:themeFill="background1" w:themeFillShade="D9"/>
            <w:noWrap/>
            <w:vAlign w:val="center"/>
            <w:hideMark/>
          </w:tcPr>
          <w:p w:rsidR="00186D32" w:rsidRPr="00EA00EB" w:rsidRDefault="00186D32" w:rsidP="0031336D">
            <w:pPr>
              <w:jc w:val="center"/>
              <w:rPr>
                <w:rFonts w:ascii="Arial Narrow" w:hAnsi="Arial Narrow" w:cs="Calibri"/>
                <w:bCs/>
                <w:color w:val="000000"/>
                <w:sz w:val="20"/>
                <w:szCs w:val="20"/>
              </w:rPr>
            </w:pPr>
            <w:r w:rsidRPr="00EA00EB">
              <w:rPr>
                <w:rFonts w:ascii="Arial Narrow" w:hAnsi="Arial Narrow" w:cs="Calibri"/>
                <w:bCs/>
                <w:color w:val="000000"/>
                <w:sz w:val="20"/>
                <w:szCs w:val="20"/>
              </w:rPr>
              <w:t>$</w:t>
            </w:r>
            <w:r w:rsidR="00634107">
              <w:rPr>
                <w:rFonts w:ascii="Arial Narrow" w:hAnsi="Arial Narrow" w:cs="Calibri"/>
                <w:bCs/>
                <w:noProof/>
                <w:color w:val="000000"/>
                <w:sz w:val="20"/>
                <w:szCs w:val="20"/>
                <w:highlight w:val="black"/>
              </w:rPr>
              <w:t>''''''''''''</w:t>
            </w:r>
          </w:p>
        </w:tc>
      </w:tr>
    </w:tbl>
    <w:p w:rsidR="00EA00EB" w:rsidRDefault="00EA00EB" w:rsidP="00186D32">
      <w:pPr>
        <w:widowControl w:val="0"/>
        <w:jc w:val="both"/>
        <w:rPr>
          <w:rFonts w:ascii="Arial" w:hAnsi="Arial" w:cs="Arial"/>
          <w:sz w:val="22"/>
        </w:rPr>
      </w:pPr>
    </w:p>
    <w:p w:rsidR="00186D32" w:rsidRDefault="0031336D" w:rsidP="00186D32">
      <w:pPr>
        <w:widowControl w:val="0"/>
        <w:jc w:val="both"/>
        <w:rPr>
          <w:rFonts w:ascii="Arial" w:hAnsi="Arial" w:cs="Arial"/>
          <w:bCs/>
          <w:snapToGrid w:val="0"/>
          <w:sz w:val="22"/>
          <w:szCs w:val="22"/>
        </w:rPr>
      </w:pPr>
      <w:r>
        <w:rPr>
          <w:rFonts w:ascii="Arial" w:hAnsi="Arial" w:cs="Arial"/>
          <w:sz w:val="22"/>
        </w:rPr>
        <w:t>The redacted table shows that a</w:t>
      </w:r>
      <w:r w:rsidRPr="00DE39BD">
        <w:rPr>
          <w:rFonts w:ascii="Arial" w:hAnsi="Arial" w:cs="Arial"/>
          <w:sz w:val="22"/>
        </w:rPr>
        <w:t xml:space="preserve">t year 5, the net </w:t>
      </w:r>
      <w:r w:rsidR="00C23E30">
        <w:rPr>
          <w:rFonts w:ascii="Arial" w:hAnsi="Arial" w:cs="Arial"/>
          <w:sz w:val="22"/>
        </w:rPr>
        <w:t xml:space="preserve">cost to the PBS would be </w:t>
      </w:r>
      <w:r w:rsidR="00C23E30" w:rsidRPr="00C23E30">
        <w:rPr>
          <w:rFonts w:ascii="Arial" w:hAnsi="Arial" w:cs="Arial"/>
          <w:sz w:val="22"/>
        </w:rPr>
        <w:t>$30 – $60 million</w:t>
      </w:r>
      <w:r w:rsidRPr="00DE39BD">
        <w:rPr>
          <w:rFonts w:ascii="Arial" w:hAnsi="Arial" w:cs="Arial"/>
          <w:sz w:val="22"/>
        </w:rPr>
        <w:t>.</w:t>
      </w:r>
    </w:p>
    <w:p w:rsidR="0031336D" w:rsidRPr="006B4AEB" w:rsidRDefault="0031336D" w:rsidP="00186D32">
      <w:pPr>
        <w:widowControl w:val="0"/>
        <w:jc w:val="both"/>
        <w:rPr>
          <w:rFonts w:ascii="Arial" w:hAnsi="Arial" w:cs="Arial"/>
          <w:bCs/>
          <w:snapToGrid w:val="0"/>
          <w:sz w:val="22"/>
          <w:szCs w:val="22"/>
        </w:rPr>
      </w:pPr>
    </w:p>
    <w:p w:rsidR="00186D32" w:rsidRDefault="00186D32" w:rsidP="00755B8E">
      <w:pPr>
        <w:pStyle w:val="Heading2"/>
        <w:rPr>
          <w:snapToGrid w:val="0"/>
        </w:rPr>
      </w:pPr>
      <w:r w:rsidRPr="006B4AEB">
        <w:rPr>
          <w:snapToGrid w:val="0"/>
        </w:rPr>
        <w:t>PBAC outcome</w:t>
      </w:r>
    </w:p>
    <w:p w:rsidR="00755B8E" w:rsidRPr="00755B8E" w:rsidRDefault="00755B8E" w:rsidP="00755B8E"/>
    <w:p w:rsidR="00E64DCF" w:rsidRDefault="00186D32" w:rsidP="00186D32">
      <w:pPr>
        <w:widowControl w:val="0"/>
        <w:tabs>
          <w:tab w:val="left" w:pos="1052"/>
        </w:tabs>
        <w:contextualSpacing/>
        <w:jc w:val="both"/>
        <w:rPr>
          <w:rFonts w:ascii="Arial" w:hAnsi="Arial" w:cs="Arial"/>
          <w:snapToGrid w:val="0"/>
          <w:sz w:val="22"/>
          <w:szCs w:val="22"/>
        </w:rPr>
      </w:pPr>
      <w:r w:rsidRPr="006B4AEB">
        <w:rPr>
          <w:rFonts w:ascii="Arial" w:hAnsi="Arial" w:cs="Arial"/>
          <w:snapToGrid w:val="0"/>
          <w:sz w:val="22"/>
          <w:szCs w:val="22"/>
        </w:rPr>
        <w:t>The PBAC recommended the listing of ibrutinib, but on the basis that it be available only in the circumstances: for use as monotherapy for CLL and SLL for, in patients with a WHO performance status of 0 or 1; who have relapsed or are refractory to at least one prior therapy; and who are unsuitable for treatment or retre</w:t>
      </w:r>
      <w:r w:rsidR="00E64DCF">
        <w:rPr>
          <w:rFonts w:ascii="Arial" w:hAnsi="Arial" w:cs="Arial"/>
          <w:snapToGrid w:val="0"/>
          <w:sz w:val="22"/>
          <w:szCs w:val="22"/>
        </w:rPr>
        <w:t>atment with a purine analogue.</w:t>
      </w:r>
    </w:p>
    <w:p w:rsidR="00E64DCF" w:rsidRDefault="00186D32" w:rsidP="00EA00EB">
      <w:pPr>
        <w:widowControl w:val="0"/>
        <w:tabs>
          <w:tab w:val="left" w:pos="1052"/>
        </w:tabs>
        <w:contextualSpacing/>
        <w:jc w:val="both"/>
        <w:rPr>
          <w:rFonts w:ascii="Arial" w:hAnsi="Arial" w:cs="Arial"/>
          <w:snapToGrid w:val="0"/>
          <w:sz w:val="22"/>
          <w:szCs w:val="22"/>
        </w:rPr>
      </w:pPr>
      <w:r w:rsidRPr="006B4AEB">
        <w:rPr>
          <w:rFonts w:ascii="Arial" w:hAnsi="Arial" w:cs="Arial"/>
          <w:snapToGrid w:val="0"/>
          <w:sz w:val="22"/>
          <w:szCs w:val="22"/>
        </w:rPr>
        <w:t>The PBAC is satisfied that ibrutinib provides, for some patients, a significant improvement in efficacy over rituximab in combination with chlorambucil.</w:t>
      </w:r>
    </w:p>
    <w:p w:rsidR="00E64DCF" w:rsidRDefault="00E64DCF" w:rsidP="00EA00EB">
      <w:pPr>
        <w:widowControl w:val="0"/>
        <w:tabs>
          <w:tab w:val="left" w:pos="1052"/>
        </w:tabs>
        <w:contextualSpacing/>
        <w:jc w:val="both"/>
        <w:rPr>
          <w:rFonts w:ascii="Arial" w:hAnsi="Arial" w:cs="Arial"/>
          <w:snapToGrid w:val="0"/>
          <w:sz w:val="22"/>
          <w:szCs w:val="22"/>
        </w:rPr>
      </w:pPr>
    </w:p>
    <w:p w:rsidR="00186D32" w:rsidRPr="006B4AEB" w:rsidRDefault="00186D32" w:rsidP="00EA00EB">
      <w:pPr>
        <w:widowControl w:val="0"/>
        <w:tabs>
          <w:tab w:val="left" w:pos="1052"/>
        </w:tabs>
        <w:contextualSpacing/>
        <w:jc w:val="both"/>
        <w:rPr>
          <w:rFonts w:ascii="Arial" w:hAnsi="Arial" w:cs="Arial"/>
          <w:snapToGrid w:val="0"/>
          <w:sz w:val="22"/>
          <w:szCs w:val="22"/>
        </w:rPr>
      </w:pPr>
      <w:r w:rsidRPr="006B4AEB">
        <w:rPr>
          <w:rFonts w:ascii="Arial" w:hAnsi="Arial" w:cs="Arial"/>
          <w:snapToGrid w:val="0"/>
          <w:sz w:val="22"/>
          <w:szCs w:val="22"/>
        </w:rPr>
        <w:t>The PBAC’s recommendation for listing was based on, among other matters, its assessment, that the cost-effectiveness of ibrutinib would be acceptable at the prices cited above and proposed in the sponsor’s submission dated 23 January 2017, and if the measures cited above and in the sponsors submission dated 23 January 2017 were implemented to contain risks associated with the cost of the drug to the PBS.</w:t>
      </w:r>
    </w:p>
    <w:p w:rsidR="00186D32" w:rsidRPr="006B4AEB" w:rsidRDefault="00186D32" w:rsidP="00EA00EB">
      <w:pPr>
        <w:widowControl w:val="0"/>
        <w:tabs>
          <w:tab w:val="left" w:pos="1052"/>
        </w:tabs>
        <w:contextualSpacing/>
        <w:jc w:val="both"/>
        <w:rPr>
          <w:rFonts w:ascii="Arial" w:hAnsi="Arial" w:cs="Arial"/>
          <w:snapToGrid w:val="0"/>
          <w:sz w:val="22"/>
          <w:szCs w:val="22"/>
        </w:rPr>
      </w:pPr>
    </w:p>
    <w:p w:rsidR="00186D32" w:rsidRPr="006B4AEB" w:rsidRDefault="00186D32" w:rsidP="00EA00EB">
      <w:pPr>
        <w:widowControl w:val="0"/>
        <w:tabs>
          <w:tab w:val="left" w:pos="1052"/>
        </w:tabs>
        <w:contextualSpacing/>
        <w:jc w:val="both"/>
        <w:rPr>
          <w:rFonts w:ascii="Arial" w:hAnsi="Arial" w:cs="Arial"/>
          <w:snapToGrid w:val="0"/>
          <w:sz w:val="22"/>
          <w:szCs w:val="22"/>
        </w:rPr>
      </w:pPr>
      <w:r w:rsidRPr="006B4AEB">
        <w:rPr>
          <w:rFonts w:ascii="Arial" w:hAnsi="Arial" w:cs="Arial"/>
          <w:snapToGrid w:val="0"/>
          <w:sz w:val="22"/>
          <w:szCs w:val="22"/>
        </w:rPr>
        <w:t>As previously, the PBAC agreed that ibrutinib is an effective treatment for CLL and SLL based on the results of the RESONATE trial and that the broader PBS restriction for use as monotherapy, in patients with a WHO performance status of 0 or 1; who have relapsed or are refractory to at least one prior therapy; and who are unsuitable for treatment or retreatment with a purine analogue, is appropriate.</w:t>
      </w:r>
    </w:p>
    <w:p w:rsidR="00186D32" w:rsidRPr="006B4AEB" w:rsidRDefault="00186D32" w:rsidP="00EA00EB">
      <w:pPr>
        <w:widowControl w:val="0"/>
        <w:tabs>
          <w:tab w:val="left" w:pos="1052"/>
        </w:tabs>
        <w:contextualSpacing/>
        <w:jc w:val="both"/>
        <w:rPr>
          <w:rFonts w:ascii="Arial" w:hAnsi="Arial" w:cs="Arial"/>
          <w:snapToGrid w:val="0"/>
          <w:sz w:val="22"/>
          <w:szCs w:val="22"/>
        </w:rPr>
      </w:pPr>
      <w:r w:rsidRPr="006B4AEB">
        <w:rPr>
          <w:rFonts w:ascii="Arial" w:hAnsi="Arial" w:cs="Arial"/>
          <w:snapToGrid w:val="0"/>
          <w:sz w:val="22"/>
          <w:szCs w:val="22"/>
        </w:rPr>
        <w:tab/>
      </w:r>
    </w:p>
    <w:p w:rsidR="00186D32" w:rsidRPr="006B4AEB" w:rsidRDefault="00186D32" w:rsidP="00EA00EB">
      <w:pPr>
        <w:widowControl w:val="0"/>
        <w:contextualSpacing/>
        <w:jc w:val="both"/>
        <w:rPr>
          <w:rFonts w:ascii="Arial" w:hAnsi="Arial" w:cs="Arial"/>
          <w:snapToGrid w:val="0"/>
          <w:sz w:val="22"/>
          <w:szCs w:val="22"/>
        </w:rPr>
      </w:pPr>
      <w:r w:rsidRPr="006B4AEB">
        <w:rPr>
          <w:rFonts w:ascii="Arial" w:hAnsi="Arial" w:cs="Arial"/>
          <w:snapToGrid w:val="0"/>
          <w:sz w:val="22"/>
          <w:szCs w:val="22"/>
        </w:rPr>
        <w:t xml:space="preserve">The PBAC recommended that ibrutinib should not be treated as interchangeable on an individual patient basis with any other drugs. </w:t>
      </w:r>
    </w:p>
    <w:p w:rsidR="00186D32" w:rsidRPr="006B4AEB" w:rsidRDefault="00186D32" w:rsidP="00EA00EB">
      <w:pPr>
        <w:widowControl w:val="0"/>
        <w:contextualSpacing/>
        <w:jc w:val="both"/>
        <w:rPr>
          <w:rFonts w:ascii="Arial" w:hAnsi="Arial" w:cs="Arial"/>
          <w:snapToGrid w:val="0"/>
          <w:sz w:val="22"/>
          <w:szCs w:val="22"/>
        </w:rPr>
      </w:pPr>
    </w:p>
    <w:p w:rsidR="00186D32" w:rsidRPr="006B4AEB" w:rsidRDefault="00186D32" w:rsidP="00EA00EB">
      <w:pPr>
        <w:widowControl w:val="0"/>
        <w:contextualSpacing/>
        <w:jc w:val="both"/>
        <w:rPr>
          <w:rFonts w:ascii="Arial" w:hAnsi="Arial" w:cs="Arial"/>
          <w:snapToGrid w:val="0"/>
          <w:sz w:val="22"/>
          <w:szCs w:val="22"/>
        </w:rPr>
      </w:pPr>
      <w:r w:rsidRPr="006B4AEB">
        <w:rPr>
          <w:rFonts w:ascii="Arial" w:hAnsi="Arial" w:cs="Arial"/>
          <w:snapToGrid w:val="0"/>
          <w:sz w:val="22"/>
          <w:szCs w:val="22"/>
        </w:rPr>
        <w:t>The PBAC advised that ibrutinib is not suitable for prescribing by nurse practitioners.</w:t>
      </w:r>
    </w:p>
    <w:p w:rsidR="00186D32" w:rsidRPr="006B4AEB" w:rsidRDefault="00186D32" w:rsidP="00EA00EB">
      <w:pPr>
        <w:widowControl w:val="0"/>
        <w:contextualSpacing/>
        <w:jc w:val="both"/>
        <w:rPr>
          <w:rFonts w:ascii="Arial" w:hAnsi="Arial" w:cs="Arial"/>
          <w:snapToGrid w:val="0"/>
          <w:sz w:val="22"/>
          <w:szCs w:val="22"/>
        </w:rPr>
      </w:pPr>
    </w:p>
    <w:p w:rsidR="00186D32" w:rsidRPr="006B4AEB" w:rsidRDefault="00186D32" w:rsidP="00EA00EB">
      <w:pPr>
        <w:widowControl w:val="0"/>
        <w:contextualSpacing/>
        <w:jc w:val="both"/>
        <w:rPr>
          <w:rFonts w:ascii="Arial" w:hAnsi="Arial" w:cs="Arial"/>
          <w:snapToGrid w:val="0"/>
          <w:sz w:val="22"/>
          <w:szCs w:val="22"/>
        </w:rPr>
      </w:pPr>
      <w:r w:rsidRPr="006B4AEB">
        <w:rPr>
          <w:rFonts w:ascii="Arial" w:hAnsi="Arial" w:cs="Arial"/>
          <w:snapToGrid w:val="0"/>
          <w:sz w:val="22"/>
          <w:szCs w:val="22"/>
        </w:rPr>
        <w:t xml:space="preserve">The PBAC recommended that the Early Supply Rule should apply to ibrutinib. </w:t>
      </w:r>
    </w:p>
    <w:p w:rsidR="00186D32" w:rsidRPr="006B4AEB" w:rsidRDefault="00186D32" w:rsidP="00EA00EB">
      <w:pPr>
        <w:widowControl w:val="0"/>
        <w:contextualSpacing/>
        <w:jc w:val="both"/>
        <w:rPr>
          <w:rFonts w:ascii="Arial" w:hAnsi="Arial" w:cs="Arial"/>
          <w:snapToGrid w:val="0"/>
          <w:sz w:val="22"/>
          <w:szCs w:val="22"/>
        </w:rPr>
      </w:pPr>
    </w:p>
    <w:p w:rsidR="00186D32" w:rsidRPr="006B4AEB" w:rsidRDefault="00186D32" w:rsidP="00EA00EB">
      <w:pPr>
        <w:widowControl w:val="0"/>
        <w:contextualSpacing/>
        <w:jc w:val="both"/>
        <w:rPr>
          <w:rFonts w:ascii="Arial" w:hAnsi="Arial" w:cs="Arial"/>
          <w:snapToGrid w:val="0"/>
          <w:sz w:val="22"/>
          <w:szCs w:val="22"/>
        </w:rPr>
      </w:pPr>
      <w:r w:rsidRPr="006B4AEB">
        <w:rPr>
          <w:rFonts w:ascii="Arial" w:hAnsi="Arial" w:cs="Arial"/>
          <w:snapToGrid w:val="0"/>
          <w:sz w:val="22"/>
          <w:szCs w:val="22"/>
        </w:rPr>
        <w:t>The PBAC noted that this submission is not eligible for an Independent Review as ibrutinib has been recommended for listing.</w:t>
      </w:r>
    </w:p>
    <w:p w:rsidR="00186D32" w:rsidRPr="006B4AEB" w:rsidRDefault="00186D32" w:rsidP="00EA00EB">
      <w:pPr>
        <w:widowControl w:val="0"/>
        <w:contextualSpacing/>
        <w:jc w:val="both"/>
        <w:rPr>
          <w:rFonts w:ascii="Arial" w:hAnsi="Arial" w:cs="Arial"/>
          <w:snapToGrid w:val="0"/>
          <w:sz w:val="22"/>
          <w:szCs w:val="22"/>
        </w:rPr>
      </w:pPr>
    </w:p>
    <w:p w:rsidR="00186D32" w:rsidRPr="006B4AEB" w:rsidRDefault="00186D32" w:rsidP="00EA00EB">
      <w:pPr>
        <w:jc w:val="both"/>
        <w:rPr>
          <w:rFonts w:ascii="Arial" w:hAnsi="Arial" w:cs="Arial"/>
          <w:b/>
          <w:bCs/>
          <w:snapToGrid w:val="0"/>
          <w:sz w:val="22"/>
          <w:szCs w:val="22"/>
          <w:lang w:val="en-GB"/>
        </w:rPr>
      </w:pPr>
      <w:r w:rsidRPr="006B4AEB">
        <w:rPr>
          <w:rFonts w:ascii="Arial" w:hAnsi="Arial" w:cs="Arial"/>
          <w:b/>
          <w:bCs/>
          <w:snapToGrid w:val="0"/>
          <w:sz w:val="22"/>
          <w:szCs w:val="22"/>
          <w:lang w:val="en-GB"/>
        </w:rPr>
        <w:t>Outcome:</w:t>
      </w:r>
    </w:p>
    <w:p w:rsidR="00186D32" w:rsidRPr="006B4AEB" w:rsidRDefault="00186D32" w:rsidP="00186D32">
      <w:pPr>
        <w:jc w:val="both"/>
        <w:rPr>
          <w:rFonts w:ascii="Arial" w:hAnsi="Arial" w:cs="Arial"/>
          <w:bCs/>
          <w:snapToGrid w:val="0"/>
          <w:sz w:val="22"/>
          <w:szCs w:val="22"/>
          <w:lang w:val="en-GB"/>
        </w:rPr>
      </w:pPr>
      <w:r w:rsidRPr="006B4AEB">
        <w:rPr>
          <w:rFonts w:ascii="Arial" w:hAnsi="Arial" w:cs="Arial"/>
          <w:bCs/>
          <w:snapToGrid w:val="0"/>
          <w:sz w:val="22"/>
          <w:szCs w:val="22"/>
          <w:lang w:val="en-GB"/>
        </w:rPr>
        <w:t>Recommended</w:t>
      </w:r>
    </w:p>
    <w:p w:rsidR="00186D32" w:rsidRPr="006B4AEB" w:rsidRDefault="00186D32" w:rsidP="00186D32">
      <w:pPr>
        <w:jc w:val="both"/>
        <w:rPr>
          <w:rFonts w:ascii="Arial" w:hAnsi="Arial" w:cs="Arial"/>
          <w:bCs/>
          <w:snapToGrid w:val="0"/>
          <w:sz w:val="22"/>
          <w:szCs w:val="22"/>
          <w:lang w:val="en-GB"/>
        </w:rPr>
      </w:pPr>
    </w:p>
    <w:p w:rsidR="00186D32" w:rsidRPr="0031336D" w:rsidRDefault="00186D32" w:rsidP="00755B8E">
      <w:pPr>
        <w:pStyle w:val="Heading2"/>
        <w:rPr>
          <w:snapToGrid w:val="0"/>
          <w:lang w:val="en-GB"/>
        </w:rPr>
      </w:pPr>
      <w:r w:rsidRPr="0031336D">
        <w:rPr>
          <w:snapToGrid w:val="0"/>
          <w:lang w:val="en-GB"/>
        </w:rPr>
        <w:t>Recommended listing</w:t>
      </w:r>
    </w:p>
    <w:p w:rsidR="00186D32" w:rsidRPr="006B4AEB" w:rsidRDefault="00186D32" w:rsidP="00186D32">
      <w:pPr>
        <w:widowControl w:val="0"/>
        <w:ind w:left="720"/>
        <w:contextualSpacing/>
        <w:jc w:val="both"/>
        <w:rPr>
          <w:rFonts w:ascii="Arial" w:hAnsi="Arial" w:cs="Arial"/>
          <w:bCs/>
          <w:snapToGrid w:val="0"/>
          <w:sz w:val="22"/>
          <w:szCs w:val="20"/>
          <w:lang w:val="en-GB"/>
        </w:rPr>
      </w:pPr>
    </w:p>
    <w:p w:rsidR="00186D32" w:rsidRPr="006B4AEB" w:rsidRDefault="00186D32" w:rsidP="00186D32">
      <w:pPr>
        <w:widowControl w:val="0"/>
        <w:ind w:left="720"/>
        <w:jc w:val="both"/>
        <w:rPr>
          <w:rFonts w:ascii="Arial" w:hAnsi="Arial" w:cs="Arial"/>
          <w:bCs/>
          <w:snapToGrid w:val="0"/>
          <w:sz w:val="22"/>
          <w:szCs w:val="20"/>
          <w:lang w:val="en-GB"/>
        </w:rPr>
      </w:pPr>
      <w:r w:rsidRPr="006B4AEB">
        <w:rPr>
          <w:rFonts w:ascii="Arial" w:hAnsi="Arial" w:cs="Arial"/>
          <w:bCs/>
          <w:snapToGrid w:val="0"/>
          <w:sz w:val="22"/>
          <w:szCs w:val="20"/>
          <w:lang w:val="en-GB"/>
        </w:rPr>
        <w:t>Add item:</w:t>
      </w:r>
    </w:p>
    <w:p w:rsidR="00186D32" w:rsidRPr="006B4AEB" w:rsidRDefault="00186D32" w:rsidP="00186D32">
      <w:pPr>
        <w:widowControl w:val="0"/>
        <w:jc w:val="both"/>
        <w:rPr>
          <w:rFonts w:ascii="Arial" w:hAnsi="Arial" w:cs="Arial"/>
          <w:b/>
          <w:bCs/>
          <w:i/>
          <w:snapToGrid w:val="0"/>
          <w:sz w:val="22"/>
          <w:szCs w:val="20"/>
          <w:lang w:val="en-GB"/>
        </w:rPr>
      </w:pPr>
    </w:p>
    <w:p w:rsidR="00186D32" w:rsidRPr="006B4AEB" w:rsidRDefault="00186D32" w:rsidP="00186D32">
      <w:pPr>
        <w:jc w:val="both"/>
        <w:rPr>
          <w:rFonts w:ascii="Arial" w:hAnsi="Arial" w:cs="Arial"/>
          <w:bCs/>
          <w:snapToGrid w:val="0"/>
          <w:sz w:val="22"/>
          <w:szCs w:val="22"/>
          <w:lang w:val="en-GB"/>
        </w:rPr>
      </w:pPr>
    </w:p>
    <w:tbl>
      <w:tblPr>
        <w:tblW w:w="4596" w:type="pct"/>
        <w:tblInd w:w="736" w:type="dxa"/>
        <w:tblCellMar>
          <w:left w:w="28" w:type="dxa"/>
          <w:right w:w="28" w:type="dxa"/>
        </w:tblCellMar>
        <w:tblLook w:val="0000" w:firstRow="0" w:lastRow="0" w:firstColumn="0" w:lastColumn="0" w:noHBand="0" w:noVBand="0"/>
      </w:tblPr>
      <w:tblGrid>
        <w:gridCol w:w="2243"/>
        <w:gridCol w:w="594"/>
        <w:gridCol w:w="568"/>
        <w:gridCol w:w="706"/>
        <w:gridCol w:w="1417"/>
        <w:gridCol w:w="386"/>
        <w:gridCol w:w="768"/>
        <w:gridCol w:w="1666"/>
      </w:tblGrid>
      <w:tr w:rsidR="00186D32" w:rsidRPr="006B4AEB" w:rsidTr="0031336D">
        <w:trPr>
          <w:cantSplit/>
          <w:trHeight w:val="471"/>
        </w:trPr>
        <w:tc>
          <w:tcPr>
            <w:tcW w:w="1699" w:type="pct"/>
            <w:gridSpan w:val="2"/>
            <w:tcBorders>
              <w:bottom w:val="single" w:sz="4" w:space="0" w:color="auto"/>
            </w:tcBorders>
          </w:tcPr>
          <w:p w:rsidR="00186D32" w:rsidRPr="006B4AEB" w:rsidRDefault="00186D32" w:rsidP="0031336D">
            <w:pPr>
              <w:keepNext/>
              <w:rPr>
                <w:rFonts w:ascii="Arial Narrow" w:hAnsi="Arial Narrow"/>
                <w:b/>
                <w:sz w:val="20"/>
              </w:rPr>
            </w:pPr>
            <w:r w:rsidRPr="006B4AEB">
              <w:rPr>
                <w:rFonts w:ascii="Arial Narrow" w:hAnsi="Arial Narrow"/>
                <w:b/>
                <w:sz w:val="20"/>
              </w:rPr>
              <w:t>Name, Restriction,</w:t>
            </w:r>
          </w:p>
          <w:p w:rsidR="00186D32" w:rsidRPr="006B4AEB" w:rsidRDefault="00186D32" w:rsidP="0031336D">
            <w:pPr>
              <w:keepNext/>
              <w:rPr>
                <w:rFonts w:ascii="Arial Narrow" w:hAnsi="Arial Narrow"/>
                <w:b/>
                <w:sz w:val="20"/>
              </w:rPr>
            </w:pPr>
            <w:r w:rsidRPr="006B4AEB">
              <w:rPr>
                <w:rFonts w:ascii="Arial Narrow" w:hAnsi="Arial Narrow"/>
                <w:b/>
                <w:sz w:val="20"/>
              </w:rPr>
              <w:t>Manner of administration and form</w:t>
            </w:r>
          </w:p>
        </w:tc>
        <w:tc>
          <w:tcPr>
            <w:tcW w:w="340" w:type="pct"/>
            <w:tcBorders>
              <w:bottom w:val="single" w:sz="4" w:space="0" w:color="auto"/>
            </w:tcBorders>
          </w:tcPr>
          <w:p w:rsidR="00186D32" w:rsidRPr="006B4AEB" w:rsidRDefault="00186D32" w:rsidP="0031336D">
            <w:pPr>
              <w:keepNext/>
              <w:jc w:val="center"/>
              <w:rPr>
                <w:rFonts w:ascii="Arial Narrow" w:hAnsi="Arial Narrow"/>
                <w:b/>
                <w:sz w:val="20"/>
              </w:rPr>
            </w:pPr>
            <w:r w:rsidRPr="006B4AEB">
              <w:rPr>
                <w:rFonts w:ascii="Arial Narrow" w:hAnsi="Arial Narrow"/>
                <w:b/>
                <w:sz w:val="20"/>
              </w:rPr>
              <w:t>Max.</w:t>
            </w:r>
          </w:p>
          <w:p w:rsidR="00186D32" w:rsidRPr="006B4AEB" w:rsidRDefault="00186D32" w:rsidP="0031336D">
            <w:pPr>
              <w:keepNext/>
              <w:jc w:val="center"/>
              <w:rPr>
                <w:rFonts w:ascii="Arial Narrow" w:hAnsi="Arial Narrow"/>
                <w:b/>
                <w:sz w:val="20"/>
              </w:rPr>
            </w:pPr>
            <w:r w:rsidRPr="006B4AEB">
              <w:rPr>
                <w:rFonts w:ascii="Arial Narrow" w:hAnsi="Arial Narrow"/>
                <w:b/>
                <w:sz w:val="20"/>
              </w:rPr>
              <w:t>Qty</w:t>
            </w:r>
          </w:p>
        </w:tc>
        <w:tc>
          <w:tcPr>
            <w:tcW w:w="423" w:type="pct"/>
            <w:tcBorders>
              <w:bottom w:val="single" w:sz="4" w:space="0" w:color="auto"/>
            </w:tcBorders>
          </w:tcPr>
          <w:p w:rsidR="00186D32" w:rsidRPr="006B4AEB" w:rsidRDefault="00186D32" w:rsidP="0031336D">
            <w:pPr>
              <w:keepNext/>
              <w:jc w:val="center"/>
              <w:rPr>
                <w:rFonts w:ascii="Arial Narrow" w:hAnsi="Arial Narrow"/>
                <w:b/>
                <w:sz w:val="20"/>
              </w:rPr>
            </w:pPr>
            <w:r w:rsidRPr="006B4AEB">
              <w:rPr>
                <w:rFonts w:ascii="Arial Narrow" w:hAnsi="Arial Narrow"/>
                <w:b/>
                <w:sz w:val="20"/>
              </w:rPr>
              <w:t>№.of</w:t>
            </w:r>
          </w:p>
          <w:p w:rsidR="00186D32" w:rsidRPr="006B4AEB" w:rsidRDefault="00186D32" w:rsidP="0031336D">
            <w:pPr>
              <w:keepNext/>
              <w:jc w:val="center"/>
              <w:rPr>
                <w:rFonts w:ascii="Arial Narrow" w:hAnsi="Arial Narrow"/>
                <w:b/>
                <w:sz w:val="20"/>
              </w:rPr>
            </w:pPr>
            <w:r w:rsidRPr="006B4AEB">
              <w:rPr>
                <w:rFonts w:ascii="Arial Narrow" w:hAnsi="Arial Narrow"/>
                <w:b/>
                <w:sz w:val="20"/>
              </w:rPr>
              <w:t>Rpts</w:t>
            </w:r>
          </w:p>
        </w:tc>
        <w:tc>
          <w:tcPr>
            <w:tcW w:w="849" w:type="pct"/>
            <w:tcBorders>
              <w:bottom w:val="single" w:sz="4" w:space="0" w:color="auto"/>
            </w:tcBorders>
          </w:tcPr>
          <w:p w:rsidR="00186D32" w:rsidRPr="006B4AEB" w:rsidRDefault="00186D32" w:rsidP="0031336D">
            <w:pPr>
              <w:keepNext/>
              <w:jc w:val="center"/>
              <w:rPr>
                <w:rFonts w:ascii="Arial Narrow" w:hAnsi="Arial Narrow"/>
                <w:b/>
                <w:sz w:val="20"/>
              </w:rPr>
            </w:pPr>
          </w:p>
        </w:tc>
        <w:tc>
          <w:tcPr>
            <w:tcW w:w="1689" w:type="pct"/>
            <w:gridSpan w:val="3"/>
            <w:tcBorders>
              <w:bottom w:val="single" w:sz="4" w:space="0" w:color="auto"/>
            </w:tcBorders>
          </w:tcPr>
          <w:p w:rsidR="00186D32" w:rsidRPr="006B4AEB" w:rsidRDefault="00186D32" w:rsidP="0031336D">
            <w:pPr>
              <w:keepNext/>
              <w:jc w:val="center"/>
              <w:rPr>
                <w:rFonts w:ascii="Arial Narrow" w:hAnsi="Arial Narrow"/>
                <w:b/>
                <w:sz w:val="20"/>
                <w:lang w:val="fr-FR"/>
              </w:rPr>
            </w:pPr>
            <w:r w:rsidRPr="006B4AEB">
              <w:rPr>
                <w:rFonts w:ascii="Arial Narrow" w:hAnsi="Arial Narrow"/>
                <w:b/>
                <w:sz w:val="20"/>
              </w:rPr>
              <w:t>Proprietary Name and Manufacturer</w:t>
            </w:r>
          </w:p>
        </w:tc>
      </w:tr>
      <w:tr w:rsidR="00186D32" w:rsidRPr="006B4AEB" w:rsidTr="0031336D">
        <w:trPr>
          <w:cantSplit/>
          <w:trHeight w:val="577"/>
        </w:trPr>
        <w:tc>
          <w:tcPr>
            <w:tcW w:w="1699" w:type="pct"/>
            <w:gridSpan w:val="2"/>
          </w:tcPr>
          <w:p w:rsidR="00186D32" w:rsidRPr="006B4AEB" w:rsidRDefault="00186D32" w:rsidP="0031336D">
            <w:pPr>
              <w:keepNext/>
              <w:rPr>
                <w:rFonts w:ascii="Arial Narrow" w:hAnsi="Arial Narrow"/>
                <w:sz w:val="20"/>
              </w:rPr>
            </w:pPr>
            <w:r w:rsidRPr="006B4AEB">
              <w:rPr>
                <w:rFonts w:ascii="Arial Narrow" w:hAnsi="Arial Narrow"/>
                <w:smallCaps/>
                <w:sz w:val="20"/>
              </w:rPr>
              <w:t>ibrutinib</w:t>
            </w:r>
          </w:p>
          <w:p w:rsidR="00186D32" w:rsidRPr="006B4AEB" w:rsidRDefault="00186D32" w:rsidP="0031336D">
            <w:pPr>
              <w:keepNext/>
              <w:rPr>
                <w:rFonts w:ascii="Arial Narrow" w:hAnsi="Arial Narrow"/>
                <w:sz w:val="20"/>
              </w:rPr>
            </w:pPr>
            <w:r w:rsidRPr="006B4AEB">
              <w:rPr>
                <w:rFonts w:ascii="Arial Narrow" w:hAnsi="Arial Narrow"/>
                <w:sz w:val="20"/>
              </w:rPr>
              <w:t>Capsule 140 mg, 90</w:t>
            </w:r>
          </w:p>
        </w:tc>
        <w:tc>
          <w:tcPr>
            <w:tcW w:w="340" w:type="pct"/>
          </w:tcPr>
          <w:p w:rsidR="00186D32" w:rsidRPr="006B4AEB" w:rsidRDefault="00186D32" w:rsidP="0031336D">
            <w:pPr>
              <w:keepNext/>
              <w:jc w:val="center"/>
              <w:rPr>
                <w:rFonts w:ascii="Arial Narrow" w:hAnsi="Arial Narrow"/>
                <w:sz w:val="20"/>
              </w:rPr>
            </w:pPr>
          </w:p>
          <w:p w:rsidR="00186D32" w:rsidRPr="006B4AEB" w:rsidRDefault="00186D32" w:rsidP="0031336D">
            <w:pPr>
              <w:keepNext/>
              <w:jc w:val="center"/>
              <w:rPr>
                <w:rFonts w:ascii="Arial Narrow" w:hAnsi="Arial Narrow"/>
                <w:sz w:val="20"/>
              </w:rPr>
            </w:pPr>
            <w:r w:rsidRPr="006B4AEB">
              <w:rPr>
                <w:rFonts w:ascii="Arial Narrow" w:hAnsi="Arial Narrow"/>
                <w:sz w:val="20"/>
              </w:rPr>
              <w:t>1</w:t>
            </w:r>
          </w:p>
        </w:tc>
        <w:tc>
          <w:tcPr>
            <w:tcW w:w="423" w:type="pct"/>
          </w:tcPr>
          <w:p w:rsidR="00186D32" w:rsidRPr="006B4AEB" w:rsidRDefault="00186D32" w:rsidP="0031336D">
            <w:pPr>
              <w:keepNext/>
              <w:jc w:val="center"/>
              <w:rPr>
                <w:rFonts w:ascii="Arial Narrow" w:hAnsi="Arial Narrow"/>
                <w:sz w:val="20"/>
              </w:rPr>
            </w:pPr>
          </w:p>
          <w:p w:rsidR="00186D32" w:rsidRPr="006B4AEB" w:rsidRDefault="00186D32" w:rsidP="0031336D">
            <w:pPr>
              <w:keepNext/>
              <w:jc w:val="center"/>
              <w:rPr>
                <w:rFonts w:ascii="Arial Narrow" w:hAnsi="Arial Narrow"/>
                <w:sz w:val="20"/>
              </w:rPr>
            </w:pPr>
            <w:r w:rsidRPr="006B4AEB">
              <w:rPr>
                <w:rFonts w:ascii="Arial Narrow" w:hAnsi="Arial Narrow"/>
                <w:sz w:val="20"/>
              </w:rPr>
              <w:t>5</w:t>
            </w:r>
          </w:p>
        </w:tc>
        <w:tc>
          <w:tcPr>
            <w:tcW w:w="1080" w:type="pct"/>
            <w:gridSpan w:val="2"/>
            <w:vAlign w:val="center"/>
          </w:tcPr>
          <w:p w:rsidR="00186D32" w:rsidRPr="006B4AEB" w:rsidRDefault="00186D32" w:rsidP="0031336D">
            <w:pPr>
              <w:jc w:val="center"/>
              <w:rPr>
                <w:rFonts w:ascii="Arial Narrow" w:hAnsi="Arial Narrow"/>
                <w:sz w:val="20"/>
              </w:rPr>
            </w:pPr>
          </w:p>
        </w:tc>
        <w:tc>
          <w:tcPr>
            <w:tcW w:w="460" w:type="pct"/>
            <w:vAlign w:val="center"/>
          </w:tcPr>
          <w:p w:rsidR="00186D32" w:rsidRPr="006B4AEB" w:rsidRDefault="00186D32" w:rsidP="0031336D">
            <w:pPr>
              <w:keepNext/>
              <w:jc w:val="center"/>
              <w:rPr>
                <w:rFonts w:ascii="Arial Narrow" w:hAnsi="Arial Narrow"/>
                <w:sz w:val="20"/>
              </w:rPr>
            </w:pPr>
            <w:r w:rsidRPr="006B4AEB">
              <w:rPr>
                <w:rFonts w:ascii="Arial Narrow" w:hAnsi="Arial Narrow"/>
                <w:sz w:val="20"/>
              </w:rPr>
              <w:t>Imbruvica</w:t>
            </w:r>
          </w:p>
        </w:tc>
        <w:tc>
          <w:tcPr>
            <w:tcW w:w="998" w:type="pct"/>
            <w:vAlign w:val="center"/>
          </w:tcPr>
          <w:p w:rsidR="00186D32" w:rsidRPr="006B4AEB" w:rsidRDefault="00186D32" w:rsidP="0031336D">
            <w:pPr>
              <w:keepNext/>
              <w:jc w:val="center"/>
              <w:rPr>
                <w:rFonts w:ascii="Arial Narrow" w:hAnsi="Arial Narrow"/>
                <w:sz w:val="20"/>
              </w:rPr>
            </w:pPr>
            <w:r w:rsidRPr="006B4AEB">
              <w:rPr>
                <w:rFonts w:ascii="Arial Narrow" w:hAnsi="Arial Narrow"/>
                <w:sz w:val="20"/>
              </w:rPr>
              <w:t>Janssen</w:t>
            </w:r>
          </w:p>
        </w:tc>
      </w:tr>
      <w:tr w:rsidR="00186D32" w:rsidRPr="006B4AEB" w:rsidTr="0031336D">
        <w:tblPrEx>
          <w:tblCellMar>
            <w:left w:w="108" w:type="dxa"/>
            <w:right w:w="108" w:type="dxa"/>
          </w:tblCellMar>
        </w:tblPrEx>
        <w:trPr>
          <w:cantSplit/>
          <w:trHeight w:val="360"/>
        </w:trPr>
        <w:tc>
          <w:tcPr>
            <w:tcW w:w="5000" w:type="pct"/>
            <w:gridSpan w:val="8"/>
            <w:tcBorders>
              <w:bottom w:val="single" w:sz="4" w:space="0" w:color="auto"/>
            </w:tcBorders>
          </w:tcPr>
          <w:p w:rsidR="00186D32" w:rsidRPr="006B4AEB" w:rsidRDefault="00186D32" w:rsidP="0031336D">
            <w:pPr>
              <w:rPr>
                <w:rFonts w:ascii="Arial Narrow" w:hAnsi="Arial Narrow"/>
                <w:sz w:val="20"/>
              </w:rPr>
            </w:pPr>
          </w:p>
        </w:tc>
      </w:tr>
      <w:tr w:rsidR="00186D32" w:rsidRPr="006B4AEB" w:rsidTr="0031336D">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b/>
                <w:sz w:val="20"/>
              </w:rPr>
            </w:pPr>
            <w:r w:rsidRPr="006B4AEB">
              <w:rPr>
                <w:rFonts w:ascii="Arial Narrow" w:hAnsi="Arial Narrow"/>
                <w:b/>
                <w:sz w:val="20"/>
              </w:rPr>
              <w:t>Category / Program</w:t>
            </w:r>
          </w:p>
        </w:tc>
        <w:tc>
          <w:tcPr>
            <w:tcW w:w="3657" w:type="pct"/>
            <w:gridSpan w:val="7"/>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sz w:val="20"/>
              </w:rPr>
            </w:pPr>
            <w:r w:rsidRPr="006B4AEB">
              <w:rPr>
                <w:rFonts w:ascii="Arial Narrow" w:hAnsi="Arial Narrow"/>
                <w:sz w:val="20"/>
              </w:rPr>
              <w:t>GENERAL – General Schedule (Code GE)</w:t>
            </w:r>
          </w:p>
        </w:tc>
      </w:tr>
      <w:tr w:rsidR="00186D32" w:rsidRPr="006B4AEB" w:rsidTr="0031336D">
        <w:tblPrEx>
          <w:tblCellMar>
            <w:left w:w="108" w:type="dxa"/>
            <w:right w:w="108" w:type="dxa"/>
          </w:tblCellMar>
        </w:tblPrEx>
        <w:trPr>
          <w:cantSplit/>
          <w:trHeight w:val="465"/>
        </w:trPr>
        <w:tc>
          <w:tcPr>
            <w:tcW w:w="1343" w:type="pct"/>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b/>
                <w:sz w:val="20"/>
              </w:rPr>
            </w:pPr>
            <w:r w:rsidRPr="006B4AEB">
              <w:rPr>
                <w:rFonts w:ascii="Arial Narrow" w:hAnsi="Arial Narrow"/>
                <w:b/>
                <w:sz w:val="20"/>
              </w:rPr>
              <w:t>Prescriber type:</w:t>
            </w:r>
          </w:p>
        </w:tc>
        <w:tc>
          <w:tcPr>
            <w:tcW w:w="3657" w:type="pct"/>
            <w:gridSpan w:val="7"/>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sz w:val="20"/>
              </w:rPr>
            </w:pPr>
            <w:r w:rsidRPr="006B4AEB">
              <w:rPr>
                <w:rFonts w:ascii="Arial Narrow" w:hAnsi="Arial Narrow"/>
                <w:sz w:val="20"/>
              </w:rPr>
              <w:fldChar w:fldCharType="begin">
                <w:ffData>
                  <w:name w:val="Check1"/>
                  <w:enabled/>
                  <w:calcOnExit w:val="0"/>
                  <w:checkBox>
                    <w:sizeAuto/>
                    <w:default w:val="0"/>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 xml:space="preserve">Dental  </w:t>
            </w:r>
            <w:r w:rsidRPr="006B4AEB">
              <w:rPr>
                <w:rFonts w:ascii="Arial Narrow" w:hAnsi="Arial Narrow"/>
                <w:sz w:val="20"/>
              </w:rPr>
              <w:fldChar w:fldCharType="begin">
                <w:ffData>
                  <w:name w:val=""/>
                  <w:enabled/>
                  <w:calcOnExit w:val="0"/>
                  <w:checkBox>
                    <w:sizeAuto/>
                    <w:default w:val="1"/>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 xml:space="preserve">Medical Practitioners  </w:t>
            </w:r>
            <w:r w:rsidRPr="006B4AEB">
              <w:rPr>
                <w:rFonts w:ascii="Arial Narrow" w:hAnsi="Arial Narrow"/>
                <w:sz w:val="20"/>
              </w:rPr>
              <w:fldChar w:fldCharType="begin">
                <w:ffData>
                  <w:name w:val="Check3"/>
                  <w:enabled/>
                  <w:calcOnExit w:val="0"/>
                  <w:checkBox>
                    <w:sizeAuto/>
                    <w:default w:val="0"/>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 xml:space="preserve">Nurse practitioners  </w:t>
            </w:r>
            <w:r w:rsidRPr="006B4AEB">
              <w:rPr>
                <w:rFonts w:ascii="Arial Narrow" w:hAnsi="Arial Narrow"/>
                <w:sz w:val="20"/>
              </w:rPr>
              <w:fldChar w:fldCharType="begin">
                <w:ffData>
                  <w:name w:val=""/>
                  <w:enabled/>
                  <w:calcOnExit w:val="0"/>
                  <w:checkBox>
                    <w:sizeAuto/>
                    <w:default w:val="0"/>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Optometrists</w:t>
            </w:r>
          </w:p>
          <w:p w:rsidR="00186D32" w:rsidRPr="006B4AEB" w:rsidRDefault="00186D32" w:rsidP="0031336D">
            <w:pPr>
              <w:rPr>
                <w:rFonts w:ascii="Arial Narrow" w:hAnsi="Arial Narrow"/>
                <w:sz w:val="20"/>
              </w:rPr>
            </w:pPr>
            <w:r w:rsidRPr="006B4AEB">
              <w:rPr>
                <w:rFonts w:ascii="Arial Narrow" w:hAnsi="Arial Narrow"/>
                <w:sz w:val="20"/>
              </w:rPr>
              <w:fldChar w:fldCharType="begin">
                <w:ffData>
                  <w:name w:val="Check5"/>
                  <w:enabled/>
                  <w:calcOnExit w:val="0"/>
                  <w:checkBox>
                    <w:sizeAuto/>
                    <w:default w:val="0"/>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Midwives</w:t>
            </w:r>
          </w:p>
        </w:tc>
      </w:tr>
      <w:tr w:rsidR="00186D32" w:rsidRPr="006B4AEB" w:rsidTr="0031336D">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b/>
                <w:sz w:val="20"/>
              </w:rPr>
            </w:pPr>
            <w:r w:rsidRPr="006B4AEB">
              <w:rPr>
                <w:rFonts w:ascii="Arial Narrow" w:hAnsi="Arial Narrow"/>
                <w:b/>
                <w:sz w:val="20"/>
              </w:rPr>
              <w:t>PBS Indication:</w:t>
            </w:r>
          </w:p>
        </w:tc>
        <w:tc>
          <w:tcPr>
            <w:tcW w:w="3657" w:type="pct"/>
            <w:gridSpan w:val="7"/>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sz w:val="20"/>
              </w:rPr>
            </w:pPr>
            <w:r w:rsidRPr="006B4AEB">
              <w:rPr>
                <w:rFonts w:ascii="Arial Narrow" w:hAnsi="Arial Narrow"/>
                <w:sz w:val="20"/>
              </w:rPr>
              <w:t>Chronic lymphocytic leukaemia (CLL) or small lymphocytic lymphoma (SLL)</w:t>
            </w:r>
          </w:p>
        </w:tc>
      </w:tr>
      <w:tr w:rsidR="00186D32" w:rsidRPr="006B4AEB" w:rsidTr="0031336D">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i/>
                <w:sz w:val="20"/>
              </w:rPr>
            </w:pPr>
            <w:r w:rsidRPr="006B4AEB">
              <w:rPr>
                <w:rFonts w:ascii="Arial Narrow" w:hAnsi="Arial Narrow"/>
                <w:b/>
                <w:sz w:val="20"/>
              </w:rPr>
              <w:t>Restriction Level / Method:</w:t>
            </w:r>
          </w:p>
        </w:tc>
        <w:tc>
          <w:tcPr>
            <w:tcW w:w="3657" w:type="pct"/>
            <w:gridSpan w:val="7"/>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sz w:val="20"/>
              </w:rPr>
            </w:pPr>
            <w:r w:rsidRPr="006B4AEB">
              <w:rPr>
                <w:rFonts w:ascii="Arial Narrow" w:hAnsi="Arial Narrow"/>
                <w:sz w:val="20"/>
              </w:rPr>
              <w:fldChar w:fldCharType="begin">
                <w:ffData>
                  <w:name w:val="Check1"/>
                  <w:enabled/>
                  <w:calcOnExit w:val="0"/>
                  <w:checkBox>
                    <w:sizeAuto/>
                    <w:default w:val="0"/>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Restricted benefit</w:t>
            </w:r>
          </w:p>
          <w:p w:rsidR="00186D32" w:rsidRPr="006B4AEB" w:rsidRDefault="00186D32" w:rsidP="0031336D">
            <w:pPr>
              <w:rPr>
                <w:rFonts w:ascii="Arial Narrow" w:hAnsi="Arial Narrow"/>
                <w:sz w:val="20"/>
              </w:rPr>
            </w:pPr>
            <w:r w:rsidRPr="006B4AEB">
              <w:rPr>
                <w:rFonts w:ascii="Arial Narrow" w:hAnsi="Arial Narrow"/>
                <w:sz w:val="20"/>
              </w:rPr>
              <w:fldChar w:fldCharType="begin">
                <w:ffData>
                  <w:name w:val=""/>
                  <w:enabled/>
                  <w:calcOnExit w:val="0"/>
                  <w:checkBox>
                    <w:sizeAuto/>
                    <w:default w:val="1"/>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Authority Required - In Writing</w:t>
            </w:r>
          </w:p>
          <w:p w:rsidR="00186D32" w:rsidRPr="006B4AEB" w:rsidRDefault="00186D32" w:rsidP="0031336D">
            <w:pPr>
              <w:rPr>
                <w:rFonts w:ascii="Arial Narrow" w:hAnsi="Arial Narrow"/>
                <w:sz w:val="20"/>
              </w:rPr>
            </w:pPr>
            <w:r w:rsidRPr="006B4AEB">
              <w:rPr>
                <w:rFonts w:ascii="Arial Narrow" w:hAnsi="Arial Narrow"/>
                <w:sz w:val="20"/>
              </w:rPr>
              <w:fldChar w:fldCharType="begin">
                <w:ffData>
                  <w:name w:val=""/>
                  <w:enabled/>
                  <w:calcOnExit w:val="0"/>
                  <w:checkBox>
                    <w:sizeAuto/>
                    <w:default w:val="1"/>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Authority Required - Telephone</w:t>
            </w:r>
          </w:p>
          <w:p w:rsidR="00186D32" w:rsidRPr="006B4AEB" w:rsidRDefault="00186D32" w:rsidP="0031336D">
            <w:pPr>
              <w:rPr>
                <w:rFonts w:ascii="Arial Narrow" w:hAnsi="Arial Narrow"/>
                <w:sz w:val="20"/>
              </w:rPr>
            </w:pPr>
            <w:r w:rsidRPr="006B4AEB">
              <w:rPr>
                <w:rFonts w:ascii="Arial Narrow" w:hAnsi="Arial Narrow"/>
                <w:sz w:val="20"/>
              </w:rPr>
              <w:fldChar w:fldCharType="begin">
                <w:ffData>
                  <w:name w:val=""/>
                  <w:enabled/>
                  <w:calcOnExit w:val="0"/>
                  <w:checkBox>
                    <w:sizeAuto/>
                    <w:default w:val="0"/>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Authority Required – Emergency</w:t>
            </w:r>
          </w:p>
          <w:p w:rsidR="00186D32" w:rsidRPr="006B4AEB" w:rsidRDefault="00186D32" w:rsidP="0031336D">
            <w:pPr>
              <w:rPr>
                <w:rFonts w:ascii="Arial Narrow" w:hAnsi="Arial Narrow"/>
                <w:sz w:val="20"/>
              </w:rPr>
            </w:pPr>
            <w:r w:rsidRPr="006B4AEB">
              <w:rPr>
                <w:rFonts w:ascii="Arial Narrow" w:hAnsi="Arial Narrow"/>
                <w:sz w:val="20"/>
              </w:rPr>
              <w:fldChar w:fldCharType="begin">
                <w:ffData>
                  <w:name w:val="Check5"/>
                  <w:enabled/>
                  <w:calcOnExit w:val="0"/>
                  <w:checkBox>
                    <w:sizeAuto/>
                    <w:default w:val="0"/>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Authority Required - Electronic</w:t>
            </w:r>
          </w:p>
          <w:p w:rsidR="00186D32" w:rsidRPr="006B4AEB" w:rsidRDefault="00186D32" w:rsidP="0031336D">
            <w:pPr>
              <w:rPr>
                <w:rFonts w:ascii="Arial Narrow" w:hAnsi="Arial Narrow"/>
                <w:sz w:val="20"/>
              </w:rPr>
            </w:pPr>
            <w:r w:rsidRPr="006B4AEB">
              <w:rPr>
                <w:rFonts w:ascii="Arial Narrow" w:hAnsi="Arial Narrow"/>
                <w:sz w:val="20"/>
              </w:rPr>
              <w:fldChar w:fldCharType="begin">
                <w:ffData>
                  <w:name w:val=""/>
                  <w:enabled/>
                  <w:calcOnExit w:val="0"/>
                  <w:checkBox>
                    <w:sizeAuto/>
                    <w:default w:val="0"/>
                  </w:checkBox>
                </w:ffData>
              </w:fldChar>
            </w:r>
            <w:r w:rsidRPr="006B4AEB">
              <w:rPr>
                <w:rFonts w:ascii="Arial Narrow" w:hAnsi="Arial Narrow"/>
                <w:sz w:val="20"/>
              </w:rPr>
              <w:instrText xml:space="preserve"> FORMCHECKBOX </w:instrText>
            </w:r>
            <w:r w:rsidR="00634107">
              <w:rPr>
                <w:rFonts w:ascii="Arial Narrow" w:hAnsi="Arial Narrow"/>
                <w:sz w:val="20"/>
              </w:rPr>
            </w:r>
            <w:r w:rsidR="00634107">
              <w:rPr>
                <w:rFonts w:ascii="Arial Narrow" w:hAnsi="Arial Narrow"/>
                <w:sz w:val="20"/>
              </w:rPr>
              <w:fldChar w:fldCharType="separate"/>
            </w:r>
            <w:r w:rsidRPr="006B4AEB">
              <w:rPr>
                <w:rFonts w:ascii="Arial Narrow" w:hAnsi="Arial Narrow"/>
                <w:sz w:val="20"/>
              </w:rPr>
              <w:fldChar w:fldCharType="end"/>
            </w:r>
            <w:r w:rsidRPr="006B4AEB">
              <w:rPr>
                <w:rFonts w:ascii="Arial Narrow" w:hAnsi="Arial Narrow"/>
                <w:sz w:val="20"/>
              </w:rPr>
              <w:t>Streamlined</w:t>
            </w:r>
          </w:p>
        </w:tc>
      </w:tr>
      <w:tr w:rsidR="00186D32" w:rsidRPr="006B4AEB" w:rsidTr="0031336D">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i/>
                <w:sz w:val="20"/>
              </w:rPr>
            </w:pPr>
            <w:r w:rsidRPr="006B4AEB">
              <w:rPr>
                <w:rFonts w:ascii="Arial Narrow" w:hAnsi="Arial Narrow"/>
                <w:b/>
                <w:sz w:val="20"/>
              </w:rPr>
              <w:t>Clinical criteria:</w:t>
            </w:r>
          </w:p>
        </w:tc>
        <w:tc>
          <w:tcPr>
            <w:tcW w:w="3657" w:type="pct"/>
            <w:gridSpan w:val="7"/>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sz w:val="20"/>
              </w:rPr>
            </w:pPr>
            <w:r w:rsidRPr="006B4AEB">
              <w:rPr>
                <w:rFonts w:ascii="Arial Narrow" w:hAnsi="Arial Narrow"/>
                <w:sz w:val="20"/>
              </w:rPr>
              <w:t>The treatment must be as monotherapy;</w:t>
            </w:r>
          </w:p>
          <w:p w:rsidR="00186D32" w:rsidRPr="006B4AEB" w:rsidRDefault="00186D32" w:rsidP="0031336D">
            <w:pPr>
              <w:rPr>
                <w:rFonts w:ascii="Arial Narrow" w:hAnsi="Arial Narrow"/>
                <w:sz w:val="20"/>
              </w:rPr>
            </w:pPr>
            <w:r w:rsidRPr="006B4AEB">
              <w:rPr>
                <w:rFonts w:ascii="Arial Narrow" w:hAnsi="Arial Narrow"/>
                <w:sz w:val="20"/>
              </w:rPr>
              <w:t>AND</w:t>
            </w:r>
          </w:p>
          <w:p w:rsidR="00186D32" w:rsidRPr="006B4AEB" w:rsidRDefault="00186D32" w:rsidP="0031336D">
            <w:pPr>
              <w:rPr>
                <w:rFonts w:ascii="Arial Narrow" w:hAnsi="Arial Narrow"/>
                <w:sz w:val="20"/>
              </w:rPr>
            </w:pPr>
            <w:r w:rsidRPr="006B4AEB">
              <w:rPr>
                <w:rFonts w:ascii="Arial Narrow" w:hAnsi="Arial Narrow"/>
                <w:sz w:val="20"/>
              </w:rPr>
              <w:t>The condition must have relapsed or be refractory to at least one prior therapy;</w:t>
            </w:r>
          </w:p>
          <w:p w:rsidR="00186D32" w:rsidRPr="006B4AEB" w:rsidRDefault="00186D32" w:rsidP="0031336D">
            <w:pPr>
              <w:rPr>
                <w:rFonts w:ascii="Arial Narrow" w:hAnsi="Arial Narrow"/>
                <w:sz w:val="20"/>
              </w:rPr>
            </w:pPr>
            <w:r w:rsidRPr="006B4AEB">
              <w:rPr>
                <w:rFonts w:ascii="Arial Narrow" w:hAnsi="Arial Narrow"/>
                <w:sz w:val="20"/>
              </w:rPr>
              <w:t>AND</w:t>
            </w:r>
          </w:p>
          <w:p w:rsidR="00186D32" w:rsidRPr="006B4AEB" w:rsidRDefault="00186D32" w:rsidP="0031336D">
            <w:pPr>
              <w:rPr>
                <w:rFonts w:ascii="Arial Narrow" w:hAnsi="Arial Narrow"/>
                <w:sz w:val="20"/>
              </w:rPr>
            </w:pPr>
            <w:r w:rsidRPr="006B4AEB">
              <w:rPr>
                <w:rFonts w:ascii="Arial Narrow" w:hAnsi="Arial Narrow"/>
                <w:sz w:val="20"/>
              </w:rPr>
              <w:t>Patient must have a WHO performance status of 0 or 1.</w:t>
            </w:r>
          </w:p>
          <w:p w:rsidR="00186D32" w:rsidRPr="006B4AEB" w:rsidRDefault="00186D32" w:rsidP="0031336D">
            <w:pPr>
              <w:rPr>
                <w:rFonts w:ascii="Arial Narrow" w:hAnsi="Arial Narrow"/>
                <w:sz w:val="20"/>
              </w:rPr>
            </w:pPr>
            <w:r w:rsidRPr="006B4AEB">
              <w:rPr>
                <w:rFonts w:ascii="Arial Narrow" w:hAnsi="Arial Narrow"/>
                <w:sz w:val="20"/>
              </w:rPr>
              <w:t>AND</w:t>
            </w:r>
          </w:p>
          <w:p w:rsidR="00186D32" w:rsidRPr="006B4AEB" w:rsidRDefault="00186D32" w:rsidP="0031336D">
            <w:pPr>
              <w:rPr>
                <w:rFonts w:ascii="Arial Narrow" w:hAnsi="Arial Narrow"/>
                <w:sz w:val="20"/>
              </w:rPr>
            </w:pPr>
            <w:r w:rsidRPr="006B4AEB">
              <w:rPr>
                <w:rFonts w:ascii="Arial Narrow" w:hAnsi="Arial Narrow"/>
                <w:sz w:val="20"/>
              </w:rPr>
              <w:t>The patient must be considered unsuitable for treatment or retreatment with a purine analogue.</w:t>
            </w:r>
          </w:p>
        </w:tc>
      </w:tr>
      <w:tr w:rsidR="00186D32" w:rsidRPr="006B4AEB" w:rsidTr="0031336D">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sz w:val="20"/>
              </w:rPr>
            </w:pPr>
            <w:r w:rsidRPr="006B4AEB">
              <w:rPr>
                <w:rFonts w:ascii="Arial Narrow" w:hAnsi="Arial Narrow"/>
                <w:b/>
                <w:sz w:val="20"/>
              </w:rPr>
              <w:t>Prescriber Instructions</w:t>
            </w:r>
          </w:p>
        </w:tc>
        <w:tc>
          <w:tcPr>
            <w:tcW w:w="3657" w:type="pct"/>
            <w:gridSpan w:val="7"/>
            <w:tcBorders>
              <w:top w:val="single" w:sz="4" w:space="0" w:color="auto"/>
              <w:left w:val="single" w:sz="4" w:space="0" w:color="auto"/>
              <w:bottom w:val="single" w:sz="4" w:space="0" w:color="auto"/>
              <w:right w:val="single" w:sz="4" w:space="0" w:color="auto"/>
            </w:tcBorders>
          </w:tcPr>
          <w:p w:rsidR="00186D32" w:rsidRPr="006B4AEB" w:rsidRDefault="00186D32" w:rsidP="0031336D">
            <w:pPr>
              <w:rPr>
                <w:rFonts w:ascii="Arial Narrow" w:hAnsi="Arial Narrow"/>
                <w:sz w:val="20"/>
              </w:rPr>
            </w:pPr>
            <w:r w:rsidRPr="006B4AEB">
              <w:rPr>
                <w:rFonts w:ascii="Arial Narrow" w:hAnsi="Arial Narrow"/>
                <w:sz w:val="20"/>
              </w:rPr>
              <w:t>A patient is considered unsuitable for treatment or retreatment with a purine analogue as demonstrated by at least one of the following:</w:t>
            </w:r>
          </w:p>
          <w:p w:rsidR="00186D32" w:rsidRPr="006B4AEB" w:rsidRDefault="00186D32" w:rsidP="0031336D">
            <w:pPr>
              <w:rPr>
                <w:rFonts w:ascii="Arial Narrow" w:hAnsi="Arial Narrow"/>
                <w:sz w:val="20"/>
              </w:rPr>
            </w:pPr>
            <w:r w:rsidRPr="006B4AEB">
              <w:rPr>
                <w:rFonts w:ascii="Arial Narrow" w:hAnsi="Arial Narrow"/>
                <w:sz w:val="20"/>
              </w:rPr>
              <w:t>a.</w:t>
            </w:r>
            <w:r w:rsidRPr="006B4AEB">
              <w:rPr>
                <w:rFonts w:ascii="Arial Narrow" w:hAnsi="Arial Narrow"/>
                <w:sz w:val="20"/>
              </w:rPr>
              <w:tab/>
              <w:t>Failure to respond (stable disease or disease progression on treatment), or a progression-free interval of less than 3 years from treatment with a purine analogue-based therapy and anti-CD20-containing chemoimmunotherapy regimen after at least two cycles</w:t>
            </w:r>
          </w:p>
          <w:p w:rsidR="00186D32" w:rsidRPr="006B4AEB" w:rsidRDefault="00186D32" w:rsidP="0031336D">
            <w:pPr>
              <w:rPr>
                <w:rFonts w:ascii="Arial Narrow" w:hAnsi="Arial Narrow"/>
                <w:sz w:val="20"/>
              </w:rPr>
            </w:pPr>
            <w:r w:rsidRPr="006B4AEB">
              <w:rPr>
                <w:rFonts w:ascii="Arial Narrow" w:hAnsi="Arial Narrow"/>
                <w:sz w:val="20"/>
              </w:rPr>
              <w:t>b.</w:t>
            </w:r>
            <w:r w:rsidRPr="006B4AEB">
              <w:rPr>
                <w:rFonts w:ascii="Arial Narrow" w:hAnsi="Arial Narrow"/>
                <w:sz w:val="20"/>
              </w:rPr>
              <w:tab/>
              <w:t>Age ≥ 70 years</w:t>
            </w:r>
          </w:p>
          <w:p w:rsidR="00186D32" w:rsidRPr="006B4AEB" w:rsidRDefault="00186D32" w:rsidP="0031336D">
            <w:pPr>
              <w:rPr>
                <w:rFonts w:ascii="Arial Narrow" w:hAnsi="Arial Narrow"/>
                <w:sz w:val="20"/>
              </w:rPr>
            </w:pPr>
            <w:r w:rsidRPr="006B4AEB">
              <w:rPr>
                <w:rFonts w:ascii="Arial Narrow" w:hAnsi="Arial Narrow"/>
                <w:sz w:val="20"/>
              </w:rPr>
              <w:t>c.</w:t>
            </w:r>
            <w:r w:rsidRPr="006B4AEB">
              <w:rPr>
                <w:rFonts w:ascii="Arial Narrow" w:hAnsi="Arial Narrow"/>
                <w:sz w:val="20"/>
              </w:rPr>
              <w:tab/>
              <w:t>Age ≥ 65 years and the presence of comorbidities (Cumulative Illness Rating Scale ≥ 6 or creatinine clearance &lt;70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p>
          <w:p w:rsidR="00186D32" w:rsidRPr="006B4AEB" w:rsidRDefault="00186D32" w:rsidP="0031336D">
            <w:pPr>
              <w:rPr>
                <w:rFonts w:ascii="Arial Narrow" w:hAnsi="Arial Narrow"/>
                <w:sz w:val="20"/>
              </w:rPr>
            </w:pPr>
            <w:r w:rsidRPr="006B4AEB">
              <w:rPr>
                <w:rFonts w:ascii="Arial Narrow" w:hAnsi="Arial Narrow"/>
                <w:sz w:val="20"/>
              </w:rPr>
              <w:t>d.</w:t>
            </w:r>
            <w:r w:rsidRPr="006B4AEB">
              <w:rPr>
                <w:rFonts w:ascii="Arial Narrow" w:hAnsi="Arial Narrow"/>
                <w:sz w:val="20"/>
              </w:rPr>
              <w:tab/>
              <w:t>History of purine analogue-associated autoimmune anaemia or autoimmune thrombocytopenia</w:t>
            </w:r>
          </w:p>
          <w:p w:rsidR="00186D32" w:rsidRPr="006B4AEB" w:rsidRDefault="00186D32" w:rsidP="0031336D">
            <w:pPr>
              <w:rPr>
                <w:rFonts w:ascii="Arial Narrow" w:hAnsi="Arial Narrow"/>
                <w:sz w:val="20"/>
              </w:rPr>
            </w:pPr>
            <w:r w:rsidRPr="006B4AEB">
              <w:rPr>
                <w:rFonts w:ascii="Arial Narrow" w:hAnsi="Arial Narrow"/>
                <w:sz w:val="20"/>
              </w:rPr>
              <w:t>e.</w:t>
            </w:r>
            <w:r w:rsidRPr="006B4AEB">
              <w:rPr>
                <w:rFonts w:ascii="Arial Narrow" w:hAnsi="Arial Narrow"/>
                <w:sz w:val="20"/>
              </w:rPr>
              <w:tab/>
              <w:t>17p deletion</w:t>
            </w:r>
          </w:p>
          <w:p w:rsidR="00186D32" w:rsidRPr="006B4AEB" w:rsidRDefault="00186D32" w:rsidP="0031336D">
            <w:pPr>
              <w:rPr>
                <w:rFonts w:ascii="Arial Narrow" w:hAnsi="Arial Narrow"/>
                <w:sz w:val="20"/>
              </w:rPr>
            </w:pPr>
          </w:p>
          <w:p w:rsidR="00186D32" w:rsidRPr="006B4AEB" w:rsidRDefault="00186D32" w:rsidP="0031336D">
            <w:pPr>
              <w:rPr>
                <w:rFonts w:ascii="Arial Narrow" w:hAnsi="Arial Narrow"/>
                <w:sz w:val="20"/>
              </w:rPr>
            </w:pPr>
            <w:r w:rsidRPr="006B4AEB">
              <w:rPr>
                <w:rFonts w:ascii="Arial Narrow" w:hAnsi="Arial Narrow"/>
                <w:sz w:val="20"/>
              </w:rPr>
              <w:t>Treatment must be discontinued in patients who experience disease progression while on treatment.</w:t>
            </w:r>
          </w:p>
        </w:tc>
      </w:tr>
      <w:tr w:rsidR="00186D32" w:rsidRPr="006B4AEB" w:rsidTr="0031336D">
        <w:tblPrEx>
          <w:tblCellMar>
            <w:left w:w="108" w:type="dxa"/>
            <w:right w:w="108" w:type="dxa"/>
          </w:tblCellMar>
        </w:tblPrEx>
        <w:trPr>
          <w:cantSplit/>
          <w:trHeight w:val="360"/>
        </w:trPr>
        <w:tc>
          <w:tcPr>
            <w:tcW w:w="1343" w:type="pct"/>
            <w:tcBorders>
              <w:top w:val="single" w:sz="4" w:space="0" w:color="auto"/>
              <w:left w:val="single" w:sz="4" w:space="0" w:color="auto"/>
              <w:bottom w:val="single" w:sz="4" w:space="0" w:color="auto"/>
              <w:right w:val="single" w:sz="4" w:space="0" w:color="auto"/>
            </w:tcBorders>
          </w:tcPr>
          <w:p w:rsidR="00186D32" w:rsidRPr="006B4AEB" w:rsidRDefault="00186D32" w:rsidP="0031336D">
            <w:pPr>
              <w:jc w:val="both"/>
              <w:rPr>
                <w:rFonts w:ascii="Arial Narrow" w:hAnsi="Arial Narrow"/>
                <w:b/>
                <w:sz w:val="20"/>
              </w:rPr>
            </w:pPr>
            <w:r w:rsidRPr="006B4AEB">
              <w:rPr>
                <w:rFonts w:ascii="Arial Narrow" w:hAnsi="Arial Narrow" w:cs="Arial"/>
                <w:b/>
                <w:sz w:val="20"/>
                <w:szCs w:val="20"/>
              </w:rPr>
              <w:t>Administrative Advice</w:t>
            </w:r>
          </w:p>
        </w:tc>
        <w:tc>
          <w:tcPr>
            <w:tcW w:w="3657" w:type="pct"/>
            <w:gridSpan w:val="7"/>
            <w:tcBorders>
              <w:top w:val="single" w:sz="4" w:space="0" w:color="auto"/>
              <w:left w:val="single" w:sz="4" w:space="0" w:color="auto"/>
              <w:bottom w:val="single" w:sz="4" w:space="0" w:color="auto"/>
              <w:right w:val="single" w:sz="4" w:space="0" w:color="auto"/>
            </w:tcBorders>
          </w:tcPr>
          <w:p w:rsidR="00186D32" w:rsidRPr="006B4AEB" w:rsidRDefault="00186D32" w:rsidP="0031336D">
            <w:pPr>
              <w:tabs>
                <w:tab w:val="left" w:pos="3533"/>
              </w:tabs>
              <w:rPr>
                <w:rFonts w:ascii="Arial Narrow" w:hAnsi="Arial Narrow"/>
                <w:sz w:val="20"/>
                <w:szCs w:val="20"/>
              </w:rPr>
            </w:pPr>
            <w:r w:rsidRPr="006B4AEB">
              <w:rPr>
                <w:rFonts w:ascii="Arial Narrow" w:hAnsi="Arial Narrow"/>
                <w:sz w:val="20"/>
                <w:szCs w:val="20"/>
              </w:rPr>
              <w:t>Special Pricing Arrangements apply.</w:t>
            </w:r>
          </w:p>
        </w:tc>
      </w:tr>
    </w:tbl>
    <w:p w:rsidR="00186D32" w:rsidRPr="006B4AEB" w:rsidRDefault="00186D32" w:rsidP="00186D32">
      <w:pPr>
        <w:widowControl w:val="0"/>
        <w:contextualSpacing/>
        <w:jc w:val="both"/>
        <w:rPr>
          <w:rFonts w:ascii="Arial" w:hAnsi="Arial" w:cs="Arial"/>
          <w:snapToGrid w:val="0"/>
          <w:sz w:val="22"/>
          <w:szCs w:val="22"/>
        </w:rPr>
      </w:pPr>
    </w:p>
    <w:p w:rsidR="00186D32" w:rsidRDefault="00186D32" w:rsidP="00186D32"/>
    <w:p w:rsidR="00EA00EB" w:rsidRPr="002F3AE3" w:rsidRDefault="00EA00EB" w:rsidP="00186D32"/>
    <w:p w:rsidR="00186D32" w:rsidRPr="00186D32" w:rsidRDefault="00186D32" w:rsidP="00186D32">
      <w:pPr>
        <w:pStyle w:val="PBACHeading1"/>
        <w:numPr>
          <w:ilvl w:val="0"/>
          <w:numId w:val="5"/>
        </w:numPr>
        <w:ind w:left="709" w:hanging="709"/>
      </w:pPr>
      <w:r w:rsidRPr="00186D32">
        <w:t>Sponsor’s Comment</w:t>
      </w:r>
    </w:p>
    <w:p w:rsidR="00186D32" w:rsidRPr="00186D32" w:rsidRDefault="00186D32" w:rsidP="00186D32">
      <w:pPr>
        <w:ind w:left="709"/>
        <w:rPr>
          <w:rFonts w:ascii="Arial" w:hAnsi="Arial" w:cs="Arial"/>
          <w:bCs/>
          <w:sz w:val="22"/>
          <w:szCs w:val="22"/>
          <w:highlight w:val="yellow"/>
          <w:lang w:val="en-GB"/>
        </w:rPr>
      </w:pPr>
    </w:p>
    <w:p w:rsidR="00026AD3" w:rsidRPr="004209B1" w:rsidRDefault="00186D32" w:rsidP="00E64DCF">
      <w:pPr>
        <w:spacing w:after="120"/>
        <w:ind w:left="426" w:firstLine="283"/>
        <w:rPr>
          <w:rFonts w:ascii="Arial" w:hAnsi="Arial" w:cs="Arial"/>
          <w:b/>
          <w:bCs/>
          <w:snapToGrid w:val="0"/>
          <w:sz w:val="22"/>
          <w:szCs w:val="22"/>
        </w:rPr>
      </w:pPr>
      <w:r w:rsidRPr="00186D32">
        <w:rPr>
          <w:rFonts w:ascii="Arial" w:hAnsi="Arial" w:cs="Arial"/>
          <w:bCs/>
          <w:sz w:val="22"/>
          <w:szCs w:val="22"/>
        </w:rPr>
        <w:t>The sponsor had no comment.</w:t>
      </w:r>
      <w:r w:rsidR="00E64DCF" w:rsidRPr="004209B1">
        <w:rPr>
          <w:rFonts w:ascii="Arial" w:hAnsi="Arial" w:cs="Arial"/>
          <w:b/>
          <w:bCs/>
          <w:snapToGrid w:val="0"/>
          <w:sz w:val="22"/>
          <w:szCs w:val="22"/>
        </w:rPr>
        <w:t xml:space="preserve"> </w:t>
      </w:r>
    </w:p>
    <w:p w:rsidR="00534165" w:rsidRPr="00284652" w:rsidRDefault="00534165" w:rsidP="002D49F0">
      <w:pPr>
        <w:rPr>
          <w:rFonts w:ascii="Arial" w:hAnsi="Arial"/>
          <w:sz w:val="22"/>
          <w:szCs w:val="22"/>
        </w:rPr>
      </w:pPr>
    </w:p>
    <w:sectPr w:rsidR="00534165" w:rsidRPr="00284652" w:rsidSect="00F706AF">
      <w:headerReference w:type="even" r:id="rId16"/>
      <w:footerReference w:type="even" r:id="rId17"/>
      <w:footerReference w:type="first" r:id="rId18"/>
      <w:pgSz w:w="11906" w:h="16838" w:code="9"/>
      <w:pgMar w:top="1361" w:right="1440" w:bottom="1361" w:left="1440" w:header="1134" w:footer="851"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07" w:rsidRDefault="00634107">
      <w:r>
        <w:separator/>
      </w:r>
    </w:p>
    <w:p w:rsidR="00634107" w:rsidRDefault="00634107"/>
  </w:endnote>
  <w:endnote w:type="continuationSeparator" w:id="0">
    <w:p w:rsidR="00634107" w:rsidRDefault="00634107">
      <w:r>
        <w:continuationSeparator/>
      </w:r>
    </w:p>
    <w:p w:rsidR="00634107" w:rsidRDefault="00634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59"/>
    <w:family w:val="auto"/>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07" w:rsidRDefault="00634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03039"/>
      <w:docPartObj>
        <w:docPartGallery w:val="Page Numbers (Bottom of Page)"/>
        <w:docPartUnique/>
      </w:docPartObj>
    </w:sdtPr>
    <w:sdtEndPr>
      <w:rPr>
        <w:rFonts w:ascii="Arial" w:hAnsi="Arial" w:cs="Arial"/>
        <w:noProof/>
        <w:sz w:val="20"/>
        <w:szCs w:val="20"/>
      </w:rPr>
    </w:sdtEndPr>
    <w:sdtContent>
      <w:p w:rsidR="007D5403" w:rsidRPr="003563C5" w:rsidRDefault="007D5403">
        <w:pPr>
          <w:pStyle w:val="Footer"/>
          <w:jc w:val="center"/>
          <w:rPr>
            <w:rFonts w:ascii="Arial" w:hAnsi="Arial" w:cs="Arial"/>
            <w:sz w:val="20"/>
            <w:szCs w:val="20"/>
          </w:rPr>
        </w:pPr>
        <w:r w:rsidRPr="003563C5">
          <w:rPr>
            <w:rFonts w:ascii="Arial" w:hAnsi="Arial" w:cs="Arial"/>
            <w:sz w:val="20"/>
            <w:szCs w:val="20"/>
          </w:rPr>
          <w:fldChar w:fldCharType="begin"/>
        </w:r>
        <w:r w:rsidRPr="003563C5">
          <w:rPr>
            <w:rFonts w:ascii="Arial" w:hAnsi="Arial" w:cs="Arial"/>
            <w:sz w:val="20"/>
            <w:szCs w:val="20"/>
          </w:rPr>
          <w:instrText xml:space="preserve"> PAGE   \* MERGEFORMAT </w:instrText>
        </w:r>
        <w:r w:rsidRPr="003563C5">
          <w:rPr>
            <w:rFonts w:ascii="Arial" w:hAnsi="Arial" w:cs="Arial"/>
            <w:sz w:val="20"/>
            <w:szCs w:val="20"/>
          </w:rPr>
          <w:fldChar w:fldCharType="separate"/>
        </w:r>
        <w:r w:rsidR="00634107">
          <w:rPr>
            <w:rFonts w:ascii="Arial" w:hAnsi="Arial" w:cs="Arial"/>
            <w:noProof/>
            <w:sz w:val="20"/>
            <w:szCs w:val="20"/>
          </w:rPr>
          <w:t>2</w:t>
        </w:r>
        <w:r w:rsidRPr="003563C5">
          <w:rPr>
            <w:rFonts w:ascii="Arial" w:hAnsi="Arial" w:cs="Arial"/>
            <w:noProof/>
            <w:sz w:val="20"/>
            <w:szCs w:val="20"/>
          </w:rPr>
          <w:fldChar w:fldCharType="end"/>
        </w:r>
      </w:p>
    </w:sdtContent>
  </w:sdt>
  <w:p w:rsidR="007D5403" w:rsidRPr="00AD59A3" w:rsidRDefault="007D5403" w:rsidP="00AD59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07" w:rsidRDefault="006341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D5403" w:rsidTr="005A3173">
      <w:trPr>
        <w:trHeight w:val="151"/>
      </w:trPr>
      <w:tc>
        <w:tcPr>
          <w:tcW w:w="2250" w:type="pct"/>
          <w:tcBorders>
            <w:top w:val="nil"/>
            <w:left w:val="nil"/>
            <w:bottom w:val="single" w:sz="4" w:space="0" w:color="4F81BD"/>
            <w:right w:val="nil"/>
          </w:tcBorders>
        </w:tcPr>
        <w:p w:rsidR="007D5403" w:rsidRPr="005A3173" w:rsidRDefault="007D540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5403" w:rsidRPr="005A3173" w:rsidRDefault="007D540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5403" w:rsidRPr="005A3173" w:rsidRDefault="007D5403" w:rsidP="005A3173">
          <w:pPr>
            <w:pStyle w:val="Header"/>
            <w:spacing w:line="276" w:lineRule="auto"/>
            <w:rPr>
              <w:rFonts w:ascii="Calibri" w:eastAsia="MS Gothic" w:hAnsi="Calibri"/>
              <w:b/>
              <w:bCs/>
              <w:color w:val="4F81BD"/>
            </w:rPr>
          </w:pPr>
        </w:p>
      </w:tc>
    </w:tr>
    <w:tr w:rsidR="007D5403" w:rsidTr="005A3173">
      <w:trPr>
        <w:trHeight w:val="150"/>
      </w:trPr>
      <w:tc>
        <w:tcPr>
          <w:tcW w:w="2250" w:type="pct"/>
          <w:tcBorders>
            <w:top w:val="single" w:sz="4" w:space="0" w:color="4F81BD"/>
            <w:left w:val="nil"/>
            <w:bottom w:val="nil"/>
            <w:right w:val="nil"/>
          </w:tcBorders>
        </w:tcPr>
        <w:p w:rsidR="007D5403" w:rsidRPr="005A3173" w:rsidRDefault="007D5403" w:rsidP="005A3173">
          <w:pPr>
            <w:pStyle w:val="Header"/>
            <w:spacing w:line="276" w:lineRule="auto"/>
            <w:rPr>
              <w:rFonts w:ascii="Calibri" w:eastAsia="MS Gothic" w:hAnsi="Calibri"/>
              <w:b/>
              <w:bCs/>
              <w:color w:val="4F81BD"/>
            </w:rPr>
          </w:pPr>
        </w:p>
      </w:tc>
      <w:tc>
        <w:tcPr>
          <w:tcW w:w="0" w:type="auto"/>
          <w:vMerge/>
          <w:vAlign w:val="center"/>
          <w:hideMark/>
        </w:tcPr>
        <w:p w:rsidR="007D5403" w:rsidRPr="005A3173" w:rsidRDefault="007D5403"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5403" w:rsidRPr="005A3173" w:rsidRDefault="007D5403" w:rsidP="005A3173">
          <w:pPr>
            <w:pStyle w:val="Header"/>
            <w:spacing w:line="276" w:lineRule="auto"/>
            <w:rPr>
              <w:rFonts w:ascii="Calibri" w:eastAsia="MS Gothic" w:hAnsi="Calibri"/>
              <w:b/>
              <w:bCs/>
              <w:color w:val="4F81BD"/>
            </w:rPr>
          </w:pPr>
        </w:p>
      </w:tc>
    </w:tr>
  </w:tbl>
  <w:p w:rsidR="007D5403" w:rsidRDefault="007D540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5403" w:rsidRDefault="007D5403">
    <w:pPr>
      <w:pStyle w:val="Footer"/>
    </w:pPr>
  </w:p>
  <w:p w:rsidR="007D5403" w:rsidRDefault="007D540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D5403" w:rsidTr="005A3173">
      <w:trPr>
        <w:trHeight w:val="151"/>
      </w:trPr>
      <w:tc>
        <w:tcPr>
          <w:tcW w:w="2250" w:type="pct"/>
          <w:tcBorders>
            <w:top w:val="nil"/>
            <w:left w:val="nil"/>
            <w:bottom w:val="single" w:sz="4" w:space="0" w:color="4F81BD"/>
            <w:right w:val="nil"/>
          </w:tcBorders>
        </w:tcPr>
        <w:p w:rsidR="007D5403" w:rsidRPr="005A3173" w:rsidRDefault="007D540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5403" w:rsidRPr="005A3173" w:rsidRDefault="007D540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5403" w:rsidRPr="005A3173" w:rsidRDefault="007D5403" w:rsidP="005A3173">
          <w:pPr>
            <w:pStyle w:val="Header"/>
            <w:spacing w:line="276" w:lineRule="auto"/>
            <w:rPr>
              <w:rFonts w:ascii="Calibri" w:eastAsia="MS Gothic" w:hAnsi="Calibri"/>
              <w:b/>
              <w:bCs/>
              <w:color w:val="4F81BD"/>
            </w:rPr>
          </w:pPr>
        </w:p>
      </w:tc>
    </w:tr>
    <w:tr w:rsidR="007D5403" w:rsidTr="005A3173">
      <w:trPr>
        <w:trHeight w:val="150"/>
      </w:trPr>
      <w:tc>
        <w:tcPr>
          <w:tcW w:w="2250" w:type="pct"/>
          <w:tcBorders>
            <w:top w:val="single" w:sz="4" w:space="0" w:color="4F81BD"/>
            <w:left w:val="nil"/>
            <w:bottom w:val="nil"/>
            <w:right w:val="nil"/>
          </w:tcBorders>
        </w:tcPr>
        <w:p w:rsidR="007D5403" w:rsidRPr="005A3173" w:rsidRDefault="007D5403" w:rsidP="005A3173">
          <w:pPr>
            <w:pStyle w:val="Header"/>
            <w:spacing w:line="276" w:lineRule="auto"/>
            <w:rPr>
              <w:rFonts w:ascii="Calibri" w:eastAsia="MS Gothic" w:hAnsi="Calibri"/>
              <w:b/>
              <w:bCs/>
              <w:color w:val="4F81BD"/>
            </w:rPr>
          </w:pPr>
        </w:p>
      </w:tc>
      <w:tc>
        <w:tcPr>
          <w:tcW w:w="0" w:type="auto"/>
          <w:vMerge/>
          <w:vAlign w:val="center"/>
          <w:hideMark/>
        </w:tcPr>
        <w:p w:rsidR="007D5403" w:rsidRPr="005A3173" w:rsidRDefault="007D5403"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5403" w:rsidRPr="005A3173" w:rsidRDefault="007D540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D5403" w:rsidTr="005A3173">
      <w:trPr>
        <w:trHeight w:val="151"/>
      </w:trPr>
      <w:tc>
        <w:tcPr>
          <w:tcW w:w="2250" w:type="pct"/>
          <w:tcBorders>
            <w:top w:val="nil"/>
            <w:left w:val="nil"/>
            <w:bottom w:val="single" w:sz="4" w:space="0" w:color="4F81BD"/>
            <w:right w:val="nil"/>
          </w:tcBorders>
        </w:tcPr>
        <w:p w:rsidR="007D5403" w:rsidRPr="005A3173" w:rsidRDefault="007D540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5403" w:rsidRPr="005A3173" w:rsidRDefault="007D540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5403" w:rsidRPr="005A3173" w:rsidRDefault="007D5403" w:rsidP="005A3173">
          <w:pPr>
            <w:pStyle w:val="Header"/>
            <w:spacing w:line="276" w:lineRule="auto"/>
            <w:rPr>
              <w:rFonts w:ascii="Calibri" w:eastAsia="MS Gothic" w:hAnsi="Calibri"/>
              <w:b/>
              <w:bCs/>
              <w:color w:val="4F81BD"/>
            </w:rPr>
          </w:pPr>
        </w:p>
      </w:tc>
    </w:tr>
    <w:tr w:rsidR="007D5403" w:rsidTr="005A3173">
      <w:trPr>
        <w:trHeight w:val="150"/>
      </w:trPr>
      <w:tc>
        <w:tcPr>
          <w:tcW w:w="2250" w:type="pct"/>
          <w:tcBorders>
            <w:top w:val="single" w:sz="4" w:space="0" w:color="4F81BD"/>
            <w:left w:val="nil"/>
            <w:bottom w:val="nil"/>
            <w:right w:val="nil"/>
          </w:tcBorders>
        </w:tcPr>
        <w:p w:rsidR="007D5403" w:rsidRPr="005A3173" w:rsidRDefault="007D5403" w:rsidP="005A3173">
          <w:pPr>
            <w:pStyle w:val="Header"/>
            <w:spacing w:line="276" w:lineRule="auto"/>
            <w:rPr>
              <w:rFonts w:ascii="Calibri" w:eastAsia="MS Gothic" w:hAnsi="Calibri"/>
              <w:b/>
              <w:bCs/>
              <w:color w:val="4F81BD"/>
            </w:rPr>
          </w:pPr>
        </w:p>
      </w:tc>
      <w:tc>
        <w:tcPr>
          <w:tcW w:w="0" w:type="auto"/>
          <w:vMerge/>
          <w:vAlign w:val="center"/>
          <w:hideMark/>
        </w:tcPr>
        <w:p w:rsidR="007D5403" w:rsidRPr="005A3173" w:rsidRDefault="007D5403"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5403" w:rsidRPr="005A3173" w:rsidRDefault="007D5403" w:rsidP="005A3173">
          <w:pPr>
            <w:pStyle w:val="Header"/>
            <w:spacing w:line="276" w:lineRule="auto"/>
            <w:rPr>
              <w:rFonts w:ascii="Calibri" w:eastAsia="MS Gothic" w:hAnsi="Calibri"/>
              <w:b/>
              <w:bCs/>
              <w:color w:val="4F81BD"/>
            </w:rPr>
          </w:pPr>
        </w:p>
      </w:tc>
    </w:tr>
  </w:tbl>
  <w:p w:rsidR="007D5403" w:rsidRPr="007C0F57" w:rsidRDefault="007D540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D5403" w:rsidRPr="007C0F57" w:rsidRDefault="007D5403" w:rsidP="007C0F57">
    <w:pPr>
      <w:pStyle w:val="Footer"/>
      <w:jc w:val="center"/>
      <w:rPr>
        <w:b/>
        <w:i/>
        <w:sz w:val="20"/>
        <w:szCs w:val="20"/>
      </w:rPr>
    </w:pPr>
    <w:r w:rsidRPr="007C0F57">
      <w:rPr>
        <w:b/>
        <w:i/>
        <w:sz w:val="20"/>
        <w:szCs w:val="20"/>
      </w:rPr>
      <w:t>Commercial-in-Confidence</w:t>
    </w:r>
  </w:p>
  <w:p w:rsidR="007D5403" w:rsidRDefault="007D54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07" w:rsidRDefault="00634107">
      <w:r>
        <w:separator/>
      </w:r>
    </w:p>
    <w:p w:rsidR="00634107" w:rsidRDefault="00634107"/>
  </w:footnote>
  <w:footnote w:type="continuationSeparator" w:id="0">
    <w:p w:rsidR="00634107" w:rsidRDefault="00634107">
      <w:r>
        <w:continuationSeparator/>
      </w:r>
    </w:p>
    <w:p w:rsidR="00634107" w:rsidRDefault="006341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07" w:rsidRDefault="006341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971458"/>
      <w:docPartObj>
        <w:docPartGallery w:val="Page Numbers (Top of Page)"/>
        <w:docPartUnique/>
      </w:docPartObj>
    </w:sdtPr>
    <w:sdtEndPr>
      <w:rPr>
        <w:rFonts w:ascii="Arial" w:hAnsi="Arial" w:cs="Arial"/>
        <w:noProof/>
        <w:sz w:val="22"/>
        <w:szCs w:val="22"/>
      </w:rPr>
    </w:sdtEndPr>
    <w:sdtContent>
      <w:p w:rsidR="007D5403" w:rsidRPr="0016054C" w:rsidRDefault="007D5403" w:rsidP="0016054C">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sdtContent>
  </w:sdt>
  <w:p w:rsidR="007D5403" w:rsidRDefault="007D5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07" w:rsidRDefault="006341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D5403" w:rsidRPr="008E0D90" w:rsidTr="00A06225">
      <w:trPr>
        <w:trHeight w:val="151"/>
      </w:trPr>
      <w:tc>
        <w:tcPr>
          <w:tcW w:w="2389" w:type="pct"/>
          <w:tcBorders>
            <w:top w:val="nil"/>
            <w:left w:val="nil"/>
            <w:bottom w:val="single" w:sz="4" w:space="0" w:color="4F81BD"/>
            <w:right w:val="nil"/>
          </w:tcBorders>
        </w:tcPr>
        <w:p w:rsidR="007D5403" w:rsidRPr="00A06225" w:rsidRDefault="007D5403">
          <w:pPr>
            <w:pStyle w:val="Header"/>
            <w:spacing w:line="276" w:lineRule="auto"/>
            <w:rPr>
              <w:rFonts w:ascii="Cambria" w:eastAsia="MS Gothic" w:hAnsi="Cambria"/>
              <w:b/>
              <w:bCs/>
              <w:color w:val="4F81BD"/>
            </w:rPr>
          </w:pPr>
        </w:p>
      </w:tc>
      <w:tc>
        <w:tcPr>
          <w:tcW w:w="333" w:type="pct"/>
          <w:vMerge w:val="restart"/>
          <w:noWrap/>
          <w:vAlign w:val="center"/>
          <w:hideMark/>
        </w:tcPr>
        <w:p w:rsidR="007D5403" w:rsidRPr="00A06225" w:rsidRDefault="007D540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D5403" w:rsidRPr="00A06225" w:rsidRDefault="007D5403">
          <w:pPr>
            <w:pStyle w:val="Header"/>
            <w:spacing w:line="276" w:lineRule="auto"/>
            <w:rPr>
              <w:rFonts w:ascii="Cambria" w:eastAsia="MS Gothic" w:hAnsi="Cambria"/>
              <w:b/>
              <w:bCs/>
              <w:color w:val="4F81BD"/>
            </w:rPr>
          </w:pPr>
        </w:p>
      </w:tc>
    </w:tr>
    <w:tr w:rsidR="007D5403" w:rsidRPr="008E0D90" w:rsidTr="00A06225">
      <w:trPr>
        <w:trHeight w:val="150"/>
      </w:trPr>
      <w:tc>
        <w:tcPr>
          <w:tcW w:w="2389" w:type="pct"/>
          <w:tcBorders>
            <w:top w:val="single" w:sz="4" w:space="0" w:color="4F81BD"/>
            <w:left w:val="nil"/>
            <w:bottom w:val="nil"/>
            <w:right w:val="nil"/>
          </w:tcBorders>
        </w:tcPr>
        <w:p w:rsidR="007D5403" w:rsidRPr="00A06225" w:rsidRDefault="007D5403">
          <w:pPr>
            <w:pStyle w:val="Header"/>
            <w:spacing w:line="276" w:lineRule="auto"/>
            <w:rPr>
              <w:rFonts w:ascii="Cambria" w:eastAsia="MS Gothic" w:hAnsi="Cambria"/>
              <w:b/>
              <w:bCs/>
              <w:color w:val="4F81BD"/>
            </w:rPr>
          </w:pPr>
        </w:p>
      </w:tc>
      <w:tc>
        <w:tcPr>
          <w:tcW w:w="0" w:type="auto"/>
          <w:vMerge/>
          <w:vAlign w:val="center"/>
          <w:hideMark/>
        </w:tcPr>
        <w:p w:rsidR="007D5403" w:rsidRPr="00A06225" w:rsidRDefault="007D5403">
          <w:pPr>
            <w:rPr>
              <w:rFonts w:ascii="Cambria" w:hAnsi="Cambria"/>
              <w:color w:val="4F81BD"/>
              <w:sz w:val="22"/>
              <w:szCs w:val="22"/>
            </w:rPr>
          </w:pPr>
        </w:p>
      </w:tc>
      <w:tc>
        <w:tcPr>
          <w:tcW w:w="2278" w:type="pct"/>
          <w:tcBorders>
            <w:top w:val="single" w:sz="4" w:space="0" w:color="4F81BD"/>
            <w:left w:val="nil"/>
            <w:bottom w:val="nil"/>
            <w:right w:val="nil"/>
          </w:tcBorders>
        </w:tcPr>
        <w:p w:rsidR="007D5403" w:rsidRPr="00A06225" w:rsidRDefault="007D5403">
          <w:pPr>
            <w:pStyle w:val="Header"/>
            <w:spacing w:line="276" w:lineRule="auto"/>
            <w:rPr>
              <w:rFonts w:ascii="Cambria" w:eastAsia="MS Gothic" w:hAnsi="Cambria"/>
              <w:b/>
              <w:bCs/>
              <w:color w:val="4F81BD"/>
            </w:rPr>
          </w:pPr>
        </w:p>
      </w:tc>
    </w:tr>
  </w:tbl>
  <w:p w:rsidR="007D5403" w:rsidRDefault="007D5403">
    <w:pPr>
      <w:pStyle w:val="Header"/>
    </w:pPr>
  </w:p>
  <w:p w:rsidR="007D5403" w:rsidRDefault="007D54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F5A4B0B"/>
    <w:multiLevelType w:val="hybridMultilevel"/>
    <w:tmpl w:val="F6942F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7513EB"/>
    <w:multiLevelType w:val="hybridMultilevel"/>
    <w:tmpl w:val="A3884484"/>
    <w:lvl w:ilvl="0" w:tplc="5D4EED5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0710E1"/>
    <w:multiLevelType w:val="hybridMultilevel"/>
    <w:tmpl w:val="26D8B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9243043"/>
    <w:multiLevelType w:val="hybridMultilevel"/>
    <w:tmpl w:val="761C8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3745D9E"/>
    <w:multiLevelType w:val="hybridMultilevel"/>
    <w:tmpl w:val="98F2066A"/>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BA143F5"/>
    <w:multiLevelType w:val="hybridMultilevel"/>
    <w:tmpl w:val="B5FE68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784D033C"/>
    <w:multiLevelType w:val="multilevel"/>
    <w:tmpl w:val="59C667D4"/>
    <w:lvl w:ilvl="0">
      <w:start w:val="1"/>
      <w:numFmt w:val="decimal"/>
      <w:pStyle w:val="PBACHeading1"/>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8"/>
  </w:num>
  <w:num w:numId="5">
    <w:abstractNumId w:val="22"/>
  </w:num>
  <w:num w:numId="6">
    <w:abstractNumId w:val="7"/>
  </w:num>
  <w:num w:numId="7">
    <w:abstractNumId w:val="15"/>
  </w:num>
  <w:num w:numId="8">
    <w:abstractNumId w:val="4"/>
  </w:num>
  <w:num w:numId="9">
    <w:abstractNumId w:val="13"/>
  </w:num>
  <w:num w:numId="10">
    <w:abstractNumId w:val="12"/>
  </w:num>
  <w:num w:numId="11">
    <w:abstractNumId w:val="10"/>
  </w:num>
  <w:num w:numId="12">
    <w:abstractNumId w:val="1"/>
  </w:num>
  <w:num w:numId="13">
    <w:abstractNumId w:val="0"/>
  </w:num>
  <w:num w:numId="14">
    <w:abstractNumId w:val="22"/>
  </w:num>
  <w:num w:numId="15">
    <w:abstractNumId w:val="21"/>
  </w:num>
  <w:num w:numId="16">
    <w:abstractNumId w:val="20"/>
  </w:num>
  <w:num w:numId="17">
    <w:abstractNumId w:val="14"/>
  </w:num>
  <w:num w:numId="18">
    <w:abstractNumId w:val="17"/>
  </w:num>
  <w:num w:numId="19">
    <w:abstractNumId w:val="16"/>
  </w:num>
  <w:num w:numId="20">
    <w:abstractNumId w:val="11"/>
  </w:num>
  <w:num w:numId="21">
    <w:abstractNumId w:val="5"/>
  </w:num>
  <w:num w:numId="22">
    <w:abstractNumId w:val="2"/>
  </w:num>
  <w:num w:numId="23">
    <w:abstractNumId w:val="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A5A"/>
    <w:rsid w:val="0002464A"/>
    <w:rsid w:val="00026AD3"/>
    <w:rsid w:val="0003106B"/>
    <w:rsid w:val="000421A1"/>
    <w:rsid w:val="0004240E"/>
    <w:rsid w:val="00045E26"/>
    <w:rsid w:val="000514B5"/>
    <w:rsid w:val="000520F0"/>
    <w:rsid w:val="00060E64"/>
    <w:rsid w:val="00066755"/>
    <w:rsid w:val="00077143"/>
    <w:rsid w:val="000969AD"/>
    <w:rsid w:val="000B2E09"/>
    <w:rsid w:val="000B558D"/>
    <w:rsid w:val="000C6996"/>
    <w:rsid w:val="000D23BA"/>
    <w:rsid w:val="000E681E"/>
    <w:rsid w:val="000F34B9"/>
    <w:rsid w:val="000F4E6A"/>
    <w:rsid w:val="000F580D"/>
    <w:rsid w:val="001107BF"/>
    <w:rsid w:val="00123250"/>
    <w:rsid w:val="0012417C"/>
    <w:rsid w:val="00142395"/>
    <w:rsid w:val="00142714"/>
    <w:rsid w:val="001452ED"/>
    <w:rsid w:val="00156B89"/>
    <w:rsid w:val="0016054C"/>
    <w:rsid w:val="001727E3"/>
    <w:rsid w:val="00174CE1"/>
    <w:rsid w:val="00176925"/>
    <w:rsid w:val="001830CE"/>
    <w:rsid w:val="0018643B"/>
    <w:rsid w:val="00186D32"/>
    <w:rsid w:val="00196307"/>
    <w:rsid w:val="001A2BED"/>
    <w:rsid w:val="001A3418"/>
    <w:rsid w:val="001A4B6B"/>
    <w:rsid w:val="001A5418"/>
    <w:rsid w:val="001A6540"/>
    <w:rsid w:val="001B017F"/>
    <w:rsid w:val="001B4B25"/>
    <w:rsid w:val="001B5129"/>
    <w:rsid w:val="001C1195"/>
    <w:rsid w:val="001D0858"/>
    <w:rsid w:val="001E254E"/>
    <w:rsid w:val="001E3685"/>
    <w:rsid w:val="001F3337"/>
    <w:rsid w:val="00213CFB"/>
    <w:rsid w:val="00227DD4"/>
    <w:rsid w:val="00232C55"/>
    <w:rsid w:val="002428DD"/>
    <w:rsid w:val="00255E34"/>
    <w:rsid w:val="00271BA1"/>
    <w:rsid w:val="002754C9"/>
    <w:rsid w:val="00277505"/>
    <w:rsid w:val="00284652"/>
    <w:rsid w:val="0029458F"/>
    <w:rsid w:val="002A104C"/>
    <w:rsid w:val="002A4562"/>
    <w:rsid w:val="002A4960"/>
    <w:rsid w:val="002B1AE6"/>
    <w:rsid w:val="002B30F8"/>
    <w:rsid w:val="002C212F"/>
    <w:rsid w:val="002D49F0"/>
    <w:rsid w:val="002D571E"/>
    <w:rsid w:val="002E3153"/>
    <w:rsid w:val="002E72CA"/>
    <w:rsid w:val="00300AD6"/>
    <w:rsid w:val="003131FE"/>
    <w:rsid w:val="0031336D"/>
    <w:rsid w:val="00324B77"/>
    <w:rsid w:val="00326E79"/>
    <w:rsid w:val="00334776"/>
    <w:rsid w:val="003367EF"/>
    <w:rsid w:val="00341612"/>
    <w:rsid w:val="00341AE4"/>
    <w:rsid w:val="003563C5"/>
    <w:rsid w:val="003678F1"/>
    <w:rsid w:val="00372D5B"/>
    <w:rsid w:val="003872CF"/>
    <w:rsid w:val="003944FE"/>
    <w:rsid w:val="0039782C"/>
    <w:rsid w:val="003A0D3A"/>
    <w:rsid w:val="003A3F8D"/>
    <w:rsid w:val="003A5B4A"/>
    <w:rsid w:val="003A6A82"/>
    <w:rsid w:val="003B23C5"/>
    <w:rsid w:val="003B2A75"/>
    <w:rsid w:val="003D4AC4"/>
    <w:rsid w:val="003D63B7"/>
    <w:rsid w:val="003E468B"/>
    <w:rsid w:val="003E5EC4"/>
    <w:rsid w:val="003E6873"/>
    <w:rsid w:val="003E7962"/>
    <w:rsid w:val="003F5C8C"/>
    <w:rsid w:val="00416C46"/>
    <w:rsid w:val="004209B1"/>
    <w:rsid w:val="00434F59"/>
    <w:rsid w:val="004415E0"/>
    <w:rsid w:val="004465BD"/>
    <w:rsid w:val="00466ADA"/>
    <w:rsid w:val="00471F08"/>
    <w:rsid w:val="00476245"/>
    <w:rsid w:val="00485940"/>
    <w:rsid w:val="004A2484"/>
    <w:rsid w:val="004A5A85"/>
    <w:rsid w:val="004A5E01"/>
    <w:rsid w:val="004B5640"/>
    <w:rsid w:val="004C1BD7"/>
    <w:rsid w:val="004C2A8C"/>
    <w:rsid w:val="004C691D"/>
    <w:rsid w:val="004C751F"/>
    <w:rsid w:val="004E692D"/>
    <w:rsid w:val="004F5566"/>
    <w:rsid w:val="004F6273"/>
    <w:rsid w:val="00501554"/>
    <w:rsid w:val="00513280"/>
    <w:rsid w:val="00514CD7"/>
    <w:rsid w:val="005173D2"/>
    <w:rsid w:val="005200E6"/>
    <w:rsid w:val="00523931"/>
    <w:rsid w:val="005319B2"/>
    <w:rsid w:val="00532C74"/>
    <w:rsid w:val="005336A2"/>
    <w:rsid w:val="00534165"/>
    <w:rsid w:val="00534E2E"/>
    <w:rsid w:val="00544552"/>
    <w:rsid w:val="0054700E"/>
    <w:rsid w:val="00562F24"/>
    <w:rsid w:val="00581932"/>
    <w:rsid w:val="005963BB"/>
    <w:rsid w:val="005A3173"/>
    <w:rsid w:val="005A3223"/>
    <w:rsid w:val="005A3DA3"/>
    <w:rsid w:val="005A42C8"/>
    <w:rsid w:val="005A52C4"/>
    <w:rsid w:val="005C745B"/>
    <w:rsid w:val="005D03AB"/>
    <w:rsid w:val="005D1097"/>
    <w:rsid w:val="005D5017"/>
    <w:rsid w:val="005D7909"/>
    <w:rsid w:val="00601A91"/>
    <w:rsid w:val="00602BA3"/>
    <w:rsid w:val="00605FE8"/>
    <w:rsid w:val="00614159"/>
    <w:rsid w:val="00617C00"/>
    <w:rsid w:val="006263BF"/>
    <w:rsid w:val="0062748A"/>
    <w:rsid w:val="00630A2C"/>
    <w:rsid w:val="00634107"/>
    <w:rsid w:val="00643555"/>
    <w:rsid w:val="006501DE"/>
    <w:rsid w:val="00651169"/>
    <w:rsid w:val="006516CA"/>
    <w:rsid w:val="00653D69"/>
    <w:rsid w:val="00670A76"/>
    <w:rsid w:val="006711AA"/>
    <w:rsid w:val="00672B57"/>
    <w:rsid w:val="00675622"/>
    <w:rsid w:val="006906DB"/>
    <w:rsid w:val="006A12A5"/>
    <w:rsid w:val="006A4BC9"/>
    <w:rsid w:val="006A5529"/>
    <w:rsid w:val="006A64D1"/>
    <w:rsid w:val="006B0D94"/>
    <w:rsid w:val="006B2F80"/>
    <w:rsid w:val="006B485D"/>
    <w:rsid w:val="006B75FC"/>
    <w:rsid w:val="006C708E"/>
    <w:rsid w:val="006D5AFE"/>
    <w:rsid w:val="006D6EC7"/>
    <w:rsid w:val="006E2228"/>
    <w:rsid w:val="006F5125"/>
    <w:rsid w:val="00701B8D"/>
    <w:rsid w:val="00703193"/>
    <w:rsid w:val="007174BB"/>
    <w:rsid w:val="0071760B"/>
    <w:rsid w:val="00755B8E"/>
    <w:rsid w:val="00756FE4"/>
    <w:rsid w:val="0076420C"/>
    <w:rsid w:val="007753C2"/>
    <w:rsid w:val="007754A5"/>
    <w:rsid w:val="007838B8"/>
    <w:rsid w:val="007B2ED6"/>
    <w:rsid w:val="007B512A"/>
    <w:rsid w:val="007C0F57"/>
    <w:rsid w:val="007C40B6"/>
    <w:rsid w:val="007C56FD"/>
    <w:rsid w:val="007C5EF7"/>
    <w:rsid w:val="007C729F"/>
    <w:rsid w:val="007D0925"/>
    <w:rsid w:val="007D2B7A"/>
    <w:rsid w:val="007D5403"/>
    <w:rsid w:val="007E1D28"/>
    <w:rsid w:val="007F24E9"/>
    <w:rsid w:val="007F2641"/>
    <w:rsid w:val="007F7C36"/>
    <w:rsid w:val="00806796"/>
    <w:rsid w:val="008151D6"/>
    <w:rsid w:val="00826F6D"/>
    <w:rsid w:val="00856DDD"/>
    <w:rsid w:val="00863E68"/>
    <w:rsid w:val="00872D76"/>
    <w:rsid w:val="00882085"/>
    <w:rsid w:val="00883188"/>
    <w:rsid w:val="00897D58"/>
    <w:rsid w:val="008A1956"/>
    <w:rsid w:val="008A4937"/>
    <w:rsid w:val="008A50F1"/>
    <w:rsid w:val="008B4B50"/>
    <w:rsid w:val="008C2688"/>
    <w:rsid w:val="008D1B5C"/>
    <w:rsid w:val="008D3C82"/>
    <w:rsid w:val="008D447E"/>
    <w:rsid w:val="008D7A41"/>
    <w:rsid w:val="008E3680"/>
    <w:rsid w:val="008E5870"/>
    <w:rsid w:val="008F1434"/>
    <w:rsid w:val="008F7355"/>
    <w:rsid w:val="009067B7"/>
    <w:rsid w:val="009129A4"/>
    <w:rsid w:val="00917ACF"/>
    <w:rsid w:val="00922276"/>
    <w:rsid w:val="009272DD"/>
    <w:rsid w:val="00930937"/>
    <w:rsid w:val="00933E6C"/>
    <w:rsid w:val="00942160"/>
    <w:rsid w:val="0095146F"/>
    <w:rsid w:val="00955466"/>
    <w:rsid w:val="009602C5"/>
    <w:rsid w:val="00962223"/>
    <w:rsid w:val="00974C21"/>
    <w:rsid w:val="0098551D"/>
    <w:rsid w:val="00997B51"/>
    <w:rsid w:val="009A3C0E"/>
    <w:rsid w:val="009B0F67"/>
    <w:rsid w:val="009C703C"/>
    <w:rsid w:val="009D3CAA"/>
    <w:rsid w:val="009F2548"/>
    <w:rsid w:val="009F4E46"/>
    <w:rsid w:val="009F5B65"/>
    <w:rsid w:val="009F5F2E"/>
    <w:rsid w:val="00A06225"/>
    <w:rsid w:val="00A128E6"/>
    <w:rsid w:val="00A33FEB"/>
    <w:rsid w:val="00A36925"/>
    <w:rsid w:val="00A37A52"/>
    <w:rsid w:val="00A37C8D"/>
    <w:rsid w:val="00A5273B"/>
    <w:rsid w:val="00A53A9D"/>
    <w:rsid w:val="00A5497B"/>
    <w:rsid w:val="00A55FEE"/>
    <w:rsid w:val="00A62C1A"/>
    <w:rsid w:val="00A6426D"/>
    <w:rsid w:val="00A70622"/>
    <w:rsid w:val="00A70977"/>
    <w:rsid w:val="00A77613"/>
    <w:rsid w:val="00A82D05"/>
    <w:rsid w:val="00A8390C"/>
    <w:rsid w:val="00A928BD"/>
    <w:rsid w:val="00A95BAA"/>
    <w:rsid w:val="00AA4D1C"/>
    <w:rsid w:val="00AA6C16"/>
    <w:rsid w:val="00AA6C9D"/>
    <w:rsid w:val="00AC193C"/>
    <w:rsid w:val="00AC4B29"/>
    <w:rsid w:val="00AC5206"/>
    <w:rsid w:val="00AD1187"/>
    <w:rsid w:val="00AD59A3"/>
    <w:rsid w:val="00AE11A5"/>
    <w:rsid w:val="00AE13E2"/>
    <w:rsid w:val="00AE34A5"/>
    <w:rsid w:val="00AF68CC"/>
    <w:rsid w:val="00B1059E"/>
    <w:rsid w:val="00B10D3E"/>
    <w:rsid w:val="00B205AA"/>
    <w:rsid w:val="00B2178A"/>
    <w:rsid w:val="00B21808"/>
    <w:rsid w:val="00B22E84"/>
    <w:rsid w:val="00B25F75"/>
    <w:rsid w:val="00B31347"/>
    <w:rsid w:val="00B43E90"/>
    <w:rsid w:val="00B45543"/>
    <w:rsid w:val="00B467DC"/>
    <w:rsid w:val="00B56118"/>
    <w:rsid w:val="00B6773F"/>
    <w:rsid w:val="00B71EFD"/>
    <w:rsid w:val="00B7377E"/>
    <w:rsid w:val="00B7485C"/>
    <w:rsid w:val="00B801BA"/>
    <w:rsid w:val="00B90FC5"/>
    <w:rsid w:val="00BA4C11"/>
    <w:rsid w:val="00BA5A31"/>
    <w:rsid w:val="00BB69F5"/>
    <w:rsid w:val="00BB7EC3"/>
    <w:rsid w:val="00BC2461"/>
    <w:rsid w:val="00BC4B9A"/>
    <w:rsid w:val="00BD784C"/>
    <w:rsid w:val="00BF4CB6"/>
    <w:rsid w:val="00C00DA7"/>
    <w:rsid w:val="00C12768"/>
    <w:rsid w:val="00C1746D"/>
    <w:rsid w:val="00C23E30"/>
    <w:rsid w:val="00C27B58"/>
    <w:rsid w:val="00C35996"/>
    <w:rsid w:val="00C5342C"/>
    <w:rsid w:val="00C556A2"/>
    <w:rsid w:val="00C603D4"/>
    <w:rsid w:val="00C6256A"/>
    <w:rsid w:val="00C652D2"/>
    <w:rsid w:val="00C91449"/>
    <w:rsid w:val="00C92D10"/>
    <w:rsid w:val="00CD23C8"/>
    <w:rsid w:val="00CE10C4"/>
    <w:rsid w:val="00CE27B5"/>
    <w:rsid w:val="00CE5F4F"/>
    <w:rsid w:val="00D0321E"/>
    <w:rsid w:val="00D1455A"/>
    <w:rsid w:val="00D2788D"/>
    <w:rsid w:val="00D3138B"/>
    <w:rsid w:val="00D3280C"/>
    <w:rsid w:val="00D3406A"/>
    <w:rsid w:val="00D469B2"/>
    <w:rsid w:val="00D5065F"/>
    <w:rsid w:val="00D741EB"/>
    <w:rsid w:val="00D84934"/>
    <w:rsid w:val="00D85C8E"/>
    <w:rsid w:val="00D91271"/>
    <w:rsid w:val="00DA2CB5"/>
    <w:rsid w:val="00DA4BAC"/>
    <w:rsid w:val="00DE6D27"/>
    <w:rsid w:val="00DF217D"/>
    <w:rsid w:val="00DF26A7"/>
    <w:rsid w:val="00E07EB8"/>
    <w:rsid w:val="00E15627"/>
    <w:rsid w:val="00E164B3"/>
    <w:rsid w:val="00E16910"/>
    <w:rsid w:val="00E6110B"/>
    <w:rsid w:val="00E64DCF"/>
    <w:rsid w:val="00E65129"/>
    <w:rsid w:val="00E65E54"/>
    <w:rsid w:val="00E80155"/>
    <w:rsid w:val="00E843D7"/>
    <w:rsid w:val="00E848C0"/>
    <w:rsid w:val="00E91B96"/>
    <w:rsid w:val="00E941A1"/>
    <w:rsid w:val="00E95CE3"/>
    <w:rsid w:val="00EA00EB"/>
    <w:rsid w:val="00EA2825"/>
    <w:rsid w:val="00EB5088"/>
    <w:rsid w:val="00ED1644"/>
    <w:rsid w:val="00ED2593"/>
    <w:rsid w:val="00EE237D"/>
    <w:rsid w:val="00EF44A0"/>
    <w:rsid w:val="00EF4FED"/>
    <w:rsid w:val="00F050BD"/>
    <w:rsid w:val="00F05657"/>
    <w:rsid w:val="00F25578"/>
    <w:rsid w:val="00F258E5"/>
    <w:rsid w:val="00F300BC"/>
    <w:rsid w:val="00F3334E"/>
    <w:rsid w:val="00F47526"/>
    <w:rsid w:val="00F50EC4"/>
    <w:rsid w:val="00F57A6D"/>
    <w:rsid w:val="00F638CC"/>
    <w:rsid w:val="00F64CC1"/>
    <w:rsid w:val="00F677EC"/>
    <w:rsid w:val="00F706AF"/>
    <w:rsid w:val="00F8247A"/>
    <w:rsid w:val="00F8311C"/>
    <w:rsid w:val="00F919F9"/>
    <w:rsid w:val="00F935AB"/>
    <w:rsid w:val="00F9629A"/>
    <w:rsid w:val="00FA5883"/>
    <w:rsid w:val="00FA6055"/>
    <w:rsid w:val="00FB322F"/>
    <w:rsid w:val="00FB442F"/>
    <w:rsid w:val="00FC1929"/>
    <w:rsid w:val="00FC5B46"/>
    <w:rsid w:val="00FE0E94"/>
    <w:rsid w:val="00FF00BD"/>
    <w:rsid w:val="00FF0314"/>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Heading3"/>
    <w:next w:val="Normal"/>
    <w:qFormat/>
    <w:rsid w:val="006B2F80"/>
    <w:pPr>
      <w:spacing w:before="0"/>
      <w:outlineLvl w:val="1"/>
    </w:pPr>
    <w:rPr>
      <w:rFonts w:ascii="Arial" w:hAnsi="Arial" w:cs="Arial"/>
      <w:i/>
      <w:color w:val="auto"/>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TableTitleA">
    <w:name w:val="Table Title A"/>
    <w:next w:val="BodyText"/>
    <w:qFormat/>
    <w:rsid w:val="007B2ED6"/>
    <w:pPr>
      <w:numPr>
        <w:numId w:val="16"/>
      </w:numPr>
      <w:tabs>
        <w:tab w:val="left" w:pos="1134"/>
      </w:tabs>
      <w:spacing w:after="120"/>
      <w:jc w:val="both"/>
    </w:pPr>
    <w:rPr>
      <w:rFonts w:ascii="Arial" w:hAnsi="Arial"/>
      <w:b/>
      <w:lang w:eastAsia="en-US"/>
    </w:rPr>
  </w:style>
  <w:style w:type="paragraph" w:styleId="BodyText">
    <w:name w:val="Body Text"/>
    <w:basedOn w:val="Normal"/>
    <w:link w:val="BodyTextChar"/>
    <w:rsid w:val="007B2ED6"/>
    <w:pPr>
      <w:spacing w:after="120"/>
    </w:pPr>
  </w:style>
  <w:style w:type="character" w:customStyle="1" w:styleId="BodyTextChar">
    <w:name w:val="Body Text Char"/>
    <w:basedOn w:val="DefaultParagraphFont"/>
    <w:link w:val="BodyText"/>
    <w:rsid w:val="007B2ED6"/>
    <w:rPr>
      <w:sz w:val="24"/>
      <w:szCs w:val="24"/>
    </w:rPr>
  </w:style>
  <w:style w:type="table" w:customStyle="1" w:styleId="TableGrid1">
    <w:name w:val="Table Grid1"/>
    <w:basedOn w:val="TableNormal"/>
    <w:next w:val="TableGrid"/>
    <w:uiPriority w:val="59"/>
    <w:rsid w:val="00AE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737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Heading3"/>
    <w:next w:val="Normal"/>
    <w:qFormat/>
    <w:rsid w:val="006B2F80"/>
    <w:pPr>
      <w:spacing w:before="0"/>
      <w:outlineLvl w:val="1"/>
    </w:pPr>
    <w:rPr>
      <w:rFonts w:ascii="Arial" w:hAnsi="Arial" w:cs="Arial"/>
      <w:i/>
      <w:color w:val="auto"/>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TableTitleA">
    <w:name w:val="Table Title A"/>
    <w:next w:val="BodyText"/>
    <w:qFormat/>
    <w:rsid w:val="007B2ED6"/>
    <w:pPr>
      <w:numPr>
        <w:numId w:val="16"/>
      </w:numPr>
      <w:tabs>
        <w:tab w:val="left" w:pos="1134"/>
      </w:tabs>
      <w:spacing w:after="120"/>
      <w:jc w:val="both"/>
    </w:pPr>
    <w:rPr>
      <w:rFonts w:ascii="Arial" w:hAnsi="Arial"/>
      <w:b/>
      <w:lang w:eastAsia="en-US"/>
    </w:rPr>
  </w:style>
  <w:style w:type="paragraph" w:styleId="BodyText">
    <w:name w:val="Body Text"/>
    <w:basedOn w:val="Normal"/>
    <w:link w:val="BodyTextChar"/>
    <w:rsid w:val="007B2ED6"/>
    <w:pPr>
      <w:spacing w:after="120"/>
    </w:pPr>
  </w:style>
  <w:style w:type="character" w:customStyle="1" w:styleId="BodyTextChar">
    <w:name w:val="Body Text Char"/>
    <w:basedOn w:val="DefaultParagraphFont"/>
    <w:link w:val="BodyText"/>
    <w:rsid w:val="007B2ED6"/>
    <w:rPr>
      <w:sz w:val="24"/>
      <w:szCs w:val="24"/>
    </w:rPr>
  </w:style>
  <w:style w:type="table" w:customStyle="1" w:styleId="TableGrid1">
    <w:name w:val="Table Grid1"/>
    <w:basedOn w:val="TableNormal"/>
    <w:next w:val="TableGrid"/>
    <w:uiPriority w:val="59"/>
    <w:rsid w:val="00AE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737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0780919">
      <w:bodyDiv w:val="1"/>
      <w:marLeft w:val="0"/>
      <w:marRight w:val="0"/>
      <w:marTop w:val="0"/>
      <w:marBottom w:val="0"/>
      <w:divBdr>
        <w:top w:val="none" w:sz="0" w:space="0" w:color="auto"/>
        <w:left w:val="none" w:sz="0" w:space="0" w:color="auto"/>
        <w:bottom w:val="none" w:sz="0" w:space="0" w:color="auto"/>
        <w:right w:val="none" w:sz="0" w:space="0" w:color="auto"/>
      </w:divBdr>
      <w:divsChild>
        <w:div w:id="1989824036">
          <w:marLeft w:val="360"/>
          <w:marRight w:val="0"/>
          <w:marTop w:val="200"/>
          <w:marBottom w:val="0"/>
          <w:divBdr>
            <w:top w:val="none" w:sz="0" w:space="0" w:color="auto"/>
            <w:left w:val="none" w:sz="0" w:space="0" w:color="auto"/>
            <w:bottom w:val="none" w:sz="0" w:space="0" w:color="auto"/>
            <w:right w:val="none" w:sz="0" w:space="0" w:color="auto"/>
          </w:divBdr>
        </w:div>
        <w:div w:id="299002881">
          <w:marLeft w:val="360"/>
          <w:marRight w:val="0"/>
          <w:marTop w:val="2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8087787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357724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tmp"/><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C58B6-5340-4A9F-B968-1A6FC3AC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4698</Words>
  <Characters>29183</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2017-06-19T08:38:00Z</dcterms:created>
  <dcterms:modified xsi:type="dcterms:W3CDTF">2017-06-19T08:38:00Z</dcterms:modified>
</cp:coreProperties>
</file>