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6D6EC7" w:rsidRDefault="00C10A2D" w:rsidP="008A50F1">
      <w:pPr>
        <w:pStyle w:val="Title"/>
        <w:ind w:left="720" w:hanging="720"/>
        <w:rPr>
          <w:szCs w:val="28"/>
        </w:rPr>
      </w:pPr>
      <w:bookmarkStart w:id="0" w:name="_GoBack"/>
      <w:bookmarkEnd w:id="0"/>
      <w:r>
        <w:rPr>
          <w:szCs w:val="28"/>
        </w:rPr>
        <w:t>6.07</w:t>
      </w:r>
      <w:r>
        <w:rPr>
          <w:szCs w:val="28"/>
        </w:rPr>
        <w:tab/>
        <w:t>GOSERELIN</w:t>
      </w:r>
      <w:r w:rsidR="008A50F1">
        <w:rPr>
          <w:szCs w:val="28"/>
        </w:rPr>
        <w:br/>
      </w:r>
      <w:r>
        <w:rPr>
          <w:szCs w:val="28"/>
        </w:rPr>
        <w:t>3.6 mg implant</w:t>
      </w:r>
      <w:r w:rsidR="008A50F1">
        <w:rPr>
          <w:szCs w:val="28"/>
        </w:rPr>
        <w:br/>
      </w:r>
      <w:proofErr w:type="spellStart"/>
      <w:r>
        <w:rPr>
          <w:szCs w:val="28"/>
        </w:rPr>
        <w:t>Zoladex</w:t>
      </w:r>
      <w:proofErr w:type="spellEnd"/>
      <w:r>
        <w:rPr>
          <w:szCs w:val="28"/>
        </w:rPr>
        <w:t xml:space="preserve"> Implant</w:t>
      </w:r>
      <w:r w:rsidR="0004240E" w:rsidRPr="006D6EC7">
        <w:rPr>
          <w:szCs w:val="28"/>
          <w:vertAlign w:val="superscript"/>
        </w:rPr>
        <w:t>®</w:t>
      </w:r>
      <w:proofErr w:type="gramStart"/>
      <w:r w:rsidR="00D578D0">
        <w:rPr>
          <w:szCs w:val="28"/>
        </w:rPr>
        <w:t>,</w:t>
      </w:r>
      <w:proofErr w:type="gramEnd"/>
      <w:r w:rsidR="009439B9">
        <w:rPr>
          <w:szCs w:val="28"/>
        </w:rPr>
        <w:br/>
      </w:r>
      <w:r>
        <w:rPr>
          <w:szCs w:val="28"/>
        </w:rPr>
        <w:t>Astra Zeneca Pty Ltd</w:t>
      </w:r>
      <w:r w:rsidR="009439B9">
        <w:rPr>
          <w:szCs w:val="28"/>
        </w:rPr>
        <w:t>.</w:t>
      </w:r>
    </w:p>
    <w:p w:rsidR="00CE10C4" w:rsidRPr="00FC0E69" w:rsidRDefault="00FC0E69" w:rsidP="00C27B58">
      <w:pPr>
        <w:pStyle w:val="NoSpacing"/>
        <w:rPr>
          <w:b/>
        </w:rPr>
      </w:pPr>
      <w:r w:rsidRPr="00FC0E69">
        <w:rPr>
          <w:b/>
        </w:rPr>
        <w:t>Application submitted by Medical Oncology Group of Australia</w:t>
      </w:r>
    </w:p>
    <w:p w:rsidR="00C27B58" w:rsidRDefault="00C27B58" w:rsidP="00C27B58">
      <w:pPr>
        <w:pStyle w:val="NoSpacing"/>
      </w:pPr>
    </w:p>
    <w:p w:rsidR="009F21A2" w:rsidRDefault="009F21A2" w:rsidP="00C27B58">
      <w:pPr>
        <w:pStyle w:val="NoSpacing"/>
      </w:pPr>
    </w:p>
    <w:p w:rsidR="00E15627" w:rsidRDefault="00CE10C4" w:rsidP="00E15627">
      <w:pPr>
        <w:pStyle w:val="PBACHeading1"/>
      </w:pPr>
      <w:r w:rsidRPr="00C603D4">
        <w:t xml:space="preserve">Purpose of </w:t>
      </w:r>
      <w:r w:rsidR="0004240E" w:rsidRPr="00C603D4">
        <w:t>Application</w:t>
      </w:r>
    </w:p>
    <w:p w:rsidR="008A50F1" w:rsidRPr="00E15627" w:rsidRDefault="008A50F1" w:rsidP="00E15627"/>
    <w:p w:rsidR="00EF44A0" w:rsidRDefault="00EF44A0" w:rsidP="00C10A2D">
      <w:pPr>
        <w:pStyle w:val="ListParagraph"/>
        <w:numPr>
          <w:ilvl w:val="1"/>
          <w:numId w:val="5"/>
        </w:numPr>
        <w:rPr>
          <w:szCs w:val="22"/>
        </w:rPr>
      </w:pPr>
      <w:r w:rsidRPr="00E15627">
        <w:rPr>
          <w:szCs w:val="22"/>
        </w:rPr>
        <w:t>The mi</w:t>
      </w:r>
      <w:r w:rsidR="00FF2801" w:rsidRPr="00E15627">
        <w:rPr>
          <w:szCs w:val="22"/>
        </w:rPr>
        <w:t xml:space="preserve">nor submission </w:t>
      </w:r>
      <w:r w:rsidR="00C10A2D">
        <w:rPr>
          <w:szCs w:val="22"/>
        </w:rPr>
        <w:t>requested a change to the current PBS restriction for goserelin</w:t>
      </w:r>
      <w:r w:rsidR="00423CD1">
        <w:rPr>
          <w:szCs w:val="22"/>
        </w:rPr>
        <w:t xml:space="preserve"> </w:t>
      </w:r>
      <w:r w:rsidR="00B33D7C">
        <w:rPr>
          <w:szCs w:val="22"/>
        </w:rPr>
        <w:t xml:space="preserve">3.6 mg implant </w:t>
      </w:r>
      <w:r w:rsidR="00423CD1">
        <w:rPr>
          <w:szCs w:val="22"/>
        </w:rPr>
        <w:t>to enable women with hormone receptor negative breast cancers to</w:t>
      </w:r>
      <w:r w:rsidR="00322EDE">
        <w:rPr>
          <w:szCs w:val="22"/>
        </w:rPr>
        <w:t xml:space="preserve"> access this treatment to</w:t>
      </w:r>
      <w:r w:rsidR="00423CD1">
        <w:rPr>
          <w:szCs w:val="22"/>
        </w:rPr>
        <w:t xml:space="preserve"> reduce chemotherapy-induced menopause.</w:t>
      </w:r>
    </w:p>
    <w:p w:rsidR="00F9629A" w:rsidRPr="00F9629A" w:rsidRDefault="00F9629A" w:rsidP="00C27B58">
      <w:pPr>
        <w:pStyle w:val="NoSpacing"/>
      </w:pPr>
    </w:p>
    <w:p w:rsidR="00EF44A0" w:rsidRPr="00C27B58" w:rsidRDefault="00EF44A0" w:rsidP="00C27B58">
      <w:pPr>
        <w:pStyle w:val="NoSpacing"/>
      </w:pPr>
    </w:p>
    <w:p w:rsidR="00962223" w:rsidRPr="00962223" w:rsidRDefault="006A12A5" w:rsidP="008A50F1">
      <w:pPr>
        <w:pStyle w:val="PBACHeading1"/>
      </w:pPr>
      <w:r w:rsidRPr="004A2484">
        <w:t>Requested listing</w:t>
      </w:r>
    </w:p>
    <w:p w:rsidR="006A12A5" w:rsidRPr="00882085" w:rsidRDefault="006A12A5" w:rsidP="00882085">
      <w:pPr>
        <w:jc w:val="both"/>
        <w:rPr>
          <w:rFonts w:ascii="Arial" w:hAnsi="Arial"/>
          <w:b/>
          <w:sz w:val="22"/>
          <w:szCs w:val="22"/>
        </w:rPr>
      </w:pPr>
    </w:p>
    <w:p w:rsidR="00826F6D" w:rsidRPr="00EC2BE9" w:rsidRDefault="00EF44A0" w:rsidP="00EC2BE9">
      <w:pPr>
        <w:pStyle w:val="ListParagraph"/>
        <w:numPr>
          <w:ilvl w:val="1"/>
          <w:numId w:val="5"/>
        </w:numPr>
        <w:rPr>
          <w:szCs w:val="22"/>
        </w:rPr>
      </w:pPr>
      <w:r w:rsidRPr="00077143">
        <w:rPr>
          <w:szCs w:val="22"/>
        </w:rPr>
        <w:t xml:space="preserve">The submission </w:t>
      </w:r>
      <w:r w:rsidR="00423CD1">
        <w:rPr>
          <w:szCs w:val="22"/>
        </w:rPr>
        <w:t>did not provide a proposed restriction</w:t>
      </w:r>
    </w:p>
    <w:p w:rsidR="00AC193C" w:rsidRPr="00552722" w:rsidRDefault="00AC193C" w:rsidP="00AC193C">
      <w:pPr>
        <w:ind w:left="709"/>
        <w:jc w:val="both"/>
        <w:rPr>
          <w:rFonts w:ascii="Arial" w:hAnsi="Arial" w:cs="Arial"/>
          <w:i/>
          <w:sz w:val="22"/>
          <w:szCs w:val="22"/>
        </w:rPr>
      </w:pPr>
    </w:p>
    <w:p w:rsidR="00AC193C" w:rsidRDefault="00AC193C" w:rsidP="00B1059E">
      <w:pPr>
        <w:pStyle w:val="Heading2"/>
      </w:pPr>
      <w:r w:rsidRPr="00552722">
        <w:t xml:space="preserve">Suggested </w:t>
      </w:r>
      <w:r w:rsidRPr="008151D6">
        <w:t>wording</w:t>
      </w:r>
      <w:r w:rsidRPr="00552722">
        <w:t xml:space="preserve"> for the restriction:</w:t>
      </w:r>
    </w:p>
    <w:p w:rsidR="00006469" w:rsidRPr="00006469" w:rsidRDefault="00006469" w:rsidP="00006469"/>
    <w:p w:rsidR="009F4E46" w:rsidRPr="00006469" w:rsidRDefault="00F03E2C" w:rsidP="00006469">
      <w:pPr>
        <w:pStyle w:val="ListParagraph"/>
        <w:numPr>
          <w:ilvl w:val="1"/>
          <w:numId w:val="5"/>
        </w:numPr>
        <w:rPr>
          <w:szCs w:val="22"/>
        </w:rPr>
      </w:pPr>
      <w:r>
        <w:rPr>
          <w:szCs w:val="22"/>
        </w:rPr>
        <w:t>The Secretariat proposed</w:t>
      </w:r>
      <w:r w:rsidR="009F4E46" w:rsidRPr="00006469">
        <w:rPr>
          <w:szCs w:val="22"/>
        </w:rPr>
        <w:t xml:space="preserve"> th</w:t>
      </w:r>
      <w:r w:rsidR="00EC2BE9" w:rsidRPr="00006469">
        <w:rPr>
          <w:szCs w:val="22"/>
        </w:rPr>
        <w:t xml:space="preserve">e following </w:t>
      </w:r>
      <w:r w:rsidR="00322EDE" w:rsidRPr="00006469">
        <w:rPr>
          <w:szCs w:val="22"/>
        </w:rPr>
        <w:t>changes to the existing restriction</w:t>
      </w:r>
      <w:r w:rsidR="00EC2BE9" w:rsidRPr="00006469">
        <w:rPr>
          <w:szCs w:val="22"/>
        </w:rPr>
        <w:t>. Changes to the existing listing are indicated in italics and strikethrough for deletions.</w:t>
      </w:r>
    </w:p>
    <w:p w:rsidR="00F9629A" w:rsidRPr="00552722" w:rsidRDefault="00F9629A" w:rsidP="00F9629A">
      <w:pPr>
        <w:jc w:val="both"/>
        <w:rPr>
          <w:rFonts w:ascii="Arial" w:hAnsi="Arial" w:cs="Arial"/>
          <w:sz w:val="22"/>
          <w:szCs w:val="22"/>
        </w:rPr>
      </w:pPr>
    </w:p>
    <w:tbl>
      <w:tblPr>
        <w:tblW w:w="8363" w:type="dxa"/>
        <w:tblInd w:w="817" w:type="dxa"/>
        <w:tblLayout w:type="fixed"/>
        <w:tblLook w:val="0000" w:firstRow="0" w:lastRow="0" w:firstColumn="0" w:lastColumn="0" w:noHBand="0" w:noVBand="0"/>
      </w:tblPr>
      <w:tblGrid>
        <w:gridCol w:w="2410"/>
        <w:gridCol w:w="142"/>
        <w:gridCol w:w="567"/>
        <w:gridCol w:w="850"/>
        <w:gridCol w:w="1701"/>
        <w:gridCol w:w="1559"/>
        <w:gridCol w:w="1134"/>
      </w:tblGrid>
      <w:tr w:rsidR="00F9629A" w:rsidRPr="00260CE3" w:rsidTr="00D84934">
        <w:trPr>
          <w:cantSplit/>
          <w:trHeight w:val="471"/>
        </w:trPr>
        <w:tc>
          <w:tcPr>
            <w:tcW w:w="2552" w:type="dxa"/>
            <w:gridSpan w:val="2"/>
            <w:tcBorders>
              <w:bottom w:val="single" w:sz="4" w:space="0" w:color="auto"/>
            </w:tcBorders>
          </w:tcPr>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Name, Restriction,</w:t>
            </w:r>
          </w:p>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Manner of administration and form</w:t>
            </w:r>
          </w:p>
        </w:tc>
        <w:tc>
          <w:tcPr>
            <w:tcW w:w="567" w:type="dxa"/>
            <w:tcBorders>
              <w:bottom w:val="single" w:sz="4" w:space="0" w:color="auto"/>
            </w:tcBorders>
          </w:tcPr>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Max.</w:t>
            </w:r>
          </w:p>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Qty</w:t>
            </w:r>
          </w:p>
        </w:tc>
        <w:tc>
          <w:tcPr>
            <w:tcW w:w="850" w:type="dxa"/>
            <w:tcBorders>
              <w:bottom w:val="single" w:sz="4" w:space="0" w:color="auto"/>
            </w:tcBorders>
          </w:tcPr>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№.of</w:t>
            </w:r>
          </w:p>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Rpts</w:t>
            </w:r>
          </w:p>
        </w:tc>
        <w:tc>
          <w:tcPr>
            <w:tcW w:w="1701" w:type="dxa"/>
            <w:tcBorders>
              <w:bottom w:val="single" w:sz="4" w:space="0" w:color="auto"/>
            </w:tcBorders>
          </w:tcPr>
          <w:p w:rsidR="00F9629A" w:rsidRPr="00260CE3" w:rsidRDefault="00F9629A" w:rsidP="00C27B58">
            <w:pPr>
              <w:keepNext/>
              <w:ind w:left="-108"/>
              <w:jc w:val="both"/>
              <w:rPr>
                <w:rFonts w:ascii="Arial Narrow" w:hAnsi="Arial Narrow" w:cs="Arial"/>
                <w:sz w:val="20"/>
                <w:szCs w:val="20"/>
              </w:rPr>
            </w:pPr>
            <w:r w:rsidRPr="00260CE3">
              <w:rPr>
                <w:rFonts w:ascii="Arial Narrow" w:hAnsi="Arial Narrow" w:cs="Arial"/>
                <w:sz w:val="20"/>
                <w:szCs w:val="20"/>
              </w:rPr>
              <w:t>Dispensed Price for Max. Qty</w:t>
            </w:r>
          </w:p>
        </w:tc>
        <w:tc>
          <w:tcPr>
            <w:tcW w:w="2693" w:type="dxa"/>
            <w:gridSpan w:val="2"/>
            <w:tcBorders>
              <w:bottom w:val="single" w:sz="4" w:space="0" w:color="auto"/>
            </w:tcBorders>
          </w:tcPr>
          <w:p w:rsidR="00F9629A" w:rsidRPr="00260CE3" w:rsidRDefault="00F9629A" w:rsidP="00C27B58">
            <w:pPr>
              <w:keepNext/>
              <w:jc w:val="both"/>
              <w:rPr>
                <w:rFonts w:ascii="Arial Narrow" w:hAnsi="Arial Narrow" w:cs="Arial"/>
                <w:sz w:val="20"/>
                <w:szCs w:val="20"/>
                <w:lang w:val="fr-FR"/>
              </w:rPr>
            </w:pPr>
            <w:r w:rsidRPr="00260CE3">
              <w:rPr>
                <w:rFonts w:ascii="Arial Narrow" w:hAnsi="Arial Narrow" w:cs="Arial"/>
                <w:sz w:val="20"/>
                <w:szCs w:val="20"/>
              </w:rPr>
              <w:t>Proprietary Name and Manufacturer</w:t>
            </w:r>
          </w:p>
        </w:tc>
      </w:tr>
      <w:tr w:rsidR="00F9629A" w:rsidRPr="00260CE3" w:rsidTr="00D84934">
        <w:trPr>
          <w:cantSplit/>
          <w:trHeight w:val="577"/>
        </w:trPr>
        <w:tc>
          <w:tcPr>
            <w:tcW w:w="2552" w:type="dxa"/>
            <w:gridSpan w:val="2"/>
          </w:tcPr>
          <w:p w:rsidR="00F9629A" w:rsidRPr="00260CE3" w:rsidRDefault="00EC2BE9" w:rsidP="00C27B58">
            <w:pPr>
              <w:keepNext/>
              <w:ind w:left="-108"/>
              <w:jc w:val="both"/>
              <w:rPr>
                <w:rFonts w:ascii="Arial Narrow" w:hAnsi="Arial Narrow" w:cs="Arial"/>
                <w:sz w:val="20"/>
                <w:szCs w:val="20"/>
              </w:rPr>
            </w:pPr>
            <w:r>
              <w:rPr>
                <w:rFonts w:ascii="Arial Narrow" w:hAnsi="Arial Narrow" w:cs="Arial"/>
                <w:smallCaps/>
                <w:sz w:val="20"/>
                <w:szCs w:val="20"/>
              </w:rPr>
              <w:t>GOSERELIN</w:t>
            </w:r>
          </w:p>
          <w:p w:rsidR="00F9629A" w:rsidRPr="00260CE3" w:rsidRDefault="00EC2BE9" w:rsidP="00C27B58">
            <w:pPr>
              <w:keepNext/>
              <w:ind w:left="-108"/>
              <w:jc w:val="both"/>
              <w:rPr>
                <w:rFonts w:ascii="Arial Narrow" w:hAnsi="Arial Narrow" w:cs="Arial"/>
                <w:sz w:val="20"/>
                <w:szCs w:val="20"/>
              </w:rPr>
            </w:pPr>
            <w:r>
              <w:rPr>
                <w:rFonts w:ascii="Arial Narrow" w:hAnsi="Arial Narrow" w:cs="Arial"/>
                <w:sz w:val="20"/>
                <w:szCs w:val="20"/>
              </w:rPr>
              <w:t>3.6 mg, implant</w:t>
            </w:r>
          </w:p>
        </w:tc>
        <w:tc>
          <w:tcPr>
            <w:tcW w:w="567" w:type="dxa"/>
          </w:tcPr>
          <w:p w:rsidR="00F9629A" w:rsidRPr="00260CE3" w:rsidRDefault="00F9629A" w:rsidP="00C27B58">
            <w:pPr>
              <w:keepNext/>
              <w:ind w:left="-108"/>
              <w:jc w:val="both"/>
              <w:rPr>
                <w:rFonts w:ascii="Arial Narrow" w:hAnsi="Arial Narrow" w:cs="Arial"/>
                <w:sz w:val="20"/>
                <w:szCs w:val="20"/>
              </w:rPr>
            </w:pPr>
          </w:p>
          <w:p w:rsidR="00F9629A" w:rsidRPr="00260CE3" w:rsidRDefault="00EC2BE9" w:rsidP="00C27B58">
            <w:pPr>
              <w:keepNext/>
              <w:ind w:left="-108"/>
              <w:jc w:val="both"/>
              <w:rPr>
                <w:rFonts w:ascii="Arial Narrow" w:hAnsi="Arial Narrow" w:cs="Arial"/>
                <w:sz w:val="20"/>
                <w:szCs w:val="20"/>
              </w:rPr>
            </w:pPr>
            <w:r>
              <w:rPr>
                <w:rFonts w:ascii="Arial Narrow" w:hAnsi="Arial Narrow" w:cs="Arial"/>
                <w:sz w:val="20"/>
                <w:szCs w:val="20"/>
              </w:rPr>
              <w:t>1</w:t>
            </w:r>
          </w:p>
        </w:tc>
        <w:tc>
          <w:tcPr>
            <w:tcW w:w="850" w:type="dxa"/>
          </w:tcPr>
          <w:p w:rsidR="00F9629A" w:rsidRPr="00260CE3" w:rsidRDefault="00F9629A" w:rsidP="00C27B58">
            <w:pPr>
              <w:keepNext/>
              <w:ind w:left="-108"/>
              <w:jc w:val="both"/>
              <w:rPr>
                <w:rFonts w:ascii="Arial Narrow" w:hAnsi="Arial Narrow" w:cs="Arial"/>
                <w:sz w:val="20"/>
                <w:szCs w:val="20"/>
              </w:rPr>
            </w:pPr>
          </w:p>
          <w:p w:rsidR="00F9629A" w:rsidRPr="00260CE3" w:rsidRDefault="00EC2BE9" w:rsidP="00C27B58">
            <w:pPr>
              <w:keepNext/>
              <w:ind w:left="-108"/>
              <w:jc w:val="both"/>
              <w:rPr>
                <w:rFonts w:ascii="Arial Narrow" w:hAnsi="Arial Narrow" w:cs="Arial"/>
                <w:sz w:val="20"/>
                <w:szCs w:val="20"/>
              </w:rPr>
            </w:pPr>
            <w:r>
              <w:rPr>
                <w:rFonts w:ascii="Arial Narrow" w:hAnsi="Arial Narrow" w:cs="Arial"/>
                <w:sz w:val="20"/>
                <w:szCs w:val="20"/>
              </w:rPr>
              <w:t>5</w:t>
            </w:r>
          </w:p>
        </w:tc>
        <w:tc>
          <w:tcPr>
            <w:tcW w:w="1701" w:type="dxa"/>
          </w:tcPr>
          <w:p w:rsidR="00F9629A" w:rsidRPr="00260CE3" w:rsidRDefault="00F9629A" w:rsidP="00C27B58">
            <w:pPr>
              <w:keepNext/>
              <w:ind w:left="-108"/>
              <w:jc w:val="both"/>
              <w:rPr>
                <w:rFonts w:ascii="Arial Narrow" w:hAnsi="Arial Narrow" w:cs="Arial"/>
                <w:sz w:val="20"/>
                <w:szCs w:val="20"/>
              </w:rPr>
            </w:pPr>
          </w:p>
          <w:p w:rsidR="00F9629A" w:rsidRPr="00260CE3" w:rsidRDefault="00F9629A" w:rsidP="00EC2BE9">
            <w:pPr>
              <w:keepNext/>
              <w:ind w:left="-108"/>
              <w:jc w:val="both"/>
              <w:rPr>
                <w:rFonts w:ascii="Arial Narrow" w:hAnsi="Arial Narrow" w:cs="Arial"/>
                <w:sz w:val="20"/>
                <w:szCs w:val="20"/>
              </w:rPr>
            </w:pPr>
            <w:r w:rsidRPr="00260CE3">
              <w:rPr>
                <w:rFonts w:ascii="Arial Narrow" w:hAnsi="Arial Narrow" w:cs="Arial"/>
                <w:sz w:val="20"/>
                <w:szCs w:val="20"/>
              </w:rPr>
              <w:t>$</w:t>
            </w:r>
            <w:r w:rsidR="009F3294">
              <w:rPr>
                <w:rFonts w:ascii="Arial Narrow" w:hAnsi="Arial Narrow" w:cs="Arial"/>
                <w:noProof/>
                <w:color w:val="000000"/>
                <w:sz w:val="20"/>
                <w:szCs w:val="20"/>
                <w:highlight w:val="black"/>
              </w:rPr>
              <w:t>'''''''''''''''</w:t>
            </w:r>
          </w:p>
        </w:tc>
        <w:tc>
          <w:tcPr>
            <w:tcW w:w="1559" w:type="dxa"/>
          </w:tcPr>
          <w:p w:rsidR="00F9629A" w:rsidRPr="00260CE3" w:rsidRDefault="00EC467D" w:rsidP="00C27B58">
            <w:pPr>
              <w:keepNext/>
              <w:jc w:val="both"/>
              <w:rPr>
                <w:rFonts w:ascii="Arial Narrow" w:hAnsi="Arial Narrow" w:cs="Arial"/>
                <w:sz w:val="20"/>
                <w:szCs w:val="20"/>
              </w:rPr>
            </w:pPr>
            <w:r>
              <w:rPr>
                <w:rFonts w:ascii="Arial Narrow" w:hAnsi="Arial Narrow" w:cs="Arial"/>
                <w:sz w:val="20"/>
                <w:szCs w:val="20"/>
              </w:rPr>
              <w:t>Zoladex Implant</w:t>
            </w:r>
          </w:p>
        </w:tc>
        <w:tc>
          <w:tcPr>
            <w:tcW w:w="1134" w:type="dxa"/>
          </w:tcPr>
          <w:p w:rsidR="00F9629A" w:rsidRPr="00260CE3" w:rsidRDefault="00EC467D" w:rsidP="00C27B58">
            <w:pPr>
              <w:keepNext/>
              <w:jc w:val="both"/>
              <w:rPr>
                <w:rFonts w:ascii="Arial Narrow" w:hAnsi="Arial Narrow" w:cs="Arial"/>
                <w:sz w:val="20"/>
                <w:szCs w:val="20"/>
              </w:rPr>
            </w:pPr>
            <w:r>
              <w:rPr>
                <w:rFonts w:ascii="Arial Narrow" w:hAnsi="Arial Narrow" w:cs="Arial"/>
                <w:sz w:val="20"/>
                <w:szCs w:val="20"/>
              </w:rPr>
              <w:t>Astra Zeneca</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 xml:space="preserve">Category / </w:t>
            </w:r>
          </w:p>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Program</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F9629A" w:rsidP="00C27B58">
            <w:pPr>
              <w:rPr>
                <w:rFonts w:ascii="Arial Narrow" w:hAnsi="Arial Narrow" w:cs="Arial"/>
                <w:sz w:val="20"/>
                <w:szCs w:val="20"/>
              </w:rPr>
            </w:pPr>
            <w:r w:rsidRPr="00260CE3">
              <w:rPr>
                <w:rFonts w:ascii="Arial Narrow" w:hAnsi="Arial Narrow" w:cs="Arial"/>
                <w:sz w:val="20"/>
                <w:szCs w:val="20"/>
              </w:rPr>
              <w:t>GENERAL – General Schedule (Code GE)</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Prescriber type:</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F9629A" w:rsidP="00C27B58">
            <w:pPr>
              <w:rPr>
                <w:rFonts w:ascii="Arial Narrow" w:hAnsi="Arial Narrow" w:cs="Arial"/>
                <w:sz w:val="20"/>
                <w:szCs w:val="20"/>
              </w:rPr>
            </w:pPr>
            <w:r w:rsidRPr="00260CE3">
              <w:rPr>
                <w:rFonts w:ascii="Arial Narrow" w:hAnsi="Arial Narrow" w:cs="Arial"/>
                <w:sz w:val="20"/>
                <w:szCs w:val="20"/>
              </w:rPr>
              <w:fldChar w:fldCharType="begin">
                <w:ffData>
                  <w:name w:val="Check1"/>
                  <w:enabled/>
                  <w:calcOnExit w:val="0"/>
                  <w:checkBox>
                    <w:sizeAuto/>
                    <w:default w:val="0"/>
                  </w:checkBox>
                </w:ffData>
              </w:fldChar>
            </w:r>
            <w:r w:rsidRPr="00260CE3">
              <w:rPr>
                <w:rFonts w:ascii="Arial Narrow" w:hAnsi="Arial Narrow" w:cs="Arial"/>
                <w:sz w:val="20"/>
                <w:szCs w:val="20"/>
              </w:rPr>
              <w:instrText xml:space="preserve"> FORMCHECKBOX </w:instrText>
            </w:r>
            <w:r w:rsidR="005F1A7D">
              <w:rPr>
                <w:rFonts w:ascii="Arial Narrow" w:hAnsi="Arial Narrow" w:cs="Arial"/>
                <w:sz w:val="20"/>
                <w:szCs w:val="20"/>
              </w:rPr>
            </w:r>
            <w:r w:rsidR="005F1A7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Dental  </w:t>
            </w:r>
            <w:r w:rsidR="00EC467D">
              <w:rPr>
                <w:rFonts w:ascii="Arial Narrow" w:hAnsi="Arial Narrow" w:cs="Arial"/>
                <w:sz w:val="20"/>
                <w:szCs w:val="20"/>
              </w:rPr>
              <w:fldChar w:fldCharType="begin">
                <w:ffData>
                  <w:name w:val=""/>
                  <w:enabled/>
                  <w:calcOnExit w:val="0"/>
                  <w:checkBox>
                    <w:sizeAuto/>
                    <w:default w:val="1"/>
                  </w:checkBox>
                </w:ffData>
              </w:fldChar>
            </w:r>
            <w:r w:rsidR="00EC467D">
              <w:rPr>
                <w:rFonts w:ascii="Arial Narrow" w:hAnsi="Arial Narrow" w:cs="Arial"/>
                <w:sz w:val="20"/>
                <w:szCs w:val="20"/>
              </w:rPr>
              <w:instrText xml:space="preserve"> FORMCHECKBOX </w:instrText>
            </w:r>
            <w:r w:rsidR="005F1A7D">
              <w:rPr>
                <w:rFonts w:ascii="Arial Narrow" w:hAnsi="Arial Narrow" w:cs="Arial"/>
                <w:sz w:val="20"/>
                <w:szCs w:val="20"/>
              </w:rPr>
            </w:r>
            <w:r w:rsidR="005F1A7D">
              <w:rPr>
                <w:rFonts w:ascii="Arial Narrow" w:hAnsi="Arial Narrow" w:cs="Arial"/>
                <w:sz w:val="20"/>
                <w:szCs w:val="20"/>
              </w:rPr>
              <w:fldChar w:fldCharType="separate"/>
            </w:r>
            <w:r w:rsidR="00EC467D">
              <w:rPr>
                <w:rFonts w:ascii="Arial Narrow" w:hAnsi="Arial Narrow" w:cs="Arial"/>
                <w:sz w:val="20"/>
                <w:szCs w:val="20"/>
              </w:rPr>
              <w:fldChar w:fldCharType="end"/>
            </w:r>
            <w:r w:rsidRPr="00260CE3">
              <w:rPr>
                <w:rFonts w:ascii="Arial Narrow" w:hAnsi="Arial Narrow" w:cs="Arial"/>
                <w:sz w:val="20"/>
                <w:szCs w:val="20"/>
              </w:rPr>
              <w:t xml:space="preserve">Medical Practitioners  </w:t>
            </w:r>
            <w:r w:rsidRPr="00260CE3">
              <w:rPr>
                <w:rFonts w:ascii="Arial Narrow" w:hAnsi="Arial Narrow" w:cs="Arial"/>
                <w:sz w:val="20"/>
                <w:szCs w:val="20"/>
              </w:rPr>
              <w:fldChar w:fldCharType="begin">
                <w:ffData>
                  <w:name w:val="Check3"/>
                  <w:enabled/>
                  <w:calcOnExit w:val="0"/>
                  <w:checkBox>
                    <w:sizeAuto/>
                    <w:default w:val="0"/>
                  </w:checkBox>
                </w:ffData>
              </w:fldChar>
            </w:r>
            <w:r w:rsidRPr="00260CE3">
              <w:rPr>
                <w:rFonts w:ascii="Arial Narrow" w:hAnsi="Arial Narrow" w:cs="Arial"/>
                <w:sz w:val="20"/>
                <w:szCs w:val="20"/>
              </w:rPr>
              <w:instrText xml:space="preserve"> FORMCHECKBOX </w:instrText>
            </w:r>
            <w:r w:rsidR="005F1A7D">
              <w:rPr>
                <w:rFonts w:ascii="Arial Narrow" w:hAnsi="Arial Narrow" w:cs="Arial"/>
                <w:sz w:val="20"/>
                <w:szCs w:val="20"/>
              </w:rPr>
            </w:r>
            <w:r w:rsidR="005F1A7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 xml:space="preserve">Nurse practitioners  </w:t>
            </w:r>
            <w:r w:rsidRPr="00260CE3">
              <w:rPr>
                <w:rFonts w:ascii="Arial Narrow" w:hAnsi="Arial Narrow" w:cs="Arial"/>
                <w:sz w:val="20"/>
                <w:szCs w:val="20"/>
              </w:rPr>
              <w:fldChar w:fldCharType="begin">
                <w:ffData>
                  <w:name w:val=""/>
                  <w:enabled/>
                  <w:calcOnExit w:val="0"/>
                  <w:checkBox>
                    <w:sizeAuto/>
                    <w:default w:val="0"/>
                  </w:checkBox>
                </w:ffData>
              </w:fldChar>
            </w:r>
            <w:r w:rsidRPr="00260CE3">
              <w:rPr>
                <w:rFonts w:ascii="Arial Narrow" w:hAnsi="Arial Narrow" w:cs="Arial"/>
                <w:sz w:val="20"/>
                <w:szCs w:val="20"/>
              </w:rPr>
              <w:instrText xml:space="preserve"> FORMCHECKBOX </w:instrText>
            </w:r>
            <w:r w:rsidR="005F1A7D">
              <w:rPr>
                <w:rFonts w:ascii="Arial Narrow" w:hAnsi="Arial Narrow" w:cs="Arial"/>
                <w:sz w:val="20"/>
                <w:szCs w:val="20"/>
              </w:rPr>
            </w:r>
            <w:r w:rsidR="005F1A7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Optometrists</w:t>
            </w:r>
          </w:p>
          <w:p w:rsidR="00F9629A" w:rsidRPr="00260CE3" w:rsidRDefault="00F9629A" w:rsidP="00C27B58">
            <w:pPr>
              <w:rPr>
                <w:rFonts w:ascii="Arial Narrow" w:hAnsi="Arial Narrow" w:cs="Arial"/>
                <w:sz w:val="20"/>
                <w:szCs w:val="20"/>
              </w:rPr>
            </w:pPr>
            <w:r w:rsidRPr="00260CE3">
              <w:rPr>
                <w:rFonts w:ascii="Arial Narrow" w:hAnsi="Arial Narrow" w:cs="Arial"/>
                <w:sz w:val="20"/>
                <w:szCs w:val="20"/>
              </w:rPr>
              <w:fldChar w:fldCharType="begin">
                <w:ffData>
                  <w:name w:val="Check5"/>
                  <w:enabled/>
                  <w:calcOnExit w:val="0"/>
                  <w:checkBox>
                    <w:sizeAuto/>
                    <w:default w:val="0"/>
                  </w:checkBox>
                </w:ffData>
              </w:fldChar>
            </w:r>
            <w:r w:rsidRPr="00260CE3">
              <w:rPr>
                <w:rFonts w:ascii="Arial Narrow" w:hAnsi="Arial Narrow" w:cs="Arial"/>
                <w:sz w:val="20"/>
                <w:szCs w:val="20"/>
              </w:rPr>
              <w:instrText xml:space="preserve"> FORMCHECKBOX </w:instrText>
            </w:r>
            <w:r w:rsidR="005F1A7D">
              <w:rPr>
                <w:rFonts w:ascii="Arial Narrow" w:hAnsi="Arial Narrow" w:cs="Arial"/>
                <w:sz w:val="20"/>
                <w:szCs w:val="20"/>
              </w:rPr>
            </w:r>
            <w:r w:rsidR="005F1A7D">
              <w:rPr>
                <w:rFonts w:ascii="Arial Narrow" w:hAnsi="Arial Narrow" w:cs="Arial"/>
                <w:sz w:val="20"/>
                <w:szCs w:val="20"/>
              </w:rPr>
              <w:fldChar w:fldCharType="separate"/>
            </w:r>
            <w:r w:rsidRPr="00260CE3">
              <w:rPr>
                <w:rFonts w:ascii="Arial Narrow" w:hAnsi="Arial Narrow" w:cs="Arial"/>
                <w:sz w:val="20"/>
                <w:szCs w:val="20"/>
              </w:rPr>
              <w:fldChar w:fldCharType="end"/>
            </w:r>
            <w:r w:rsidRPr="00260CE3">
              <w:rPr>
                <w:rFonts w:ascii="Arial Narrow" w:hAnsi="Arial Narrow" w:cs="Arial"/>
                <w:sz w:val="20"/>
                <w:szCs w:val="20"/>
              </w:rPr>
              <w:t>Midwives</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Condition:</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EC467D" w:rsidP="00C27B58">
            <w:pPr>
              <w:rPr>
                <w:rFonts w:ascii="Arial Narrow" w:hAnsi="Arial Narrow" w:cs="Arial"/>
                <w:sz w:val="20"/>
                <w:szCs w:val="20"/>
              </w:rPr>
            </w:pPr>
            <w:r>
              <w:rPr>
                <w:rFonts w:ascii="Arial Narrow" w:hAnsi="Arial Narrow" w:cs="Arial"/>
                <w:sz w:val="20"/>
                <w:szCs w:val="20"/>
              </w:rPr>
              <w:t>Breast cancer</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PBS Indication:</w:t>
            </w: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EC467D" w:rsidP="00C27B58">
            <w:pPr>
              <w:rPr>
                <w:rFonts w:ascii="Arial Narrow" w:hAnsi="Arial Narrow" w:cs="Arial"/>
                <w:sz w:val="20"/>
                <w:szCs w:val="20"/>
              </w:rPr>
            </w:pPr>
            <w:r>
              <w:rPr>
                <w:rFonts w:ascii="Arial Narrow" w:hAnsi="Arial Narrow" w:cs="Arial"/>
                <w:sz w:val="20"/>
                <w:szCs w:val="20"/>
              </w:rPr>
              <w:t>Breast cancer</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Restriction</w:t>
            </w:r>
            <w:r>
              <w:rPr>
                <w:rFonts w:ascii="Arial Narrow" w:hAnsi="Arial Narrow" w:cs="Arial"/>
                <w:b/>
                <w:sz w:val="20"/>
                <w:szCs w:val="20"/>
              </w:rPr>
              <w:t xml:space="preserve"> Level / Method</w:t>
            </w:r>
            <w:r w:rsidRPr="00260CE3">
              <w:rPr>
                <w:rFonts w:ascii="Arial Narrow" w:hAnsi="Arial Narrow" w:cs="Arial"/>
                <w:b/>
                <w:sz w:val="20"/>
                <w:szCs w:val="20"/>
              </w:rPr>
              <w:t>:</w:t>
            </w:r>
          </w:p>
          <w:p w:rsidR="00F9629A" w:rsidRPr="00260CE3" w:rsidRDefault="00F9629A" w:rsidP="00C27B58">
            <w:pPr>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F9629A" w:rsidRPr="00260CE3" w:rsidRDefault="00EC467D" w:rsidP="00C27B58">
            <w:pPr>
              <w:rPr>
                <w:rFonts w:ascii="Arial Narrow" w:hAnsi="Arial Narrow" w:cs="Arial"/>
                <w:sz w:val="20"/>
                <w:szCs w:val="20"/>
              </w:rPr>
            </w:pPr>
            <w:r>
              <w:rPr>
                <w:rFonts w:ascii="Arial Narrow" w:hAnsi="Arial Narrow" w:cs="Arial"/>
                <w:sz w:val="20"/>
                <w:szCs w:val="20"/>
              </w:rPr>
              <w:fldChar w:fldCharType="begin">
                <w:ffData>
                  <w:name w:val="Check1"/>
                  <w:enabled/>
                  <w:calcOnExit w:val="0"/>
                  <w:checkBox>
                    <w:sizeAuto/>
                    <w:default w:val="1"/>
                  </w:checkBox>
                </w:ffData>
              </w:fldChar>
            </w:r>
            <w:bookmarkStart w:id="1" w:name="Check1"/>
            <w:r>
              <w:rPr>
                <w:rFonts w:ascii="Arial Narrow" w:hAnsi="Arial Narrow" w:cs="Arial"/>
                <w:sz w:val="20"/>
                <w:szCs w:val="20"/>
              </w:rPr>
              <w:instrText xml:space="preserve"> FORMCHECKBOX </w:instrText>
            </w:r>
            <w:r w:rsidR="005F1A7D">
              <w:rPr>
                <w:rFonts w:ascii="Arial Narrow" w:hAnsi="Arial Narrow" w:cs="Arial"/>
                <w:sz w:val="20"/>
                <w:szCs w:val="20"/>
              </w:rPr>
            </w:r>
            <w:r w:rsidR="005F1A7D">
              <w:rPr>
                <w:rFonts w:ascii="Arial Narrow" w:hAnsi="Arial Narrow" w:cs="Arial"/>
                <w:sz w:val="20"/>
                <w:szCs w:val="20"/>
              </w:rPr>
              <w:fldChar w:fldCharType="separate"/>
            </w:r>
            <w:r>
              <w:rPr>
                <w:rFonts w:ascii="Arial Narrow" w:hAnsi="Arial Narrow" w:cs="Arial"/>
                <w:sz w:val="20"/>
                <w:szCs w:val="20"/>
              </w:rPr>
              <w:fldChar w:fldCharType="end"/>
            </w:r>
            <w:bookmarkEnd w:id="1"/>
            <w:r w:rsidR="00F9629A" w:rsidRPr="00106BCF">
              <w:rPr>
                <w:rFonts w:ascii="Arial Narrow" w:hAnsi="Arial Narrow" w:cs="Arial"/>
                <w:sz w:val="20"/>
                <w:szCs w:val="20"/>
              </w:rPr>
              <w:t>Restricted benefit</w:t>
            </w:r>
          </w:p>
        </w:tc>
      </w:tr>
      <w:tr w:rsidR="00F9629A" w:rsidRPr="00260CE3" w:rsidTr="00D84934">
        <w:trPr>
          <w:cantSplit/>
          <w:trHeight w:val="360"/>
        </w:trPr>
        <w:tc>
          <w:tcPr>
            <w:tcW w:w="2410" w:type="dxa"/>
            <w:tcBorders>
              <w:top w:val="single" w:sz="4" w:space="0" w:color="auto"/>
              <w:left w:val="single" w:sz="4" w:space="0" w:color="auto"/>
              <w:bottom w:val="single" w:sz="4" w:space="0" w:color="auto"/>
              <w:right w:val="single" w:sz="4" w:space="0" w:color="auto"/>
            </w:tcBorders>
          </w:tcPr>
          <w:p w:rsidR="00F9629A" w:rsidRPr="00260CE3" w:rsidRDefault="00F9629A" w:rsidP="00C27B58">
            <w:pPr>
              <w:jc w:val="both"/>
              <w:rPr>
                <w:rFonts w:ascii="Arial Narrow" w:hAnsi="Arial Narrow" w:cs="Arial"/>
                <w:b/>
                <w:sz w:val="20"/>
                <w:szCs w:val="20"/>
              </w:rPr>
            </w:pPr>
            <w:r w:rsidRPr="00260CE3">
              <w:rPr>
                <w:rFonts w:ascii="Arial Narrow" w:hAnsi="Arial Narrow" w:cs="Arial"/>
                <w:b/>
                <w:sz w:val="20"/>
                <w:szCs w:val="20"/>
              </w:rPr>
              <w:t>Clinical criteria:</w:t>
            </w:r>
          </w:p>
          <w:p w:rsidR="00F9629A" w:rsidRPr="00260CE3" w:rsidRDefault="00F9629A" w:rsidP="00EC467D">
            <w:pPr>
              <w:jc w:val="both"/>
              <w:rPr>
                <w:rFonts w:ascii="Arial Narrow" w:hAnsi="Arial Narrow" w:cs="Arial"/>
                <w:sz w:val="20"/>
                <w:szCs w:val="20"/>
              </w:rPr>
            </w:pPr>
          </w:p>
        </w:tc>
        <w:tc>
          <w:tcPr>
            <w:tcW w:w="5953" w:type="dxa"/>
            <w:gridSpan w:val="6"/>
            <w:tcBorders>
              <w:top w:val="single" w:sz="4" w:space="0" w:color="auto"/>
              <w:left w:val="single" w:sz="4" w:space="0" w:color="auto"/>
              <w:bottom w:val="single" w:sz="4" w:space="0" w:color="auto"/>
              <w:right w:val="single" w:sz="4" w:space="0" w:color="auto"/>
            </w:tcBorders>
          </w:tcPr>
          <w:p w:rsidR="00F9629A" w:rsidRPr="00EC467D" w:rsidRDefault="00EC467D" w:rsidP="00EC467D">
            <w:pPr>
              <w:numPr>
                <w:ilvl w:val="0"/>
                <w:numId w:val="15"/>
              </w:numPr>
              <w:rPr>
                <w:rFonts w:ascii="Arial Narrow" w:hAnsi="Arial Narrow" w:cs="Arial"/>
                <w:strike/>
                <w:sz w:val="20"/>
                <w:szCs w:val="20"/>
              </w:rPr>
            </w:pPr>
            <w:r w:rsidRPr="00EC467D">
              <w:rPr>
                <w:rFonts w:ascii="Arial Narrow" w:hAnsi="Arial Narrow" w:cs="Arial"/>
                <w:strike/>
                <w:sz w:val="21"/>
                <w:szCs w:val="21"/>
              </w:rPr>
              <w:t>The condition must be hormone receptor positive</w:t>
            </w:r>
          </w:p>
          <w:p w:rsidR="00F9629A" w:rsidRPr="00260CE3" w:rsidRDefault="00F9629A" w:rsidP="00C27B58">
            <w:pPr>
              <w:jc w:val="both"/>
              <w:rPr>
                <w:rFonts w:ascii="Arial Narrow" w:hAnsi="Arial Narrow" w:cs="Arial"/>
                <w:sz w:val="20"/>
                <w:szCs w:val="20"/>
              </w:rPr>
            </w:pPr>
          </w:p>
        </w:tc>
      </w:tr>
    </w:tbl>
    <w:p w:rsidR="00F9629A" w:rsidRDefault="00F9629A" w:rsidP="004465BD">
      <w:pPr>
        <w:jc w:val="both"/>
        <w:rPr>
          <w:rFonts w:ascii="Arial" w:hAnsi="Arial"/>
          <w:sz w:val="22"/>
          <w:szCs w:val="22"/>
        </w:rPr>
      </w:pPr>
    </w:p>
    <w:p w:rsidR="00F03E2C" w:rsidRDefault="00F03E2C" w:rsidP="00176EFD">
      <w:pPr>
        <w:pStyle w:val="ListParagraph"/>
        <w:ind w:left="709"/>
        <w:rPr>
          <w:i/>
          <w:szCs w:val="22"/>
        </w:rPr>
      </w:pPr>
      <w:r w:rsidRPr="00176EFD">
        <w:rPr>
          <w:i/>
          <w:szCs w:val="22"/>
        </w:rPr>
        <w:t>For more detail on PBAC’s view, see section 7 “PBAC outcome”</w:t>
      </w:r>
      <w:r w:rsidR="00DD004A">
        <w:rPr>
          <w:i/>
          <w:szCs w:val="22"/>
        </w:rPr>
        <w:t>.</w:t>
      </w:r>
    </w:p>
    <w:p w:rsidR="00F03E2C" w:rsidRPr="004465BD" w:rsidRDefault="00F03E2C" w:rsidP="004465BD">
      <w:pPr>
        <w:jc w:val="both"/>
        <w:rPr>
          <w:rFonts w:ascii="Arial" w:hAnsi="Arial"/>
          <w:sz w:val="22"/>
          <w:szCs w:val="22"/>
        </w:rPr>
      </w:pPr>
    </w:p>
    <w:p w:rsidR="00BB7EC3" w:rsidRPr="00882085" w:rsidRDefault="00BB7EC3" w:rsidP="00882085">
      <w:pPr>
        <w:jc w:val="both"/>
        <w:rPr>
          <w:rFonts w:ascii="Arial" w:hAnsi="Arial"/>
          <w:b/>
          <w:sz w:val="22"/>
          <w:szCs w:val="22"/>
        </w:rPr>
      </w:pPr>
    </w:p>
    <w:p w:rsidR="00CE10C4" w:rsidRPr="00C603D4" w:rsidRDefault="00CE10C4" w:rsidP="008A50F1">
      <w:pPr>
        <w:pStyle w:val="PBACHeading1"/>
      </w:pPr>
      <w:r w:rsidRPr="00C603D4">
        <w:t>Background</w:t>
      </w:r>
    </w:p>
    <w:p w:rsidR="00C603D4" w:rsidRPr="00C603D4" w:rsidRDefault="00C603D4" w:rsidP="00C603D4">
      <w:pPr>
        <w:pStyle w:val="ListParagraph"/>
        <w:rPr>
          <w:i/>
          <w:szCs w:val="22"/>
        </w:rPr>
      </w:pPr>
    </w:p>
    <w:p w:rsidR="002B1AE6" w:rsidRPr="00476245" w:rsidRDefault="00EC467D" w:rsidP="008A50F1">
      <w:pPr>
        <w:pStyle w:val="ListParagraph"/>
        <w:numPr>
          <w:ilvl w:val="1"/>
          <w:numId w:val="5"/>
        </w:numPr>
        <w:rPr>
          <w:i/>
          <w:szCs w:val="22"/>
        </w:rPr>
      </w:pPr>
      <w:r>
        <w:rPr>
          <w:szCs w:val="22"/>
        </w:rPr>
        <w:t>Goserelin 3.6 mg implant</w:t>
      </w:r>
      <w:r w:rsidR="00476245">
        <w:rPr>
          <w:szCs w:val="22"/>
        </w:rPr>
        <w:t xml:space="preserve"> is TGA registered for</w:t>
      </w:r>
      <w:r>
        <w:rPr>
          <w:szCs w:val="22"/>
        </w:rPr>
        <w:t xml:space="preserve"> prostate cancer, endometriosis, uterine fibroids, endometrial thinning, assisted reproduction, and treatment of advanced breast cancer </w:t>
      </w:r>
      <w:r w:rsidR="00967C2E">
        <w:rPr>
          <w:szCs w:val="22"/>
        </w:rPr>
        <w:t>(T3b, T4 or any T with N2, 3 or M+) in premenopausal women suitable for hormonal manipulation</w:t>
      </w:r>
      <w:r w:rsidR="001456A2">
        <w:rPr>
          <w:szCs w:val="22"/>
        </w:rPr>
        <w:t xml:space="preserve"> (PI,</w:t>
      </w:r>
      <w:r w:rsidR="00D547B6">
        <w:rPr>
          <w:szCs w:val="22"/>
        </w:rPr>
        <w:t xml:space="preserve"> p</w:t>
      </w:r>
      <w:r w:rsidR="001456A2">
        <w:rPr>
          <w:szCs w:val="22"/>
        </w:rPr>
        <w:t>11)</w:t>
      </w:r>
      <w:r>
        <w:rPr>
          <w:szCs w:val="22"/>
        </w:rPr>
        <w:t>.</w:t>
      </w:r>
    </w:p>
    <w:p w:rsidR="006B0D94" w:rsidRPr="00882085" w:rsidRDefault="006B0D94" w:rsidP="00882085">
      <w:pPr>
        <w:pStyle w:val="ListParagraph"/>
        <w:rPr>
          <w:szCs w:val="22"/>
        </w:rPr>
      </w:pPr>
    </w:p>
    <w:p w:rsidR="00967C2E" w:rsidRDefault="00967C2E" w:rsidP="00967C2E">
      <w:pPr>
        <w:pStyle w:val="ListParagraph"/>
        <w:widowControl/>
        <w:numPr>
          <w:ilvl w:val="1"/>
          <w:numId w:val="5"/>
        </w:numPr>
        <w:rPr>
          <w:szCs w:val="22"/>
        </w:rPr>
      </w:pPr>
      <w:r>
        <w:rPr>
          <w:szCs w:val="22"/>
        </w:rPr>
        <w:t xml:space="preserve">At the November 2014 PBAC meeting, the PBAC agreed to a request from </w:t>
      </w:r>
      <w:r w:rsidR="00322EDE">
        <w:rPr>
          <w:szCs w:val="22"/>
        </w:rPr>
        <w:t>the Medical Oncology Group of Australia (</w:t>
      </w:r>
      <w:r>
        <w:rPr>
          <w:szCs w:val="22"/>
        </w:rPr>
        <w:t>MOGA</w:t>
      </w:r>
      <w:r w:rsidR="00322EDE">
        <w:rPr>
          <w:szCs w:val="22"/>
        </w:rPr>
        <w:t>)</w:t>
      </w:r>
      <w:r>
        <w:rPr>
          <w:szCs w:val="22"/>
        </w:rPr>
        <w:t xml:space="preserve"> to</w:t>
      </w:r>
      <w:r w:rsidRPr="00F714CA">
        <w:rPr>
          <w:szCs w:val="22"/>
        </w:rPr>
        <w:t xml:space="preserve"> have the drugs anastrozole, everolimus, exemestane, goserelin and letrozole made available to males with breast cancer on equity grounds</w:t>
      </w:r>
      <w:r>
        <w:rPr>
          <w:szCs w:val="22"/>
        </w:rPr>
        <w:t>. T</w:t>
      </w:r>
      <w:r w:rsidRPr="00F714CA">
        <w:rPr>
          <w:szCs w:val="22"/>
        </w:rPr>
        <w:t xml:space="preserve">he PBAC recommended amending the restrictions for these five drugs and their breast cancer indications in such a way that male patients </w:t>
      </w:r>
      <w:r w:rsidR="003C5972">
        <w:rPr>
          <w:szCs w:val="22"/>
        </w:rPr>
        <w:t>we</w:t>
      </w:r>
      <w:r w:rsidRPr="00F714CA">
        <w:rPr>
          <w:szCs w:val="22"/>
        </w:rPr>
        <w:t xml:space="preserve">re not precluded from access to subsidy. </w:t>
      </w:r>
      <w:r w:rsidR="00322EDE">
        <w:rPr>
          <w:szCs w:val="22"/>
        </w:rPr>
        <w:t>Specifically i</w:t>
      </w:r>
      <w:r w:rsidRPr="00F714CA">
        <w:rPr>
          <w:szCs w:val="22"/>
        </w:rPr>
        <w:t>n relation to goserelin, the PBAC noted that it would be unlikely that goserel</w:t>
      </w:r>
      <w:r w:rsidR="00322EDE">
        <w:rPr>
          <w:szCs w:val="22"/>
        </w:rPr>
        <w:t>in would be prescribed for post</w:t>
      </w:r>
      <w:r w:rsidR="00322EDE">
        <w:rPr>
          <w:szCs w:val="22"/>
        </w:rPr>
        <w:noBreakHyphen/>
      </w:r>
      <w:r w:rsidRPr="00F714CA">
        <w:rPr>
          <w:szCs w:val="22"/>
        </w:rPr>
        <w:t>menopausal women and so recommended that the restriction need not refer to menopausal status.</w:t>
      </w:r>
      <w:r>
        <w:rPr>
          <w:szCs w:val="22"/>
        </w:rPr>
        <w:t xml:space="preserve"> The relevant amendments were effective from 1 March 2015.</w:t>
      </w:r>
    </w:p>
    <w:p w:rsidR="006A12A5" w:rsidRPr="00882085" w:rsidRDefault="006A12A5" w:rsidP="00882085">
      <w:pPr>
        <w:pStyle w:val="ListParagraph"/>
        <w:rPr>
          <w:szCs w:val="22"/>
        </w:rPr>
      </w:pPr>
    </w:p>
    <w:p w:rsidR="00BB7EC3" w:rsidRPr="00967C2E" w:rsidRDefault="00967C2E" w:rsidP="008A50F1">
      <w:pPr>
        <w:pStyle w:val="ListParagraph"/>
        <w:numPr>
          <w:ilvl w:val="1"/>
          <w:numId w:val="5"/>
        </w:numPr>
        <w:rPr>
          <w:szCs w:val="22"/>
        </w:rPr>
      </w:pPr>
      <w:r>
        <w:rPr>
          <w:szCs w:val="22"/>
        </w:rPr>
        <w:t>At the December 2014 special meeting, as part of</w:t>
      </w:r>
      <w:r w:rsidR="00322EDE">
        <w:rPr>
          <w:szCs w:val="22"/>
        </w:rPr>
        <w:t xml:space="preserve"> its consideration of the Post</w:t>
      </w:r>
      <w:r w:rsidR="00322EDE">
        <w:rPr>
          <w:szCs w:val="22"/>
        </w:rPr>
        <w:noBreakHyphen/>
      </w:r>
      <w:r>
        <w:rPr>
          <w:szCs w:val="22"/>
        </w:rPr>
        <w:t xml:space="preserve">Market Review of Authority listings, the PBAC recommended that goserelin be listed </w:t>
      </w:r>
      <w:r w:rsidRPr="00967C2E">
        <w:rPr>
          <w:szCs w:val="22"/>
        </w:rPr>
        <w:t>as a Restricted Benefit.</w:t>
      </w:r>
    </w:p>
    <w:p w:rsidR="00967C2E" w:rsidRPr="00967C2E" w:rsidRDefault="00967C2E" w:rsidP="00967C2E">
      <w:pPr>
        <w:pStyle w:val="ListParagraph"/>
        <w:rPr>
          <w:szCs w:val="22"/>
        </w:rPr>
      </w:pPr>
    </w:p>
    <w:p w:rsidR="00BB7EC3" w:rsidRDefault="00967C2E" w:rsidP="00882085">
      <w:pPr>
        <w:pStyle w:val="ListParagraph"/>
        <w:widowControl/>
        <w:numPr>
          <w:ilvl w:val="1"/>
          <w:numId w:val="5"/>
        </w:numPr>
        <w:rPr>
          <w:szCs w:val="22"/>
        </w:rPr>
      </w:pPr>
      <w:r>
        <w:rPr>
          <w:szCs w:val="22"/>
        </w:rPr>
        <w:t>At the March</w:t>
      </w:r>
      <w:r w:rsidRPr="00967C2E">
        <w:rPr>
          <w:szCs w:val="22"/>
        </w:rPr>
        <w:t xml:space="preserve"> 2015 </w:t>
      </w:r>
      <w:r>
        <w:rPr>
          <w:szCs w:val="22"/>
        </w:rPr>
        <w:t xml:space="preserve">meeting, </w:t>
      </w:r>
      <w:r w:rsidRPr="00967C2E">
        <w:rPr>
          <w:szCs w:val="22"/>
        </w:rPr>
        <w:t xml:space="preserve">the PBAC </w:t>
      </w:r>
      <w:r>
        <w:rPr>
          <w:szCs w:val="22"/>
        </w:rPr>
        <w:t>recommended that the restriction for goserelin implant 3.6 mg</w:t>
      </w:r>
      <w:r w:rsidRPr="00967C2E">
        <w:rPr>
          <w:szCs w:val="22"/>
        </w:rPr>
        <w:t xml:space="preserve"> be amended to </w:t>
      </w:r>
      <w:r>
        <w:rPr>
          <w:szCs w:val="22"/>
        </w:rPr>
        <w:t xml:space="preserve">enable the treatment of </w:t>
      </w:r>
      <w:r w:rsidRPr="00967C2E">
        <w:rPr>
          <w:szCs w:val="22"/>
        </w:rPr>
        <w:t xml:space="preserve">hormone </w:t>
      </w:r>
      <w:r>
        <w:rPr>
          <w:szCs w:val="22"/>
        </w:rPr>
        <w:t>receptor positive</w:t>
      </w:r>
      <w:r w:rsidRPr="00967C2E">
        <w:rPr>
          <w:szCs w:val="22"/>
        </w:rPr>
        <w:t xml:space="preserve"> breast cancer without restriction to cancer stage or chemotherapy use</w:t>
      </w:r>
      <w:r w:rsidR="001456A2">
        <w:rPr>
          <w:szCs w:val="22"/>
        </w:rPr>
        <w:t xml:space="preserve"> (March 2015 12.01)</w:t>
      </w:r>
      <w:r w:rsidRPr="00967C2E">
        <w:rPr>
          <w:szCs w:val="22"/>
        </w:rPr>
        <w:t>.</w:t>
      </w:r>
    </w:p>
    <w:p w:rsidR="00F03E2C" w:rsidRDefault="00F03E2C" w:rsidP="00176EFD">
      <w:pPr>
        <w:pStyle w:val="ListParagraph"/>
        <w:rPr>
          <w:szCs w:val="22"/>
        </w:rPr>
      </w:pPr>
    </w:p>
    <w:p w:rsidR="00F03E2C" w:rsidRDefault="00F03E2C" w:rsidP="00F03E2C">
      <w:pPr>
        <w:pStyle w:val="ListParagraph"/>
        <w:ind w:left="709"/>
        <w:rPr>
          <w:i/>
          <w:szCs w:val="22"/>
        </w:rPr>
      </w:pPr>
      <w:r w:rsidRPr="005F2BB5">
        <w:rPr>
          <w:i/>
          <w:szCs w:val="22"/>
        </w:rPr>
        <w:t>For more detail on PBAC’s view, see section 7 “PBAC outcome”</w:t>
      </w:r>
      <w:r w:rsidR="00DD004A">
        <w:rPr>
          <w:i/>
          <w:szCs w:val="22"/>
        </w:rPr>
        <w:t>.</w:t>
      </w:r>
    </w:p>
    <w:p w:rsidR="00F03E2C" w:rsidRPr="00B73EEF" w:rsidRDefault="00F03E2C" w:rsidP="00176EFD">
      <w:pPr>
        <w:pStyle w:val="ListParagraph"/>
        <w:widowControl/>
        <w:rPr>
          <w:szCs w:val="22"/>
        </w:rPr>
      </w:pPr>
    </w:p>
    <w:p w:rsidR="008A1956" w:rsidRPr="00882085" w:rsidRDefault="008A1956" w:rsidP="00882085">
      <w:pPr>
        <w:jc w:val="both"/>
        <w:rPr>
          <w:rFonts w:ascii="Arial" w:hAnsi="Arial"/>
          <w:b/>
          <w:sz w:val="22"/>
          <w:szCs w:val="22"/>
        </w:rPr>
      </w:pPr>
    </w:p>
    <w:p w:rsidR="00CE10C4" w:rsidRPr="00C603D4" w:rsidRDefault="00CE10C4" w:rsidP="00970B87">
      <w:pPr>
        <w:pStyle w:val="PBACHeading1"/>
        <w:keepNext/>
      </w:pPr>
      <w:r w:rsidRPr="00C603D4">
        <w:t>Clinical place for the proposed ther</w:t>
      </w:r>
      <w:r w:rsidR="006A12A5" w:rsidRPr="00C603D4">
        <w:t>apy</w:t>
      </w:r>
    </w:p>
    <w:p w:rsidR="00CE10C4" w:rsidRPr="00882085" w:rsidRDefault="00CE10C4" w:rsidP="00970B87">
      <w:pPr>
        <w:keepNext/>
        <w:jc w:val="both"/>
        <w:rPr>
          <w:rFonts w:ascii="Arial" w:hAnsi="Arial"/>
          <w:sz w:val="22"/>
          <w:szCs w:val="22"/>
        </w:rPr>
      </w:pPr>
    </w:p>
    <w:p w:rsidR="00BB7EC3" w:rsidRDefault="001456A2" w:rsidP="00970B87">
      <w:pPr>
        <w:pStyle w:val="ListParagraph"/>
        <w:keepNext/>
        <w:numPr>
          <w:ilvl w:val="1"/>
          <w:numId w:val="5"/>
        </w:numPr>
        <w:rPr>
          <w:szCs w:val="22"/>
        </w:rPr>
      </w:pPr>
      <w:r>
        <w:rPr>
          <w:szCs w:val="22"/>
        </w:rPr>
        <w:t>The submission propose</w:t>
      </w:r>
      <w:r w:rsidR="003C5972">
        <w:rPr>
          <w:szCs w:val="22"/>
        </w:rPr>
        <w:t>d</w:t>
      </w:r>
      <w:r>
        <w:rPr>
          <w:szCs w:val="22"/>
        </w:rPr>
        <w:t xml:space="preserve"> that the restriction for goserelin be amended to enable women with hormone receptor negative breast cancers to access treatment in order to reduce chemotherapy-induced menopause. The submission </w:t>
      </w:r>
      <w:r w:rsidR="00B33D7C">
        <w:rPr>
          <w:szCs w:val="22"/>
        </w:rPr>
        <w:t xml:space="preserve">indicated </w:t>
      </w:r>
      <w:r>
        <w:rPr>
          <w:szCs w:val="22"/>
        </w:rPr>
        <w:t xml:space="preserve">that this treatment is endorsed by the US National Comprehensive Cancer Network and in the St Gallen </w:t>
      </w:r>
      <w:r w:rsidRPr="001456A2">
        <w:rPr>
          <w:i/>
          <w:szCs w:val="22"/>
        </w:rPr>
        <w:t>Guidelines on Primary Therapy for Early Breast Cancer</w:t>
      </w:r>
      <w:r>
        <w:rPr>
          <w:szCs w:val="22"/>
        </w:rPr>
        <w:t>.</w:t>
      </w:r>
    </w:p>
    <w:p w:rsidR="00F359E4" w:rsidRDefault="00F359E4" w:rsidP="00176EFD">
      <w:pPr>
        <w:pStyle w:val="ListParagraph"/>
        <w:rPr>
          <w:szCs w:val="22"/>
        </w:rPr>
      </w:pPr>
    </w:p>
    <w:p w:rsidR="00F03E2C" w:rsidRPr="00176EFD" w:rsidRDefault="00F359E4" w:rsidP="00176EFD">
      <w:pPr>
        <w:pStyle w:val="ListParagraph"/>
        <w:numPr>
          <w:ilvl w:val="1"/>
          <w:numId w:val="5"/>
        </w:numPr>
      </w:pPr>
      <w:r>
        <w:rPr>
          <w:szCs w:val="22"/>
        </w:rPr>
        <w:t xml:space="preserve">The PBAC considered that </w:t>
      </w:r>
      <w:r w:rsidR="003C5972">
        <w:rPr>
          <w:szCs w:val="22"/>
        </w:rPr>
        <w:t xml:space="preserve">it was appropriate for women undergoing chemotherapy that may affect fertility to access treatments that can reduce </w:t>
      </w:r>
      <w:r>
        <w:rPr>
          <w:szCs w:val="22"/>
        </w:rPr>
        <w:t>the</w:t>
      </w:r>
      <w:r w:rsidR="003C5972">
        <w:rPr>
          <w:szCs w:val="22"/>
        </w:rPr>
        <w:t xml:space="preserve"> risk of chemotherapy-induced menopause. However, the PBAC considered that the</w:t>
      </w:r>
      <w:r>
        <w:rPr>
          <w:szCs w:val="22"/>
        </w:rPr>
        <w:t xml:space="preserve"> </w:t>
      </w:r>
      <w:r w:rsidR="00DE6A9B">
        <w:rPr>
          <w:szCs w:val="22"/>
        </w:rPr>
        <w:t xml:space="preserve">type of cancer was unlikely to </w:t>
      </w:r>
      <w:r w:rsidR="003C5972">
        <w:rPr>
          <w:szCs w:val="22"/>
        </w:rPr>
        <w:t>influence</w:t>
      </w:r>
      <w:r w:rsidR="00DE6A9B">
        <w:rPr>
          <w:szCs w:val="22"/>
        </w:rPr>
        <w:t xml:space="preserve"> the </w:t>
      </w:r>
      <w:r>
        <w:rPr>
          <w:szCs w:val="22"/>
        </w:rPr>
        <w:t xml:space="preserve">efficacy </w:t>
      </w:r>
      <w:r w:rsidR="00DE6A9B">
        <w:rPr>
          <w:szCs w:val="22"/>
        </w:rPr>
        <w:t>of</w:t>
      </w:r>
      <w:r>
        <w:rPr>
          <w:szCs w:val="22"/>
        </w:rPr>
        <w:t xml:space="preserve"> goserelin </w:t>
      </w:r>
      <w:r w:rsidR="00B33D7C">
        <w:rPr>
          <w:szCs w:val="22"/>
        </w:rPr>
        <w:t xml:space="preserve">in </w:t>
      </w:r>
      <w:r w:rsidR="00DE6A9B">
        <w:rPr>
          <w:szCs w:val="22"/>
        </w:rPr>
        <w:t>preserving</w:t>
      </w:r>
      <w:r>
        <w:rPr>
          <w:szCs w:val="22"/>
        </w:rPr>
        <w:t xml:space="preserve"> </w:t>
      </w:r>
      <w:r w:rsidR="00B33D7C">
        <w:rPr>
          <w:szCs w:val="22"/>
        </w:rPr>
        <w:t xml:space="preserve">fertility </w:t>
      </w:r>
      <w:r>
        <w:rPr>
          <w:szCs w:val="22"/>
        </w:rPr>
        <w:t>and therefore considered that it may not be reasonable or equitable to restrict the place in therapy to women with breast cancer only.</w:t>
      </w:r>
      <w:r w:rsidR="002A096D">
        <w:rPr>
          <w:szCs w:val="22"/>
        </w:rPr>
        <w:t xml:space="preserve"> </w:t>
      </w:r>
    </w:p>
    <w:p w:rsidR="003C5972" w:rsidRDefault="003C5972" w:rsidP="00176EFD">
      <w:pPr>
        <w:pStyle w:val="ListParagraph"/>
        <w:ind w:left="0"/>
      </w:pPr>
    </w:p>
    <w:p w:rsidR="00F03E2C" w:rsidRPr="00176EFD" w:rsidRDefault="00F03E2C" w:rsidP="00176EFD">
      <w:pPr>
        <w:pStyle w:val="ListParagraph"/>
        <w:ind w:left="709"/>
        <w:rPr>
          <w:i/>
          <w:szCs w:val="22"/>
        </w:rPr>
      </w:pPr>
      <w:r w:rsidRPr="005F2BB5">
        <w:rPr>
          <w:i/>
          <w:szCs w:val="22"/>
        </w:rPr>
        <w:t>For more detail on PBAC’s view, see section 7 “PBAC outcome”</w:t>
      </w:r>
      <w:r w:rsidR="00DD004A">
        <w:rPr>
          <w:i/>
          <w:szCs w:val="22"/>
        </w:rPr>
        <w:t>.</w:t>
      </w:r>
    </w:p>
    <w:p w:rsidR="008A1956" w:rsidRDefault="008A1956" w:rsidP="00882085">
      <w:pPr>
        <w:pStyle w:val="Header"/>
        <w:tabs>
          <w:tab w:val="clear" w:pos="4153"/>
          <w:tab w:val="clear" w:pos="8306"/>
        </w:tabs>
        <w:jc w:val="both"/>
        <w:rPr>
          <w:rFonts w:ascii="Arial" w:hAnsi="Arial"/>
          <w:sz w:val="22"/>
          <w:szCs w:val="22"/>
        </w:rPr>
      </w:pPr>
    </w:p>
    <w:p w:rsidR="00FD2575" w:rsidRPr="00882085" w:rsidRDefault="00FD2575" w:rsidP="00882085">
      <w:pPr>
        <w:pStyle w:val="Header"/>
        <w:tabs>
          <w:tab w:val="clear" w:pos="4153"/>
          <w:tab w:val="clear" w:pos="8306"/>
        </w:tabs>
        <w:jc w:val="both"/>
        <w:rPr>
          <w:rFonts w:ascii="Arial" w:hAnsi="Arial"/>
          <w:sz w:val="22"/>
          <w:szCs w:val="22"/>
        </w:rPr>
      </w:pPr>
    </w:p>
    <w:p w:rsidR="005A3173" w:rsidRPr="00882085" w:rsidRDefault="005A3173" w:rsidP="008A50F1">
      <w:pPr>
        <w:pStyle w:val="PBACHeading1"/>
      </w:pPr>
      <w:r w:rsidRPr="00882085">
        <w:t>Comparator</w:t>
      </w:r>
    </w:p>
    <w:p w:rsidR="005A3173" w:rsidRPr="00882085" w:rsidRDefault="005A3173" w:rsidP="00882085">
      <w:pPr>
        <w:pStyle w:val="Header"/>
        <w:tabs>
          <w:tab w:val="clear" w:pos="4153"/>
          <w:tab w:val="clear" w:pos="8306"/>
        </w:tabs>
        <w:jc w:val="both"/>
        <w:rPr>
          <w:rFonts w:ascii="Arial" w:hAnsi="Arial"/>
          <w:b/>
          <w:sz w:val="22"/>
          <w:szCs w:val="22"/>
        </w:rPr>
      </w:pPr>
    </w:p>
    <w:p w:rsidR="00476245" w:rsidRPr="00882085" w:rsidRDefault="00FF2801" w:rsidP="00BC1B10">
      <w:pPr>
        <w:pStyle w:val="ListParagraph"/>
        <w:numPr>
          <w:ilvl w:val="1"/>
          <w:numId w:val="5"/>
        </w:numPr>
        <w:rPr>
          <w:szCs w:val="22"/>
        </w:rPr>
      </w:pPr>
      <w:r w:rsidRPr="00BC1B10">
        <w:rPr>
          <w:szCs w:val="22"/>
        </w:rPr>
        <w:t xml:space="preserve">The minor submission </w:t>
      </w:r>
      <w:r w:rsidR="001456A2" w:rsidRPr="00BC1B10">
        <w:rPr>
          <w:szCs w:val="22"/>
        </w:rPr>
        <w:t>did not nominate a comparator for the clinical evidence.</w:t>
      </w:r>
    </w:p>
    <w:p w:rsidR="008A1956" w:rsidRPr="00BC1B10" w:rsidRDefault="008A1956" w:rsidP="00A91C5F">
      <w:pPr>
        <w:pStyle w:val="ListParagraph"/>
        <w:rPr>
          <w:szCs w:val="22"/>
        </w:rPr>
      </w:pPr>
    </w:p>
    <w:p w:rsidR="00C10073" w:rsidRDefault="00C10073">
      <w:pPr>
        <w:rPr>
          <w:rFonts w:ascii="Arial" w:hAnsi="Arial"/>
          <w:sz w:val="22"/>
          <w:szCs w:val="22"/>
        </w:rPr>
      </w:pPr>
      <w:r>
        <w:rPr>
          <w:rFonts w:ascii="Arial" w:hAnsi="Arial"/>
          <w:sz w:val="22"/>
          <w:szCs w:val="22"/>
        </w:rPr>
        <w:br w:type="page"/>
      </w:r>
    </w:p>
    <w:p w:rsidR="000B558D" w:rsidRDefault="008D7A41" w:rsidP="008A50F1">
      <w:pPr>
        <w:pStyle w:val="PBACHeading1"/>
      </w:pPr>
      <w:r>
        <w:lastRenderedPageBreak/>
        <w:t>C</w:t>
      </w:r>
      <w:r w:rsidR="00D84934">
        <w:t>onsideration of the evidence</w:t>
      </w:r>
    </w:p>
    <w:p w:rsidR="003C5972" w:rsidRDefault="003C5972" w:rsidP="009F21A2">
      <w:pPr>
        <w:widowControl w:val="0"/>
        <w:spacing w:line="276" w:lineRule="auto"/>
        <w:jc w:val="both"/>
        <w:rPr>
          <w:rFonts w:ascii="Arial" w:hAnsi="Arial" w:cs="Arial"/>
          <w:b/>
          <w:bCs/>
          <w:i/>
          <w:snapToGrid w:val="0"/>
          <w:sz w:val="22"/>
          <w:szCs w:val="22"/>
        </w:rPr>
      </w:pPr>
    </w:p>
    <w:p w:rsidR="00F03E2C" w:rsidRDefault="00F03E2C" w:rsidP="009F21A2">
      <w:pPr>
        <w:pStyle w:val="Heading2"/>
      </w:pPr>
      <w:r w:rsidRPr="009F21A2">
        <w:t>Sponsor hearing</w:t>
      </w:r>
    </w:p>
    <w:p w:rsidR="009F21A2" w:rsidRPr="009F21A2" w:rsidRDefault="009F21A2" w:rsidP="009F21A2"/>
    <w:p w:rsidR="00F03E2C" w:rsidRPr="00176EFD" w:rsidRDefault="00F03E2C" w:rsidP="00176EFD">
      <w:pPr>
        <w:widowControl w:val="0"/>
        <w:numPr>
          <w:ilvl w:val="1"/>
          <w:numId w:val="5"/>
        </w:numPr>
        <w:contextualSpacing/>
        <w:jc w:val="both"/>
        <w:rPr>
          <w:rFonts w:ascii="Arial" w:hAnsi="Arial" w:cs="Arial"/>
          <w:bCs/>
          <w:snapToGrid w:val="0"/>
          <w:sz w:val="22"/>
          <w:szCs w:val="22"/>
        </w:rPr>
      </w:pPr>
      <w:r w:rsidRPr="00176EFD">
        <w:rPr>
          <w:rFonts w:ascii="Arial" w:hAnsi="Arial" w:cs="Arial"/>
          <w:bCs/>
          <w:snapToGrid w:val="0"/>
          <w:sz w:val="22"/>
          <w:szCs w:val="22"/>
        </w:rPr>
        <w:t>There was no hearing for this item as it was a minor su</w:t>
      </w:r>
      <w:r w:rsidR="00262C86" w:rsidRPr="00176EFD">
        <w:rPr>
          <w:rFonts w:ascii="Arial" w:hAnsi="Arial" w:cs="Arial"/>
          <w:bCs/>
          <w:snapToGrid w:val="0"/>
          <w:sz w:val="22"/>
          <w:szCs w:val="22"/>
        </w:rPr>
        <w:t>bmission.</w:t>
      </w:r>
    </w:p>
    <w:p w:rsidR="00F03E2C" w:rsidRPr="00176EFD" w:rsidRDefault="00F03E2C" w:rsidP="00176EFD">
      <w:pPr>
        <w:jc w:val="both"/>
        <w:rPr>
          <w:rFonts w:ascii="Arial" w:hAnsi="Arial" w:cs="Arial"/>
          <w:bCs/>
          <w:snapToGrid w:val="0"/>
          <w:sz w:val="22"/>
          <w:szCs w:val="22"/>
        </w:rPr>
      </w:pPr>
    </w:p>
    <w:p w:rsidR="00F03E2C" w:rsidRDefault="00F03E2C" w:rsidP="009F21A2">
      <w:pPr>
        <w:pStyle w:val="Heading2"/>
      </w:pPr>
      <w:r w:rsidRPr="009F21A2">
        <w:t>Consumer comments</w:t>
      </w:r>
    </w:p>
    <w:p w:rsidR="009F21A2" w:rsidRPr="009F21A2" w:rsidRDefault="009F21A2" w:rsidP="009F21A2"/>
    <w:p w:rsidR="00F03E2C" w:rsidRPr="00176EFD" w:rsidRDefault="00F03E2C" w:rsidP="00176EFD">
      <w:pPr>
        <w:widowControl w:val="0"/>
        <w:numPr>
          <w:ilvl w:val="1"/>
          <w:numId w:val="5"/>
        </w:numPr>
        <w:contextualSpacing/>
        <w:jc w:val="both"/>
        <w:rPr>
          <w:rFonts w:ascii="Arial" w:hAnsi="Arial" w:cs="Arial"/>
          <w:bCs/>
          <w:snapToGrid w:val="0"/>
          <w:sz w:val="22"/>
          <w:szCs w:val="22"/>
        </w:rPr>
      </w:pPr>
      <w:r w:rsidRPr="00176EFD">
        <w:rPr>
          <w:rFonts w:ascii="Arial" w:hAnsi="Arial" w:cs="Arial"/>
          <w:bCs/>
          <w:snapToGrid w:val="0"/>
          <w:sz w:val="22"/>
          <w:szCs w:val="22"/>
        </w:rPr>
        <w:t xml:space="preserve">The PBAC </w:t>
      </w:r>
      <w:r w:rsidR="00262C86" w:rsidRPr="00176EFD">
        <w:rPr>
          <w:rFonts w:ascii="Arial" w:hAnsi="Arial" w:cs="Arial"/>
          <w:bCs/>
          <w:snapToGrid w:val="0"/>
          <w:sz w:val="22"/>
          <w:szCs w:val="22"/>
        </w:rPr>
        <w:t xml:space="preserve">noted </w:t>
      </w:r>
      <w:r w:rsidR="00FD2575">
        <w:rPr>
          <w:rFonts w:ascii="Arial" w:hAnsi="Arial" w:cs="Arial"/>
          <w:bCs/>
          <w:snapToGrid w:val="0"/>
          <w:sz w:val="22"/>
          <w:szCs w:val="22"/>
        </w:rPr>
        <w:t xml:space="preserve">and welcomed </w:t>
      </w:r>
      <w:r w:rsidR="00262C86" w:rsidRPr="00176EFD">
        <w:rPr>
          <w:rFonts w:ascii="Arial" w:hAnsi="Arial" w:cs="Arial"/>
          <w:bCs/>
          <w:snapToGrid w:val="0"/>
          <w:sz w:val="22"/>
          <w:szCs w:val="22"/>
        </w:rPr>
        <w:t xml:space="preserve">the </w:t>
      </w:r>
      <w:r w:rsidR="00FD2575">
        <w:rPr>
          <w:rFonts w:ascii="Arial" w:hAnsi="Arial" w:cs="Arial"/>
          <w:bCs/>
          <w:snapToGrid w:val="0"/>
          <w:sz w:val="22"/>
          <w:szCs w:val="22"/>
        </w:rPr>
        <w:t xml:space="preserve">input </w:t>
      </w:r>
      <w:r w:rsidR="00262C86" w:rsidRPr="00176EFD">
        <w:rPr>
          <w:rFonts w:ascii="Arial" w:hAnsi="Arial" w:cs="Arial"/>
          <w:bCs/>
          <w:snapToGrid w:val="0"/>
          <w:sz w:val="22"/>
          <w:szCs w:val="22"/>
        </w:rPr>
        <w:t xml:space="preserve">received from </w:t>
      </w:r>
      <w:r w:rsidR="00FD2575">
        <w:rPr>
          <w:rFonts w:ascii="Arial" w:hAnsi="Arial" w:cs="Arial"/>
          <w:bCs/>
          <w:snapToGrid w:val="0"/>
          <w:sz w:val="22"/>
          <w:szCs w:val="22"/>
        </w:rPr>
        <w:t xml:space="preserve">the </w:t>
      </w:r>
      <w:r w:rsidR="00262C86" w:rsidRPr="00176EFD">
        <w:rPr>
          <w:rFonts w:ascii="Arial" w:hAnsi="Arial" w:cs="Arial"/>
          <w:bCs/>
          <w:snapToGrid w:val="0"/>
          <w:sz w:val="22"/>
          <w:szCs w:val="22"/>
        </w:rPr>
        <w:t xml:space="preserve">Breast Cancer Network Australia </w:t>
      </w:r>
      <w:r w:rsidR="00FD2575">
        <w:rPr>
          <w:rFonts w:ascii="Arial" w:hAnsi="Arial" w:cs="Arial"/>
          <w:bCs/>
          <w:snapToGrid w:val="0"/>
          <w:sz w:val="22"/>
          <w:szCs w:val="22"/>
        </w:rPr>
        <w:t xml:space="preserve">via the Consumer Comments facility on the PBS website. The comments </w:t>
      </w:r>
      <w:r w:rsidR="00262C86" w:rsidRPr="00176EFD">
        <w:rPr>
          <w:rFonts w:ascii="Arial" w:hAnsi="Arial" w:cs="Arial"/>
          <w:bCs/>
          <w:snapToGrid w:val="0"/>
          <w:sz w:val="22"/>
          <w:szCs w:val="22"/>
        </w:rPr>
        <w:t>support</w:t>
      </w:r>
      <w:r w:rsidR="00FD2575">
        <w:rPr>
          <w:rFonts w:ascii="Arial" w:hAnsi="Arial" w:cs="Arial"/>
          <w:bCs/>
          <w:snapToGrid w:val="0"/>
          <w:sz w:val="22"/>
          <w:szCs w:val="22"/>
        </w:rPr>
        <w:t>ed</w:t>
      </w:r>
      <w:r w:rsidR="00262C86" w:rsidRPr="00176EFD">
        <w:rPr>
          <w:rFonts w:ascii="Arial" w:hAnsi="Arial" w:cs="Arial"/>
          <w:bCs/>
          <w:snapToGrid w:val="0"/>
          <w:sz w:val="22"/>
          <w:szCs w:val="22"/>
        </w:rPr>
        <w:t xml:space="preserve"> making goserelin available to premenopausal women with hormone receptor negative breast cancer</w:t>
      </w:r>
      <w:r w:rsidR="00FD2575">
        <w:rPr>
          <w:rFonts w:ascii="Arial" w:hAnsi="Arial" w:cs="Arial"/>
          <w:bCs/>
          <w:snapToGrid w:val="0"/>
          <w:sz w:val="22"/>
          <w:szCs w:val="22"/>
        </w:rPr>
        <w:t xml:space="preserve"> who are</w:t>
      </w:r>
      <w:r w:rsidR="00262C86" w:rsidRPr="00176EFD">
        <w:rPr>
          <w:rFonts w:ascii="Arial" w:hAnsi="Arial" w:cs="Arial"/>
          <w:bCs/>
          <w:snapToGrid w:val="0"/>
          <w:sz w:val="22"/>
          <w:szCs w:val="22"/>
        </w:rPr>
        <w:t xml:space="preserve"> undergoing chemotherapy.</w:t>
      </w:r>
      <w:r w:rsidRPr="00176EFD">
        <w:rPr>
          <w:rFonts w:ascii="Arial" w:hAnsi="Arial" w:cs="Arial"/>
          <w:bCs/>
          <w:snapToGrid w:val="0"/>
          <w:sz w:val="22"/>
          <w:szCs w:val="22"/>
        </w:rPr>
        <w:t xml:space="preserve"> The PBAC specifically noted the advice that </w:t>
      </w:r>
      <w:r w:rsidR="00262C86" w:rsidRPr="00176EFD">
        <w:rPr>
          <w:rFonts w:ascii="Arial" w:hAnsi="Arial" w:cs="Arial"/>
          <w:bCs/>
          <w:snapToGrid w:val="0"/>
          <w:sz w:val="22"/>
          <w:szCs w:val="22"/>
        </w:rPr>
        <w:t>preservation of fertility is very important to many premenopausal women who may wish to start or grow their family, and may otherwise become infertile as a result of their treatment.</w:t>
      </w:r>
    </w:p>
    <w:p w:rsidR="00BB7EC3" w:rsidRDefault="00BB7EC3" w:rsidP="00F9629A">
      <w:pPr>
        <w:jc w:val="both"/>
        <w:rPr>
          <w:rFonts w:ascii="Arial" w:hAnsi="Arial"/>
          <w:sz w:val="22"/>
          <w:szCs w:val="22"/>
        </w:rPr>
      </w:pPr>
    </w:p>
    <w:p w:rsidR="00D84934" w:rsidRPr="00882085" w:rsidRDefault="00D84934" w:rsidP="00B1059E">
      <w:pPr>
        <w:pStyle w:val="Heading2"/>
      </w:pPr>
      <w:r>
        <w:t>Clinical trials</w:t>
      </w:r>
    </w:p>
    <w:p w:rsidR="00D84934" w:rsidRPr="00F9629A" w:rsidRDefault="00D84934" w:rsidP="00F9629A">
      <w:pPr>
        <w:jc w:val="both"/>
        <w:rPr>
          <w:rFonts w:ascii="Arial" w:hAnsi="Arial"/>
          <w:sz w:val="22"/>
          <w:szCs w:val="22"/>
        </w:rPr>
      </w:pPr>
    </w:p>
    <w:p w:rsidR="0076420C" w:rsidRPr="00176EFD" w:rsidRDefault="001456A2" w:rsidP="00176EFD">
      <w:pPr>
        <w:widowControl w:val="0"/>
        <w:numPr>
          <w:ilvl w:val="1"/>
          <w:numId w:val="5"/>
        </w:numPr>
        <w:contextualSpacing/>
        <w:jc w:val="both"/>
        <w:rPr>
          <w:rFonts w:ascii="Arial" w:hAnsi="Arial" w:cs="Arial"/>
          <w:bCs/>
          <w:snapToGrid w:val="0"/>
          <w:sz w:val="22"/>
          <w:szCs w:val="22"/>
        </w:rPr>
      </w:pPr>
      <w:r w:rsidRPr="00176EFD">
        <w:rPr>
          <w:rFonts w:ascii="Arial" w:hAnsi="Arial" w:cs="Arial"/>
          <w:bCs/>
          <w:snapToGrid w:val="0"/>
          <w:sz w:val="22"/>
          <w:szCs w:val="22"/>
        </w:rPr>
        <w:t>The submission referred to one clinical trial and one meta-analysis</w:t>
      </w:r>
      <w:r w:rsidR="003C5972" w:rsidRPr="00176EFD">
        <w:rPr>
          <w:rFonts w:ascii="Arial" w:hAnsi="Arial" w:cs="Arial"/>
          <w:bCs/>
          <w:snapToGrid w:val="0"/>
          <w:sz w:val="22"/>
          <w:szCs w:val="22"/>
        </w:rPr>
        <w:t xml:space="preserve"> </w:t>
      </w:r>
      <w:r w:rsidR="00FD2575">
        <w:rPr>
          <w:rFonts w:ascii="Arial" w:hAnsi="Arial" w:cs="Arial"/>
          <w:bCs/>
          <w:snapToGrid w:val="0"/>
          <w:sz w:val="22"/>
          <w:szCs w:val="22"/>
        </w:rPr>
        <w:t>(see</w:t>
      </w:r>
      <w:r w:rsidR="003C5972" w:rsidRPr="00176EFD">
        <w:rPr>
          <w:rFonts w:ascii="Arial" w:hAnsi="Arial" w:cs="Arial"/>
          <w:bCs/>
          <w:snapToGrid w:val="0"/>
          <w:sz w:val="22"/>
          <w:szCs w:val="22"/>
        </w:rPr>
        <w:t xml:space="preserve"> Table 1</w:t>
      </w:r>
      <w:r w:rsidR="00FD2575">
        <w:rPr>
          <w:rFonts w:ascii="Arial" w:hAnsi="Arial" w:cs="Arial"/>
          <w:bCs/>
          <w:snapToGrid w:val="0"/>
          <w:sz w:val="22"/>
          <w:szCs w:val="22"/>
        </w:rPr>
        <w:t>)</w:t>
      </w:r>
      <w:r w:rsidRPr="00176EFD">
        <w:rPr>
          <w:rFonts w:ascii="Arial" w:hAnsi="Arial" w:cs="Arial"/>
          <w:bCs/>
          <w:snapToGrid w:val="0"/>
          <w:sz w:val="22"/>
          <w:szCs w:val="22"/>
        </w:rPr>
        <w:t>.</w:t>
      </w:r>
    </w:p>
    <w:p w:rsidR="0076420C" w:rsidRDefault="0076420C" w:rsidP="0076420C">
      <w:pPr>
        <w:ind w:left="709"/>
        <w:jc w:val="both"/>
        <w:rPr>
          <w:rFonts w:ascii="Arial" w:hAnsi="Arial"/>
          <w:sz w:val="22"/>
          <w:szCs w:val="22"/>
        </w:rPr>
      </w:pPr>
    </w:p>
    <w:p w:rsidR="0076420C" w:rsidRPr="00D84934" w:rsidRDefault="003C5972" w:rsidP="00D84934">
      <w:pPr>
        <w:pStyle w:val="NoSpacing"/>
        <w:ind w:left="709"/>
        <w:rPr>
          <w:rFonts w:ascii="Arial Narrow" w:hAnsi="Arial Narrow"/>
          <w:b/>
          <w:sz w:val="20"/>
        </w:rPr>
      </w:pPr>
      <w:r>
        <w:rPr>
          <w:rFonts w:ascii="Arial Narrow" w:hAnsi="Arial Narrow"/>
          <w:b/>
          <w:sz w:val="20"/>
        </w:rPr>
        <w:t>Table 1</w:t>
      </w:r>
      <w:r w:rsidR="00FD2575">
        <w:rPr>
          <w:rFonts w:ascii="Arial Narrow" w:hAnsi="Arial Narrow"/>
          <w:b/>
          <w:sz w:val="20"/>
        </w:rPr>
        <w:t>:</w:t>
      </w:r>
      <w:r>
        <w:rPr>
          <w:rFonts w:ascii="Arial Narrow" w:hAnsi="Arial Narrow"/>
          <w:b/>
          <w:sz w:val="20"/>
        </w:rPr>
        <w:t xml:space="preserve"> </w:t>
      </w:r>
      <w:r w:rsidR="0076420C" w:rsidRPr="00D84934">
        <w:rPr>
          <w:rFonts w:ascii="Arial Narrow" w:hAnsi="Arial Narrow"/>
          <w:b/>
          <w:sz w:val="20"/>
        </w:rPr>
        <w:t>Trials and associated reports presented in the re-submission</w:t>
      </w:r>
    </w:p>
    <w:tbl>
      <w:tblPr>
        <w:tblW w:w="8364"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4820"/>
        <w:gridCol w:w="1843"/>
      </w:tblGrid>
      <w:tr w:rsidR="0076420C" w:rsidRPr="005838CB" w:rsidTr="00C27B58">
        <w:trPr>
          <w:cantSplit/>
          <w:tblHeader/>
        </w:trPr>
        <w:tc>
          <w:tcPr>
            <w:tcW w:w="1701" w:type="dxa"/>
          </w:tcPr>
          <w:p w:rsidR="0076420C" w:rsidRPr="005838CB" w:rsidRDefault="0076420C" w:rsidP="00D84934">
            <w:pPr>
              <w:pStyle w:val="NoSpacing"/>
              <w:rPr>
                <w:rFonts w:ascii="Arial Narrow" w:hAnsi="Arial Narrow"/>
                <w:b/>
                <w:sz w:val="20"/>
              </w:rPr>
            </w:pPr>
            <w:r w:rsidRPr="005838CB">
              <w:rPr>
                <w:rFonts w:ascii="Arial Narrow" w:hAnsi="Arial Narrow"/>
                <w:b/>
                <w:sz w:val="20"/>
              </w:rPr>
              <w:t>Trial ID</w:t>
            </w:r>
          </w:p>
        </w:tc>
        <w:tc>
          <w:tcPr>
            <w:tcW w:w="4820" w:type="dxa"/>
          </w:tcPr>
          <w:p w:rsidR="0076420C" w:rsidRPr="005838CB" w:rsidRDefault="0076420C" w:rsidP="0062748A">
            <w:pPr>
              <w:keepNext/>
              <w:jc w:val="center"/>
              <w:rPr>
                <w:rFonts w:ascii="Arial Narrow" w:hAnsi="Arial Narrow"/>
                <w:b/>
                <w:sz w:val="20"/>
              </w:rPr>
            </w:pPr>
            <w:r w:rsidRPr="005838CB">
              <w:rPr>
                <w:rFonts w:ascii="Arial Narrow" w:hAnsi="Arial Narrow"/>
                <w:b/>
                <w:sz w:val="20"/>
              </w:rPr>
              <w:t>Protocol title/ Publication title</w:t>
            </w:r>
          </w:p>
        </w:tc>
        <w:tc>
          <w:tcPr>
            <w:tcW w:w="1843" w:type="dxa"/>
          </w:tcPr>
          <w:p w:rsidR="0076420C" w:rsidRPr="005838CB" w:rsidRDefault="0076420C" w:rsidP="0062748A">
            <w:pPr>
              <w:keepNext/>
              <w:rPr>
                <w:rFonts w:ascii="Arial Narrow" w:hAnsi="Arial Narrow"/>
                <w:b/>
                <w:sz w:val="20"/>
              </w:rPr>
            </w:pPr>
            <w:r w:rsidRPr="005838CB">
              <w:rPr>
                <w:rFonts w:ascii="Arial Narrow" w:hAnsi="Arial Narrow"/>
                <w:b/>
                <w:sz w:val="20"/>
              </w:rPr>
              <w:t>Publication citation</w:t>
            </w:r>
          </w:p>
        </w:tc>
      </w:tr>
      <w:tr w:rsidR="0076420C" w:rsidRPr="005838CB" w:rsidTr="00C27B58">
        <w:trPr>
          <w:cantSplit/>
        </w:trPr>
        <w:tc>
          <w:tcPr>
            <w:tcW w:w="8364" w:type="dxa"/>
            <w:gridSpan w:val="3"/>
          </w:tcPr>
          <w:p w:rsidR="0076420C" w:rsidRPr="005838CB" w:rsidRDefault="0076420C" w:rsidP="00D84934">
            <w:pPr>
              <w:pStyle w:val="NoSpacing"/>
              <w:rPr>
                <w:rFonts w:ascii="Arial Narrow" w:hAnsi="Arial Narrow"/>
                <w:b/>
                <w:sz w:val="20"/>
              </w:rPr>
            </w:pPr>
            <w:r w:rsidRPr="005838CB">
              <w:rPr>
                <w:rFonts w:ascii="Arial Narrow" w:hAnsi="Arial Narrow"/>
                <w:b/>
                <w:sz w:val="20"/>
              </w:rPr>
              <w:t>Direct randomised trials</w:t>
            </w:r>
          </w:p>
        </w:tc>
      </w:tr>
      <w:tr w:rsidR="0076420C" w:rsidRPr="005838CB" w:rsidTr="00C27B58">
        <w:trPr>
          <w:cantSplit/>
        </w:trPr>
        <w:tc>
          <w:tcPr>
            <w:tcW w:w="1701" w:type="dxa"/>
          </w:tcPr>
          <w:p w:rsidR="0076420C" w:rsidRPr="00A91C5F" w:rsidRDefault="00B13A0A" w:rsidP="00D84934">
            <w:pPr>
              <w:pStyle w:val="NoSpacing"/>
              <w:rPr>
                <w:rFonts w:ascii="Arial Narrow" w:hAnsi="Arial Narrow"/>
                <w:sz w:val="20"/>
              </w:rPr>
            </w:pPr>
            <w:r w:rsidRPr="00A91C5F">
              <w:rPr>
                <w:rFonts w:ascii="Arial Narrow" w:hAnsi="Arial Narrow"/>
                <w:sz w:val="20"/>
              </w:rPr>
              <w:t>S0230</w:t>
            </w:r>
          </w:p>
        </w:tc>
        <w:tc>
          <w:tcPr>
            <w:tcW w:w="4820" w:type="dxa"/>
          </w:tcPr>
          <w:p w:rsidR="0076420C" w:rsidRPr="00A91C5F" w:rsidRDefault="003E0CA8" w:rsidP="00322EDE">
            <w:pPr>
              <w:keepNext/>
              <w:rPr>
                <w:rFonts w:ascii="Arial Narrow" w:hAnsi="Arial Narrow"/>
                <w:sz w:val="20"/>
              </w:rPr>
            </w:pPr>
            <w:r w:rsidRPr="00A91C5F">
              <w:rPr>
                <w:rFonts w:ascii="Arial Narrow" w:hAnsi="Arial Narrow"/>
                <w:sz w:val="20"/>
              </w:rPr>
              <w:t>Goserelin in Preventing Ovarian Failure in Women Receiving Chemotherapy for Breast Cancer</w:t>
            </w:r>
          </w:p>
        </w:tc>
        <w:tc>
          <w:tcPr>
            <w:tcW w:w="1843" w:type="dxa"/>
          </w:tcPr>
          <w:p w:rsidR="0076420C" w:rsidRPr="00A91C5F" w:rsidRDefault="00322EDE" w:rsidP="0062748A">
            <w:pPr>
              <w:keepNext/>
              <w:rPr>
                <w:rFonts w:ascii="Arial Narrow" w:hAnsi="Arial Narrow"/>
                <w:i/>
                <w:sz w:val="20"/>
              </w:rPr>
            </w:pPr>
            <w:r w:rsidRPr="00A91C5F">
              <w:rPr>
                <w:rFonts w:ascii="Arial Narrow" w:hAnsi="Arial Narrow"/>
                <w:sz w:val="20"/>
              </w:rPr>
              <w:t xml:space="preserve">Moore, </w:t>
            </w:r>
            <w:r w:rsidRPr="00A91C5F">
              <w:rPr>
                <w:rFonts w:ascii="Arial Narrow" w:hAnsi="Arial Narrow"/>
                <w:i/>
                <w:sz w:val="20"/>
              </w:rPr>
              <w:t>et al. NEJM. 2015;372:923-32</w:t>
            </w:r>
          </w:p>
        </w:tc>
      </w:tr>
      <w:tr w:rsidR="0076420C" w:rsidRPr="005838CB" w:rsidTr="00C27B58">
        <w:trPr>
          <w:cantSplit/>
        </w:trPr>
        <w:tc>
          <w:tcPr>
            <w:tcW w:w="8364" w:type="dxa"/>
            <w:gridSpan w:val="3"/>
          </w:tcPr>
          <w:p w:rsidR="0076420C" w:rsidRPr="009F5F2E" w:rsidRDefault="00B13A0A" w:rsidP="00D84934">
            <w:pPr>
              <w:pStyle w:val="NoSpacing"/>
              <w:rPr>
                <w:rFonts w:ascii="Arial Narrow" w:hAnsi="Arial Narrow"/>
                <w:b/>
                <w:sz w:val="20"/>
              </w:rPr>
            </w:pPr>
            <w:r>
              <w:rPr>
                <w:rFonts w:ascii="Arial Narrow" w:hAnsi="Arial Narrow"/>
                <w:b/>
                <w:sz w:val="20"/>
              </w:rPr>
              <w:t>Meta-analysis</w:t>
            </w:r>
          </w:p>
        </w:tc>
      </w:tr>
      <w:tr w:rsidR="0076420C" w:rsidRPr="005838CB" w:rsidTr="00C27B58">
        <w:trPr>
          <w:cantSplit/>
        </w:trPr>
        <w:tc>
          <w:tcPr>
            <w:tcW w:w="1701" w:type="dxa"/>
          </w:tcPr>
          <w:p w:rsidR="0076420C" w:rsidRPr="00A91C5F" w:rsidRDefault="00A02082" w:rsidP="00D84934">
            <w:pPr>
              <w:pStyle w:val="NoSpacing"/>
              <w:rPr>
                <w:rFonts w:ascii="Arial Narrow" w:hAnsi="Arial Narrow"/>
                <w:sz w:val="20"/>
              </w:rPr>
            </w:pPr>
            <w:r w:rsidRPr="00A91C5F">
              <w:rPr>
                <w:rFonts w:ascii="Arial Narrow" w:hAnsi="Arial Narrow"/>
                <w:sz w:val="20"/>
              </w:rPr>
              <w:t>-</w:t>
            </w:r>
          </w:p>
        </w:tc>
        <w:tc>
          <w:tcPr>
            <w:tcW w:w="4820" w:type="dxa"/>
          </w:tcPr>
          <w:p w:rsidR="00B13A0A" w:rsidRPr="00A91C5F" w:rsidRDefault="00B13A0A" w:rsidP="00B13A0A">
            <w:pPr>
              <w:keepNext/>
              <w:rPr>
                <w:rFonts w:ascii="Arial Narrow" w:hAnsi="Arial Narrow"/>
                <w:sz w:val="20"/>
              </w:rPr>
            </w:pPr>
            <w:r w:rsidRPr="00A91C5F">
              <w:rPr>
                <w:rFonts w:ascii="Arial Narrow" w:hAnsi="Arial Narrow"/>
                <w:sz w:val="20"/>
              </w:rPr>
              <w:t>Ovarian suppression using luteinizing hormone releasing</w:t>
            </w:r>
          </w:p>
          <w:p w:rsidR="00B13A0A" w:rsidRPr="00A91C5F" w:rsidRDefault="00B13A0A" w:rsidP="00B13A0A">
            <w:pPr>
              <w:keepNext/>
              <w:rPr>
                <w:rFonts w:ascii="Arial Narrow" w:hAnsi="Arial Narrow"/>
                <w:sz w:val="20"/>
              </w:rPr>
            </w:pPr>
            <w:r w:rsidRPr="00A91C5F">
              <w:rPr>
                <w:rFonts w:ascii="Arial Narrow" w:hAnsi="Arial Narrow"/>
                <w:sz w:val="20"/>
              </w:rPr>
              <w:t>hormone agonists during chemotherapy to</w:t>
            </w:r>
          </w:p>
          <w:p w:rsidR="00B13A0A" w:rsidRPr="00A91C5F" w:rsidRDefault="00B13A0A" w:rsidP="00B13A0A">
            <w:pPr>
              <w:keepNext/>
              <w:rPr>
                <w:rFonts w:ascii="Arial Narrow" w:hAnsi="Arial Narrow"/>
                <w:sz w:val="20"/>
              </w:rPr>
            </w:pPr>
            <w:r w:rsidRPr="00A91C5F">
              <w:rPr>
                <w:rFonts w:ascii="Arial Narrow" w:hAnsi="Arial Narrow"/>
                <w:sz w:val="20"/>
              </w:rPr>
              <w:t>preserve ovarian function and fertility of breast cancer</w:t>
            </w:r>
          </w:p>
          <w:p w:rsidR="0076420C" w:rsidRPr="00A91C5F" w:rsidRDefault="00B13A0A" w:rsidP="00B13A0A">
            <w:pPr>
              <w:keepNext/>
              <w:rPr>
                <w:rFonts w:ascii="Arial Narrow" w:hAnsi="Arial Narrow"/>
                <w:sz w:val="20"/>
              </w:rPr>
            </w:pPr>
            <w:r w:rsidRPr="00A91C5F">
              <w:rPr>
                <w:rFonts w:ascii="Arial Narrow" w:hAnsi="Arial Narrow"/>
                <w:sz w:val="20"/>
              </w:rPr>
              <w:t>patients: a meta-analysis of randomized studies</w:t>
            </w:r>
          </w:p>
        </w:tc>
        <w:tc>
          <w:tcPr>
            <w:tcW w:w="1843" w:type="dxa"/>
          </w:tcPr>
          <w:p w:rsidR="0076420C" w:rsidRPr="00A91C5F" w:rsidRDefault="00B13A0A" w:rsidP="0062748A">
            <w:pPr>
              <w:keepNext/>
              <w:rPr>
                <w:rFonts w:ascii="Arial Narrow" w:hAnsi="Arial Narrow"/>
                <w:sz w:val="20"/>
              </w:rPr>
            </w:pPr>
            <w:r w:rsidRPr="00A91C5F">
              <w:rPr>
                <w:rFonts w:ascii="Arial Narrow" w:hAnsi="Arial Narrow"/>
                <w:sz w:val="20"/>
              </w:rPr>
              <w:t xml:space="preserve">Lambertini </w:t>
            </w:r>
            <w:r w:rsidRPr="00A91C5F">
              <w:rPr>
                <w:rFonts w:ascii="Arial Narrow" w:hAnsi="Arial Narrow"/>
                <w:i/>
                <w:sz w:val="20"/>
              </w:rPr>
              <w:t xml:space="preserve">et al. </w:t>
            </w:r>
            <w:r w:rsidRPr="00A91C5F">
              <w:rPr>
                <w:rFonts w:ascii="Arial Narrow" w:hAnsi="Arial Narrow"/>
                <w:sz w:val="20"/>
              </w:rPr>
              <w:t>Ann Oncol. 2015; 26: 2408-19</w:t>
            </w:r>
          </w:p>
        </w:tc>
      </w:tr>
    </w:tbl>
    <w:p w:rsidR="0076420C" w:rsidRPr="0076420C" w:rsidRDefault="0076420C" w:rsidP="0076420C">
      <w:pPr>
        <w:pStyle w:val="tablenotes"/>
        <w:ind w:firstLine="709"/>
        <w:rPr>
          <w:rFonts w:ascii="Arial Narrow" w:hAnsi="Arial Narrow"/>
          <w:sz w:val="18"/>
          <w:szCs w:val="18"/>
        </w:rPr>
      </w:pPr>
      <w:r w:rsidRPr="005838CB">
        <w:rPr>
          <w:rFonts w:ascii="Arial Narrow" w:hAnsi="Arial Narrow"/>
          <w:sz w:val="18"/>
          <w:szCs w:val="18"/>
        </w:rPr>
        <w:t xml:space="preserve">Source: </w:t>
      </w:r>
      <w:r w:rsidR="00DE6A9B">
        <w:rPr>
          <w:rFonts w:ascii="Arial Narrow" w:hAnsi="Arial Narrow"/>
          <w:sz w:val="18"/>
          <w:szCs w:val="18"/>
        </w:rPr>
        <w:t>Submission</w:t>
      </w:r>
    </w:p>
    <w:p w:rsidR="00BB7EC3" w:rsidRDefault="00BB7EC3" w:rsidP="009B0F67">
      <w:pPr>
        <w:jc w:val="both"/>
        <w:rPr>
          <w:rFonts w:ascii="Arial" w:hAnsi="Arial"/>
          <w:sz w:val="22"/>
          <w:szCs w:val="22"/>
        </w:rPr>
      </w:pPr>
    </w:p>
    <w:p w:rsidR="005A3173" w:rsidRPr="00882085" w:rsidRDefault="005A3173" w:rsidP="008D02D6">
      <w:pPr>
        <w:pStyle w:val="Heading2"/>
      </w:pPr>
      <w:r w:rsidRPr="00882085">
        <w:t>Comparative effectiveness</w:t>
      </w:r>
    </w:p>
    <w:p w:rsidR="005A3173" w:rsidRPr="00882085" w:rsidRDefault="005A3173" w:rsidP="008D02D6">
      <w:pPr>
        <w:keepNext/>
        <w:jc w:val="both"/>
        <w:rPr>
          <w:rFonts w:ascii="Arial" w:hAnsi="Arial"/>
          <w:sz w:val="22"/>
          <w:szCs w:val="22"/>
        </w:rPr>
      </w:pPr>
    </w:p>
    <w:p w:rsidR="00A02082" w:rsidRDefault="003E0CA8" w:rsidP="00AE612B">
      <w:pPr>
        <w:pStyle w:val="ListParagraph"/>
        <w:numPr>
          <w:ilvl w:val="1"/>
          <w:numId w:val="5"/>
        </w:numPr>
        <w:rPr>
          <w:szCs w:val="22"/>
        </w:rPr>
      </w:pPr>
      <w:r>
        <w:rPr>
          <w:szCs w:val="22"/>
        </w:rPr>
        <w:t>The published data from t</w:t>
      </w:r>
      <w:r w:rsidR="00A02082">
        <w:rPr>
          <w:szCs w:val="22"/>
        </w:rPr>
        <w:t xml:space="preserve">rial S0230 showed that for the </w:t>
      </w:r>
      <w:r w:rsidR="00A02082" w:rsidRPr="00B13A0A">
        <w:rPr>
          <w:szCs w:val="22"/>
        </w:rPr>
        <w:t>135</w:t>
      </w:r>
      <w:r w:rsidR="00A02082">
        <w:rPr>
          <w:szCs w:val="22"/>
        </w:rPr>
        <w:t xml:space="preserve"> (of 218) patients</w:t>
      </w:r>
      <w:r w:rsidR="00A02082" w:rsidRPr="00B13A0A">
        <w:rPr>
          <w:szCs w:val="22"/>
        </w:rPr>
        <w:t xml:space="preserve"> with</w:t>
      </w:r>
      <w:r w:rsidR="00A02082">
        <w:rPr>
          <w:szCs w:val="22"/>
        </w:rPr>
        <w:t xml:space="preserve"> </w:t>
      </w:r>
      <w:r w:rsidR="00A02082" w:rsidRPr="00B13A0A">
        <w:rPr>
          <w:szCs w:val="22"/>
        </w:rPr>
        <w:t>complete primary end-point data, the ovarian failure rate was 8% in the goserelin</w:t>
      </w:r>
      <w:r w:rsidR="00A02082">
        <w:rPr>
          <w:szCs w:val="22"/>
        </w:rPr>
        <w:t xml:space="preserve"> </w:t>
      </w:r>
      <w:r w:rsidR="00A02082" w:rsidRPr="00B13A0A">
        <w:rPr>
          <w:szCs w:val="22"/>
        </w:rPr>
        <w:t>group and 22% in the</w:t>
      </w:r>
      <w:r w:rsidR="00A02082">
        <w:rPr>
          <w:szCs w:val="22"/>
        </w:rPr>
        <w:t xml:space="preserve"> chemotherapy-alone group (odds </w:t>
      </w:r>
      <w:r w:rsidR="00A02082" w:rsidRPr="00B13A0A">
        <w:rPr>
          <w:szCs w:val="22"/>
        </w:rPr>
        <w:t>ratio, 0.30; 95% confidence</w:t>
      </w:r>
      <w:r w:rsidR="00A02082">
        <w:rPr>
          <w:szCs w:val="22"/>
        </w:rPr>
        <w:t xml:space="preserve"> </w:t>
      </w:r>
      <w:r w:rsidR="00A02082" w:rsidRPr="00B13A0A">
        <w:rPr>
          <w:szCs w:val="22"/>
        </w:rPr>
        <w:t xml:space="preserve">interval, 0.09 to 0.97; two-sided </w:t>
      </w:r>
      <w:r w:rsidR="00D3013B">
        <w:rPr>
          <w:szCs w:val="22"/>
        </w:rPr>
        <w:t xml:space="preserve">p </w:t>
      </w:r>
      <w:r w:rsidR="00A02082" w:rsidRPr="00B13A0A">
        <w:rPr>
          <w:szCs w:val="22"/>
        </w:rPr>
        <w:t>=0.04).</w:t>
      </w:r>
      <w:r w:rsidR="00A02082" w:rsidRPr="008D02D6">
        <w:rPr>
          <w:szCs w:val="22"/>
        </w:rPr>
        <w:t xml:space="preserve"> </w:t>
      </w:r>
      <w:r w:rsidR="00A02082" w:rsidRPr="00A02082">
        <w:rPr>
          <w:szCs w:val="22"/>
        </w:rPr>
        <w:t>Among</w:t>
      </w:r>
      <w:r w:rsidR="00A02082">
        <w:rPr>
          <w:szCs w:val="22"/>
        </w:rPr>
        <w:t xml:space="preserve"> </w:t>
      </w:r>
      <w:r w:rsidR="00A02082" w:rsidRPr="00A02082">
        <w:rPr>
          <w:szCs w:val="22"/>
        </w:rPr>
        <w:t>the 218 patients who could be evaluated, pregnancy occurred in more women in the</w:t>
      </w:r>
      <w:r w:rsidR="00A02082">
        <w:rPr>
          <w:szCs w:val="22"/>
        </w:rPr>
        <w:t xml:space="preserve"> </w:t>
      </w:r>
      <w:r w:rsidR="00A02082" w:rsidRPr="00A02082">
        <w:rPr>
          <w:szCs w:val="22"/>
        </w:rPr>
        <w:t xml:space="preserve">goserelin group than in the chemotherapy-alone group (21% vs. 11%, </w:t>
      </w:r>
      <w:r w:rsidR="00D3013B">
        <w:rPr>
          <w:szCs w:val="22"/>
        </w:rPr>
        <w:t>p</w:t>
      </w:r>
      <w:r w:rsidR="00A02082" w:rsidRPr="00A02082">
        <w:rPr>
          <w:szCs w:val="22"/>
        </w:rPr>
        <w:t xml:space="preserve"> = 0.03); women</w:t>
      </w:r>
      <w:r w:rsidR="00A02082">
        <w:rPr>
          <w:szCs w:val="22"/>
        </w:rPr>
        <w:t xml:space="preserve"> </w:t>
      </w:r>
      <w:r w:rsidR="00A02082" w:rsidRPr="00A02082">
        <w:rPr>
          <w:szCs w:val="22"/>
        </w:rPr>
        <w:t>in the goserelin group also had improved</w:t>
      </w:r>
      <w:r w:rsidR="00AE612B">
        <w:rPr>
          <w:szCs w:val="22"/>
        </w:rPr>
        <w:t xml:space="preserve"> 4 year </w:t>
      </w:r>
      <w:r w:rsidR="00AE612B" w:rsidRPr="00AE612B">
        <w:rPr>
          <w:szCs w:val="22"/>
        </w:rPr>
        <w:t>Kaplan</w:t>
      </w:r>
      <w:r w:rsidR="00B73EEF">
        <w:rPr>
          <w:szCs w:val="22"/>
        </w:rPr>
        <w:noBreakHyphen/>
      </w:r>
      <w:r w:rsidR="00AE612B" w:rsidRPr="00AE612B">
        <w:rPr>
          <w:szCs w:val="22"/>
        </w:rPr>
        <w:t xml:space="preserve">Meier </w:t>
      </w:r>
      <w:r w:rsidR="00AE612B">
        <w:rPr>
          <w:szCs w:val="22"/>
        </w:rPr>
        <w:t>estimated</w:t>
      </w:r>
      <w:r w:rsidR="00A02082" w:rsidRPr="00A02082">
        <w:rPr>
          <w:szCs w:val="22"/>
        </w:rPr>
        <w:t xml:space="preserve"> </w:t>
      </w:r>
      <w:r w:rsidR="00B73EEF">
        <w:rPr>
          <w:szCs w:val="22"/>
        </w:rPr>
        <w:t>disease-free survival (p</w:t>
      </w:r>
      <w:r w:rsidR="00A02082" w:rsidRPr="00A02082">
        <w:rPr>
          <w:szCs w:val="22"/>
        </w:rPr>
        <w:t xml:space="preserve"> = 0.04) and overall</w:t>
      </w:r>
      <w:r w:rsidR="00A02082">
        <w:rPr>
          <w:szCs w:val="22"/>
        </w:rPr>
        <w:t xml:space="preserve"> </w:t>
      </w:r>
      <w:r w:rsidR="00A02082" w:rsidRPr="00A02082">
        <w:rPr>
          <w:szCs w:val="22"/>
        </w:rPr>
        <w:t>survival (</w:t>
      </w:r>
      <w:r w:rsidR="00D3013B">
        <w:rPr>
          <w:szCs w:val="22"/>
        </w:rPr>
        <w:t>p</w:t>
      </w:r>
      <w:r w:rsidR="00A02082" w:rsidRPr="00A02082">
        <w:rPr>
          <w:szCs w:val="22"/>
        </w:rPr>
        <w:t xml:space="preserve"> = 0.05).</w:t>
      </w:r>
    </w:p>
    <w:p w:rsidR="00A02082" w:rsidRDefault="00A02082" w:rsidP="00A02082">
      <w:pPr>
        <w:pStyle w:val="ListParagraph"/>
        <w:ind w:left="709"/>
        <w:rPr>
          <w:szCs w:val="22"/>
        </w:rPr>
      </w:pPr>
    </w:p>
    <w:p w:rsidR="00A02082" w:rsidRPr="00A02082" w:rsidRDefault="00AE612B" w:rsidP="008D02D6">
      <w:pPr>
        <w:pStyle w:val="ListParagraph"/>
        <w:numPr>
          <w:ilvl w:val="1"/>
          <w:numId w:val="5"/>
        </w:numPr>
        <w:rPr>
          <w:szCs w:val="22"/>
        </w:rPr>
      </w:pPr>
      <w:r>
        <w:rPr>
          <w:szCs w:val="22"/>
        </w:rPr>
        <w:t>From the Lambertini 2015 publication</w:t>
      </w:r>
      <w:r w:rsidR="003C5972">
        <w:rPr>
          <w:szCs w:val="22"/>
        </w:rPr>
        <w:t>,</w:t>
      </w:r>
      <w:r>
        <w:rPr>
          <w:szCs w:val="22"/>
        </w:rPr>
        <w:t xml:space="preserve"> 7</w:t>
      </w:r>
      <w:r w:rsidR="00A02082">
        <w:rPr>
          <w:szCs w:val="22"/>
        </w:rPr>
        <w:t xml:space="preserve"> of the</w:t>
      </w:r>
      <w:r w:rsidR="00B73EEF">
        <w:rPr>
          <w:szCs w:val="22"/>
        </w:rPr>
        <w:t xml:space="preserve"> 12 trials included in the meta</w:t>
      </w:r>
      <w:r w:rsidR="00B73EEF">
        <w:rPr>
          <w:szCs w:val="22"/>
        </w:rPr>
        <w:noBreakHyphen/>
      </w:r>
      <w:r w:rsidR="00A02082">
        <w:rPr>
          <w:szCs w:val="22"/>
        </w:rPr>
        <w:t>analysis used goserelin</w:t>
      </w:r>
      <w:r w:rsidR="00A02082" w:rsidRPr="00A02082">
        <w:rPr>
          <w:szCs w:val="22"/>
        </w:rPr>
        <w:t xml:space="preserve"> </w:t>
      </w:r>
      <w:r w:rsidR="00A02082">
        <w:rPr>
          <w:szCs w:val="22"/>
        </w:rPr>
        <w:t xml:space="preserve">as the </w:t>
      </w:r>
      <w:r w:rsidR="00A02082" w:rsidRPr="00A02082">
        <w:rPr>
          <w:szCs w:val="22"/>
        </w:rPr>
        <w:t>lute</w:t>
      </w:r>
      <w:r>
        <w:rPr>
          <w:szCs w:val="22"/>
        </w:rPr>
        <w:t>i</w:t>
      </w:r>
      <w:r w:rsidR="00A02082" w:rsidRPr="00A02082">
        <w:rPr>
          <w:szCs w:val="22"/>
        </w:rPr>
        <w:t>nizing hormo</w:t>
      </w:r>
      <w:r w:rsidR="00A02082">
        <w:rPr>
          <w:szCs w:val="22"/>
        </w:rPr>
        <w:t>ne-releasing hormone agonist</w:t>
      </w:r>
      <w:r w:rsidR="00A02082" w:rsidRPr="00A02082">
        <w:rPr>
          <w:szCs w:val="22"/>
        </w:rPr>
        <w:t xml:space="preserve"> (LHRHa)</w:t>
      </w:r>
      <w:r w:rsidR="00A02082">
        <w:rPr>
          <w:szCs w:val="22"/>
        </w:rPr>
        <w:t xml:space="preserve"> treatment. The meta-analysis indicated:</w:t>
      </w:r>
    </w:p>
    <w:p w:rsidR="00A02082" w:rsidRPr="00A02082" w:rsidRDefault="00A02082" w:rsidP="00A02082">
      <w:pPr>
        <w:pStyle w:val="ListParagraph"/>
        <w:numPr>
          <w:ilvl w:val="0"/>
          <w:numId w:val="16"/>
        </w:numPr>
        <w:rPr>
          <w:szCs w:val="22"/>
        </w:rPr>
      </w:pPr>
      <w:r>
        <w:rPr>
          <w:szCs w:val="22"/>
        </w:rPr>
        <w:t>A</w:t>
      </w:r>
      <w:r w:rsidRPr="00A02082">
        <w:rPr>
          <w:szCs w:val="22"/>
        </w:rPr>
        <w:t xml:space="preserve"> significant reduced risk of premature ovarian failure (POF; OR 0.36, 95% CI 0.23–0.57; </w:t>
      </w:r>
      <w:r w:rsidR="00D3013B">
        <w:rPr>
          <w:szCs w:val="22"/>
        </w:rPr>
        <w:t>p</w:t>
      </w:r>
      <w:r w:rsidRPr="00A02082">
        <w:rPr>
          <w:szCs w:val="22"/>
        </w:rPr>
        <w:t xml:space="preserve"> &lt; 0.001), yet with significant heterogeneity (I</w:t>
      </w:r>
      <w:r w:rsidRPr="00B73EEF">
        <w:rPr>
          <w:szCs w:val="22"/>
          <w:vertAlign w:val="superscript"/>
        </w:rPr>
        <w:t>2</w:t>
      </w:r>
      <w:r w:rsidRPr="00A02082">
        <w:rPr>
          <w:szCs w:val="22"/>
        </w:rPr>
        <w:t xml:space="preserve"> = 47.1%, </w:t>
      </w:r>
      <w:proofErr w:type="spellStart"/>
      <w:r w:rsidR="00D3013B">
        <w:rPr>
          <w:szCs w:val="22"/>
        </w:rPr>
        <w:t>p</w:t>
      </w:r>
      <w:r w:rsidR="00D3013B" w:rsidRPr="00B73EEF">
        <w:rPr>
          <w:szCs w:val="22"/>
          <w:vertAlign w:val="subscript"/>
        </w:rPr>
        <w:t>heterogeneity</w:t>
      </w:r>
      <w:proofErr w:type="spellEnd"/>
      <w:r w:rsidR="00D3013B" w:rsidRPr="00A02082">
        <w:rPr>
          <w:szCs w:val="22"/>
        </w:rPr>
        <w:t xml:space="preserve"> </w:t>
      </w:r>
      <w:r w:rsidR="00D578D0">
        <w:rPr>
          <w:szCs w:val="22"/>
        </w:rPr>
        <w:t>= 0.026).</w:t>
      </w:r>
    </w:p>
    <w:p w:rsidR="00A02082" w:rsidRPr="00D3013B" w:rsidRDefault="00A02082" w:rsidP="00D3013B">
      <w:pPr>
        <w:pStyle w:val="ListParagraph"/>
        <w:numPr>
          <w:ilvl w:val="0"/>
          <w:numId w:val="16"/>
        </w:numPr>
        <w:rPr>
          <w:szCs w:val="22"/>
        </w:rPr>
      </w:pPr>
      <w:r w:rsidRPr="00D3013B">
        <w:rPr>
          <w:szCs w:val="22"/>
        </w:rPr>
        <w:t xml:space="preserve">In eight studies reporting amenorrhea rates 1 year after chemotherapy completion, the addition of LHRHa reduced the risk of POF (OR 0.55, 95% CI </w:t>
      </w:r>
      <w:r w:rsidRPr="00D3013B">
        <w:rPr>
          <w:szCs w:val="22"/>
        </w:rPr>
        <w:lastRenderedPageBreak/>
        <w:t xml:space="preserve">0.41–0.73, </w:t>
      </w:r>
      <w:r w:rsidR="00D3013B">
        <w:rPr>
          <w:szCs w:val="22"/>
        </w:rPr>
        <w:t>p</w:t>
      </w:r>
      <w:r w:rsidRPr="00D3013B">
        <w:rPr>
          <w:szCs w:val="22"/>
        </w:rPr>
        <w:t xml:space="preserve"> &lt; 0.001) without heterogeneity (I</w:t>
      </w:r>
      <w:r w:rsidRPr="00B73EEF">
        <w:rPr>
          <w:szCs w:val="22"/>
          <w:vertAlign w:val="superscript"/>
        </w:rPr>
        <w:t>2</w:t>
      </w:r>
      <w:r w:rsidRPr="00D3013B">
        <w:rPr>
          <w:szCs w:val="22"/>
        </w:rPr>
        <w:t xml:space="preserve"> = 0.0%,</w:t>
      </w:r>
      <w:r w:rsidR="00FD2575">
        <w:rPr>
          <w:szCs w:val="22"/>
        </w:rPr>
        <w:t xml:space="preserve"> </w:t>
      </w:r>
      <w:proofErr w:type="spellStart"/>
      <w:r w:rsidR="00D3013B">
        <w:rPr>
          <w:szCs w:val="22"/>
        </w:rPr>
        <w:t>p</w:t>
      </w:r>
      <w:r w:rsidRPr="00B73EEF">
        <w:rPr>
          <w:szCs w:val="22"/>
          <w:vertAlign w:val="subscript"/>
        </w:rPr>
        <w:t>heterogeneity</w:t>
      </w:r>
      <w:proofErr w:type="spellEnd"/>
      <w:r w:rsidR="00D578D0">
        <w:rPr>
          <w:szCs w:val="22"/>
        </w:rPr>
        <w:t xml:space="preserve"> = 0.936).</w:t>
      </w:r>
    </w:p>
    <w:p w:rsidR="00A02082" w:rsidRPr="00D3013B" w:rsidRDefault="00A02082" w:rsidP="00D3013B">
      <w:pPr>
        <w:pStyle w:val="ListParagraph"/>
        <w:numPr>
          <w:ilvl w:val="0"/>
          <w:numId w:val="16"/>
        </w:numPr>
        <w:rPr>
          <w:szCs w:val="22"/>
        </w:rPr>
      </w:pPr>
      <w:r w:rsidRPr="00D3013B">
        <w:rPr>
          <w:szCs w:val="22"/>
        </w:rPr>
        <w:t>In five studies reporting pregnancies, more patients treated with LHRHa achieved pregnancy</w:t>
      </w:r>
      <w:r w:rsidR="00F359E4">
        <w:rPr>
          <w:szCs w:val="22"/>
        </w:rPr>
        <w:t xml:space="preserve"> </w:t>
      </w:r>
      <w:r w:rsidRPr="00D3013B">
        <w:rPr>
          <w:szCs w:val="22"/>
        </w:rPr>
        <w:t xml:space="preserve">(33 versus 19 women; OR 1.83, 95% CI 1.02–3.28, </w:t>
      </w:r>
      <w:r w:rsidR="00D3013B">
        <w:rPr>
          <w:szCs w:val="22"/>
        </w:rPr>
        <w:t>p</w:t>
      </w:r>
      <w:r w:rsidRPr="00D3013B">
        <w:rPr>
          <w:szCs w:val="22"/>
        </w:rPr>
        <w:t xml:space="preserve"> = 0.041; I</w:t>
      </w:r>
      <w:r w:rsidRPr="00B73EEF">
        <w:rPr>
          <w:szCs w:val="22"/>
          <w:vertAlign w:val="superscript"/>
        </w:rPr>
        <w:t>2</w:t>
      </w:r>
      <w:r w:rsidRPr="00D3013B">
        <w:rPr>
          <w:szCs w:val="22"/>
        </w:rPr>
        <w:t xml:space="preserve"> = 0.0%, </w:t>
      </w:r>
      <w:proofErr w:type="spellStart"/>
      <w:r w:rsidR="00D3013B">
        <w:rPr>
          <w:szCs w:val="22"/>
        </w:rPr>
        <w:t>p</w:t>
      </w:r>
      <w:r w:rsidRPr="00B73EEF">
        <w:rPr>
          <w:szCs w:val="22"/>
          <w:vertAlign w:val="subscript"/>
        </w:rPr>
        <w:t>heterogeneity</w:t>
      </w:r>
      <w:proofErr w:type="spellEnd"/>
      <w:r w:rsidR="00D578D0">
        <w:rPr>
          <w:szCs w:val="22"/>
        </w:rPr>
        <w:t xml:space="preserve"> = 0.629).</w:t>
      </w:r>
    </w:p>
    <w:p w:rsidR="00A02082" w:rsidRDefault="00A02082" w:rsidP="00B73EEF">
      <w:pPr>
        <w:pStyle w:val="ListParagraph"/>
        <w:numPr>
          <w:ilvl w:val="0"/>
          <w:numId w:val="16"/>
        </w:numPr>
        <w:rPr>
          <w:szCs w:val="22"/>
        </w:rPr>
      </w:pPr>
      <w:r w:rsidRPr="00A02082">
        <w:rPr>
          <w:szCs w:val="22"/>
        </w:rPr>
        <w:t xml:space="preserve">In three studies reporting disease-free survival, no difference was observed (HR 1.00, 95% CI 0.49–2.04, </w:t>
      </w:r>
      <w:r w:rsidR="00D3013B">
        <w:rPr>
          <w:szCs w:val="22"/>
        </w:rPr>
        <w:t>p</w:t>
      </w:r>
      <w:r w:rsidR="00D3013B" w:rsidRPr="00A02082">
        <w:rPr>
          <w:szCs w:val="22"/>
        </w:rPr>
        <w:t xml:space="preserve"> </w:t>
      </w:r>
      <w:r w:rsidRPr="00A02082">
        <w:rPr>
          <w:szCs w:val="22"/>
        </w:rPr>
        <w:t>= 0.939; I</w:t>
      </w:r>
      <w:r w:rsidRPr="00B73EEF">
        <w:rPr>
          <w:szCs w:val="22"/>
          <w:vertAlign w:val="superscript"/>
        </w:rPr>
        <w:t>2</w:t>
      </w:r>
      <w:r w:rsidRPr="00A02082">
        <w:rPr>
          <w:szCs w:val="22"/>
        </w:rPr>
        <w:t xml:space="preserve"> = 68.0%, </w:t>
      </w:r>
      <w:r w:rsidR="00D3013B">
        <w:rPr>
          <w:szCs w:val="22"/>
        </w:rPr>
        <w:t>p</w:t>
      </w:r>
      <w:r w:rsidRPr="00B73EEF">
        <w:rPr>
          <w:szCs w:val="22"/>
          <w:vertAlign w:val="subscript"/>
        </w:rPr>
        <w:t>heterogeneity</w:t>
      </w:r>
      <w:r w:rsidRPr="00A02082">
        <w:rPr>
          <w:szCs w:val="22"/>
        </w:rPr>
        <w:t xml:space="preserve"> = 0.044).</w:t>
      </w:r>
    </w:p>
    <w:p w:rsidR="00F359E4" w:rsidRDefault="00F359E4" w:rsidP="00176EFD">
      <w:pPr>
        <w:pStyle w:val="ListParagraph"/>
        <w:ind w:left="1429"/>
        <w:rPr>
          <w:szCs w:val="22"/>
        </w:rPr>
      </w:pPr>
    </w:p>
    <w:p w:rsidR="00F359E4" w:rsidRPr="00B73EEF" w:rsidRDefault="00F359E4" w:rsidP="00176EFD">
      <w:pPr>
        <w:pStyle w:val="ListParagraph"/>
        <w:numPr>
          <w:ilvl w:val="1"/>
          <w:numId w:val="5"/>
        </w:numPr>
        <w:rPr>
          <w:szCs w:val="22"/>
        </w:rPr>
      </w:pPr>
      <w:r>
        <w:rPr>
          <w:szCs w:val="22"/>
        </w:rPr>
        <w:t xml:space="preserve">The PBAC noted that the group of patients taking goserelin </w:t>
      </w:r>
      <w:r w:rsidR="003C5972">
        <w:rPr>
          <w:szCs w:val="22"/>
        </w:rPr>
        <w:t>experienced</w:t>
      </w:r>
      <w:r>
        <w:rPr>
          <w:szCs w:val="22"/>
        </w:rPr>
        <w:t xml:space="preserve"> a reduction in the rate of ovarian failure and a higher rate of pregnancy, and that it did not appear to affect disease-free survival. The PBAC noted that the consume</w:t>
      </w:r>
      <w:r w:rsidR="00AE2CF1">
        <w:rPr>
          <w:szCs w:val="22"/>
        </w:rPr>
        <w:t>r</w:t>
      </w:r>
      <w:r>
        <w:rPr>
          <w:szCs w:val="22"/>
        </w:rPr>
        <w:t xml:space="preserve"> comments indicated that pregnancy rate was an important outcome for patients.</w:t>
      </w:r>
    </w:p>
    <w:p w:rsidR="00DF26A7" w:rsidRDefault="00DF26A7" w:rsidP="00882085">
      <w:pPr>
        <w:jc w:val="both"/>
        <w:rPr>
          <w:rFonts w:ascii="Arial" w:hAnsi="Arial"/>
          <w:sz w:val="22"/>
          <w:szCs w:val="22"/>
        </w:rPr>
      </w:pPr>
    </w:p>
    <w:p w:rsidR="005A3173" w:rsidRPr="00882085" w:rsidRDefault="005A3173" w:rsidP="00B1059E">
      <w:pPr>
        <w:pStyle w:val="Heading2"/>
      </w:pPr>
      <w:r w:rsidRPr="00882085">
        <w:t>Comparative harms</w:t>
      </w:r>
    </w:p>
    <w:p w:rsidR="00BB3D26" w:rsidRDefault="00BB3D26" w:rsidP="00B73EEF">
      <w:pPr>
        <w:pStyle w:val="ListParagraph"/>
        <w:rPr>
          <w:szCs w:val="22"/>
        </w:rPr>
      </w:pPr>
    </w:p>
    <w:p w:rsidR="00F62909" w:rsidRPr="008D02D6" w:rsidRDefault="00F62909" w:rsidP="008D02D6">
      <w:pPr>
        <w:pStyle w:val="ListParagraph"/>
        <w:numPr>
          <w:ilvl w:val="1"/>
          <w:numId w:val="5"/>
        </w:numPr>
        <w:rPr>
          <w:szCs w:val="22"/>
        </w:rPr>
      </w:pPr>
      <w:r>
        <w:rPr>
          <w:szCs w:val="22"/>
        </w:rPr>
        <w:t>Trial S0230 showed that for</w:t>
      </w:r>
      <w:r w:rsidRPr="008D02D6">
        <w:rPr>
          <w:szCs w:val="22"/>
        </w:rPr>
        <w:t xml:space="preserve"> the 111 patients who could be evaluated for adverse events in the chemotherapy-alone group, 6 had grade 3 toxic effects</w:t>
      </w:r>
      <w:r w:rsidR="004D30D2">
        <w:rPr>
          <w:szCs w:val="22"/>
        </w:rPr>
        <w:t xml:space="preserve"> and</w:t>
      </w:r>
      <w:r w:rsidR="004D30D2" w:rsidRPr="008D02D6">
        <w:rPr>
          <w:szCs w:val="22"/>
        </w:rPr>
        <w:t xml:space="preserve"> </w:t>
      </w:r>
      <w:r w:rsidRPr="008D02D6">
        <w:rPr>
          <w:szCs w:val="22"/>
        </w:rPr>
        <w:t xml:space="preserve">none had grade 4 toxic effects. Of the 103 patients who could be evaluated for adverse events in the goserelin group, 1 had a grade 4 toxic effect (thromboembolism) and 6 had grade 3 toxic effects. </w:t>
      </w:r>
      <w:r w:rsidR="003C5972">
        <w:rPr>
          <w:szCs w:val="22"/>
        </w:rPr>
        <w:t>Overall</w:t>
      </w:r>
      <w:r w:rsidRPr="008D02D6">
        <w:rPr>
          <w:szCs w:val="22"/>
        </w:rPr>
        <w:t>, 5% of the patients in the chemotherapy alone group and 7% in the goserelin group had grade 3 or higher toxic effects (P = 0.89), 24% and 48% had grade 2 or higher toxic effects</w:t>
      </w:r>
      <w:r w:rsidR="003C5972" w:rsidRPr="008D02D6">
        <w:rPr>
          <w:szCs w:val="22"/>
        </w:rPr>
        <w:t>, respectively</w:t>
      </w:r>
      <w:r w:rsidRPr="008D02D6">
        <w:rPr>
          <w:szCs w:val="22"/>
        </w:rPr>
        <w:t xml:space="preserve"> (</w:t>
      </w:r>
      <w:r w:rsidR="004D30D2">
        <w:rPr>
          <w:szCs w:val="22"/>
        </w:rPr>
        <w:t>p</w:t>
      </w:r>
      <w:r w:rsidRPr="008D02D6">
        <w:rPr>
          <w:szCs w:val="22"/>
        </w:rPr>
        <w:t>&lt;0.001).</w:t>
      </w:r>
    </w:p>
    <w:p w:rsidR="00F62909" w:rsidRPr="008D02D6" w:rsidRDefault="00F62909" w:rsidP="008D02D6">
      <w:pPr>
        <w:pStyle w:val="ListParagraph"/>
        <w:rPr>
          <w:szCs w:val="22"/>
        </w:rPr>
      </w:pPr>
    </w:p>
    <w:p w:rsidR="00DE6A9B" w:rsidRDefault="00F62909" w:rsidP="00176EFD">
      <w:pPr>
        <w:pStyle w:val="ListParagraph"/>
        <w:numPr>
          <w:ilvl w:val="1"/>
          <w:numId w:val="5"/>
        </w:numPr>
      </w:pPr>
      <w:r w:rsidRPr="008D02D6">
        <w:rPr>
          <w:szCs w:val="22"/>
        </w:rPr>
        <w:t>The meta-analysis did not report on comparative harms.</w:t>
      </w:r>
    </w:p>
    <w:p w:rsidR="00DE6A9B" w:rsidRPr="003C5972" w:rsidRDefault="00DE6A9B" w:rsidP="00176EFD"/>
    <w:p w:rsidR="005A3173" w:rsidRPr="00882085" w:rsidRDefault="005A3173" w:rsidP="00B1059E">
      <w:pPr>
        <w:pStyle w:val="Heading2"/>
      </w:pPr>
      <w:r w:rsidRPr="00882085">
        <w:t>Economic analysis</w:t>
      </w:r>
    </w:p>
    <w:p w:rsidR="005A3173" w:rsidRPr="00882085" w:rsidRDefault="005A3173" w:rsidP="00D84934">
      <w:pPr>
        <w:pStyle w:val="NoSpacing"/>
      </w:pPr>
    </w:p>
    <w:p w:rsidR="009B0F67" w:rsidRDefault="001456A2" w:rsidP="008D02D6">
      <w:pPr>
        <w:pStyle w:val="ListParagraph"/>
        <w:numPr>
          <w:ilvl w:val="1"/>
          <w:numId w:val="5"/>
        </w:numPr>
        <w:rPr>
          <w:szCs w:val="22"/>
        </w:rPr>
      </w:pPr>
      <w:r>
        <w:rPr>
          <w:szCs w:val="22"/>
        </w:rPr>
        <w:t>The minor submission</w:t>
      </w:r>
      <w:r w:rsidR="00FF2801">
        <w:rPr>
          <w:szCs w:val="22"/>
        </w:rPr>
        <w:t xml:space="preserve"> </w:t>
      </w:r>
      <w:r>
        <w:rPr>
          <w:szCs w:val="22"/>
        </w:rPr>
        <w:t>did not present an</w:t>
      </w:r>
      <w:r w:rsidR="009B0F67">
        <w:rPr>
          <w:szCs w:val="22"/>
        </w:rPr>
        <w:t xml:space="preserve"> economic comparison.</w:t>
      </w:r>
      <w:r w:rsidR="00F359E4">
        <w:rPr>
          <w:szCs w:val="22"/>
        </w:rPr>
        <w:t xml:space="preserve"> The PBAC noted that </w:t>
      </w:r>
      <w:r w:rsidR="00DE6A9B">
        <w:rPr>
          <w:szCs w:val="22"/>
        </w:rPr>
        <w:t xml:space="preserve">although </w:t>
      </w:r>
      <w:r w:rsidR="00F359E4">
        <w:rPr>
          <w:szCs w:val="22"/>
        </w:rPr>
        <w:t>no evaluation of the cost-effectiveness of fertility preservation</w:t>
      </w:r>
      <w:r w:rsidR="00DE6A9B">
        <w:rPr>
          <w:szCs w:val="22"/>
        </w:rPr>
        <w:t xml:space="preserve"> was presented</w:t>
      </w:r>
      <w:r w:rsidR="00F359E4">
        <w:rPr>
          <w:szCs w:val="22"/>
        </w:rPr>
        <w:t xml:space="preserve">, it would be difficult to </w:t>
      </w:r>
      <w:r w:rsidR="00DE6A9B">
        <w:rPr>
          <w:szCs w:val="22"/>
        </w:rPr>
        <w:t>determine</w:t>
      </w:r>
      <w:r w:rsidR="00F359E4">
        <w:rPr>
          <w:szCs w:val="22"/>
        </w:rPr>
        <w:t xml:space="preserve"> the value of retained fertility or pregnancy and children.</w:t>
      </w:r>
      <w:r w:rsidR="00DE281D">
        <w:rPr>
          <w:szCs w:val="22"/>
        </w:rPr>
        <w:t xml:space="preserve"> The PBAC further considered that as the efficacy of goserelin is unlikely to be affected by the type of cancer, it would be reasonable that </w:t>
      </w:r>
      <w:r w:rsidR="00282533">
        <w:rPr>
          <w:szCs w:val="22"/>
        </w:rPr>
        <w:t>the cost</w:t>
      </w:r>
      <w:r w:rsidR="00282533">
        <w:rPr>
          <w:szCs w:val="22"/>
        </w:rPr>
        <w:noBreakHyphen/>
      </w:r>
      <w:r w:rsidR="00DE281D">
        <w:rPr>
          <w:szCs w:val="22"/>
        </w:rPr>
        <w:t>effectiveness would be similarly unaffected</w:t>
      </w:r>
      <w:r w:rsidR="00970B87">
        <w:rPr>
          <w:szCs w:val="22"/>
        </w:rPr>
        <w:t>.</w:t>
      </w:r>
    </w:p>
    <w:p w:rsidR="005963BB" w:rsidRDefault="005963BB" w:rsidP="00C00DA7">
      <w:pPr>
        <w:jc w:val="both"/>
        <w:rPr>
          <w:rFonts w:ascii="Arial" w:hAnsi="Arial"/>
          <w:sz w:val="22"/>
          <w:szCs w:val="22"/>
        </w:rPr>
      </w:pPr>
    </w:p>
    <w:p w:rsidR="00A55FEE" w:rsidRPr="00A55FEE" w:rsidRDefault="00A55FEE" w:rsidP="00B1059E">
      <w:pPr>
        <w:pStyle w:val="Heading2"/>
      </w:pPr>
      <w:r w:rsidRPr="00A55FEE">
        <w:t xml:space="preserve">Drug </w:t>
      </w:r>
      <w:r w:rsidRPr="008D1B5C">
        <w:t>cost</w:t>
      </w:r>
      <w:r w:rsidR="008D02D6">
        <w:t>/patient/course: $</w:t>
      </w:r>
      <w:r w:rsidR="009F3294">
        <w:rPr>
          <w:noProof/>
          <w:color w:val="000000"/>
          <w:highlight w:val="black"/>
        </w:rPr>
        <w:t>'''''''''''</w:t>
      </w:r>
    </w:p>
    <w:p w:rsidR="00A55FEE" w:rsidRPr="00A55FEE" w:rsidRDefault="00A55FEE" w:rsidP="00A55FEE">
      <w:pPr>
        <w:ind w:left="720" w:hanging="720"/>
        <w:jc w:val="both"/>
        <w:rPr>
          <w:rFonts w:ascii="Arial" w:hAnsi="Arial"/>
          <w:b/>
          <w:i/>
          <w:sz w:val="22"/>
          <w:szCs w:val="22"/>
        </w:rPr>
      </w:pPr>
    </w:p>
    <w:p w:rsidR="00A55FEE" w:rsidRPr="00A55FEE" w:rsidRDefault="005B4C22" w:rsidP="008A50F1">
      <w:pPr>
        <w:pStyle w:val="ListParagraph"/>
        <w:numPr>
          <w:ilvl w:val="1"/>
          <w:numId w:val="5"/>
        </w:numPr>
        <w:rPr>
          <w:szCs w:val="22"/>
        </w:rPr>
      </w:pPr>
      <w:r>
        <w:rPr>
          <w:szCs w:val="22"/>
        </w:rPr>
        <w:t xml:space="preserve">The drug cost per patient is based on a </w:t>
      </w:r>
      <w:r w:rsidR="003C5972">
        <w:rPr>
          <w:szCs w:val="22"/>
        </w:rPr>
        <w:t xml:space="preserve">maximum </w:t>
      </w:r>
      <w:r>
        <w:rPr>
          <w:szCs w:val="22"/>
        </w:rPr>
        <w:t>course of treatment of 6 months, as the submission estimates that treatment in this setting will be for 3-6 months duration only.</w:t>
      </w:r>
      <w:r w:rsidR="003C5972">
        <w:rPr>
          <w:szCs w:val="22"/>
        </w:rPr>
        <w:t xml:space="preserve"> The PBAC noted that the pre-PBAC response estimated that 30% of patients would have a treatment duration of 3 months, which would result in a cost of $</w:t>
      </w:r>
      <w:r w:rsidR="009F3294">
        <w:rPr>
          <w:noProof/>
          <w:color w:val="000000"/>
          <w:szCs w:val="22"/>
          <w:highlight w:val="black"/>
        </w:rPr>
        <w:t>''''''''''</w:t>
      </w:r>
      <w:r w:rsidR="003C5972">
        <w:rPr>
          <w:szCs w:val="22"/>
        </w:rPr>
        <w:t xml:space="preserve"> per patient</w:t>
      </w:r>
      <w:r w:rsidR="00FD2575">
        <w:rPr>
          <w:szCs w:val="22"/>
        </w:rPr>
        <w:t xml:space="preserve"> per </w:t>
      </w:r>
      <w:r w:rsidR="003C5972">
        <w:rPr>
          <w:szCs w:val="22"/>
        </w:rPr>
        <w:t>course</w:t>
      </w:r>
      <w:r w:rsidR="00995BB8">
        <w:rPr>
          <w:szCs w:val="22"/>
        </w:rPr>
        <w:t>.</w:t>
      </w:r>
    </w:p>
    <w:p w:rsidR="00A55FEE" w:rsidRDefault="00A55FEE" w:rsidP="00A55FEE">
      <w:pPr>
        <w:ind w:left="720" w:hanging="720"/>
        <w:jc w:val="both"/>
        <w:rPr>
          <w:rFonts w:ascii="Arial" w:hAnsi="Arial"/>
          <w:b/>
          <w:i/>
          <w:sz w:val="22"/>
          <w:szCs w:val="22"/>
        </w:rPr>
      </w:pPr>
    </w:p>
    <w:p w:rsidR="005A3173" w:rsidRPr="00882085" w:rsidRDefault="005A3173" w:rsidP="00B1059E">
      <w:pPr>
        <w:pStyle w:val="Heading2"/>
      </w:pPr>
      <w:r w:rsidRPr="00882085">
        <w:t>Estimated PBS usage &amp; financial implications</w:t>
      </w:r>
    </w:p>
    <w:p w:rsidR="005A3173" w:rsidRPr="00882085" w:rsidRDefault="005A3173" w:rsidP="00882085">
      <w:pPr>
        <w:ind w:left="720" w:hanging="720"/>
        <w:jc w:val="both"/>
        <w:rPr>
          <w:rFonts w:ascii="Arial" w:hAnsi="Arial"/>
          <w:b/>
          <w:i/>
          <w:sz w:val="22"/>
          <w:szCs w:val="22"/>
        </w:rPr>
      </w:pPr>
    </w:p>
    <w:p w:rsidR="00062460" w:rsidRDefault="00FF2801" w:rsidP="005B4C22">
      <w:pPr>
        <w:pStyle w:val="ListParagraph"/>
        <w:numPr>
          <w:ilvl w:val="1"/>
          <w:numId w:val="5"/>
        </w:numPr>
        <w:rPr>
          <w:szCs w:val="22"/>
        </w:rPr>
      </w:pPr>
      <w:r>
        <w:rPr>
          <w:szCs w:val="22"/>
        </w:rPr>
        <w:t>The minor submission estimated</w:t>
      </w:r>
      <w:r w:rsidR="00C00DA7">
        <w:rPr>
          <w:szCs w:val="22"/>
        </w:rPr>
        <w:t xml:space="preserve"> </w:t>
      </w:r>
      <w:r w:rsidR="005B4C22">
        <w:rPr>
          <w:szCs w:val="22"/>
        </w:rPr>
        <w:t xml:space="preserve">that up to an additional </w:t>
      </w:r>
      <w:r w:rsidR="009439B9">
        <w:rPr>
          <w:szCs w:val="22"/>
        </w:rPr>
        <w:t>less than 10,000</w:t>
      </w:r>
      <w:r w:rsidR="005B4C22">
        <w:rPr>
          <w:szCs w:val="22"/>
        </w:rPr>
        <w:t xml:space="preserve"> patients per year would use goserelin for 3 to 6 months if the proposed change is recommended. At the upper estimate of </w:t>
      </w:r>
      <w:r w:rsidR="009439B9">
        <w:rPr>
          <w:szCs w:val="22"/>
        </w:rPr>
        <w:t xml:space="preserve">less than 10,000 </w:t>
      </w:r>
      <w:r w:rsidR="005B4C22">
        <w:rPr>
          <w:szCs w:val="22"/>
        </w:rPr>
        <w:t xml:space="preserve">patients using goserelin for 6 months, this would result in a </w:t>
      </w:r>
      <w:r w:rsidR="00C00DA7" w:rsidRPr="00C00DA7">
        <w:rPr>
          <w:szCs w:val="22"/>
        </w:rPr>
        <w:t xml:space="preserve">net cost to the PBS of </w:t>
      </w:r>
      <w:r w:rsidR="00C105AB">
        <w:rPr>
          <w:szCs w:val="22"/>
        </w:rPr>
        <w:t>less than $10 million</w:t>
      </w:r>
      <w:r w:rsidR="00C00DA7" w:rsidRPr="00C00DA7">
        <w:rPr>
          <w:szCs w:val="22"/>
        </w:rPr>
        <w:t xml:space="preserve"> in </w:t>
      </w:r>
      <w:r w:rsidR="008D02D6">
        <w:rPr>
          <w:szCs w:val="22"/>
        </w:rPr>
        <w:t>each year</w:t>
      </w:r>
      <w:r w:rsidR="00C00DA7" w:rsidRPr="00C00DA7">
        <w:rPr>
          <w:szCs w:val="22"/>
        </w:rPr>
        <w:t xml:space="preserve"> of listing, with a total net cost to the PBS of </w:t>
      </w:r>
      <w:r w:rsidR="00C105AB">
        <w:rPr>
          <w:szCs w:val="22"/>
        </w:rPr>
        <w:t>less than $10 million</w:t>
      </w:r>
      <w:r w:rsidR="00C105AB" w:rsidRPr="00C00DA7" w:rsidDel="00C105AB">
        <w:rPr>
          <w:szCs w:val="22"/>
        </w:rPr>
        <w:t xml:space="preserve"> </w:t>
      </w:r>
      <w:r w:rsidR="00C00DA7" w:rsidRPr="00C00DA7">
        <w:rPr>
          <w:szCs w:val="22"/>
        </w:rPr>
        <w:t xml:space="preserve"> over the first 5 years of listing.</w:t>
      </w:r>
    </w:p>
    <w:p w:rsidR="00C00DA7" w:rsidRDefault="00C00DA7" w:rsidP="00062460">
      <w:r>
        <w:t xml:space="preserve"> </w:t>
      </w:r>
    </w:p>
    <w:p w:rsidR="00A554F3" w:rsidRPr="00A554F3" w:rsidRDefault="00A554F3" w:rsidP="00A554F3">
      <w:pPr>
        <w:pStyle w:val="ListParagraph"/>
        <w:rPr>
          <w:rFonts w:ascii="Arial Narrow" w:hAnsi="Arial Narrow"/>
          <w:b/>
          <w:sz w:val="20"/>
        </w:rPr>
      </w:pPr>
      <w:r w:rsidRPr="00A554F3">
        <w:rPr>
          <w:rFonts w:ascii="Arial Narrow" w:hAnsi="Arial Narrow"/>
          <w:b/>
          <w:sz w:val="20"/>
        </w:rPr>
        <w:lastRenderedPageBreak/>
        <w:t xml:space="preserve">Table </w:t>
      </w:r>
      <w:r w:rsidR="00344058">
        <w:rPr>
          <w:rFonts w:ascii="Arial Narrow" w:hAnsi="Arial Narrow"/>
          <w:b/>
          <w:sz w:val="20"/>
        </w:rPr>
        <w:t>2</w:t>
      </w:r>
      <w:r w:rsidRPr="00A554F3">
        <w:rPr>
          <w:rFonts w:ascii="Arial Narrow" w:hAnsi="Arial Narrow"/>
          <w:b/>
          <w:sz w:val="20"/>
        </w:rPr>
        <w:t xml:space="preserve">: </w:t>
      </w:r>
      <w:r>
        <w:rPr>
          <w:rFonts w:ascii="Arial Narrow" w:hAnsi="Arial Narrow"/>
          <w:b/>
          <w:sz w:val="20"/>
        </w:rPr>
        <w:t>Total cost to the PBS</w:t>
      </w:r>
      <w:r w:rsidR="00D10094">
        <w:rPr>
          <w:rFonts w:ascii="Arial Narrow" w:hAnsi="Arial Narrow"/>
          <w:b/>
          <w:sz w:val="20"/>
        </w:rPr>
        <w:t xml:space="preserve"> for the use of goserelin</w:t>
      </w:r>
    </w:p>
    <w:tbl>
      <w:tblPr>
        <w:tblW w:w="4558" w:type="pct"/>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1133"/>
        <w:gridCol w:w="1136"/>
        <w:gridCol w:w="1132"/>
        <w:gridCol w:w="1136"/>
        <w:gridCol w:w="1132"/>
        <w:gridCol w:w="1055"/>
      </w:tblGrid>
      <w:tr w:rsidR="00AE534E" w:rsidRPr="00DC34EE" w:rsidTr="00DC18B5">
        <w:trPr>
          <w:trHeight w:val="300"/>
        </w:trPr>
        <w:tc>
          <w:tcPr>
            <w:tcW w:w="1009" w:type="pct"/>
            <w:shd w:val="clear" w:color="auto" w:fill="auto"/>
            <w:noWrap/>
            <w:vAlign w:val="bottom"/>
            <w:hideMark/>
          </w:tcPr>
          <w:p w:rsidR="00AE534E" w:rsidRPr="00F7241C" w:rsidRDefault="00AE534E">
            <w:pPr>
              <w:rPr>
                <w:rFonts w:ascii="Arial Narrow" w:hAnsi="Arial Narrow" w:cs="Arial"/>
                <w:b/>
                <w:color w:val="000000"/>
                <w:sz w:val="20"/>
                <w:szCs w:val="20"/>
              </w:rPr>
            </w:pPr>
          </w:p>
        </w:tc>
        <w:tc>
          <w:tcPr>
            <w:tcW w:w="672" w:type="pct"/>
            <w:shd w:val="clear" w:color="auto" w:fill="auto"/>
            <w:noWrap/>
            <w:vAlign w:val="bottom"/>
            <w:hideMark/>
          </w:tcPr>
          <w:p w:rsidR="00AE534E" w:rsidRPr="00F7241C" w:rsidRDefault="00DD004A" w:rsidP="00A91C5F">
            <w:pPr>
              <w:jc w:val="center"/>
              <w:rPr>
                <w:rFonts w:ascii="Arial Narrow" w:hAnsi="Arial Narrow" w:cs="Arial"/>
                <w:b/>
                <w:color w:val="000000"/>
                <w:sz w:val="20"/>
                <w:szCs w:val="20"/>
              </w:rPr>
            </w:pPr>
            <w:r w:rsidRPr="00F7241C">
              <w:rPr>
                <w:rFonts w:ascii="Arial Narrow" w:hAnsi="Arial Narrow" w:cs="Arial"/>
                <w:b/>
                <w:color w:val="000000"/>
                <w:sz w:val="20"/>
                <w:szCs w:val="20"/>
              </w:rPr>
              <w:t xml:space="preserve">Year </w:t>
            </w:r>
            <w:r w:rsidR="00AE534E" w:rsidRPr="00F7241C">
              <w:rPr>
                <w:rFonts w:ascii="Arial Narrow" w:hAnsi="Arial Narrow" w:cs="Arial"/>
                <w:b/>
                <w:color w:val="000000"/>
                <w:sz w:val="20"/>
                <w:szCs w:val="20"/>
              </w:rPr>
              <w:t>1</w:t>
            </w:r>
          </w:p>
        </w:tc>
        <w:tc>
          <w:tcPr>
            <w:tcW w:w="674" w:type="pct"/>
            <w:shd w:val="clear" w:color="auto" w:fill="auto"/>
            <w:noWrap/>
            <w:vAlign w:val="bottom"/>
            <w:hideMark/>
          </w:tcPr>
          <w:p w:rsidR="00AE534E" w:rsidRPr="00F7241C" w:rsidRDefault="00DD004A" w:rsidP="00A91C5F">
            <w:pPr>
              <w:jc w:val="center"/>
              <w:rPr>
                <w:rFonts w:ascii="Arial Narrow" w:hAnsi="Arial Narrow" w:cs="Arial"/>
                <w:b/>
                <w:color w:val="000000"/>
                <w:sz w:val="20"/>
                <w:szCs w:val="20"/>
              </w:rPr>
            </w:pPr>
            <w:r w:rsidRPr="00F7241C">
              <w:rPr>
                <w:rFonts w:ascii="Arial Narrow" w:hAnsi="Arial Narrow" w:cs="Arial"/>
                <w:b/>
                <w:color w:val="000000"/>
                <w:sz w:val="20"/>
                <w:szCs w:val="20"/>
              </w:rPr>
              <w:t xml:space="preserve">Year </w:t>
            </w:r>
            <w:r w:rsidR="00AE534E" w:rsidRPr="00F7241C">
              <w:rPr>
                <w:rFonts w:ascii="Arial Narrow" w:hAnsi="Arial Narrow" w:cs="Arial"/>
                <w:b/>
                <w:color w:val="000000"/>
                <w:sz w:val="20"/>
                <w:szCs w:val="20"/>
              </w:rPr>
              <w:t>2</w:t>
            </w:r>
          </w:p>
        </w:tc>
        <w:tc>
          <w:tcPr>
            <w:tcW w:w="672" w:type="pct"/>
            <w:shd w:val="clear" w:color="auto" w:fill="auto"/>
            <w:noWrap/>
            <w:vAlign w:val="bottom"/>
            <w:hideMark/>
          </w:tcPr>
          <w:p w:rsidR="00AE534E" w:rsidRPr="00F7241C" w:rsidRDefault="00DD004A" w:rsidP="00A91C5F">
            <w:pPr>
              <w:jc w:val="center"/>
              <w:rPr>
                <w:rFonts w:ascii="Arial Narrow" w:hAnsi="Arial Narrow" w:cs="Arial"/>
                <w:b/>
                <w:color w:val="000000"/>
                <w:sz w:val="20"/>
                <w:szCs w:val="20"/>
              </w:rPr>
            </w:pPr>
            <w:r w:rsidRPr="00F7241C">
              <w:rPr>
                <w:rFonts w:ascii="Arial Narrow" w:hAnsi="Arial Narrow" w:cs="Arial"/>
                <w:b/>
                <w:color w:val="000000"/>
                <w:sz w:val="20"/>
                <w:szCs w:val="20"/>
              </w:rPr>
              <w:t xml:space="preserve">Year </w:t>
            </w:r>
            <w:r w:rsidR="00AE534E" w:rsidRPr="00F7241C">
              <w:rPr>
                <w:rFonts w:ascii="Arial Narrow" w:hAnsi="Arial Narrow" w:cs="Arial"/>
                <w:b/>
                <w:color w:val="000000"/>
                <w:sz w:val="20"/>
                <w:szCs w:val="20"/>
              </w:rPr>
              <w:t>3</w:t>
            </w:r>
          </w:p>
        </w:tc>
        <w:tc>
          <w:tcPr>
            <w:tcW w:w="674" w:type="pct"/>
            <w:shd w:val="clear" w:color="auto" w:fill="auto"/>
            <w:noWrap/>
            <w:vAlign w:val="bottom"/>
            <w:hideMark/>
          </w:tcPr>
          <w:p w:rsidR="00AE534E" w:rsidRPr="00F7241C" w:rsidRDefault="00DD004A" w:rsidP="00A91C5F">
            <w:pPr>
              <w:jc w:val="center"/>
              <w:rPr>
                <w:rFonts w:ascii="Arial Narrow" w:hAnsi="Arial Narrow" w:cs="Arial"/>
                <w:b/>
                <w:color w:val="000000"/>
                <w:sz w:val="20"/>
                <w:szCs w:val="20"/>
              </w:rPr>
            </w:pPr>
            <w:r w:rsidRPr="00F7241C">
              <w:rPr>
                <w:rFonts w:ascii="Arial Narrow" w:hAnsi="Arial Narrow" w:cs="Arial"/>
                <w:b/>
                <w:color w:val="000000"/>
                <w:sz w:val="20"/>
                <w:szCs w:val="20"/>
              </w:rPr>
              <w:t xml:space="preserve">Year </w:t>
            </w:r>
            <w:r w:rsidR="00AE534E" w:rsidRPr="00F7241C">
              <w:rPr>
                <w:rFonts w:ascii="Arial Narrow" w:hAnsi="Arial Narrow" w:cs="Arial"/>
                <w:b/>
                <w:color w:val="000000"/>
                <w:sz w:val="20"/>
                <w:szCs w:val="20"/>
              </w:rPr>
              <w:t>4</w:t>
            </w:r>
          </w:p>
        </w:tc>
        <w:tc>
          <w:tcPr>
            <w:tcW w:w="672" w:type="pct"/>
            <w:shd w:val="clear" w:color="auto" w:fill="auto"/>
            <w:noWrap/>
            <w:vAlign w:val="bottom"/>
            <w:hideMark/>
          </w:tcPr>
          <w:p w:rsidR="00AE534E" w:rsidRPr="00F7241C" w:rsidRDefault="00DD004A" w:rsidP="00A91C5F">
            <w:pPr>
              <w:jc w:val="center"/>
              <w:rPr>
                <w:rFonts w:ascii="Arial Narrow" w:hAnsi="Arial Narrow" w:cs="Arial"/>
                <w:b/>
                <w:color w:val="000000"/>
                <w:sz w:val="20"/>
                <w:szCs w:val="20"/>
              </w:rPr>
            </w:pPr>
            <w:r w:rsidRPr="00F7241C">
              <w:rPr>
                <w:rFonts w:ascii="Arial Narrow" w:hAnsi="Arial Narrow" w:cs="Arial"/>
                <w:b/>
                <w:color w:val="000000"/>
                <w:sz w:val="20"/>
                <w:szCs w:val="20"/>
              </w:rPr>
              <w:t xml:space="preserve">Year </w:t>
            </w:r>
            <w:r w:rsidR="00AE534E" w:rsidRPr="00F7241C">
              <w:rPr>
                <w:rFonts w:ascii="Arial Narrow" w:hAnsi="Arial Narrow" w:cs="Arial"/>
                <w:b/>
                <w:color w:val="000000"/>
                <w:sz w:val="20"/>
                <w:szCs w:val="20"/>
              </w:rPr>
              <w:t>5</w:t>
            </w:r>
          </w:p>
        </w:tc>
        <w:tc>
          <w:tcPr>
            <w:tcW w:w="626" w:type="pct"/>
            <w:vAlign w:val="center"/>
          </w:tcPr>
          <w:p w:rsidR="00AE534E" w:rsidRPr="00F7241C" w:rsidRDefault="00AE534E" w:rsidP="00A91C5F">
            <w:pPr>
              <w:jc w:val="center"/>
              <w:rPr>
                <w:rFonts w:ascii="Arial Narrow" w:hAnsi="Arial Narrow" w:cs="Arial"/>
                <w:b/>
                <w:color w:val="000000"/>
                <w:sz w:val="20"/>
                <w:szCs w:val="20"/>
              </w:rPr>
            </w:pPr>
            <w:r>
              <w:rPr>
                <w:rFonts w:ascii="Arial Narrow" w:hAnsi="Arial Narrow" w:cs="Arial"/>
                <w:b/>
                <w:color w:val="000000"/>
                <w:sz w:val="20"/>
                <w:szCs w:val="20"/>
              </w:rPr>
              <w:t>Total</w:t>
            </w:r>
          </w:p>
        </w:tc>
      </w:tr>
      <w:tr w:rsidR="00AE534E" w:rsidRPr="00DC34EE" w:rsidTr="00DC18B5">
        <w:trPr>
          <w:trHeight w:val="300"/>
        </w:trPr>
        <w:tc>
          <w:tcPr>
            <w:tcW w:w="1009" w:type="pct"/>
            <w:shd w:val="clear" w:color="auto" w:fill="auto"/>
            <w:noWrap/>
            <w:vAlign w:val="center"/>
            <w:hideMark/>
          </w:tcPr>
          <w:p w:rsidR="00AE534E" w:rsidRPr="00F7241C" w:rsidRDefault="00AE534E" w:rsidP="00AE534E">
            <w:pPr>
              <w:rPr>
                <w:rFonts w:ascii="Arial Narrow" w:hAnsi="Arial Narrow" w:cs="Arial"/>
                <w:b/>
                <w:color w:val="000000"/>
                <w:sz w:val="20"/>
                <w:szCs w:val="20"/>
              </w:rPr>
            </w:pPr>
            <w:r w:rsidRPr="00F7241C">
              <w:rPr>
                <w:rFonts w:ascii="Arial Narrow" w:hAnsi="Arial Narrow" w:cs="Arial"/>
                <w:b/>
                <w:color w:val="000000"/>
                <w:sz w:val="20"/>
                <w:szCs w:val="20"/>
              </w:rPr>
              <w:t>Number of patients</w:t>
            </w:r>
          </w:p>
        </w:tc>
        <w:tc>
          <w:tcPr>
            <w:tcW w:w="672" w:type="pct"/>
            <w:shd w:val="clear" w:color="auto" w:fill="auto"/>
            <w:noWrap/>
            <w:vAlign w:val="center"/>
            <w:hideMark/>
          </w:tcPr>
          <w:p w:rsidR="00AE534E" w:rsidRPr="009F3294" w:rsidRDefault="009F3294" w:rsidP="00A91C5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4" w:type="pct"/>
            <w:shd w:val="clear" w:color="auto" w:fill="auto"/>
            <w:noWrap/>
            <w:vAlign w:val="center"/>
            <w:hideMark/>
          </w:tcPr>
          <w:p w:rsidR="00AE534E" w:rsidRPr="009F3294" w:rsidRDefault="009F3294" w:rsidP="00A91C5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2" w:type="pct"/>
            <w:shd w:val="clear" w:color="auto" w:fill="auto"/>
            <w:noWrap/>
            <w:vAlign w:val="center"/>
            <w:hideMark/>
          </w:tcPr>
          <w:p w:rsidR="00AE534E" w:rsidRPr="009F3294" w:rsidRDefault="009F3294" w:rsidP="00A91C5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4" w:type="pct"/>
            <w:shd w:val="clear" w:color="auto" w:fill="auto"/>
            <w:noWrap/>
            <w:vAlign w:val="center"/>
            <w:hideMark/>
          </w:tcPr>
          <w:p w:rsidR="00AE534E" w:rsidRPr="009F3294" w:rsidRDefault="009F3294" w:rsidP="00A91C5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72" w:type="pct"/>
            <w:shd w:val="clear" w:color="auto" w:fill="auto"/>
            <w:noWrap/>
            <w:vAlign w:val="center"/>
            <w:hideMark/>
          </w:tcPr>
          <w:p w:rsidR="00AE534E" w:rsidRPr="009F3294" w:rsidRDefault="009F3294" w:rsidP="00A91C5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c>
          <w:tcPr>
            <w:tcW w:w="626" w:type="pct"/>
            <w:vAlign w:val="center"/>
          </w:tcPr>
          <w:p w:rsidR="00AE534E" w:rsidRPr="009F3294" w:rsidRDefault="009F3294" w:rsidP="00A91C5F">
            <w:pPr>
              <w:jc w:val="center"/>
              <w:rPr>
                <w:rFonts w:ascii="Arial Narrow" w:hAnsi="Arial Narrow" w:cs="Arial"/>
                <w:color w:val="000000"/>
                <w:sz w:val="20"/>
                <w:szCs w:val="20"/>
                <w:highlight w:val="black"/>
              </w:rPr>
            </w:pPr>
            <w:r>
              <w:rPr>
                <w:rFonts w:ascii="Arial Narrow" w:hAnsi="Arial Narrow" w:cs="Arial"/>
                <w:noProof/>
                <w:color w:val="000000"/>
                <w:sz w:val="20"/>
                <w:szCs w:val="20"/>
                <w:highlight w:val="black"/>
              </w:rPr>
              <w:t>''</w:t>
            </w:r>
          </w:p>
        </w:tc>
      </w:tr>
      <w:tr w:rsidR="00AE534E" w:rsidRPr="00DC34EE" w:rsidTr="00DC18B5">
        <w:trPr>
          <w:trHeight w:val="300"/>
        </w:trPr>
        <w:tc>
          <w:tcPr>
            <w:tcW w:w="1009" w:type="pct"/>
            <w:shd w:val="clear" w:color="auto" w:fill="auto"/>
            <w:noWrap/>
            <w:vAlign w:val="center"/>
            <w:hideMark/>
          </w:tcPr>
          <w:p w:rsidR="00AE534E" w:rsidRPr="00F7241C" w:rsidRDefault="00AE534E" w:rsidP="00AE534E">
            <w:pPr>
              <w:rPr>
                <w:rFonts w:ascii="Arial Narrow" w:hAnsi="Arial Narrow" w:cs="Arial"/>
                <w:b/>
                <w:color w:val="000000"/>
                <w:sz w:val="20"/>
                <w:szCs w:val="20"/>
              </w:rPr>
            </w:pPr>
            <w:r w:rsidRPr="00F7241C">
              <w:rPr>
                <w:rFonts w:ascii="Arial Narrow" w:hAnsi="Arial Narrow" w:cs="Arial"/>
                <w:b/>
                <w:color w:val="000000"/>
                <w:sz w:val="20"/>
                <w:szCs w:val="20"/>
              </w:rPr>
              <w:t>Total cost to PBS</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4"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4"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26" w:type="pct"/>
            <w:vAlign w:val="center"/>
          </w:tcPr>
          <w:p w:rsidR="00AE534E" w:rsidRPr="00F7241C" w:rsidRDefault="00AE534E" w:rsidP="00A91C5F">
            <w:pPr>
              <w:jc w:val="center"/>
              <w:rPr>
                <w:rFonts w:ascii="Arial Narrow" w:hAnsi="Arial Narrow" w:cs="Arial"/>
                <w:color w:val="000000"/>
                <w:sz w:val="20"/>
                <w:szCs w:val="20"/>
              </w:rPr>
            </w:pPr>
            <w:r>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r>
      <w:tr w:rsidR="00AE534E" w:rsidRPr="00DC34EE" w:rsidTr="00DC18B5">
        <w:trPr>
          <w:trHeight w:val="300"/>
        </w:trPr>
        <w:tc>
          <w:tcPr>
            <w:tcW w:w="1009" w:type="pct"/>
            <w:shd w:val="clear" w:color="auto" w:fill="auto"/>
            <w:noWrap/>
            <w:vAlign w:val="center"/>
            <w:hideMark/>
          </w:tcPr>
          <w:p w:rsidR="00AE534E" w:rsidRPr="00F7241C" w:rsidRDefault="00AE534E" w:rsidP="00AE534E">
            <w:pPr>
              <w:rPr>
                <w:rFonts w:ascii="Arial Narrow" w:hAnsi="Arial Narrow" w:cs="Arial"/>
                <w:b/>
                <w:color w:val="000000"/>
                <w:sz w:val="20"/>
                <w:szCs w:val="20"/>
              </w:rPr>
            </w:pPr>
            <w:r w:rsidRPr="00F7241C">
              <w:rPr>
                <w:rFonts w:ascii="Arial Narrow" w:hAnsi="Arial Narrow" w:cs="Arial"/>
                <w:b/>
                <w:color w:val="000000"/>
                <w:sz w:val="20"/>
                <w:szCs w:val="20"/>
              </w:rPr>
              <w:t>Total co-payments</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4"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4"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26" w:type="pct"/>
            <w:vAlign w:val="center"/>
          </w:tcPr>
          <w:p w:rsidR="00AE534E" w:rsidRPr="00F7241C" w:rsidRDefault="00AE534E" w:rsidP="00A91C5F">
            <w:pPr>
              <w:jc w:val="center"/>
              <w:rPr>
                <w:rFonts w:ascii="Arial Narrow" w:hAnsi="Arial Narrow" w:cs="Arial"/>
                <w:color w:val="000000"/>
                <w:sz w:val="20"/>
                <w:szCs w:val="20"/>
              </w:rPr>
            </w:pPr>
            <w:r>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r>
      <w:tr w:rsidR="00AE534E" w:rsidRPr="00DC34EE" w:rsidTr="00DC18B5">
        <w:trPr>
          <w:trHeight w:val="300"/>
        </w:trPr>
        <w:tc>
          <w:tcPr>
            <w:tcW w:w="1009" w:type="pct"/>
            <w:shd w:val="clear" w:color="auto" w:fill="auto"/>
            <w:noWrap/>
            <w:vAlign w:val="center"/>
            <w:hideMark/>
          </w:tcPr>
          <w:p w:rsidR="00AE534E" w:rsidRPr="00F7241C" w:rsidRDefault="00AE534E" w:rsidP="00AE534E">
            <w:pPr>
              <w:rPr>
                <w:rFonts w:ascii="Arial Narrow" w:hAnsi="Arial Narrow" w:cs="Arial"/>
                <w:b/>
                <w:color w:val="000000"/>
                <w:sz w:val="20"/>
                <w:szCs w:val="20"/>
              </w:rPr>
            </w:pPr>
            <w:r w:rsidRPr="00F7241C">
              <w:rPr>
                <w:rFonts w:ascii="Arial Narrow" w:hAnsi="Arial Narrow" w:cs="Arial"/>
                <w:b/>
                <w:color w:val="000000"/>
                <w:sz w:val="20"/>
                <w:szCs w:val="20"/>
              </w:rPr>
              <w:t>Net cost to PBS</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4"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4"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72" w:type="pct"/>
            <w:shd w:val="clear" w:color="auto" w:fill="auto"/>
            <w:noWrap/>
            <w:vAlign w:val="center"/>
            <w:hideMark/>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c>
          <w:tcPr>
            <w:tcW w:w="626" w:type="pct"/>
            <w:vAlign w:val="center"/>
          </w:tcPr>
          <w:p w:rsidR="00AE534E" w:rsidRPr="00F7241C" w:rsidRDefault="00AE534E" w:rsidP="00A91C5F">
            <w:pPr>
              <w:jc w:val="center"/>
              <w:rPr>
                <w:rFonts w:ascii="Arial Narrow" w:hAnsi="Arial Narrow" w:cs="Arial"/>
                <w:color w:val="000000"/>
                <w:sz w:val="20"/>
                <w:szCs w:val="20"/>
              </w:rPr>
            </w:pPr>
            <w:r w:rsidRPr="00F7241C">
              <w:rPr>
                <w:rFonts w:ascii="Arial Narrow" w:hAnsi="Arial Narrow" w:cs="Arial"/>
                <w:color w:val="000000"/>
                <w:sz w:val="20"/>
                <w:szCs w:val="20"/>
              </w:rPr>
              <w:t>$</w:t>
            </w:r>
            <w:r w:rsidR="009F3294">
              <w:rPr>
                <w:rFonts w:ascii="Arial Narrow" w:hAnsi="Arial Narrow" w:cs="Arial"/>
                <w:noProof/>
                <w:color w:val="000000"/>
                <w:sz w:val="20"/>
                <w:szCs w:val="20"/>
                <w:highlight w:val="black"/>
              </w:rPr>
              <w:t>''''''''''''''''''''''''''</w:t>
            </w:r>
          </w:p>
        </w:tc>
      </w:tr>
    </w:tbl>
    <w:p w:rsidR="008D02D6" w:rsidRPr="00E70F7C" w:rsidRDefault="008D02D6" w:rsidP="00E70F7C">
      <w:pPr>
        <w:ind w:firstLine="709"/>
        <w:rPr>
          <w:rFonts w:ascii="Arial Narrow" w:hAnsi="Arial Narrow"/>
          <w:b/>
          <w:sz w:val="20"/>
          <w:szCs w:val="20"/>
        </w:rPr>
      </w:pPr>
      <w:r w:rsidRPr="00E70F7C">
        <w:rPr>
          <w:rFonts w:ascii="Arial Narrow" w:hAnsi="Arial Narrow"/>
          <w:sz w:val="20"/>
          <w:szCs w:val="20"/>
        </w:rPr>
        <w:t>Source: prepared by HTA</w:t>
      </w:r>
      <w:r w:rsidR="00995BB8" w:rsidRPr="00E70F7C">
        <w:rPr>
          <w:rFonts w:ascii="Arial Narrow" w:hAnsi="Arial Narrow"/>
          <w:sz w:val="20"/>
          <w:szCs w:val="20"/>
        </w:rPr>
        <w:t xml:space="preserve"> based on submission </w:t>
      </w:r>
      <w:r w:rsidR="00CD04CE" w:rsidRPr="00E70F7C">
        <w:rPr>
          <w:rFonts w:ascii="Arial Narrow" w:hAnsi="Arial Narrow"/>
          <w:sz w:val="20"/>
          <w:szCs w:val="20"/>
        </w:rPr>
        <w:t>assumption</w:t>
      </w:r>
      <w:r w:rsidR="00995BB8" w:rsidRPr="00E70F7C">
        <w:rPr>
          <w:rFonts w:ascii="Arial Narrow" w:hAnsi="Arial Narrow"/>
          <w:sz w:val="20"/>
          <w:szCs w:val="20"/>
        </w:rPr>
        <w:t xml:space="preserve"> of up to </w:t>
      </w:r>
      <w:r w:rsidR="009F3294">
        <w:rPr>
          <w:rFonts w:ascii="Arial Narrow" w:hAnsi="Arial Narrow"/>
          <w:noProof/>
          <w:color w:val="000000"/>
          <w:sz w:val="20"/>
          <w:szCs w:val="20"/>
          <w:highlight w:val="black"/>
        </w:rPr>
        <w:t>''''''''''''</w:t>
      </w:r>
      <w:r w:rsidR="00995BB8" w:rsidRPr="00E70F7C">
        <w:rPr>
          <w:rFonts w:ascii="Arial Narrow" w:hAnsi="Arial Narrow"/>
          <w:sz w:val="20"/>
          <w:szCs w:val="20"/>
        </w:rPr>
        <w:t xml:space="preserve"> patients per year.</w:t>
      </w:r>
    </w:p>
    <w:p w:rsidR="00BB7EC3" w:rsidRPr="00C00DA7" w:rsidRDefault="00BB7EC3" w:rsidP="00C00DA7">
      <w:pPr>
        <w:jc w:val="both"/>
        <w:rPr>
          <w:rFonts w:ascii="Arial" w:hAnsi="Arial"/>
          <w:sz w:val="22"/>
          <w:szCs w:val="22"/>
        </w:rPr>
      </w:pPr>
    </w:p>
    <w:p w:rsidR="00F359E4" w:rsidRPr="00E0328A" w:rsidRDefault="00F359E4" w:rsidP="00E0328A">
      <w:pPr>
        <w:widowControl w:val="0"/>
        <w:numPr>
          <w:ilvl w:val="1"/>
          <w:numId w:val="5"/>
        </w:numPr>
        <w:contextualSpacing/>
        <w:jc w:val="both"/>
        <w:rPr>
          <w:rFonts w:ascii="Arial" w:hAnsi="Arial" w:cs="Arial"/>
          <w:bCs/>
          <w:snapToGrid w:val="0"/>
          <w:sz w:val="22"/>
          <w:szCs w:val="22"/>
          <w:lang w:val="en-GB"/>
        </w:rPr>
      </w:pPr>
      <w:r w:rsidRPr="00E0328A">
        <w:rPr>
          <w:rFonts w:ascii="Arial" w:hAnsi="Arial" w:cs="Arial"/>
          <w:bCs/>
          <w:snapToGrid w:val="0"/>
          <w:sz w:val="22"/>
          <w:szCs w:val="22"/>
          <w:lang w:val="en-GB"/>
        </w:rPr>
        <w:t xml:space="preserve">The pre-PBAC response </w:t>
      </w:r>
      <w:r w:rsidR="00282533" w:rsidRPr="00E0328A">
        <w:rPr>
          <w:rFonts w:ascii="Arial" w:hAnsi="Arial" w:cs="Arial"/>
          <w:bCs/>
          <w:snapToGrid w:val="0"/>
          <w:sz w:val="22"/>
          <w:szCs w:val="22"/>
          <w:lang w:val="en-GB"/>
        </w:rPr>
        <w:t xml:space="preserve">estimated </w:t>
      </w:r>
      <w:r w:rsidRPr="00E0328A">
        <w:rPr>
          <w:rFonts w:ascii="Arial" w:hAnsi="Arial" w:cs="Arial"/>
          <w:bCs/>
          <w:snapToGrid w:val="0"/>
          <w:sz w:val="22"/>
          <w:szCs w:val="22"/>
          <w:lang w:val="en-GB"/>
        </w:rPr>
        <w:t xml:space="preserve">that approximately 30% of patients would only receive treatment for </w:t>
      </w:r>
      <w:r w:rsidR="00D578D0">
        <w:rPr>
          <w:rFonts w:ascii="Arial" w:hAnsi="Arial" w:cs="Arial"/>
          <w:bCs/>
          <w:snapToGrid w:val="0"/>
          <w:sz w:val="22"/>
          <w:szCs w:val="22"/>
          <w:lang w:val="en-GB"/>
        </w:rPr>
        <w:t>3 months.</w:t>
      </w:r>
    </w:p>
    <w:p w:rsidR="00E0328A" w:rsidRDefault="00E0328A" w:rsidP="00F03E2C">
      <w:pPr>
        <w:pStyle w:val="ListParagraph"/>
        <w:ind w:left="709"/>
        <w:rPr>
          <w:i/>
          <w:szCs w:val="22"/>
        </w:rPr>
      </w:pPr>
    </w:p>
    <w:p w:rsidR="00F03E2C" w:rsidRDefault="00F03E2C" w:rsidP="00F03E2C">
      <w:pPr>
        <w:pStyle w:val="ListParagraph"/>
        <w:ind w:left="709"/>
        <w:rPr>
          <w:i/>
          <w:szCs w:val="22"/>
        </w:rPr>
      </w:pPr>
      <w:r w:rsidRPr="005F2BB5">
        <w:rPr>
          <w:i/>
          <w:szCs w:val="22"/>
        </w:rPr>
        <w:t>For more detail on PBAC’s view, see section 7 “PBAC outcome”</w:t>
      </w:r>
      <w:r w:rsidR="00DD004A">
        <w:rPr>
          <w:i/>
          <w:szCs w:val="22"/>
        </w:rPr>
        <w:t>.</w:t>
      </w:r>
    </w:p>
    <w:p w:rsidR="00F03E2C" w:rsidRDefault="00F03E2C">
      <w:pPr>
        <w:rPr>
          <w:rFonts w:ascii="Arial" w:hAnsi="Arial"/>
          <w:sz w:val="22"/>
          <w:szCs w:val="22"/>
        </w:rPr>
      </w:pPr>
    </w:p>
    <w:p w:rsidR="00304E14" w:rsidRDefault="00304E14">
      <w:pPr>
        <w:rPr>
          <w:rFonts w:ascii="Arial" w:hAnsi="Arial"/>
          <w:sz w:val="22"/>
          <w:szCs w:val="22"/>
        </w:rPr>
      </w:pPr>
    </w:p>
    <w:p w:rsidR="00F03E2C" w:rsidRPr="00176EFD" w:rsidRDefault="00F03E2C" w:rsidP="006E6EDD">
      <w:pPr>
        <w:widowControl w:val="0"/>
        <w:numPr>
          <w:ilvl w:val="0"/>
          <w:numId w:val="5"/>
        </w:numPr>
        <w:jc w:val="both"/>
        <w:outlineLvl w:val="0"/>
        <w:rPr>
          <w:rFonts w:ascii="Arial" w:hAnsi="Arial" w:cs="Arial"/>
          <w:b/>
          <w:bCs/>
          <w:snapToGrid w:val="0"/>
          <w:sz w:val="22"/>
          <w:szCs w:val="22"/>
        </w:rPr>
      </w:pPr>
      <w:r w:rsidRPr="00176EFD">
        <w:rPr>
          <w:rFonts w:ascii="Arial" w:hAnsi="Arial" w:cs="Arial"/>
          <w:b/>
          <w:bCs/>
          <w:snapToGrid w:val="0"/>
          <w:sz w:val="22"/>
          <w:szCs w:val="22"/>
        </w:rPr>
        <w:t>PBAC Outcome</w:t>
      </w:r>
    </w:p>
    <w:p w:rsidR="00F03E2C" w:rsidRPr="00176EFD" w:rsidRDefault="00F03E2C" w:rsidP="00F03E2C">
      <w:pPr>
        <w:contextualSpacing/>
        <w:jc w:val="both"/>
        <w:rPr>
          <w:rFonts w:ascii="Arial" w:hAnsi="Arial" w:cs="Arial"/>
          <w:b/>
          <w:bCs/>
          <w:snapToGrid w:val="0"/>
          <w:sz w:val="22"/>
          <w:szCs w:val="22"/>
          <w:lang w:val="en-GB"/>
        </w:rPr>
      </w:pPr>
    </w:p>
    <w:p w:rsidR="002A096D" w:rsidRPr="00176EFD" w:rsidRDefault="002A096D" w:rsidP="00F03E2C">
      <w:pPr>
        <w:widowControl w:val="0"/>
        <w:numPr>
          <w:ilvl w:val="1"/>
          <w:numId w:val="5"/>
        </w:numPr>
        <w:contextualSpacing/>
        <w:jc w:val="both"/>
        <w:rPr>
          <w:rFonts w:ascii="Arial" w:hAnsi="Arial" w:cs="Arial"/>
          <w:bCs/>
          <w:snapToGrid w:val="0"/>
          <w:sz w:val="22"/>
          <w:szCs w:val="22"/>
          <w:lang w:val="en-GB"/>
        </w:rPr>
      </w:pPr>
      <w:r w:rsidRPr="00176EFD">
        <w:rPr>
          <w:rFonts w:ascii="Arial" w:hAnsi="Arial" w:cs="Arial"/>
          <w:bCs/>
          <w:snapToGrid w:val="0"/>
          <w:sz w:val="22"/>
          <w:szCs w:val="22"/>
          <w:lang w:val="en-GB"/>
        </w:rPr>
        <w:t xml:space="preserve">The PBAC deferred </w:t>
      </w:r>
      <w:r w:rsidR="00E41258">
        <w:rPr>
          <w:rFonts w:ascii="Arial" w:hAnsi="Arial" w:cs="Arial"/>
          <w:bCs/>
          <w:snapToGrid w:val="0"/>
          <w:sz w:val="22"/>
          <w:szCs w:val="22"/>
          <w:lang w:val="en-GB"/>
        </w:rPr>
        <w:t xml:space="preserve">making a decision </w:t>
      </w:r>
      <w:r w:rsidR="00A91C5F">
        <w:rPr>
          <w:rFonts w:ascii="Arial" w:hAnsi="Arial" w:cs="Arial"/>
          <w:bCs/>
          <w:snapToGrid w:val="0"/>
          <w:sz w:val="22"/>
          <w:szCs w:val="22"/>
          <w:lang w:val="en-GB"/>
        </w:rPr>
        <w:t>regarding</w:t>
      </w:r>
      <w:r w:rsidR="00E41258">
        <w:rPr>
          <w:rFonts w:ascii="Arial" w:hAnsi="Arial" w:cs="Arial"/>
          <w:bCs/>
          <w:snapToGrid w:val="0"/>
          <w:sz w:val="22"/>
          <w:szCs w:val="22"/>
          <w:lang w:val="en-GB"/>
        </w:rPr>
        <w:t xml:space="preserve"> amending </w:t>
      </w:r>
      <w:r w:rsidRPr="00176EFD">
        <w:rPr>
          <w:rFonts w:ascii="Arial" w:hAnsi="Arial" w:cs="Arial"/>
          <w:bCs/>
          <w:snapToGrid w:val="0"/>
          <w:sz w:val="22"/>
          <w:szCs w:val="22"/>
          <w:lang w:val="en-GB"/>
        </w:rPr>
        <w:t xml:space="preserve">the </w:t>
      </w:r>
      <w:r w:rsidR="00E41258">
        <w:rPr>
          <w:rFonts w:ascii="Arial" w:hAnsi="Arial" w:cs="Arial"/>
          <w:bCs/>
          <w:snapToGrid w:val="0"/>
          <w:sz w:val="22"/>
          <w:szCs w:val="22"/>
          <w:lang w:val="en-GB"/>
        </w:rPr>
        <w:t>current</w:t>
      </w:r>
      <w:r w:rsidR="0037647B">
        <w:rPr>
          <w:rFonts w:ascii="Arial" w:hAnsi="Arial" w:cs="Arial"/>
          <w:bCs/>
          <w:snapToGrid w:val="0"/>
          <w:sz w:val="22"/>
          <w:szCs w:val="22"/>
          <w:lang w:val="en-GB"/>
        </w:rPr>
        <w:t xml:space="preserve"> </w:t>
      </w:r>
      <w:r w:rsidRPr="00176EFD">
        <w:rPr>
          <w:rFonts w:ascii="Arial" w:hAnsi="Arial" w:cs="Arial"/>
          <w:bCs/>
          <w:snapToGrid w:val="0"/>
          <w:sz w:val="22"/>
          <w:szCs w:val="22"/>
          <w:lang w:val="en-GB"/>
        </w:rPr>
        <w:t xml:space="preserve">listing of goserelin 3.6 mg implant </w:t>
      </w:r>
      <w:r w:rsidR="0037647B">
        <w:rPr>
          <w:rFonts w:ascii="Arial" w:hAnsi="Arial" w:cs="Arial"/>
          <w:bCs/>
          <w:snapToGrid w:val="0"/>
          <w:sz w:val="22"/>
          <w:szCs w:val="22"/>
          <w:lang w:val="en-GB"/>
        </w:rPr>
        <w:t>to allow for PBS-subsidised access for</w:t>
      </w:r>
      <w:r w:rsidR="0037647B" w:rsidRPr="00176EFD">
        <w:rPr>
          <w:rFonts w:ascii="Arial" w:hAnsi="Arial" w:cs="Arial"/>
          <w:bCs/>
          <w:snapToGrid w:val="0"/>
          <w:sz w:val="22"/>
          <w:szCs w:val="22"/>
          <w:lang w:val="en-GB"/>
        </w:rPr>
        <w:t xml:space="preserve"> </w:t>
      </w:r>
      <w:r w:rsidRPr="00176EFD">
        <w:rPr>
          <w:rFonts w:ascii="Arial" w:hAnsi="Arial" w:cs="Arial"/>
          <w:bCs/>
          <w:snapToGrid w:val="0"/>
          <w:sz w:val="22"/>
          <w:szCs w:val="22"/>
          <w:lang w:val="en-GB"/>
        </w:rPr>
        <w:t>the preservation of fertility in premenopausal women with breast cancer undergoing chemotherapy</w:t>
      </w:r>
      <w:r w:rsidR="00A91C5F">
        <w:rPr>
          <w:rFonts w:ascii="Arial" w:hAnsi="Arial" w:cs="Arial"/>
          <w:bCs/>
          <w:snapToGrid w:val="0"/>
          <w:sz w:val="22"/>
          <w:szCs w:val="22"/>
          <w:lang w:val="en-GB"/>
        </w:rPr>
        <w:t>,</w:t>
      </w:r>
      <w:r w:rsidRPr="00176EFD">
        <w:rPr>
          <w:rFonts w:ascii="Arial" w:hAnsi="Arial" w:cs="Arial"/>
          <w:bCs/>
          <w:snapToGrid w:val="0"/>
          <w:sz w:val="22"/>
          <w:szCs w:val="22"/>
          <w:lang w:val="en-GB"/>
        </w:rPr>
        <w:t xml:space="preserve"> on the basis that </w:t>
      </w:r>
      <w:r w:rsidR="006D79AE">
        <w:rPr>
          <w:rFonts w:ascii="Arial" w:hAnsi="Arial" w:cs="Arial"/>
          <w:bCs/>
          <w:snapToGrid w:val="0"/>
          <w:sz w:val="22"/>
          <w:szCs w:val="22"/>
          <w:lang w:val="en-GB"/>
        </w:rPr>
        <w:t xml:space="preserve">patient populations </w:t>
      </w:r>
      <w:r w:rsidR="00340650">
        <w:rPr>
          <w:rFonts w:ascii="Arial" w:hAnsi="Arial" w:cs="Arial"/>
          <w:bCs/>
          <w:snapToGrid w:val="0"/>
          <w:sz w:val="22"/>
          <w:szCs w:val="22"/>
          <w:lang w:val="en-GB"/>
        </w:rPr>
        <w:t>in addition to th</w:t>
      </w:r>
      <w:r w:rsidR="00A91C5F">
        <w:rPr>
          <w:rFonts w:ascii="Arial" w:hAnsi="Arial" w:cs="Arial"/>
          <w:bCs/>
          <w:snapToGrid w:val="0"/>
          <w:sz w:val="22"/>
          <w:szCs w:val="22"/>
          <w:lang w:val="en-GB"/>
        </w:rPr>
        <w:t>at</w:t>
      </w:r>
      <w:r w:rsidR="00340650">
        <w:rPr>
          <w:rFonts w:ascii="Arial" w:hAnsi="Arial" w:cs="Arial"/>
          <w:bCs/>
          <w:snapToGrid w:val="0"/>
          <w:sz w:val="22"/>
          <w:szCs w:val="22"/>
          <w:lang w:val="en-GB"/>
        </w:rPr>
        <w:t xml:space="preserve"> </w:t>
      </w:r>
      <w:r w:rsidR="006D79AE">
        <w:rPr>
          <w:rFonts w:ascii="Arial" w:hAnsi="Arial" w:cs="Arial"/>
          <w:bCs/>
          <w:snapToGrid w:val="0"/>
          <w:sz w:val="22"/>
          <w:szCs w:val="22"/>
          <w:lang w:val="en-GB"/>
        </w:rPr>
        <w:t xml:space="preserve">proposed </w:t>
      </w:r>
      <w:r w:rsidR="00340650">
        <w:rPr>
          <w:rFonts w:ascii="Arial" w:hAnsi="Arial" w:cs="Arial"/>
          <w:bCs/>
          <w:snapToGrid w:val="0"/>
          <w:sz w:val="22"/>
          <w:szCs w:val="22"/>
          <w:lang w:val="en-GB"/>
        </w:rPr>
        <w:t xml:space="preserve">by MOGA </w:t>
      </w:r>
      <w:r w:rsidR="006D79AE">
        <w:rPr>
          <w:rFonts w:ascii="Arial" w:hAnsi="Arial" w:cs="Arial"/>
          <w:bCs/>
          <w:snapToGrid w:val="0"/>
          <w:sz w:val="22"/>
          <w:szCs w:val="22"/>
          <w:lang w:val="en-GB"/>
        </w:rPr>
        <w:t xml:space="preserve">may benefit from and use this treatment. Consequently </w:t>
      </w:r>
      <w:r w:rsidRPr="00176EFD">
        <w:rPr>
          <w:rFonts w:ascii="Arial" w:hAnsi="Arial" w:cs="Arial"/>
          <w:bCs/>
          <w:snapToGrid w:val="0"/>
          <w:sz w:val="22"/>
          <w:szCs w:val="22"/>
          <w:lang w:val="en-GB"/>
        </w:rPr>
        <w:t xml:space="preserve">the utilisation </w:t>
      </w:r>
      <w:r w:rsidR="006D79AE">
        <w:rPr>
          <w:rFonts w:ascii="Arial" w:hAnsi="Arial" w:cs="Arial"/>
          <w:bCs/>
          <w:snapToGrid w:val="0"/>
          <w:sz w:val="22"/>
          <w:szCs w:val="22"/>
          <w:lang w:val="en-GB"/>
        </w:rPr>
        <w:t>may be</w:t>
      </w:r>
      <w:r w:rsidR="006D79AE" w:rsidRPr="00176EFD">
        <w:rPr>
          <w:rFonts w:ascii="Arial" w:hAnsi="Arial" w:cs="Arial"/>
          <w:bCs/>
          <w:snapToGrid w:val="0"/>
          <w:sz w:val="22"/>
          <w:szCs w:val="22"/>
          <w:lang w:val="en-GB"/>
        </w:rPr>
        <w:t xml:space="preserve"> </w:t>
      </w:r>
      <w:r w:rsidRPr="00176EFD">
        <w:rPr>
          <w:rFonts w:ascii="Arial" w:hAnsi="Arial" w:cs="Arial"/>
          <w:bCs/>
          <w:snapToGrid w:val="0"/>
          <w:sz w:val="22"/>
          <w:szCs w:val="22"/>
          <w:lang w:val="en-GB"/>
        </w:rPr>
        <w:t>underestimated.</w:t>
      </w:r>
    </w:p>
    <w:p w:rsidR="002A096D" w:rsidRPr="00176EFD" w:rsidRDefault="002A096D" w:rsidP="00A91C5F">
      <w:pPr>
        <w:widowControl w:val="0"/>
        <w:ind w:left="720"/>
        <w:contextualSpacing/>
        <w:jc w:val="both"/>
        <w:rPr>
          <w:rFonts w:ascii="Arial" w:hAnsi="Arial" w:cs="Arial"/>
          <w:bCs/>
          <w:snapToGrid w:val="0"/>
          <w:sz w:val="22"/>
          <w:szCs w:val="22"/>
          <w:lang w:val="en-GB"/>
        </w:rPr>
      </w:pPr>
    </w:p>
    <w:p w:rsidR="002A096D" w:rsidRDefault="002A096D" w:rsidP="00F03E2C">
      <w:pPr>
        <w:widowControl w:val="0"/>
        <w:numPr>
          <w:ilvl w:val="1"/>
          <w:numId w:val="5"/>
        </w:numPr>
        <w:contextualSpacing/>
        <w:jc w:val="both"/>
        <w:rPr>
          <w:rFonts w:ascii="Arial" w:hAnsi="Arial" w:cs="Arial"/>
          <w:bCs/>
          <w:snapToGrid w:val="0"/>
          <w:sz w:val="22"/>
          <w:szCs w:val="22"/>
          <w:lang w:val="en-GB"/>
        </w:rPr>
      </w:pPr>
      <w:r w:rsidRPr="00176EFD">
        <w:rPr>
          <w:rFonts w:ascii="Arial" w:hAnsi="Arial" w:cs="Arial"/>
          <w:bCs/>
          <w:snapToGrid w:val="0"/>
          <w:sz w:val="22"/>
          <w:szCs w:val="22"/>
          <w:lang w:val="en-GB"/>
        </w:rPr>
        <w:t>The PBAC recognised the clinical need for and benefits of preserving fertility in premenopausal women undergoing chemotherapy.</w:t>
      </w:r>
      <w:r w:rsidR="00AE2CF1" w:rsidRPr="00176EFD">
        <w:rPr>
          <w:rFonts w:ascii="Arial" w:hAnsi="Arial" w:cs="Arial"/>
          <w:bCs/>
          <w:snapToGrid w:val="0"/>
          <w:sz w:val="22"/>
          <w:szCs w:val="22"/>
          <w:lang w:val="en-GB"/>
        </w:rPr>
        <w:t xml:space="preserve"> However, the PBAC considered that this clinical need was relevant to all premenopausal women undergoing chemotherapy, and that the submission’s proposal to restrict use to only patients with breast cancer was inequitable.</w:t>
      </w:r>
    </w:p>
    <w:p w:rsidR="00D74CC0" w:rsidRDefault="00D74CC0" w:rsidP="00A91C5F">
      <w:pPr>
        <w:widowControl w:val="0"/>
        <w:ind w:left="720"/>
        <w:contextualSpacing/>
        <w:jc w:val="both"/>
        <w:rPr>
          <w:rFonts w:ascii="Arial" w:hAnsi="Arial" w:cs="Arial"/>
          <w:bCs/>
          <w:snapToGrid w:val="0"/>
          <w:sz w:val="22"/>
          <w:szCs w:val="22"/>
          <w:lang w:val="en-GB"/>
        </w:rPr>
      </w:pPr>
    </w:p>
    <w:p w:rsidR="00D74CC0" w:rsidRPr="00176EFD" w:rsidRDefault="00D74CC0" w:rsidP="00F03E2C">
      <w:pPr>
        <w:widowControl w:val="0"/>
        <w:numPr>
          <w:ilvl w:val="1"/>
          <w:numId w:val="5"/>
        </w:numPr>
        <w:contextualSpacing/>
        <w:jc w:val="both"/>
        <w:rPr>
          <w:rFonts w:ascii="Arial" w:hAnsi="Arial" w:cs="Arial"/>
          <w:bCs/>
          <w:snapToGrid w:val="0"/>
          <w:sz w:val="22"/>
          <w:szCs w:val="22"/>
          <w:lang w:val="en-GB"/>
        </w:rPr>
      </w:pPr>
      <w:r>
        <w:rPr>
          <w:rFonts w:ascii="Arial" w:hAnsi="Arial" w:cs="Arial"/>
          <w:bCs/>
          <w:snapToGrid w:val="0"/>
          <w:sz w:val="22"/>
          <w:szCs w:val="22"/>
          <w:lang w:val="en-GB"/>
        </w:rPr>
        <w:t>The PBAC noted that the submission did not nominate a clinical comparator, and considered that this was appropriate as there are no other treatment options available.</w:t>
      </w:r>
    </w:p>
    <w:p w:rsidR="00AE2CF1" w:rsidRPr="00A91C5F" w:rsidRDefault="00AE2CF1" w:rsidP="00A91C5F">
      <w:pPr>
        <w:widowControl w:val="0"/>
        <w:ind w:left="720"/>
        <w:contextualSpacing/>
        <w:jc w:val="both"/>
        <w:rPr>
          <w:rFonts w:ascii="Arial" w:hAnsi="Arial" w:cs="Arial"/>
          <w:bCs/>
          <w:snapToGrid w:val="0"/>
          <w:sz w:val="22"/>
          <w:szCs w:val="22"/>
          <w:lang w:val="en-GB"/>
        </w:rPr>
      </w:pPr>
    </w:p>
    <w:p w:rsidR="00AE2CF1" w:rsidRPr="00176EFD" w:rsidRDefault="00AE2CF1" w:rsidP="00F03E2C">
      <w:pPr>
        <w:widowControl w:val="0"/>
        <w:numPr>
          <w:ilvl w:val="1"/>
          <w:numId w:val="5"/>
        </w:numPr>
        <w:contextualSpacing/>
        <w:jc w:val="both"/>
        <w:rPr>
          <w:rFonts w:ascii="Arial" w:hAnsi="Arial" w:cs="Arial"/>
          <w:bCs/>
          <w:snapToGrid w:val="0"/>
          <w:sz w:val="22"/>
          <w:szCs w:val="22"/>
          <w:lang w:val="en-GB"/>
        </w:rPr>
      </w:pPr>
      <w:r w:rsidRPr="00176EFD">
        <w:rPr>
          <w:rFonts w:ascii="Arial" w:hAnsi="Arial" w:cs="Arial"/>
          <w:bCs/>
          <w:snapToGrid w:val="0"/>
          <w:sz w:val="22"/>
          <w:szCs w:val="22"/>
          <w:lang w:val="en-GB"/>
        </w:rPr>
        <w:t>The PBAC noted that patients taking goserelin had a reduced rate of ovarian failure and an increased rate of pregnancy. The PBAC considered that although the evidence presented in the submission related to breast cancer only, there was no evidence to indicate that the efficacy of goserelin in preserving fertility would be affected by the type of cancer.</w:t>
      </w:r>
      <w:r w:rsidR="00E70F7C">
        <w:rPr>
          <w:rFonts w:ascii="Arial" w:hAnsi="Arial" w:cs="Arial"/>
          <w:bCs/>
          <w:snapToGrid w:val="0"/>
          <w:sz w:val="22"/>
          <w:szCs w:val="22"/>
          <w:lang w:val="en-GB"/>
        </w:rPr>
        <w:t xml:space="preserve"> The PBAC considered that gonadal toxicity was related to the type of drug, the dose administered, use as combination agents and duration of use. Also important for some cancers was whether treatment involved radiation fields which included the ovaries at a dose which was likely to be toxic. Patient factors, particularly age of exposure to treatment, was also a consideration in identifying patients who may benefit.</w:t>
      </w:r>
    </w:p>
    <w:p w:rsidR="00DE281D" w:rsidRPr="00A91C5F" w:rsidRDefault="00DE281D" w:rsidP="00A91C5F">
      <w:pPr>
        <w:widowControl w:val="0"/>
        <w:ind w:left="720"/>
        <w:contextualSpacing/>
        <w:jc w:val="both"/>
        <w:rPr>
          <w:rFonts w:ascii="Arial" w:hAnsi="Arial" w:cs="Arial"/>
          <w:bCs/>
          <w:snapToGrid w:val="0"/>
          <w:sz w:val="22"/>
          <w:szCs w:val="22"/>
          <w:lang w:val="en-GB"/>
        </w:rPr>
      </w:pPr>
    </w:p>
    <w:p w:rsidR="00D74CC0" w:rsidRDefault="00DE281D" w:rsidP="00D74CC0">
      <w:pPr>
        <w:widowControl w:val="0"/>
        <w:numPr>
          <w:ilvl w:val="1"/>
          <w:numId w:val="5"/>
        </w:numPr>
        <w:contextualSpacing/>
        <w:jc w:val="both"/>
        <w:rPr>
          <w:rFonts w:ascii="Arial" w:hAnsi="Arial" w:cs="Arial"/>
          <w:bCs/>
          <w:snapToGrid w:val="0"/>
          <w:sz w:val="22"/>
          <w:szCs w:val="22"/>
          <w:lang w:val="en-GB"/>
        </w:rPr>
      </w:pPr>
      <w:r w:rsidRPr="00176EFD">
        <w:rPr>
          <w:rFonts w:ascii="Arial" w:hAnsi="Arial" w:cs="Arial"/>
          <w:bCs/>
          <w:snapToGrid w:val="0"/>
          <w:sz w:val="22"/>
          <w:szCs w:val="22"/>
          <w:lang w:val="en-GB"/>
        </w:rPr>
        <w:t xml:space="preserve">The PBAC considered that there was a high risk of </w:t>
      </w:r>
      <w:r w:rsidR="00724A9D">
        <w:rPr>
          <w:rFonts w:ascii="Arial" w:hAnsi="Arial" w:cs="Arial"/>
          <w:bCs/>
          <w:snapToGrid w:val="0"/>
          <w:sz w:val="22"/>
          <w:szCs w:val="22"/>
          <w:lang w:val="en-GB"/>
        </w:rPr>
        <w:t>use by</w:t>
      </w:r>
      <w:r w:rsidRPr="00176EFD">
        <w:rPr>
          <w:rFonts w:ascii="Arial" w:hAnsi="Arial" w:cs="Arial"/>
          <w:bCs/>
          <w:snapToGrid w:val="0"/>
          <w:sz w:val="22"/>
          <w:szCs w:val="22"/>
          <w:lang w:val="en-GB"/>
        </w:rPr>
        <w:t xml:space="preserve"> patients with other cancers and therefore the proposed utilisation was an underestimate. </w:t>
      </w:r>
      <w:r w:rsidR="00D74CC0">
        <w:rPr>
          <w:rFonts w:ascii="Arial" w:hAnsi="Arial" w:cs="Arial"/>
          <w:bCs/>
          <w:snapToGrid w:val="0"/>
          <w:sz w:val="22"/>
          <w:szCs w:val="22"/>
          <w:lang w:val="en-GB"/>
        </w:rPr>
        <w:t xml:space="preserve">However, the PBAC considered that this use may be clinically appropriate. </w:t>
      </w:r>
      <w:r w:rsidR="00D74CC0" w:rsidRPr="00A91C5F">
        <w:rPr>
          <w:rFonts w:ascii="Arial" w:hAnsi="Arial" w:cs="Arial"/>
          <w:bCs/>
          <w:snapToGrid w:val="0"/>
          <w:sz w:val="22"/>
          <w:szCs w:val="22"/>
          <w:lang w:val="en-GB"/>
        </w:rPr>
        <w:t>The PBAC also considered that there was minimal risk of use beyond the estimated treatment period due to the menopausal side effects of treatment.</w:t>
      </w:r>
    </w:p>
    <w:p w:rsidR="00D74CC0" w:rsidRDefault="00D74CC0" w:rsidP="00A91C5F">
      <w:pPr>
        <w:widowControl w:val="0"/>
        <w:ind w:left="720"/>
        <w:contextualSpacing/>
        <w:jc w:val="both"/>
        <w:rPr>
          <w:rFonts w:ascii="Arial" w:hAnsi="Arial" w:cs="Arial"/>
          <w:bCs/>
          <w:snapToGrid w:val="0"/>
          <w:sz w:val="22"/>
          <w:szCs w:val="22"/>
          <w:lang w:val="en-GB"/>
        </w:rPr>
      </w:pPr>
    </w:p>
    <w:p w:rsidR="00D74CC0" w:rsidRPr="00A91C5F" w:rsidRDefault="00D74CC0" w:rsidP="00A91C5F">
      <w:pPr>
        <w:widowControl w:val="0"/>
        <w:numPr>
          <w:ilvl w:val="1"/>
          <w:numId w:val="5"/>
        </w:numPr>
        <w:contextualSpacing/>
        <w:jc w:val="both"/>
        <w:rPr>
          <w:rFonts w:ascii="Arial" w:hAnsi="Arial" w:cs="Arial"/>
          <w:bCs/>
          <w:snapToGrid w:val="0"/>
          <w:sz w:val="22"/>
          <w:szCs w:val="22"/>
          <w:lang w:val="en-GB"/>
        </w:rPr>
      </w:pPr>
      <w:r w:rsidRPr="00A91C5F">
        <w:rPr>
          <w:rFonts w:ascii="Arial" w:hAnsi="Arial" w:cs="Arial"/>
          <w:bCs/>
          <w:snapToGrid w:val="0"/>
          <w:sz w:val="22"/>
          <w:szCs w:val="22"/>
          <w:lang w:val="en-GB"/>
        </w:rPr>
        <w:t>The PBAC also considered that there was an insufficient evidence base to support the patient numbers or estimated duration of treatment estimated in the submission, and therefore the cost of listing was uncertain.</w:t>
      </w:r>
    </w:p>
    <w:p w:rsidR="0037647B" w:rsidRPr="00A91C5F" w:rsidRDefault="0037647B" w:rsidP="00A91C5F">
      <w:pPr>
        <w:widowControl w:val="0"/>
        <w:ind w:left="720"/>
        <w:contextualSpacing/>
        <w:jc w:val="both"/>
        <w:rPr>
          <w:rFonts w:ascii="Arial" w:hAnsi="Arial" w:cs="Arial"/>
          <w:bCs/>
          <w:snapToGrid w:val="0"/>
          <w:sz w:val="22"/>
          <w:szCs w:val="22"/>
          <w:lang w:val="en-GB"/>
        </w:rPr>
      </w:pPr>
    </w:p>
    <w:p w:rsidR="00DE281D" w:rsidRPr="00176EFD" w:rsidRDefault="0037647B" w:rsidP="00F03E2C">
      <w:pPr>
        <w:widowControl w:val="0"/>
        <w:numPr>
          <w:ilvl w:val="1"/>
          <w:numId w:val="5"/>
        </w:numPr>
        <w:contextualSpacing/>
        <w:jc w:val="both"/>
        <w:rPr>
          <w:rFonts w:ascii="Arial" w:hAnsi="Arial" w:cs="Arial"/>
          <w:bCs/>
          <w:snapToGrid w:val="0"/>
          <w:sz w:val="22"/>
          <w:szCs w:val="22"/>
          <w:lang w:val="en-GB"/>
        </w:rPr>
      </w:pPr>
      <w:r>
        <w:rPr>
          <w:rFonts w:ascii="Arial" w:hAnsi="Arial" w:cs="Arial"/>
          <w:bCs/>
          <w:snapToGrid w:val="0"/>
          <w:sz w:val="22"/>
          <w:szCs w:val="22"/>
          <w:lang w:val="en-GB"/>
        </w:rPr>
        <w:t>R</w:t>
      </w:r>
      <w:r w:rsidR="00344058">
        <w:rPr>
          <w:rFonts w:ascii="Arial" w:hAnsi="Arial" w:cs="Arial"/>
          <w:bCs/>
          <w:snapToGrid w:val="0"/>
          <w:sz w:val="22"/>
          <w:szCs w:val="22"/>
          <w:lang w:val="en-GB"/>
        </w:rPr>
        <w:t xml:space="preserve">ather than prevent </w:t>
      </w:r>
      <w:r>
        <w:rPr>
          <w:rFonts w:ascii="Arial" w:hAnsi="Arial" w:cs="Arial"/>
          <w:bCs/>
          <w:snapToGrid w:val="0"/>
          <w:sz w:val="22"/>
          <w:szCs w:val="22"/>
          <w:lang w:val="en-GB"/>
        </w:rPr>
        <w:t>leakage into all patients for whom goserelin may prevent chemotherapy</w:t>
      </w:r>
      <w:r>
        <w:rPr>
          <w:rFonts w:ascii="Arial" w:hAnsi="Arial" w:cs="Arial"/>
          <w:bCs/>
          <w:snapToGrid w:val="0"/>
          <w:sz w:val="22"/>
          <w:szCs w:val="22"/>
          <w:lang w:val="en-GB"/>
        </w:rPr>
        <w:noBreakHyphen/>
        <w:t xml:space="preserve">induced menopause </w:t>
      </w:r>
      <w:r w:rsidR="00344058">
        <w:rPr>
          <w:rFonts w:ascii="Arial" w:hAnsi="Arial" w:cs="Arial"/>
          <w:bCs/>
          <w:snapToGrid w:val="0"/>
          <w:sz w:val="22"/>
          <w:szCs w:val="22"/>
          <w:lang w:val="en-GB"/>
        </w:rPr>
        <w:t xml:space="preserve">from occurring, the </w:t>
      </w:r>
      <w:r>
        <w:rPr>
          <w:rFonts w:ascii="Arial" w:hAnsi="Arial" w:cs="Arial"/>
          <w:bCs/>
          <w:snapToGrid w:val="0"/>
          <w:sz w:val="22"/>
          <w:szCs w:val="22"/>
          <w:lang w:val="en-GB"/>
        </w:rPr>
        <w:t>PBAC considered that a re</w:t>
      </w:r>
      <w:r w:rsidR="00344058">
        <w:rPr>
          <w:rFonts w:ascii="Arial" w:hAnsi="Arial" w:cs="Arial"/>
          <w:bCs/>
          <w:snapToGrid w:val="0"/>
          <w:sz w:val="22"/>
          <w:szCs w:val="22"/>
          <w:lang w:val="en-GB"/>
        </w:rPr>
        <w:t xml:space="preserve">submission should </w:t>
      </w:r>
      <w:r>
        <w:rPr>
          <w:rFonts w:ascii="Arial" w:hAnsi="Arial" w:cs="Arial"/>
          <w:bCs/>
          <w:snapToGrid w:val="0"/>
          <w:sz w:val="22"/>
          <w:szCs w:val="22"/>
          <w:lang w:val="en-GB"/>
        </w:rPr>
        <w:t xml:space="preserve">present a </w:t>
      </w:r>
      <w:r w:rsidR="00344058">
        <w:rPr>
          <w:rFonts w:ascii="Arial" w:hAnsi="Arial" w:cs="Arial"/>
          <w:bCs/>
          <w:snapToGrid w:val="0"/>
          <w:sz w:val="22"/>
          <w:szCs w:val="22"/>
          <w:lang w:val="en-GB"/>
        </w:rPr>
        <w:t>revise</w:t>
      </w:r>
      <w:r>
        <w:rPr>
          <w:rFonts w:ascii="Arial" w:hAnsi="Arial" w:cs="Arial"/>
          <w:bCs/>
          <w:snapToGrid w:val="0"/>
          <w:sz w:val="22"/>
          <w:szCs w:val="22"/>
          <w:lang w:val="en-GB"/>
        </w:rPr>
        <w:t>d</w:t>
      </w:r>
      <w:r w:rsidR="00344058">
        <w:rPr>
          <w:rFonts w:ascii="Arial" w:hAnsi="Arial" w:cs="Arial"/>
          <w:bCs/>
          <w:snapToGrid w:val="0"/>
          <w:sz w:val="22"/>
          <w:szCs w:val="22"/>
          <w:lang w:val="en-GB"/>
        </w:rPr>
        <w:t xml:space="preserve"> proposal</w:t>
      </w:r>
      <w:r>
        <w:rPr>
          <w:rFonts w:ascii="Arial" w:hAnsi="Arial" w:cs="Arial"/>
          <w:bCs/>
          <w:snapToGrid w:val="0"/>
          <w:sz w:val="22"/>
          <w:szCs w:val="22"/>
          <w:lang w:val="en-GB"/>
        </w:rPr>
        <w:t xml:space="preserve"> for this broader patient population, which should include </w:t>
      </w:r>
      <w:r w:rsidR="00BC1B10">
        <w:rPr>
          <w:rFonts w:ascii="Arial" w:hAnsi="Arial" w:cs="Arial"/>
          <w:bCs/>
          <w:snapToGrid w:val="0"/>
          <w:sz w:val="22"/>
          <w:szCs w:val="22"/>
          <w:lang w:val="en-GB"/>
        </w:rPr>
        <w:t xml:space="preserve">a </w:t>
      </w:r>
      <w:r>
        <w:rPr>
          <w:rFonts w:ascii="Arial" w:hAnsi="Arial" w:cs="Arial"/>
          <w:bCs/>
          <w:snapToGrid w:val="0"/>
          <w:sz w:val="22"/>
          <w:szCs w:val="22"/>
          <w:lang w:val="en-GB"/>
        </w:rPr>
        <w:t>revised restriction and utilisation estimates</w:t>
      </w:r>
      <w:r w:rsidR="00A91C5F">
        <w:rPr>
          <w:rFonts w:ascii="Arial" w:hAnsi="Arial" w:cs="Arial"/>
          <w:bCs/>
          <w:snapToGrid w:val="0"/>
          <w:sz w:val="22"/>
          <w:szCs w:val="22"/>
          <w:lang w:val="en-GB"/>
        </w:rPr>
        <w:t xml:space="preserve"> to more accurately reflect the appropriate clinical place in therapy</w:t>
      </w:r>
      <w:r w:rsidR="00E70F7C">
        <w:rPr>
          <w:rFonts w:ascii="Arial" w:hAnsi="Arial" w:cs="Arial"/>
          <w:bCs/>
          <w:snapToGrid w:val="0"/>
          <w:sz w:val="22"/>
          <w:szCs w:val="22"/>
          <w:lang w:val="en-GB"/>
        </w:rPr>
        <w:t xml:space="preserve"> (refer to</w:t>
      </w:r>
      <w:r w:rsidR="00062460">
        <w:rPr>
          <w:rFonts w:ascii="Arial" w:hAnsi="Arial" w:cs="Arial"/>
          <w:bCs/>
          <w:snapToGrid w:val="0"/>
          <w:sz w:val="22"/>
          <w:szCs w:val="22"/>
          <w:lang w:val="en-GB"/>
        </w:rPr>
        <w:t xml:space="preserve"> paragraph</w:t>
      </w:r>
      <w:r w:rsidR="00E70F7C">
        <w:rPr>
          <w:rFonts w:ascii="Arial" w:hAnsi="Arial" w:cs="Arial"/>
          <w:bCs/>
          <w:snapToGrid w:val="0"/>
          <w:sz w:val="22"/>
          <w:szCs w:val="22"/>
          <w:lang w:val="en-GB"/>
        </w:rPr>
        <w:t xml:space="preserve"> 7.4)</w:t>
      </w:r>
      <w:r w:rsidR="00344058">
        <w:rPr>
          <w:rFonts w:ascii="Arial" w:hAnsi="Arial" w:cs="Arial"/>
          <w:bCs/>
          <w:snapToGrid w:val="0"/>
          <w:sz w:val="22"/>
          <w:szCs w:val="22"/>
          <w:lang w:val="en-GB"/>
        </w:rPr>
        <w:t>.</w:t>
      </w:r>
      <w:r w:rsidR="00D74CC0">
        <w:rPr>
          <w:rFonts w:ascii="Arial" w:hAnsi="Arial" w:cs="Arial"/>
          <w:bCs/>
          <w:snapToGrid w:val="0"/>
          <w:sz w:val="22"/>
          <w:szCs w:val="22"/>
          <w:lang w:val="en-GB"/>
        </w:rPr>
        <w:t xml:space="preserve"> </w:t>
      </w:r>
      <w:r w:rsidR="00D74CC0" w:rsidRPr="00A91C5F">
        <w:rPr>
          <w:rFonts w:ascii="Arial" w:hAnsi="Arial" w:cs="Arial"/>
          <w:bCs/>
          <w:snapToGrid w:val="0"/>
          <w:sz w:val="22"/>
          <w:szCs w:val="22"/>
          <w:lang w:val="en-GB"/>
        </w:rPr>
        <w:t>The PBAC also noted that because of the uncertain utilisation, it may be necessary to include a risk share arrangement cap on patient numbers.</w:t>
      </w:r>
    </w:p>
    <w:p w:rsidR="00F03E2C" w:rsidRPr="00176EFD" w:rsidRDefault="00F03E2C" w:rsidP="00F03E2C">
      <w:pPr>
        <w:jc w:val="both"/>
        <w:rPr>
          <w:rFonts w:ascii="Arial" w:hAnsi="Arial" w:cs="Arial"/>
          <w:b/>
          <w:bCs/>
          <w:snapToGrid w:val="0"/>
          <w:sz w:val="22"/>
          <w:szCs w:val="22"/>
          <w:lang w:val="en-GB"/>
        </w:rPr>
      </w:pPr>
    </w:p>
    <w:p w:rsidR="00F03E2C" w:rsidRPr="00176EFD" w:rsidRDefault="00F03E2C" w:rsidP="00F03E2C">
      <w:pPr>
        <w:jc w:val="both"/>
        <w:rPr>
          <w:rFonts w:ascii="Arial" w:hAnsi="Arial" w:cs="Arial"/>
          <w:b/>
          <w:bCs/>
          <w:snapToGrid w:val="0"/>
          <w:sz w:val="22"/>
          <w:szCs w:val="22"/>
          <w:lang w:val="en-GB"/>
        </w:rPr>
      </w:pPr>
      <w:r w:rsidRPr="00176EFD">
        <w:rPr>
          <w:rFonts w:ascii="Arial" w:hAnsi="Arial" w:cs="Arial"/>
          <w:b/>
          <w:bCs/>
          <w:snapToGrid w:val="0"/>
          <w:sz w:val="22"/>
          <w:szCs w:val="22"/>
          <w:lang w:val="en-GB"/>
        </w:rPr>
        <w:t>Outcome:</w:t>
      </w:r>
    </w:p>
    <w:p w:rsidR="00F03E2C" w:rsidRDefault="00F03E2C" w:rsidP="000C70B9">
      <w:pPr>
        <w:jc w:val="both"/>
        <w:rPr>
          <w:rFonts w:ascii="Arial" w:hAnsi="Arial" w:cs="Arial"/>
          <w:bCs/>
          <w:snapToGrid w:val="0"/>
          <w:sz w:val="22"/>
          <w:szCs w:val="22"/>
          <w:lang w:val="en-GB"/>
        </w:rPr>
      </w:pPr>
      <w:r w:rsidRPr="00176EFD">
        <w:rPr>
          <w:rFonts w:ascii="Arial" w:hAnsi="Arial" w:cs="Arial"/>
          <w:bCs/>
          <w:snapToGrid w:val="0"/>
          <w:sz w:val="22"/>
          <w:szCs w:val="22"/>
          <w:lang w:val="en-GB"/>
        </w:rPr>
        <w:t>Deferred</w:t>
      </w:r>
    </w:p>
    <w:p w:rsidR="00C10073" w:rsidRDefault="00C10073" w:rsidP="000C70B9">
      <w:pPr>
        <w:jc w:val="both"/>
        <w:rPr>
          <w:rFonts w:ascii="Arial" w:hAnsi="Arial" w:cs="Arial"/>
          <w:bCs/>
          <w:snapToGrid w:val="0"/>
          <w:sz w:val="22"/>
          <w:szCs w:val="22"/>
          <w:lang w:val="en-GB"/>
        </w:rPr>
      </w:pPr>
    </w:p>
    <w:p w:rsidR="00DC18B5" w:rsidRDefault="00DC18B5" w:rsidP="000C70B9">
      <w:pPr>
        <w:jc w:val="both"/>
        <w:rPr>
          <w:rFonts w:ascii="Arial" w:hAnsi="Arial" w:cs="Arial"/>
          <w:bCs/>
          <w:snapToGrid w:val="0"/>
          <w:sz w:val="22"/>
          <w:szCs w:val="22"/>
          <w:lang w:val="en-GB"/>
        </w:rPr>
      </w:pPr>
    </w:p>
    <w:p w:rsidR="00C10073" w:rsidRPr="00C10073" w:rsidRDefault="00C10073" w:rsidP="00C10073">
      <w:pPr>
        <w:widowControl w:val="0"/>
        <w:numPr>
          <w:ilvl w:val="0"/>
          <w:numId w:val="5"/>
        </w:numPr>
        <w:jc w:val="both"/>
        <w:outlineLvl w:val="0"/>
        <w:rPr>
          <w:rFonts w:ascii="Arial" w:hAnsi="Arial" w:cs="Arial"/>
          <w:b/>
          <w:bCs/>
          <w:snapToGrid w:val="0"/>
          <w:sz w:val="22"/>
          <w:szCs w:val="22"/>
        </w:rPr>
      </w:pPr>
      <w:r w:rsidRPr="00C10073">
        <w:rPr>
          <w:rFonts w:ascii="Arial" w:hAnsi="Arial" w:cs="Arial"/>
          <w:b/>
          <w:bCs/>
          <w:snapToGrid w:val="0"/>
          <w:sz w:val="22"/>
          <w:szCs w:val="22"/>
        </w:rPr>
        <w:t>Context for Decision</w:t>
      </w:r>
    </w:p>
    <w:p w:rsidR="00C10073" w:rsidRDefault="00C10073" w:rsidP="00C10073">
      <w:pPr>
        <w:ind w:left="426"/>
      </w:pPr>
    </w:p>
    <w:p w:rsidR="00C10073" w:rsidRPr="00C10073" w:rsidRDefault="00C10073" w:rsidP="00DC18B5">
      <w:pPr>
        <w:ind w:left="709"/>
        <w:jc w:val="both"/>
        <w:rPr>
          <w:rFonts w:ascii="Arial" w:hAnsi="Arial" w:cs="Arial"/>
          <w:bCs/>
          <w:snapToGrid w:val="0"/>
          <w:sz w:val="22"/>
          <w:szCs w:val="22"/>
          <w:lang w:val="en-GB"/>
        </w:rPr>
      </w:pPr>
      <w:r w:rsidRPr="00C10073">
        <w:rPr>
          <w:rFonts w:ascii="Arial" w:hAnsi="Arial" w:cs="Arial"/>
          <w:bCs/>
          <w:snapToGrid w:val="0"/>
          <w:sz w:val="22"/>
          <w:szCs w:val="22"/>
          <w:lang w:val="en-GB"/>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10073" w:rsidRDefault="00C10073" w:rsidP="00C10073">
      <w:pPr>
        <w:ind w:left="709"/>
      </w:pPr>
    </w:p>
    <w:p w:rsidR="00DC18B5" w:rsidRDefault="00DC18B5" w:rsidP="00C10073">
      <w:pPr>
        <w:ind w:left="709"/>
      </w:pPr>
    </w:p>
    <w:p w:rsidR="00C10073" w:rsidRPr="00C10073" w:rsidRDefault="00C10073" w:rsidP="00C10073">
      <w:pPr>
        <w:widowControl w:val="0"/>
        <w:numPr>
          <w:ilvl w:val="0"/>
          <w:numId w:val="5"/>
        </w:numPr>
        <w:jc w:val="both"/>
        <w:outlineLvl w:val="0"/>
        <w:rPr>
          <w:rFonts w:ascii="Arial" w:hAnsi="Arial" w:cs="Arial"/>
          <w:b/>
          <w:bCs/>
          <w:snapToGrid w:val="0"/>
          <w:sz w:val="22"/>
          <w:szCs w:val="22"/>
        </w:rPr>
      </w:pPr>
      <w:r w:rsidRPr="00C10073">
        <w:rPr>
          <w:rFonts w:ascii="Arial" w:hAnsi="Arial" w:cs="Arial"/>
          <w:b/>
          <w:bCs/>
          <w:snapToGrid w:val="0"/>
          <w:sz w:val="22"/>
          <w:szCs w:val="22"/>
        </w:rPr>
        <w:t>Sponsor’s Comment</w:t>
      </w:r>
    </w:p>
    <w:p w:rsidR="00C10073" w:rsidRDefault="00C10073" w:rsidP="00C10073">
      <w:pPr>
        <w:ind w:left="426"/>
        <w:rPr>
          <w:bCs/>
          <w:highlight w:val="yellow"/>
          <w:lang w:val="en-GB"/>
        </w:rPr>
      </w:pPr>
    </w:p>
    <w:p w:rsidR="00D00B0A" w:rsidRPr="00C10073" w:rsidRDefault="00D00B0A" w:rsidP="00D00B0A">
      <w:pPr>
        <w:spacing w:after="120"/>
        <w:ind w:left="709"/>
        <w:jc w:val="both"/>
        <w:rPr>
          <w:rFonts w:ascii="Arial" w:hAnsi="Arial" w:cs="Arial"/>
          <w:bCs/>
          <w:snapToGrid w:val="0"/>
          <w:sz w:val="22"/>
          <w:szCs w:val="22"/>
          <w:lang w:val="en-GB"/>
        </w:rPr>
      </w:pPr>
      <w:r w:rsidRPr="003006FA">
        <w:rPr>
          <w:rFonts w:ascii="Arial" w:hAnsi="Arial" w:cs="Arial"/>
          <w:bCs/>
          <w:snapToGrid w:val="0"/>
          <w:sz w:val="22"/>
          <w:szCs w:val="22"/>
          <w:lang w:val="en-GB"/>
        </w:rPr>
        <w:t>The Association is disappointed at the deferral and are currently reviewing the PBAC’s advice in relation to the available evidence on fertility preser</w:t>
      </w:r>
      <w:r w:rsidR="00D578D0">
        <w:rPr>
          <w:rFonts w:ascii="Arial" w:hAnsi="Arial" w:cs="Arial"/>
          <w:bCs/>
          <w:snapToGrid w:val="0"/>
          <w:sz w:val="22"/>
          <w:szCs w:val="22"/>
          <w:lang w:val="en-GB"/>
        </w:rPr>
        <w:t>vation for premenopausal women.</w:t>
      </w:r>
    </w:p>
    <w:p w:rsidR="00C10073" w:rsidRPr="000C70B9" w:rsidRDefault="00C10073" w:rsidP="000C70B9">
      <w:pPr>
        <w:jc w:val="both"/>
        <w:rPr>
          <w:rFonts w:ascii="Arial" w:hAnsi="Arial" w:cs="Arial"/>
          <w:bCs/>
          <w:snapToGrid w:val="0"/>
          <w:sz w:val="22"/>
          <w:szCs w:val="22"/>
          <w:lang w:val="en-GB"/>
        </w:rPr>
      </w:pPr>
    </w:p>
    <w:sectPr w:rsidR="00C10073" w:rsidRPr="000C70B9" w:rsidSect="00C27B58">
      <w:headerReference w:type="even" r:id="rId9"/>
      <w:headerReference w:type="default" r:id="rId10"/>
      <w:footerReference w:type="even" r:id="rId11"/>
      <w:footerReference w:type="default" r:id="rId12"/>
      <w:headerReference w:type="first" r:id="rId13"/>
      <w:footerReference w:type="first" r:id="rId14"/>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3294" w:rsidRDefault="009F3294">
      <w:r>
        <w:separator/>
      </w:r>
    </w:p>
    <w:p w:rsidR="009F3294" w:rsidRDefault="009F3294"/>
  </w:endnote>
  <w:endnote w:type="continuationSeparator" w:id="0">
    <w:p w:rsidR="009F3294" w:rsidRDefault="009F3294">
      <w:r>
        <w:continuationSeparator/>
      </w:r>
    </w:p>
    <w:p w:rsidR="009F3294" w:rsidRDefault="009F32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Arial Bold">
    <w:panose1 w:val="020B0704020202020204"/>
    <w:charset w:val="00"/>
    <w:family w:val="auto"/>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10A2D" w:rsidTr="005A3173">
      <w:trPr>
        <w:trHeight w:val="151"/>
      </w:trPr>
      <w:tc>
        <w:tcPr>
          <w:tcW w:w="2250" w:type="pct"/>
          <w:tcBorders>
            <w:top w:val="nil"/>
            <w:left w:val="nil"/>
            <w:bottom w:val="single" w:sz="4" w:space="0" w:color="4F81BD"/>
            <w:right w:val="nil"/>
          </w:tcBorders>
        </w:tcPr>
        <w:p w:rsidR="00C10A2D" w:rsidRPr="005A3173" w:rsidRDefault="00C10A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0A2D" w:rsidRPr="005A3173" w:rsidRDefault="00C10A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0A2D" w:rsidRPr="005A3173" w:rsidRDefault="00C10A2D" w:rsidP="005A3173">
          <w:pPr>
            <w:pStyle w:val="Header"/>
            <w:spacing w:line="276" w:lineRule="auto"/>
            <w:rPr>
              <w:rFonts w:ascii="Calibri" w:eastAsia="MS Gothic" w:hAnsi="Calibri"/>
              <w:b/>
              <w:bCs/>
              <w:color w:val="4F81BD"/>
            </w:rPr>
          </w:pPr>
        </w:p>
      </w:tc>
    </w:tr>
    <w:tr w:rsidR="00C10A2D" w:rsidTr="005A3173">
      <w:trPr>
        <w:trHeight w:val="150"/>
      </w:trPr>
      <w:tc>
        <w:tcPr>
          <w:tcW w:w="2250" w:type="pct"/>
          <w:tcBorders>
            <w:top w:val="single" w:sz="4" w:space="0" w:color="4F81BD"/>
            <w:left w:val="nil"/>
            <w:bottom w:val="nil"/>
            <w:right w:val="nil"/>
          </w:tcBorders>
        </w:tcPr>
        <w:p w:rsidR="00C10A2D" w:rsidRPr="005A3173" w:rsidRDefault="00C10A2D" w:rsidP="005A3173">
          <w:pPr>
            <w:pStyle w:val="Header"/>
            <w:spacing w:line="276" w:lineRule="auto"/>
            <w:rPr>
              <w:rFonts w:ascii="Calibri" w:eastAsia="MS Gothic" w:hAnsi="Calibri"/>
              <w:b/>
              <w:bCs/>
              <w:color w:val="4F81BD"/>
            </w:rPr>
          </w:pPr>
        </w:p>
      </w:tc>
      <w:tc>
        <w:tcPr>
          <w:tcW w:w="0" w:type="auto"/>
          <w:vMerge/>
          <w:vAlign w:val="center"/>
          <w:hideMark/>
        </w:tcPr>
        <w:p w:rsidR="00C10A2D" w:rsidRPr="005A3173" w:rsidRDefault="00C10A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0A2D" w:rsidRPr="005A3173" w:rsidRDefault="00C10A2D" w:rsidP="005A3173">
          <w:pPr>
            <w:pStyle w:val="Header"/>
            <w:spacing w:line="276" w:lineRule="auto"/>
            <w:rPr>
              <w:rFonts w:ascii="Calibri" w:eastAsia="MS Gothic" w:hAnsi="Calibri"/>
              <w:b/>
              <w:bCs/>
              <w:color w:val="4F81BD"/>
            </w:rPr>
          </w:pPr>
        </w:p>
      </w:tc>
    </w:tr>
  </w:tbl>
  <w:p w:rsidR="00C10A2D" w:rsidRDefault="00C10A2D"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C10A2D" w:rsidRDefault="00C10A2D">
    <w:pPr>
      <w:pStyle w:val="Footer"/>
    </w:pPr>
  </w:p>
  <w:p w:rsidR="00C10A2D" w:rsidRDefault="00C10A2D"/>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5662778"/>
      <w:docPartObj>
        <w:docPartGallery w:val="Page Numbers (Bottom of Page)"/>
        <w:docPartUnique/>
      </w:docPartObj>
    </w:sdtPr>
    <w:sdtEndPr>
      <w:rPr>
        <w:rFonts w:ascii="Arial" w:hAnsi="Arial" w:cs="Arial"/>
        <w:noProof/>
        <w:sz w:val="22"/>
        <w:szCs w:val="22"/>
      </w:rPr>
    </w:sdtEndPr>
    <w:sdtContent>
      <w:p w:rsidR="00FD2575" w:rsidRDefault="00FD2575" w:rsidP="00FD2575">
        <w:pPr>
          <w:pStyle w:val="Footer"/>
          <w:jc w:val="center"/>
        </w:pPr>
      </w:p>
      <w:p w:rsidR="00C10A2D" w:rsidRPr="00FD2575" w:rsidRDefault="00F03E2C" w:rsidP="00FD2575">
        <w:pPr>
          <w:pStyle w:val="Footer"/>
          <w:jc w:val="center"/>
          <w:rPr>
            <w:rFonts w:ascii="Arial" w:hAnsi="Arial" w:cs="Arial"/>
            <w:sz w:val="22"/>
            <w:szCs w:val="22"/>
          </w:rPr>
        </w:pPr>
        <w:r w:rsidRPr="00FD2575">
          <w:rPr>
            <w:rFonts w:ascii="Arial" w:hAnsi="Arial" w:cs="Arial"/>
            <w:sz w:val="22"/>
            <w:szCs w:val="22"/>
          </w:rPr>
          <w:fldChar w:fldCharType="begin"/>
        </w:r>
        <w:r w:rsidRPr="00FD2575">
          <w:rPr>
            <w:rFonts w:ascii="Arial" w:hAnsi="Arial" w:cs="Arial"/>
            <w:sz w:val="22"/>
            <w:szCs w:val="22"/>
          </w:rPr>
          <w:instrText xml:space="preserve"> PAGE   \* MERGEFORMAT </w:instrText>
        </w:r>
        <w:r w:rsidRPr="00FD2575">
          <w:rPr>
            <w:rFonts w:ascii="Arial" w:hAnsi="Arial" w:cs="Arial"/>
            <w:sz w:val="22"/>
            <w:szCs w:val="22"/>
          </w:rPr>
          <w:fldChar w:fldCharType="separate"/>
        </w:r>
        <w:r w:rsidR="005F1A7D">
          <w:rPr>
            <w:rFonts w:ascii="Arial" w:hAnsi="Arial" w:cs="Arial"/>
            <w:noProof/>
            <w:sz w:val="22"/>
            <w:szCs w:val="22"/>
          </w:rPr>
          <w:t>1</w:t>
        </w:r>
        <w:r w:rsidRPr="00FD2575">
          <w:rPr>
            <w:rFonts w:ascii="Arial" w:hAnsi="Arial" w:cs="Arial"/>
            <w:noProof/>
            <w:sz w:val="22"/>
            <w:szCs w:val="22"/>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C10A2D" w:rsidTr="005A3173">
      <w:trPr>
        <w:trHeight w:val="151"/>
      </w:trPr>
      <w:tc>
        <w:tcPr>
          <w:tcW w:w="2250" w:type="pct"/>
          <w:tcBorders>
            <w:top w:val="nil"/>
            <w:left w:val="nil"/>
            <w:bottom w:val="single" w:sz="4" w:space="0" w:color="4F81BD"/>
            <w:right w:val="nil"/>
          </w:tcBorders>
        </w:tcPr>
        <w:p w:rsidR="00C10A2D" w:rsidRPr="005A3173" w:rsidRDefault="00C10A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0A2D" w:rsidRPr="005A3173" w:rsidRDefault="00C10A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0A2D" w:rsidRPr="005A3173" w:rsidRDefault="00C10A2D" w:rsidP="005A3173">
          <w:pPr>
            <w:pStyle w:val="Header"/>
            <w:spacing w:line="276" w:lineRule="auto"/>
            <w:rPr>
              <w:rFonts w:ascii="Calibri" w:eastAsia="MS Gothic" w:hAnsi="Calibri"/>
              <w:b/>
              <w:bCs/>
              <w:color w:val="4F81BD"/>
            </w:rPr>
          </w:pPr>
        </w:p>
      </w:tc>
    </w:tr>
    <w:tr w:rsidR="00C10A2D" w:rsidTr="005A3173">
      <w:trPr>
        <w:trHeight w:val="150"/>
      </w:trPr>
      <w:tc>
        <w:tcPr>
          <w:tcW w:w="2250" w:type="pct"/>
          <w:tcBorders>
            <w:top w:val="single" w:sz="4" w:space="0" w:color="4F81BD"/>
            <w:left w:val="nil"/>
            <w:bottom w:val="nil"/>
            <w:right w:val="nil"/>
          </w:tcBorders>
        </w:tcPr>
        <w:p w:rsidR="00C10A2D" w:rsidRPr="005A3173" w:rsidRDefault="00C10A2D" w:rsidP="005A3173">
          <w:pPr>
            <w:pStyle w:val="Header"/>
            <w:spacing w:line="276" w:lineRule="auto"/>
            <w:rPr>
              <w:rFonts w:ascii="Calibri" w:eastAsia="MS Gothic" w:hAnsi="Calibri"/>
              <w:b/>
              <w:bCs/>
              <w:color w:val="4F81BD"/>
            </w:rPr>
          </w:pPr>
        </w:p>
      </w:tc>
      <w:tc>
        <w:tcPr>
          <w:tcW w:w="0" w:type="auto"/>
          <w:vMerge/>
          <w:vAlign w:val="center"/>
          <w:hideMark/>
        </w:tcPr>
        <w:p w:rsidR="00C10A2D" w:rsidRPr="005A3173" w:rsidRDefault="00C10A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0A2D" w:rsidRPr="005A3173" w:rsidRDefault="00C10A2D"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C10A2D" w:rsidTr="005A3173">
      <w:trPr>
        <w:trHeight w:val="151"/>
      </w:trPr>
      <w:tc>
        <w:tcPr>
          <w:tcW w:w="2250" w:type="pct"/>
          <w:tcBorders>
            <w:top w:val="nil"/>
            <w:left w:val="nil"/>
            <w:bottom w:val="single" w:sz="4" w:space="0" w:color="4F81BD"/>
            <w:right w:val="nil"/>
          </w:tcBorders>
        </w:tcPr>
        <w:p w:rsidR="00C10A2D" w:rsidRPr="005A3173" w:rsidRDefault="00C10A2D" w:rsidP="005A3173">
          <w:pPr>
            <w:pStyle w:val="Header"/>
            <w:spacing w:line="276" w:lineRule="auto"/>
            <w:rPr>
              <w:rFonts w:ascii="Calibri" w:eastAsia="MS Gothic" w:hAnsi="Calibri"/>
              <w:b/>
              <w:bCs/>
              <w:color w:val="4F81BD"/>
            </w:rPr>
          </w:pPr>
        </w:p>
      </w:tc>
      <w:tc>
        <w:tcPr>
          <w:tcW w:w="500" w:type="pct"/>
          <w:vMerge w:val="restart"/>
          <w:noWrap/>
          <w:vAlign w:val="center"/>
          <w:hideMark/>
        </w:tcPr>
        <w:p w:rsidR="00C10A2D" w:rsidRPr="005A3173" w:rsidRDefault="00C10A2D"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C10A2D" w:rsidRPr="005A3173" w:rsidRDefault="00C10A2D" w:rsidP="005A3173">
          <w:pPr>
            <w:pStyle w:val="Header"/>
            <w:spacing w:line="276" w:lineRule="auto"/>
            <w:rPr>
              <w:rFonts w:ascii="Calibri" w:eastAsia="MS Gothic" w:hAnsi="Calibri"/>
              <w:b/>
              <w:bCs/>
              <w:color w:val="4F81BD"/>
            </w:rPr>
          </w:pPr>
        </w:p>
      </w:tc>
    </w:tr>
    <w:tr w:rsidR="00C10A2D" w:rsidTr="005A3173">
      <w:trPr>
        <w:trHeight w:val="150"/>
      </w:trPr>
      <w:tc>
        <w:tcPr>
          <w:tcW w:w="2250" w:type="pct"/>
          <w:tcBorders>
            <w:top w:val="single" w:sz="4" w:space="0" w:color="4F81BD"/>
            <w:left w:val="nil"/>
            <w:bottom w:val="nil"/>
            <w:right w:val="nil"/>
          </w:tcBorders>
        </w:tcPr>
        <w:p w:rsidR="00C10A2D" w:rsidRPr="005A3173" w:rsidRDefault="00C10A2D" w:rsidP="005A3173">
          <w:pPr>
            <w:pStyle w:val="Header"/>
            <w:spacing w:line="276" w:lineRule="auto"/>
            <w:rPr>
              <w:rFonts w:ascii="Calibri" w:eastAsia="MS Gothic" w:hAnsi="Calibri"/>
              <w:b/>
              <w:bCs/>
              <w:color w:val="4F81BD"/>
            </w:rPr>
          </w:pPr>
        </w:p>
      </w:tc>
      <w:tc>
        <w:tcPr>
          <w:tcW w:w="0" w:type="auto"/>
          <w:vMerge/>
          <w:vAlign w:val="center"/>
          <w:hideMark/>
        </w:tcPr>
        <w:p w:rsidR="00C10A2D" w:rsidRPr="005A3173" w:rsidRDefault="00C10A2D" w:rsidP="005A3173">
          <w:pPr>
            <w:rPr>
              <w:rFonts w:ascii="Calibri" w:hAnsi="Calibri"/>
              <w:color w:val="365F91"/>
              <w:sz w:val="22"/>
              <w:szCs w:val="22"/>
            </w:rPr>
          </w:pPr>
        </w:p>
      </w:tc>
      <w:tc>
        <w:tcPr>
          <w:tcW w:w="2250" w:type="pct"/>
          <w:tcBorders>
            <w:top w:val="single" w:sz="4" w:space="0" w:color="4F81BD"/>
            <w:left w:val="nil"/>
            <w:bottom w:val="nil"/>
            <w:right w:val="nil"/>
          </w:tcBorders>
        </w:tcPr>
        <w:p w:rsidR="00C10A2D" w:rsidRPr="005A3173" w:rsidRDefault="00C10A2D" w:rsidP="005A3173">
          <w:pPr>
            <w:pStyle w:val="Header"/>
            <w:spacing w:line="276" w:lineRule="auto"/>
            <w:rPr>
              <w:rFonts w:ascii="Calibri" w:eastAsia="MS Gothic" w:hAnsi="Calibri"/>
              <w:b/>
              <w:bCs/>
              <w:color w:val="4F81BD"/>
            </w:rPr>
          </w:pPr>
        </w:p>
      </w:tc>
    </w:tr>
  </w:tbl>
  <w:p w:rsidR="00C10A2D" w:rsidRPr="007C0F57" w:rsidRDefault="00C10A2D"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C10A2D" w:rsidRPr="007C0F57" w:rsidRDefault="00C10A2D" w:rsidP="007C0F57">
    <w:pPr>
      <w:pStyle w:val="Footer"/>
      <w:jc w:val="center"/>
      <w:rPr>
        <w:b/>
        <w:i/>
        <w:sz w:val="20"/>
        <w:szCs w:val="20"/>
      </w:rPr>
    </w:pPr>
    <w:r w:rsidRPr="007C0F57">
      <w:rPr>
        <w:b/>
        <w:i/>
        <w:sz w:val="20"/>
        <w:szCs w:val="20"/>
      </w:rPr>
      <w:t>Commercial-in-Confidence</w:t>
    </w:r>
  </w:p>
  <w:p w:rsidR="00C10A2D" w:rsidRDefault="00C10A2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3294" w:rsidRDefault="009F3294">
      <w:r>
        <w:separator/>
      </w:r>
    </w:p>
    <w:p w:rsidR="009F3294" w:rsidRDefault="009F3294"/>
  </w:footnote>
  <w:footnote w:type="continuationSeparator" w:id="0">
    <w:p w:rsidR="009F3294" w:rsidRDefault="009F3294">
      <w:r>
        <w:continuationSeparator/>
      </w:r>
    </w:p>
    <w:p w:rsidR="009F3294" w:rsidRDefault="009F329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C10A2D" w:rsidRPr="008E0D90" w:rsidTr="00A06225">
      <w:trPr>
        <w:trHeight w:val="151"/>
      </w:trPr>
      <w:tc>
        <w:tcPr>
          <w:tcW w:w="2389" w:type="pct"/>
          <w:tcBorders>
            <w:top w:val="nil"/>
            <w:left w:val="nil"/>
            <w:bottom w:val="single" w:sz="4" w:space="0" w:color="4F81BD"/>
            <w:right w:val="nil"/>
          </w:tcBorders>
        </w:tcPr>
        <w:p w:rsidR="00C10A2D" w:rsidRPr="00A06225" w:rsidRDefault="00C10A2D">
          <w:pPr>
            <w:pStyle w:val="Header"/>
            <w:spacing w:line="276" w:lineRule="auto"/>
            <w:rPr>
              <w:rFonts w:ascii="Cambria" w:eastAsia="MS Gothic" w:hAnsi="Cambria"/>
              <w:b/>
              <w:bCs/>
              <w:color w:val="4F81BD"/>
            </w:rPr>
          </w:pPr>
        </w:p>
      </w:tc>
      <w:tc>
        <w:tcPr>
          <w:tcW w:w="333" w:type="pct"/>
          <w:vMerge w:val="restart"/>
          <w:noWrap/>
          <w:vAlign w:val="center"/>
          <w:hideMark/>
        </w:tcPr>
        <w:p w:rsidR="00C10A2D" w:rsidRPr="00A06225" w:rsidRDefault="00C10A2D"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C10A2D" w:rsidRPr="00A06225" w:rsidRDefault="00C10A2D">
          <w:pPr>
            <w:pStyle w:val="Header"/>
            <w:spacing w:line="276" w:lineRule="auto"/>
            <w:rPr>
              <w:rFonts w:ascii="Cambria" w:eastAsia="MS Gothic" w:hAnsi="Cambria"/>
              <w:b/>
              <w:bCs/>
              <w:color w:val="4F81BD"/>
            </w:rPr>
          </w:pPr>
        </w:p>
      </w:tc>
    </w:tr>
    <w:tr w:rsidR="00C10A2D" w:rsidRPr="008E0D90" w:rsidTr="00A06225">
      <w:trPr>
        <w:trHeight w:val="150"/>
      </w:trPr>
      <w:tc>
        <w:tcPr>
          <w:tcW w:w="2389" w:type="pct"/>
          <w:tcBorders>
            <w:top w:val="single" w:sz="4" w:space="0" w:color="4F81BD"/>
            <w:left w:val="nil"/>
            <w:bottom w:val="nil"/>
            <w:right w:val="nil"/>
          </w:tcBorders>
        </w:tcPr>
        <w:p w:rsidR="00C10A2D" w:rsidRPr="00A06225" w:rsidRDefault="00C10A2D">
          <w:pPr>
            <w:pStyle w:val="Header"/>
            <w:spacing w:line="276" w:lineRule="auto"/>
            <w:rPr>
              <w:rFonts w:ascii="Cambria" w:eastAsia="MS Gothic" w:hAnsi="Cambria"/>
              <w:b/>
              <w:bCs/>
              <w:color w:val="4F81BD"/>
            </w:rPr>
          </w:pPr>
        </w:p>
      </w:tc>
      <w:tc>
        <w:tcPr>
          <w:tcW w:w="0" w:type="auto"/>
          <w:vMerge/>
          <w:vAlign w:val="center"/>
          <w:hideMark/>
        </w:tcPr>
        <w:p w:rsidR="00C10A2D" w:rsidRPr="00A06225" w:rsidRDefault="00C10A2D">
          <w:pPr>
            <w:rPr>
              <w:rFonts w:ascii="Cambria" w:hAnsi="Cambria"/>
              <w:color w:val="4F81BD"/>
              <w:sz w:val="22"/>
              <w:szCs w:val="22"/>
            </w:rPr>
          </w:pPr>
        </w:p>
      </w:tc>
      <w:tc>
        <w:tcPr>
          <w:tcW w:w="2278" w:type="pct"/>
          <w:tcBorders>
            <w:top w:val="single" w:sz="4" w:space="0" w:color="4F81BD"/>
            <w:left w:val="nil"/>
            <w:bottom w:val="nil"/>
            <w:right w:val="nil"/>
          </w:tcBorders>
        </w:tcPr>
        <w:p w:rsidR="00C10A2D" w:rsidRPr="00A06225" w:rsidRDefault="00C10A2D">
          <w:pPr>
            <w:pStyle w:val="Header"/>
            <w:spacing w:line="276" w:lineRule="auto"/>
            <w:rPr>
              <w:rFonts w:ascii="Cambria" w:eastAsia="MS Gothic" w:hAnsi="Cambria"/>
              <w:b/>
              <w:bCs/>
              <w:color w:val="4F81BD"/>
            </w:rPr>
          </w:pPr>
        </w:p>
      </w:tc>
    </w:tr>
  </w:tbl>
  <w:p w:rsidR="00C10A2D" w:rsidRDefault="00C10A2D">
    <w:pPr>
      <w:pStyle w:val="Header"/>
    </w:pPr>
  </w:p>
  <w:p w:rsidR="00C10A2D" w:rsidRDefault="00C10A2D"/>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3E2C" w:rsidRPr="00DF217D" w:rsidRDefault="00C10073" w:rsidP="00F03E2C">
    <w:pPr>
      <w:pStyle w:val="Header"/>
      <w:ind w:left="360"/>
      <w:jc w:val="center"/>
      <w:rPr>
        <w:rFonts w:ascii="Arial" w:hAnsi="Arial" w:cs="Arial"/>
        <w:i/>
        <w:color w:val="808080"/>
        <w:sz w:val="22"/>
      </w:rPr>
    </w:pPr>
    <w:r>
      <w:rPr>
        <w:rFonts w:ascii="Arial" w:hAnsi="Arial" w:cs="Arial"/>
        <w:i/>
        <w:color w:val="808080"/>
        <w:sz w:val="22"/>
      </w:rPr>
      <w:t>Public Summary Document</w:t>
    </w:r>
    <w:r w:rsidR="00230A51">
      <w:rPr>
        <w:rFonts w:ascii="Arial" w:hAnsi="Arial" w:cs="Arial"/>
        <w:i/>
        <w:color w:val="808080"/>
        <w:sz w:val="22"/>
      </w:rPr>
      <w:t xml:space="preserve"> </w:t>
    </w:r>
    <w:r w:rsidR="00F03E2C" w:rsidRPr="00DF217D">
      <w:rPr>
        <w:rFonts w:ascii="Arial" w:hAnsi="Arial" w:cs="Arial"/>
        <w:i/>
        <w:color w:val="808080"/>
        <w:sz w:val="22"/>
      </w:rPr>
      <w:t xml:space="preserve">– </w:t>
    </w:r>
    <w:r w:rsidR="00F03E2C">
      <w:rPr>
        <w:rFonts w:ascii="Arial" w:hAnsi="Arial" w:cs="Arial"/>
        <w:i/>
        <w:color w:val="808080"/>
        <w:sz w:val="22"/>
      </w:rPr>
      <w:t xml:space="preserve">November 2016 </w:t>
    </w:r>
    <w:r w:rsidR="00F03E2C" w:rsidRPr="00DF217D">
      <w:rPr>
        <w:rFonts w:ascii="Arial" w:hAnsi="Arial" w:cs="Arial"/>
        <w:i/>
        <w:color w:val="808080"/>
        <w:sz w:val="22"/>
      </w:rPr>
      <w:t>PBAC</w:t>
    </w:r>
    <w:r w:rsidR="00F03E2C">
      <w:rPr>
        <w:rFonts w:ascii="Arial" w:hAnsi="Arial" w:cs="Arial"/>
        <w:i/>
        <w:color w:val="808080"/>
        <w:sz w:val="22"/>
      </w:rPr>
      <w:t xml:space="preserve"> </w:t>
    </w:r>
    <w:r w:rsidR="00F03E2C" w:rsidRPr="00DF217D">
      <w:rPr>
        <w:rFonts w:ascii="Arial" w:hAnsi="Arial" w:cs="Arial"/>
        <w:i/>
        <w:color w:val="808080"/>
        <w:sz w:val="22"/>
      </w:rPr>
      <w:t>Meeting</w:t>
    </w:r>
  </w:p>
  <w:p w:rsidR="00C10A2D" w:rsidRDefault="00C10A2D" w:rsidP="00A128E6">
    <w:pPr>
      <w:pStyle w:val="NoSpacing"/>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62460" w:rsidRDefault="0006246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nsid w:val="008D60B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4">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0AAF0EBA"/>
    <w:multiLevelType w:val="multilevel"/>
    <w:tmpl w:val="642C45D8"/>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7">
    <w:nsid w:val="160A1FA1"/>
    <w:multiLevelType w:val="hybridMultilevel"/>
    <w:tmpl w:val="324844D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A350DBF"/>
    <w:multiLevelType w:val="hybridMultilevel"/>
    <w:tmpl w:val="5644E408"/>
    <w:lvl w:ilvl="0" w:tplc="BF36FA92">
      <w:start w:val="3"/>
      <w:numFmt w:val="bullet"/>
      <w:lvlText w:val=""/>
      <w:lvlJc w:val="left"/>
      <w:pPr>
        <w:ind w:left="720" w:hanging="360"/>
      </w:pPr>
      <w:rPr>
        <w:rFonts w:ascii="Symbol" w:eastAsia="Times New Roman"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11">
    <w:nsid w:val="23FB11E2"/>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nsid w:val="2CC66777"/>
    <w:multiLevelType w:val="hybridMultilevel"/>
    <w:tmpl w:val="3E522D3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4">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8">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9">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nsid w:val="69314F8F"/>
    <w:multiLevelType w:val="hybridMultilevel"/>
    <w:tmpl w:val="C1A2D656"/>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nsid w:val="784D033C"/>
    <w:multiLevelType w:val="multilevel"/>
    <w:tmpl w:val="FC90CBE4"/>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0"/>
  </w:num>
  <w:num w:numId="2">
    <w:abstractNumId w:val="3"/>
  </w:num>
  <w:num w:numId="3">
    <w:abstractNumId w:val="6"/>
  </w:num>
  <w:num w:numId="4">
    <w:abstractNumId w:val="17"/>
  </w:num>
  <w:num w:numId="5">
    <w:abstractNumId w:val="21"/>
  </w:num>
  <w:num w:numId="6">
    <w:abstractNumId w:val="8"/>
  </w:num>
  <w:num w:numId="7">
    <w:abstractNumId w:val="16"/>
  </w:num>
  <w:num w:numId="8">
    <w:abstractNumId w:val="4"/>
  </w:num>
  <w:num w:numId="9">
    <w:abstractNumId w:val="15"/>
  </w:num>
  <w:num w:numId="10">
    <w:abstractNumId w:val="14"/>
  </w:num>
  <w:num w:numId="11">
    <w:abstractNumId w:val="12"/>
  </w:num>
  <w:num w:numId="12">
    <w:abstractNumId w:val="1"/>
  </w:num>
  <w:num w:numId="13">
    <w:abstractNumId w:val="0"/>
  </w:num>
  <w:num w:numId="14">
    <w:abstractNumId w:val="21"/>
  </w:num>
  <w:num w:numId="15">
    <w:abstractNumId w:val="9"/>
  </w:num>
  <w:num w:numId="16">
    <w:abstractNumId w:val="13"/>
  </w:num>
  <w:num w:numId="17">
    <w:abstractNumId w:val="20"/>
  </w:num>
  <w:num w:numId="18">
    <w:abstractNumId w:val="7"/>
  </w:num>
  <w:num w:numId="19">
    <w:abstractNumId w:val="18"/>
  </w:num>
  <w:num w:numId="20">
    <w:abstractNumId w:val="19"/>
  </w:num>
  <w:num w:numId="21">
    <w:abstractNumId w:val="5"/>
  </w:num>
  <w:num w:numId="22">
    <w:abstractNumId w:val="2"/>
  </w:num>
  <w:num w:numId="23">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06469"/>
    <w:rsid w:val="0002464A"/>
    <w:rsid w:val="0003106B"/>
    <w:rsid w:val="000421A1"/>
    <w:rsid w:val="0004240E"/>
    <w:rsid w:val="00045E26"/>
    <w:rsid w:val="000514B5"/>
    <w:rsid w:val="00060E64"/>
    <w:rsid w:val="00062460"/>
    <w:rsid w:val="00066755"/>
    <w:rsid w:val="00077143"/>
    <w:rsid w:val="000969AD"/>
    <w:rsid w:val="000B558D"/>
    <w:rsid w:val="000C6996"/>
    <w:rsid w:val="000C70B9"/>
    <w:rsid w:val="000D0CBA"/>
    <w:rsid w:val="000D23BA"/>
    <w:rsid w:val="000E681E"/>
    <w:rsid w:val="000F4E6A"/>
    <w:rsid w:val="001107BF"/>
    <w:rsid w:val="0012417C"/>
    <w:rsid w:val="00142395"/>
    <w:rsid w:val="00142714"/>
    <w:rsid w:val="001452ED"/>
    <w:rsid w:val="001456A2"/>
    <w:rsid w:val="0016242E"/>
    <w:rsid w:val="00176EFD"/>
    <w:rsid w:val="001830CE"/>
    <w:rsid w:val="0018643B"/>
    <w:rsid w:val="00196307"/>
    <w:rsid w:val="001B017F"/>
    <w:rsid w:val="001B5129"/>
    <w:rsid w:val="001C1195"/>
    <w:rsid w:val="00213CFB"/>
    <w:rsid w:val="00230A51"/>
    <w:rsid w:val="002510C8"/>
    <w:rsid w:val="00262C86"/>
    <w:rsid w:val="00271BA1"/>
    <w:rsid w:val="00277505"/>
    <w:rsid w:val="00282533"/>
    <w:rsid w:val="0029458F"/>
    <w:rsid w:val="002A096D"/>
    <w:rsid w:val="002A104C"/>
    <w:rsid w:val="002A1598"/>
    <w:rsid w:val="002A3C6C"/>
    <w:rsid w:val="002A4960"/>
    <w:rsid w:val="002B1AE6"/>
    <w:rsid w:val="002B30F8"/>
    <w:rsid w:val="002C212F"/>
    <w:rsid w:val="002E3153"/>
    <w:rsid w:val="002E72CA"/>
    <w:rsid w:val="00300AD6"/>
    <w:rsid w:val="00304E14"/>
    <w:rsid w:val="00322EDE"/>
    <w:rsid w:val="00326E79"/>
    <w:rsid w:val="003367EF"/>
    <w:rsid w:val="00340650"/>
    <w:rsid w:val="00341AE4"/>
    <w:rsid w:val="00344058"/>
    <w:rsid w:val="0037647B"/>
    <w:rsid w:val="00385A3B"/>
    <w:rsid w:val="003872CF"/>
    <w:rsid w:val="0039782C"/>
    <w:rsid w:val="003A5B4A"/>
    <w:rsid w:val="003B23C5"/>
    <w:rsid w:val="003B2A75"/>
    <w:rsid w:val="003C5972"/>
    <w:rsid w:val="003D4AC4"/>
    <w:rsid w:val="003D63B7"/>
    <w:rsid w:val="003E0CA8"/>
    <w:rsid w:val="003E468B"/>
    <w:rsid w:val="003F5C8C"/>
    <w:rsid w:val="00423CD1"/>
    <w:rsid w:val="004465BD"/>
    <w:rsid w:val="00466ADA"/>
    <w:rsid w:val="00476245"/>
    <w:rsid w:val="00485940"/>
    <w:rsid w:val="004A2484"/>
    <w:rsid w:val="004A5A85"/>
    <w:rsid w:val="004B5640"/>
    <w:rsid w:val="004C1BD7"/>
    <w:rsid w:val="004C691D"/>
    <w:rsid w:val="004D30D2"/>
    <w:rsid w:val="004E4CF0"/>
    <w:rsid w:val="004E692D"/>
    <w:rsid w:val="00501554"/>
    <w:rsid w:val="00514CD7"/>
    <w:rsid w:val="005319B2"/>
    <w:rsid w:val="00532C74"/>
    <w:rsid w:val="00534E2E"/>
    <w:rsid w:val="00544552"/>
    <w:rsid w:val="00581932"/>
    <w:rsid w:val="005963BB"/>
    <w:rsid w:val="005A3173"/>
    <w:rsid w:val="005A3223"/>
    <w:rsid w:val="005A3DA3"/>
    <w:rsid w:val="005A52C4"/>
    <w:rsid w:val="005B4C22"/>
    <w:rsid w:val="005C1354"/>
    <w:rsid w:val="005D03AB"/>
    <w:rsid w:val="005D5017"/>
    <w:rsid w:val="005F1A7D"/>
    <w:rsid w:val="00601A91"/>
    <w:rsid w:val="00602BA3"/>
    <w:rsid w:val="00614159"/>
    <w:rsid w:val="00617C00"/>
    <w:rsid w:val="006263BF"/>
    <w:rsid w:val="0062748A"/>
    <w:rsid w:val="00630A2C"/>
    <w:rsid w:val="00651169"/>
    <w:rsid w:val="00653D69"/>
    <w:rsid w:val="00663600"/>
    <w:rsid w:val="00670A76"/>
    <w:rsid w:val="006711AA"/>
    <w:rsid w:val="00672B57"/>
    <w:rsid w:val="00675622"/>
    <w:rsid w:val="00685C11"/>
    <w:rsid w:val="006906DB"/>
    <w:rsid w:val="006A12A5"/>
    <w:rsid w:val="006B0D94"/>
    <w:rsid w:val="006B485D"/>
    <w:rsid w:val="006C708E"/>
    <w:rsid w:val="006D6EC7"/>
    <w:rsid w:val="006D79AE"/>
    <w:rsid w:val="006E2547"/>
    <w:rsid w:val="006E6EDD"/>
    <w:rsid w:val="006F5125"/>
    <w:rsid w:val="007174BB"/>
    <w:rsid w:val="007232F8"/>
    <w:rsid w:val="00724A9D"/>
    <w:rsid w:val="00734429"/>
    <w:rsid w:val="0076420C"/>
    <w:rsid w:val="007753C2"/>
    <w:rsid w:val="007838B8"/>
    <w:rsid w:val="00794095"/>
    <w:rsid w:val="007C0F57"/>
    <w:rsid w:val="007C40B6"/>
    <w:rsid w:val="007C729F"/>
    <w:rsid w:val="007E1D28"/>
    <w:rsid w:val="007F2641"/>
    <w:rsid w:val="007F7C36"/>
    <w:rsid w:val="00806796"/>
    <w:rsid w:val="00811F3A"/>
    <w:rsid w:val="008151D6"/>
    <w:rsid w:val="00826F6D"/>
    <w:rsid w:val="00851892"/>
    <w:rsid w:val="00856DDD"/>
    <w:rsid w:val="00863E68"/>
    <w:rsid w:val="00882085"/>
    <w:rsid w:val="00883188"/>
    <w:rsid w:val="00897D58"/>
    <w:rsid w:val="008A1956"/>
    <w:rsid w:val="008A4937"/>
    <w:rsid w:val="008A50F1"/>
    <w:rsid w:val="008D02D6"/>
    <w:rsid w:val="008D1B5C"/>
    <w:rsid w:val="008D3C82"/>
    <w:rsid w:val="008D447E"/>
    <w:rsid w:val="008D7A41"/>
    <w:rsid w:val="008E3680"/>
    <w:rsid w:val="008E5870"/>
    <w:rsid w:val="008F1434"/>
    <w:rsid w:val="008F7355"/>
    <w:rsid w:val="009067B7"/>
    <w:rsid w:val="00930937"/>
    <w:rsid w:val="00933E6C"/>
    <w:rsid w:val="00942160"/>
    <w:rsid w:val="009439B9"/>
    <w:rsid w:val="0095146F"/>
    <w:rsid w:val="00951C5C"/>
    <w:rsid w:val="009602C5"/>
    <w:rsid w:val="00962223"/>
    <w:rsid w:val="00967C2E"/>
    <w:rsid w:val="00970B87"/>
    <w:rsid w:val="00974C21"/>
    <w:rsid w:val="00995BB8"/>
    <w:rsid w:val="009B0F67"/>
    <w:rsid w:val="009C703C"/>
    <w:rsid w:val="009D3CAA"/>
    <w:rsid w:val="009F21A2"/>
    <w:rsid w:val="009F3294"/>
    <w:rsid w:val="009F4E46"/>
    <w:rsid w:val="009F5B65"/>
    <w:rsid w:val="009F5F2E"/>
    <w:rsid w:val="00A02082"/>
    <w:rsid w:val="00A02E31"/>
    <w:rsid w:val="00A06225"/>
    <w:rsid w:val="00A128E6"/>
    <w:rsid w:val="00A37C8D"/>
    <w:rsid w:val="00A51A61"/>
    <w:rsid w:val="00A5273B"/>
    <w:rsid w:val="00A53A9D"/>
    <w:rsid w:val="00A554F3"/>
    <w:rsid w:val="00A55FEE"/>
    <w:rsid w:val="00A62C1A"/>
    <w:rsid w:val="00A6426D"/>
    <w:rsid w:val="00A70622"/>
    <w:rsid w:val="00A70977"/>
    <w:rsid w:val="00A77613"/>
    <w:rsid w:val="00A8390C"/>
    <w:rsid w:val="00A91C5F"/>
    <w:rsid w:val="00A928BD"/>
    <w:rsid w:val="00AA4D1C"/>
    <w:rsid w:val="00AC193C"/>
    <w:rsid w:val="00AC5206"/>
    <w:rsid w:val="00AD6C67"/>
    <w:rsid w:val="00AE11A5"/>
    <w:rsid w:val="00AE13E2"/>
    <w:rsid w:val="00AE2CF1"/>
    <w:rsid w:val="00AE534E"/>
    <w:rsid w:val="00AE612B"/>
    <w:rsid w:val="00AF68CC"/>
    <w:rsid w:val="00B1059E"/>
    <w:rsid w:val="00B13A0A"/>
    <w:rsid w:val="00B205AA"/>
    <w:rsid w:val="00B22E84"/>
    <w:rsid w:val="00B25F75"/>
    <w:rsid w:val="00B33D7C"/>
    <w:rsid w:val="00B43E90"/>
    <w:rsid w:val="00B467DC"/>
    <w:rsid w:val="00B56118"/>
    <w:rsid w:val="00B6773F"/>
    <w:rsid w:val="00B73EEF"/>
    <w:rsid w:val="00B801BA"/>
    <w:rsid w:val="00BB3D26"/>
    <w:rsid w:val="00BB69F5"/>
    <w:rsid w:val="00BB7EC3"/>
    <w:rsid w:val="00BC1B10"/>
    <w:rsid w:val="00BC4B9A"/>
    <w:rsid w:val="00BD784C"/>
    <w:rsid w:val="00BF4CB6"/>
    <w:rsid w:val="00C00DA7"/>
    <w:rsid w:val="00C10073"/>
    <w:rsid w:val="00C105AB"/>
    <w:rsid w:val="00C10A2D"/>
    <w:rsid w:val="00C12768"/>
    <w:rsid w:val="00C27B58"/>
    <w:rsid w:val="00C35996"/>
    <w:rsid w:val="00C5342C"/>
    <w:rsid w:val="00C603D4"/>
    <w:rsid w:val="00C6256A"/>
    <w:rsid w:val="00C91449"/>
    <w:rsid w:val="00C92D10"/>
    <w:rsid w:val="00CD04CE"/>
    <w:rsid w:val="00CE10C4"/>
    <w:rsid w:val="00CE27B5"/>
    <w:rsid w:val="00D00B0A"/>
    <w:rsid w:val="00D0321E"/>
    <w:rsid w:val="00D10094"/>
    <w:rsid w:val="00D1455A"/>
    <w:rsid w:val="00D3013B"/>
    <w:rsid w:val="00D3138B"/>
    <w:rsid w:val="00D31EB3"/>
    <w:rsid w:val="00D3280C"/>
    <w:rsid w:val="00D3406A"/>
    <w:rsid w:val="00D40267"/>
    <w:rsid w:val="00D469B2"/>
    <w:rsid w:val="00D547B6"/>
    <w:rsid w:val="00D578D0"/>
    <w:rsid w:val="00D741EB"/>
    <w:rsid w:val="00D74CC0"/>
    <w:rsid w:val="00D84934"/>
    <w:rsid w:val="00D91271"/>
    <w:rsid w:val="00D93E64"/>
    <w:rsid w:val="00DA2CB5"/>
    <w:rsid w:val="00DA4BAC"/>
    <w:rsid w:val="00DC18B5"/>
    <w:rsid w:val="00DC34EE"/>
    <w:rsid w:val="00DD004A"/>
    <w:rsid w:val="00DE281D"/>
    <w:rsid w:val="00DE6A9B"/>
    <w:rsid w:val="00DE6D27"/>
    <w:rsid w:val="00DF217D"/>
    <w:rsid w:val="00DF26A7"/>
    <w:rsid w:val="00DF3622"/>
    <w:rsid w:val="00E0328A"/>
    <w:rsid w:val="00E15627"/>
    <w:rsid w:val="00E164B3"/>
    <w:rsid w:val="00E16910"/>
    <w:rsid w:val="00E22E1E"/>
    <w:rsid w:val="00E41258"/>
    <w:rsid w:val="00E65E54"/>
    <w:rsid w:val="00E70F7C"/>
    <w:rsid w:val="00E80155"/>
    <w:rsid w:val="00E848C0"/>
    <w:rsid w:val="00E91B96"/>
    <w:rsid w:val="00E941A1"/>
    <w:rsid w:val="00E95CE3"/>
    <w:rsid w:val="00EA2825"/>
    <w:rsid w:val="00EB5088"/>
    <w:rsid w:val="00EC2BE9"/>
    <w:rsid w:val="00EC467D"/>
    <w:rsid w:val="00ED1644"/>
    <w:rsid w:val="00ED2593"/>
    <w:rsid w:val="00EF44A0"/>
    <w:rsid w:val="00EF4FED"/>
    <w:rsid w:val="00F03E2C"/>
    <w:rsid w:val="00F050BD"/>
    <w:rsid w:val="00F05657"/>
    <w:rsid w:val="00F25578"/>
    <w:rsid w:val="00F258E5"/>
    <w:rsid w:val="00F300BC"/>
    <w:rsid w:val="00F3334E"/>
    <w:rsid w:val="00F359E4"/>
    <w:rsid w:val="00F50EC4"/>
    <w:rsid w:val="00F57A6D"/>
    <w:rsid w:val="00F62909"/>
    <w:rsid w:val="00F638CC"/>
    <w:rsid w:val="00F64CC1"/>
    <w:rsid w:val="00F7241C"/>
    <w:rsid w:val="00F8247A"/>
    <w:rsid w:val="00F9629A"/>
    <w:rsid w:val="00FA5883"/>
    <w:rsid w:val="00FA6055"/>
    <w:rsid w:val="00FB322F"/>
    <w:rsid w:val="00FB442F"/>
    <w:rsid w:val="00FC0E69"/>
    <w:rsid w:val="00FC1929"/>
    <w:rsid w:val="00FC5B46"/>
    <w:rsid w:val="00FD2575"/>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aliases w:val="Char Char Char Char Char Char,Char Char Char Char Char Char Char,Char Char Char Char Char Char Char Char Char Char Char Char Char,Heading 1 Char1,Heading 1 Char2 Char,Heading 1 Char Char Char Char1,Heading 1 Char1 Char Char1"/>
    <w:basedOn w:val="ListParagraph"/>
    <w:next w:val="Normal"/>
    <w:uiPriority w:val="9"/>
    <w:qFormat/>
    <w:rsid w:val="00C603D4"/>
    <w:pPr>
      <w:ind w:left="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PBACheading10">
    <w:name w:val="PBAC heading 1"/>
    <w:qFormat/>
    <w:rsid w:val="00C10073"/>
    <w:pPr>
      <w:ind w:left="720" w:hanging="720"/>
      <w:outlineLvl w:val="0"/>
    </w:pPr>
    <w:rPr>
      <w:rFonts w:ascii="Arial" w:eastAsia="SimSun" w:hAnsi="Arial" w:cs="Arial"/>
      <w:snapToGrid w:val="0"/>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aliases w:val="Char Char Char Char Char Char,Char Char Char Char Char Char Char,Char Char Char Char Char Char Char Char Char Char Char Char Char,Heading 1 Char1,Heading 1 Char2 Char,Heading 1 Char Char Char Char1,Heading 1 Char1 Char Char1"/>
    <w:basedOn w:val="ListParagraph"/>
    <w:next w:val="Normal"/>
    <w:uiPriority w:val="9"/>
    <w:qFormat/>
    <w:rsid w:val="00C603D4"/>
    <w:pPr>
      <w:ind w:left="0"/>
      <w:outlineLvl w:val="0"/>
    </w:pPr>
    <w:rPr>
      <w:b/>
      <w:szCs w:val="22"/>
    </w:rPr>
  </w:style>
  <w:style w:type="paragraph" w:styleId="Heading2">
    <w:name w:val="heading 2"/>
    <w:basedOn w:val="Normal"/>
    <w:next w:val="Normal"/>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72"/>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72"/>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paragraph" w:customStyle="1" w:styleId="PBACheading10">
    <w:name w:val="PBAC heading 1"/>
    <w:qFormat/>
    <w:rsid w:val="00C10073"/>
    <w:pPr>
      <w:ind w:left="720" w:hanging="720"/>
      <w:outlineLvl w:val="0"/>
    </w:pPr>
    <w:rPr>
      <w:rFonts w:ascii="Arial" w:eastAsia="SimSun" w:hAnsi="Arial" w:cs="Arial"/>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181477283">
      <w:bodyDiv w:val="1"/>
      <w:marLeft w:val="0"/>
      <w:marRight w:val="0"/>
      <w:marTop w:val="0"/>
      <w:marBottom w:val="0"/>
      <w:divBdr>
        <w:top w:val="none" w:sz="0" w:space="0" w:color="auto"/>
        <w:left w:val="none" w:sz="0" w:space="0" w:color="auto"/>
        <w:bottom w:val="none" w:sz="0" w:space="0" w:color="auto"/>
        <w:right w:val="none" w:sz="0" w:space="0" w:color="auto"/>
      </w:divBdr>
    </w:div>
    <w:div w:id="700328422">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203438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918000-FCA2-4EB3-8414-41DBDAC07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2059</Words>
  <Characters>11506</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13538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2017-02-06T22:41:00Z</dcterms:created>
  <dcterms:modified xsi:type="dcterms:W3CDTF">2017-02-16T23:47:00Z</dcterms:modified>
</cp:coreProperties>
</file>