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6BC" w:rsidRPr="00B010BF" w:rsidRDefault="00F826BC" w:rsidP="00FA643D">
      <w:pPr>
        <w:pStyle w:val="Heading1"/>
        <w:widowControl/>
      </w:pPr>
      <w:bookmarkStart w:id="0" w:name="_Toc461622496"/>
      <w:r w:rsidRPr="00B010BF">
        <w:t>6.02</w:t>
      </w:r>
      <w:r w:rsidR="00B60939" w:rsidRPr="00B010BF">
        <w:tab/>
      </w:r>
      <w:r w:rsidR="000943CB" w:rsidRPr="00B010BF">
        <w:t>ERIBULIN</w:t>
      </w:r>
      <w:proofErr w:type="gramStart"/>
      <w:r w:rsidR="004E2076">
        <w:t>,</w:t>
      </w:r>
      <w:proofErr w:type="gramEnd"/>
      <w:r w:rsidR="00244CB4" w:rsidRPr="00B010BF">
        <w:br/>
      </w:r>
      <w:r w:rsidR="008B5BF6" w:rsidRPr="00B010BF">
        <w:t xml:space="preserve">1 mg/2 mL (as </w:t>
      </w:r>
      <w:proofErr w:type="spellStart"/>
      <w:r w:rsidR="008B5BF6" w:rsidRPr="00B010BF">
        <w:t>mesilate</w:t>
      </w:r>
      <w:proofErr w:type="spellEnd"/>
      <w:r w:rsidR="008B5BF6" w:rsidRPr="00B010BF">
        <w:t>) injection, 1 x 2 mL vial</w:t>
      </w:r>
      <w:r w:rsidRPr="00B010BF">
        <w:t>,</w:t>
      </w:r>
      <w:r w:rsidR="00244CB4" w:rsidRPr="00B010BF">
        <w:br/>
      </w:r>
      <w:proofErr w:type="spellStart"/>
      <w:r w:rsidRPr="00B010BF">
        <w:t>Halaven</w:t>
      </w:r>
      <w:proofErr w:type="spellEnd"/>
      <w:r w:rsidRPr="00A97BD6">
        <w:rPr>
          <w:rFonts w:hint="eastAsia"/>
          <w:vertAlign w:val="superscript"/>
        </w:rPr>
        <w:t>®</w:t>
      </w:r>
      <w:r w:rsidR="004E2076">
        <w:t>,</w:t>
      </w:r>
      <w:r w:rsidR="00FA643D">
        <w:br/>
      </w:r>
      <w:r w:rsidRPr="00B010BF">
        <w:t>Eisai</w:t>
      </w:r>
      <w:r w:rsidR="008B5BF6" w:rsidRPr="00B010BF">
        <w:t xml:space="preserve"> Australia Pty Ltd</w:t>
      </w:r>
      <w:bookmarkEnd w:id="0"/>
      <w:r w:rsidR="00A51E23">
        <w:t>.</w:t>
      </w:r>
    </w:p>
    <w:p w:rsidR="003C729F" w:rsidRPr="00B010BF" w:rsidRDefault="003C729F" w:rsidP="00903665">
      <w:pPr>
        <w:pStyle w:val="BodyText"/>
        <w:widowControl/>
        <w:rPr>
          <w:lang w:val="en-GB"/>
        </w:rPr>
      </w:pPr>
    </w:p>
    <w:p w:rsidR="00B60939" w:rsidRPr="00B010BF" w:rsidRDefault="00B60939" w:rsidP="00903665">
      <w:pPr>
        <w:widowControl/>
        <w:rPr>
          <w:lang w:val="en-GB"/>
        </w:rPr>
      </w:pPr>
    </w:p>
    <w:p w:rsidR="00B50DB8" w:rsidRPr="00B010BF" w:rsidRDefault="00B50DB8" w:rsidP="00903665">
      <w:pPr>
        <w:pStyle w:val="Heading2"/>
      </w:pPr>
      <w:bookmarkStart w:id="1" w:name="_Toc461622498"/>
      <w:r w:rsidRPr="00B010BF">
        <w:t>Purpose of Application</w:t>
      </w:r>
      <w:bookmarkEnd w:id="1"/>
    </w:p>
    <w:p w:rsidR="00B60939" w:rsidRPr="00B010BF" w:rsidRDefault="00B60939" w:rsidP="00903665">
      <w:pPr>
        <w:keepNext/>
        <w:widowControl/>
        <w:rPr>
          <w:szCs w:val="22"/>
          <w:lang w:val="en-GB"/>
        </w:rPr>
      </w:pPr>
    </w:p>
    <w:p w:rsidR="002C2775" w:rsidRPr="00B010BF" w:rsidRDefault="00A814F3" w:rsidP="00A728F8">
      <w:pPr>
        <w:pStyle w:val="ListParagraph"/>
        <w:keepNext/>
        <w:widowControl/>
        <w:numPr>
          <w:ilvl w:val="1"/>
          <w:numId w:val="2"/>
        </w:numPr>
        <w:rPr>
          <w:szCs w:val="22"/>
          <w:lang w:val="en-GB"/>
        </w:rPr>
      </w:pPr>
      <w:r w:rsidRPr="00B010BF">
        <w:rPr>
          <w:lang w:val="en-GB"/>
        </w:rPr>
        <w:t xml:space="preserve">The submission requested </w:t>
      </w:r>
      <w:r w:rsidR="00E13BFE" w:rsidRPr="00B010BF">
        <w:rPr>
          <w:lang w:val="en-GB"/>
        </w:rPr>
        <w:t xml:space="preserve">a </w:t>
      </w:r>
      <w:r w:rsidR="001E238E" w:rsidRPr="00B010BF">
        <w:rPr>
          <w:lang w:val="en-GB"/>
        </w:rPr>
        <w:t>Section 100</w:t>
      </w:r>
      <w:r w:rsidRPr="00B010BF">
        <w:rPr>
          <w:lang w:val="en-GB"/>
        </w:rPr>
        <w:t xml:space="preserve"> (Efficient Funding of Chemotherapy</w:t>
      </w:r>
      <w:r w:rsidR="00F845A4" w:rsidRPr="00B010BF">
        <w:rPr>
          <w:lang w:val="en-GB"/>
        </w:rPr>
        <w:t xml:space="preserve"> – Public and Private Hospital</w:t>
      </w:r>
      <w:r w:rsidRPr="00B010BF">
        <w:rPr>
          <w:lang w:val="en-GB"/>
        </w:rPr>
        <w:t>)</w:t>
      </w:r>
      <w:r w:rsidR="00F845A4" w:rsidRPr="00B010BF">
        <w:rPr>
          <w:lang w:val="en-GB"/>
        </w:rPr>
        <w:t>, Authority Required (STREAMLINED)</w:t>
      </w:r>
      <w:r w:rsidR="00985F31" w:rsidRPr="00B010BF">
        <w:rPr>
          <w:lang w:val="en-GB"/>
        </w:rPr>
        <w:t xml:space="preserve"> </w:t>
      </w:r>
      <w:r w:rsidR="001E238E" w:rsidRPr="00B010BF">
        <w:rPr>
          <w:lang w:val="en-GB"/>
        </w:rPr>
        <w:t xml:space="preserve">listing for </w:t>
      </w:r>
      <w:r w:rsidR="00E13BFE" w:rsidRPr="00B010BF">
        <w:rPr>
          <w:lang w:val="en-GB"/>
        </w:rPr>
        <w:t xml:space="preserve">the </w:t>
      </w:r>
      <w:r w:rsidR="001E238E" w:rsidRPr="00B010BF">
        <w:rPr>
          <w:lang w:val="en-GB"/>
        </w:rPr>
        <w:t xml:space="preserve">treatment of </w:t>
      </w:r>
      <w:r w:rsidR="00985F31" w:rsidRPr="00B010BF">
        <w:rPr>
          <w:lang w:val="en-GB"/>
        </w:rPr>
        <w:t xml:space="preserve">advanced or metastatic </w:t>
      </w:r>
      <w:proofErr w:type="spellStart"/>
      <w:r w:rsidR="00985F31" w:rsidRPr="00B010BF">
        <w:rPr>
          <w:lang w:val="en-GB"/>
        </w:rPr>
        <w:t>liposarcoma</w:t>
      </w:r>
      <w:proofErr w:type="spellEnd"/>
      <w:r w:rsidR="00985F31" w:rsidRPr="00B010BF">
        <w:rPr>
          <w:lang w:val="en-GB"/>
        </w:rPr>
        <w:t xml:space="preserve"> who have failed prior chemotherapy</w:t>
      </w:r>
      <w:r w:rsidR="00E13BFE" w:rsidRPr="00B010BF">
        <w:rPr>
          <w:lang w:val="en-GB"/>
        </w:rPr>
        <w:t>,</w:t>
      </w:r>
      <w:r w:rsidR="00985F31" w:rsidRPr="00B010BF">
        <w:rPr>
          <w:lang w:val="en-GB"/>
        </w:rPr>
        <w:t xml:space="preserve"> including an </w:t>
      </w:r>
      <w:proofErr w:type="spellStart"/>
      <w:r w:rsidR="00985F31" w:rsidRPr="00B010BF">
        <w:rPr>
          <w:lang w:val="en-GB"/>
        </w:rPr>
        <w:t>anthracycline</w:t>
      </w:r>
      <w:proofErr w:type="spellEnd"/>
      <w:r w:rsidR="00985F31" w:rsidRPr="00B010BF">
        <w:rPr>
          <w:lang w:val="en-GB"/>
        </w:rPr>
        <w:t>.</w:t>
      </w:r>
    </w:p>
    <w:p w:rsidR="004E43B2" w:rsidRPr="00B010BF" w:rsidRDefault="004E43B2" w:rsidP="00903665">
      <w:pPr>
        <w:widowControl/>
        <w:rPr>
          <w:lang w:val="en-GB"/>
        </w:rPr>
      </w:pPr>
    </w:p>
    <w:p w:rsidR="005E325A" w:rsidRPr="00B010BF" w:rsidRDefault="005E325A" w:rsidP="00903665">
      <w:pPr>
        <w:widowControl/>
        <w:rPr>
          <w:lang w:val="en-GB"/>
        </w:rPr>
      </w:pPr>
    </w:p>
    <w:p w:rsidR="00B50DB8" w:rsidRPr="00B010BF" w:rsidRDefault="00B50DB8" w:rsidP="00903665">
      <w:pPr>
        <w:pStyle w:val="Heading2"/>
      </w:pPr>
      <w:bookmarkStart w:id="2" w:name="_Toc461622499"/>
      <w:r w:rsidRPr="00B010BF">
        <w:t>Requested listing</w:t>
      </w:r>
      <w:bookmarkEnd w:id="2"/>
    </w:p>
    <w:p w:rsidR="00134A74" w:rsidRPr="00B010BF" w:rsidRDefault="00134A74" w:rsidP="00903665">
      <w:pPr>
        <w:pStyle w:val="PBACHeading1"/>
        <w:numPr>
          <w:ilvl w:val="0"/>
          <w:numId w:val="0"/>
        </w:numPr>
        <w:ind w:left="720"/>
        <w:rPr>
          <w:lang w:val="en-GB"/>
        </w:rPr>
      </w:pPr>
    </w:p>
    <w:p w:rsidR="007F2D0F" w:rsidRPr="00D11E19" w:rsidRDefault="008164CB" w:rsidP="00A728F8">
      <w:pPr>
        <w:pStyle w:val="ListParagraph"/>
        <w:keepNext/>
        <w:widowControl/>
        <w:numPr>
          <w:ilvl w:val="1"/>
          <w:numId w:val="2"/>
        </w:numPr>
        <w:spacing w:after="120" w:line="276" w:lineRule="auto"/>
        <w:jc w:val="left"/>
        <w:rPr>
          <w:szCs w:val="22"/>
        </w:rPr>
      </w:pPr>
      <w:r w:rsidRPr="00B010BF">
        <w:rPr>
          <w:lang w:val="en-GB"/>
        </w:rPr>
        <w:t>The requested restriction is provided below.</w:t>
      </w:r>
      <w:r w:rsidR="00946063" w:rsidRPr="00B010BF">
        <w:rPr>
          <w:lang w:val="en-GB"/>
        </w:rPr>
        <w:t xml:space="preserve"> </w:t>
      </w:r>
      <w:r w:rsidR="007F2D0F" w:rsidRPr="00B010BF">
        <w:rPr>
          <w:rFonts w:eastAsia="SimSun"/>
          <w:iCs/>
          <w:color w:val="000000"/>
          <w:szCs w:val="22"/>
        </w:rPr>
        <w:t>Suggestions and additions proposed by the Secretariat to the requested listing are added in italics and suggested deletions are crossed out with strikethrough.</w:t>
      </w:r>
    </w:p>
    <w:p w:rsidR="00813FEF" w:rsidRDefault="00813FEF"/>
    <w:tbl>
      <w:tblPr>
        <w:tblW w:w="8363" w:type="dxa"/>
        <w:tblInd w:w="817" w:type="dxa"/>
        <w:tblLayout w:type="fixed"/>
        <w:tblLook w:val="0000" w:firstRow="0" w:lastRow="0" w:firstColumn="0" w:lastColumn="0" w:noHBand="0" w:noVBand="0"/>
      </w:tblPr>
      <w:tblGrid>
        <w:gridCol w:w="2126"/>
        <w:gridCol w:w="709"/>
        <w:gridCol w:w="709"/>
        <w:gridCol w:w="567"/>
        <w:gridCol w:w="1984"/>
        <w:gridCol w:w="1134"/>
        <w:gridCol w:w="1134"/>
      </w:tblGrid>
      <w:tr w:rsidR="00D11E19" w:rsidRPr="00260CE3" w:rsidTr="00FA643D">
        <w:trPr>
          <w:cantSplit/>
          <w:trHeight w:val="471"/>
        </w:trPr>
        <w:tc>
          <w:tcPr>
            <w:tcW w:w="2835" w:type="dxa"/>
            <w:gridSpan w:val="2"/>
            <w:tcBorders>
              <w:bottom w:val="single" w:sz="4" w:space="0" w:color="auto"/>
            </w:tcBorders>
          </w:tcPr>
          <w:p w:rsidR="00D11E19" w:rsidRPr="00260CE3" w:rsidRDefault="00D11E19" w:rsidP="00D11E19">
            <w:pPr>
              <w:keepNext/>
              <w:widowControl/>
              <w:ind w:left="-108"/>
              <w:rPr>
                <w:rFonts w:ascii="Arial Narrow" w:hAnsi="Arial Narrow"/>
                <w:sz w:val="20"/>
              </w:rPr>
            </w:pPr>
            <w:r w:rsidRPr="00260CE3">
              <w:rPr>
                <w:rFonts w:ascii="Arial Narrow" w:hAnsi="Arial Narrow"/>
                <w:sz w:val="20"/>
              </w:rPr>
              <w:t>Name, Restriction,</w:t>
            </w:r>
          </w:p>
          <w:p w:rsidR="00D11E19" w:rsidRPr="00260CE3" w:rsidRDefault="00D11E19" w:rsidP="00D11E19">
            <w:pPr>
              <w:keepNext/>
              <w:widowControl/>
              <w:ind w:left="-108"/>
              <w:rPr>
                <w:rFonts w:ascii="Arial Narrow" w:hAnsi="Arial Narrow"/>
                <w:sz w:val="20"/>
              </w:rPr>
            </w:pPr>
            <w:r w:rsidRPr="00260CE3">
              <w:rPr>
                <w:rFonts w:ascii="Arial Narrow" w:hAnsi="Arial Narrow"/>
                <w:sz w:val="20"/>
              </w:rPr>
              <w:t>Manner of administration and form</w:t>
            </w:r>
          </w:p>
        </w:tc>
        <w:tc>
          <w:tcPr>
            <w:tcW w:w="709" w:type="dxa"/>
            <w:tcBorders>
              <w:bottom w:val="single" w:sz="4" w:space="0" w:color="auto"/>
            </w:tcBorders>
          </w:tcPr>
          <w:p w:rsidR="00D11E19" w:rsidRPr="00260CE3" w:rsidRDefault="00D11E19" w:rsidP="00D11E19">
            <w:pPr>
              <w:keepNext/>
              <w:widowControl/>
              <w:ind w:left="-108"/>
              <w:rPr>
                <w:rFonts w:ascii="Arial Narrow" w:hAnsi="Arial Narrow"/>
                <w:sz w:val="20"/>
              </w:rPr>
            </w:pPr>
            <w:r w:rsidRPr="00260CE3">
              <w:rPr>
                <w:rFonts w:ascii="Arial Narrow" w:hAnsi="Arial Narrow"/>
                <w:sz w:val="20"/>
              </w:rPr>
              <w:t>Max.</w:t>
            </w:r>
          </w:p>
          <w:p w:rsidR="00D11E19" w:rsidRPr="00260CE3" w:rsidRDefault="00D11E19" w:rsidP="00D11E19">
            <w:pPr>
              <w:keepNext/>
              <w:widowControl/>
              <w:ind w:left="-108"/>
              <w:rPr>
                <w:rFonts w:ascii="Arial Narrow" w:hAnsi="Arial Narrow"/>
                <w:sz w:val="20"/>
              </w:rPr>
            </w:pPr>
            <w:proofErr w:type="spellStart"/>
            <w:r>
              <w:rPr>
                <w:rFonts w:ascii="Arial Narrow" w:hAnsi="Arial Narrow"/>
                <w:sz w:val="20"/>
              </w:rPr>
              <w:t>Amt</w:t>
            </w:r>
            <w:proofErr w:type="spellEnd"/>
          </w:p>
        </w:tc>
        <w:tc>
          <w:tcPr>
            <w:tcW w:w="567" w:type="dxa"/>
            <w:tcBorders>
              <w:bottom w:val="single" w:sz="4" w:space="0" w:color="auto"/>
            </w:tcBorders>
          </w:tcPr>
          <w:p w:rsidR="00D11E19" w:rsidRPr="00260CE3" w:rsidRDefault="00D11E19" w:rsidP="00D11E19">
            <w:pPr>
              <w:keepNext/>
              <w:widowControl/>
              <w:ind w:left="-108"/>
              <w:rPr>
                <w:rFonts w:ascii="Arial Narrow" w:hAnsi="Arial Narrow"/>
                <w:sz w:val="20"/>
              </w:rPr>
            </w:pPr>
            <w:r w:rsidRPr="00260CE3">
              <w:rPr>
                <w:rFonts w:ascii="Arial Narrow" w:hAnsi="Arial Narrow"/>
                <w:sz w:val="20"/>
              </w:rPr>
              <w:t>№.of</w:t>
            </w:r>
          </w:p>
          <w:p w:rsidR="00D11E19" w:rsidRPr="00260CE3" w:rsidRDefault="00D11E19" w:rsidP="00D11E19">
            <w:pPr>
              <w:keepNext/>
              <w:widowControl/>
              <w:ind w:left="-108"/>
              <w:rPr>
                <w:rFonts w:ascii="Arial Narrow" w:hAnsi="Arial Narrow"/>
                <w:sz w:val="20"/>
              </w:rPr>
            </w:pPr>
            <w:proofErr w:type="spellStart"/>
            <w:r w:rsidRPr="00260CE3">
              <w:rPr>
                <w:rFonts w:ascii="Arial Narrow" w:hAnsi="Arial Narrow"/>
                <w:sz w:val="20"/>
              </w:rPr>
              <w:t>Rpts</w:t>
            </w:r>
            <w:proofErr w:type="spellEnd"/>
          </w:p>
        </w:tc>
        <w:tc>
          <w:tcPr>
            <w:tcW w:w="1984" w:type="dxa"/>
            <w:tcBorders>
              <w:bottom w:val="single" w:sz="4" w:space="0" w:color="auto"/>
            </w:tcBorders>
            <w:vAlign w:val="center"/>
          </w:tcPr>
          <w:p w:rsidR="00D11E19" w:rsidRPr="00260CE3" w:rsidRDefault="00D11E19" w:rsidP="00D11E19">
            <w:pPr>
              <w:keepNext/>
              <w:widowControl/>
              <w:ind w:left="-108"/>
              <w:jc w:val="left"/>
              <w:rPr>
                <w:rFonts w:ascii="Arial Narrow" w:hAnsi="Arial Narrow"/>
                <w:sz w:val="20"/>
              </w:rPr>
            </w:pPr>
            <w:r w:rsidRPr="00260CE3">
              <w:rPr>
                <w:rFonts w:ascii="Arial Narrow" w:hAnsi="Arial Narrow"/>
                <w:sz w:val="20"/>
              </w:rPr>
              <w:t xml:space="preserve">Dispensed Price for Max. </w:t>
            </w:r>
            <w:r>
              <w:rPr>
                <w:rFonts w:ascii="Arial Narrow" w:hAnsi="Arial Narrow"/>
                <w:sz w:val="20"/>
              </w:rPr>
              <w:t>Amount (published)</w:t>
            </w:r>
          </w:p>
        </w:tc>
        <w:tc>
          <w:tcPr>
            <w:tcW w:w="2268" w:type="dxa"/>
            <w:gridSpan w:val="2"/>
            <w:tcBorders>
              <w:bottom w:val="single" w:sz="4" w:space="0" w:color="auto"/>
            </w:tcBorders>
          </w:tcPr>
          <w:p w:rsidR="00D11E19" w:rsidRPr="00260CE3" w:rsidRDefault="00D11E19" w:rsidP="00D11E19">
            <w:pPr>
              <w:keepNext/>
              <w:widowControl/>
              <w:rPr>
                <w:rFonts w:ascii="Arial Narrow" w:hAnsi="Arial Narrow"/>
                <w:sz w:val="20"/>
                <w:lang w:val="fr-FR"/>
              </w:rPr>
            </w:pPr>
            <w:r w:rsidRPr="00260CE3">
              <w:rPr>
                <w:rFonts w:ascii="Arial Narrow" w:hAnsi="Arial Narrow"/>
                <w:sz w:val="20"/>
              </w:rPr>
              <w:t>Proprietary Name and Manufacturer</w:t>
            </w:r>
          </w:p>
        </w:tc>
      </w:tr>
      <w:tr w:rsidR="00D11E19" w:rsidRPr="00260CE3" w:rsidTr="00FA643D">
        <w:trPr>
          <w:cantSplit/>
          <w:trHeight w:val="577"/>
        </w:trPr>
        <w:tc>
          <w:tcPr>
            <w:tcW w:w="2835" w:type="dxa"/>
            <w:gridSpan w:val="2"/>
          </w:tcPr>
          <w:p w:rsidR="00D11E19" w:rsidRPr="00260CE3" w:rsidRDefault="00D11E19" w:rsidP="00D11E19">
            <w:pPr>
              <w:keepNext/>
              <w:widowControl/>
              <w:ind w:left="-108"/>
              <w:rPr>
                <w:rFonts w:ascii="Arial Narrow" w:hAnsi="Arial Narrow"/>
                <w:sz w:val="20"/>
              </w:rPr>
            </w:pPr>
            <w:proofErr w:type="spellStart"/>
            <w:r>
              <w:rPr>
                <w:rFonts w:ascii="Arial Narrow" w:hAnsi="Arial Narrow"/>
                <w:smallCaps/>
                <w:sz w:val="20"/>
              </w:rPr>
              <w:t>eribulin</w:t>
            </w:r>
            <w:proofErr w:type="spellEnd"/>
          </w:p>
          <w:p w:rsidR="00D11E19" w:rsidRPr="00260CE3" w:rsidRDefault="00D11E19" w:rsidP="00D11E19">
            <w:pPr>
              <w:keepNext/>
              <w:widowControl/>
              <w:ind w:left="-108"/>
              <w:rPr>
                <w:rFonts w:ascii="Arial Narrow" w:hAnsi="Arial Narrow"/>
                <w:sz w:val="20"/>
              </w:rPr>
            </w:pPr>
            <w:r w:rsidRPr="00405649">
              <w:rPr>
                <w:rFonts w:ascii="Arial Narrow" w:hAnsi="Arial Narrow"/>
                <w:sz w:val="20"/>
              </w:rPr>
              <w:t xml:space="preserve">1 mg/2 mL (as </w:t>
            </w:r>
            <w:proofErr w:type="spellStart"/>
            <w:r w:rsidRPr="00405649">
              <w:rPr>
                <w:rFonts w:ascii="Arial Narrow" w:hAnsi="Arial Narrow"/>
                <w:sz w:val="20"/>
              </w:rPr>
              <w:t>mesilate</w:t>
            </w:r>
            <w:proofErr w:type="spellEnd"/>
            <w:r w:rsidRPr="00405649">
              <w:rPr>
                <w:rFonts w:ascii="Arial Narrow" w:hAnsi="Arial Narrow"/>
                <w:sz w:val="20"/>
              </w:rPr>
              <w:t>) injection, 1 x 2 mL vial</w:t>
            </w:r>
          </w:p>
        </w:tc>
        <w:tc>
          <w:tcPr>
            <w:tcW w:w="709" w:type="dxa"/>
          </w:tcPr>
          <w:p w:rsidR="00D11E19" w:rsidRPr="00260CE3" w:rsidRDefault="00D11E19" w:rsidP="00D11E19">
            <w:pPr>
              <w:keepNext/>
              <w:widowControl/>
              <w:ind w:left="-108"/>
              <w:rPr>
                <w:rFonts w:ascii="Arial Narrow" w:hAnsi="Arial Narrow"/>
                <w:sz w:val="20"/>
              </w:rPr>
            </w:pPr>
          </w:p>
          <w:p w:rsidR="00D11E19" w:rsidRPr="00260CE3" w:rsidRDefault="00D11E19" w:rsidP="00D11E19">
            <w:pPr>
              <w:keepNext/>
              <w:widowControl/>
              <w:ind w:left="-108"/>
              <w:rPr>
                <w:rFonts w:ascii="Arial Narrow" w:hAnsi="Arial Narrow"/>
                <w:sz w:val="20"/>
              </w:rPr>
            </w:pPr>
            <w:r>
              <w:rPr>
                <w:rFonts w:ascii="Arial Narrow" w:hAnsi="Arial Narrow"/>
                <w:sz w:val="20"/>
              </w:rPr>
              <w:t>3 mg</w:t>
            </w:r>
          </w:p>
        </w:tc>
        <w:tc>
          <w:tcPr>
            <w:tcW w:w="567" w:type="dxa"/>
          </w:tcPr>
          <w:p w:rsidR="00D11E19" w:rsidRPr="00260CE3" w:rsidRDefault="00D11E19" w:rsidP="00D11E19">
            <w:pPr>
              <w:keepNext/>
              <w:widowControl/>
              <w:ind w:left="-108"/>
              <w:rPr>
                <w:rFonts w:ascii="Arial Narrow" w:hAnsi="Arial Narrow"/>
                <w:sz w:val="20"/>
              </w:rPr>
            </w:pPr>
          </w:p>
          <w:p w:rsidR="00D11E19" w:rsidRPr="00260CE3" w:rsidRDefault="00D11E19" w:rsidP="00D11E19">
            <w:pPr>
              <w:keepNext/>
              <w:widowControl/>
              <w:ind w:left="-108"/>
              <w:rPr>
                <w:rFonts w:ascii="Arial Narrow" w:hAnsi="Arial Narrow"/>
                <w:sz w:val="20"/>
              </w:rPr>
            </w:pPr>
            <w:r>
              <w:rPr>
                <w:rFonts w:ascii="Arial Narrow" w:hAnsi="Arial Narrow"/>
                <w:sz w:val="20"/>
              </w:rPr>
              <w:t>13</w:t>
            </w:r>
          </w:p>
        </w:tc>
        <w:tc>
          <w:tcPr>
            <w:tcW w:w="1984" w:type="dxa"/>
          </w:tcPr>
          <w:p w:rsidR="00D11E19" w:rsidRDefault="00D11E19" w:rsidP="00D11E19">
            <w:pPr>
              <w:keepNext/>
              <w:widowControl/>
              <w:ind w:left="-108"/>
              <w:rPr>
                <w:rFonts w:ascii="Arial Narrow" w:hAnsi="Arial Narrow"/>
                <w:sz w:val="20"/>
              </w:rPr>
            </w:pPr>
            <w:r>
              <w:rPr>
                <w:rFonts w:ascii="Arial Narrow" w:hAnsi="Arial Narrow"/>
                <w:sz w:val="20"/>
              </w:rPr>
              <w:t>Public: $</w:t>
            </w:r>
            <w:r w:rsidR="002E58CD">
              <w:rPr>
                <w:rFonts w:ascii="Arial Narrow" w:hAnsi="Arial Narrow"/>
                <w:noProof/>
                <w:color w:val="000000"/>
                <w:sz w:val="20"/>
                <w:highlight w:val="black"/>
              </w:rPr>
              <w:t>''''''''''''''''''''</w:t>
            </w:r>
          </w:p>
          <w:p w:rsidR="00D11E19" w:rsidRPr="00260CE3" w:rsidRDefault="00D11E19" w:rsidP="00D11E19">
            <w:pPr>
              <w:keepNext/>
              <w:widowControl/>
              <w:ind w:left="-108"/>
              <w:rPr>
                <w:rFonts w:ascii="Arial Narrow" w:hAnsi="Arial Narrow"/>
                <w:sz w:val="20"/>
              </w:rPr>
            </w:pPr>
            <w:r>
              <w:rPr>
                <w:rFonts w:ascii="Arial Narrow" w:hAnsi="Arial Narrow"/>
                <w:sz w:val="20"/>
              </w:rPr>
              <w:t>Private: $</w:t>
            </w:r>
            <w:r w:rsidR="002E58CD">
              <w:rPr>
                <w:rFonts w:ascii="Arial Narrow" w:hAnsi="Arial Narrow"/>
                <w:noProof/>
                <w:color w:val="000000"/>
                <w:sz w:val="20"/>
                <w:highlight w:val="black"/>
              </w:rPr>
              <w:t>'''''''''''''''''''</w:t>
            </w:r>
          </w:p>
        </w:tc>
        <w:tc>
          <w:tcPr>
            <w:tcW w:w="1134" w:type="dxa"/>
            <w:vAlign w:val="center"/>
          </w:tcPr>
          <w:p w:rsidR="00D11E19" w:rsidRPr="00260CE3" w:rsidRDefault="00D11E19" w:rsidP="00D11E19">
            <w:pPr>
              <w:keepNext/>
              <w:widowControl/>
              <w:jc w:val="center"/>
              <w:rPr>
                <w:rFonts w:ascii="Arial Narrow" w:hAnsi="Arial Narrow"/>
                <w:sz w:val="20"/>
              </w:rPr>
            </w:pPr>
            <w:proofErr w:type="spellStart"/>
            <w:r>
              <w:rPr>
                <w:rFonts w:ascii="Arial Narrow" w:hAnsi="Arial Narrow"/>
                <w:sz w:val="20"/>
              </w:rPr>
              <w:t>Halaven</w:t>
            </w:r>
            <w:proofErr w:type="spellEnd"/>
            <w:r w:rsidRPr="00405649">
              <w:rPr>
                <w:rFonts w:ascii="Arial Narrow" w:hAnsi="Arial Narrow"/>
                <w:sz w:val="20"/>
                <w:vertAlign w:val="superscript"/>
              </w:rPr>
              <w:t>®</w:t>
            </w:r>
          </w:p>
        </w:tc>
        <w:tc>
          <w:tcPr>
            <w:tcW w:w="1134" w:type="dxa"/>
            <w:vAlign w:val="center"/>
          </w:tcPr>
          <w:p w:rsidR="00D11E19" w:rsidRPr="00260CE3" w:rsidRDefault="00D11E19" w:rsidP="00D11E19">
            <w:pPr>
              <w:keepNext/>
              <w:widowControl/>
              <w:jc w:val="center"/>
              <w:rPr>
                <w:rFonts w:ascii="Arial Narrow" w:hAnsi="Arial Narrow"/>
                <w:sz w:val="20"/>
              </w:rPr>
            </w:pPr>
            <w:r>
              <w:rPr>
                <w:rFonts w:ascii="Arial Narrow" w:hAnsi="Arial Narrow"/>
                <w:sz w:val="20"/>
              </w:rPr>
              <w:t>Eisai Australia Pty Ltd</w:t>
            </w:r>
          </w:p>
        </w:tc>
      </w:tr>
      <w:tr w:rsidR="00D11E19" w:rsidRPr="00260CE3" w:rsidTr="008726F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11E19" w:rsidRPr="00260CE3" w:rsidRDefault="00D11E19" w:rsidP="00D11E19">
            <w:pPr>
              <w:widowControl/>
              <w:rPr>
                <w:rFonts w:ascii="Arial Narrow" w:hAnsi="Arial Narrow"/>
                <w:b/>
                <w:sz w:val="20"/>
              </w:rPr>
            </w:pPr>
            <w:r w:rsidRPr="00260CE3">
              <w:rPr>
                <w:rFonts w:ascii="Arial Narrow" w:hAnsi="Arial Narrow"/>
                <w:b/>
                <w:sz w:val="20"/>
              </w:rPr>
              <w:t>Category / Program</w:t>
            </w:r>
          </w:p>
        </w:tc>
        <w:tc>
          <w:tcPr>
            <w:tcW w:w="6237" w:type="dxa"/>
            <w:gridSpan w:val="6"/>
            <w:tcBorders>
              <w:top w:val="single" w:sz="4" w:space="0" w:color="auto"/>
              <w:left w:val="single" w:sz="4" w:space="0" w:color="auto"/>
              <w:bottom w:val="single" w:sz="4" w:space="0" w:color="auto"/>
              <w:right w:val="single" w:sz="4" w:space="0" w:color="auto"/>
            </w:tcBorders>
          </w:tcPr>
          <w:p w:rsidR="00D11E19" w:rsidRPr="00260CE3" w:rsidRDefault="00D11E19" w:rsidP="00D11E19">
            <w:pPr>
              <w:widowControl/>
              <w:rPr>
                <w:rFonts w:ascii="Arial Narrow" w:hAnsi="Arial Narrow"/>
                <w:sz w:val="20"/>
              </w:rPr>
            </w:pPr>
            <w:r w:rsidRPr="00C33D1F">
              <w:rPr>
                <w:rFonts w:ascii="Arial Narrow" w:hAnsi="Arial Narrow"/>
                <w:sz w:val="20"/>
              </w:rPr>
              <w:t>Section 100 – Efficient funding of C</w:t>
            </w:r>
            <w:r>
              <w:rPr>
                <w:rFonts w:ascii="Arial Narrow" w:hAnsi="Arial Narrow"/>
                <w:sz w:val="20"/>
              </w:rPr>
              <w:t>hemotherapy</w:t>
            </w:r>
          </w:p>
        </w:tc>
      </w:tr>
      <w:tr w:rsidR="00D11E19" w:rsidRPr="00260CE3" w:rsidTr="008726F4">
        <w:trPr>
          <w:cantSplit/>
          <w:trHeight w:val="287"/>
        </w:trPr>
        <w:tc>
          <w:tcPr>
            <w:tcW w:w="2126" w:type="dxa"/>
            <w:tcBorders>
              <w:top w:val="single" w:sz="4" w:space="0" w:color="auto"/>
              <w:left w:val="single" w:sz="4" w:space="0" w:color="auto"/>
              <w:bottom w:val="single" w:sz="4" w:space="0" w:color="auto"/>
              <w:right w:val="single" w:sz="4" w:space="0" w:color="auto"/>
            </w:tcBorders>
          </w:tcPr>
          <w:p w:rsidR="00D11E19" w:rsidRPr="00260CE3" w:rsidRDefault="00D11E19" w:rsidP="00D11E19">
            <w:pPr>
              <w:widowControl/>
              <w:rPr>
                <w:rFonts w:ascii="Arial Narrow" w:hAnsi="Arial Narrow"/>
                <w:b/>
                <w:sz w:val="20"/>
              </w:rPr>
            </w:pPr>
            <w:r w:rsidRPr="00260CE3">
              <w:rPr>
                <w:rFonts w:ascii="Arial Narrow" w:hAnsi="Arial Narrow"/>
                <w:b/>
                <w:sz w:val="20"/>
              </w:rPr>
              <w:t>Prescriber type:</w:t>
            </w:r>
          </w:p>
        </w:tc>
        <w:tc>
          <w:tcPr>
            <w:tcW w:w="6237" w:type="dxa"/>
            <w:gridSpan w:val="6"/>
            <w:tcBorders>
              <w:top w:val="single" w:sz="4" w:space="0" w:color="auto"/>
              <w:left w:val="single" w:sz="4" w:space="0" w:color="auto"/>
              <w:bottom w:val="single" w:sz="4" w:space="0" w:color="auto"/>
              <w:right w:val="single" w:sz="4" w:space="0" w:color="auto"/>
            </w:tcBorders>
          </w:tcPr>
          <w:p w:rsidR="00D11E19" w:rsidRPr="00260CE3" w:rsidRDefault="00D11E19" w:rsidP="00D11E19">
            <w:pPr>
              <w:widowControl/>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4E2076">
              <w:rPr>
                <w:rFonts w:ascii="Arial Narrow" w:hAnsi="Arial Narrow"/>
                <w:sz w:val="20"/>
              </w:rPr>
            </w:r>
            <w:r w:rsidR="004E2076">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4E2076">
              <w:rPr>
                <w:rFonts w:ascii="Arial Narrow" w:hAnsi="Arial Narrow"/>
                <w:sz w:val="20"/>
              </w:rPr>
            </w:r>
            <w:r w:rsidR="004E2076">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4E2076">
              <w:rPr>
                <w:rFonts w:ascii="Arial Narrow" w:hAnsi="Arial Narrow"/>
                <w:sz w:val="20"/>
              </w:rPr>
            </w:r>
            <w:r w:rsidR="004E2076">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4E2076">
              <w:rPr>
                <w:rFonts w:ascii="Arial Narrow" w:hAnsi="Arial Narrow"/>
                <w:sz w:val="20"/>
              </w:rPr>
            </w:r>
            <w:r w:rsidR="004E2076">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r>
              <w:rPr>
                <w:rFonts w:ascii="Arial Narrow" w:hAnsi="Arial Narrow"/>
                <w:sz w:val="20"/>
              </w:rPr>
              <w:t xml:space="preserve"> </w:t>
            </w: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4E2076">
              <w:rPr>
                <w:rFonts w:ascii="Arial Narrow" w:hAnsi="Arial Narrow"/>
                <w:sz w:val="20"/>
              </w:rPr>
            </w:r>
            <w:r w:rsidR="004E2076">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D11E19" w:rsidRPr="00260CE3" w:rsidTr="008726F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11E19" w:rsidRPr="00260CE3" w:rsidRDefault="00D11E19" w:rsidP="00D11E19">
            <w:pPr>
              <w:widowControl/>
              <w:rPr>
                <w:rFonts w:ascii="Arial Narrow" w:hAnsi="Arial Narrow"/>
                <w:b/>
                <w:sz w:val="20"/>
              </w:rPr>
            </w:pPr>
            <w:r w:rsidRPr="00260CE3">
              <w:rPr>
                <w:rFonts w:ascii="Arial Narrow" w:hAnsi="Arial Narrow"/>
                <w:b/>
                <w:sz w:val="20"/>
              </w:rPr>
              <w:t>Severity:</w:t>
            </w:r>
          </w:p>
        </w:tc>
        <w:tc>
          <w:tcPr>
            <w:tcW w:w="6237" w:type="dxa"/>
            <w:gridSpan w:val="6"/>
            <w:tcBorders>
              <w:top w:val="single" w:sz="4" w:space="0" w:color="auto"/>
              <w:left w:val="single" w:sz="4" w:space="0" w:color="auto"/>
              <w:bottom w:val="single" w:sz="4" w:space="0" w:color="auto"/>
              <w:right w:val="single" w:sz="4" w:space="0" w:color="auto"/>
            </w:tcBorders>
          </w:tcPr>
          <w:p w:rsidR="00D11E19" w:rsidRDefault="00D11E19" w:rsidP="00D11E19">
            <w:pPr>
              <w:widowControl/>
              <w:rPr>
                <w:rFonts w:ascii="Arial Narrow" w:hAnsi="Arial Narrow"/>
                <w:sz w:val="20"/>
              </w:rPr>
            </w:pPr>
            <w:r>
              <w:rPr>
                <w:rFonts w:ascii="Arial Narrow" w:hAnsi="Arial Narrow"/>
                <w:i/>
                <w:sz w:val="20"/>
              </w:rPr>
              <w:t>Advanced (</w:t>
            </w:r>
            <w:proofErr w:type="spellStart"/>
            <w:r>
              <w:rPr>
                <w:rFonts w:ascii="Arial Narrow" w:hAnsi="Arial Narrow"/>
                <w:i/>
                <w:sz w:val="20"/>
              </w:rPr>
              <w:t>unresectable</w:t>
            </w:r>
            <w:proofErr w:type="spellEnd"/>
            <w:r>
              <w:rPr>
                <w:rFonts w:ascii="Arial Narrow" w:hAnsi="Arial Narrow"/>
                <w:i/>
                <w:sz w:val="20"/>
              </w:rPr>
              <w:t xml:space="preserve"> and/or metastatic)</w:t>
            </w:r>
          </w:p>
          <w:p w:rsidR="00D11E19" w:rsidRPr="00641869" w:rsidRDefault="00D11E19" w:rsidP="00D11E19">
            <w:pPr>
              <w:widowControl/>
              <w:rPr>
                <w:rFonts w:ascii="Arial Narrow" w:hAnsi="Arial Narrow"/>
                <w:strike/>
                <w:sz w:val="20"/>
              </w:rPr>
            </w:pPr>
            <w:r w:rsidRPr="00641869">
              <w:rPr>
                <w:rFonts w:ascii="Arial Narrow" w:hAnsi="Arial Narrow"/>
                <w:strike/>
                <w:sz w:val="20"/>
              </w:rPr>
              <w:t>Advanced, defined as locally recurrent, locally advanced or metastatic</w:t>
            </w:r>
          </w:p>
        </w:tc>
      </w:tr>
      <w:tr w:rsidR="00D11E19" w:rsidRPr="00260CE3" w:rsidTr="008726F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11E19" w:rsidRPr="00260CE3" w:rsidRDefault="00D11E19" w:rsidP="00D11E19">
            <w:pPr>
              <w:widowControl/>
              <w:rPr>
                <w:rFonts w:ascii="Arial Narrow" w:hAnsi="Arial Narrow"/>
                <w:b/>
                <w:sz w:val="20"/>
              </w:rPr>
            </w:pPr>
            <w:r w:rsidRPr="00260CE3">
              <w:rPr>
                <w:rFonts w:ascii="Arial Narrow" w:hAnsi="Arial Narrow"/>
                <w:b/>
                <w:sz w:val="20"/>
              </w:rPr>
              <w:t>Condition:</w:t>
            </w:r>
          </w:p>
        </w:tc>
        <w:tc>
          <w:tcPr>
            <w:tcW w:w="6237" w:type="dxa"/>
            <w:gridSpan w:val="6"/>
            <w:tcBorders>
              <w:top w:val="single" w:sz="4" w:space="0" w:color="auto"/>
              <w:left w:val="single" w:sz="4" w:space="0" w:color="auto"/>
              <w:bottom w:val="single" w:sz="4" w:space="0" w:color="auto"/>
              <w:right w:val="single" w:sz="4" w:space="0" w:color="auto"/>
            </w:tcBorders>
          </w:tcPr>
          <w:p w:rsidR="00D11E19" w:rsidRPr="00260CE3" w:rsidRDefault="00D11E19" w:rsidP="00D11E19">
            <w:pPr>
              <w:widowControl/>
              <w:rPr>
                <w:rFonts w:ascii="Arial Narrow" w:hAnsi="Arial Narrow"/>
                <w:sz w:val="20"/>
              </w:rPr>
            </w:pPr>
            <w:r w:rsidRPr="007C4425">
              <w:rPr>
                <w:rFonts w:ascii="Arial Narrow" w:hAnsi="Arial Narrow"/>
                <w:strike/>
                <w:sz w:val="20"/>
              </w:rPr>
              <w:t xml:space="preserve">Soft tissue sarcoma </w:t>
            </w:r>
            <w:r w:rsidRPr="009067B1">
              <w:rPr>
                <w:rFonts w:ascii="Arial Narrow" w:hAnsi="Arial Narrow"/>
                <w:strike/>
                <w:sz w:val="20"/>
              </w:rPr>
              <w:t>(STS)</w:t>
            </w:r>
            <w:r>
              <w:rPr>
                <w:rFonts w:ascii="Arial Narrow" w:hAnsi="Arial Narrow"/>
                <w:strike/>
                <w:sz w:val="20"/>
              </w:rPr>
              <w:t xml:space="preserve"> </w:t>
            </w:r>
            <w:proofErr w:type="spellStart"/>
            <w:r>
              <w:rPr>
                <w:rFonts w:ascii="Arial Narrow" w:hAnsi="Arial Narrow"/>
                <w:i/>
                <w:sz w:val="20"/>
              </w:rPr>
              <w:t>L</w:t>
            </w:r>
            <w:r w:rsidRPr="00485E16">
              <w:rPr>
                <w:rFonts w:ascii="Arial Narrow" w:hAnsi="Arial Narrow"/>
                <w:i/>
                <w:sz w:val="20"/>
              </w:rPr>
              <w:t>iposarcoma</w:t>
            </w:r>
            <w:proofErr w:type="spellEnd"/>
          </w:p>
        </w:tc>
      </w:tr>
      <w:tr w:rsidR="00D11E19" w:rsidRPr="00260CE3" w:rsidTr="008726F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11E19" w:rsidRPr="00641869" w:rsidRDefault="00D11E19" w:rsidP="00D11E19">
            <w:pPr>
              <w:widowControl/>
              <w:rPr>
                <w:rFonts w:ascii="Arial Narrow" w:hAnsi="Arial Narrow"/>
                <w:b/>
                <w:sz w:val="20"/>
              </w:rPr>
            </w:pPr>
            <w:r w:rsidRPr="00260CE3">
              <w:rPr>
                <w:rFonts w:ascii="Arial Narrow" w:hAnsi="Arial Narrow"/>
                <w:b/>
                <w:sz w:val="20"/>
              </w:rPr>
              <w:t>PBS Indication:</w:t>
            </w:r>
          </w:p>
        </w:tc>
        <w:tc>
          <w:tcPr>
            <w:tcW w:w="6237" w:type="dxa"/>
            <w:gridSpan w:val="6"/>
            <w:tcBorders>
              <w:top w:val="single" w:sz="4" w:space="0" w:color="auto"/>
              <w:left w:val="single" w:sz="4" w:space="0" w:color="auto"/>
              <w:bottom w:val="single" w:sz="4" w:space="0" w:color="auto"/>
              <w:right w:val="single" w:sz="4" w:space="0" w:color="auto"/>
            </w:tcBorders>
          </w:tcPr>
          <w:p w:rsidR="00D11E19" w:rsidRPr="00641869" w:rsidRDefault="00D11E19" w:rsidP="00D11E19">
            <w:pPr>
              <w:widowControl/>
              <w:rPr>
                <w:rFonts w:ascii="Arial Narrow" w:hAnsi="Arial Narrow"/>
                <w:i/>
                <w:sz w:val="20"/>
              </w:rPr>
            </w:pPr>
            <w:r>
              <w:rPr>
                <w:rFonts w:ascii="Arial Narrow" w:hAnsi="Arial Narrow"/>
                <w:i/>
                <w:sz w:val="20"/>
              </w:rPr>
              <w:t>Advanced (</w:t>
            </w:r>
            <w:proofErr w:type="spellStart"/>
            <w:r>
              <w:rPr>
                <w:rFonts w:ascii="Arial Narrow" w:hAnsi="Arial Narrow"/>
                <w:i/>
                <w:sz w:val="20"/>
              </w:rPr>
              <w:t>unresectable</w:t>
            </w:r>
            <w:proofErr w:type="spellEnd"/>
            <w:r>
              <w:rPr>
                <w:rFonts w:ascii="Arial Narrow" w:hAnsi="Arial Narrow"/>
                <w:i/>
                <w:sz w:val="20"/>
              </w:rPr>
              <w:t xml:space="preserve"> and/or metastatic</w:t>
            </w:r>
            <w:r w:rsidRPr="00485E16">
              <w:rPr>
                <w:rFonts w:ascii="Arial Narrow" w:hAnsi="Arial Narrow"/>
                <w:i/>
                <w:sz w:val="20"/>
              </w:rPr>
              <w:t xml:space="preserve">) </w:t>
            </w:r>
            <w:proofErr w:type="spellStart"/>
            <w:r w:rsidRPr="00485E16">
              <w:rPr>
                <w:rFonts w:ascii="Arial Narrow" w:hAnsi="Arial Narrow"/>
                <w:i/>
                <w:sz w:val="20"/>
              </w:rPr>
              <w:t>liposarcoma</w:t>
            </w:r>
            <w:proofErr w:type="spellEnd"/>
          </w:p>
        </w:tc>
      </w:tr>
      <w:tr w:rsidR="00D11E19" w:rsidRPr="00260CE3" w:rsidTr="008726F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11E19" w:rsidRPr="00AD1999" w:rsidRDefault="00D11E19" w:rsidP="00D11E19">
            <w:pPr>
              <w:widowControl/>
              <w:rPr>
                <w:rFonts w:ascii="Arial Narrow" w:hAnsi="Arial Narrow"/>
                <w:b/>
                <w:sz w:val="20"/>
              </w:rPr>
            </w:pPr>
            <w:r w:rsidRPr="00260CE3">
              <w:rPr>
                <w:rFonts w:ascii="Arial Narrow" w:hAnsi="Arial Narrow"/>
                <w:b/>
                <w:sz w:val="20"/>
              </w:rPr>
              <w:t>Treatment phase:</w:t>
            </w:r>
          </w:p>
        </w:tc>
        <w:tc>
          <w:tcPr>
            <w:tcW w:w="6237" w:type="dxa"/>
            <w:gridSpan w:val="6"/>
            <w:tcBorders>
              <w:top w:val="single" w:sz="4" w:space="0" w:color="auto"/>
              <w:left w:val="single" w:sz="4" w:space="0" w:color="auto"/>
              <w:bottom w:val="single" w:sz="4" w:space="0" w:color="auto"/>
              <w:right w:val="single" w:sz="4" w:space="0" w:color="auto"/>
            </w:tcBorders>
          </w:tcPr>
          <w:p w:rsidR="00D11E19" w:rsidRPr="00AD1999" w:rsidRDefault="00D11E19" w:rsidP="00D11E19">
            <w:pPr>
              <w:widowControl/>
              <w:rPr>
                <w:rFonts w:ascii="Arial Narrow" w:hAnsi="Arial Narrow"/>
                <w:strike/>
                <w:sz w:val="20"/>
              </w:rPr>
            </w:pPr>
            <w:r w:rsidRPr="00AD1999">
              <w:rPr>
                <w:rFonts w:ascii="Arial Narrow" w:hAnsi="Arial Narrow"/>
                <w:strike/>
                <w:sz w:val="20"/>
              </w:rPr>
              <w:t>initial</w:t>
            </w:r>
          </w:p>
        </w:tc>
      </w:tr>
      <w:tr w:rsidR="00D11E19" w:rsidRPr="00260CE3" w:rsidTr="008726F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11E19" w:rsidRPr="00260CE3" w:rsidRDefault="00D11E19" w:rsidP="00D11E19">
            <w:pPr>
              <w:widowControl/>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D11E19" w:rsidRPr="00CD28F3" w:rsidRDefault="00D11E19" w:rsidP="00D11E19">
            <w:pPr>
              <w:widowControl/>
              <w:rPr>
                <w:rFonts w:ascii="Arial Narrow" w:hAnsi="Arial Narrow"/>
                <w:i/>
                <w:sz w:val="20"/>
              </w:rPr>
            </w:pPr>
          </w:p>
        </w:tc>
        <w:tc>
          <w:tcPr>
            <w:tcW w:w="6237" w:type="dxa"/>
            <w:gridSpan w:val="6"/>
            <w:tcBorders>
              <w:top w:val="single" w:sz="4" w:space="0" w:color="auto"/>
              <w:left w:val="single" w:sz="4" w:space="0" w:color="auto"/>
              <w:bottom w:val="single" w:sz="4" w:space="0" w:color="auto"/>
              <w:right w:val="single" w:sz="4" w:space="0" w:color="auto"/>
            </w:tcBorders>
          </w:tcPr>
          <w:p w:rsidR="00D11E19" w:rsidRPr="00106BCF" w:rsidRDefault="00D11E19" w:rsidP="00D11E19">
            <w:pPr>
              <w:widowControl/>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4E2076">
              <w:rPr>
                <w:rFonts w:ascii="Arial Narrow" w:hAnsi="Arial Narrow"/>
                <w:sz w:val="20"/>
              </w:rPr>
            </w:r>
            <w:r w:rsidR="004E2076">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D11E19" w:rsidRPr="00106BCF" w:rsidRDefault="00D11E19" w:rsidP="00D11E19">
            <w:pPr>
              <w:widowControl/>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4E2076">
              <w:rPr>
                <w:rFonts w:ascii="Arial Narrow" w:hAnsi="Arial Narrow"/>
                <w:sz w:val="20"/>
              </w:rPr>
            </w:r>
            <w:r w:rsidR="004E2076">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D11E19" w:rsidRPr="00106BCF" w:rsidRDefault="00D11E19" w:rsidP="00D11E19">
            <w:pPr>
              <w:widowControl/>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4E2076">
              <w:rPr>
                <w:rFonts w:ascii="Arial Narrow" w:hAnsi="Arial Narrow"/>
                <w:sz w:val="20"/>
              </w:rPr>
            </w:r>
            <w:r w:rsidR="004E2076">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D11E19" w:rsidRPr="00106BCF" w:rsidRDefault="00D11E19" w:rsidP="00D11E19">
            <w:pPr>
              <w:widowControl/>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4E2076">
              <w:rPr>
                <w:rFonts w:ascii="Arial Narrow" w:hAnsi="Arial Narrow"/>
                <w:sz w:val="20"/>
              </w:rPr>
            </w:r>
            <w:r w:rsidR="004E2076">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 xml:space="preserve">Authority Required </w:t>
            </w:r>
            <w:r w:rsidRPr="004332FE">
              <w:rPr>
                <w:rFonts w:ascii="Arial Narrow" w:hAnsi="Arial Narrow"/>
                <w:sz w:val="20"/>
              </w:rPr>
              <w:t>-</w:t>
            </w:r>
            <w:r w:rsidRPr="00106BCF">
              <w:rPr>
                <w:rFonts w:ascii="Arial Narrow" w:hAnsi="Arial Narrow"/>
                <w:sz w:val="20"/>
              </w:rPr>
              <w:t xml:space="preserve"> Emergency</w:t>
            </w:r>
          </w:p>
          <w:p w:rsidR="00D11E19" w:rsidRPr="00106BCF" w:rsidRDefault="00D11E19" w:rsidP="00D11E19">
            <w:pPr>
              <w:widowControl/>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4E2076">
              <w:rPr>
                <w:rFonts w:ascii="Arial Narrow" w:hAnsi="Arial Narrow"/>
                <w:sz w:val="20"/>
              </w:rPr>
            </w:r>
            <w:r w:rsidR="004E2076">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D11E19" w:rsidRPr="00260CE3" w:rsidRDefault="00D11E19" w:rsidP="00D11E19">
            <w:pPr>
              <w:widowControl/>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r>
              <w:rPr>
                <w:rFonts w:ascii="Arial Narrow" w:hAnsi="Arial Narrow"/>
                <w:sz w:val="20"/>
              </w:rPr>
              <w:instrText xml:space="preserve"> FORMCHECKBOX </w:instrText>
            </w:r>
            <w:r w:rsidR="004E2076">
              <w:rPr>
                <w:rFonts w:ascii="Arial Narrow" w:hAnsi="Arial Narrow"/>
                <w:sz w:val="20"/>
              </w:rPr>
            </w:r>
            <w:r w:rsidR="004E2076">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D11E19" w:rsidRPr="00260CE3" w:rsidTr="008726F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11E19" w:rsidRPr="00AD1999" w:rsidRDefault="00D11E19" w:rsidP="00D11E19">
            <w:pPr>
              <w:widowControl/>
              <w:rPr>
                <w:rFonts w:ascii="Arial Narrow" w:hAnsi="Arial Narrow"/>
                <w:b/>
                <w:sz w:val="20"/>
              </w:rPr>
            </w:pPr>
            <w:r w:rsidRPr="00260CE3">
              <w:rPr>
                <w:rFonts w:ascii="Arial Narrow" w:hAnsi="Arial Narrow"/>
                <w:b/>
                <w:sz w:val="20"/>
              </w:rPr>
              <w:t>Treatment criteria:</w:t>
            </w:r>
          </w:p>
        </w:tc>
        <w:tc>
          <w:tcPr>
            <w:tcW w:w="6237" w:type="dxa"/>
            <w:gridSpan w:val="6"/>
            <w:tcBorders>
              <w:top w:val="single" w:sz="4" w:space="0" w:color="auto"/>
              <w:left w:val="single" w:sz="4" w:space="0" w:color="auto"/>
              <w:bottom w:val="single" w:sz="4" w:space="0" w:color="auto"/>
              <w:right w:val="single" w:sz="4" w:space="0" w:color="auto"/>
            </w:tcBorders>
          </w:tcPr>
          <w:p w:rsidR="00D11E19" w:rsidRPr="00260CE3" w:rsidRDefault="00D11E19" w:rsidP="00D11E19">
            <w:pPr>
              <w:widowControl/>
              <w:rPr>
                <w:rFonts w:ascii="Arial Narrow" w:hAnsi="Arial Narrow"/>
                <w:sz w:val="20"/>
              </w:rPr>
            </w:pPr>
            <w:r>
              <w:rPr>
                <w:rFonts w:ascii="Arial Narrow" w:hAnsi="Arial Narrow"/>
                <w:sz w:val="20"/>
              </w:rPr>
              <w:t>Must be treated by an oncologist.</w:t>
            </w:r>
          </w:p>
        </w:tc>
      </w:tr>
      <w:tr w:rsidR="00D11E19" w:rsidRPr="00260CE3" w:rsidTr="008726F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11E19" w:rsidRPr="00260CE3" w:rsidRDefault="00D11E19" w:rsidP="00D11E19">
            <w:pPr>
              <w:widowControl/>
              <w:rPr>
                <w:rFonts w:ascii="Arial Narrow" w:hAnsi="Arial Narrow"/>
                <w:b/>
                <w:sz w:val="20"/>
              </w:rPr>
            </w:pPr>
            <w:r w:rsidRPr="00260CE3">
              <w:rPr>
                <w:rFonts w:ascii="Arial Narrow" w:hAnsi="Arial Narrow"/>
                <w:b/>
                <w:sz w:val="20"/>
              </w:rPr>
              <w:lastRenderedPageBreak/>
              <w:t>Clinical criteria:</w:t>
            </w:r>
          </w:p>
          <w:p w:rsidR="00D11E19" w:rsidRPr="00260CE3" w:rsidRDefault="00D11E19" w:rsidP="00D11E19">
            <w:pPr>
              <w:widowControl/>
              <w:rPr>
                <w:rFonts w:ascii="Arial Narrow" w:hAnsi="Arial Narrow"/>
                <w:sz w:val="20"/>
              </w:rPr>
            </w:pPr>
          </w:p>
        </w:tc>
        <w:tc>
          <w:tcPr>
            <w:tcW w:w="6237" w:type="dxa"/>
            <w:gridSpan w:val="6"/>
            <w:tcBorders>
              <w:top w:val="single" w:sz="4" w:space="0" w:color="auto"/>
              <w:left w:val="single" w:sz="4" w:space="0" w:color="auto"/>
              <w:bottom w:val="single" w:sz="4" w:space="0" w:color="auto"/>
              <w:right w:val="single" w:sz="4" w:space="0" w:color="auto"/>
            </w:tcBorders>
          </w:tcPr>
          <w:p w:rsidR="00D11E19" w:rsidRDefault="00D11E19" w:rsidP="00D11E19">
            <w:pPr>
              <w:widowControl/>
              <w:rPr>
                <w:rFonts w:ascii="Arial Narrow" w:hAnsi="Arial Narrow"/>
                <w:sz w:val="20"/>
              </w:rPr>
            </w:pPr>
            <w:r>
              <w:rPr>
                <w:rFonts w:ascii="Arial Narrow" w:hAnsi="Arial Narrow"/>
                <w:sz w:val="20"/>
              </w:rPr>
              <w:t xml:space="preserve">Patient must have a </w:t>
            </w:r>
            <w:r>
              <w:rPr>
                <w:rFonts w:ascii="Arial Narrow" w:hAnsi="Arial Narrow"/>
                <w:i/>
                <w:sz w:val="20"/>
              </w:rPr>
              <w:t xml:space="preserve">WHO </w:t>
            </w:r>
            <w:r w:rsidRPr="00AD1999">
              <w:rPr>
                <w:rFonts w:ascii="Arial Narrow" w:hAnsi="Arial Narrow"/>
                <w:strike/>
                <w:sz w:val="20"/>
              </w:rPr>
              <w:t>ECOG</w:t>
            </w:r>
            <w:r>
              <w:rPr>
                <w:rFonts w:ascii="Arial Narrow" w:hAnsi="Arial Narrow"/>
                <w:sz w:val="20"/>
              </w:rPr>
              <w:t xml:space="preserve"> performance status of 2 or less,</w:t>
            </w:r>
          </w:p>
          <w:p w:rsidR="00D11E19" w:rsidRDefault="00D11E19" w:rsidP="00D11E19">
            <w:pPr>
              <w:widowControl/>
              <w:rPr>
                <w:rFonts w:ascii="Arial Narrow" w:hAnsi="Arial Narrow"/>
                <w:sz w:val="20"/>
              </w:rPr>
            </w:pPr>
          </w:p>
          <w:p w:rsidR="00D11E19" w:rsidRDefault="00D11E19" w:rsidP="00D11E19">
            <w:pPr>
              <w:widowControl/>
              <w:rPr>
                <w:rFonts w:ascii="Arial Narrow" w:hAnsi="Arial Narrow"/>
                <w:sz w:val="20"/>
              </w:rPr>
            </w:pPr>
            <w:r>
              <w:rPr>
                <w:rFonts w:ascii="Arial Narrow" w:hAnsi="Arial Narrow"/>
                <w:sz w:val="20"/>
              </w:rPr>
              <w:t>AND</w:t>
            </w:r>
          </w:p>
          <w:p w:rsidR="00D11E19" w:rsidRDefault="00D11E19" w:rsidP="00D11E19">
            <w:pPr>
              <w:widowControl/>
              <w:rPr>
                <w:rFonts w:ascii="Arial Narrow" w:hAnsi="Arial Narrow"/>
                <w:sz w:val="20"/>
              </w:rPr>
            </w:pPr>
          </w:p>
          <w:p w:rsidR="00D11E19" w:rsidRDefault="00D11E19" w:rsidP="00D11E19">
            <w:pPr>
              <w:widowControl/>
              <w:rPr>
                <w:rFonts w:ascii="Arial Narrow" w:hAnsi="Arial Narrow"/>
                <w:sz w:val="20"/>
              </w:rPr>
            </w:pPr>
            <w:r w:rsidRPr="00AD1999">
              <w:rPr>
                <w:rFonts w:ascii="Arial Narrow" w:hAnsi="Arial Narrow"/>
                <w:sz w:val="20"/>
              </w:rPr>
              <w:t xml:space="preserve">Patient must have received prior </w:t>
            </w:r>
            <w:r w:rsidRPr="00B17203">
              <w:rPr>
                <w:rFonts w:ascii="Arial Narrow" w:hAnsi="Arial Narrow"/>
                <w:strike/>
                <w:sz w:val="20"/>
              </w:rPr>
              <w:t>chemotherapy</w:t>
            </w:r>
            <w:r w:rsidRPr="00AD1999">
              <w:rPr>
                <w:rFonts w:ascii="Arial Narrow" w:hAnsi="Arial Narrow"/>
                <w:sz w:val="20"/>
              </w:rPr>
              <w:t xml:space="preserve"> treat</w:t>
            </w:r>
            <w:r>
              <w:rPr>
                <w:rFonts w:ascii="Arial Narrow" w:hAnsi="Arial Narrow"/>
                <w:sz w:val="20"/>
              </w:rPr>
              <w:t xml:space="preserve">ment </w:t>
            </w:r>
            <w:r w:rsidRPr="00B17203">
              <w:rPr>
                <w:rFonts w:ascii="Arial Narrow" w:hAnsi="Arial Narrow"/>
                <w:strike/>
                <w:sz w:val="20"/>
              </w:rPr>
              <w:t xml:space="preserve">including an </w:t>
            </w:r>
            <w:proofErr w:type="spellStart"/>
            <w:r w:rsidRPr="00B17203">
              <w:rPr>
                <w:rFonts w:ascii="Arial Narrow" w:hAnsi="Arial Narrow"/>
                <w:strike/>
                <w:sz w:val="20"/>
              </w:rPr>
              <w:t>anthracycline</w:t>
            </w:r>
            <w:proofErr w:type="spellEnd"/>
            <w:r>
              <w:rPr>
                <w:rFonts w:ascii="Arial Narrow" w:hAnsi="Arial Narrow"/>
                <w:sz w:val="20"/>
              </w:rPr>
              <w:t xml:space="preserve"> </w:t>
            </w:r>
            <w:r w:rsidR="007C5C75">
              <w:rPr>
                <w:rFonts w:ascii="Arial Narrow" w:hAnsi="Arial Narrow"/>
                <w:i/>
                <w:sz w:val="20"/>
              </w:rPr>
              <w:t xml:space="preserve">with </w:t>
            </w:r>
            <w:r w:rsidR="007C5C75" w:rsidRPr="009F1872">
              <w:rPr>
                <w:rFonts w:ascii="Arial Narrow" w:hAnsi="Arial Narrow"/>
                <w:i/>
                <w:sz w:val="20"/>
              </w:rPr>
              <w:t>doxorubicin</w:t>
            </w:r>
            <w:r>
              <w:rPr>
                <w:rFonts w:ascii="Arial Narrow" w:hAnsi="Arial Narrow"/>
                <w:i/>
                <w:sz w:val="20"/>
              </w:rPr>
              <w:t xml:space="preserve"> and </w:t>
            </w:r>
            <w:proofErr w:type="spellStart"/>
            <w:r>
              <w:rPr>
                <w:rFonts w:ascii="Arial Narrow" w:hAnsi="Arial Narrow"/>
                <w:i/>
                <w:sz w:val="20"/>
              </w:rPr>
              <w:t>ifosfamide</w:t>
            </w:r>
            <w:proofErr w:type="spellEnd"/>
            <w:r>
              <w:rPr>
                <w:rFonts w:ascii="Arial Narrow" w:hAnsi="Arial Narrow"/>
                <w:i/>
                <w:sz w:val="20"/>
              </w:rPr>
              <w:t xml:space="preserve"> </w:t>
            </w:r>
            <w:r>
              <w:rPr>
                <w:rFonts w:ascii="Arial Narrow" w:hAnsi="Arial Narrow"/>
                <w:sz w:val="20"/>
              </w:rPr>
              <w:t>(unless contraindicated),</w:t>
            </w:r>
          </w:p>
          <w:p w:rsidR="00D11E19" w:rsidRDefault="00D11E19" w:rsidP="00D11E19">
            <w:pPr>
              <w:widowControl/>
              <w:rPr>
                <w:rFonts w:ascii="Arial Narrow" w:hAnsi="Arial Narrow"/>
                <w:sz w:val="20"/>
              </w:rPr>
            </w:pPr>
          </w:p>
          <w:p w:rsidR="00D11E19" w:rsidRPr="00260CE3" w:rsidRDefault="00D11E19" w:rsidP="00D11E19">
            <w:pPr>
              <w:widowControl/>
              <w:rPr>
                <w:rFonts w:ascii="Arial Narrow" w:hAnsi="Arial Narrow"/>
                <w:sz w:val="20"/>
              </w:rPr>
            </w:pPr>
            <w:r>
              <w:rPr>
                <w:rFonts w:ascii="Arial Narrow" w:hAnsi="Arial Narrow"/>
                <w:sz w:val="20"/>
              </w:rPr>
              <w:t>AND</w:t>
            </w:r>
          </w:p>
          <w:p w:rsidR="00D11E19" w:rsidRPr="00260CE3" w:rsidRDefault="00D11E19" w:rsidP="00D11E19">
            <w:pPr>
              <w:widowControl/>
              <w:rPr>
                <w:rFonts w:ascii="Arial Narrow" w:hAnsi="Arial Narrow"/>
                <w:sz w:val="20"/>
              </w:rPr>
            </w:pPr>
          </w:p>
          <w:p w:rsidR="00D11E19" w:rsidRPr="00260CE3" w:rsidRDefault="00D11E19" w:rsidP="00D11E19">
            <w:pPr>
              <w:widowControl/>
              <w:rPr>
                <w:rFonts w:ascii="Arial Narrow" w:hAnsi="Arial Narrow"/>
                <w:sz w:val="20"/>
              </w:rPr>
            </w:pPr>
            <w:r>
              <w:rPr>
                <w:rFonts w:ascii="Arial Narrow" w:hAnsi="Arial Narrow"/>
                <w:sz w:val="20"/>
              </w:rPr>
              <w:t xml:space="preserve">The </w:t>
            </w:r>
            <w:r w:rsidRPr="00646788">
              <w:rPr>
                <w:rFonts w:ascii="Arial Narrow" w:hAnsi="Arial Narrow"/>
                <w:sz w:val="20"/>
              </w:rPr>
              <w:t>treatment must be the sole PBS-subsid</w:t>
            </w:r>
            <w:r>
              <w:rPr>
                <w:rFonts w:ascii="Arial Narrow" w:hAnsi="Arial Narrow"/>
                <w:sz w:val="20"/>
              </w:rPr>
              <w:t>ised therapy for this condition.</w:t>
            </w:r>
          </w:p>
        </w:tc>
      </w:tr>
      <w:tr w:rsidR="00D11E19" w:rsidRPr="00260CE3" w:rsidTr="008726F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11E19" w:rsidRPr="00260CE3" w:rsidRDefault="00D11E19" w:rsidP="00D11E19">
            <w:pPr>
              <w:widowControl/>
              <w:rPr>
                <w:rFonts w:ascii="Arial Narrow" w:hAnsi="Arial Narrow"/>
                <w:b/>
                <w:sz w:val="20"/>
              </w:rPr>
            </w:pPr>
            <w:r>
              <w:rPr>
                <w:rFonts w:ascii="Arial Narrow" w:hAnsi="Arial Narrow"/>
                <w:b/>
                <w:sz w:val="20"/>
              </w:rPr>
              <w:t>Prescriber instructions</w:t>
            </w:r>
          </w:p>
        </w:tc>
        <w:tc>
          <w:tcPr>
            <w:tcW w:w="6237" w:type="dxa"/>
            <w:gridSpan w:val="6"/>
            <w:tcBorders>
              <w:top w:val="single" w:sz="4" w:space="0" w:color="auto"/>
              <w:left w:val="single" w:sz="4" w:space="0" w:color="auto"/>
              <w:bottom w:val="single" w:sz="4" w:space="0" w:color="auto"/>
              <w:right w:val="single" w:sz="4" w:space="0" w:color="auto"/>
            </w:tcBorders>
          </w:tcPr>
          <w:p w:rsidR="00D11E19" w:rsidRPr="007C13B9" w:rsidRDefault="00D11E19" w:rsidP="00D11E19">
            <w:pPr>
              <w:widowControl/>
              <w:rPr>
                <w:rFonts w:ascii="Arial Narrow" w:hAnsi="Arial Narrow"/>
                <w:i/>
                <w:sz w:val="20"/>
              </w:rPr>
            </w:pPr>
            <w:r w:rsidRPr="007C13B9">
              <w:rPr>
                <w:rFonts w:ascii="Arial Narrow" w:hAnsi="Arial Narrow"/>
                <w:i/>
                <w:sz w:val="20"/>
              </w:rPr>
              <w:t xml:space="preserve">Patient must have not any of the following </w:t>
            </w:r>
            <w:r w:rsidR="004E2076">
              <w:rPr>
                <w:rFonts w:ascii="Arial Narrow" w:hAnsi="Arial Narrow"/>
                <w:i/>
                <w:sz w:val="20"/>
              </w:rPr>
              <w:t>disease subtypes</w:t>
            </w:r>
            <w:r w:rsidRPr="007C13B9">
              <w:rPr>
                <w:rFonts w:ascii="Arial Narrow" w:hAnsi="Arial Narrow"/>
                <w:i/>
                <w:sz w:val="20"/>
              </w:rPr>
              <w:t>:</w:t>
            </w:r>
          </w:p>
          <w:p w:rsidR="00D11E19" w:rsidRDefault="00D11E19" w:rsidP="00D11E19">
            <w:pPr>
              <w:widowControl/>
              <w:rPr>
                <w:rFonts w:ascii="Arial Narrow" w:hAnsi="Arial Narrow"/>
                <w:sz w:val="20"/>
              </w:rPr>
            </w:pPr>
            <w:r w:rsidRPr="009F1872">
              <w:rPr>
                <w:rFonts w:ascii="Arial Narrow" w:hAnsi="Arial Narrow"/>
                <w:i/>
                <w:sz w:val="20"/>
              </w:rPr>
              <w:t>Well-differentiated</w:t>
            </w:r>
            <w:r w:rsidRPr="007C13B9">
              <w:rPr>
                <w:rFonts w:ascii="Arial Narrow" w:hAnsi="Arial Narrow"/>
                <w:i/>
                <w:sz w:val="20"/>
              </w:rPr>
              <w:t xml:space="preserve"> </w:t>
            </w:r>
            <w:proofErr w:type="spellStart"/>
            <w:r w:rsidRPr="007C13B9">
              <w:rPr>
                <w:rFonts w:ascii="Arial Narrow" w:hAnsi="Arial Narrow"/>
                <w:i/>
                <w:sz w:val="20"/>
              </w:rPr>
              <w:t>liposarcoma</w:t>
            </w:r>
            <w:proofErr w:type="spellEnd"/>
          </w:p>
        </w:tc>
      </w:tr>
      <w:tr w:rsidR="00D11E19" w:rsidRPr="00260CE3" w:rsidTr="008726F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11E19" w:rsidRPr="00646788" w:rsidRDefault="00D11E19" w:rsidP="00D11E19">
            <w:pPr>
              <w:widowControl/>
              <w:rPr>
                <w:rFonts w:ascii="Arial Narrow" w:hAnsi="Arial Narrow"/>
                <w:b/>
                <w:sz w:val="20"/>
              </w:rPr>
            </w:pPr>
            <w:r w:rsidRPr="00260CE3">
              <w:rPr>
                <w:rFonts w:ascii="Arial Narrow" w:hAnsi="Arial Narrow"/>
                <w:b/>
                <w:sz w:val="20"/>
              </w:rPr>
              <w:t>Population criteria:</w:t>
            </w:r>
          </w:p>
        </w:tc>
        <w:tc>
          <w:tcPr>
            <w:tcW w:w="6237" w:type="dxa"/>
            <w:gridSpan w:val="6"/>
            <w:tcBorders>
              <w:top w:val="single" w:sz="4" w:space="0" w:color="auto"/>
              <w:left w:val="single" w:sz="4" w:space="0" w:color="auto"/>
              <w:bottom w:val="single" w:sz="4" w:space="0" w:color="auto"/>
              <w:right w:val="single" w:sz="4" w:space="0" w:color="auto"/>
            </w:tcBorders>
          </w:tcPr>
          <w:p w:rsidR="00D11E19" w:rsidRPr="00260CE3" w:rsidRDefault="00D11E19" w:rsidP="00D11E19">
            <w:pPr>
              <w:widowControl/>
              <w:rPr>
                <w:rFonts w:ascii="Arial Narrow" w:hAnsi="Arial Narrow"/>
                <w:sz w:val="20"/>
              </w:rPr>
            </w:pPr>
            <w:r>
              <w:rPr>
                <w:rFonts w:ascii="Arial Narrow" w:hAnsi="Arial Narrow"/>
                <w:sz w:val="20"/>
              </w:rPr>
              <w:t>Patient must be aged 18 years or older.</w:t>
            </w:r>
          </w:p>
        </w:tc>
      </w:tr>
      <w:tr w:rsidR="00D11E19" w:rsidRPr="00260CE3" w:rsidTr="008726F4">
        <w:trPr>
          <w:cantSplit/>
          <w:trHeight w:val="360"/>
        </w:trPr>
        <w:tc>
          <w:tcPr>
            <w:tcW w:w="2126" w:type="dxa"/>
            <w:tcBorders>
              <w:top w:val="single" w:sz="4" w:space="0" w:color="auto"/>
              <w:left w:val="single" w:sz="4" w:space="0" w:color="auto"/>
              <w:bottom w:val="single" w:sz="4" w:space="0" w:color="auto"/>
              <w:right w:val="single" w:sz="4" w:space="0" w:color="auto"/>
            </w:tcBorders>
          </w:tcPr>
          <w:p w:rsidR="00D11E19" w:rsidRPr="00260CE3" w:rsidRDefault="00D11E19" w:rsidP="00D11E19">
            <w:pPr>
              <w:widowControl/>
              <w:rPr>
                <w:rFonts w:ascii="Arial Narrow" w:hAnsi="Arial Narrow"/>
                <w:b/>
                <w:sz w:val="20"/>
              </w:rPr>
            </w:pPr>
            <w:r w:rsidRPr="00260CE3">
              <w:rPr>
                <w:rFonts w:ascii="Arial Narrow" w:hAnsi="Arial Narrow"/>
                <w:b/>
                <w:sz w:val="20"/>
              </w:rPr>
              <w:t>Administrative Advice</w:t>
            </w:r>
          </w:p>
          <w:p w:rsidR="00D11E19" w:rsidRPr="00260CE3" w:rsidRDefault="00D11E19" w:rsidP="00D11E19">
            <w:pPr>
              <w:widowControl/>
              <w:rPr>
                <w:rFonts w:ascii="Arial Narrow" w:hAnsi="Arial Narrow"/>
                <w:i/>
                <w:sz w:val="20"/>
              </w:rPr>
            </w:pPr>
          </w:p>
        </w:tc>
        <w:tc>
          <w:tcPr>
            <w:tcW w:w="6237" w:type="dxa"/>
            <w:gridSpan w:val="6"/>
            <w:tcBorders>
              <w:top w:val="single" w:sz="4" w:space="0" w:color="auto"/>
              <w:left w:val="single" w:sz="4" w:space="0" w:color="auto"/>
              <w:bottom w:val="single" w:sz="4" w:space="0" w:color="auto"/>
              <w:right w:val="single" w:sz="4" w:space="0" w:color="auto"/>
            </w:tcBorders>
          </w:tcPr>
          <w:p w:rsidR="00D11E19" w:rsidRDefault="00D11E19" w:rsidP="00D11E19">
            <w:pPr>
              <w:widowControl/>
              <w:rPr>
                <w:rFonts w:ascii="Arial Narrow" w:hAnsi="Arial Narrow"/>
                <w:i/>
                <w:sz w:val="20"/>
              </w:rPr>
            </w:pPr>
            <w:r w:rsidRPr="00646788">
              <w:rPr>
                <w:rFonts w:ascii="Arial Narrow" w:hAnsi="Arial Narrow"/>
                <w:i/>
                <w:sz w:val="20"/>
              </w:rPr>
              <w:t>No increase in the maximum number of repeats may be authorised.</w:t>
            </w:r>
          </w:p>
          <w:p w:rsidR="00D11E19" w:rsidRDefault="00D11E19" w:rsidP="00D11E19">
            <w:pPr>
              <w:widowControl/>
              <w:rPr>
                <w:rFonts w:ascii="Arial Narrow" w:hAnsi="Arial Narrow"/>
                <w:i/>
                <w:sz w:val="20"/>
              </w:rPr>
            </w:pPr>
          </w:p>
          <w:p w:rsidR="00D11E19" w:rsidRPr="00646788" w:rsidRDefault="00D11E19" w:rsidP="00D11E19">
            <w:pPr>
              <w:widowControl/>
              <w:rPr>
                <w:rFonts w:ascii="Arial Narrow" w:hAnsi="Arial Narrow"/>
                <w:i/>
                <w:sz w:val="20"/>
              </w:rPr>
            </w:pPr>
            <w:r w:rsidRPr="00646788">
              <w:rPr>
                <w:rFonts w:ascii="Arial Narrow" w:hAnsi="Arial Narrow"/>
                <w:i/>
                <w:sz w:val="20"/>
              </w:rPr>
              <w:t>Special Pricing Arrangements apply.</w:t>
            </w:r>
          </w:p>
        </w:tc>
      </w:tr>
    </w:tbl>
    <w:p w:rsidR="00D11E19" w:rsidRPr="00D11E19" w:rsidRDefault="00D11E19" w:rsidP="00572675">
      <w:pPr>
        <w:keepNext/>
        <w:widowControl/>
        <w:spacing w:line="276" w:lineRule="auto"/>
        <w:jc w:val="left"/>
        <w:rPr>
          <w:szCs w:val="22"/>
        </w:rPr>
      </w:pPr>
    </w:p>
    <w:p w:rsidR="00506115" w:rsidRPr="00B010BF" w:rsidRDefault="00985F31" w:rsidP="00A728F8">
      <w:pPr>
        <w:pStyle w:val="ListParagraph"/>
        <w:widowControl/>
        <w:numPr>
          <w:ilvl w:val="1"/>
          <w:numId w:val="2"/>
        </w:numPr>
        <w:rPr>
          <w:szCs w:val="22"/>
          <w:lang w:val="en-GB"/>
        </w:rPr>
      </w:pPr>
      <w:r w:rsidRPr="00B010BF">
        <w:rPr>
          <w:szCs w:val="22"/>
          <w:lang w:val="en-GB"/>
        </w:rPr>
        <w:t xml:space="preserve">The </w:t>
      </w:r>
      <w:r w:rsidR="008164CB" w:rsidRPr="00B010BF">
        <w:rPr>
          <w:szCs w:val="22"/>
          <w:lang w:val="en-GB"/>
        </w:rPr>
        <w:t>r</w:t>
      </w:r>
      <w:r w:rsidR="00134A74" w:rsidRPr="00B010BF">
        <w:rPr>
          <w:szCs w:val="22"/>
          <w:lang w:val="en-GB"/>
        </w:rPr>
        <w:t xml:space="preserve">equested </w:t>
      </w:r>
      <w:r w:rsidR="008164CB" w:rsidRPr="00B010BF">
        <w:rPr>
          <w:szCs w:val="22"/>
          <w:lang w:val="en-GB"/>
        </w:rPr>
        <w:t xml:space="preserve">PBS </w:t>
      </w:r>
      <w:r w:rsidR="00134A74" w:rsidRPr="00B010BF">
        <w:rPr>
          <w:szCs w:val="22"/>
          <w:lang w:val="en-GB"/>
        </w:rPr>
        <w:t xml:space="preserve">listing was </w:t>
      </w:r>
      <w:r w:rsidR="008164CB" w:rsidRPr="00B010BF">
        <w:rPr>
          <w:szCs w:val="22"/>
          <w:lang w:val="en-GB"/>
        </w:rPr>
        <w:t xml:space="preserve">for patients with </w:t>
      </w:r>
      <w:proofErr w:type="spellStart"/>
      <w:r w:rsidR="008164CB" w:rsidRPr="00B010BF">
        <w:rPr>
          <w:szCs w:val="22"/>
          <w:lang w:val="en-GB"/>
        </w:rPr>
        <w:t>unresectable</w:t>
      </w:r>
      <w:proofErr w:type="spellEnd"/>
      <w:r w:rsidR="008164CB" w:rsidRPr="00B010BF">
        <w:rPr>
          <w:szCs w:val="22"/>
          <w:lang w:val="en-GB"/>
        </w:rPr>
        <w:t xml:space="preserve"> or metastatic </w:t>
      </w:r>
      <w:proofErr w:type="spellStart"/>
      <w:r w:rsidR="008164CB" w:rsidRPr="00B010BF">
        <w:rPr>
          <w:szCs w:val="22"/>
          <w:lang w:val="en-GB"/>
        </w:rPr>
        <w:t>liposarcoma</w:t>
      </w:r>
      <w:proofErr w:type="spellEnd"/>
      <w:r w:rsidR="008164CB" w:rsidRPr="00B010BF">
        <w:rPr>
          <w:szCs w:val="22"/>
          <w:lang w:val="en-GB"/>
        </w:rPr>
        <w:t xml:space="preserve"> who have received prior chemotherapy</w:t>
      </w:r>
      <w:r w:rsidR="004E2076">
        <w:rPr>
          <w:szCs w:val="22"/>
          <w:lang w:val="en-GB"/>
        </w:rPr>
        <w:t>.</w:t>
      </w:r>
    </w:p>
    <w:p w:rsidR="00F03DC2" w:rsidRPr="00B010BF" w:rsidRDefault="00F03DC2" w:rsidP="00903665">
      <w:pPr>
        <w:pStyle w:val="ListParagraph"/>
        <w:widowControl/>
        <w:rPr>
          <w:szCs w:val="22"/>
          <w:lang w:val="en-GB"/>
        </w:rPr>
      </w:pPr>
    </w:p>
    <w:p w:rsidR="00B17203" w:rsidRPr="00DA5DE6" w:rsidRDefault="00506115" w:rsidP="00903665">
      <w:pPr>
        <w:pStyle w:val="ListParagraph"/>
        <w:widowControl/>
        <w:numPr>
          <w:ilvl w:val="1"/>
          <w:numId w:val="2"/>
        </w:numPr>
        <w:rPr>
          <w:lang w:val="en-GB"/>
        </w:rPr>
      </w:pPr>
      <w:r w:rsidRPr="00B010BF">
        <w:rPr>
          <w:lang w:val="en-GB"/>
        </w:rPr>
        <w:t xml:space="preserve">The submission requested PBS listing of </w:t>
      </w:r>
      <w:proofErr w:type="spellStart"/>
      <w:r w:rsidRPr="00B010BF">
        <w:rPr>
          <w:lang w:val="en-GB"/>
        </w:rPr>
        <w:t>eribulin</w:t>
      </w:r>
      <w:proofErr w:type="spellEnd"/>
      <w:r w:rsidRPr="00B010BF">
        <w:rPr>
          <w:lang w:val="en-GB"/>
        </w:rPr>
        <w:t xml:space="preserve"> for second-line treatment of advanced or metastatic </w:t>
      </w:r>
      <w:proofErr w:type="spellStart"/>
      <w:r w:rsidRPr="00B010BF">
        <w:rPr>
          <w:lang w:val="en-GB"/>
        </w:rPr>
        <w:t>liposarcoma</w:t>
      </w:r>
      <w:proofErr w:type="spellEnd"/>
      <w:r w:rsidR="00704485" w:rsidRPr="00B010BF">
        <w:rPr>
          <w:lang w:val="en-GB"/>
        </w:rPr>
        <w:t>, while the clinical evidence was in the third- and further line setting</w:t>
      </w:r>
      <w:r w:rsidRPr="00B010BF">
        <w:rPr>
          <w:lang w:val="en-GB"/>
        </w:rPr>
        <w:t xml:space="preserve">. </w:t>
      </w:r>
      <w:r w:rsidR="00BC6466" w:rsidRPr="00B010BF">
        <w:rPr>
          <w:lang w:val="en-GB"/>
        </w:rPr>
        <w:t xml:space="preserve">The submission argued that there was a </w:t>
      </w:r>
      <w:r w:rsidR="006212FB">
        <w:rPr>
          <w:lang w:val="en-GB"/>
        </w:rPr>
        <w:t xml:space="preserve">substantial </w:t>
      </w:r>
      <w:r w:rsidR="00BC6466" w:rsidRPr="00B010BF">
        <w:rPr>
          <w:lang w:val="en-GB"/>
        </w:rPr>
        <w:t xml:space="preserve">clinical need, and a precedent was set with the PBAC recommendation of </w:t>
      </w:r>
      <w:proofErr w:type="spellStart"/>
      <w:r w:rsidR="00BC6466" w:rsidRPr="00B010BF">
        <w:rPr>
          <w:lang w:val="en-GB"/>
        </w:rPr>
        <w:t>pazopanib</w:t>
      </w:r>
      <w:proofErr w:type="spellEnd"/>
      <w:r w:rsidR="00BC6466" w:rsidRPr="00B010BF">
        <w:rPr>
          <w:lang w:val="en-GB"/>
        </w:rPr>
        <w:t xml:space="preserve"> for second-line treatment in patients with soft tissue sarcoma (July 2013 PBAC meeting). The assumption that </w:t>
      </w:r>
      <w:proofErr w:type="spellStart"/>
      <w:r w:rsidR="00BC6466" w:rsidRPr="00B010BF">
        <w:rPr>
          <w:lang w:val="en-GB"/>
        </w:rPr>
        <w:t>pazopanib</w:t>
      </w:r>
      <w:proofErr w:type="spellEnd"/>
      <w:r w:rsidR="00BC6466" w:rsidRPr="00B010BF">
        <w:rPr>
          <w:lang w:val="en-GB"/>
        </w:rPr>
        <w:t xml:space="preserve"> provided a precedent was inappropriate. The key clinical data for </w:t>
      </w:r>
      <w:proofErr w:type="spellStart"/>
      <w:r w:rsidR="00BC6466" w:rsidRPr="00B010BF">
        <w:rPr>
          <w:lang w:val="en-GB"/>
        </w:rPr>
        <w:t>pazopanib</w:t>
      </w:r>
      <w:proofErr w:type="spellEnd"/>
      <w:r w:rsidR="00BC6466" w:rsidRPr="00B010BF">
        <w:rPr>
          <w:lang w:val="en-GB"/>
        </w:rPr>
        <w:t xml:space="preserve"> included patients who had failed at least one prior therapy or were contraindicated for an </w:t>
      </w:r>
      <w:proofErr w:type="spellStart"/>
      <w:r w:rsidR="00BC6466" w:rsidRPr="00B010BF">
        <w:rPr>
          <w:lang w:val="en-GB"/>
        </w:rPr>
        <w:t>anthracycline</w:t>
      </w:r>
      <w:proofErr w:type="spellEnd"/>
      <w:r w:rsidR="00BC6466" w:rsidRPr="00B010BF">
        <w:rPr>
          <w:lang w:val="en-GB"/>
        </w:rPr>
        <w:t xml:space="preserve"> (≤44%), while less than 1% of the patients in the key </w:t>
      </w:r>
      <w:proofErr w:type="spellStart"/>
      <w:r w:rsidR="00BC6466" w:rsidRPr="00B010BF">
        <w:rPr>
          <w:lang w:val="en-GB"/>
        </w:rPr>
        <w:t>eribulin</w:t>
      </w:r>
      <w:proofErr w:type="spellEnd"/>
      <w:r w:rsidR="00BC6466" w:rsidRPr="00B010BF">
        <w:rPr>
          <w:lang w:val="en-GB"/>
        </w:rPr>
        <w:t xml:space="preserve"> trial had received only one prior therapy. </w:t>
      </w:r>
      <w:r w:rsidRPr="00B010BF">
        <w:rPr>
          <w:lang w:val="en-GB"/>
        </w:rPr>
        <w:t xml:space="preserve">The submission </w:t>
      </w:r>
      <w:r w:rsidR="00BC6466" w:rsidRPr="00B010BF">
        <w:rPr>
          <w:lang w:val="en-GB"/>
        </w:rPr>
        <w:t xml:space="preserve">also </w:t>
      </w:r>
      <w:r w:rsidRPr="00B010BF">
        <w:rPr>
          <w:lang w:val="en-GB"/>
        </w:rPr>
        <w:t xml:space="preserve">argued that for patients who would require doxorubicin plus </w:t>
      </w:r>
      <w:proofErr w:type="spellStart"/>
      <w:r w:rsidRPr="00B010BF">
        <w:rPr>
          <w:lang w:val="en-GB"/>
        </w:rPr>
        <w:t>ifosfamide</w:t>
      </w:r>
      <w:proofErr w:type="spellEnd"/>
      <w:r w:rsidRPr="00B010BF">
        <w:rPr>
          <w:lang w:val="en-GB"/>
        </w:rPr>
        <w:t xml:space="preserve"> as first-line treatment, a clinician might delay </w:t>
      </w:r>
      <w:proofErr w:type="spellStart"/>
      <w:r w:rsidRPr="00B010BF">
        <w:rPr>
          <w:lang w:val="en-GB"/>
        </w:rPr>
        <w:t>ifosfamide</w:t>
      </w:r>
      <w:proofErr w:type="spellEnd"/>
      <w:r w:rsidRPr="00B010BF">
        <w:rPr>
          <w:lang w:val="en-GB"/>
        </w:rPr>
        <w:t xml:space="preserve"> treatment to meet the eligibility criteria for </w:t>
      </w:r>
      <w:proofErr w:type="spellStart"/>
      <w:r w:rsidRPr="00B010BF">
        <w:rPr>
          <w:lang w:val="en-GB"/>
        </w:rPr>
        <w:t>eribulin</w:t>
      </w:r>
      <w:proofErr w:type="spellEnd"/>
      <w:r w:rsidRPr="00B010BF">
        <w:rPr>
          <w:lang w:val="en-GB"/>
        </w:rPr>
        <w:t xml:space="preserve"> treatment, if </w:t>
      </w:r>
      <w:proofErr w:type="spellStart"/>
      <w:r w:rsidRPr="00B010BF">
        <w:rPr>
          <w:lang w:val="en-GB"/>
        </w:rPr>
        <w:t>eribulin</w:t>
      </w:r>
      <w:proofErr w:type="spellEnd"/>
      <w:r w:rsidRPr="00B010BF">
        <w:rPr>
          <w:lang w:val="en-GB"/>
        </w:rPr>
        <w:t xml:space="preserve"> was only li</w:t>
      </w:r>
      <w:r w:rsidR="004E2076">
        <w:rPr>
          <w:lang w:val="en-GB"/>
        </w:rPr>
        <w:t>sted as a third-line treatment.</w:t>
      </w:r>
    </w:p>
    <w:p w:rsidR="002A6377" w:rsidRPr="00B010BF" w:rsidRDefault="002A6377" w:rsidP="00903665">
      <w:pPr>
        <w:pStyle w:val="ListParagraph"/>
        <w:widowControl/>
        <w:rPr>
          <w:szCs w:val="22"/>
          <w:lang w:val="en-GB"/>
        </w:rPr>
      </w:pPr>
    </w:p>
    <w:p w:rsidR="002A6377" w:rsidRPr="00B010BF" w:rsidRDefault="002A6377" w:rsidP="00A728F8">
      <w:pPr>
        <w:pStyle w:val="ListParagraph"/>
        <w:widowControl/>
        <w:numPr>
          <w:ilvl w:val="1"/>
          <w:numId w:val="2"/>
        </w:numPr>
        <w:rPr>
          <w:szCs w:val="22"/>
          <w:lang w:val="en-GB"/>
        </w:rPr>
      </w:pPr>
      <w:r w:rsidRPr="00B010BF">
        <w:rPr>
          <w:szCs w:val="22"/>
          <w:lang w:val="en-GB"/>
        </w:rPr>
        <w:t>The submission sought listing on the basis of a cost-eff</w:t>
      </w:r>
      <w:r w:rsidR="003A2D35" w:rsidRPr="00B010BF">
        <w:rPr>
          <w:szCs w:val="22"/>
          <w:lang w:val="en-GB"/>
        </w:rPr>
        <w:t xml:space="preserve">ectiveness analysis of </w:t>
      </w:r>
      <w:proofErr w:type="spellStart"/>
      <w:r w:rsidR="00AA0AE8" w:rsidRPr="00B010BF">
        <w:rPr>
          <w:szCs w:val="22"/>
          <w:lang w:val="en-GB"/>
        </w:rPr>
        <w:t>eribulin</w:t>
      </w:r>
      <w:proofErr w:type="spellEnd"/>
      <w:r w:rsidR="00AA0AE8" w:rsidRPr="00B010BF">
        <w:rPr>
          <w:szCs w:val="22"/>
          <w:lang w:val="en-GB"/>
        </w:rPr>
        <w:t xml:space="preserve"> compared</w:t>
      </w:r>
      <w:r w:rsidRPr="00B010BF">
        <w:rPr>
          <w:szCs w:val="22"/>
          <w:lang w:val="en-GB"/>
        </w:rPr>
        <w:t xml:space="preserve"> to </w:t>
      </w:r>
      <w:proofErr w:type="spellStart"/>
      <w:r w:rsidRPr="00B010BF">
        <w:rPr>
          <w:szCs w:val="22"/>
          <w:lang w:val="en-GB"/>
        </w:rPr>
        <w:t>dacarbazine</w:t>
      </w:r>
      <w:proofErr w:type="spellEnd"/>
      <w:r w:rsidRPr="00B010BF">
        <w:rPr>
          <w:szCs w:val="22"/>
          <w:lang w:val="en-GB"/>
        </w:rPr>
        <w:t xml:space="preserve">. </w:t>
      </w:r>
      <w:proofErr w:type="spellStart"/>
      <w:r w:rsidR="008048C0" w:rsidRPr="00B010BF">
        <w:rPr>
          <w:szCs w:val="22"/>
          <w:lang w:val="en-GB"/>
        </w:rPr>
        <w:t>Dacarbazine</w:t>
      </w:r>
      <w:proofErr w:type="spellEnd"/>
      <w:r w:rsidR="008048C0" w:rsidRPr="00B010BF">
        <w:rPr>
          <w:szCs w:val="22"/>
          <w:lang w:val="en-GB"/>
        </w:rPr>
        <w:t xml:space="preserve"> is not PBS-subsidised and therefore the cost-effectiveness of </w:t>
      </w:r>
      <w:proofErr w:type="spellStart"/>
      <w:r w:rsidR="008048C0" w:rsidRPr="00B010BF">
        <w:rPr>
          <w:szCs w:val="22"/>
          <w:lang w:val="en-GB"/>
        </w:rPr>
        <w:t>dacarbazine</w:t>
      </w:r>
      <w:proofErr w:type="spellEnd"/>
      <w:r w:rsidR="008048C0" w:rsidRPr="00B010BF">
        <w:rPr>
          <w:szCs w:val="22"/>
          <w:lang w:val="en-GB"/>
        </w:rPr>
        <w:t xml:space="preserve"> has not been established in the context of the Australian health </w:t>
      </w:r>
      <w:r w:rsidR="008E596B" w:rsidRPr="00B010BF">
        <w:rPr>
          <w:szCs w:val="22"/>
          <w:lang w:val="en-GB"/>
        </w:rPr>
        <w:t xml:space="preserve">care </w:t>
      </w:r>
      <w:r w:rsidR="008048C0" w:rsidRPr="00B010BF">
        <w:rPr>
          <w:szCs w:val="22"/>
          <w:lang w:val="en-GB"/>
        </w:rPr>
        <w:t>setting.</w:t>
      </w:r>
      <w:r w:rsidR="00A20B03" w:rsidRPr="00B010BF">
        <w:rPr>
          <w:szCs w:val="22"/>
          <w:lang w:val="en-GB"/>
        </w:rPr>
        <w:t xml:space="preserve"> The ESC noted that </w:t>
      </w:r>
      <w:proofErr w:type="spellStart"/>
      <w:r w:rsidR="00A20B03" w:rsidRPr="00B010BF">
        <w:rPr>
          <w:szCs w:val="22"/>
          <w:lang w:val="en-GB"/>
        </w:rPr>
        <w:t>dacarbazine</w:t>
      </w:r>
      <w:proofErr w:type="spellEnd"/>
      <w:r w:rsidR="00A20B03" w:rsidRPr="00B010BF">
        <w:rPr>
          <w:szCs w:val="22"/>
          <w:lang w:val="en-GB"/>
        </w:rPr>
        <w:t xml:space="preserve"> was widely avai</w:t>
      </w:r>
      <w:r w:rsidR="004E2076">
        <w:rPr>
          <w:szCs w:val="22"/>
          <w:lang w:val="en-GB"/>
        </w:rPr>
        <w:t>lable via hospital formularies.</w:t>
      </w:r>
    </w:p>
    <w:p w:rsidR="006B7C5D" w:rsidRPr="00B010BF" w:rsidRDefault="006B7C5D" w:rsidP="006B7C5D">
      <w:pPr>
        <w:pStyle w:val="ListParagraph"/>
        <w:rPr>
          <w:szCs w:val="22"/>
          <w:lang w:val="en-GB"/>
        </w:rPr>
      </w:pPr>
    </w:p>
    <w:p w:rsidR="0090581E" w:rsidRPr="00055A3B" w:rsidRDefault="002D6BBD" w:rsidP="00055A3B">
      <w:pPr>
        <w:pStyle w:val="ListParagraph"/>
        <w:widowControl/>
        <w:numPr>
          <w:ilvl w:val="1"/>
          <w:numId w:val="2"/>
        </w:numPr>
        <w:rPr>
          <w:szCs w:val="22"/>
          <w:lang w:val="en-GB"/>
        </w:rPr>
      </w:pPr>
      <w:r>
        <w:rPr>
          <w:szCs w:val="22"/>
          <w:lang w:val="en-GB"/>
        </w:rPr>
        <w:t>The Pre-PBAC response</w:t>
      </w:r>
      <w:r w:rsidR="00B26420">
        <w:rPr>
          <w:szCs w:val="22"/>
          <w:lang w:val="en-GB"/>
        </w:rPr>
        <w:t xml:space="preserve"> (p2)</w:t>
      </w:r>
      <w:r>
        <w:rPr>
          <w:szCs w:val="22"/>
          <w:lang w:val="en-GB"/>
        </w:rPr>
        <w:t xml:space="preserve"> proposed that</w:t>
      </w:r>
      <w:r w:rsidR="00B26420">
        <w:rPr>
          <w:szCs w:val="22"/>
          <w:lang w:val="en-GB"/>
        </w:rPr>
        <w:t xml:space="preserve"> the clinical criterion for </w:t>
      </w:r>
      <w:proofErr w:type="spellStart"/>
      <w:r w:rsidR="00B26420">
        <w:rPr>
          <w:szCs w:val="22"/>
          <w:lang w:val="en-GB"/>
        </w:rPr>
        <w:t>eribulin</w:t>
      </w:r>
      <w:proofErr w:type="spellEnd"/>
      <w:r w:rsidR="00B26420">
        <w:rPr>
          <w:szCs w:val="22"/>
          <w:lang w:val="en-GB"/>
        </w:rPr>
        <w:t xml:space="preserve"> be changed to, “The patient must have received prior treatment with an </w:t>
      </w:r>
      <w:proofErr w:type="spellStart"/>
      <w:r w:rsidR="00B26420">
        <w:rPr>
          <w:szCs w:val="22"/>
          <w:lang w:val="en-GB"/>
        </w:rPr>
        <w:t>anthracycline</w:t>
      </w:r>
      <w:proofErr w:type="spellEnd"/>
      <w:r w:rsidR="00B26420">
        <w:rPr>
          <w:szCs w:val="22"/>
          <w:lang w:val="en-GB"/>
        </w:rPr>
        <w:t xml:space="preserve"> and </w:t>
      </w:r>
      <w:proofErr w:type="spellStart"/>
      <w:r w:rsidR="00B26420">
        <w:rPr>
          <w:szCs w:val="22"/>
          <w:lang w:val="en-GB"/>
        </w:rPr>
        <w:t>ifosfamide</w:t>
      </w:r>
      <w:proofErr w:type="spellEnd"/>
      <w:r w:rsidR="00B26420">
        <w:rPr>
          <w:szCs w:val="22"/>
          <w:lang w:val="en-GB"/>
        </w:rPr>
        <w:t xml:space="preserve"> (unless contraindicated)”. The PBAC considered that second-line use of </w:t>
      </w:r>
      <w:proofErr w:type="spellStart"/>
      <w:r w:rsidR="00B26420">
        <w:rPr>
          <w:szCs w:val="22"/>
          <w:lang w:val="en-GB"/>
        </w:rPr>
        <w:t>eribulin</w:t>
      </w:r>
      <w:proofErr w:type="spellEnd"/>
      <w:r w:rsidR="00B26420">
        <w:rPr>
          <w:szCs w:val="22"/>
          <w:lang w:val="en-GB"/>
        </w:rPr>
        <w:t xml:space="preserve"> </w:t>
      </w:r>
      <w:r w:rsidR="004140E4">
        <w:rPr>
          <w:szCs w:val="22"/>
          <w:lang w:val="en-GB"/>
        </w:rPr>
        <w:t>is acceptable, however, was</w:t>
      </w:r>
      <w:r w:rsidR="00B26420">
        <w:rPr>
          <w:szCs w:val="22"/>
          <w:lang w:val="en-GB"/>
        </w:rPr>
        <w:t xml:space="preserve"> concerned that the risk of leakage to othe</w:t>
      </w:r>
      <w:r w:rsidR="004E2076">
        <w:rPr>
          <w:szCs w:val="22"/>
          <w:lang w:val="en-GB"/>
        </w:rPr>
        <w:t>r subtypes of sarcoma was high.</w:t>
      </w:r>
    </w:p>
    <w:p w:rsidR="0026412F" w:rsidRPr="00B010BF" w:rsidRDefault="0026412F" w:rsidP="00903665">
      <w:pPr>
        <w:widowControl/>
        <w:rPr>
          <w:szCs w:val="22"/>
          <w:lang w:val="en-GB"/>
        </w:rPr>
      </w:pPr>
    </w:p>
    <w:p w:rsidR="0097289E" w:rsidRPr="00B010BF" w:rsidRDefault="0097289E" w:rsidP="0097289E">
      <w:pPr>
        <w:ind w:firstLine="720"/>
        <w:rPr>
          <w:bCs/>
          <w:szCs w:val="22"/>
        </w:rPr>
      </w:pPr>
      <w:r w:rsidRPr="004140E4">
        <w:rPr>
          <w:bCs/>
          <w:i/>
          <w:szCs w:val="22"/>
        </w:rPr>
        <w:t>For more detail on PBAC’s view, see section 7 “PBAC outcome”</w:t>
      </w:r>
      <w:r w:rsidR="007E38B6">
        <w:rPr>
          <w:bCs/>
          <w:i/>
          <w:szCs w:val="22"/>
        </w:rPr>
        <w:t>.</w:t>
      </w:r>
    </w:p>
    <w:p w:rsidR="0097289E" w:rsidRPr="00B010BF" w:rsidRDefault="0097289E" w:rsidP="00903665">
      <w:pPr>
        <w:widowControl/>
        <w:rPr>
          <w:szCs w:val="22"/>
          <w:lang w:val="en-GB"/>
        </w:rPr>
      </w:pPr>
    </w:p>
    <w:p w:rsidR="00867512" w:rsidRDefault="00867512">
      <w:pPr>
        <w:widowControl/>
        <w:jc w:val="left"/>
        <w:rPr>
          <w:szCs w:val="22"/>
          <w:lang w:val="en-GB"/>
        </w:rPr>
      </w:pPr>
      <w:r>
        <w:rPr>
          <w:szCs w:val="22"/>
          <w:lang w:val="en-GB"/>
        </w:rPr>
        <w:br w:type="page"/>
      </w:r>
    </w:p>
    <w:p w:rsidR="009C2898" w:rsidRPr="00B010BF" w:rsidRDefault="009C2898" w:rsidP="00903665">
      <w:pPr>
        <w:widowControl/>
        <w:rPr>
          <w:szCs w:val="22"/>
          <w:lang w:val="en-GB"/>
        </w:rPr>
      </w:pPr>
    </w:p>
    <w:p w:rsidR="00B50DB8" w:rsidRPr="00B010BF" w:rsidRDefault="00B50DB8" w:rsidP="00903665">
      <w:pPr>
        <w:pStyle w:val="Heading2"/>
      </w:pPr>
      <w:bookmarkStart w:id="3" w:name="_Toc460331256"/>
      <w:bookmarkStart w:id="4" w:name="_Toc461622500"/>
      <w:bookmarkEnd w:id="3"/>
      <w:r w:rsidRPr="00B010BF">
        <w:t>Background</w:t>
      </w:r>
      <w:bookmarkEnd w:id="4"/>
    </w:p>
    <w:p w:rsidR="00B60939" w:rsidRPr="00B010BF" w:rsidRDefault="00B60939" w:rsidP="00903665">
      <w:pPr>
        <w:widowControl/>
        <w:rPr>
          <w:szCs w:val="22"/>
          <w:lang w:val="en-GB"/>
        </w:rPr>
      </w:pPr>
    </w:p>
    <w:p w:rsidR="00A528F3" w:rsidRPr="00B010BF" w:rsidRDefault="00B60939" w:rsidP="00A728F8">
      <w:pPr>
        <w:pStyle w:val="ListParagraph"/>
        <w:widowControl/>
        <w:numPr>
          <w:ilvl w:val="1"/>
          <w:numId w:val="2"/>
        </w:numPr>
        <w:rPr>
          <w:lang w:val="en-GB"/>
        </w:rPr>
      </w:pPr>
      <w:r w:rsidRPr="00B010BF">
        <w:rPr>
          <w:szCs w:val="22"/>
          <w:lang w:val="en-GB"/>
        </w:rPr>
        <w:t>TGA status</w:t>
      </w:r>
      <w:r w:rsidR="00EB1E67" w:rsidRPr="00B010BF">
        <w:rPr>
          <w:szCs w:val="22"/>
          <w:lang w:val="en-GB"/>
        </w:rPr>
        <w:t xml:space="preserve"> at time of </w:t>
      </w:r>
      <w:r w:rsidR="00055A3B">
        <w:rPr>
          <w:szCs w:val="22"/>
          <w:lang w:val="en-GB"/>
        </w:rPr>
        <w:t xml:space="preserve">the </w:t>
      </w:r>
      <w:r w:rsidR="00031855" w:rsidRPr="00B010BF">
        <w:rPr>
          <w:szCs w:val="22"/>
          <w:lang w:val="en-GB"/>
        </w:rPr>
        <w:t>PBAC consideration</w:t>
      </w:r>
      <w:r w:rsidRPr="00B010BF">
        <w:rPr>
          <w:szCs w:val="22"/>
          <w:lang w:val="en-GB"/>
        </w:rPr>
        <w:t>:</w:t>
      </w:r>
      <w:r w:rsidR="00985F31" w:rsidRPr="00B010BF">
        <w:rPr>
          <w:szCs w:val="22"/>
          <w:lang w:val="en-GB"/>
        </w:rPr>
        <w:t xml:space="preserve"> </w:t>
      </w:r>
      <w:r w:rsidR="002A6377" w:rsidRPr="00B010BF">
        <w:rPr>
          <w:lang w:val="en-GB"/>
        </w:rPr>
        <w:t>t</w:t>
      </w:r>
      <w:r w:rsidRPr="00B010BF">
        <w:rPr>
          <w:lang w:val="en-GB"/>
        </w:rPr>
        <w:t xml:space="preserve">he submission was made under </w:t>
      </w:r>
      <w:r w:rsidR="003223D2">
        <w:rPr>
          <w:lang w:val="en-GB"/>
        </w:rPr>
        <w:t xml:space="preserve">the </w:t>
      </w:r>
      <w:r w:rsidRPr="00B010BF">
        <w:rPr>
          <w:lang w:val="en-GB"/>
        </w:rPr>
        <w:t>TGA</w:t>
      </w:r>
      <w:r w:rsidR="002A6377" w:rsidRPr="00B010BF">
        <w:rPr>
          <w:lang w:val="en-GB"/>
        </w:rPr>
        <w:t>-</w:t>
      </w:r>
      <w:r w:rsidRPr="00B010BF">
        <w:rPr>
          <w:lang w:val="en-GB"/>
        </w:rPr>
        <w:t xml:space="preserve">PBAC </w:t>
      </w:r>
      <w:r w:rsidR="002A6377" w:rsidRPr="00B010BF">
        <w:rPr>
          <w:lang w:val="en-GB"/>
        </w:rPr>
        <w:t>p</w:t>
      </w:r>
      <w:r w:rsidRPr="00B010BF">
        <w:rPr>
          <w:lang w:val="en-GB"/>
        </w:rPr>
        <w:t xml:space="preserve">arallel </w:t>
      </w:r>
      <w:r w:rsidR="002A6377" w:rsidRPr="00B010BF">
        <w:rPr>
          <w:lang w:val="en-GB"/>
        </w:rPr>
        <w:t>p</w:t>
      </w:r>
      <w:r w:rsidRPr="00B010BF">
        <w:rPr>
          <w:lang w:val="en-GB"/>
        </w:rPr>
        <w:t>rocess. At the time of</w:t>
      </w:r>
      <w:r w:rsidR="00E0735D" w:rsidRPr="00B010BF">
        <w:rPr>
          <w:lang w:val="en-GB"/>
        </w:rPr>
        <w:t xml:space="preserve"> </w:t>
      </w:r>
      <w:r w:rsidR="001A2E0E" w:rsidRPr="00B010BF">
        <w:rPr>
          <w:lang w:val="en-GB"/>
        </w:rPr>
        <w:t xml:space="preserve">the </w:t>
      </w:r>
      <w:r w:rsidR="00031855" w:rsidRPr="00B010BF">
        <w:rPr>
          <w:lang w:val="en-GB"/>
        </w:rPr>
        <w:t>PBAC consideration</w:t>
      </w:r>
      <w:r w:rsidR="00E0735D" w:rsidRPr="00B010BF">
        <w:rPr>
          <w:lang w:val="en-GB"/>
        </w:rPr>
        <w:t xml:space="preserve">, the Delegate’s </w:t>
      </w:r>
      <w:r w:rsidR="001A2E0E" w:rsidRPr="00B010BF">
        <w:rPr>
          <w:lang w:val="en-GB"/>
        </w:rPr>
        <w:t>Overview</w:t>
      </w:r>
      <w:r w:rsidR="003223D2">
        <w:rPr>
          <w:lang w:val="en-GB"/>
        </w:rPr>
        <w:t xml:space="preserve"> and </w:t>
      </w:r>
      <w:r w:rsidR="00031855" w:rsidRPr="00B010BF">
        <w:rPr>
          <w:lang w:val="en-GB"/>
        </w:rPr>
        <w:t>Resolution</w:t>
      </w:r>
      <w:r w:rsidR="00E0735D" w:rsidRPr="00B010BF">
        <w:rPr>
          <w:lang w:val="en-GB"/>
        </w:rPr>
        <w:t xml:space="preserve"> </w:t>
      </w:r>
      <w:r w:rsidR="003223D2">
        <w:rPr>
          <w:lang w:val="en-GB"/>
        </w:rPr>
        <w:t xml:space="preserve">of the Advisory Committee on Prescription Medicines (ACPM) </w:t>
      </w:r>
      <w:r w:rsidR="00E0735D" w:rsidRPr="00B010BF">
        <w:rPr>
          <w:lang w:val="en-GB"/>
        </w:rPr>
        <w:t>w</w:t>
      </w:r>
      <w:r w:rsidR="00031855" w:rsidRPr="00B010BF">
        <w:rPr>
          <w:lang w:val="en-GB"/>
        </w:rPr>
        <w:t>ere</w:t>
      </w:r>
      <w:r w:rsidR="00E0735D" w:rsidRPr="00B010BF">
        <w:rPr>
          <w:lang w:val="en-GB"/>
        </w:rPr>
        <w:t xml:space="preserve"> available.</w:t>
      </w:r>
      <w:r w:rsidR="006212FB">
        <w:rPr>
          <w:lang w:val="en-GB"/>
        </w:rPr>
        <w:t xml:space="preserve"> The ACPM considered that </w:t>
      </w:r>
      <w:proofErr w:type="spellStart"/>
      <w:r w:rsidR="006212FB">
        <w:rPr>
          <w:lang w:val="en-GB"/>
        </w:rPr>
        <w:t>eribulin</w:t>
      </w:r>
      <w:proofErr w:type="spellEnd"/>
      <w:r w:rsidR="006212FB">
        <w:rPr>
          <w:lang w:val="en-GB"/>
        </w:rPr>
        <w:t xml:space="preserve"> had an overall positive</w:t>
      </w:r>
      <w:r w:rsidR="0023426E">
        <w:rPr>
          <w:lang w:val="en-GB"/>
        </w:rPr>
        <w:t xml:space="preserve"> benefit-risk profile for the proposed</w:t>
      </w:r>
      <w:r w:rsidR="003223D2">
        <w:rPr>
          <w:lang w:val="en-GB"/>
        </w:rPr>
        <w:t xml:space="preserve"> indication, “(</w:t>
      </w:r>
      <w:proofErr w:type="spellStart"/>
      <w:r w:rsidR="003223D2">
        <w:rPr>
          <w:lang w:val="en-GB"/>
        </w:rPr>
        <w:t>eribulin</w:t>
      </w:r>
      <w:proofErr w:type="spellEnd"/>
      <w:r w:rsidR="003223D2">
        <w:rPr>
          <w:lang w:val="en-GB"/>
        </w:rPr>
        <w:t xml:space="preserve">) is indicated for the treatment of patients with </w:t>
      </w:r>
      <w:proofErr w:type="spellStart"/>
      <w:r w:rsidR="003223D2">
        <w:rPr>
          <w:lang w:val="en-GB"/>
        </w:rPr>
        <w:t>unresectable</w:t>
      </w:r>
      <w:proofErr w:type="spellEnd"/>
      <w:r w:rsidR="003223D2">
        <w:rPr>
          <w:lang w:val="en-GB"/>
        </w:rPr>
        <w:t xml:space="preserve"> </w:t>
      </w:r>
      <w:proofErr w:type="spellStart"/>
      <w:r w:rsidR="003223D2">
        <w:rPr>
          <w:lang w:val="en-GB"/>
        </w:rPr>
        <w:t>liposarcoma</w:t>
      </w:r>
      <w:proofErr w:type="spellEnd"/>
      <w:r w:rsidR="003223D2">
        <w:rPr>
          <w:lang w:val="en-GB"/>
        </w:rPr>
        <w:t xml:space="preserve"> who have received prior chemotherapy for a</w:t>
      </w:r>
      <w:r w:rsidR="004E2076">
        <w:rPr>
          <w:lang w:val="en-GB"/>
        </w:rPr>
        <w:t>dvanced or metastatic disease”.</w:t>
      </w:r>
    </w:p>
    <w:p w:rsidR="00B60939" w:rsidRPr="00B010BF" w:rsidRDefault="00B60939" w:rsidP="00903665">
      <w:pPr>
        <w:pStyle w:val="PBACHeading1"/>
        <w:numPr>
          <w:ilvl w:val="0"/>
          <w:numId w:val="0"/>
        </w:numPr>
        <w:ind w:left="720" w:hanging="720"/>
        <w:rPr>
          <w:lang w:val="en-GB"/>
        </w:rPr>
      </w:pPr>
    </w:p>
    <w:p w:rsidR="002C2775" w:rsidRPr="00B010BF" w:rsidRDefault="00985F31" w:rsidP="00A728F8">
      <w:pPr>
        <w:pStyle w:val="ListParagraph"/>
        <w:widowControl/>
        <w:numPr>
          <w:ilvl w:val="1"/>
          <w:numId w:val="2"/>
        </w:numPr>
        <w:rPr>
          <w:szCs w:val="22"/>
          <w:lang w:val="en-GB"/>
        </w:rPr>
      </w:pPr>
      <w:proofErr w:type="spellStart"/>
      <w:r w:rsidRPr="00B010BF">
        <w:rPr>
          <w:szCs w:val="22"/>
          <w:lang w:val="en-GB"/>
        </w:rPr>
        <w:t>Eribulin</w:t>
      </w:r>
      <w:proofErr w:type="spellEnd"/>
      <w:r w:rsidRPr="00B010BF">
        <w:rPr>
          <w:szCs w:val="22"/>
          <w:lang w:val="en-GB"/>
        </w:rPr>
        <w:t xml:space="preserve"> </w:t>
      </w:r>
      <w:r w:rsidR="001A2E0E" w:rsidRPr="00B010BF">
        <w:rPr>
          <w:szCs w:val="22"/>
          <w:lang w:val="en-GB"/>
        </w:rPr>
        <w:t xml:space="preserve">is a first-in-class </w:t>
      </w:r>
      <w:proofErr w:type="spellStart"/>
      <w:r w:rsidR="001A2E0E" w:rsidRPr="00B010BF">
        <w:rPr>
          <w:szCs w:val="22"/>
          <w:lang w:val="en-GB"/>
        </w:rPr>
        <w:t>halichondrin</w:t>
      </w:r>
      <w:proofErr w:type="spellEnd"/>
      <w:r w:rsidR="001A2E0E" w:rsidRPr="00B010BF">
        <w:rPr>
          <w:szCs w:val="22"/>
          <w:lang w:val="en-GB"/>
        </w:rPr>
        <w:t xml:space="preserve"> B-based, microtubule dynamics inhibitor, and </w:t>
      </w:r>
      <w:r w:rsidR="00E13BFE" w:rsidRPr="00B010BF">
        <w:rPr>
          <w:szCs w:val="22"/>
          <w:lang w:val="en-GB"/>
        </w:rPr>
        <w:t>ha</w:t>
      </w:r>
      <w:r w:rsidRPr="00B010BF">
        <w:rPr>
          <w:szCs w:val="22"/>
          <w:lang w:val="en-GB"/>
        </w:rPr>
        <w:t xml:space="preserve">s not previously </w:t>
      </w:r>
      <w:r w:rsidR="00E13BFE" w:rsidRPr="00B010BF">
        <w:rPr>
          <w:szCs w:val="22"/>
          <w:lang w:val="en-GB"/>
        </w:rPr>
        <w:t xml:space="preserve">been </w:t>
      </w:r>
      <w:r w:rsidRPr="00B010BF">
        <w:rPr>
          <w:szCs w:val="22"/>
          <w:lang w:val="en-GB"/>
        </w:rPr>
        <w:t>considered</w:t>
      </w:r>
      <w:r w:rsidR="00134A74" w:rsidRPr="00B010BF">
        <w:rPr>
          <w:szCs w:val="22"/>
          <w:lang w:val="en-GB"/>
        </w:rPr>
        <w:t xml:space="preserve"> by the PBAC</w:t>
      </w:r>
      <w:r w:rsidRPr="00B010BF">
        <w:rPr>
          <w:szCs w:val="22"/>
          <w:lang w:val="en-GB"/>
        </w:rPr>
        <w:t xml:space="preserve"> for the treatment of </w:t>
      </w:r>
      <w:proofErr w:type="spellStart"/>
      <w:r w:rsidRPr="00B010BF">
        <w:rPr>
          <w:szCs w:val="22"/>
          <w:lang w:val="en-GB"/>
        </w:rPr>
        <w:t>liposarcoma</w:t>
      </w:r>
      <w:proofErr w:type="spellEnd"/>
      <w:r w:rsidRPr="00B010BF">
        <w:rPr>
          <w:szCs w:val="22"/>
          <w:lang w:val="en-GB"/>
        </w:rPr>
        <w:t xml:space="preserve">. </w:t>
      </w:r>
      <w:proofErr w:type="spellStart"/>
      <w:r w:rsidRPr="00B010BF">
        <w:rPr>
          <w:szCs w:val="22"/>
          <w:lang w:val="en-GB"/>
        </w:rPr>
        <w:t>Eribulin</w:t>
      </w:r>
      <w:proofErr w:type="spellEnd"/>
      <w:r w:rsidRPr="00B010BF">
        <w:rPr>
          <w:szCs w:val="22"/>
          <w:lang w:val="en-GB"/>
        </w:rPr>
        <w:t xml:space="preserve"> is PBS</w:t>
      </w:r>
      <w:r w:rsidR="002A6377" w:rsidRPr="00B010BF">
        <w:rPr>
          <w:szCs w:val="22"/>
          <w:lang w:val="en-GB"/>
        </w:rPr>
        <w:t>-subsidised</w:t>
      </w:r>
      <w:r w:rsidRPr="00B010BF">
        <w:rPr>
          <w:szCs w:val="22"/>
          <w:lang w:val="en-GB"/>
        </w:rPr>
        <w:t xml:space="preserve"> for the treatment of locally advanced or metastatic breast cancer </w:t>
      </w:r>
      <w:r w:rsidR="002A6377" w:rsidRPr="00B010BF">
        <w:rPr>
          <w:szCs w:val="22"/>
          <w:lang w:val="en-GB"/>
        </w:rPr>
        <w:t>in</w:t>
      </w:r>
      <w:r w:rsidRPr="00B010BF">
        <w:rPr>
          <w:szCs w:val="22"/>
          <w:lang w:val="en-GB"/>
        </w:rPr>
        <w:t xml:space="preserve"> patients with progressive disease who have failed at least two p</w:t>
      </w:r>
      <w:r w:rsidR="004E2076">
        <w:rPr>
          <w:szCs w:val="22"/>
          <w:lang w:val="en-GB"/>
        </w:rPr>
        <w:t>rior chemotherapeutic regimens.</w:t>
      </w:r>
    </w:p>
    <w:p w:rsidR="004F75CC" w:rsidRPr="00B010BF" w:rsidRDefault="004F75CC" w:rsidP="00903665">
      <w:pPr>
        <w:pStyle w:val="ListParagraph"/>
        <w:widowControl/>
        <w:rPr>
          <w:szCs w:val="22"/>
          <w:lang w:val="en-GB"/>
        </w:rPr>
      </w:pPr>
    </w:p>
    <w:p w:rsidR="0097289E" w:rsidRPr="00630061" w:rsidRDefault="002A6377" w:rsidP="00630061">
      <w:pPr>
        <w:pStyle w:val="ListParagraph"/>
        <w:widowControl/>
        <w:numPr>
          <w:ilvl w:val="1"/>
          <w:numId w:val="2"/>
        </w:numPr>
        <w:rPr>
          <w:szCs w:val="22"/>
          <w:lang w:val="en-GB"/>
        </w:rPr>
      </w:pPr>
      <w:r w:rsidRPr="00B010BF">
        <w:rPr>
          <w:szCs w:val="22"/>
          <w:lang w:val="en-GB"/>
        </w:rPr>
        <w:t xml:space="preserve">The PBAC recommended the PBS listing of </w:t>
      </w:r>
      <w:proofErr w:type="spellStart"/>
      <w:r w:rsidRPr="00B010BF">
        <w:rPr>
          <w:szCs w:val="22"/>
          <w:lang w:val="en-GB"/>
        </w:rPr>
        <w:t>p</w:t>
      </w:r>
      <w:r w:rsidR="001A2E0E" w:rsidRPr="00B010BF">
        <w:rPr>
          <w:szCs w:val="22"/>
          <w:lang w:val="en-GB"/>
        </w:rPr>
        <w:t>azopanib</w:t>
      </w:r>
      <w:proofErr w:type="spellEnd"/>
      <w:r w:rsidR="001A2E0E" w:rsidRPr="00B010BF">
        <w:rPr>
          <w:szCs w:val="22"/>
          <w:lang w:val="en-GB"/>
        </w:rPr>
        <w:t xml:space="preserve">, a multi-targeted tyrosine kinase inhibitor, </w:t>
      </w:r>
      <w:r w:rsidR="004F75CC" w:rsidRPr="00B010BF">
        <w:rPr>
          <w:szCs w:val="22"/>
          <w:lang w:val="en-GB"/>
        </w:rPr>
        <w:t>in July 2013</w:t>
      </w:r>
      <w:r w:rsidRPr="00B010BF">
        <w:rPr>
          <w:szCs w:val="22"/>
          <w:lang w:val="en-GB"/>
        </w:rPr>
        <w:t xml:space="preserve">. </w:t>
      </w:r>
      <w:proofErr w:type="spellStart"/>
      <w:r w:rsidRPr="00B010BF">
        <w:rPr>
          <w:szCs w:val="22"/>
          <w:lang w:val="en-GB"/>
        </w:rPr>
        <w:t>Pazopanib</w:t>
      </w:r>
      <w:proofErr w:type="spellEnd"/>
      <w:r w:rsidR="004F75CC" w:rsidRPr="00B010BF">
        <w:rPr>
          <w:szCs w:val="22"/>
          <w:lang w:val="en-GB"/>
        </w:rPr>
        <w:t xml:space="preserve"> is </w:t>
      </w:r>
      <w:r w:rsidRPr="00B010BF">
        <w:rPr>
          <w:szCs w:val="22"/>
          <w:lang w:val="en-GB"/>
        </w:rPr>
        <w:t>PBS-subsidised</w:t>
      </w:r>
      <w:r w:rsidR="004F75CC" w:rsidRPr="00B010BF">
        <w:rPr>
          <w:szCs w:val="22"/>
          <w:lang w:val="en-GB"/>
        </w:rPr>
        <w:t xml:space="preserve"> for second-line treatment in patients with advanced soft tissue </w:t>
      </w:r>
      <w:proofErr w:type="gramStart"/>
      <w:r w:rsidR="004F75CC" w:rsidRPr="00B010BF">
        <w:rPr>
          <w:szCs w:val="22"/>
          <w:lang w:val="en-GB"/>
        </w:rPr>
        <w:t>sarcoma,</w:t>
      </w:r>
      <w:proofErr w:type="gramEnd"/>
      <w:r w:rsidR="004F75CC" w:rsidRPr="00B010BF">
        <w:rPr>
          <w:szCs w:val="22"/>
          <w:lang w:val="en-GB"/>
        </w:rPr>
        <w:t xml:space="preserve"> however the PBS restriction excludes patients with </w:t>
      </w:r>
      <w:proofErr w:type="spellStart"/>
      <w:r w:rsidR="004F75CC" w:rsidRPr="00B010BF">
        <w:rPr>
          <w:szCs w:val="22"/>
          <w:lang w:val="en-GB"/>
        </w:rPr>
        <w:t>adipocytic</w:t>
      </w:r>
      <w:proofErr w:type="spellEnd"/>
      <w:r w:rsidR="004F75CC" w:rsidRPr="00B010BF">
        <w:rPr>
          <w:szCs w:val="22"/>
          <w:lang w:val="en-GB"/>
        </w:rPr>
        <w:t xml:space="preserve"> soft tissue sarcoma</w:t>
      </w:r>
      <w:r w:rsidR="00134A74" w:rsidRPr="00B010BF">
        <w:rPr>
          <w:szCs w:val="22"/>
          <w:lang w:val="en-GB"/>
        </w:rPr>
        <w:t xml:space="preserve">, which includes </w:t>
      </w:r>
      <w:proofErr w:type="spellStart"/>
      <w:r w:rsidR="00134A74" w:rsidRPr="00B010BF">
        <w:rPr>
          <w:szCs w:val="22"/>
          <w:lang w:val="en-GB"/>
        </w:rPr>
        <w:t>liposarcomas</w:t>
      </w:r>
      <w:proofErr w:type="spellEnd"/>
      <w:r w:rsidR="004F75CC" w:rsidRPr="00B010BF">
        <w:rPr>
          <w:szCs w:val="22"/>
          <w:lang w:val="en-GB"/>
        </w:rPr>
        <w:t>.</w:t>
      </w:r>
    </w:p>
    <w:p w:rsidR="0097289E" w:rsidRPr="00B010BF" w:rsidRDefault="0097289E" w:rsidP="00903665">
      <w:pPr>
        <w:widowControl/>
        <w:rPr>
          <w:lang w:val="en-GB"/>
        </w:rPr>
      </w:pPr>
    </w:p>
    <w:p w:rsidR="00A528F3" w:rsidRPr="00B010BF" w:rsidRDefault="00A528F3" w:rsidP="00903665">
      <w:pPr>
        <w:widowControl/>
        <w:rPr>
          <w:lang w:val="en-GB"/>
        </w:rPr>
      </w:pPr>
    </w:p>
    <w:p w:rsidR="00B50DB8" w:rsidRPr="00B010BF" w:rsidRDefault="00B50DB8" w:rsidP="00903665">
      <w:pPr>
        <w:pStyle w:val="Heading2"/>
      </w:pPr>
      <w:bookmarkStart w:id="5" w:name="_Toc461622501"/>
      <w:r w:rsidRPr="00B010BF">
        <w:t>Clinical place for the proposed therapy</w:t>
      </w:r>
      <w:bookmarkEnd w:id="5"/>
    </w:p>
    <w:p w:rsidR="00B60939" w:rsidRPr="00B010BF" w:rsidRDefault="00B60939" w:rsidP="00903665">
      <w:pPr>
        <w:widowControl/>
        <w:rPr>
          <w:szCs w:val="22"/>
          <w:lang w:val="en-GB"/>
        </w:rPr>
      </w:pPr>
    </w:p>
    <w:p w:rsidR="00985F31" w:rsidRPr="00B010BF" w:rsidRDefault="00985F31" w:rsidP="00A728F8">
      <w:pPr>
        <w:pStyle w:val="ListParagraph"/>
        <w:widowControl/>
        <w:numPr>
          <w:ilvl w:val="1"/>
          <w:numId w:val="2"/>
        </w:numPr>
        <w:rPr>
          <w:lang w:val="en-GB"/>
        </w:rPr>
      </w:pPr>
      <w:r w:rsidRPr="00B010BF">
        <w:rPr>
          <w:lang w:val="en-GB"/>
        </w:rPr>
        <w:t>Soft tissue sarcomas are rare malignancies. There are more than 50 histological subtypes of sarcoma, with US data from the Surveillance, Epidemiology</w:t>
      </w:r>
      <w:r w:rsidR="002D5101">
        <w:rPr>
          <w:lang w:val="en-GB"/>
        </w:rPr>
        <w:t xml:space="preserve">, and End Results </w:t>
      </w:r>
      <w:r w:rsidR="008B142F">
        <w:rPr>
          <w:lang w:val="en-GB"/>
        </w:rPr>
        <w:t xml:space="preserve">(SEER) </w:t>
      </w:r>
      <w:r w:rsidR="002D5101">
        <w:rPr>
          <w:lang w:val="en-GB"/>
        </w:rPr>
        <w:t>Program</w:t>
      </w:r>
      <w:r w:rsidRPr="00B010BF">
        <w:rPr>
          <w:lang w:val="en-GB"/>
        </w:rPr>
        <w:t xml:space="preserve"> </w:t>
      </w:r>
      <w:r w:rsidR="00134A74" w:rsidRPr="00B010BF">
        <w:rPr>
          <w:lang w:val="en-GB"/>
        </w:rPr>
        <w:t>indicating</w:t>
      </w:r>
      <w:r w:rsidRPr="00B010BF">
        <w:rPr>
          <w:lang w:val="en-GB"/>
        </w:rPr>
        <w:t xml:space="preserve"> the most common sarcomas </w:t>
      </w:r>
      <w:r w:rsidR="006B38E7" w:rsidRPr="00B010BF">
        <w:rPr>
          <w:lang w:val="en-GB"/>
        </w:rPr>
        <w:t xml:space="preserve">were </w:t>
      </w:r>
      <w:proofErr w:type="spellStart"/>
      <w:r w:rsidRPr="00B010BF">
        <w:rPr>
          <w:lang w:val="en-GB"/>
        </w:rPr>
        <w:t>liposarcomas</w:t>
      </w:r>
      <w:proofErr w:type="spellEnd"/>
      <w:r w:rsidRPr="00B010BF">
        <w:rPr>
          <w:lang w:val="en-GB"/>
        </w:rPr>
        <w:t xml:space="preserve"> (17.1%), </w:t>
      </w:r>
      <w:proofErr w:type="spellStart"/>
      <w:r w:rsidRPr="00B010BF">
        <w:rPr>
          <w:lang w:val="en-GB"/>
        </w:rPr>
        <w:t>leiomyosarcomas</w:t>
      </w:r>
      <w:proofErr w:type="spellEnd"/>
      <w:r w:rsidRPr="00B010BF">
        <w:rPr>
          <w:lang w:val="en-GB"/>
        </w:rPr>
        <w:t xml:space="preserve"> (13.6%), and malignant fibrous histiocytoma (8.2%).</w:t>
      </w:r>
      <w:r w:rsidR="00C425EC" w:rsidRPr="00B010BF">
        <w:rPr>
          <w:lang w:val="en-GB"/>
        </w:rPr>
        <w:t xml:space="preserve"> The f</w:t>
      </w:r>
      <w:r w:rsidRPr="00B010BF">
        <w:rPr>
          <w:lang w:val="en-GB"/>
        </w:rPr>
        <w:t>ive-year survival</w:t>
      </w:r>
      <w:r w:rsidR="00C425EC" w:rsidRPr="00B010BF">
        <w:rPr>
          <w:lang w:val="en-GB"/>
        </w:rPr>
        <w:t xml:space="preserve"> rate</w:t>
      </w:r>
      <w:r w:rsidRPr="00B010BF">
        <w:rPr>
          <w:lang w:val="en-GB"/>
        </w:rPr>
        <w:t xml:space="preserve"> for patients with </w:t>
      </w:r>
      <w:proofErr w:type="spellStart"/>
      <w:r w:rsidRPr="00B010BF">
        <w:rPr>
          <w:lang w:val="en-GB"/>
        </w:rPr>
        <w:t>liposarcoma</w:t>
      </w:r>
      <w:proofErr w:type="spellEnd"/>
      <w:r w:rsidRPr="00B010BF">
        <w:rPr>
          <w:lang w:val="en-GB"/>
        </w:rPr>
        <w:t xml:space="preserve"> </w:t>
      </w:r>
      <w:r w:rsidR="006B38E7" w:rsidRPr="00B010BF">
        <w:rPr>
          <w:lang w:val="en-GB"/>
        </w:rPr>
        <w:t xml:space="preserve">was </w:t>
      </w:r>
      <w:r w:rsidRPr="00B010BF">
        <w:rPr>
          <w:lang w:val="en-GB"/>
        </w:rPr>
        <w:t xml:space="preserve">approximately 25%; </w:t>
      </w:r>
      <w:r w:rsidR="00C425EC" w:rsidRPr="00B010BF">
        <w:rPr>
          <w:lang w:val="en-GB"/>
        </w:rPr>
        <w:t>in patients with</w:t>
      </w:r>
      <w:r w:rsidRPr="00B010BF">
        <w:rPr>
          <w:lang w:val="en-GB"/>
        </w:rPr>
        <w:t xml:space="preserve"> metastatic relapse,</w:t>
      </w:r>
      <w:r w:rsidR="00C425EC" w:rsidRPr="00B010BF">
        <w:rPr>
          <w:lang w:val="en-GB"/>
        </w:rPr>
        <w:t xml:space="preserve"> the</w:t>
      </w:r>
      <w:r w:rsidRPr="00B010BF">
        <w:rPr>
          <w:lang w:val="en-GB"/>
        </w:rPr>
        <w:t xml:space="preserve"> </w:t>
      </w:r>
      <w:r w:rsidR="00134A74" w:rsidRPr="00B010BF">
        <w:rPr>
          <w:lang w:val="en-GB"/>
        </w:rPr>
        <w:t>five-year survival</w:t>
      </w:r>
      <w:r w:rsidRPr="00B010BF">
        <w:rPr>
          <w:lang w:val="en-GB"/>
        </w:rPr>
        <w:t xml:space="preserve"> </w:t>
      </w:r>
      <w:r w:rsidR="00C425EC" w:rsidRPr="00B010BF">
        <w:rPr>
          <w:lang w:val="en-GB"/>
        </w:rPr>
        <w:t xml:space="preserve">rate </w:t>
      </w:r>
      <w:r w:rsidR="006B38E7" w:rsidRPr="00B010BF">
        <w:rPr>
          <w:lang w:val="en-GB"/>
        </w:rPr>
        <w:t xml:space="preserve">was </w:t>
      </w:r>
      <w:r w:rsidRPr="00B010BF">
        <w:rPr>
          <w:lang w:val="en-GB"/>
        </w:rPr>
        <w:t>as low as 16%.</w:t>
      </w:r>
    </w:p>
    <w:p w:rsidR="00985F31" w:rsidRPr="00B010BF" w:rsidRDefault="00985F31" w:rsidP="00903665">
      <w:pPr>
        <w:pStyle w:val="ListParagraph"/>
        <w:widowControl/>
        <w:rPr>
          <w:lang w:val="en-GB"/>
        </w:rPr>
      </w:pPr>
    </w:p>
    <w:p w:rsidR="00B60939" w:rsidRPr="00B010BF" w:rsidRDefault="00985F31" w:rsidP="002D5101">
      <w:pPr>
        <w:pStyle w:val="ListParagraph"/>
        <w:widowControl/>
        <w:numPr>
          <w:ilvl w:val="1"/>
          <w:numId w:val="2"/>
        </w:numPr>
        <w:rPr>
          <w:szCs w:val="22"/>
          <w:lang w:val="en-GB"/>
        </w:rPr>
      </w:pPr>
      <w:proofErr w:type="spellStart"/>
      <w:r w:rsidRPr="00B010BF">
        <w:rPr>
          <w:lang w:val="en-GB"/>
        </w:rPr>
        <w:t>Liposarcomas</w:t>
      </w:r>
      <w:proofErr w:type="spellEnd"/>
      <w:r w:rsidRPr="00B010BF">
        <w:rPr>
          <w:lang w:val="en-GB"/>
        </w:rPr>
        <w:t xml:space="preserve"> are a specific type of</w:t>
      </w:r>
      <w:r w:rsidR="00A40622" w:rsidRPr="00B010BF">
        <w:rPr>
          <w:lang w:val="en-GB"/>
        </w:rPr>
        <w:t xml:space="preserve"> malignant</w:t>
      </w:r>
      <w:r w:rsidRPr="00B010BF">
        <w:rPr>
          <w:lang w:val="en-GB"/>
        </w:rPr>
        <w:t xml:space="preserve"> </w:t>
      </w:r>
      <w:proofErr w:type="spellStart"/>
      <w:r w:rsidRPr="00B010BF">
        <w:rPr>
          <w:lang w:val="en-GB"/>
        </w:rPr>
        <w:t>adipocytic</w:t>
      </w:r>
      <w:proofErr w:type="spellEnd"/>
      <w:r w:rsidRPr="00B010BF">
        <w:rPr>
          <w:lang w:val="en-GB"/>
        </w:rPr>
        <w:t xml:space="preserve"> tumour. Many other forms of </w:t>
      </w:r>
      <w:proofErr w:type="spellStart"/>
      <w:r w:rsidRPr="00B010BF">
        <w:rPr>
          <w:lang w:val="en-GB"/>
        </w:rPr>
        <w:t>adipocytic</w:t>
      </w:r>
      <w:proofErr w:type="spellEnd"/>
      <w:r w:rsidRPr="00B010BF">
        <w:rPr>
          <w:lang w:val="en-GB"/>
        </w:rPr>
        <w:t xml:space="preserve"> tumours, such as lipomas, are benign. </w:t>
      </w:r>
      <w:proofErr w:type="spellStart"/>
      <w:r w:rsidRPr="00B010BF">
        <w:rPr>
          <w:lang w:val="en-GB"/>
        </w:rPr>
        <w:t>Liposarcomas</w:t>
      </w:r>
      <w:proofErr w:type="spellEnd"/>
      <w:r w:rsidRPr="00B010BF">
        <w:rPr>
          <w:lang w:val="en-GB"/>
        </w:rPr>
        <w:t xml:space="preserve"> can be further classified into the following subtypes: well-differentiated, </w:t>
      </w:r>
      <w:proofErr w:type="spellStart"/>
      <w:r w:rsidRPr="00B010BF">
        <w:rPr>
          <w:lang w:val="en-GB"/>
        </w:rPr>
        <w:t>myxoid</w:t>
      </w:r>
      <w:proofErr w:type="spellEnd"/>
      <w:r w:rsidRPr="00B010BF">
        <w:rPr>
          <w:lang w:val="en-GB"/>
        </w:rPr>
        <w:t xml:space="preserve">, </w:t>
      </w:r>
      <w:proofErr w:type="spellStart"/>
      <w:r w:rsidRPr="00B010BF">
        <w:rPr>
          <w:lang w:val="en-GB"/>
        </w:rPr>
        <w:t>pleophorphic</w:t>
      </w:r>
      <w:proofErr w:type="spellEnd"/>
      <w:r w:rsidRPr="00B010BF">
        <w:rPr>
          <w:lang w:val="en-GB"/>
        </w:rPr>
        <w:t xml:space="preserve"> and dedifferentiated. </w:t>
      </w:r>
      <w:r w:rsidR="002D5101">
        <w:rPr>
          <w:lang w:val="en-GB"/>
        </w:rPr>
        <w:t xml:space="preserve">The inclusion criteria in the pivotal trial (Study 309) included </w:t>
      </w:r>
      <w:proofErr w:type="spellStart"/>
      <w:r w:rsidR="002D5101" w:rsidRPr="002D5101">
        <w:rPr>
          <w:lang w:val="en-GB"/>
        </w:rPr>
        <w:t>myxoid</w:t>
      </w:r>
      <w:proofErr w:type="spellEnd"/>
      <w:r w:rsidR="002D5101" w:rsidRPr="002D5101">
        <w:rPr>
          <w:lang w:val="en-GB"/>
        </w:rPr>
        <w:t>, pleomorphic</w:t>
      </w:r>
      <w:r w:rsidR="002D5101">
        <w:rPr>
          <w:lang w:val="en-GB"/>
        </w:rPr>
        <w:t>, dedifferentiated and round cell</w:t>
      </w:r>
      <w:r w:rsidR="002D5101" w:rsidRPr="002D5101">
        <w:rPr>
          <w:lang w:val="en-GB"/>
        </w:rPr>
        <w:t xml:space="preserve"> subtypes</w:t>
      </w:r>
      <w:r w:rsidR="002D5101">
        <w:rPr>
          <w:lang w:val="en-GB"/>
        </w:rPr>
        <w:t xml:space="preserve"> of </w:t>
      </w:r>
      <w:proofErr w:type="spellStart"/>
      <w:r w:rsidR="002D5101">
        <w:rPr>
          <w:lang w:val="en-GB"/>
        </w:rPr>
        <w:t>liposarcomas</w:t>
      </w:r>
      <w:proofErr w:type="spellEnd"/>
      <w:r w:rsidR="002D5101">
        <w:rPr>
          <w:lang w:val="en-GB"/>
        </w:rPr>
        <w:t xml:space="preserve">, or </w:t>
      </w:r>
      <w:proofErr w:type="spellStart"/>
      <w:r w:rsidR="002D5101">
        <w:rPr>
          <w:lang w:val="en-GB"/>
        </w:rPr>
        <w:t>leiomyosarcoma</w:t>
      </w:r>
      <w:proofErr w:type="spellEnd"/>
      <w:r w:rsidR="002D5101">
        <w:rPr>
          <w:lang w:val="en-GB"/>
        </w:rPr>
        <w:t>; no specification (to include or exclude from trial entry) was made with regards to w</w:t>
      </w:r>
      <w:r w:rsidR="004E2076">
        <w:rPr>
          <w:lang w:val="en-GB"/>
        </w:rPr>
        <w:t xml:space="preserve">ell-differentiated </w:t>
      </w:r>
      <w:proofErr w:type="spellStart"/>
      <w:r w:rsidR="004E2076">
        <w:rPr>
          <w:lang w:val="en-GB"/>
        </w:rPr>
        <w:t>liposarcoma</w:t>
      </w:r>
      <w:proofErr w:type="spellEnd"/>
      <w:r w:rsidR="004E2076">
        <w:rPr>
          <w:lang w:val="en-GB"/>
        </w:rPr>
        <w:t>.</w:t>
      </w:r>
    </w:p>
    <w:p w:rsidR="00894489" w:rsidRPr="00B010BF" w:rsidRDefault="00894489" w:rsidP="00903665">
      <w:pPr>
        <w:widowControl/>
        <w:rPr>
          <w:szCs w:val="22"/>
          <w:lang w:val="en-GB"/>
        </w:rPr>
      </w:pPr>
    </w:p>
    <w:p w:rsidR="00985F31" w:rsidRPr="00B010BF" w:rsidRDefault="008E596B" w:rsidP="00A728F8">
      <w:pPr>
        <w:pStyle w:val="ListParagraph"/>
        <w:widowControl/>
        <w:numPr>
          <w:ilvl w:val="1"/>
          <w:numId w:val="2"/>
        </w:numPr>
        <w:rPr>
          <w:szCs w:val="22"/>
          <w:lang w:val="en-GB"/>
        </w:rPr>
      </w:pPr>
      <w:r w:rsidRPr="00B010BF">
        <w:rPr>
          <w:lang w:val="en-GB"/>
        </w:rPr>
        <w:t>The clinical practice guidelines for the management of adult onset sarcoma (Cancer Council Australia, 2016) reported that d</w:t>
      </w:r>
      <w:r w:rsidR="00985F31" w:rsidRPr="00B010BF">
        <w:rPr>
          <w:szCs w:val="22"/>
          <w:lang w:val="en-GB"/>
        </w:rPr>
        <w:t xml:space="preserve">oxorubicin, alone or in combination with </w:t>
      </w:r>
      <w:proofErr w:type="spellStart"/>
      <w:r w:rsidR="00985F31" w:rsidRPr="00B010BF">
        <w:rPr>
          <w:szCs w:val="22"/>
          <w:lang w:val="en-GB"/>
        </w:rPr>
        <w:t>ifosfamide</w:t>
      </w:r>
      <w:proofErr w:type="spellEnd"/>
      <w:r w:rsidR="00985F31" w:rsidRPr="00B010BF">
        <w:rPr>
          <w:szCs w:val="22"/>
          <w:lang w:val="en-GB"/>
        </w:rPr>
        <w:t xml:space="preserve">, is standard first-line treatment for patients with advanced or metastatic </w:t>
      </w:r>
      <w:proofErr w:type="spellStart"/>
      <w:r w:rsidR="00985F31" w:rsidRPr="00B010BF">
        <w:rPr>
          <w:szCs w:val="22"/>
          <w:lang w:val="en-GB"/>
        </w:rPr>
        <w:t>liposarcoma</w:t>
      </w:r>
      <w:proofErr w:type="spellEnd"/>
      <w:r w:rsidR="00985F31" w:rsidRPr="00B010BF">
        <w:rPr>
          <w:szCs w:val="22"/>
          <w:lang w:val="en-GB"/>
        </w:rPr>
        <w:t xml:space="preserve">. For patients where doxorubicin </w:t>
      </w:r>
      <w:r w:rsidR="00FF146C" w:rsidRPr="00B010BF">
        <w:rPr>
          <w:szCs w:val="22"/>
          <w:lang w:val="en-GB"/>
        </w:rPr>
        <w:t>i</w:t>
      </w:r>
      <w:r w:rsidR="00985F31" w:rsidRPr="00B010BF">
        <w:rPr>
          <w:szCs w:val="22"/>
          <w:lang w:val="en-GB"/>
        </w:rPr>
        <w:t xml:space="preserve">s considered inappropriate, </w:t>
      </w:r>
      <w:proofErr w:type="spellStart"/>
      <w:r w:rsidR="00985F31" w:rsidRPr="00B010BF">
        <w:rPr>
          <w:szCs w:val="22"/>
          <w:lang w:val="en-GB"/>
        </w:rPr>
        <w:t>ifosfamide</w:t>
      </w:r>
      <w:proofErr w:type="spellEnd"/>
      <w:r w:rsidR="00985F31" w:rsidRPr="00B010BF">
        <w:rPr>
          <w:szCs w:val="22"/>
          <w:lang w:val="en-GB"/>
        </w:rPr>
        <w:t xml:space="preserve"> as a single agent had the second highest objective response rate</w:t>
      </w:r>
      <w:r w:rsidRPr="00B010BF">
        <w:rPr>
          <w:szCs w:val="22"/>
          <w:lang w:val="en-GB"/>
        </w:rPr>
        <w:t xml:space="preserve"> (Cancer Council Australia 2016)</w:t>
      </w:r>
      <w:r w:rsidR="00985F31" w:rsidRPr="00B010BF">
        <w:rPr>
          <w:szCs w:val="22"/>
          <w:lang w:val="en-GB"/>
        </w:rPr>
        <w:t>. For patients who ha</w:t>
      </w:r>
      <w:r w:rsidR="00FF146C" w:rsidRPr="00B010BF">
        <w:rPr>
          <w:szCs w:val="22"/>
          <w:lang w:val="en-GB"/>
        </w:rPr>
        <w:t>ve</w:t>
      </w:r>
      <w:r w:rsidR="00985F31" w:rsidRPr="00B010BF">
        <w:rPr>
          <w:szCs w:val="22"/>
          <w:lang w:val="en-GB"/>
        </w:rPr>
        <w:t xml:space="preserve"> not received </w:t>
      </w:r>
      <w:proofErr w:type="spellStart"/>
      <w:r w:rsidR="00985F31" w:rsidRPr="00B010BF">
        <w:rPr>
          <w:szCs w:val="22"/>
          <w:lang w:val="en-GB"/>
        </w:rPr>
        <w:t>ifosfamide</w:t>
      </w:r>
      <w:proofErr w:type="spellEnd"/>
      <w:r w:rsidR="00985F31" w:rsidRPr="00B010BF">
        <w:rPr>
          <w:szCs w:val="22"/>
          <w:lang w:val="en-GB"/>
        </w:rPr>
        <w:t xml:space="preserve"> as first-line</w:t>
      </w:r>
      <w:r w:rsidR="00A40622" w:rsidRPr="00B010BF">
        <w:rPr>
          <w:szCs w:val="22"/>
          <w:lang w:val="en-GB"/>
        </w:rPr>
        <w:t xml:space="preserve"> treatment</w:t>
      </w:r>
      <w:r w:rsidR="00985F31" w:rsidRPr="00B010BF">
        <w:rPr>
          <w:szCs w:val="22"/>
          <w:lang w:val="en-GB"/>
        </w:rPr>
        <w:t xml:space="preserve">, </w:t>
      </w:r>
      <w:proofErr w:type="spellStart"/>
      <w:r w:rsidR="00985F31" w:rsidRPr="00B010BF">
        <w:rPr>
          <w:szCs w:val="22"/>
          <w:lang w:val="en-GB"/>
        </w:rPr>
        <w:t>ifosfamide</w:t>
      </w:r>
      <w:proofErr w:type="spellEnd"/>
      <w:r w:rsidR="00985F31" w:rsidRPr="00B010BF">
        <w:rPr>
          <w:szCs w:val="22"/>
          <w:lang w:val="en-GB"/>
        </w:rPr>
        <w:t xml:space="preserve"> </w:t>
      </w:r>
      <w:r w:rsidR="00AC2BF0" w:rsidRPr="00B010BF">
        <w:rPr>
          <w:szCs w:val="22"/>
          <w:lang w:val="en-GB"/>
        </w:rPr>
        <w:t xml:space="preserve">monotherapy </w:t>
      </w:r>
      <w:r w:rsidR="00985F31" w:rsidRPr="00B010BF">
        <w:rPr>
          <w:szCs w:val="22"/>
          <w:lang w:val="en-GB"/>
        </w:rPr>
        <w:t>might be considered</w:t>
      </w:r>
      <w:r w:rsidR="006B38E7" w:rsidRPr="00B010BF">
        <w:rPr>
          <w:szCs w:val="22"/>
          <w:lang w:val="en-GB"/>
        </w:rPr>
        <w:t xml:space="preserve"> for</w:t>
      </w:r>
      <w:r w:rsidR="00985F31" w:rsidRPr="00B010BF">
        <w:rPr>
          <w:szCs w:val="22"/>
          <w:lang w:val="en-GB"/>
        </w:rPr>
        <w:t xml:space="preserve"> second-line</w:t>
      </w:r>
      <w:r w:rsidR="00A40622" w:rsidRPr="00B010BF">
        <w:rPr>
          <w:szCs w:val="22"/>
          <w:lang w:val="en-GB"/>
        </w:rPr>
        <w:t xml:space="preserve"> use</w:t>
      </w:r>
      <w:r w:rsidR="00985F31" w:rsidRPr="00B010BF">
        <w:rPr>
          <w:szCs w:val="22"/>
          <w:lang w:val="en-GB"/>
        </w:rPr>
        <w:t xml:space="preserve">. </w:t>
      </w:r>
      <w:proofErr w:type="spellStart"/>
      <w:r w:rsidR="00985F31" w:rsidRPr="00B010BF">
        <w:rPr>
          <w:szCs w:val="22"/>
          <w:lang w:val="en-GB"/>
        </w:rPr>
        <w:t>Dacarbazine</w:t>
      </w:r>
      <w:proofErr w:type="spellEnd"/>
      <w:r w:rsidR="00985F31" w:rsidRPr="00B010BF">
        <w:rPr>
          <w:szCs w:val="22"/>
          <w:lang w:val="en-GB"/>
        </w:rPr>
        <w:t xml:space="preserve">, with or without gemcitabine, </w:t>
      </w:r>
      <w:r w:rsidR="00FF146C" w:rsidRPr="00B010BF">
        <w:rPr>
          <w:szCs w:val="22"/>
          <w:lang w:val="en-GB"/>
        </w:rPr>
        <w:t>i</w:t>
      </w:r>
      <w:r w:rsidR="006B38E7" w:rsidRPr="00B010BF">
        <w:rPr>
          <w:szCs w:val="22"/>
          <w:lang w:val="en-GB"/>
        </w:rPr>
        <w:t xml:space="preserve">s </w:t>
      </w:r>
      <w:r w:rsidR="00985F31" w:rsidRPr="00B010BF">
        <w:rPr>
          <w:szCs w:val="22"/>
          <w:lang w:val="en-GB"/>
        </w:rPr>
        <w:t xml:space="preserve">a reasonable third-line therapy after exposure to doxorubicin and </w:t>
      </w:r>
      <w:proofErr w:type="spellStart"/>
      <w:r w:rsidR="00985F31" w:rsidRPr="00B010BF">
        <w:rPr>
          <w:szCs w:val="22"/>
          <w:lang w:val="en-GB"/>
        </w:rPr>
        <w:t>ifosfamide</w:t>
      </w:r>
      <w:proofErr w:type="spellEnd"/>
      <w:r w:rsidR="00985F31" w:rsidRPr="00B010BF">
        <w:rPr>
          <w:szCs w:val="22"/>
          <w:lang w:val="en-GB"/>
        </w:rPr>
        <w:t xml:space="preserve"> in advanced soft tissue sarcomas. </w:t>
      </w:r>
      <w:proofErr w:type="spellStart"/>
      <w:r w:rsidR="0026412F" w:rsidRPr="00B010BF">
        <w:rPr>
          <w:szCs w:val="22"/>
          <w:lang w:val="en-GB"/>
        </w:rPr>
        <w:t>Dacarbazine</w:t>
      </w:r>
      <w:proofErr w:type="spellEnd"/>
      <w:r w:rsidR="0026412F" w:rsidRPr="00B010BF">
        <w:rPr>
          <w:szCs w:val="22"/>
          <w:lang w:val="en-GB"/>
        </w:rPr>
        <w:t xml:space="preserve"> is not PBS </w:t>
      </w:r>
      <w:r w:rsidR="00856384" w:rsidRPr="00B010BF">
        <w:rPr>
          <w:szCs w:val="22"/>
          <w:lang w:val="en-GB"/>
        </w:rPr>
        <w:t xml:space="preserve">subsidised, while doxorubicin, </w:t>
      </w:r>
      <w:proofErr w:type="spellStart"/>
      <w:r w:rsidR="00856384" w:rsidRPr="00B010BF">
        <w:rPr>
          <w:szCs w:val="22"/>
          <w:lang w:val="en-GB"/>
        </w:rPr>
        <w:t>ifosfamide</w:t>
      </w:r>
      <w:proofErr w:type="spellEnd"/>
      <w:r w:rsidR="00856384" w:rsidRPr="00B010BF">
        <w:rPr>
          <w:szCs w:val="22"/>
          <w:lang w:val="en-GB"/>
        </w:rPr>
        <w:t xml:space="preserve"> and gemcitabine are PBS-subsidised for the treatment of patients with advanced or metastatic </w:t>
      </w:r>
      <w:proofErr w:type="spellStart"/>
      <w:r w:rsidR="00856384" w:rsidRPr="00B010BF">
        <w:rPr>
          <w:szCs w:val="22"/>
          <w:lang w:val="en-GB"/>
        </w:rPr>
        <w:t>liposarcoma</w:t>
      </w:r>
      <w:proofErr w:type="spellEnd"/>
      <w:r w:rsidR="00856384" w:rsidRPr="00B010BF">
        <w:rPr>
          <w:szCs w:val="22"/>
          <w:lang w:val="en-GB"/>
        </w:rPr>
        <w:t>.</w:t>
      </w:r>
    </w:p>
    <w:p w:rsidR="00985F31" w:rsidRPr="00B010BF" w:rsidRDefault="00985F31" w:rsidP="00903665">
      <w:pPr>
        <w:pStyle w:val="ListParagraph"/>
        <w:widowControl/>
        <w:rPr>
          <w:szCs w:val="22"/>
          <w:lang w:val="en-GB"/>
        </w:rPr>
      </w:pPr>
    </w:p>
    <w:p w:rsidR="00B60939" w:rsidRPr="00B010BF" w:rsidRDefault="00A40622" w:rsidP="00A728F8">
      <w:pPr>
        <w:pStyle w:val="ListParagraph"/>
        <w:widowControl/>
        <w:numPr>
          <w:ilvl w:val="1"/>
          <w:numId w:val="2"/>
        </w:numPr>
        <w:rPr>
          <w:szCs w:val="22"/>
          <w:lang w:val="en-GB"/>
        </w:rPr>
      </w:pPr>
      <w:r w:rsidRPr="00B010BF">
        <w:rPr>
          <w:szCs w:val="22"/>
          <w:lang w:val="en-GB"/>
        </w:rPr>
        <w:t>The</w:t>
      </w:r>
      <w:r w:rsidR="00985F31" w:rsidRPr="00B010BF">
        <w:rPr>
          <w:szCs w:val="22"/>
          <w:lang w:val="en-GB"/>
        </w:rPr>
        <w:t xml:space="preserve"> submission </w:t>
      </w:r>
      <w:r w:rsidR="00AC2BF0" w:rsidRPr="00B010BF">
        <w:rPr>
          <w:szCs w:val="22"/>
          <w:lang w:val="en-GB"/>
        </w:rPr>
        <w:t xml:space="preserve">stated </w:t>
      </w:r>
      <w:r w:rsidR="00985F31" w:rsidRPr="00B010BF">
        <w:rPr>
          <w:szCs w:val="22"/>
          <w:lang w:val="en-GB"/>
        </w:rPr>
        <w:t>that</w:t>
      </w:r>
      <w:r w:rsidRPr="00B010BF">
        <w:rPr>
          <w:szCs w:val="22"/>
          <w:lang w:val="en-GB"/>
        </w:rPr>
        <w:t xml:space="preserve"> if </w:t>
      </w:r>
      <w:proofErr w:type="spellStart"/>
      <w:r w:rsidRPr="00B010BF">
        <w:rPr>
          <w:szCs w:val="22"/>
          <w:lang w:val="en-GB"/>
        </w:rPr>
        <w:t>eribulin</w:t>
      </w:r>
      <w:proofErr w:type="spellEnd"/>
      <w:r w:rsidRPr="00B010BF">
        <w:rPr>
          <w:szCs w:val="22"/>
          <w:lang w:val="en-GB"/>
        </w:rPr>
        <w:t xml:space="preserve"> w</w:t>
      </w:r>
      <w:r w:rsidR="00AC2BF0" w:rsidRPr="00B010BF">
        <w:rPr>
          <w:szCs w:val="22"/>
          <w:lang w:val="en-GB"/>
        </w:rPr>
        <w:t>as</w:t>
      </w:r>
      <w:r w:rsidRPr="00B010BF">
        <w:rPr>
          <w:szCs w:val="22"/>
          <w:lang w:val="en-GB"/>
        </w:rPr>
        <w:t xml:space="preserve"> recommended for PBS listing</w:t>
      </w:r>
      <w:r w:rsidR="00985F31" w:rsidRPr="00B010BF">
        <w:rPr>
          <w:szCs w:val="22"/>
          <w:lang w:val="en-GB"/>
        </w:rPr>
        <w:t xml:space="preserve"> for patients with advanced</w:t>
      </w:r>
      <w:r w:rsidRPr="00B010BF">
        <w:rPr>
          <w:szCs w:val="22"/>
          <w:lang w:val="en-GB"/>
        </w:rPr>
        <w:t xml:space="preserve"> or metastatic</w:t>
      </w:r>
      <w:r w:rsidR="00985F31" w:rsidRPr="00B010BF">
        <w:rPr>
          <w:szCs w:val="22"/>
          <w:lang w:val="en-GB"/>
        </w:rPr>
        <w:t xml:space="preserve"> </w:t>
      </w:r>
      <w:proofErr w:type="spellStart"/>
      <w:r w:rsidR="00985F31" w:rsidRPr="00B010BF">
        <w:rPr>
          <w:szCs w:val="22"/>
          <w:lang w:val="en-GB"/>
        </w:rPr>
        <w:t>liposarcoma</w:t>
      </w:r>
      <w:proofErr w:type="spellEnd"/>
      <w:r w:rsidR="004F75CC" w:rsidRPr="00B010BF">
        <w:rPr>
          <w:szCs w:val="22"/>
          <w:lang w:val="en-GB"/>
        </w:rPr>
        <w:t xml:space="preserve"> </w:t>
      </w:r>
      <w:r w:rsidR="004F75CC" w:rsidRPr="00B010BF">
        <w:rPr>
          <w:lang w:val="en-GB"/>
        </w:rPr>
        <w:t xml:space="preserve">(including dedifferentiated, </w:t>
      </w:r>
      <w:proofErr w:type="spellStart"/>
      <w:r w:rsidR="004F75CC" w:rsidRPr="00B010BF">
        <w:rPr>
          <w:lang w:val="en-GB"/>
        </w:rPr>
        <w:t>myxoid</w:t>
      </w:r>
      <w:proofErr w:type="spellEnd"/>
      <w:r w:rsidR="004F75CC" w:rsidRPr="00B010BF">
        <w:rPr>
          <w:lang w:val="en-GB"/>
        </w:rPr>
        <w:t>, round cell and pleomorphic subtypes)</w:t>
      </w:r>
      <w:r w:rsidR="00985F31" w:rsidRPr="00B010BF">
        <w:rPr>
          <w:szCs w:val="22"/>
          <w:lang w:val="en-GB"/>
        </w:rPr>
        <w:t xml:space="preserve">, </w:t>
      </w:r>
      <w:proofErr w:type="spellStart"/>
      <w:r w:rsidR="00985F31" w:rsidRPr="00B010BF">
        <w:rPr>
          <w:szCs w:val="22"/>
          <w:lang w:val="en-GB"/>
        </w:rPr>
        <w:t>eribulin</w:t>
      </w:r>
      <w:proofErr w:type="spellEnd"/>
      <w:r w:rsidR="00985F31" w:rsidRPr="00B010BF">
        <w:rPr>
          <w:szCs w:val="22"/>
          <w:lang w:val="en-GB"/>
        </w:rPr>
        <w:t xml:space="preserve"> </w:t>
      </w:r>
      <w:r w:rsidR="00AC2BF0" w:rsidRPr="00B010BF">
        <w:rPr>
          <w:szCs w:val="22"/>
          <w:lang w:val="en-GB"/>
        </w:rPr>
        <w:t xml:space="preserve">would </w:t>
      </w:r>
      <w:r w:rsidR="00985F31" w:rsidRPr="00B010BF">
        <w:rPr>
          <w:szCs w:val="22"/>
          <w:lang w:val="en-GB"/>
        </w:rPr>
        <w:t xml:space="preserve">replace </w:t>
      </w:r>
      <w:proofErr w:type="spellStart"/>
      <w:r w:rsidR="00985F31" w:rsidRPr="00B010BF">
        <w:rPr>
          <w:szCs w:val="22"/>
          <w:lang w:val="en-GB"/>
        </w:rPr>
        <w:t>ifosfamide</w:t>
      </w:r>
      <w:proofErr w:type="spellEnd"/>
      <w:r w:rsidR="00985F31" w:rsidRPr="00B010BF">
        <w:rPr>
          <w:szCs w:val="22"/>
          <w:lang w:val="en-GB"/>
        </w:rPr>
        <w:t xml:space="preserve"> (if doxorubicin was used as first-line treatment) or </w:t>
      </w:r>
      <w:proofErr w:type="spellStart"/>
      <w:r w:rsidR="00985F31" w:rsidRPr="00B010BF">
        <w:rPr>
          <w:szCs w:val="22"/>
          <w:lang w:val="en-GB"/>
        </w:rPr>
        <w:t>dacarbazine</w:t>
      </w:r>
      <w:proofErr w:type="spellEnd"/>
      <w:r w:rsidR="00985F31" w:rsidRPr="00B010BF">
        <w:rPr>
          <w:szCs w:val="22"/>
          <w:lang w:val="en-GB"/>
        </w:rPr>
        <w:t xml:space="preserve"> (if the patient </w:t>
      </w:r>
      <w:r w:rsidR="004E2076">
        <w:rPr>
          <w:szCs w:val="22"/>
          <w:lang w:val="en-GB"/>
        </w:rPr>
        <w:t xml:space="preserve">had received prior </w:t>
      </w:r>
      <w:proofErr w:type="spellStart"/>
      <w:r w:rsidR="004E2076">
        <w:rPr>
          <w:szCs w:val="22"/>
          <w:lang w:val="en-GB"/>
        </w:rPr>
        <w:t>ifosfamide</w:t>
      </w:r>
      <w:proofErr w:type="spellEnd"/>
      <w:r w:rsidR="004E2076">
        <w:rPr>
          <w:szCs w:val="22"/>
          <w:lang w:val="en-GB"/>
        </w:rPr>
        <w:t>).</w:t>
      </w:r>
    </w:p>
    <w:p w:rsidR="002C2775" w:rsidRPr="00B010BF" w:rsidRDefault="002C2775" w:rsidP="00903665">
      <w:pPr>
        <w:widowControl/>
        <w:rPr>
          <w:szCs w:val="22"/>
          <w:lang w:val="en-GB"/>
        </w:rPr>
      </w:pPr>
    </w:p>
    <w:p w:rsidR="0097289E" w:rsidRPr="00B010BF" w:rsidRDefault="0097289E" w:rsidP="0097289E">
      <w:pPr>
        <w:ind w:firstLine="720"/>
        <w:rPr>
          <w:bCs/>
          <w:szCs w:val="22"/>
        </w:rPr>
      </w:pPr>
      <w:r w:rsidRPr="004140E4">
        <w:rPr>
          <w:bCs/>
          <w:i/>
          <w:szCs w:val="22"/>
        </w:rPr>
        <w:t>For more detail on PBAC’s view, see section 7 “PBAC outcome”</w:t>
      </w:r>
      <w:r w:rsidR="007E38B6">
        <w:rPr>
          <w:bCs/>
          <w:i/>
          <w:szCs w:val="22"/>
        </w:rPr>
        <w:t>.</w:t>
      </w:r>
    </w:p>
    <w:p w:rsidR="0097289E" w:rsidRPr="00B010BF" w:rsidRDefault="0097289E" w:rsidP="00903665">
      <w:pPr>
        <w:widowControl/>
        <w:rPr>
          <w:szCs w:val="22"/>
          <w:lang w:val="en-GB"/>
        </w:rPr>
      </w:pPr>
    </w:p>
    <w:p w:rsidR="00E55BB5" w:rsidRPr="00B010BF" w:rsidRDefault="00E55BB5" w:rsidP="00903665">
      <w:pPr>
        <w:pStyle w:val="Header"/>
        <w:widowControl/>
        <w:rPr>
          <w:szCs w:val="22"/>
          <w:lang w:val="en-GB"/>
        </w:rPr>
      </w:pPr>
    </w:p>
    <w:p w:rsidR="00B50DB8" w:rsidRPr="00B010BF" w:rsidRDefault="00B50DB8" w:rsidP="00903665">
      <w:pPr>
        <w:pStyle w:val="Heading2"/>
      </w:pPr>
      <w:bookmarkStart w:id="6" w:name="_Toc461622502"/>
      <w:r w:rsidRPr="00B010BF">
        <w:t>Comparator</w:t>
      </w:r>
      <w:bookmarkEnd w:id="6"/>
    </w:p>
    <w:p w:rsidR="00B60939" w:rsidRPr="00B010BF" w:rsidRDefault="00B60939" w:rsidP="00903665">
      <w:pPr>
        <w:keepNext/>
        <w:widowControl/>
        <w:rPr>
          <w:lang w:val="en-GB"/>
        </w:rPr>
      </w:pPr>
    </w:p>
    <w:p w:rsidR="00FF7AC9" w:rsidRPr="00B010BF" w:rsidRDefault="00A15873" w:rsidP="00A728F8">
      <w:pPr>
        <w:pStyle w:val="ListParagraph"/>
        <w:keepNext/>
        <w:widowControl/>
        <w:numPr>
          <w:ilvl w:val="1"/>
          <w:numId w:val="2"/>
        </w:numPr>
        <w:rPr>
          <w:szCs w:val="22"/>
          <w:lang w:val="en-GB"/>
        </w:rPr>
      </w:pPr>
      <w:r w:rsidRPr="00B010BF">
        <w:rPr>
          <w:lang w:val="en-GB"/>
        </w:rPr>
        <w:t xml:space="preserve">The submission nominated </w:t>
      </w:r>
      <w:proofErr w:type="spellStart"/>
      <w:r w:rsidRPr="00B010BF">
        <w:rPr>
          <w:lang w:val="en-GB"/>
        </w:rPr>
        <w:t>d</w:t>
      </w:r>
      <w:r w:rsidR="00FF7AC9" w:rsidRPr="00B010BF">
        <w:rPr>
          <w:lang w:val="en-GB"/>
        </w:rPr>
        <w:t>acarbazine</w:t>
      </w:r>
      <w:proofErr w:type="spellEnd"/>
      <w:r w:rsidRPr="00B010BF">
        <w:rPr>
          <w:lang w:val="en-GB"/>
        </w:rPr>
        <w:t xml:space="preserve"> </w:t>
      </w:r>
      <w:r w:rsidR="00A40622" w:rsidRPr="00B010BF">
        <w:rPr>
          <w:lang w:val="en-GB"/>
        </w:rPr>
        <w:t>as the main comparator,</w:t>
      </w:r>
      <w:r w:rsidR="00FF7AC9" w:rsidRPr="00B010BF">
        <w:rPr>
          <w:lang w:val="en-GB"/>
        </w:rPr>
        <w:t xml:space="preserve"> </w:t>
      </w:r>
      <w:r w:rsidR="00A40622" w:rsidRPr="00B010BF">
        <w:rPr>
          <w:lang w:val="en-GB"/>
        </w:rPr>
        <w:t>with</w:t>
      </w:r>
      <w:r w:rsidR="00FF7AC9" w:rsidRPr="00B010BF">
        <w:rPr>
          <w:lang w:val="en-GB"/>
        </w:rPr>
        <w:t xml:space="preserve"> </w:t>
      </w:r>
      <w:proofErr w:type="spellStart"/>
      <w:r w:rsidR="00FF7AC9" w:rsidRPr="00B010BF">
        <w:rPr>
          <w:lang w:val="en-GB"/>
        </w:rPr>
        <w:t>ifosfamide</w:t>
      </w:r>
      <w:proofErr w:type="spellEnd"/>
      <w:r w:rsidR="00A40622" w:rsidRPr="00B010BF">
        <w:rPr>
          <w:lang w:val="en-GB"/>
        </w:rPr>
        <w:t xml:space="preserve"> as a supplementary comparator</w:t>
      </w:r>
      <w:r w:rsidR="00F067A2" w:rsidRPr="00B010BF">
        <w:rPr>
          <w:lang w:val="en-GB"/>
        </w:rPr>
        <w:t>. Th</w:t>
      </w:r>
      <w:r w:rsidR="00FF7AC9" w:rsidRPr="00B010BF">
        <w:rPr>
          <w:lang w:val="en-GB"/>
        </w:rPr>
        <w:t>ese</w:t>
      </w:r>
      <w:r w:rsidR="00F067A2" w:rsidRPr="00B010BF">
        <w:rPr>
          <w:lang w:val="en-GB"/>
        </w:rPr>
        <w:t xml:space="preserve"> </w:t>
      </w:r>
      <w:r w:rsidR="00FF7AC9" w:rsidRPr="00B010BF">
        <w:rPr>
          <w:lang w:val="en-GB"/>
        </w:rPr>
        <w:t>were</w:t>
      </w:r>
      <w:r w:rsidR="00F067A2" w:rsidRPr="00B010BF">
        <w:rPr>
          <w:lang w:val="en-GB"/>
        </w:rPr>
        <w:t xml:space="preserve"> the appropriate comparator</w:t>
      </w:r>
      <w:r w:rsidR="00FF7AC9" w:rsidRPr="00B010BF">
        <w:rPr>
          <w:lang w:val="en-GB"/>
        </w:rPr>
        <w:t>s</w:t>
      </w:r>
      <w:r w:rsidR="00F067A2" w:rsidRPr="00B010BF">
        <w:rPr>
          <w:lang w:val="en-GB"/>
        </w:rPr>
        <w:t xml:space="preserve">. </w:t>
      </w:r>
      <w:proofErr w:type="spellStart"/>
      <w:r w:rsidR="00FF7AC9" w:rsidRPr="00B010BF">
        <w:rPr>
          <w:lang w:val="en-GB"/>
        </w:rPr>
        <w:t>Dacarbazine</w:t>
      </w:r>
      <w:proofErr w:type="spellEnd"/>
      <w:r w:rsidR="00FF7AC9" w:rsidRPr="00B010BF">
        <w:rPr>
          <w:lang w:val="en-GB"/>
        </w:rPr>
        <w:t xml:space="preserve"> </w:t>
      </w:r>
      <w:r w:rsidRPr="00B010BF">
        <w:rPr>
          <w:lang w:val="en-GB"/>
        </w:rPr>
        <w:t>is registered in the Australian Register of Therapeutic Goods (ARTG)</w:t>
      </w:r>
      <w:r w:rsidR="00FF7AC9" w:rsidRPr="00B010BF">
        <w:rPr>
          <w:lang w:val="en-GB"/>
        </w:rPr>
        <w:t xml:space="preserve"> for the treatment of soft tissue sarcoma; however, it </w:t>
      </w:r>
      <w:r w:rsidR="00FF146C" w:rsidRPr="00B010BF">
        <w:rPr>
          <w:lang w:val="en-GB"/>
        </w:rPr>
        <w:t>i</w:t>
      </w:r>
      <w:r w:rsidR="00FF7AC9" w:rsidRPr="00B010BF">
        <w:rPr>
          <w:lang w:val="en-GB"/>
        </w:rPr>
        <w:t xml:space="preserve">s not PBS listed for this indication. </w:t>
      </w:r>
      <w:proofErr w:type="spellStart"/>
      <w:r w:rsidR="00FF7AC9" w:rsidRPr="00B010BF">
        <w:rPr>
          <w:lang w:val="en-GB"/>
        </w:rPr>
        <w:t>Dacarbazine</w:t>
      </w:r>
      <w:proofErr w:type="spellEnd"/>
      <w:r w:rsidR="00FF7AC9" w:rsidRPr="00B010BF">
        <w:rPr>
          <w:lang w:val="en-GB"/>
        </w:rPr>
        <w:t xml:space="preserve"> </w:t>
      </w:r>
      <w:r w:rsidR="00FF146C" w:rsidRPr="00B010BF">
        <w:rPr>
          <w:lang w:val="en-GB"/>
        </w:rPr>
        <w:t>is</w:t>
      </w:r>
      <w:r w:rsidR="006B38E7" w:rsidRPr="00B010BF">
        <w:rPr>
          <w:lang w:val="en-GB"/>
        </w:rPr>
        <w:t xml:space="preserve"> </w:t>
      </w:r>
      <w:r w:rsidR="00FF7AC9" w:rsidRPr="00B010BF">
        <w:rPr>
          <w:lang w:val="en-GB"/>
        </w:rPr>
        <w:t xml:space="preserve">mostly supplied in </w:t>
      </w:r>
      <w:r w:rsidRPr="00B010BF">
        <w:rPr>
          <w:lang w:val="en-GB"/>
        </w:rPr>
        <w:t xml:space="preserve">a </w:t>
      </w:r>
      <w:r w:rsidR="00FF7AC9" w:rsidRPr="00B010BF">
        <w:rPr>
          <w:lang w:val="en-GB"/>
        </w:rPr>
        <w:t>hospital setting.</w:t>
      </w:r>
    </w:p>
    <w:p w:rsidR="00FF7AC9" w:rsidRPr="00B010BF" w:rsidRDefault="00FF7AC9" w:rsidP="00903665">
      <w:pPr>
        <w:pStyle w:val="ListParagraph"/>
        <w:widowControl/>
        <w:rPr>
          <w:szCs w:val="22"/>
          <w:lang w:val="en-GB"/>
        </w:rPr>
      </w:pPr>
    </w:p>
    <w:p w:rsidR="00FF7AC9" w:rsidRDefault="00FF7AC9" w:rsidP="00A728F8">
      <w:pPr>
        <w:pStyle w:val="ListParagraph"/>
        <w:widowControl/>
        <w:numPr>
          <w:ilvl w:val="1"/>
          <w:numId w:val="2"/>
        </w:numPr>
        <w:rPr>
          <w:szCs w:val="22"/>
          <w:lang w:val="en-GB"/>
        </w:rPr>
      </w:pPr>
      <w:r w:rsidRPr="00B010BF">
        <w:rPr>
          <w:szCs w:val="22"/>
          <w:lang w:val="en-GB"/>
        </w:rPr>
        <w:t xml:space="preserve">For patients treated with doxorubicin monotherapy as a first-line treatment, </w:t>
      </w:r>
      <w:proofErr w:type="spellStart"/>
      <w:r w:rsidRPr="00B010BF">
        <w:rPr>
          <w:szCs w:val="22"/>
          <w:lang w:val="en-GB"/>
        </w:rPr>
        <w:t>eribulin</w:t>
      </w:r>
      <w:proofErr w:type="spellEnd"/>
      <w:r w:rsidRPr="00B010BF">
        <w:rPr>
          <w:szCs w:val="22"/>
          <w:lang w:val="en-GB"/>
        </w:rPr>
        <w:t xml:space="preserve"> was likely to be used as an alternate second-line treatment in place of </w:t>
      </w:r>
      <w:proofErr w:type="spellStart"/>
      <w:r w:rsidRPr="00B010BF">
        <w:rPr>
          <w:szCs w:val="22"/>
          <w:lang w:val="en-GB"/>
        </w:rPr>
        <w:t>ifosfamide</w:t>
      </w:r>
      <w:proofErr w:type="spellEnd"/>
      <w:r w:rsidRPr="00B010BF">
        <w:rPr>
          <w:szCs w:val="22"/>
          <w:lang w:val="en-GB"/>
        </w:rPr>
        <w:t xml:space="preserve"> if listed on the PBS. The submission provided a naïve comparison of the clinical evidence. However, the submission did not </w:t>
      </w:r>
      <w:r w:rsidR="00A15873" w:rsidRPr="00B010BF">
        <w:rPr>
          <w:szCs w:val="22"/>
          <w:lang w:val="en-GB"/>
        </w:rPr>
        <w:t xml:space="preserve">include </w:t>
      </w:r>
      <w:proofErr w:type="spellStart"/>
      <w:r w:rsidRPr="00B010BF">
        <w:rPr>
          <w:szCs w:val="22"/>
          <w:lang w:val="en-GB"/>
        </w:rPr>
        <w:t>ifosfamide</w:t>
      </w:r>
      <w:proofErr w:type="spellEnd"/>
      <w:r w:rsidRPr="00B010BF">
        <w:rPr>
          <w:szCs w:val="22"/>
          <w:lang w:val="en-GB"/>
        </w:rPr>
        <w:t xml:space="preserve"> </w:t>
      </w:r>
      <w:r w:rsidR="00A15873" w:rsidRPr="00B010BF">
        <w:rPr>
          <w:szCs w:val="22"/>
          <w:lang w:val="en-GB"/>
        </w:rPr>
        <w:t>in</w:t>
      </w:r>
      <w:r w:rsidRPr="00B010BF">
        <w:rPr>
          <w:szCs w:val="22"/>
          <w:lang w:val="en-GB"/>
        </w:rPr>
        <w:t xml:space="preserve"> the economic evaluation or financial estimates.</w:t>
      </w:r>
      <w:r w:rsidR="001A2E0E" w:rsidRPr="00B010BF">
        <w:rPr>
          <w:szCs w:val="22"/>
          <w:lang w:val="en-GB"/>
        </w:rPr>
        <w:t xml:space="preserve"> T</w:t>
      </w:r>
      <w:r w:rsidR="00264A7D" w:rsidRPr="00B010BF">
        <w:rPr>
          <w:szCs w:val="22"/>
          <w:lang w:val="en-GB"/>
        </w:rPr>
        <w:t>he ESC considered that there were</w:t>
      </w:r>
      <w:r w:rsidR="001A2E0E" w:rsidRPr="00B010BF">
        <w:rPr>
          <w:szCs w:val="22"/>
          <w:lang w:val="en-GB"/>
        </w:rPr>
        <w:t xml:space="preserve"> insufficient data to inform a robust comparison of </w:t>
      </w:r>
      <w:proofErr w:type="spellStart"/>
      <w:r w:rsidR="001A2E0E" w:rsidRPr="00B010BF">
        <w:rPr>
          <w:szCs w:val="22"/>
          <w:lang w:val="en-GB"/>
        </w:rPr>
        <w:t>eribulin</w:t>
      </w:r>
      <w:proofErr w:type="spellEnd"/>
      <w:r w:rsidR="001A2E0E" w:rsidRPr="00B010BF">
        <w:rPr>
          <w:szCs w:val="22"/>
          <w:lang w:val="en-GB"/>
        </w:rPr>
        <w:t xml:space="preserve"> with </w:t>
      </w:r>
      <w:proofErr w:type="spellStart"/>
      <w:r w:rsidR="001A2E0E" w:rsidRPr="00B010BF">
        <w:rPr>
          <w:szCs w:val="22"/>
          <w:lang w:val="en-GB"/>
        </w:rPr>
        <w:t>ifosfamide</w:t>
      </w:r>
      <w:proofErr w:type="spellEnd"/>
      <w:r w:rsidR="001A2E0E" w:rsidRPr="00B010BF">
        <w:rPr>
          <w:szCs w:val="22"/>
          <w:lang w:val="en-GB"/>
        </w:rPr>
        <w:t xml:space="preserve">, and as such, the </w:t>
      </w:r>
      <w:proofErr w:type="spellStart"/>
      <w:r w:rsidR="001A2E0E" w:rsidRPr="00B010BF">
        <w:rPr>
          <w:szCs w:val="22"/>
          <w:lang w:val="en-GB"/>
        </w:rPr>
        <w:t>submisison’s</w:t>
      </w:r>
      <w:proofErr w:type="spellEnd"/>
      <w:r w:rsidR="001A2E0E" w:rsidRPr="00B010BF">
        <w:rPr>
          <w:szCs w:val="22"/>
          <w:lang w:val="en-GB"/>
        </w:rPr>
        <w:t xml:space="preserve"> proposal for </w:t>
      </w:r>
      <w:proofErr w:type="spellStart"/>
      <w:r w:rsidR="001A2E0E" w:rsidRPr="00B010BF">
        <w:rPr>
          <w:szCs w:val="22"/>
          <w:lang w:val="en-GB"/>
        </w:rPr>
        <w:t>eribulin</w:t>
      </w:r>
      <w:proofErr w:type="spellEnd"/>
      <w:r w:rsidR="001A2E0E" w:rsidRPr="00B010BF">
        <w:rPr>
          <w:szCs w:val="22"/>
          <w:lang w:val="en-GB"/>
        </w:rPr>
        <w:t xml:space="preserve"> to be listed as a second-line therapy was not adequately justified.</w:t>
      </w:r>
    </w:p>
    <w:p w:rsidR="005252A7" w:rsidRPr="005252A7" w:rsidRDefault="005252A7" w:rsidP="005252A7">
      <w:pPr>
        <w:pStyle w:val="ListParagraph"/>
        <w:rPr>
          <w:szCs w:val="22"/>
          <w:lang w:val="en-GB"/>
        </w:rPr>
      </w:pPr>
    </w:p>
    <w:p w:rsidR="005252A7" w:rsidRPr="00B010BF" w:rsidRDefault="005252A7" w:rsidP="00A728F8">
      <w:pPr>
        <w:pStyle w:val="ListParagraph"/>
        <w:widowControl/>
        <w:numPr>
          <w:ilvl w:val="1"/>
          <w:numId w:val="2"/>
        </w:numPr>
        <w:rPr>
          <w:szCs w:val="22"/>
          <w:lang w:val="en-GB"/>
        </w:rPr>
      </w:pPr>
      <w:r>
        <w:rPr>
          <w:szCs w:val="22"/>
          <w:lang w:val="en-GB"/>
        </w:rPr>
        <w:t xml:space="preserve">The PBAC </w:t>
      </w:r>
      <w:r w:rsidR="002D6BBD">
        <w:rPr>
          <w:szCs w:val="22"/>
          <w:lang w:val="en-GB"/>
        </w:rPr>
        <w:t xml:space="preserve">agreed with the ESC that there were limited data to draw a conclusion on the comparison between </w:t>
      </w:r>
      <w:proofErr w:type="spellStart"/>
      <w:r w:rsidR="002D6BBD">
        <w:rPr>
          <w:szCs w:val="22"/>
          <w:lang w:val="en-GB"/>
        </w:rPr>
        <w:t>ifosfamide</w:t>
      </w:r>
      <w:proofErr w:type="spellEnd"/>
      <w:r w:rsidR="002D6BBD">
        <w:rPr>
          <w:szCs w:val="22"/>
          <w:lang w:val="en-GB"/>
        </w:rPr>
        <w:t xml:space="preserve"> and </w:t>
      </w:r>
      <w:proofErr w:type="spellStart"/>
      <w:r w:rsidR="002D6BBD">
        <w:rPr>
          <w:szCs w:val="22"/>
          <w:lang w:val="en-GB"/>
        </w:rPr>
        <w:t>eribulin</w:t>
      </w:r>
      <w:proofErr w:type="spellEnd"/>
      <w:r w:rsidR="002D6BBD">
        <w:rPr>
          <w:szCs w:val="22"/>
          <w:lang w:val="en-GB"/>
        </w:rPr>
        <w:t xml:space="preserve">, however, considered that use of </w:t>
      </w:r>
      <w:proofErr w:type="spellStart"/>
      <w:r w:rsidR="002D6BBD">
        <w:rPr>
          <w:szCs w:val="22"/>
          <w:lang w:val="en-GB"/>
        </w:rPr>
        <w:t>eribulin</w:t>
      </w:r>
      <w:proofErr w:type="spellEnd"/>
      <w:r w:rsidR="002D6BBD">
        <w:rPr>
          <w:szCs w:val="22"/>
          <w:lang w:val="en-GB"/>
        </w:rPr>
        <w:t xml:space="preserve"> in the second-line setting, after prior chemotherapy, was acc</w:t>
      </w:r>
      <w:r w:rsidR="004E2076">
        <w:rPr>
          <w:szCs w:val="22"/>
          <w:lang w:val="en-GB"/>
        </w:rPr>
        <w:t>eptable for metastatic disease.</w:t>
      </w:r>
    </w:p>
    <w:p w:rsidR="00FF7AC9" w:rsidRPr="00B010BF" w:rsidRDefault="00FF7AC9" w:rsidP="00903665">
      <w:pPr>
        <w:widowControl/>
        <w:rPr>
          <w:szCs w:val="22"/>
          <w:lang w:val="en-GB"/>
        </w:rPr>
      </w:pPr>
    </w:p>
    <w:p w:rsidR="0097289E" w:rsidRPr="00B010BF" w:rsidRDefault="0097289E" w:rsidP="0097289E">
      <w:pPr>
        <w:ind w:firstLine="720"/>
        <w:rPr>
          <w:bCs/>
          <w:szCs w:val="22"/>
        </w:rPr>
      </w:pPr>
      <w:r w:rsidRPr="004140E4">
        <w:rPr>
          <w:bCs/>
          <w:i/>
          <w:szCs w:val="22"/>
        </w:rPr>
        <w:t>For more detail on PBAC’s view, see section 7 “PBAC outcome”</w:t>
      </w:r>
      <w:r w:rsidR="007E38B6">
        <w:rPr>
          <w:bCs/>
          <w:i/>
          <w:szCs w:val="22"/>
        </w:rPr>
        <w:t>.</w:t>
      </w:r>
    </w:p>
    <w:p w:rsidR="0097289E" w:rsidRPr="00B010BF" w:rsidRDefault="0097289E" w:rsidP="00903665">
      <w:pPr>
        <w:widowControl/>
        <w:rPr>
          <w:szCs w:val="22"/>
          <w:lang w:val="en-GB"/>
        </w:rPr>
      </w:pPr>
    </w:p>
    <w:p w:rsidR="009C2898" w:rsidRPr="00B010BF" w:rsidRDefault="009C2898" w:rsidP="00903665">
      <w:pPr>
        <w:widowControl/>
        <w:rPr>
          <w:szCs w:val="22"/>
          <w:lang w:val="en-GB"/>
        </w:rPr>
      </w:pPr>
    </w:p>
    <w:p w:rsidR="00B50DB8" w:rsidRPr="00B010BF" w:rsidRDefault="00BD6CF3" w:rsidP="00903665">
      <w:pPr>
        <w:pStyle w:val="Heading2"/>
      </w:pPr>
      <w:bookmarkStart w:id="7" w:name="_Toc461622503"/>
      <w:r w:rsidRPr="00B010BF">
        <w:t>C</w:t>
      </w:r>
      <w:r w:rsidR="00B50DB8" w:rsidRPr="00B010BF">
        <w:t>onsideration of the evidence</w:t>
      </w:r>
      <w:bookmarkEnd w:id="7"/>
    </w:p>
    <w:p w:rsidR="006519EE" w:rsidRPr="00B010BF" w:rsidRDefault="006519EE" w:rsidP="00903665">
      <w:pPr>
        <w:widowControl/>
        <w:rPr>
          <w:lang w:val="en-GB"/>
        </w:rPr>
      </w:pPr>
      <w:bookmarkStart w:id="8" w:name="_Toc461622504"/>
    </w:p>
    <w:p w:rsidR="0097289E" w:rsidRPr="00A43FAA" w:rsidRDefault="0097289E" w:rsidP="00FA643D">
      <w:pPr>
        <w:pStyle w:val="Heading3"/>
        <w:widowControl/>
      </w:pPr>
      <w:r w:rsidRPr="00A43FAA">
        <w:t>Sponsor hearing</w:t>
      </w:r>
    </w:p>
    <w:p w:rsidR="0097289E" w:rsidRPr="004140E4" w:rsidRDefault="0097289E" w:rsidP="0097289E">
      <w:pPr>
        <w:rPr>
          <w:bCs/>
          <w:szCs w:val="22"/>
        </w:rPr>
      </w:pPr>
    </w:p>
    <w:p w:rsidR="0097289E" w:rsidRPr="004140E4" w:rsidRDefault="0097289E" w:rsidP="00A728F8">
      <w:pPr>
        <w:widowControl/>
        <w:numPr>
          <w:ilvl w:val="1"/>
          <w:numId w:val="2"/>
        </w:numPr>
        <w:jc w:val="left"/>
        <w:rPr>
          <w:bCs/>
          <w:szCs w:val="22"/>
        </w:rPr>
      </w:pPr>
      <w:r w:rsidRPr="004140E4">
        <w:rPr>
          <w:bCs/>
          <w:szCs w:val="22"/>
        </w:rPr>
        <w:t>There was no hearing for this item.</w:t>
      </w:r>
    </w:p>
    <w:p w:rsidR="0097289E" w:rsidRPr="004140E4" w:rsidRDefault="0097289E" w:rsidP="0097289E">
      <w:pPr>
        <w:rPr>
          <w:bCs/>
          <w:szCs w:val="22"/>
        </w:rPr>
      </w:pPr>
    </w:p>
    <w:p w:rsidR="0097289E" w:rsidRPr="00A43FAA" w:rsidRDefault="0097289E" w:rsidP="00FA643D">
      <w:pPr>
        <w:pStyle w:val="Heading3"/>
        <w:widowControl/>
      </w:pPr>
      <w:r w:rsidRPr="00A43FAA">
        <w:t>Consumer comments</w:t>
      </w:r>
    </w:p>
    <w:p w:rsidR="0097289E" w:rsidRPr="004140E4" w:rsidRDefault="0097289E" w:rsidP="0097289E">
      <w:pPr>
        <w:rPr>
          <w:bCs/>
          <w:szCs w:val="22"/>
        </w:rPr>
      </w:pPr>
    </w:p>
    <w:p w:rsidR="00060D81" w:rsidRPr="004140E4" w:rsidRDefault="0097289E" w:rsidP="0023426E">
      <w:pPr>
        <w:widowControl/>
        <w:numPr>
          <w:ilvl w:val="1"/>
          <w:numId w:val="2"/>
        </w:numPr>
        <w:rPr>
          <w:bCs/>
          <w:szCs w:val="22"/>
        </w:rPr>
      </w:pPr>
      <w:r w:rsidRPr="004140E4">
        <w:rPr>
          <w:bCs/>
          <w:szCs w:val="22"/>
        </w:rPr>
        <w:t xml:space="preserve">The PBAC noted the </w:t>
      </w:r>
      <w:r w:rsidR="00035C20">
        <w:rPr>
          <w:bCs/>
          <w:szCs w:val="22"/>
        </w:rPr>
        <w:t>letter of support</w:t>
      </w:r>
      <w:r w:rsidRPr="004140E4">
        <w:rPr>
          <w:bCs/>
          <w:szCs w:val="22"/>
        </w:rPr>
        <w:t xml:space="preserve"> received from </w:t>
      </w:r>
      <w:r w:rsidR="00060D81" w:rsidRPr="004140E4">
        <w:rPr>
          <w:bCs/>
          <w:szCs w:val="22"/>
        </w:rPr>
        <w:t>Rare Cancers Australia</w:t>
      </w:r>
      <w:r w:rsidRPr="004140E4">
        <w:rPr>
          <w:bCs/>
          <w:szCs w:val="22"/>
        </w:rPr>
        <w:t xml:space="preserve"> </w:t>
      </w:r>
      <w:r w:rsidR="00035C20">
        <w:rPr>
          <w:bCs/>
          <w:szCs w:val="22"/>
        </w:rPr>
        <w:t xml:space="preserve">for the </w:t>
      </w:r>
      <w:proofErr w:type="spellStart"/>
      <w:r w:rsidR="00035C20">
        <w:rPr>
          <w:bCs/>
          <w:szCs w:val="22"/>
        </w:rPr>
        <w:t>eribulin</w:t>
      </w:r>
      <w:proofErr w:type="spellEnd"/>
      <w:r w:rsidR="00035C20">
        <w:rPr>
          <w:bCs/>
          <w:szCs w:val="22"/>
        </w:rPr>
        <w:t xml:space="preserve"> submission.  Rare Cancers Australia stated that, based on anecdotal experience</w:t>
      </w:r>
      <w:proofErr w:type="gramStart"/>
      <w:r w:rsidR="00035C20">
        <w:rPr>
          <w:bCs/>
          <w:szCs w:val="22"/>
        </w:rPr>
        <w:t xml:space="preserve">, </w:t>
      </w:r>
      <w:r w:rsidRPr="004140E4">
        <w:rPr>
          <w:bCs/>
          <w:szCs w:val="22"/>
        </w:rPr>
        <w:t xml:space="preserve"> </w:t>
      </w:r>
      <w:r w:rsidR="00060D81" w:rsidRPr="004140E4">
        <w:rPr>
          <w:bCs/>
          <w:szCs w:val="22"/>
        </w:rPr>
        <w:t>outcomes</w:t>
      </w:r>
      <w:proofErr w:type="gramEnd"/>
      <w:r w:rsidR="00060D81" w:rsidRPr="004140E4">
        <w:rPr>
          <w:bCs/>
          <w:szCs w:val="22"/>
        </w:rPr>
        <w:t xml:space="preserve"> for </w:t>
      </w:r>
      <w:proofErr w:type="spellStart"/>
      <w:r w:rsidR="00060D81" w:rsidRPr="004140E4">
        <w:rPr>
          <w:bCs/>
          <w:szCs w:val="22"/>
        </w:rPr>
        <w:t>liposarcoma</w:t>
      </w:r>
      <w:proofErr w:type="spellEnd"/>
      <w:r w:rsidR="00060D81" w:rsidRPr="004140E4">
        <w:rPr>
          <w:bCs/>
          <w:szCs w:val="22"/>
        </w:rPr>
        <w:t xml:space="preserve"> are often poor, treatment options are limited and there is a high unmet clinical need for additional therapies.</w:t>
      </w:r>
    </w:p>
    <w:p w:rsidR="00060D81" w:rsidRPr="004140E4" w:rsidRDefault="00060D81" w:rsidP="00060D81">
      <w:pPr>
        <w:pStyle w:val="PBACHeading1"/>
        <w:numPr>
          <w:ilvl w:val="0"/>
          <w:numId w:val="0"/>
        </w:numPr>
        <w:ind w:left="720" w:hanging="720"/>
      </w:pPr>
    </w:p>
    <w:p w:rsidR="00B60939" w:rsidRPr="00A43FAA" w:rsidRDefault="00B60939" w:rsidP="00903665">
      <w:pPr>
        <w:pStyle w:val="Heading3"/>
        <w:widowControl/>
      </w:pPr>
      <w:r w:rsidRPr="00A43FAA">
        <w:t>Clinical trials</w:t>
      </w:r>
      <w:bookmarkEnd w:id="8"/>
    </w:p>
    <w:p w:rsidR="00B60939" w:rsidRPr="00B010BF" w:rsidRDefault="00B60939" w:rsidP="00903665">
      <w:pPr>
        <w:widowControl/>
        <w:rPr>
          <w:szCs w:val="22"/>
          <w:lang w:val="en-GB"/>
        </w:rPr>
      </w:pPr>
    </w:p>
    <w:p w:rsidR="007F1017" w:rsidRPr="00B010BF" w:rsidRDefault="003C3E66" w:rsidP="00A728F8">
      <w:pPr>
        <w:pStyle w:val="ListParagraph"/>
        <w:widowControl/>
        <w:numPr>
          <w:ilvl w:val="1"/>
          <w:numId w:val="2"/>
        </w:numPr>
        <w:rPr>
          <w:szCs w:val="22"/>
          <w:lang w:val="en-GB"/>
        </w:rPr>
      </w:pPr>
      <w:r w:rsidRPr="00B010BF">
        <w:rPr>
          <w:lang w:val="en-GB"/>
        </w:rPr>
        <w:lastRenderedPageBreak/>
        <w:t>The submission was based on one</w:t>
      </w:r>
      <w:r w:rsidR="00326F70" w:rsidRPr="00B010BF">
        <w:rPr>
          <w:lang w:val="en-GB"/>
        </w:rPr>
        <w:t xml:space="preserve"> random</w:t>
      </w:r>
      <w:r w:rsidR="00B9583A" w:rsidRPr="00B010BF">
        <w:rPr>
          <w:lang w:val="en-GB"/>
        </w:rPr>
        <w:t>i</w:t>
      </w:r>
      <w:r w:rsidR="00326F70" w:rsidRPr="00B010BF">
        <w:rPr>
          <w:lang w:val="en-GB"/>
        </w:rPr>
        <w:t>sed</w:t>
      </w:r>
      <w:r w:rsidRPr="00B010BF">
        <w:rPr>
          <w:lang w:val="en-GB"/>
        </w:rPr>
        <w:t xml:space="preserve"> head-to-head trial comparing </w:t>
      </w:r>
      <w:proofErr w:type="spellStart"/>
      <w:r w:rsidRPr="00B010BF">
        <w:rPr>
          <w:lang w:val="en-GB"/>
        </w:rPr>
        <w:t>eribulin</w:t>
      </w:r>
      <w:proofErr w:type="spellEnd"/>
      <w:r w:rsidRPr="00B010BF">
        <w:rPr>
          <w:lang w:val="en-GB"/>
        </w:rPr>
        <w:t xml:space="preserve"> </w:t>
      </w:r>
      <w:r w:rsidR="00326F70" w:rsidRPr="00B010BF">
        <w:rPr>
          <w:lang w:val="en-GB"/>
        </w:rPr>
        <w:t xml:space="preserve">and </w:t>
      </w:r>
      <w:proofErr w:type="spellStart"/>
      <w:r w:rsidRPr="00B010BF">
        <w:rPr>
          <w:lang w:val="en-GB"/>
        </w:rPr>
        <w:t>dacarbazine</w:t>
      </w:r>
      <w:proofErr w:type="spellEnd"/>
      <w:r w:rsidRPr="00B010BF">
        <w:rPr>
          <w:lang w:val="en-GB"/>
        </w:rPr>
        <w:t xml:space="preserve"> in patients with advanced soft tissue sarcomas</w:t>
      </w:r>
      <w:r w:rsidR="00326F70" w:rsidRPr="00B010BF">
        <w:rPr>
          <w:lang w:val="en-GB"/>
        </w:rPr>
        <w:t xml:space="preserve"> (Study 309</w:t>
      </w:r>
      <w:r w:rsidR="00B9583A" w:rsidRPr="00B010BF">
        <w:rPr>
          <w:lang w:val="en-GB"/>
        </w:rPr>
        <w:t xml:space="preserve">, </w:t>
      </w:r>
      <w:r w:rsidR="006355F6">
        <w:rPr>
          <w:lang w:val="en-GB"/>
        </w:rPr>
        <w:t>N = </w:t>
      </w:r>
      <w:r w:rsidRPr="00B010BF">
        <w:rPr>
          <w:lang w:val="en-GB"/>
        </w:rPr>
        <w:t xml:space="preserve">452). For the supplementary comparator, </w:t>
      </w:r>
      <w:proofErr w:type="spellStart"/>
      <w:r w:rsidRPr="00B010BF">
        <w:rPr>
          <w:lang w:val="en-GB"/>
        </w:rPr>
        <w:t>ifosfamide</w:t>
      </w:r>
      <w:proofErr w:type="spellEnd"/>
      <w:r w:rsidRPr="00B010BF">
        <w:rPr>
          <w:lang w:val="en-GB"/>
        </w:rPr>
        <w:t>, the submission identified one trial compar</w:t>
      </w:r>
      <w:r w:rsidR="00C002F3" w:rsidRPr="00B010BF">
        <w:rPr>
          <w:lang w:val="en-GB"/>
        </w:rPr>
        <w:t>ing</w:t>
      </w:r>
      <w:r w:rsidRPr="00B010BF">
        <w:rPr>
          <w:lang w:val="en-GB"/>
        </w:rPr>
        <w:t xml:space="preserve"> two </w:t>
      </w:r>
      <w:proofErr w:type="spellStart"/>
      <w:r w:rsidRPr="00B010BF">
        <w:rPr>
          <w:lang w:val="en-GB"/>
        </w:rPr>
        <w:t>ifosfamide</w:t>
      </w:r>
      <w:proofErr w:type="spellEnd"/>
      <w:r w:rsidRPr="00B010BF">
        <w:rPr>
          <w:lang w:val="en-GB"/>
        </w:rPr>
        <w:t xml:space="preserve"> dose regimens as first- and second-line therapies in patients with advanced soft tissue sarcoma</w:t>
      </w:r>
      <w:r w:rsidR="00326F70" w:rsidRPr="00B010BF">
        <w:rPr>
          <w:lang w:val="en-GB"/>
        </w:rPr>
        <w:t xml:space="preserve"> (van </w:t>
      </w:r>
      <w:proofErr w:type="spellStart"/>
      <w:r w:rsidR="00326F70" w:rsidRPr="00B010BF">
        <w:rPr>
          <w:lang w:val="en-GB"/>
        </w:rPr>
        <w:t>Oosterom</w:t>
      </w:r>
      <w:proofErr w:type="spellEnd"/>
      <w:r w:rsidR="00B9583A" w:rsidRPr="00B010BF">
        <w:rPr>
          <w:lang w:val="en-GB"/>
        </w:rPr>
        <w:t xml:space="preserve"> 2002, </w:t>
      </w:r>
      <w:r w:rsidRPr="00B010BF">
        <w:rPr>
          <w:lang w:val="en-GB"/>
        </w:rPr>
        <w:t xml:space="preserve">N = 182). Only patients who received </w:t>
      </w:r>
      <w:proofErr w:type="spellStart"/>
      <w:r w:rsidRPr="00B010BF">
        <w:rPr>
          <w:lang w:val="en-GB"/>
        </w:rPr>
        <w:t>ifosfamide</w:t>
      </w:r>
      <w:proofErr w:type="spellEnd"/>
      <w:r w:rsidRPr="00B010BF">
        <w:rPr>
          <w:lang w:val="en-GB"/>
        </w:rPr>
        <w:t xml:space="preserve"> as a second-line therapy were considered in the evaluation (n = 76).</w:t>
      </w:r>
    </w:p>
    <w:p w:rsidR="00862502" w:rsidRPr="00B010BF" w:rsidRDefault="00862502" w:rsidP="00903665">
      <w:pPr>
        <w:widowControl/>
        <w:rPr>
          <w:szCs w:val="22"/>
          <w:lang w:val="en-GB"/>
        </w:rPr>
      </w:pPr>
    </w:p>
    <w:p w:rsidR="00862502" w:rsidRPr="00B010BF" w:rsidRDefault="00862502" w:rsidP="00A728F8">
      <w:pPr>
        <w:pStyle w:val="ListParagraph"/>
        <w:widowControl/>
        <w:numPr>
          <w:ilvl w:val="1"/>
          <w:numId w:val="2"/>
        </w:numPr>
        <w:rPr>
          <w:szCs w:val="22"/>
          <w:lang w:val="en-GB"/>
        </w:rPr>
      </w:pPr>
      <w:r w:rsidRPr="00B010BF">
        <w:rPr>
          <w:szCs w:val="22"/>
          <w:lang w:val="en-GB"/>
        </w:rPr>
        <w:t xml:space="preserve">Details of the trials presented in the submission are provided in </w:t>
      </w:r>
      <w:r w:rsidR="005D7601" w:rsidRPr="00B010BF">
        <w:rPr>
          <w:szCs w:val="22"/>
          <w:lang w:val="en-GB"/>
        </w:rPr>
        <w:t>T</w:t>
      </w:r>
      <w:r w:rsidRPr="00B010BF">
        <w:rPr>
          <w:szCs w:val="22"/>
          <w:lang w:val="en-GB"/>
        </w:rPr>
        <w:t xml:space="preserve">able </w:t>
      </w:r>
      <w:r w:rsidR="00326F70" w:rsidRPr="00B010BF">
        <w:rPr>
          <w:szCs w:val="22"/>
          <w:lang w:val="en-GB"/>
        </w:rPr>
        <w:t>1</w:t>
      </w:r>
      <w:r w:rsidRPr="00B010BF">
        <w:rPr>
          <w:szCs w:val="22"/>
          <w:lang w:val="en-GB"/>
        </w:rPr>
        <w:t>.</w:t>
      </w:r>
    </w:p>
    <w:p w:rsidR="00862502" w:rsidRPr="00B010BF" w:rsidRDefault="00862502" w:rsidP="00903665">
      <w:pPr>
        <w:widowControl/>
        <w:rPr>
          <w:szCs w:val="22"/>
          <w:lang w:val="en-GB"/>
        </w:rPr>
      </w:pPr>
    </w:p>
    <w:p w:rsidR="001028CA" w:rsidRDefault="001028CA" w:rsidP="008726F4">
      <w:pPr>
        <w:pStyle w:val="Caption"/>
        <w:keepNext/>
        <w:widowControl/>
        <w:ind w:firstLine="709"/>
      </w:pPr>
      <w:r w:rsidRPr="00B010BF">
        <w:t xml:space="preserve">Table </w:t>
      </w:r>
      <w:r w:rsidR="00556B92">
        <w:rPr>
          <w:noProof/>
        </w:rPr>
        <w:t>1</w:t>
      </w:r>
      <w:r w:rsidRPr="00B010BF">
        <w:t>: 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51"/>
        <w:gridCol w:w="6277"/>
        <w:gridCol w:w="1217"/>
      </w:tblGrid>
      <w:tr w:rsidR="00BC14E4" w:rsidRPr="00CD0DEF" w:rsidTr="008726F4">
        <w:trPr>
          <w:cantSplit/>
          <w:tblHeader/>
        </w:trPr>
        <w:tc>
          <w:tcPr>
            <w:tcW w:w="510" w:type="pct"/>
            <w:vAlign w:val="center"/>
          </w:tcPr>
          <w:p w:rsidR="00BC14E4" w:rsidRPr="00CD0DEF" w:rsidRDefault="00BC14E4" w:rsidP="003223D2">
            <w:pPr>
              <w:keepNext/>
              <w:widowControl/>
              <w:jc w:val="left"/>
              <w:rPr>
                <w:rFonts w:ascii="Arial Narrow" w:hAnsi="Arial Narrow"/>
                <w:b/>
                <w:sz w:val="20"/>
                <w:lang w:val="en-GB"/>
              </w:rPr>
            </w:pPr>
            <w:r w:rsidRPr="00CD0DEF">
              <w:rPr>
                <w:rFonts w:ascii="Arial Narrow" w:hAnsi="Arial Narrow"/>
                <w:b/>
                <w:sz w:val="20"/>
                <w:lang w:val="en-GB"/>
              </w:rPr>
              <w:t>Trial ID</w:t>
            </w:r>
          </w:p>
        </w:tc>
        <w:tc>
          <w:tcPr>
            <w:tcW w:w="3761" w:type="pct"/>
            <w:vAlign w:val="center"/>
          </w:tcPr>
          <w:p w:rsidR="00BC14E4" w:rsidRPr="00CD0DEF" w:rsidRDefault="00BC14E4" w:rsidP="003223D2">
            <w:pPr>
              <w:keepNext/>
              <w:widowControl/>
              <w:jc w:val="center"/>
              <w:rPr>
                <w:rFonts w:ascii="Arial Narrow" w:hAnsi="Arial Narrow"/>
                <w:b/>
                <w:sz w:val="20"/>
                <w:lang w:val="en-GB"/>
              </w:rPr>
            </w:pPr>
            <w:r w:rsidRPr="00CD0DEF">
              <w:rPr>
                <w:rFonts w:ascii="Arial Narrow" w:hAnsi="Arial Narrow"/>
                <w:b/>
                <w:sz w:val="20"/>
                <w:lang w:val="en-GB"/>
              </w:rPr>
              <w:t>Protocol title/Publication title</w:t>
            </w:r>
          </w:p>
        </w:tc>
        <w:tc>
          <w:tcPr>
            <w:tcW w:w="729" w:type="pct"/>
          </w:tcPr>
          <w:p w:rsidR="00BC14E4" w:rsidRDefault="00BC14E4" w:rsidP="003223D2">
            <w:pPr>
              <w:keepNext/>
              <w:widowControl/>
              <w:jc w:val="center"/>
              <w:rPr>
                <w:rFonts w:ascii="Arial Narrow" w:hAnsi="Arial Narrow"/>
                <w:b/>
                <w:sz w:val="20"/>
                <w:lang w:val="en-GB"/>
              </w:rPr>
            </w:pPr>
            <w:r w:rsidRPr="00CD0DEF">
              <w:rPr>
                <w:rFonts w:ascii="Arial Narrow" w:hAnsi="Arial Narrow"/>
                <w:b/>
                <w:sz w:val="20"/>
                <w:lang w:val="en-GB"/>
              </w:rPr>
              <w:t xml:space="preserve">Publication </w:t>
            </w:r>
          </w:p>
          <w:p w:rsidR="00BC14E4" w:rsidRPr="00CD0DEF" w:rsidRDefault="00BC14E4" w:rsidP="003223D2">
            <w:pPr>
              <w:keepNext/>
              <w:widowControl/>
              <w:jc w:val="center"/>
              <w:rPr>
                <w:rFonts w:ascii="Arial Narrow" w:hAnsi="Arial Narrow"/>
                <w:b/>
                <w:sz w:val="20"/>
                <w:lang w:val="en-GB"/>
              </w:rPr>
            </w:pPr>
            <w:r w:rsidRPr="00CD0DEF">
              <w:rPr>
                <w:rFonts w:ascii="Arial Narrow" w:hAnsi="Arial Narrow"/>
                <w:b/>
                <w:sz w:val="20"/>
                <w:lang w:val="en-GB"/>
              </w:rPr>
              <w:t>citation</w:t>
            </w:r>
          </w:p>
        </w:tc>
      </w:tr>
      <w:tr w:rsidR="00BC14E4" w:rsidRPr="00CD0DEF" w:rsidTr="008726F4">
        <w:trPr>
          <w:cantSplit/>
        </w:trPr>
        <w:tc>
          <w:tcPr>
            <w:tcW w:w="5000" w:type="pct"/>
            <w:gridSpan w:val="3"/>
          </w:tcPr>
          <w:p w:rsidR="00BC14E4" w:rsidRPr="00CD0DEF" w:rsidRDefault="00BC14E4" w:rsidP="003223D2">
            <w:pPr>
              <w:keepNext/>
              <w:widowControl/>
              <w:jc w:val="left"/>
              <w:rPr>
                <w:rFonts w:ascii="Arial Narrow" w:hAnsi="Arial Narrow"/>
                <w:b/>
                <w:sz w:val="20"/>
                <w:lang w:val="en-GB"/>
              </w:rPr>
            </w:pPr>
            <w:r>
              <w:rPr>
                <w:rFonts w:ascii="Arial Narrow" w:hAnsi="Arial Narrow"/>
                <w:b/>
                <w:sz w:val="20"/>
                <w:lang w:val="en-GB"/>
              </w:rPr>
              <w:t xml:space="preserve">Main comparator: </w:t>
            </w:r>
            <w:proofErr w:type="spellStart"/>
            <w:r>
              <w:rPr>
                <w:rFonts w:ascii="Arial Narrow" w:hAnsi="Arial Narrow"/>
                <w:b/>
                <w:sz w:val="20"/>
                <w:lang w:val="en-GB"/>
              </w:rPr>
              <w:t>dacarbazine</w:t>
            </w:r>
            <w:proofErr w:type="spellEnd"/>
          </w:p>
        </w:tc>
      </w:tr>
      <w:tr w:rsidR="00BC14E4" w:rsidRPr="00CD0DEF" w:rsidTr="008726F4">
        <w:trPr>
          <w:cantSplit/>
        </w:trPr>
        <w:tc>
          <w:tcPr>
            <w:tcW w:w="510" w:type="pct"/>
          </w:tcPr>
          <w:p w:rsidR="00BC14E4" w:rsidRPr="00CD0DEF" w:rsidRDefault="00BC14E4" w:rsidP="003223D2">
            <w:pPr>
              <w:keepNext/>
              <w:widowControl/>
              <w:jc w:val="left"/>
              <w:rPr>
                <w:rFonts w:ascii="Arial Narrow" w:hAnsi="Arial Narrow"/>
                <w:sz w:val="20"/>
                <w:lang w:val="en-GB"/>
              </w:rPr>
            </w:pPr>
            <w:r>
              <w:rPr>
                <w:rFonts w:ascii="Arial Narrow" w:hAnsi="Arial Narrow"/>
                <w:sz w:val="20"/>
                <w:lang w:val="en-GB"/>
              </w:rPr>
              <w:t>Study 309</w:t>
            </w:r>
          </w:p>
        </w:tc>
        <w:tc>
          <w:tcPr>
            <w:tcW w:w="3761" w:type="pct"/>
          </w:tcPr>
          <w:p w:rsidR="00BC14E4" w:rsidRDefault="00BC14E4" w:rsidP="003223D2">
            <w:pPr>
              <w:keepNext/>
              <w:widowControl/>
              <w:jc w:val="left"/>
              <w:rPr>
                <w:rFonts w:ascii="Arial Narrow" w:hAnsi="Arial Narrow"/>
                <w:sz w:val="20"/>
                <w:lang w:val="en-GB"/>
              </w:rPr>
            </w:pPr>
            <w:r>
              <w:rPr>
                <w:rFonts w:ascii="Arial Narrow" w:hAnsi="Arial Narrow"/>
                <w:sz w:val="20"/>
                <w:lang w:val="en-GB"/>
              </w:rPr>
              <w:t xml:space="preserve">A randomised, open-label, multicentre, phase 3 study to compare the efficacy and safety of </w:t>
            </w:r>
            <w:proofErr w:type="spellStart"/>
            <w:r>
              <w:rPr>
                <w:rFonts w:ascii="Arial Narrow" w:hAnsi="Arial Narrow"/>
                <w:sz w:val="20"/>
                <w:lang w:val="en-GB"/>
              </w:rPr>
              <w:t>eribulin</w:t>
            </w:r>
            <w:proofErr w:type="spellEnd"/>
            <w:r>
              <w:rPr>
                <w:rFonts w:ascii="Arial Narrow" w:hAnsi="Arial Narrow"/>
                <w:sz w:val="20"/>
                <w:lang w:val="en-GB"/>
              </w:rPr>
              <w:t xml:space="preserve"> with </w:t>
            </w:r>
            <w:proofErr w:type="spellStart"/>
            <w:r>
              <w:rPr>
                <w:rFonts w:ascii="Arial Narrow" w:hAnsi="Arial Narrow"/>
                <w:sz w:val="20"/>
                <w:lang w:val="en-GB"/>
              </w:rPr>
              <w:t>dacarbazine</w:t>
            </w:r>
            <w:proofErr w:type="spellEnd"/>
            <w:r>
              <w:rPr>
                <w:rFonts w:ascii="Arial Narrow" w:hAnsi="Arial Narrow"/>
                <w:sz w:val="20"/>
                <w:lang w:val="en-GB"/>
              </w:rPr>
              <w:t xml:space="preserve"> in subjects with soft tissue sarcoma. Clinical Study Report.</w:t>
            </w:r>
          </w:p>
          <w:p w:rsidR="00BC14E4" w:rsidRDefault="00BC14E4" w:rsidP="003223D2">
            <w:pPr>
              <w:keepNext/>
              <w:widowControl/>
              <w:jc w:val="left"/>
              <w:rPr>
                <w:rFonts w:ascii="Arial Narrow" w:hAnsi="Arial Narrow"/>
                <w:sz w:val="20"/>
                <w:lang w:val="en-GB"/>
              </w:rPr>
            </w:pPr>
          </w:p>
          <w:p w:rsidR="00BC14E4" w:rsidRPr="00CD0DEF" w:rsidRDefault="00BC14E4" w:rsidP="003223D2">
            <w:pPr>
              <w:keepNext/>
              <w:widowControl/>
              <w:jc w:val="left"/>
              <w:rPr>
                <w:rFonts w:ascii="Arial Narrow" w:hAnsi="Arial Narrow"/>
                <w:sz w:val="20"/>
                <w:lang w:val="en-GB"/>
              </w:rPr>
            </w:pPr>
            <w:r>
              <w:rPr>
                <w:rFonts w:ascii="Arial Narrow" w:hAnsi="Arial Narrow"/>
                <w:sz w:val="20"/>
                <w:lang w:val="en-GB"/>
              </w:rPr>
              <w:t xml:space="preserve">Analysis of patient-reported outcomes for Eisai’s E789-G000-309 </w:t>
            </w:r>
            <w:proofErr w:type="gramStart"/>
            <w:r>
              <w:rPr>
                <w:rFonts w:ascii="Arial Narrow" w:hAnsi="Arial Narrow"/>
                <w:sz w:val="20"/>
                <w:lang w:val="en-GB"/>
              </w:rPr>
              <w:t>“ a</w:t>
            </w:r>
            <w:proofErr w:type="gramEnd"/>
            <w:r>
              <w:rPr>
                <w:rFonts w:ascii="Arial Narrow" w:hAnsi="Arial Narrow"/>
                <w:sz w:val="20"/>
                <w:lang w:val="en-GB"/>
              </w:rPr>
              <w:t xml:space="preserve"> randomised, open-label, multicentre, phase 3 study to compare the efficacy and safety of </w:t>
            </w:r>
            <w:proofErr w:type="spellStart"/>
            <w:r>
              <w:rPr>
                <w:rFonts w:ascii="Arial Narrow" w:hAnsi="Arial Narrow"/>
                <w:sz w:val="20"/>
                <w:lang w:val="en-GB"/>
              </w:rPr>
              <w:t>eribulin</w:t>
            </w:r>
            <w:proofErr w:type="spellEnd"/>
            <w:r>
              <w:rPr>
                <w:rFonts w:ascii="Arial Narrow" w:hAnsi="Arial Narrow"/>
                <w:sz w:val="20"/>
                <w:lang w:val="en-GB"/>
              </w:rPr>
              <w:t xml:space="preserve"> with </w:t>
            </w:r>
            <w:proofErr w:type="spellStart"/>
            <w:r>
              <w:rPr>
                <w:rFonts w:ascii="Arial Narrow" w:hAnsi="Arial Narrow"/>
                <w:sz w:val="20"/>
                <w:lang w:val="en-GB"/>
              </w:rPr>
              <w:t>dacarbazine</w:t>
            </w:r>
            <w:proofErr w:type="spellEnd"/>
            <w:r>
              <w:rPr>
                <w:rFonts w:ascii="Arial Narrow" w:hAnsi="Arial Narrow"/>
                <w:sz w:val="20"/>
                <w:lang w:val="en-GB"/>
              </w:rPr>
              <w:t xml:space="preserve"> in subjects with soft tissue sarcoma.” Report Version 6.0.</w:t>
            </w:r>
          </w:p>
          <w:p w:rsidR="00BC14E4" w:rsidRDefault="00BC14E4" w:rsidP="003223D2">
            <w:pPr>
              <w:keepNext/>
              <w:widowControl/>
              <w:jc w:val="left"/>
              <w:rPr>
                <w:rFonts w:ascii="Arial Narrow" w:hAnsi="Arial Narrow"/>
                <w:b/>
                <w:sz w:val="20"/>
                <w:lang w:val="en-GB"/>
              </w:rPr>
            </w:pPr>
          </w:p>
          <w:p w:rsidR="00BC14E4" w:rsidRPr="00CD0DEF" w:rsidRDefault="00BC14E4" w:rsidP="003223D2">
            <w:pPr>
              <w:keepNext/>
              <w:widowControl/>
              <w:jc w:val="left"/>
              <w:rPr>
                <w:rFonts w:ascii="Arial Narrow" w:hAnsi="Arial Narrow"/>
                <w:b/>
                <w:sz w:val="20"/>
                <w:lang w:val="en-GB"/>
              </w:rPr>
            </w:pPr>
            <w:proofErr w:type="spellStart"/>
            <w:r w:rsidRPr="00DF70A3">
              <w:rPr>
                <w:rFonts w:ascii="Arial Narrow" w:hAnsi="Arial Narrow"/>
                <w:sz w:val="20"/>
                <w:lang w:val="en-GB"/>
              </w:rPr>
              <w:t>Schöffski</w:t>
            </w:r>
            <w:proofErr w:type="spellEnd"/>
            <w:r w:rsidRPr="00DF70A3">
              <w:rPr>
                <w:rFonts w:ascii="Arial Narrow" w:hAnsi="Arial Narrow"/>
                <w:sz w:val="20"/>
                <w:lang w:val="en-GB"/>
              </w:rPr>
              <w:t xml:space="preserve"> P, Chawla S, Maki R.G.</w:t>
            </w:r>
            <w:r>
              <w:rPr>
                <w:rFonts w:ascii="Arial Narrow" w:hAnsi="Arial Narrow"/>
                <w:sz w:val="20"/>
                <w:lang w:val="en-GB"/>
              </w:rPr>
              <w:t xml:space="preserve"> </w:t>
            </w:r>
            <w:r w:rsidRPr="00DF70A3">
              <w:rPr>
                <w:rFonts w:ascii="Arial Narrow" w:hAnsi="Arial Narrow"/>
                <w:i/>
                <w:sz w:val="20"/>
                <w:lang w:val="en-GB"/>
              </w:rPr>
              <w:t>et al</w:t>
            </w:r>
            <w:proofErr w:type="gramStart"/>
            <w:r>
              <w:rPr>
                <w:rFonts w:ascii="Arial Narrow" w:hAnsi="Arial Narrow"/>
                <w:sz w:val="20"/>
                <w:lang w:val="en-GB"/>
              </w:rPr>
              <w:t xml:space="preserve">. </w:t>
            </w:r>
            <w:r w:rsidRPr="00DF70A3">
              <w:rPr>
                <w:rFonts w:ascii="Arial Narrow" w:hAnsi="Arial Narrow"/>
                <w:sz w:val="20"/>
                <w:lang w:val="en-GB"/>
              </w:rPr>
              <w:t>,</w:t>
            </w:r>
            <w:proofErr w:type="gramEnd"/>
            <w:r w:rsidRPr="00DF70A3">
              <w:rPr>
                <w:rFonts w:ascii="Arial Narrow" w:hAnsi="Arial Narrow"/>
                <w:sz w:val="20"/>
                <w:lang w:val="en-GB"/>
              </w:rPr>
              <w:t xml:space="preserve"> </w:t>
            </w:r>
            <w:proofErr w:type="spellStart"/>
            <w:r w:rsidRPr="00DF70A3">
              <w:rPr>
                <w:rFonts w:ascii="Arial Narrow" w:hAnsi="Arial Narrow"/>
                <w:sz w:val="20"/>
                <w:lang w:val="en-GB"/>
              </w:rPr>
              <w:t>Eribulin</w:t>
            </w:r>
            <w:proofErr w:type="spellEnd"/>
            <w:r w:rsidRPr="00DF70A3">
              <w:rPr>
                <w:rFonts w:ascii="Arial Narrow" w:hAnsi="Arial Narrow"/>
                <w:sz w:val="20"/>
                <w:lang w:val="en-GB"/>
              </w:rPr>
              <w:t xml:space="preserve"> versus </w:t>
            </w:r>
            <w:proofErr w:type="spellStart"/>
            <w:r w:rsidRPr="00DF70A3">
              <w:rPr>
                <w:rFonts w:ascii="Arial Narrow" w:hAnsi="Arial Narrow"/>
                <w:sz w:val="20"/>
                <w:lang w:val="en-GB"/>
              </w:rPr>
              <w:t>dacarbazine</w:t>
            </w:r>
            <w:proofErr w:type="spellEnd"/>
            <w:r w:rsidRPr="00DF70A3">
              <w:rPr>
                <w:rFonts w:ascii="Arial Narrow" w:hAnsi="Arial Narrow"/>
                <w:sz w:val="20"/>
                <w:lang w:val="en-GB"/>
              </w:rPr>
              <w:t xml:space="preserve"> in previously treated patients with advanced </w:t>
            </w:r>
            <w:proofErr w:type="spellStart"/>
            <w:r w:rsidRPr="00DF70A3">
              <w:rPr>
                <w:rFonts w:ascii="Arial Narrow" w:hAnsi="Arial Narrow"/>
                <w:sz w:val="20"/>
                <w:lang w:val="en-GB"/>
              </w:rPr>
              <w:t>liposarcoma</w:t>
            </w:r>
            <w:proofErr w:type="spellEnd"/>
            <w:r w:rsidRPr="00DF70A3">
              <w:rPr>
                <w:rFonts w:ascii="Arial Narrow" w:hAnsi="Arial Narrow"/>
                <w:sz w:val="20"/>
                <w:lang w:val="en-GB"/>
              </w:rPr>
              <w:t xml:space="preserve"> or </w:t>
            </w:r>
            <w:proofErr w:type="spellStart"/>
            <w:r w:rsidRPr="00DF70A3">
              <w:rPr>
                <w:rFonts w:ascii="Arial Narrow" w:hAnsi="Arial Narrow"/>
                <w:sz w:val="20"/>
                <w:lang w:val="en-GB"/>
              </w:rPr>
              <w:t>leiomyosarcoma</w:t>
            </w:r>
            <w:proofErr w:type="spellEnd"/>
            <w:r w:rsidRPr="00DF70A3">
              <w:rPr>
                <w:rFonts w:ascii="Arial Narrow" w:hAnsi="Arial Narrow"/>
                <w:sz w:val="20"/>
                <w:lang w:val="en-GB"/>
              </w:rPr>
              <w:t xml:space="preserve">: a randomised, open-label, </w:t>
            </w:r>
            <w:proofErr w:type="spellStart"/>
            <w:r w:rsidRPr="00DF70A3">
              <w:rPr>
                <w:rFonts w:ascii="Arial Narrow" w:hAnsi="Arial Narrow"/>
                <w:sz w:val="20"/>
                <w:lang w:val="en-GB"/>
              </w:rPr>
              <w:t>multicenter</w:t>
            </w:r>
            <w:proofErr w:type="spellEnd"/>
            <w:r w:rsidRPr="00DF70A3">
              <w:rPr>
                <w:rFonts w:ascii="Arial Narrow" w:hAnsi="Arial Narrow"/>
                <w:sz w:val="20"/>
                <w:lang w:val="en-GB"/>
              </w:rPr>
              <w:t>, phase 3 trial.</w:t>
            </w:r>
          </w:p>
        </w:tc>
        <w:tc>
          <w:tcPr>
            <w:tcW w:w="729" w:type="pct"/>
          </w:tcPr>
          <w:p w:rsidR="00BC14E4" w:rsidRPr="00CD0DEF" w:rsidRDefault="00BC14E4" w:rsidP="003223D2">
            <w:pPr>
              <w:keepNext/>
              <w:widowControl/>
              <w:jc w:val="left"/>
              <w:rPr>
                <w:rFonts w:ascii="Arial Narrow" w:hAnsi="Arial Narrow"/>
                <w:sz w:val="20"/>
                <w:lang w:val="en-GB"/>
              </w:rPr>
            </w:pPr>
            <w:r>
              <w:rPr>
                <w:rFonts w:ascii="Arial Narrow" w:hAnsi="Arial Narrow"/>
                <w:sz w:val="20"/>
                <w:lang w:val="en-GB"/>
              </w:rPr>
              <w:t>22 June 2015</w:t>
            </w:r>
          </w:p>
          <w:p w:rsidR="00BC14E4" w:rsidRDefault="00BC14E4" w:rsidP="003223D2">
            <w:pPr>
              <w:keepNext/>
              <w:widowControl/>
              <w:jc w:val="left"/>
              <w:rPr>
                <w:rFonts w:ascii="Arial Narrow" w:hAnsi="Arial Narrow"/>
                <w:b/>
                <w:sz w:val="20"/>
                <w:lang w:val="en-GB"/>
              </w:rPr>
            </w:pPr>
          </w:p>
          <w:p w:rsidR="00BC14E4" w:rsidRDefault="00BC14E4" w:rsidP="003223D2">
            <w:pPr>
              <w:keepNext/>
              <w:widowControl/>
              <w:jc w:val="left"/>
              <w:rPr>
                <w:rFonts w:ascii="Arial Narrow" w:hAnsi="Arial Narrow"/>
                <w:b/>
                <w:sz w:val="20"/>
                <w:lang w:val="en-GB"/>
              </w:rPr>
            </w:pPr>
          </w:p>
          <w:p w:rsidR="00BC14E4" w:rsidRDefault="00BC14E4" w:rsidP="003223D2">
            <w:pPr>
              <w:keepNext/>
              <w:widowControl/>
              <w:jc w:val="left"/>
              <w:rPr>
                <w:rFonts w:ascii="Arial Narrow" w:hAnsi="Arial Narrow"/>
                <w:sz w:val="20"/>
                <w:lang w:val="en-GB"/>
              </w:rPr>
            </w:pPr>
            <w:r w:rsidRPr="00DF70A3">
              <w:rPr>
                <w:rFonts w:ascii="Arial Narrow" w:hAnsi="Arial Narrow"/>
                <w:sz w:val="20"/>
                <w:lang w:val="en-GB"/>
              </w:rPr>
              <w:t>8 July 2015</w:t>
            </w:r>
          </w:p>
          <w:p w:rsidR="00BC14E4" w:rsidRDefault="00BC14E4" w:rsidP="003223D2">
            <w:pPr>
              <w:keepNext/>
              <w:widowControl/>
              <w:jc w:val="left"/>
              <w:rPr>
                <w:rFonts w:ascii="Arial Narrow" w:hAnsi="Arial Narrow"/>
                <w:sz w:val="20"/>
                <w:lang w:val="en-GB"/>
              </w:rPr>
            </w:pPr>
          </w:p>
          <w:p w:rsidR="00BC14E4" w:rsidRDefault="00BC14E4" w:rsidP="003223D2">
            <w:pPr>
              <w:keepNext/>
              <w:widowControl/>
              <w:jc w:val="left"/>
              <w:rPr>
                <w:rFonts w:ascii="Arial Narrow" w:hAnsi="Arial Narrow"/>
                <w:sz w:val="20"/>
                <w:lang w:val="en-GB"/>
              </w:rPr>
            </w:pPr>
          </w:p>
          <w:p w:rsidR="00BC14E4" w:rsidRDefault="00BC14E4" w:rsidP="003223D2">
            <w:pPr>
              <w:keepNext/>
              <w:widowControl/>
              <w:jc w:val="left"/>
              <w:rPr>
                <w:rFonts w:ascii="Arial Narrow" w:hAnsi="Arial Narrow"/>
                <w:sz w:val="20"/>
                <w:lang w:val="en-GB"/>
              </w:rPr>
            </w:pPr>
          </w:p>
          <w:p w:rsidR="00BC14E4" w:rsidRPr="00DF70A3" w:rsidRDefault="00BC14E4" w:rsidP="003223D2">
            <w:pPr>
              <w:keepNext/>
              <w:widowControl/>
              <w:jc w:val="left"/>
              <w:rPr>
                <w:rFonts w:ascii="Arial Narrow" w:hAnsi="Arial Narrow"/>
                <w:sz w:val="20"/>
                <w:lang w:val="en-GB"/>
              </w:rPr>
            </w:pPr>
            <w:r w:rsidRPr="00E74DD4">
              <w:rPr>
                <w:rStyle w:val="jrnl"/>
                <w:rFonts w:ascii="Arial Narrow" w:hAnsi="Arial Narrow"/>
                <w:color w:val="000000"/>
                <w:sz w:val="20"/>
                <w:shd w:val="clear" w:color="auto" w:fill="FFFFFF"/>
              </w:rPr>
              <w:t>Lancet</w:t>
            </w:r>
            <w:r w:rsidRPr="00E74DD4">
              <w:rPr>
                <w:rFonts w:ascii="Arial Narrow" w:hAnsi="Arial Narrow"/>
                <w:color w:val="000000"/>
                <w:sz w:val="20"/>
                <w:shd w:val="clear" w:color="auto" w:fill="FFFFFF"/>
              </w:rPr>
              <w:t>. 2016; 387(10028):1629-37.</w:t>
            </w:r>
            <w:r>
              <w:rPr>
                <w:color w:val="000000"/>
                <w:sz w:val="18"/>
                <w:szCs w:val="18"/>
                <w:shd w:val="clear" w:color="auto" w:fill="FFFFFF"/>
              </w:rPr>
              <w:t xml:space="preserve"> </w:t>
            </w:r>
          </w:p>
        </w:tc>
      </w:tr>
      <w:tr w:rsidR="00BC14E4" w:rsidRPr="00CD0DEF" w:rsidTr="008726F4">
        <w:trPr>
          <w:cantSplit/>
        </w:trPr>
        <w:tc>
          <w:tcPr>
            <w:tcW w:w="5000" w:type="pct"/>
            <w:gridSpan w:val="3"/>
          </w:tcPr>
          <w:p w:rsidR="00BC14E4" w:rsidRPr="00CD0DEF" w:rsidRDefault="00BC14E4" w:rsidP="003223D2">
            <w:pPr>
              <w:widowControl/>
              <w:jc w:val="left"/>
              <w:rPr>
                <w:rFonts w:ascii="Arial Narrow" w:hAnsi="Arial Narrow"/>
                <w:b/>
                <w:sz w:val="20"/>
                <w:lang w:val="en-GB"/>
              </w:rPr>
            </w:pPr>
            <w:r>
              <w:rPr>
                <w:rFonts w:ascii="Arial Narrow" w:hAnsi="Arial Narrow"/>
                <w:b/>
                <w:sz w:val="20"/>
                <w:lang w:val="en-GB"/>
              </w:rPr>
              <w:t xml:space="preserve">Supplementary comparator: </w:t>
            </w:r>
            <w:proofErr w:type="spellStart"/>
            <w:r>
              <w:rPr>
                <w:rFonts w:ascii="Arial Narrow" w:hAnsi="Arial Narrow"/>
                <w:b/>
                <w:sz w:val="20"/>
                <w:lang w:val="en-GB"/>
              </w:rPr>
              <w:t>ifosfamide</w:t>
            </w:r>
            <w:proofErr w:type="spellEnd"/>
          </w:p>
        </w:tc>
      </w:tr>
      <w:tr w:rsidR="00BC14E4" w:rsidRPr="00CD0DEF" w:rsidTr="008726F4">
        <w:trPr>
          <w:cantSplit/>
        </w:trPr>
        <w:tc>
          <w:tcPr>
            <w:tcW w:w="510" w:type="pct"/>
          </w:tcPr>
          <w:p w:rsidR="00BC14E4" w:rsidRPr="00CD0DEF" w:rsidRDefault="00BC14E4" w:rsidP="003223D2">
            <w:pPr>
              <w:widowControl/>
              <w:jc w:val="left"/>
              <w:rPr>
                <w:rFonts w:ascii="Arial Narrow" w:hAnsi="Arial Narrow"/>
                <w:sz w:val="20"/>
                <w:lang w:val="en-GB"/>
              </w:rPr>
            </w:pPr>
            <w:r>
              <w:rPr>
                <w:rFonts w:ascii="Arial Narrow" w:hAnsi="Arial Narrow"/>
                <w:sz w:val="20"/>
                <w:lang w:val="en-GB"/>
              </w:rPr>
              <w:t xml:space="preserve">van </w:t>
            </w:r>
            <w:proofErr w:type="spellStart"/>
            <w:r>
              <w:rPr>
                <w:rFonts w:ascii="Arial Narrow" w:hAnsi="Arial Narrow"/>
                <w:sz w:val="20"/>
                <w:lang w:val="en-GB"/>
              </w:rPr>
              <w:t>Oosterom</w:t>
            </w:r>
            <w:proofErr w:type="spellEnd"/>
            <w:r>
              <w:rPr>
                <w:rFonts w:ascii="Arial Narrow" w:hAnsi="Arial Narrow"/>
                <w:sz w:val="20"/>
                <w:lang w:val="en-GB"/>
              </w:rPr>
              <w:t xml:space="preserve"> (2002)</w:t>
            </w:r>
          </w:p>
        </w:tc>
        <w:tc>
          <w:tcPr>
            <w:tcW w:w="3761" w:type="pct"/>
          </w:tcPr>
          <w:p w:rsidR="00BC14E4" w:rsidRPr="00DF70A3" w:rsidRDefault="00BC14E4" w:rsidP="003223D2">
            <w:pPr>
              <w:widowControl/>
              <w:jc w:val="left"/>
              <w:rPr>
                <w:rFonts w:ascii="Arial Narrow" w:hAnsi="Arial Narrow"/>
                <w:sz w:val="20"/>
                <w:lang w:val="en-GB"/>
              </w:rPr>
            </w:pPr>
            <w:r w:rsidRPr="00DF70A3">
              <w:rPr>
                <w:rFonts w:ascii="Arial Narrow" w:hAnsi="Arial Narrow"/>
                <w:sz w:val="20"/>
                <w:lang w:val="en-GB"/>
              </w:rPr>
              <w:t xml:space="preserve">Van </w:t>
            </w:r>
            <w:proofErr w:type="spellStart"/>
            <w:r w:rsidRPr="00DF70A3">
              <w:rPr>
                <w:rFonts w:ascii="Arial Narrow" w:hAnsi="Arial Narrow"/>
                <w:sz w:val="20"/>
                <w:lang w:val="en-GB"/>
              </w:rPr>
              <w:t>Oosterom</w:t>
            </w:r>
            <w:proofErr w:type="spellEnd"/>
            <w:r w:rsidRPr="00DF70A3">
              <w:rPr>
                <w:rFonts w:ascii="Arial Narrow" w:hAnsi="Arial Narrow"/>
                <w:sz w:val="20"/>
                <w:lang w:val="en-GB"/>
              </w:rPr>
              <w:t xml:space="preserve"> AT, </w:t>
            </w:r>
            <w:proofErr w:type="spellStart"/>
            <w:r w:rsidRPr="00DF70A3">
              <w:rPr>
                <w:rFonts w:ascii="Arial Narrow" w:hAnsi="Arial Narrow"/>
                <w:sz w:val="20"/>
                <w:lang w:val="en-GB"/>
              </w:rPr>
              <w:t>Mouridsen</w:t>
            </w:r>
            <w:proofErr w:type="spellEnd"/>
            <w:r w:rsidRPr="00DF70A3">
              <w:rPr>
                <w:rFonts w:ascii="Arial Narrow" w:hAnsi="Arial Narrow"/>
                <w:sz w:val="20"/>
                <w:lang w:val="en-GB"/>
              </w:rPr>
              <w:t xml:space="preserve"> HT, Nielsen OS,</w:t>
            </w:r>
            <w:r>
              <w:rPr>
                <w:rFonts w:ascii="Arial Narrow" w:hAnsi="Arial Narrow"/>
                <w:sz w:val="20"/>
                <w:lang w:val="en-GB"/>
              </w:rPr>
              <w:t xml:space="preserve"> </w:t>
            </w:r>
            <w:r w:rsidRPr="00DF70A3">
              <w:rPr>
                <w:rFonts w:ascii="Arial Narrow" w:hAnsi="Arial Narrow"/>
                <w:i/>
                <w:sz w:val="20"/>
                <w:lang w:val="en-GB"/>
              </w:rPr>
              <w:t>et al</w:t>
            </w:r>
            <w:r>
              <w:rPr>
                <w:rFonts w:ascii="Arial Narrow" w:hAnsi="Arial Narrow"/>
                <w:sz w:val="20"/>
                <w:lang w:val="en-GB"/>
              </w:rPr>
              <w:t xml:space="preserve">. </w:t>
            </w:r>
            <w:r w:rsidRPr="00DF70A3">
              <w:rPr>
                <w:rFonts w:ascii="Arial Narrow" w:hAnsi="Arial Narrow"/>
                <w:sz w:val="20"/>
                <w:lang w:val="en-GB"/>
              </w:rPr>
              <w:t xml:space="preserve"> 2002. Results of randomised studies of the EORTC Soft Tissue and Bone Sarcoma Group (STBSG) with two different </w:t>
            </w:r>
            <w:proofErr w:type="spellStart"/>
            <w:r w:rsidRPr="00DF70A3">
              <w:rPr>
                <w:rFonts w:ascii="Arial Narrow" w:hAnsi="Arial Narrow"/>
                <w:sz w:val="20"/>
                <w:lang w:val="en-GB"/>
              </w:rPr>
              <w:t>ifosfamide</w:t>
            </w:r>
            <w:proofErr w:type="spellEnd"/>
            <w:r w:rsidRPr="00DF70A3">
              <w:rPr>
                <w:rFonts w:ascii="Arial Narrow" w:hAnsi="Arial Narrow"/>
                <w:sz w:val="20"/>
                <w:lang w:val="en-GB"/>
              </w:rPr>
              <w:t xml:space="preserve"> regimens in first-</w:t>
            </w:r>
            <w:r>
              <w:rPr>
                <w:rFonts w:ascii="Arial Narrow" w:hAnsi="Arial Narrow"/>
                <w:sz w:val="20"/>
                <w:lang w:val="en-GB"/>
              </w:rPr>
              <w:t xml:space="preserve"> </w:t>
            </w:r>
            <w:r w:rsidRPr="00DF70A3">
              <w:rPr>
                <w:rFonts w:ascii="Arial Narrow" w:hAnsi="Arial Narrow"/>
                <w:sz w:val="20"/>
                <w:lang w:val="en-GB"/>
              </w:rPr>
              <w:t xml:space="preserve">and second-line chemotherapy in advanced soft tissue sarcoma patients. </w:t>
            </w:r>
          </w:p>
        </w:tc>
        <w:tc>
          <w:tcPr>
            <w:tcW w:w="729" w:type="pct"/>
          </w:tcPr>
          <w:p w:rsidR="00BC14E4" w:rsidRPr="00CD0DEF" w:rsidRDefault="00BC14E4" w:rsidP="003223D2">
            <w:pPr>
              <w:widowControl/>
              <w:jc w:val="left"/>
              <w:rPr>
                <w:rFonts w:ascii="Arial Narrow" w:hAnsi="Arial Narrow"/>
                <w:b/>
                <w:sz w:val="20"/>
                <w:lang w:val="en-GB"/>
              </w:rPr>
            </w:pPr>
            <w:proofErr w:type="spellStart"/>
            <w:r w:rsidRPr="00DF70A3">
              <w:rPr>
                <w:rFonts w:ascii="Arial Narrow" w:hAnsi="Arial Narrow"/>
                <w:sz w:val="20"/>
                <w:lang w:val="en-GB"/>
              </w:rPr>
              <w:t>Eur</w:t>
            </w:r>
            <w:proofErr w:type="spellEnd"/>
            <w:r w:rsidRPr="00DF70A3">
              <w:rPr>
                <w:rFonts w:ascii="Arial Narrow" w:hAnsi="Arial Narrow"/>
                <w:sz w:val="20"/>
                <w:lang w:val="en-GB"/>
              </w:rPr>
              <w:t xml:space="preserve"> J Cancer</w:t>
            </w:r>
            <w:r>
              <w:rPr>
                <w:rFonts w:ascii="Arial Narrow" w:hAnsi="Arial Narrow"/>
                <w:sz w:val="20"/>
                <w:lang w:val="en-GB"/>
              </w:rPr>
              <w:t xml:space="preserve"> 2002;</w:t>
            </w:r>
            <w:r w:rsidRPr="00DF70A3">
              <w:rPr>
                <w:rFonts w:ascii="Arial Narrow" w:hAnsi="Arial Narrow"/>
                <w:sz w:val="20"/>
                <w:lang w:val="en-GB"/>
              </w:rPr>
              <w:t xml:space="preserve"> 38(18), 2397-2406.</w:t>
            </w:r>
          </w:p>
        </w:tc>
      </w:tr>
    </w:tbl>
    <w:p w:rsidR="0076094A" w:rsidRPr="00B010BF" w:rsidRDefault="0076094A" w:rsidP="008726F4">
      <w:pPr>
        <w:widowControl/>
        <w:ind w:firstLine="709"/>
        <w:rPr>
          <w:rFonts w:ascii="Arial Narrow" w:hAnsi="Arial Narrow"/>
          <w:sz w:val="18"/>
          <w:lang w:val="en-GB"/>
        </w:rPr>
      </w:pPr>
      <w:r w:rsidRPr="00B010BF">
        <w:rPr>
          <w:rFonts w:ascii="Arial Narrow" w:hAnsi="Arial Narrow"/>
          <w:sz w:val="18"/>
          <w:lang w:val="en-GB"/>
        </w:rPr>
        <w:t>Source: Table B-4, p43 of the submission</w:t>
      </w:r>
    </w:p>
    <w:p w:rsidR="00862502" w:rsidRPr="00B010BF" w:rsidRDefault="00862502" w:rsidP="00903665">
      <w:pPr>
        <w:widowControl/>
        <w:rPr>
          <w:szCs w:val="22"/>
          <w:lang w:val="en-GB"/>
        </w:rPr>
      </w:pPr>
    </w:p>
    <w:p w:rsidR="00862502" w:rsidRPr="00B010BF" w:rsidRDefault="008F120A" w:rsidP="00A728F8">
      <w:pPr>
        <w:pStyle w:val="ListParagraph"/>
        <w:widowControl/>
        <w:numPr>
          <w:ilvl w:val="1"/>
          <w:numId w:val="2"/>
        </w:numPr>
        <w:rPr>
          <w:szCs w:val="22"/>
          <w:lang w:val="en-GB"/>
        </w:rPr>
      </w:pPr>
      <w:r w:rsidRPr="00B010BF">
        <w:rPr>
          <w:szCs w:val="22"/>
          <w:lang w:val="en-GB"/>
        </w:rPr>
        <w:t xml:space="preserve">The key features of the randomised trials are summarised in </w:t>
      </w:r>
      <w:r w:rsidR="005D7601" w:rsidRPr="00B010BF">
        <w:rPr>
          <w:szCs w:val="22"/>
          <w:lang w:val="en-GB"/>
        </w:rPr>
        <w:t>T</w:t>
      </w:r>
      <w:r w:rsidRPr="00B010BF">
        <w:rPr>
          <w:szCs w:val="22"/>
          <w:lang w:val="en-GB"/>
        </w:rPr>
        <w:t xml:space="preserve">able </w:t>
      </w:r>
      <w:r w:rsidR="005D7601" w:rsidRPr="00B010BF">
        <w:rPr>
          <w:szCs w:val="22"/>
          <w:lang w:val="en-GB"/>
        </w:rPr>
        <w:t>2</w:t>
      </w:r>
      <w:r w:rsidRPr="00B010BF">
        <w:rPr>
          <w:szCs w:val="22"/>
          <w:lang w:val="en-GB"/>
        </w:rPr>
        <w:t>.</w:t>
      </w:r>
    </w:p>
    <w:p w:rsidR="009C2898" w:rsidRPr="00B010BF" w:rsidRDefault="009C2898" w:rsidP="00903665">
      <w:pPr>
        <w:widowControl/>
        <w:jc w:val="left"/>
        <w:rPr>
          <w:rStyle w:val="CommentReference"/>
          <w:lang w:val="en-GB"/>
        </w:rPr>
      </w:pPr>
    </w:p>
    <w:p w:rsidR="001028CA" w:rsidRDefault="001028CA" w:rsidP="004B4C4F">
      <w:pPr>
        <w:pStyle w:val="Caption"/>
        <w:keepNext/>
        <w:widowControl/>
        <w:ind w:firstLine="709"/>
      </w:pPr>
      <w:r w:rsidRPr="00F239B7">
        <w:rPr>
          <w:b w:val="0"/>
          <w:szCs w:val="16"/>
        </w:rPr>
        <w:t xml:space="preserve">Table </w:t>
      </w:r>
      <w:r w:rsidR="00556B92">
        <w:rPr>
          <w:noProof/>
        </w:rPr>
        <w:t>2</w:t>
      </w:r>
      <w:r w:rsidRPr="00B010BF">
        <w:t>: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2"/>
        <w:gridCol w:w="569"/>
        <w:gridCol w:w="1702"/>
        <w:gridCol w:w="991"/>
        <w:gridCol w:w="1981"/>
        <w:gridCol w:w="1275"/>
        <w:gridCol w:w="975"/>
      </w:tblGrid>
      <w:tr w:rsidR="00BC14E4" w:rsidRPr="00CD0DEF" w:rsidTr="00A40D49">
        <w:trPr>
          <w:tblHeader/>
        </w:trPr>
        <w:tc>
          <w:tcPr>
            <w:tcW w:w="510" w:type="pct"/>
            <w:shd w:val="clear" w:color="auto" w:fill="auto"/>
            <w:vAlign w:val="center"/>
          </w:tcPr>
          <w:p w:rsidR="00BC14E4" w:rsidRPr="00CD0DEF" w:rsidRDefault="00BC14E4" w:rsidP="003223D2">
            <w:pPr>
              <w:keepNext/>
              <w:widowControl/>
              <w:jc w:val="left"/>
              <w:rPr>
                <w:rFonts w:ascii="Arial Narrow" w:hAnsi="Arial Narrow"/>
                <w:b/>
                <w:sz w:val="20"/>
                <w:lang w:val="en-GB"/>
              </w:rPr>
            </w:pPr>
            <w:r w:rsidRPr="00CD0DEF">
              <w:rPr>
                <w:rFonts w:ascii="Arial Narrow" w:hAnsi="Arial Narrow"/>
                <w:b/>
                <w:sz w:val="20"/>
                <w:lang w:val="en-GB"/>
              </w:rPr>
              <w:t>Trial</w:t>
            </w:r>
          </w:p>
        </w:tc>
        <w:tc>
          <w:tcPr>
            <w:tcW w:w="341" w:type="pct"/>
            <w:shd w:val="clear" w:color="auto" w:fill="auto"/>
            <w:vAlign w:val="center"/>
          </w:tcPr>
          <w:p w:rsidR="00BC14E4" w:rsidRPr="00CD0DEF" w:rsidRDefault="00BC14E4" w:rsidP="003223D2">
            <w:pPr>
              <w:keepNext/>
              <w:widowControl/>
              <w:jc w:val="center"/>
              <w:rPr>
                <w:rFonts w:ascii="Arial Narrow" w:hAnsi="Arial Narrow"/>
                <w:b/>
                <w:sz w:val="20"/>
                <w:lang w:val="en-GB"/>
              </w:rPr>
            </w:pPr>
            <w:r w:rsidRPr="00CD0DEF">
              <w:rPr>
                <w:rFonts w:ascii="Arial Narrow" w:hAnsi="Arial Narrow"/>
                <w:b/>
                <w:sz w:val="20"/>
                <w:lang w:val="en-GB"/>
              </w:rPr>
              <w:t>N</w:t>
            </w:r>
          </w:p>
        </w:tc>
        <w:tc>
          <w:tcPr>
            <w:tcW w:w="1020" w:type="pct"/>
            <w:shd w:val="clear" w:color="auto" w:fill="auto"/>
            <w:vAlign w:val="center"/>
          </w:tcPr>
          <w:p w:rsidR="00BC14E4" w:rsidRPr="00CD0DEF" w:rsidRDefault="00BC14E4" w:rsidP="003223D2">
            <w:pPr>
              <w:keepNext/>
              <w:widowControl/>
              <w:jc w:val="center"/>
              <w:rPr>
                <w:rFonts w:ascii="Arial Narrow" w:hAnsi="Arial Narrow"/>
                <w:b/>
                <w:sz w:val="20"/>
                <w:lang w:val="en-GB"/>
              </w:rPr>
            </w:pPr>
            <w:r w:rsidRPr="00CD0DEF">
              <w:rPr>
                <w:rFonts w:ascii="Arial Narrow" w:hAnsi="Arial Narrow"/>
                <w:b/>
                <w:sz w:val="20"/>
                <w:lang w:val="en-GB"/>
              </w:rPr>
              <w:t>Design/duration</w:t>
            </w:r>
          </w:p>
        </w:tc>
        <w:tc>
          <w:tcPr>
            <w:tcW w:w="594" w:type="pct"/>
            <w:shd w:val="clear" w:color="auto" w:fill="auto"/>
            <w:vAlign w:val="center"/>
          </w:tcPr>
          <w:p w:rsidR="00BC14E4" w:rsidRPr="00CD0DEF" w:rsidRDefault="00BC14E4" w:rsidP="003223D2">
            <w:pPr>
              <w:keepNext/>
              <w:widowControl/>
              <w:jc w:val="center"/>
              <w:rPr>
                <w:rFonts w:ascii="Arial Narrow" w:hAnsi="Arial Narrow"/>
                <w:b/>
                <w:sz w:val="20"/>
                <w:lang w:val="en-GB"/>
              </w:rPr>
            </w:pPr>
            <w:r w:rsidRPr="00CD0DEF">
              <w:rPr>
                <w:rFonts w:ascii="Arial Narrow" w:hAnsi="Arial Narrow"/>
                <w:b/>
                <w:sz w:val="20"/>
                <w:lang w:val="en-GB"/>
              </w:rPr>
              <w:t>Risk of bias</w:t>
            </w:r>
          </w:p>
        </w:tc>
        <w:tc>
          <w:tcPr>
            <w:tcW w:w="1187" w:type="pct"/>
            <w:shd w:val="clear" w:color="auto" w:fill="auto"/>
            <w:vAlign w:val="center"/>
          </w:tcPr>
          <w:p w:rsidR="00BC14E4" w:rsidRPr="00CD0DEF" w:rsidRDefault="00BC14E4" w:rsidP="003223D2">
            <w:pPr>
              <w:keepNext/>
              <w:widowControl/>
              <w:jc w:val="center"/>
              <w:rPr>
                <w:rFonts w:ascii="Arial Narrow" w:hAnsi="Arial Narrow"/>
                <w:b/>
                <w:sz w:val="20"/>
                <w:lang w:val="en-GB"/>
              </w:rPr>
            </w:pPr>
            <w:r w:rsidRPr="00CD0DEF">
              <w:rPr>
                <w:rFonts w:ascii="Arial Narrow" w:hAnsi="Arial Narrow"/>
                <w:b/>
                <w:sz w:val="20"/>
                <w:lang w:val="en-GB"/>
              </w:rPr>
              <w:t>Patient population</w:t>
            </w:r>
          </w:p>
        </w:tc>
        <w:tc>
          <w:tcPr>
            <w:tcW w:w="764" w:type="pct"/>
            <w:shd w:val="clear" w:color="auto" w:fill="auto"/>
            <w:vAlign w:val="center"/>
          </w:tcPr>
          <w:p w:rsidR="00BC14E4" w:rsidRPr="00CD0DEF" w:rsidRDefault="00BC14E4" w:rsidP="003223D2">
            <w:pPr>
              <w:keepNext/>
              <w:widowControl/>
              <w:jc w:val="center"/>
              <w:rPr>
                <w:rFonts w:ascii="Arial Narrow" w:hAnsi="Arial Narrow"/>
                <w:b/>
                <w:sz w:val="20"/>
                <w:lang w:val="en-GB"/>
              </w:rPr>
            </w:pPr>
            <w:r w:rsidRPr="00CD0DEF">
              <w:rPr>
                <w:rFonts w:ascii="Arial Narrow" w:hAnsi="Arial Narrow"/>
                <w:b/>
                <w:sz w:val="20"/>
                <w:lang w:val="en-GB"/>
              </w:rPr>
              <w:t>Outcomes</w:t>
            </w:r>
          </w:p>
        </w:tc>
        <w:tc>
          <w:tcPr>
            <w:tcW w:w="585" w:type="pct"/>
            <w:shd w:val="clear" w:color="auto" w:fill="auto"/>
            <w:vAlign w:val="center"/>
          </w:tcPr>
          <w:p w:rsidR="00BC14E4" w:rsidRPr="00CD0DEF" w:rsidRDefault="00BC14E4" w:rsidP="003223D2">
            <w:pPr>
              <w:keepNext/>
              <w:widowControl/>
              <w:jc w:val="center"/>
              <w:rPr>
                <w:rFonts w:ascii="Arial Narrow" w:hAnsi="Arial Narrow"/>
                <w:b/>
                <w:sz w:val="20"/>
                <w:lang w:val="en-GB"/>
              </w:rPr>
            </w:pPr>
            <w:r w:rsidRPr="00CD0DEF">
              <w:rPr>
                <w:rFonts w:ascii="Arial Narrow" w:hAnsi="Arial Narrow"/>
                <w:b/>
                <w:sz w:val="20"/>
                <w:lang w:val="en-GB"/>
              </w:rPr>
              <w:t>Use in modelled evaluation</w:t>
            </w:r>
          </w:p>
        </w:tc>
      </w:tr>
      <w:tr w:rsidR="00BC14E4" w:rsidRPr="00CD0DEF" w:rsidTr="00E771D1">
        <w:tc>
          <w:tcPr>
            <w:tcW w:w="5000" w:type="pct"/>
            <w:gridSpan w:val="7"/>
            <w:shd w:val="clear" w:color="auto" w:fill="auto"/>
            <w:vAlign w:val="center"/>
          </w:tcPr>
          <w:p w:rsidR="00BC14E4" w:rsidRPr="00CD0DEF" w:rsidRDefault="00BC14E4" w:rsidP="003223D2">
            <w:pPr>
              <w:keepNext/>
              <w:widowControl/>
              <w:jc w:val="left"/>
              <w:rPr>
                <w:rFonts w:ascii="Arial Narrow" w:hAnsi="Arial Narrow"/>
                <w:b/>
                <w:sz w:val="20"/>
                <w:lang w:val="en-GB"/>
              </w:rPr>
            </w:pPr>
            <w:r>
              <w:rPr>
                <w:rFonts w:ascii="Arial Narrow" w:hAnsi="Arial Narrow"/>
                <w:b/>
                <w:sz w:val="20"/>
                <w:lang w:val="en-GB"/>
              </w:rPr>
              <w:t xml:space="preserve">Main comparison: </w:t>
            </w:r>
            <w:proofErr w:type="spellStart"/>
            <w:r>
              <w:rPr>
                <w:rFonts w:ascii="Arial Narrow" w:hAnsi="Arial Narrow"/>
                <w:b/>
                <w:sz w:val="20"/>
                <w:lang w:val="en-GB"/>
              </w:rPr>
              <w:t>Eribulin</w:t>
            </w:r>
            <w:proofErr w:type="spellEnd"/>
            <w:r>
              <w:rPr>
                <w:rFonts w:ascii="Arial Narrow" w:hAnsi="Arial Narrow"/>
                <w:b/>
                <w:sz w:val="20"/>
                <w:lang w:val="en-GB"/>
              </w:rPr>
              <w:t xml:space="preserve"> vs. </w:t>
            </w:r>
            <w:proofErr w:type="spellStart"/>
            <w:r>
              <w:rPr>
                <w:rFonts w:ascii="Arial Narrow" w:hAnsi="Arial Narrow"/>
                <w:b/>
                <w:sz w:val="20"/>
                <w:lang w:val="en-GB"/>
              </w:rPr>
              <w:t>dacarbazine</w:t>
            </w:r>
            <w:proofErr w:type="spellEnd"/>
          </w:p>
        </w:tc>
      </w:tr>
      <w:tr w:rsidR="00BC14E4" w:rsidRPr="00CD0DEF" w:rsidTr="00A40D49">
        <w:tc>
          <w:tcPr>
            <w:tcW w:w="510" w:type="pct"/>
            <w:shd w:val="clear" w:color="auto" w:fill="auto"/>
            <w:vAlign w:val="center"/>
          </w:tcPr>
          <w:p w:rsidR="00BC14E4" w:rsidRPr="00CD0DEF" w:rsidRDefault="00BC14E4" w:rsidP="003223D2">
            <w:pPr>
              <w:keepNext/>
              <w:widowControl/>
              <w:jc w:val="left"/>
              <w:rPr>
                <w:rFonts w:ascii="Arial Narrow" w:hAnsi="Arial Narrow"/>
                <w:sz w:val="20"/>
                <w:lang w:val="en-GB"/>
              </w:rPr>
            </w:pPr>
            <w:r>
              <w:rPr>
                <w:rFonts w:ascii="Arial Narrow" w:hAnsi="Arial Narrow"/>
                <w:sz w:val="20"/>
                <w:lang w:val="en-GB"/>
              </w:rPr>
              <w:t>Study 309</w:t>
            </w:r>
          </w:p>
        </w:tc>
        <w:tc>
          <w:tcPr>
            <w:tcW w:w="341" w:type="pct"/>
            <w:shd w:val="clear" w:color="auto" w:fill="auto"/>
            <w:vAlign w:val="center"/>
          </w:tcPr>
          <w:p w:rsidR="00BC14E4" w:rsidRDefault="00BC14E4" w:rsidP="003223D2">
            <w:pPr>
              <w:keepNext/>
              <w:widowControl/>
              <w:jc w:val="center"/>
              <w:rPr>
                <w:rFonts w:ascii="Arial Narrow" w:hAnsi="Arial Narrow"/>
                <w:sz w:val="20"/>
                <w:vertAlign w:val="superscript"/>
                <w:lang w:val="en-GB"/>
              </w:rPr>
            </w:pPr>
            <w:r>
              <w:rPr>
                <w:rFonts w:ascii="Arial Narrow" w:hAnsi="Arial Narrow"/>
                <w:sz w:val="20"/>
                <w:lang w:val="en-GB"/>
              </w:rPr>
              <w:t xml:space="preserve">452 </w:t>
            </w:r>
            <w:r w:rsidRPr="00D25FC6">
              <w:rPr>
                <w:rFonts w:ascii="Arial Narrow" w:hAnsi="Arial Narrow"/>
                <w:sz w:val="20"/>
                <w:vertAlign w:val="superscript"/>
                <w:lang w:val="en-GB"/>
              </w:rPr>
              <w:t>a</w:t>
            </w:r>
          </w:p>
          <w:p w:rsidR="00BC14E4" w:rsidRPr="00D25FC6" w:rsidRDefault="00BC14E4" w:rsidP="003223D2">
            <w:pPr>
              <w:keepNext/>
              <w:widowControl/>
              <w:jc w:val="center"/>
              <w:rPr>
                <w:rFonts w:ascii="Arial Narrow" w:hAnsi="Arial Narrow"/>
                <w:sz w:val="20"/>
                <w:lang w:val="en-GB"/>
              </w:rPr>
            </w:pPr>
            <w:r>
              <w:rPr>
                <w:rFonts w:ascii="Arial Narrow" w:hAnsi="Arial Narrow"/>
                <w:sz w:val="20"/>
                <w:lang w:val="en-GB"/>
              </w:rPr>
              <w:t xml:space="preserve">143 </w:t>
            </w:r>
            <w:r w:rsidRPr="00D25FC6">
              <w:rPr>
                <w:rFonts w:ascii="Arial Narrow" w:hAnsi="Arial Narrow"/>
                <w:sz w:val="20"/>
                <w:vertAlign w:val="superscript"/>
                <w:lang w:val="en-GB"/>
              </w:rPr>
              <w:t>b</w:t>
            </w:r>
          </w:p>
        </w:tc>
        <w:tc>
          <w:tcPr>
            <w:tcW w:w="1020" w:type="pct"/>
            <w:shd w:val="clear" w:color="auto" w:fill="auto"/>
            <w:vAlign w:val="center"/>
          </w:tcPr>
          <w:p w:rsidR="00BC14E4" w:rsidRPr="00CD0DEF" w:rsidRDefault="00BC14E4" w:rsidP="003223D2">
            <w:pPr>
              <w:keepNext/>
              <w:widowControl/>
              <w:jc w:val="center"/>
              <w:rPr>
                <w:rFonts w:ascii="Arial Narrow" w:hAnsi="Arial Narrow"/>
                <w:sz w:val="20"/>
                <w:lang w:val="en-GB"/>
              </w:rPr>
            </w:pPr>
            <w:r w:rsidRPr="00CD0DEF">
              <w:rPr>
                <w:rFonts w:ascii="Arial Narrow" w:hAnsi="Arial Narrow"/>
                <w:sz w:val="20"/>
                <w:lang w:val="en-GB"/>
              </w:rPr>
              <w:t xml:space="preserve">R, </w:t>
            </w:r>
            <w:r>
              <w:rPr>
                <w:rFonts w:ascii="Arial Narrow" w:hAnsi="Arial Narrow"/>
                <w:sz w:val="20"/>
                <w:lang w:val="en-GB"/>
              </w:rPr>
              <w:t>OL</w:t>
            </w:r>
          </w:p>
          <w:p w:rsidR="00BC14E4" w:rsidRPr="00CD0DEF" w:rsidRDefault="00BC14E4" w:rsidP="003223D2">
            <w:pPr>
              <w:keepNext/>
              <w:widowControl/>
              <w:jc w:val="center"/>
              <w:rPr>
                <w:rFonts w:ascii="Arial Narrow" w:hAnsi="Arial Narrow"/>
                <w:sz w:val="20"/>
                <w:lang w:val="en-GB"/>
              </w:rPr>
            </w:pPr>
            <w:r>
              <w:rPr>
                <w:rFonts w:ascii="Arial Narrow" w:hAnsi="Arial Narrow"/>
                <w:sz w:val="20"/>
                <w:lang w:val="en-GB"/>
              </w:rPr>
              <w:t xml:space="preserve">Median: 31 </w:t>
            </w:r>
            <w:proofErr w:type="spellStart"/>
            <w:r>
              <w:rPr>
                <w:rFonts w:ascii="Arial Narrow" w:hAnsi="Arial Narrow"/>
                <w:sz w:val="20"/>
                <w:lang w:val="en-GB"/>
              </w:rPr>
              <w:t>mths</w:t>
            </w:r>
            <w:proofErr w:type="spellEnd"/>
          </w:p>
        </w:tc>
        <w:tc>
          <w:tcPr>
            <w:tcW w:w="594" w:type="pct"/>
            <w:shd w:val="clear" w:color="auto" w:fill="auto"/>
            <w:vAlign w:val="center"/>
          </w:tcPr>
          <w:p w:rsidR="00BC14E4" w:rsidRPr="00CD0DEF" w:rsidRDefault="00BC14E4" w:rsidP="003223D2">
            <w:pPr>
              <w:keepNext/>
              <w:widowControl/>
              <w:jc w:val="center"/>
              <w:rPr>
                <w:rFonts w:ascii="Arial Narrow" w:hAnsi="Arial Narrow"/>
                <w:sz w:val="20"/>
                <w:lang w:val="en-GB"/>
              </w:rPr>
            </w:pPr>
            <w:r w:rsidRPr="00CD0DEF">
              <w:rPr>
                <w:rFonts w:ascii="Arial Narrow" w:hAnsi="Arial Narrow"/>
                <w:sz w:val="20"/>
                <w:lang w:val="en-GB"/>
              </w:rPr>
              <w:t>Low</w:t>
            </w:r>
          </w:p>
        </w:tc>
        <w:tc>
          <w:tcPr>
            <w:tcW w:w="1187" w:type="pct"/>
            <w:shd w:val="clear" w:color="auto" w:fill="auto"/>
            <w:vAlign w:val="center"/>
          </w:tcPr>
          <w:p w:rsidR="00BC14E4" w:rsidRDefault="00BC14E4" w:rsidP="003223D2">
            <w:pPr>
              <w:keepNext/>
              <w:widowControl/>
              <w:jc w:val="center"/>
              <w:rPr>
                <w:rFonts w:ascii="Arial Narrow" w:hAnsi="Arial Narrow"/>
                <w:sz w:val="20"/>
                <w:lang w:val="en-GB"/>
              </w:rPr>
            </w:pPr>
            <w:proofErr w:type="spellStart"/>
            <w:r>
              <w:rPr>
                <w:rFonts w:ascii="Arial Narrow" w:hAnsi="Arial Narrow"/>
                <w:sz w:val="20"/>
                <w:lang w:val="en-GB"/>
              </w:rPr>
              <w:t>Unresectable</w:t>
            </w:r>
            <w:proofErr w:type="spellEnd"/>
            <w:r>
              <w:rPr>
                <w:rFonts w:ascii="Arial Narrow" w:hAnsi="Arial Narrow"/>
                <w:sz w:val="20"/>
                <w:lang w:val="en-GB"/>
              </w:rPr>
              <w:t xml:space="preserve">/metastatic STS, failed ≥ 2 prior </w:t>
            </w:r>
            <w:proofErr w:type="spellStart"/>
            <w:r>
              <w:rPr>
                <w:rFonts w:ascii="Arial Narrow" w:hAnsi="Arial Narrow"/>
                <w:sz w:val="20"/>
                <w:lang w:val="en-GB"/>
              </w:rPr>
              <w:t>Tx</w:t>
            </w:r>
            <w:proofErr w:type="spellEnd"/>
            <w:r>
              <w:rPr>
                <w:rFonts w:ascii="Arial Narrow" w:hAnsi="Arial Narrow"/>
                <w:sz w:val="20"/>
                <w:lang w:val="en-GB"/>
              </w:rPr>
              <w:t>,</w:t>
            </w:r>
          </w:p>
          <w:p w:rsidR="00BC14E4" w:rsidRPr="00CD0DEF" w:rsidRDefault="00BC14E4" w:rsidP="003223D2">
            <w:pPr>
              <w:keepNext/>
              <w:widowControl/>
              <w:jc w:val="center"/>
              <w:rPr>
                <w:rFonts w:ascii="Arial Narrow" w:hAnsi="Arial Narrow"/>
                <w:sz w:val="20"/>
                <w:lang w:val="en-GB"/>
              </w:rPr>
            </w:pPr>
            <w:r>
              <w:rPr>
                <w:rFonts w:ascii="Arial Narrow" w:hAnsi="Arial Narrow"/>
                <w:sz w:val="20"/>
                <w:lang w:val="en-GB"/>
              </w:rPr>
              <w:t xml:space="preserve">subgroup with </w:t>
            </w:r>
            <w:proofErr w:type="spellStart"/>
            <w:r>
              <w:rPr>
                <w:rFonts w:ascii="Arial Narrow" w:hAnsi="Arial Narrow"/>
                <w:sz w:val="20"/>
                <w:lang w:val="en-GB"/>
              </w:rPr>
              <w:t>liposarcoma</w:t>
            </w:r>
            <w:proofErr w:type="spellEnd"/>
          </w:p>
        </w:tc>
        <w:tc>
          <w:tcPr>
            <w:tcW w:w="764" w:type="pct"/>
            <w:shd w:val="clear" w:color="auto" w:fill="auto"/>
            <w:vAlign w:val="center"/>
          </w:tcPr>
          <w:p w:rsidR="00BC14E4" w:rsidRPr="00CD0DEF" w:rsidRDefault="00BC14E4" w:rsidP="003223D2">
            <w:pPr>
              <w:keepNext/>
              <w:widowControl/>
              <w:jc w:val="center"/>
              <w:rPr>
                <w:rFonts w:ascii="Arial Narrow" w:hAnsi="Arial Narrow"/>
                <w:sz w:val="20"/>
                <w:lang w:val="en-GB"/>
              </w:rPr>
            </w:pPr>
            <w:r w:rsidRPr="00CD0DEF">
              <w:rPr>
                <w:rFonts w:ascii="Arial Narrow" w:hAnsi="Arial Narrow"/>
                <w:sz w:val="20"/>
                <w:lang w:val="en-GB"/>
              </w:rPr>
              <w:t>OS</w:t>
            </w:r>
            <w:r>
              <w:rPr>
                <w:rFonts w:ascii="Arial Narrow" w:hAnsi="Arial Narrow"/>
                <w:sz w:val="20"/>
                <w:lang w:val="en-GB"/>
              </w:rPr>
              <w:t xml:space="preserve">, PFS, safety, </w:t>
            </w:r>
            <w:proofErr w:type="spellStart"/>
            <w:r>
              <w:rPr>
                <w:rFonts w:ascii="Arial Narrow" w:hAnsi="Arial Narrow"/>
                <w:sz w:val="20"/>
                <w:lang w:val="en-GB"/>
              </w:rPr>
              <w:t>QoL</w:t>
            </w:r>
            <w:proofErr w:type="spellEnd"/>
          </w:p>
        </w:tc>
        <w:tc>
          <w:tcPr>
            <w:tcW w:w="585" w:type="pct"/>
            <w:shd w:val="clear" w:color="auto" w:fill="auto"/>
            <w:vAlign w:val="center"/>
          </w:tcPr>
          <w:p w:rsidR="00BC14E4" w:rsidRPr="00CD0DEF" w:rsidRDefault="00BC14E4" w:rsidP="003223D2">
            <w:pPr>
              <w:keepNext/>
              <w:widowControl/>
              <w:jc w:val="center"/>
              <w:rPr>
                <w:rFonts w:ascii="Arial Narrow" w:hAnsi="Arial Narrow"/>
                <w:sz w:val="20"/>
                <w:lang w:val="en-GB"/>
              </w:rPr>
            </w:pPr>
            <w:r>
              <w:rPr>
                <w:rFonts w:ascii="Arial Narrow" w:hAnsi="Arial Narrow"/>
                <w:sz w:val="20"/>
                <w:lang w:val="en-GB"/>
              </w:rPr>
              <w:t>Used</w:t>
            </w:r>
          </w:p>
        </w:tc>
      </w:tr>
      <w:tr w:rsidR="00BC14E4" w:rsidRPr="00CD0DEF" w:rsidTr="00E771D1">
        <w:tc>
          <w:tcPr>
            <w:tcW w:w="5000" w:type="pct"/>
            <w:gridSpan w:val="7"/>
            <w:shd w:val="clear" w:color="auto" w:fill="auto"/>
            <w:vAlign w:val="center"/>
          </w:tcPr>
          <w:p w:rsidR="00BC14E4" w:rsidRPr="0076094A" w:rsidRDefault="00BC14E4" w:rsidP="003223D2">
            <w:pPr>
              <w:keepNext/>
              <w:widowControl/>
              <w:jc w:val="left"/>
              <w:rPr>
                <w:rFonts w:ascii="Arial Narrow" w:hAnsi="Arial Narrow"/>
                <w:b/>
                <w:sz w:val="20"/>
                <w:lang w:val="en-GB"/>
              </w:rPr>
            </w:pPr>
            <w:r>
              <w:rPr>
                <w:rFonts w:ascii="Arial Narrow" w:hAnsi="Arial Narrow"/>
                <w:b/>
                <w:sz w:val="20"/>
                <w:lang w:val="en-GB"/>
              </w:rPr>
              <w:t xml:space="preserve">Supportive comparator: </w:t>
            </w:r>
            <w:proofErr w:type="spellStart"/>
            <w:r w:rsidRPr="0076094A">
              <w:rPr>
                <w:rFonts w:ascii="Arial Narrow" w:hAnsi="Arial Narrow"/>
                <w:b/>
                <w:sz w:val="20"/>
                <w:lang w:val="en-GB"/>
              </w:rPr>
              <w:t>Ifosfamide</w:t>
            </w:r>
            <w:proofErr w:type="spellEnd"/>
            <w:r w:rsidRPr="0076094A">
              <w:rPr>
                <w:rFonts w:ascii="Arial Narrow" w:hAnsi="Arial Narrow"/>
                <w:b/>
                <w:sz w:val="20"/>
                <w:lang w:val="en-GB"/>
              </w:rPr>
              <w:t xml:space="preserve"> vs. </w:t>
            </w:r>
            <w:proofErr w:type="spellStart"/>
            <w:r w:rsidRPr="0076094A">
              <w:rPr>
                <w:rFonts w:ascii="Arial Narrow" w:hAnsi="Arial Narrow"/>
                <w:b/>
                <w:sz w:val="20"/>
                <w:lang w:val="en-GB"/>
              </w:rPr>
              <w:t>Ifosfamide</w:t>
            </w:r>
            <w:proofErr w:type="spellEnd"/>
          </w:p>
        </w:tc>
      </w:tr>
      <w:tr w:rsidR="00BC14E4" w:rsidRPr="00CD0DEF" w:rsidTr="00A40D49">
        <w:trPr>
          <w:trHeight w:val="548"/>
        </w:trPr>
        <w:tc>
          <w:tcPr>
            <w:tcW w:w="510" w:type="pct"/>
            <w:shd w:val="clear" w:color="auto" w:fill="auto"/>
            <w:vAlign w:val="center"/>
          </w:tcPr>
          <w:p w:rsidR="00BC14E4" w:rsidRPr="00CD0DEF" w:rsidRDefault="00BC14E4" w:rsidP="003223D2">
            <w:pPr>
              <w:keepNext/>
              <w:widowControl/>
              <w:jc w:val="left"/>
              <w:rPr>
                <w:rFonts w:ascii="Arial Narrow" w:hAnsi="Arial Narrow"/>
                <w:sz w:val="20"/>
                <w:lang w:val="en-GB"/>
              </w:rPr>
            </w:pPr>
            <w:r>
              <w:rPr>
                <w:rFonts w:ascii="Arial Narrow" w:hAnsi="Arial Narrow"/>
                <w:sz w:val="20"/>
                <w:lang w:val="en-GB"/>
              </w:rPr>
              <w:t xml:space="preserve">van </w:t>
            </w:r>
            <w:proofErr w:type="spellStart"/>
            <w:r>
              <w:rPr>
                <w:rFonts w:ascii="Arial Narrow" w:hAnsi="Arial Narrow"/>
                <w:sz w:val="20"/>
                <w:lang w:val="en-GB"/>
              </w:rPr>
              <w:t>Oosterom</w:t>
            </w:r>
            <w:proofErr w:type="spellEnd"/>
            <w:r>
              <w:rPr>
                <w:rFonts w:ascii="Arial Narrow" w:hAnsi="Arial Narrow"/>
                <w:sz w:val="20"/>
                <w:lang w:val="en-GB"/>
              </w:rPr>
              <w:t xml:space="preserve"> (2002)</w:t>
            </w:r>
          </w:p>
        </w:tc>
        <w:tc>
          <w:tcPr>
            <w:tcW w:w="341" w:type="pct"/>
            <w:shd w:val="clear" w:color="auto" w:fill="auto"/>
            <w:vAlign w:val="center"/>
          </w:tcPr>
          <w:p w:rsidR="00BC14E4" w:rsidRPr="00CD0DEF" w:rsidRDefault="00BC14E4" w:rsidP="003223D2">
            <w:pPr>
              <w:keepNext/>
              <w:widowControl/>
              <w:jc w:val="center"/>
              <w:rPr>
                <w:rFonts w:ascii="Arial Narrow" w:hAnsi="Arial Narrow"/>
                <w:sz w:val="20"/>
                <w:lang w:val="en-GB"/>
              </w:rPr>
            </w:pPr>
            <w:r>
              <w:rPr>
                <w:rFonts w:ascii="Arial Narrow" w:hAnsi="Arial Narrow"/>
                <w:sz w:val="20"/>
                <w:lang w:val="en-GB"/>
              </w:rPr>
              <w:t xml:space="preserve">76 </w:t>
            </w:r>
            <w:r>
              <w:rPr>
                <w:rFonts w:ascii="Arial Narrow" w:hAnsi="Arial Narrow"/>
                <w:sz w:val="20"/>
                <w:vertAlign w:val="superscript"/>
                <w:lang w:val="en-GB"/>
              </w:rPr>
              <w:t>c</w:t>
            </w:r>
          </w:p>
        </w:tc>
        <w:tc>
          <w:tcPr>
            <w:tcW w:w="1020" w:type="pct"/>
            <w:shd w:val="clear" w:color="auto" w:fill="auto"/>
            <w:vAlign w:val="center"/>
          </w:tcPr>
          <w:p w:rsidR="00BC14E4" w:rsidRPr="00FF7AC9" w:rsidRDefault="00BC14E4" w:rsidP="003223D2">
            <w:pPr>
              <w:keepNext/>
              <w:widowControl/>
              <w:jc w:val="center"/>
              <w:rPr>
                <w:rFonts w:ascii="Arial Narrow" w:hAnsi="Arial Narrow"/>
                <w:sz w:val="20"/>
                <w:lang w:val="en-GB"/>
              </w:rPr>
            </w:pPr>
            <w:r w:rsidRPr="00FF7AC9">
              <w:rPr>
                <w:rFonts w:ascii="Arial Narrow" w:hAnsi="Arial Narrow"/>
                <w:sz w:val="20"/>
                <w:lang w:val="en-GB"/>
              </w:rPr>
              <w:t>R, OL</w:t>
            </w:r>
          </w:p>
          <w:p w:rsidR="00BC14E4" w:rsidRPr="00FF7AC9" w:rsidRDefault="00BC14E4" w:rsidP="003223D2">
            <w:pPr>
              <w:keepNext/>
              <w:widowControl/>
              <w:jc w:val="center"/>
              <w:rPr>
                <w:rFonts w:ascii="Arial Narrow" w:hAnsi="Arial Narrow"/>
                <w:sz w:val="20"/>
                <w:lang w:val="en-GB"/>
              </w:rPr>
            </w:pPr>
            <w:r w:rsidRPr="00FF7AC9">
              <w:rPr>
                <w:rFonts w:ascii="Arial Narrow" w:hAnsi="Arial Narrow"/>
                <w:sz w:val="20"/>
                <w:lang w:val="en-GB"/>
              </w:rPr>
              <w:t>Duration</w:t>
            </w:r>
            <w:r>
              <w:rPr>
                <w:rFonts w:ascii="Arial Narrow" w:hAnsi="Arial Narrow"/>
                <w:sz w:val="20"/>
                <w:lang w:val="en-GB"/>
              </w:rPr>
              <w:t>:</w:t>
            </w:r>
            <w:r w:rsidRPr="00FF7AC9">
              <w:rPr>
                <w:rFonts w:ascii="Arial Narrow" w:hAnsi="Arial Narrow"/>
                <w:sz w:val="20"/>
                <w:lang w:val="en-GB"/>
              </w:rPr>
              <w:t xml:space="preserve"> NR</w:t>
            </w:r>
          </w:p>
        </w:tc>
        <w:tc>
          <w:tcPr>
            <w:tcW w:w="594" w:type="pct"/>
            <w:shd w:val="clear" w:color="auto" w:fill="auto"/>
            <w:vAlign w:val="center"/>
          </w:tcPr>
          <w:p w:rsidR="00BC14E4" w:rsidRPr="00FF7AC9" w:rsidRDefault="00BC14E4" w:rsidP="003223D2">
            <w:pPr>
              <w:keepNext/>
              <w:widowControl/>
              <w:jc w:val="center"/>
              <w:rPr>
                <w:rFonts w:ascii="Arial Narrow" w:hAnsi="Arial Narrow"/>
                <w:sz w:val="20"/>
                <w:lang w:val="en-GB"/>
              </w:rPr>
            </w:pPr>
            <w:r w:rsidRPr="00FF7AC9">
              <w:rPr>
                <w:rFonts w:ascii="Arial Narrow" w:hAnsi="Arial Narrow"/>
                <w:sz w:val="20"/>
                <w:lang w:val="en-GB"/>
              </w:rPr>
              <w:t>High</w:t>
            </w:r>
          </w:p>
        </w:tc>
        <w:tc>
          <w:tcPr>
            <w:tcW w:w="1187" w:type="pct"/>
            <w:shd w:val="clear" w:color="auto" w:fill="auto"/>
            <w:vAlign w:val="center"/>
          </w:tcPr>
          <w:p w:rsidR="00BC14E4" w:rsidRPr="00FF7AC9" w:rsidRDefault="00BC14E4" w:rsidP="003223D2">
            <w:pPr>
              <w:keepNext/>
              <w:widowControl/>
              <w:jc w:val="center"/>
              <w:rPr>
                <w:rFonts w:ascii="Arial Narrow" w:hAnsi="Arial Narrow"/>
                <w:sz w:val="20"/>
                <w:lang w:val="en-GB"/>
              </w:rPr>
            </w:pPr>
            <w:proofErr w:type="spellStart"/>
            <w:r>
              <w:rPr>
                <w:rFonts w:ascii="Arial Narrow" w:hAnsi="Arial Narrow"/>
                <w:sz w:val="20"/>
                <w:lang w:val="en-GB"/>
              </w:rPr>
              <w:t>U</w:t>
            </w:r>
            <w:r w:rsidRPr="00FF7AC9">
              <w:rPr>
                <w:rFonts w:ascii="Arial Narrow" w:hAnsi="Arial Narrow"/>
                <w:sz w:val="20"/>
                <w:lang w:val="en-GB"/>
              </w:rPr>
              <w:t>nresectable</w:t>
            </w:r>
            <w:proofErr w:type="spellEnd"/>
            <w:r w:rsidRPr="00FF7AC9">
              <w:rPr>
                <w:rFonts w:ascii="Arial Narrow" w:hAnsi="Arial Narrow"/>
                <w:sz w:val="20"/>
                <w:lang w:val="en-GB"/>
              </w:rPr>
              <w:t>/metastatic STS</w:t>
            </w:r>
            <w:r>
              <w:rPr>
                <w:rFonts w:ascii="Arial Narrow" w:hAnsi="Arial Narrow"/>
                <w:sz w:val="20"/>
                <w:lang w:val="en-GB"/>
              </w:rPr>
              <w:t>,</w:t>
            </w:r>
          </w:p>
          <w:p w:rsidR="00BC14E4" w:rsidRPr="00FF7AC9" w:rsidRDefault="00BC14E4" w:rsidP="003223D2">
            <w:pPr>
              <w:keepNext/>
              <w:widowControl/>
              <w:jc w:val="center"/>
              <w:rPr>
                <w:rFonts w:ascii="Arial Narrow" w:hAnsi="Arial Narrow"/>
                <w:sz w:val="20"/>
                <w:lang w:val="en-GB"/>
              </w:rPr>
            </w:pPr>
            <w:r w:rsidRPr="00FF7AC9">
              <w:rPr>
                <w:rFonts w:ascii="Arial Narrow" w:hAnsi="Arial Narrow"/>
                <w:sz w:val="20"/>
                <w:lang w:val="en-GB"/>
              </w:rPr>
              <w:t>subgroup 2</w:t>
            </w:r>
            <w:r w:rsidRPr="00FF7AC9">
              <w:rPr>
                <w:rFonts w:ascii="Arial Narrow" w:hAnsi="Arial Narrow"/>
                <w:sz w:val="20"/>
                <w:vertAlign w:val="superscript"/>
                <w:lang w:val="en-GB"/>
              </w:rPr>
              <w:t>nd</w:t>
            </w:r>
            <w:r w:rsidRPr="00FF7AC9">
              <w:rPr>
                <w:rFonts w:ascii="Arial Narrow" w:hAnsi="Arial Narrow"/>
                <w:sz w:val="20"/>
                <w:lang w:val="en-GB"/>
              </w:rPr>
              <w:t xml:space="preserve"> line</w:t>
            </w:r>
          </w:p>
        </w:tc>
        <w:tc>
          <w:tcPr>
            <w:tcW w:w="764" w:type="pct"/>
            <w:shd w:val="clear" w:color="auto" w:fill="auto"/>
            <w:vAlign w:val="center"/>
          </w:tcPr>
          <w:p w:rsidR="00BC14E4" w:rsidRPr="00FF7AC9" w:rsidRDefault="00BC14E4" w:rsidP="003223D2">
            <w:pPr>
              <w:keepNext/>
              <w:widowControl/>
              <w:jc w:val="center"/>
              <w:rPr>
                <w:rFonts w:ascii="Arial Narrow" w:hAnsi="Arial Narrow"/>
                <w:sz w:val="20"/>
                <w:lang w:val="en-GB"/>
              </w:rPr>
            </w:pPr>
            <w:r w:rsidRPr="00FF7AC9">
              <w:rPr>
                <w:rFonts w:ascii="Arial Narrow" w:hAnsi="Arial Narrow"/>
                <w:sz w:val="20"/>
                <w:lang w:val="en-GB"/>
              </w:rPr>
              <w:t>ORR, OS, PFS, safety</w:t>
            </w:r>
          </w:p>
        </w:tc>
        <w:tc>
          <w:tcPr>
            <w:tcW w:w="585" w:type="pct"/>
            <w:shd w:val="clear" w:color="auto" w:fill="auto"/>
            <w:vAlign w:val="center"/>
          </w:tcPr>
          <w:p w:rsidR="00BC14E4" w:rsidRPr="00FF7AC9" w:rsidRDefault="00BC14E4" w:rsidP="003223D2">
            <w:pPr>
              <w:keepNext/>
              <w:widowControl/>
              <w:jc w:val="center"/>
              <w:rPr>
                <w:rFonts w:ascii="Arial Narrow" w:hAnsi="Arial Narrow"/>
                <w:sz w:val="20"/>
                <w:lang w:val="en-GB"/>
              </w:rPr>
            </w:pPr>
            <w:r w:rsidRPr="00FF7AC9">
              <w:rPr>
                <w:rFonts w:ascii="Arial Narrow" w:hAnsi="Arial Narrow"/>
                <w:sz w:val="20"/>
                <w:lang w:val="en-GB"/>
              </w:rPr>
              <w:t>Not used</w:t>
            </w:r>
          </w:p>
        </w:tc>
      </w:tr>
    </w:tbl>
    <w:p w:rsidR="00542C77" w:rsidRPr="00B010BF" w:rsidRDefault="00542C77" w:rsidP="00E771D1">
      <w:pPr>
        <w:pStyle w:val="TableFooter"/>
        <w:widowControl/>
        <w:ind w:left="709"/>
        <w:rPr>
          <w:lang w:val="en-GB"/>
        </w:rPr>
      </w:pPr>
      <w:r w:rsidRPr="00B010BF">
        <w:rPr>
          <w:lang w:val="en-GB"/>
        </w:rPr>
        <w:t>Source: compiled during the evaluation</w:t>
      </w:r>
    </w:p>
    <w:p w:rsidR="007F1017" w:rsidRPr="00B010BF" w:rsidRDefault="00DB00B6" w:rsidP="00E771D1">
      <w:pPr>
        <w:pStyle w:val="TableFooter"/>
        <w:widowControl/>
        <w:ind w:left="709"/>
        <w:rPr>
          <w:lang w:val="en-GB"/>
        </w:rPr>
      </w:pPr>
      <w:proofErr w:type="spellStart"/>
      <w:proofErr w:type="gramStart"/>
      <w:r w:rsidRPr="00B010BF">
        <w:rPr>
          <w:lang w:val="en-GB"/>
        </w:rPr>
        <w:t>mths</w:t>
      </w:r>
      <w:proofErr w:type="spellEnd"/>
      <w:proofErr w:type="gramEnd"/>
      <w:r w:rsidRPr="00B010BF">
        <w:rPr>
          <w:lang w:val="en-GB"/>
        </w:rPr>
        <w:t xml:space="preserve"> = months; NR = not reported; </w:t>
      </w:r>
      <w:r w:rsidR="007F1017" w:rsidRPr="00B010BF">
        <w:rPr>
          <w:lang w:val="en-GB"/>
        </w:rPr>
        <w:t>OL</w:t>
      </w:r>
      <w:r w:rsidR="00047312" w:rsidRPr="00B010BF">
        <w:rPr>
          <w:lang w:val="en-GB"/>
        </w:rPr>
        <w:t xml:space="preserve"> </w:t>
      </w:r>
      <w:r w:rsidR="007F1017" w:rsidRPr="00B010BF">
        <w:rPr>
          <w:lang w:val="en-GB"/>
        </w:rPr>
        <w:t>=</w:t>
      </w:r>
      <w:r w:rsidR="00047312" w:rsidRPr="00B010BF">
        <w:rPr>
          <w:lang w:val="en-GB"/>
        </w:rPr>
        <w:t xml:space="preserve"> </w:t>
      </w:r>
      <w:r w:rsidR="007F1017" w:rsidRPr="00B010BF">
        <w:rPr>
          <w:lang w:val="en-GB"/>
        </w:rPr>
        <w:t>open</w:t>
      </w:r>
      <w:r w:rsidR="00542C77" w:rsidRPr="00B010BF">
        <w:rPr>
          <w:lang w:val="en-GB"/>
        </w:rPr>
        <w:t>-</w:t>
      </w:r>
      <w:r w:rsidR="007F1017" w:rsidRPr="00B010BF">
        <w:rPr>
          <w:lang w:val="en-GB"/>
        </w:rPr>
        <w:t xml:space="preserve">label; </w:t>
      </w:r>
      <w:r w:rsidRPr="00B010BF">
        <w:rPr>
          <w:lang w:val="en-GB"/>
        </w:rPr>
        <w:t xml:space="preserve">ORR = overall response rate; </w:t>
      </w:r>
      <w:r w:rsidR="007F1017" w:rsidRPr="00B010BF">
        <w:rPr>
          <w:lang w:val="en-GB"/>
        </w:rPr>
        <w:t>OS</w:t>
      </w:r>
      <w:r w:rsidR="00047312" w:rsidRPr="00B010BF">
        <w:rPr>
          <w:lang w:val="en-GB"/>
        </w:rPr>
        <w:t xml:space="preserve"> </w:t>
      </w:r>
      <w:r w:rsidR="007F1017" w:rsidRPr="00B010BF">
        <w:rPr>
          <w:lang w:val="en-GB"/>
        </w:rPr>
        <w:t>=</w:t>
      </w:r>
      <w:r w:rsidR="00047312" w:rsidRPr="00B010BF">
        <w:rPr>
          <w:lang w:val="en-GB"/>
        </w:rPr>
        <w:t xml:space="preserve"> </w:t>
      </w:r>
      <w:r w:rsidR="007F1017" w:rsidRPr="00B010BF">
        <w:rPr>
          <w:lang w:val="en-GB"/>
        </w:rPr>
        <w:t>overall survival; PFS</w:t>
      </w:r>
      <w:r w:rsidR="00047312" w:rsidRPr="00B010BF">
        <w:rPr>
          <w:lang w:val="en-GB"/>
        </w:rPr>
        <w:t xml:space="preserve"> </w:t>
      </w:r>
      <w:r w:rsidR="007F1017" w:rsidRPr="00B010BF">
        <w:rPr>
          <w:lang w:val="en-GB"/>
        </w:rPr>
        <w:t>=</w:t>
      </w:r>
      <w:r w:rsidR="00047312" w:rsidRPr="00B010BF">
        <w:rPr>
          <w:lang w:val="en-GB"/>
        </w:rPr>
        <w:t xml:space="preserve"> </w:t>
      </w:r>
      <w:r w:rsidR="007F1017" w:rsidRPr="00B010BF">
        <w:rPr>
          <w:lang w:val="en-GB"/>
        </w:rPr>
        <w:t xml:space="preserve">progression-free survival; </w:t>
      </w:r>
      <w:proofErr w:type="spellStart"/>
      <w:r w:rsidR="00542C77" w:rsidRPr="00B010BF">
        <w:rPr>
          <w:lang w:val="en-GB"/>
        </w:rPr>
        <w:t>QoL</w:t>
      </w:r>
      <w:proofErr w:type="spellEnd"/>
      <w:r w:rsidR="00542C77" w:rsidRPr="00B010BF">
        <w:rPr>
          <w:lang w:val="en-GB"/>
        </w:rPr>
        <w:t xml:space="preserve"> = quality of life; </w:t>
      </w:r>
      <w:r w:rsidRPr="00B010BF">
        <w:rPr>
          <w:lang w:val="en-GB"/>
        </w:rPr>
        <w:t>R</w:t>
      </w:r>
      <w:r w:rsidR="00047312" w:rsidRPr="00B010BF">
        <w:rPr>
          <w:lang w:val="en-GB"/>
        </w:rPr>
        <w:t xml:space="preserve"> </w:t>
      </w:r>
      <w:r w:rsidRPr="00B010BF">
        <w:rPr>
          <w:lang w:val="en-GB"/>
        </w:rPr>
        <w:t>=</w:t>
      </w:r>
      <w:r w:rsidR="00047312" w:rsidRPr="00B010BF">
        <w:rPr>
          <w:lang w:val="en-GB"/>
        </w:rPr>
        <w:t xml:space="preserve"> </w:t>
      </w:r>
      <w:r w:rsidRPr="00B010BF">
        <w:rPr>
          <w:lang w:val="en-GB"/>
        </w:rPr>
        <w:t xml:space="preserve">randomised; STS = soft tissue sarcoma; </w:t>
      </w:r>
      <w:proofErr w:type="spellStart"/>
      <w:r w:rsidRPr="00B010BF">
        <w:rPr>
          <w:lang w:val="en-GB"/>
        </w:rPr>
        <w:t>Tx</w:t>
      </w:r>
      <w:proofErr w:type="spellEnd"/>
      <w:r w:rsidRPr="00B010BF">
        <w:rPr>
          <w:lang w:val="en-GB"/>
        </w:rPr>
        <w:t xml:space="preserve"> = treatment</w:t>
      </w:r>
    </w:p>
    <w:p w:rsidR="00542C77" w:rsidRPr="00B010BF" w:rsidRDefault="00542C77" w:rsidP="00E771D1">
      <w:pPr>
        <w:pStyle w:val="TableFooter"/>
        <w:widowControl/>
        <w:ind w:left="709"/>
        <w:rPr>
          <w:lang w:val="en-GB"/>
        </w:rPr>
      </w:pPr>
      <w:proofErr w:type="spellStart"/>
      <w:proofErr w:type="gramStart"/>
      <w:r w:rsidRPr="00B010BF">
        <w:rPr>
          <w:vertAlign w:val="superscript"/>
          <w:lang w:val="en-GB"/>
        </w:rPr>
        <w:t>a</w:t>
      </w:r>
      <w:proofErr w:type="spellEnd"/>
      <w:proofErr w:type="gramEnd"/>
      <w:r w:rsidRPr="00B010BF">
        <w:rPr>
          <w:lang w:val="en-GB"/>
        </w:rPr>
        <w:t xml:space="preserve"> Intention</w:t>
      </w:r>
      <w:r w:rsidR="00DB00B6" w:rsidRPr="00B010BF">
        <w:rPr>
          <w:lang w:val="en-GB"/>
        </w:rPr>
        <w:t>-</w:t>
      </w:r>
      <w:r w:rsidRPr="00B010BF">
        <w:rPr>
          <w:lang w:val="en-GB"/>
        </w:rPr>
        <w:t>to</w:t>
      </w:r>
      <w:r w:rsidR="00DB00B6" w:rsidRPr="00B010BF">
        <w:rPr>
          <w:lang w:val="en-GB"/>
        </w:rPr>
        <w:t>-</w:t>
      </w:r>
      <w:r w:rsidRPr="00B010BF">
        <w:rPr>
          <w:lang w:val="en-GB"/>
        </w:rPr>
        <w:t>treat population</w:t>
      </w:r>
    </w:p>
    <w:p w:rsidR="00542C77" w:rsidRPr="00B010BF" w:rsidRDefault="00542C77" w:rsidP="00E771D1">
      <w:pPr>
        <w:pStyle w:val="TableFooter"/>
        <w:widowControl/>
        <w:ind w:left="709"/>
        <w:rPr>
          <w:lang w:val="en-GB"/>
        </w:rPr>
      </w:pPr>
      <w:proofErr w:type="gramStart"/>
      <w:r w:rsidRPr="00B010BF">
        <w:rPr>
          <w:vertAlign w:val="superscript"/>
          <w:lang w:val="en-GB"/>
        </w:rPr>
        <w:t>b</w:t>
      </w:r>
      <w:proofErr w:type="gramEnd"/>
      <w:r w:rsidRPr="00B010BF">
        <w:rPr>
          <w:lang w:val="en-GB"/>
        </w:rPr>
        <w:t xml:space="preserve"> </w:t>
      </w:r>
      <w:r w:rsidR="00047312" w:rsidRPr="00B010BF">
        <w:rPr>
          <w:lang w:val="en-GB"/>
        </w:rPr>
        <w:t>P</w:t>
      </w:r>
      <w:r w:rsidRPr="00B010BF">
        <w:rPr>
          <w:lang w:val="en-GB"/>
        </w:rPr>
        <w:t xml:space="preserve">atients with </w:t>
      </w:r>
      <w:proofErr w:type="spellStart"/>
      <w:r w:rsidRPr="00B010BF">
        <w:rPr>
          <w:lang w:val="en-GB"/>
        </w:rPr>
        <w:t>liposarcoma</w:t>
      </w:r>
      <w:proofErr w:type="spellEnd"/>
      <w:r w:rsidR="004F75CC" w:rsidRPr="00B010BF">
        <w:rPr>
          <w:lang w:val="en-GB"/>
        </w:rPr>
        <w:t xml:space="preserve"> (including dedifferentiated, </w:t>
      </w:r>
      <w:proofErr w:type="spellStart"/>
      <w:r w:rsidR="004F75CC" w:rsidRPr="00B010BF">
        <w:rPr>
          <w:lang w:val="en-GB"/>
        </w:rPr>
        <w:t>myxoid</w:t>
      </w:r>
      <w:proofErr w:type="spellEnd"/>
      <w:r w:rsidR="004F75CC" w:rsidRPr="00B010BF">
        <w:rPr>
          <w:lang w:val="en-GB"/>
        </w:rPr>
        <w:t>, round cell and pleomorphic subtypes)</w:t>
      </w:r>
    </w:p>
    <w:p w:rsidR="00542C77" w:rsidRPr="00B010BF" w:rsidRDefault="00542C77" w:rsidP="00E771D1">
      <w:pPr>
        <w:pStyle w:val="TableFooter"/>
        <w:widowControl/>
        <w:ind w:left="709"/>
        <w:rPr>
          <w:lang w:val="en-GB"/>
        </w:rPr>
      </w:pPr>
      <w:proofErr w:type="gramStart"/>
      <w:r w:rsidRPr="00B010BF">
        <w:rPr>
          <w:vertAlign w:val="superscript"/>
          <w:lang w:val="en-GB"/>
        </w:rPr>
        <w:t>c</w:t>
      </w:r>
      <w:proofErr w:type="gramEnd"/>
      <w:r w:rsidRPr="00B010BF">
        <w:rPr>
          <w:lang w:val="en-GB"/>
        </w:rPr>
        <w:t xml:space="preserve"> </w:t>
      </w:r>
      <w:r w:rsidR="00047312" w:rsidRPr="00B010BF">
        <w:rPr>
          <w:lang w:val="en-GB"/>
        </w:rPr>
        <w:t>P</w:t>
      </w:r>
      <w:r w:rsidRPr="00B010BF">
        <w:rPr>
          <w:lang w:val="en-GB"/>
        </w:rPr>
        <w:t>atients treated in the second</w:t>
      </w:r>
      <w:r w:rsidR="00D25FC6" w:rsidRPr="00B010BF">
        <w:rPr>
          <w:lang w:val="en-GB"/>
        </w:rPr>
        <w:t>-</w:t>
      </w:r>
      <w:r w:rsidRPr="00B010BF">
        <w:rPr>
          <w:lang w:val="en-GB"/>
        </w:rPr>
        <w:t>line setting</w:t>
      </w:r>
    </w:p>
    <w:p w:rsidR="007F1017" w:rsidRPr="00B010BF" w:rsidRDefault="007F1017" w:rsidP="00903665">
      <w:pPr>
        <w:widowControl/>
        <w:rPr>
          <w:lang w:val="en-GB"/>
        </w:rPr>
      </w:pPr>
    </w:p>
    <w:p w:rsidR="003C3E66" w:rsidRPr="00B010BF" w:rsidRDefault="003C3E66" w:rsidP="00A728F8">
      <w:pPr>
        <w:pStyle w:val="ListParagraph"/>
        <w:widowControl/>
        <w:numPr>
          <w:ilvl w:val="1"/>
          <w:numId w:val="2"/>
        </w:numPr>
        <w:rPr>
          <w:szCs w:val="22"/>
          <w:lang w:val="en-GB"/>
        </w:rPr>
      </w:pPr>
      <w:r w:rsidRPr="00B010BF">
        <w:rPr>
          <w:lang w:val="en-GB"/>
        </w:rPr>
        <w:lastRenderedPageBreak/>
        <w:t xml:space="preserve">The proposed PBS population differed from the Study 309 population as the </w:t>
      </w:r>
      <w:r w:rsidR="0061593E" w:rsidRPr="00B010BF">
        <w:rPr>
          <w:lang w:val="en-GB"/>
        </w:rPr>
        <w:t xml:space="preserve">requested </w:t>
      </w:r>
      <w:r w:rsidRPr="00B010BF">
        <w:rPr>
          <w:lang w:val="en-GB"/>
        </w:rPr>
        <w:t xml:space="preserve">PBS </w:t>
      </w:r>
      <w:r w:rsidR="0061593E" w:rsidRPr="00B010BF">
        <w:rPr>
          <w:lang w:val="en-GB"/>
        </w:rPr>
        <w:t>listing</w:t>
      </w:r>
      <w:r w:rsidRPr="00B010BF">
        <w:rPr>
          <w:lang w:val="en-GB"/>
        </w:rPr>
        <w:t>:</w:t>
      </w:r>
    </w:p>
    <w:p w:rsidR="003C3E66" w:rsidRPr="00B010BF" w:rsidRDefault="003C3E66" w:rsidP="00A728F8">
      <w:pPr>
        <w:pStyle w:val="ListParagraph"/>
        <w:widowControl/>
        <w:numPr>
          <w:ilvl w:val="0"/>
          <w:numId w:val="4"/>
        </w:numPr>
        <w:rPr>
          <w:lang w:val="en-GB"/>
        </w:rPr>
      </w:pPr>
      <w:r w:rsidRPr="00B010BF">
        <w:rPr>
          <w:lang w:val="en-GB"/>
        </w:rPr>
        <w:t xml:space="preserve">limited </w:t>
      </w:r>
      <w:proofErr w:type="spellStart"/>
      <w:r w:rsidRPr="00B010BF">
        <w:rPr>
          <w:lang w:val="en-GB"/>
        </w:rPr>
        <w:t>eribulin</w:t>
      </w:r>
      <w:proofErr w:type="spellEnd"/>
      <w:r w:rsidRPr="00B010BF">
        <w:rPr>
          <w:lang w:val="en-GB"/>
        </w:rPr>
        <w:t xml:space="preserve"> to patients with </w:t>
      </w:r>
      <w:proofErr w:type="spellStart"/>
      <w:r w:rsidRPr="00B010BF">
        <w:rPr>
          <w:lang w:val="en-GB"/>
        </w:rPr>
        <w:t>liposarcoma</w:t>
      </w:r>
      <w:proofErr w:type="spellEnd"/>
      <w:r w:rsidRPr="00B010BF">
        <w:rPr>
          <w:lang w:val="en-GB"/>
        </w:rPr>
        <w:t xml:space="preserve"> (Study 309</w:t>
      </w:r>
      <w:r w:rsidR="00693C21" w:rsidRPr="00B010BF">
        <w:rPr>
          <w:lang w:val="en-GB"/>
        </w:rPr>
        <w:t xml:space="preserve"> [N=452]</w:t>
      </w:r>
      <w:r w:rsidRPr="00B010BF">
        <w:rPr>
          <w:lang w:val="en-GB"/>
        </w:rPr>
        <w:t xml:space="preserve"> </w:t>
      </w:r>
      <w:r w:rsidR="0061593E" w:rsidRPr="00B010BF">
        <w:rPr>
          <w:lang w:val="en-GB"/>
        </w:rPr>
        <w:t xml:space="preserve">included </w:t>
      </w:r>
      <w:r w:rsidRPr="00B010BF">
        <w:rPr>
          <w:lang w:val="en-GB"/>
        </w:rPr>
        <w:t xml:space="preserve">patients with </w:t>
      </w:r>
      <w:proofErr w:type="spellStart"/>
      <w:r w:rsidRPr="00B010BF">
        <w:rPr>
          <w:lang w:val="en-GB"/>
        </w:rPr>
        <w:t>liposarcoma</w:t>
      </w:r>
      <w:proofErr w:type="spellEnd"/>
      <w:r w:rsidRPr="00B010BF">
        <w:rPr>
          <w:lang w:val="en-GB"/>
        </w:rPr>
        <w:t xml:space="preserve"> </w:t>
      </w:r>
      <w:r w:rsidR="00B94BC4" w:rsidRPr="00B010BF">
        <w:rPr>
          <w:lang w:val="en-GB"/>
        </w:rPr>
        <w:t xml:space="preserve">[n=143] </w:t>
      </w:r>
      <w:r w:rsidRPr="00B010BF">
        <w:rPr>
          <w:lang w:val="en-GB"/>
        </w:rPr>
        <w:t xml:space="preserve">and </w:t>
      </w:r>
      <w:proofErr w:type="spellStart"/>
      <w:r w:rsidRPr="00B010BF">
        <w:rPr>
          <w:lang w:val="en-GB"/>
        </w:rPr>
        <w:t>leiomyosarcoma</w:t>
      </w:r>
      <w:proofErr w:type="spellEnd"/>
      <w:r w:rsidR="00B94BC4" w:rsidRPr="00B010BF">
        <w:rPr>
          <w:lang w:val="en-GB"/>
        </w:rPr>
        <w:t xml:space="preserve"> [</w:t>
      </w:r>
      <w:r w:rsidR="00693C21" w:rsidRPr="00B010BF">
        <w:rPr>
          <w:lang w:val="en-GB"/>
        </w:rPr>
        <w:t>n=309</w:t>
      </w:r>
      <w:r w:rsidR="00B94BC4" w:rsidRPr="00B010BF">
        <w:rPr>
          <w:lang w:val="en-GB"/>
        </w:rPr>
        <w:t>]</w:t>
      </w:r>
      <w:r w:rsidRPr="00B010BF">
        <w:rPr>
          <w:lang w:val="en-GB"/>
        </w:rPr>
        <w:t>)</w:t>
      </w:r>
      <w:r w:rsidRPr="00B010BF">
        <w:rPr>
          <w:szCs w:val="22"/>
          <w:lang w:val="en-GB"/>
        </w:rPr>
        <w:t>;</w:t>
      </w:r>
      <w:r w:rsidRPr="00B010BF">
        <w:rPr>
          <w:lang w:val="en-GB"/>
        </w:rPr>
        <w:t xml:space="preserve"> and </w:t>
      </w:r>
    </w:p>
    <w:p w:rsidR="003C3E66" w:rsidRDefault="003C3E66" w:rsidP="00A728F8">
      <w:pPr>
        <w:pStyle w:val="ListParagraph"/>
        <w:widowControl/>
        <w:numPr>
          <w:ilvl w:val="0"/>
          <w:numId w:val="4"/>
        </w:numPr>
        <w:rPr>
          <w:lang w:val="en-GB"/>
        </w:rPr>
      </w:pPr>
      <w:proofErr w:type="gramStart"/>
      <w:r w:rsidRPr="00B010BF">
        <w:rPr>
          <w:lang w:val="en-GB"/>
        </w:rPr>
        <w:t>required</w:t>
      </w:r>
      <w:proofErr w:type="gramEnd"/>
      <w:r w:rsidRPr="00B010BF">
        <w:rPr>
          <w:lang w:val="en-GB"/>
        </w:rPr>
        <w:t xml:space="preserve"> patients to have failed at least one prior therapy</w:t>
      </w:r>
      <w:r w:rsidR="0061593E" w:rsidRPr="00B010BF">
        <w:rPr>
          <w:lang w:val="en-GB"/>
        </w:rPr>
        <w:t xml:space="preserve">, including an </w:t>
      </w:r>
      <w:proofErr w:type="spellStart"/>
      <w:r w:rsidR="0061593E" w:rsidRPr="00B010BF">
        <w:rPr>
          <w:lang w:val="en-GB"/>
        </w:rPr>
        <w:t>anthracycline</w:t>
      </w:r>
      <w:proofErr w:type="spellEnd"/>
      <w:r w:rsidR="0061593E" w:rsidRPr="00B010BF">
        <w:rPr>
          <w:lang w:val="en-GB"/>
        </w:rPr>
        <w:t>, whereas</w:t>
      </w:r>
      <w:r w:rsidRPr="00B010BF">
        <w:rPr>
          <w:lang w:val="en-GB"/>
        </w:rPr>
        <w:t xml:space="preserve"> Study 309 required patients to have failed</w:t>
      </w:r>
      <w:r w:rsidR="004E2076">
        <w:rPr>
          <w:lang w:val="en-GB"/>
        </w:rPr>
        <w:t xml:space="preserve"> at least two prior treatments.</w:t>
      </w:r>
    </w:p>
    <w:p w:rsidR="007F1017" w:rsidRPr="00B010BF" w:rsidRDefault="007F1017" w:rsidP="00903665">
      <w:pPr>
        <w:widowControl/>
        <w:rPr>
          <w:lang w:val="en-GB"/>
        </w:rPr>
      </w:pPr>
    </w:p>
    <w:p w:rsidR="001E45FF" w:rsidRDefault="000D7464" w:rsidP="001E45FF">
      <w:pPr>
        <w:pStyle w:val="ListParagraph"/>
        <w:numPr>
          <w:ilvl w:val="1"/>
          <w:numId w:val="2"/>
        </w:numPr>
        <w:rPr>
          <w:lang w:val="en-GB"/>
        </w:rPr>
      </w:pPr>
      <w:r w:rsidRPr="00B010BF">
        <w:rPr>
          <w:szCs w:val="22"/>
          <w:lang w:val="en-GB"/>
        </w:rPr>
        <w:t xml:space="preserve">The submission presented the subgroup of patients with </w:t>
      </w:r>
      <w:proofErr w:type="spellStart"/>
      <w:r w:rsidRPr="00B010BF">
        <w:rPr>
          <w:szCs w:val="22"/>
          <w:lang w:val="en-GB"/>
        </w:rPr>
        <w:t>liposarcoma</w:t>
      </w:r>
      <w:proofErr w:type="spellEnd"/>
      <w:r w:rsidRPr="00B010BF">
        <w:rPr>
          <w:szCs w:val="22"/>
          <w:lang w:val="en-GB"/>
        </w:rPr>
        <w:t xml:space="preserve"> for efficacy outcomes</w:t>
      </w:r>
      <w:r w:rsidR="008660D2" w:rsidRPr="00B010BF">
        <w:rPr>
          <w:szCs w:val="22"/>
          <w:lang w:val="en-GB"/>
        </w:rPr>
        <w:t xml:space="preserve"> and the whole trial population</w:t>
      </w:r>
      <w:r w:rsidRPr="00B010BF">
        <w:rPr>
          <w:szCs w:val="22"/>
          <w:lang w:val="en-GB"/>
        </w:rPr>
        <w:t xml:space="preserve"> for safety outcomes</w:t>
      </w:r>
      <w:r w:rsidR="003C3E66" w:rsidRPr="00B010BF">
        <w:rPr>
          <w:color w:val="3366FF"/>
          <w:szCs w:val="22"/>
          <w:lang w:val="en-GB"/>
        </w:rPr>
        <w:t>.</w:t>
      </w:r>
      <w:r w:rsidRPr="00B010BF">
        <w:rPr>
          <w:lang w:val="en-GB"/>
        </w:rPr>
        <w:t xml:space="preserve"> </w:t>
      </w:r>
      <w:r w:rsidR="00856384" w:rsidRPr="00B010BF">
        <w:rPr>
          <w:lang w:val="en-GB"/>
        </w:rPr>
        <w:t>No safety outcomes were provided for the subgrou</w:t>
      </w:r>
      <w:r w:rsidR="004E2076">
        <w:rPr>
          <w:lang w:val="en-GB"/>
        </w:rPr>
        <w:t xml:space="preserve">p of patients with </w:t>
      </w:r>
      <w:proofErr w:type="spellStart"/>
      <w:r w:rsidR="004E2076">
        <w:rPr>
          <w:lang w:val="en-GB"/>
        </w:rPr>
        <w:t>liposarcoma</w:t>
      </w:r>
      <w:proofErr w:type="spellEnd"/>
      <w:r w:rsidR="004E2076">
        <w:rPr>
          <w:lang w:val="en-GB"/>
        </w:rPr>
        <w:t>.</w:t>
      </w:r>
    </w:p>
    <w:p w:rsidR="001E45FF" w:rsidRDefault="001E45FF" w:rsidP="001E45FF">
      <w:pPr>
        <w:pStyle w:val="ListParagraph"/>
        <w:rPr>
          <w:lang w:val="en-GB"/>
        </w:rPr>
      </w:pPr>
    </w:p>
    <w:p w:rsidR="00B26420" w:rsidRPr="001E45FF" w:rsidRDefault="001E45FF" w:rsidP="001E45FF">
      <w:pPr>
        <w:pStyle w:val="ListParagraph"/>
        <w:numPr>
          <w:ilvl w:val="1"/>
          <w:numId w:val="2"/>
        </w:numPr>
        <w:rPr>
          <w:lang w:val="en-GB"/>
        </w:rPr>
      </w:pPr>
      <w:r w:rsidRPr="001E45FF">
        <w:rPr>
          <w:lang w:val="en-GB"/>
        </w:rPr>
        <w:t xml:space="preserve">The PBAC noted that Study 309 was not powered to identify a difference in </w:t>
      </w:r>
      <w:r w:rsidR="00911318">
        <w:rPr>
          <w:lang w:val="en-GB"/>
        </w:rPr>
        <w:t xml:space="preserve">survival across the </w:t>
      </w:r>
      <w:r w:rsidRPr="001E45FF">
        <w:rPr>
          <w:lang w:val="en-GB"/>
        </w:rPr>
        <w:t>treatment arms for the</w:t>
      </w:r>
      <w:r>
        <w:rPr>
          <w:lang w:val="en-GB"/>
        </w:rPr>
        <w:t xml:space="preserve"> </w:t>
      </w:r>
      <w:proofErr w:type="spellStart"/>
      <w:r>
        <w:rPr>
          <w:lang w:val="en-GB"/>
        </w:rPr>
        <w:t>liposarcoma</w:t>
      </w:r>
      <w:proofErr w:type="spellEnd"/>
      <w:r>
        <w:rPr>
          <w:lang w:val="en-GB"/>
        </w:rPr>
        <w:t xml:space="preserve"> subgroup, and that</w:t>
      </w:r>
      <w:r w:rsidRPr="001E45FF">
        <w:rPr>
          <w:lang w:val="en-GB"/>
        </w:rPr>
        <w:t xml:space="preserve"> results req</w:t>
      </w:r>
      <w:r w:rsidR="004E2076">
        <w:rPr>
          <w:lang w:val="en-GB"/>
        </w:rPr>
        <w:t>uire caution in interpretation.</w:t>
      </w:r>
    </w:p>
    <w:p w:rsidR="00BC14E4" w:rsidRPr="00B010BF" w:rsidRDefault="00BC14E4" w:rsidP="00903665">
      <w:pPr>
        <w:widowControl/>
        <w:rPr>
          <w:szCs w:val="22"/>
          <w:lang w:val="en-GB"/>
        </w:rPr>
      </w:pPr>
    </w:p>
    <w:p w:rsidR="00B60939" w:rsidRPr="00A43FAA" w:rsidRDefault="00B60939" w:rsidP="00903665">
      <w:pPr>
        <w:pStyle w:val="Heading3"/>
        <w:widowControl/>
      </w:pPr>
      <w:bookmarkStart w:id="9" w:name="_Toc461622505"/>
      <w:r w:rsidRPr="00A43FAA">
        <w:t>Comparative effectiveness</w:t>
      </w:r>
      <w:bookmarkEnd w:id="9"/>
    </w:p>
    <w:p w:rsidR="00B60939" w:rsidRPr="00B010BF" w:rsidRDefault="00B60939" w:rsidP="00903665">
      <w:pPr>
        <w:keepNext/>
        <w:widowControl/>
        <w:rPr>
          <w:szCs w:val="22"/>
          <w:lang w:val="en-GB"/>
        </w:rPr>
      </w:pPr>
    </w:p>
    <w:p w:rsidR="002C2775" w:rsidRPr="00B010BF" w:rsidRDefault="0086285B" w:rsidP="00A728F8">
      <w:pPr>
        <w:pStyle w:val="ListParagraph"/>
        <w:keepNext/>
        <w:widowControl/>
        <w:numPr>
          <w:ilvl w:val="1"/>
          <w:numId w:val="2"/>
        </w:numPr>
        <w:rPr>
          <w:szCs w:val="22"/>
          <w:lang w:val="en-GB"/>
        </w:rPr>
      </w:pPr>
      <w:r w:rsidRPr="00B010BF">
        <w:rPr>
          <w:szCs w:val="22"/>
          <w:lang w:val="en-GB"/>
        </w:rPr>
        <w:t xml:space="preserve">The results for overall survival from Study 309 are presented in Table 3 and Figures 1 and 2 for the intention-to-treat (ITT) </w:t>
      </w:r>
      <w:r w:rsidR="0037468B" w:rsidRPr="00B010BF">
        <w:rPr>
          <w:szCs w:val="22"/>
          <w:lang w:val="en-GB"/>
        </w:rPr>
        <w:t xml:space="preserve">population </w:t>
      </w:r>
      <w:r w:rsidRPr="00B010BF">
        <w:rPr>
          <w:szCs w:val="22"/>
          <w:lang w:val="en-GB"/>
        </w:rPr>
        <w:t xml:space="preserve">and subgroup of patients with </w:t>
      </w:r>
      <w:proofErr w:type="spellStart"/>
      <w:r w:rsidRPr="00B010BF">
        <w:rPr>
          <w:szCs w:val="22"/>
          <w:lang w:val="en-GB"/>
        </w:rPr>
        <w:t>liposarcoma</w:t>
      </w:r>
      <w:proofErr w:type="spellEnd"/>
      <w:r w:rsidRPr="00B010BF">
        <w:rPr>
          <w:szCs w:val="22"/>
          <w:lang w:val="en-GB"/>
        </w:rPr>
        <w:t>.</w:t>
      </w:r>
    </w:p>
    <w:p w:rsidR="00D25FC6" w:rsidRPr="00B010BF" w:rsidRDefault="00D25FC6" w:rsidP="00903665">
      <w:pPr>
        <w:keepNext/>
        <w:widowControl/>
        <w:rPr>
          <w:rStyle w:val="CommentReference"/>
        </w:rPr>
      </w:pPr>
    </w:p>
    <w:p w:rsidR="001028CA" w:rsidRDefault="001028CA" w:rsidP="00E771D1">
      <w:pPr>
        <w:pStyle w:val="Caption"/>
        <w:keepNext/>
        <w:widowControl/>
        <w:ind w:firstLine="709"/>
        <w:rPr>
          <w:vertAlign w:val="superscript"/>
        </w:rPr>
      </w:pPr>
      <w:r w:rsidRPr="00F239B7">
        <w:t xml:space="preserve">Table </w:t>
      </w:r>
      <w:r w:rsidR="00556B92">
        <w:rPr>
          <w:noProof/>
        </w:rPr>
        <w:t>3</w:t>
      </w:r>
      <w:r w:rsidRPr="00B010BF">
        <w:t xml:space="preserve">: Summary of the overall survival </w:t>
      </w:r>
      <w:r w:rsidR="002A36A0">
        <w:t xml:space="preserve">(OS) </w:t>
      </w:r>
      <w:r w:rsidRPr="00B010BF">
        <w:t>– median follow-up 31 months (Study 309)</w:t>
      </w:r>
      <w:r w:rsidR="000F21C2" w:rsidRPr="00B010BF">
        <w:t xml:space="preserve"> </w:t>
      </w:r>
      <w:r w:rsidR="000F21C2" w:rsidRPr="00B010BF">
        <w:rPr>
          <w:vertAlign w:val="superscript"/>
        </w:rPr>
        <w:t>a</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76"/>
        <w:gridCol w:w="1243"/>
        <w:gridCol w:w="1307"/>
        <w:gridCol w:w="1025"/>
        <w:gridCol w:w="1242"/>
        <w:gridCol w:w="1090"/>
        <w:gridCol w:w="1162"/>
      </w:tblGrid>
      <w:tr w:rsidR="00BC14E4" w:rsidRPr="00FA0FE5" w:rsidTr="00E771D1">
        <w:trPr>
          <w:tblHeader/>
        </w:trPr>
        <w:tc>
          <w:tcPr>
            <w:tcW w:w="765" w:type="pct"/>
            <w:vMerge w:val="restart"/>
            <w:vAlign w:val="center"/>
          </w:tcPr>
          <w:p w:rsidR="00BC14E4" w:rsidRPr="00FA0FE5" w:rsidRDefault="00BC14E4" w:rsidP="003223D2">
            <w:pPr>
              <w:keepNext/>
              <w:widowControl/>
              <w:jc w:val="left"/>
              <w:rPr>
                <w:rFonts w:ascii="Arial Narrow" w:hAnsi="Arial Narrow"/>
                <w:color w:val="000000" w:themeColor="text1"/>
                <w:sz w:val="20"/>
              </w:rPr>
            </w:pPr>
          </w:p>
        </w:tc>
        <w:tc>
          <w:tcPr>
            <w:tcW w:w="1528" w:type="pct"/>
            <w:gridSpan w:val="2"/>
            <w:vAlign w:val="center"/>
          </w:tcPr>
          <w:p w:rsidR="00BC14E4" w:rsidRPr="0023426E" w:rsidRDefault="00BC14E4" w:rsidP="003223D2">
            <w:pPr>
              <w:keepNext/>
              <w:widowControl/>
              <w:jc w:val="center"/>
              <w:rPr>
                <w:rFonts w:ascii="Arial Narrow" w:hAnsi="Arial Narrow"/>
                <w:b/>
                <w:color w:val="000000" w:themeColor="text1"/>
                <w:sz w:val="20"/>
              </w:rPr>
            </w:pPr>
            <w:r w:rsidRPr="0023426E">
              <w:rPr>
                <w:rFonts w:ascii="Arial Narrow" w:hAnsi="Arial Narrow"/>
                <w:b/>
                <w:color w:val="000000" w:themeColor="text1"/>
                <w:sz w:val="20"/>
              </w:rPr>
              <w:t>ITT analysis</w:t>
            </w:r>
          </w:p>
          <w:p w:rsidR="00BC14E4" w:rsidRPr="0023426E" w:rsidRDefault="00BC14E4" w:rsidP="003223D2">
            <w:pPr>
              <w:keepNext/>
              <w:widowControl/>
              <w:jc w:val="center"/>
              <w:rPr>
                <w:rFonts w:ascii="Arial Narrow" w:hAnsi="Arial Narrow"/>
                <w:b/>
                <w:sz w:val="20"/>
                <w:lang w:val="en-US"/>
              </w:rPr>
            </w:pPr>
            <w:r w:rsidRPr="0023426E">
              <w:rPr>
                <w:rFonts w:ascii="Arial Narrow" w:hAnsi="Arial Narrow"/>
                <w:b/>
                <w:color w:val="000000" w:themeColor="text1"/>
                <w:sz w:val="20"/>
              </w:rPr>
              <w:t>N = 452</w:t>
            </w:r>
          </w:p>
        </w:tc>
        <w:tc>
          <w:tcPr>
            <w:tcW w:w="1358" w:type="pct"/>
            <w:gridSpan w:val="2"/>
          </w:tcPr>
          <w:p w:rsidR="00BC14E4" w:rsidRPr="0023426E" w:rsidRDefault="00BC14E4" w:rsidP="003223D2">
            <w:pPr>
              <w:keepNext/>
              <w:widowControl/>
              <w:jc w:val="center"/>
              <w:rPr>
                <w:rFonts w:ascii="Arial Narrow" w:hAnsi="Arial Narrow"/>
                <w:b/>
                <w:color w:val="000000" w:themeColor="text1"/>
                <w:sz w:val="20"/>
              </w:rPr>
            </w:pPr>
            <w:proofErr w:type="spellStart"/>
            <w:r w:rsidRPr="0023426E">
              <w:rPr>
                <w:rFonts w:ascii="Arial Narrow" w:hAnsi="Arial Narrow"/>
                <w:b/>
                <w:color w:val="000000" w:themeColor="text1"/>
                <w:sz w:val="20"/>
              </w:rPr>
              <w:t>Liposarcoma</w:t>
            </w:r>
            <w:proofErr w:type="spellEnd"/>
          </w:p>
          <w:p w:rsidR="00BC14E4" w:rsidRPr="0023426E" w:rsidRDefault="00BC14E4" w:rsidP="003223D2">
            <w:pPr>
              <w:keepNext/>
              <w:widowControl/>
              <w:jc w:val="center"/>
              <w:rPr>
                <w:rFonts w:ascii="Arial Narrow" w:hAnsi="Arial Narrow"/>
                <w:b/>
                <w:sz w:val="20"/>
                <w:lang w:val="en-US"/>
              </w:rPr>
            </w:pPr>
            <w:r w:rsidRPr="0023426E">
              <w:rPr>
                <w:rFonts w:ascii="Arial Narrow" w:hAnsi="Arial Narrow"/>
                <w:b/>
                <w:color w:val="000000" w:themeColor="text1"/>
                <w:sz w:val="20"/>
              </w:rPr>
              <w:t>n = 143, (31.6% ITT)</w:t>
            </w:r>
          </w:p>
        </w:tc>
        <w:tc>
          <w:tcPr>
            <w:tcW w:w="1349" w:type="pct"/>
            <w:gridSpan w:val="2"/>
          </w:tcPr>
          <w:p w:rsidR="00BC14E4" w:rsidRPr="0023426E" w:rsidRDefault="00BC14E4" w:rsidP="003223D2">
            <w:pPr>
              <w:keepNext/>
              <w:widowControl/>
              <w:jc w:val="center"/>
              <w:rPr>
                <w:rFonts w:ascii="Arial Narrow" w:hAnsi="Arial Narrow"/>
                <w:b/>
                <w:color w:val="000000" w:themeColor="text1"/>
                <w:sz w:val="20"/>
              </w:rPr>
            </w:pPr>
            <w:proofErr w:type="spellStart"/>
            <w:r w:rsidRPr="0023426E">
              <w:rPr>
                <w:rFonts w:ascii="Arial Narrow" w:hAnsi="Arial Narrow"/>
                <w:b/>
                <w:color w:val="000000" w:themeColor="text1"/>
                <w:sz w:val="20"/>
              </w:rPr>
              <w:t>Leiomyosarcoma</w:t>
            </w:r>
            <w:proofErr w:type="spellEnd"/>
          </w:p>
          <w:p w:rsidR="00BC14E4" w:rsidRPr="0023426E" w:rsidRDefault="00BC14E4" w:rsidP="003223D2">
            <w:pPr>
              <w:keepNext/>
              <w:widowControl/>
              <w:jc w:val="center"/>
              <w:rPr>
                <w:rFonts w:ascii="Arial Narrow" w:hAnsi="Arial Narrow"/>
                <w:b/>
                <w:sz w:val="20"/>
                <w:lang w:val="en-US"/>
              </w:rPr>
            </w:pPr>
            <w:r w:rsidRPr="0023426E">
              <w:rPr>
                <w:rFonts w:ascii="Arial Narrow" w:hAnsi="Arial Narrow"/>
                <w:b/>
                <w:color w:val="000000" w:themeColor="text1"/>
                <w:sz w:val="20"/>
              </w:rPr>
              <w:t>N = 309, (68.4% ITT)</w:t>
            </w:r>
          </w:p>
        </w:tc>
      </w:tr>
      <w:tr w:rsidR="00BC14E4" w:rsidRPr="00FA0FE5" w:rsidTr="00E771D1">
        <w:trPr>
          <w:tblHeader/>
        </w:trPr>
        <w:tc>
          <w:tcPr>
            <w:tcW w:w="765" w:type="pct"/>
            <w:vMerge/>
            <w:vAlign w:val="center"/>
          </w:tcPr>
          <w:p w:rsidR="00BC14E4" w:rsidRPr="00FA0FE5" w:rsidRDefault="00BC14E4" w:rsidP="003223D2">
            <w:pPr>
              <w:keepNext/>
              <w:widowControl/>
              <w:jc w:val="left"/>
              <w:rPr>
                <w:rFonts w:ascii="Arial Narrow" w:hAnsi="Arial Narrow"/>
                <w:color w:val="000000" w:themeColor="text1"/>
                <w:sz w:val="20"/>
              </w:rPr>
            </w:pPr>
          </w:p>
        </w:tc>
        <w:tc>
          <w:tcPr>
            <w:tcW w:w="745" w:type="pct"/>
            <w:vAlign w:val="center"/>
          </w:tcPr>
          <w:p w:rsidR="00BC14E4" w:rsidRPr="0023426E" w:rsidRDefault="00BC14E4" w:rsidP="003223D2">
            <w:pPr>
              <w:keepNext/>
              <w:widowControl/>
              <w:jc w:val="center"/>
              <w:rPr>
                <w:rFonts w:ascii="Arial Narrow" w:hAnsi="Arial Narrow"/>
                <w:b/>
                <w:sz w:val="20"/>
                <w:lang w:val="en-US"/>
              </w:rPr>
            </w:pPr>
            <w:proofErr w:type="spellStart"/>
            <w:r w:rsidRPr="0023426E">
              <w:rPr>
                <w:rFonts w:ascii="Arial Narrow" w:hAnsi="Arial Narrow"/>
                <w:b/>
                <w:sz w:val="20"/>
                <w:lang w:val="en-US"/>
              </w:rPr>
              <w:t>Eribulin</w:t>
            </w:r>
            <w:proofErr w:type="spellEnd"/>
          </w:p>
        </w:tc>
        <w:tc>
          <w:tcPr>
            <w:tcW w:w="783" w:type="pct"/>
            <w:vAlign w:val="center"/>
          </w:tcPr>
          <w:p w:rsidR="00BC14E4" w:rsidRPr="0023426E" w:rsidRDefault="00BC14E4" w:rsidP="003223D2">
            <w:pPr>
              <w:keepNext/>
              <w:widowControl/>
              <w:jc w:val="center"/>
              <w:rPr>
                <w:rFonts w:ascii="Arial Narrow" w:hAnsi="Arial Narrow"/>
                <w:b/>
                <w:sz w:val="20"/>
                <w:lang w:val="en-US"/>
              </w:rPr>
            </w:pPr>
            <w:proofErr w:type="spellStart"/>
            <w:r w:rsidRPr="0023426E">
              <w:rPr>
                <w:rFonts w:ascii="Arial Narrow" w:hAnsi="Arial Narrow"/>
                <w:b/>
                <w:sz w:val="20"/>
                <w:lang w:val="en-US"/>
              </w:rPr>
              <w:t>Dacarbazine</w:t>
            </w:r>
            <w:proofErr w:type="spellEnd"/>
          </w:p>
        </w:tc>
        <w:tc>
          <w:tcPr>
            <w:tcW w:w="614" w:type="pct"/>
            <w:vAlign w:val="center"/>
          </w:tcPr>
          <w:p w:rsidR="00BC14E4" w:rsidRPr="0023426E" w:rsidRDefault="00BC14E4" w:rsidP="003223D2">
            <w:pPr>
              <w:keepNext/>
              <w:widowControl/>
              <w:jc w:val="center"/>
              <w:rPr>
                <w:rFonts w:ascii="Arial Narrow" w:hAnsi="Arial Narrow"/>
                <w:b/>
                <w:sz w:val="20"/>
                <w:lang w:val="en-US"/>
              </w:rPr>
            </w:pPr>
            <w:proofErr w:type="spellStart"/>
            <w:r w:rsidRPr="0023426E">
              <w:rPr>
                <w:rFonts w:ascii="Arial Narrow" w:hAnsi="Arial Narrow"/>
                <w:b/>
                <w:sz w:val="20"/>
                <w:lang w:val="en-US"/>
              </w:rPr>
              <w:t>Eribulin</w:t>
            </w:r>
            <w:proofErr w:type="spellEnd"/>
          </w:p>
        </w:tc>
        <w:tc>
          <w:tcPr>
            <w:tcW w:w="744" w:type="pct"/>
            <w:vAlign w:val="center"/>
          </w:tcPr>
          <w:p w:rsidR="00BC14E4" w:rsidRPr="0023426E" w:rsidRDefault="00BC14E4" w:rsidP="003223D2">
            <w:pPr>
              <w:keepNext/>
              <w:widowControl/>
              <w:jc w:val="center"/>
              <w:rPr>
                <w:rFonts w:ascii="Arial Narrow" w:hAnsi="Arial Narrow"/>
                <w:b/>
                <w:sz w:val="20"/>
                <w:lang w:val="en-US"/>
              </w:rPr>
            </w:pPr>
            <w:proofErr w:type="spellStart"/>
            <w:r w:rsidRPr="0023426E">
              <w:rPr>
                <w:rFonts w:ascii="Arial Narrow" w:hAnsi="Arial Narrow"/>
                <w:b/>
                <w:sz w:val="20"/>
                <w:lang w:val="en-US"/>
              </w:rPr>
              <w:t>Dacarbazine</w:t>
            </w:r>
            <w:proofErr w:type="spellEnd"/>
          </w:p>
        </w:tc>
        <w:tc>
          <w:tcPr>
            <w:tcW w:w="653" w:type="pct"/>
            <w:vAlign w:val="center"/>
          </w:tcPr>
          <w:p w:rsidR="00BC14E4" w:rsidRPr="0023426E" w:rsidRDefault="00BC14E4" w:rsidP="003223D2">
            <w:pPr>
              <w:keepNext/>
              <w:widowControl/>
              <w:jc w:val="center"/>
              <w:rPr>
                <w:rFonts w:ascii="Arial Narrow" w:hAnsi="Arial Narrow"/>
                <w:b/>
                <w:sz w:val="20"/>
                <w:lang w:val="en-US"/>
              </w:rPr>
            </w:pPr>
            <w:proofErr w:type="spellStart"/>
            <w:r w:rsidRPr="0023426E">
              <w:rPr>
                <w:rFonts w:ascii="Arial Narrow" w:hAnsi="Arial Narrow"/>
                <w:b/>
                <w:sz w:val="20"/>
                <w:lang w:val="en-US"/>
              </w:rPr>
              <w:t>Eribulin</w:t>
            </w:r>
            <w:proofErr w:type="spellEnd"/>
          </w:p>
        </w:tc>
        <w:tc>
          <w:tcPr>
            <w:tcW w:w="696" w:type="pct"/>
            <w:vAlign w:val="center"/>
          </w:tcPr>
          <w:p w:rsidR="00BC14E4" w:rsidRPr="0023426E" w:rsidRDefault="00BC14E4" w:rsidP="003223D2">
            <w:pPr>
              <w:keepNext/>
              <w:widowControl/>
              <w:jc w:val="center"/>
              <w:rPr>
                <w:rFonts w:ascii="Arial Narrow" w:hAnsi="Arial Narrow"/>
                <w:b/>
                <w:sz w:val="20"/>
                <w:lang w:val="en-US"/>
              </w:rPr>
            </w:pPr>
            <w:proofErr w:type="spellStart"/>
            <w:r w:rsidRPr="0023426E">
              <w:rPr>
                <w:rFonts w:ascii="Arial Narrow" w:hAnsi="Arial Narrow"/>
                <w:b/>
                <w:sz w:val="20"/>
                <w:lang w:val="en-US"/>
              </w:rPr>
              <w:t>Dacarbazine</w:t>
            </w:r>
            <w:proofErr w:type="spellEnd"/>
          </w:p>
        </w:tc>
      </w:tr>
      <w:tr w:rsidR="00BC14E4" w:rsidRPr="00FA0FE5" w:rsidTr="00E771D1">
        <w:trPr>
          <w:tblHeader/>
        </w:trPr>
        <w:tc>
          <w:tcPr>
            <w:tcW w:w="765" w:type="pct"/>
            <w:vAlign w:val="center"/>
          </w:tcPr>
          <w:p w:rsidR="00BC14E4" w:rsidRPr="00FA0FE5" w:rsidRDefault="00BC14E4" w:rsidP="003223D2">
            <w:pPr>
              <w:keepNext/>
              <w:widowControl/>
              <w:jc w:val="left"/>
              <w:rPr>
                <w:rFonts w:ascii="Arial Narrow" w:hAnsi="Arial Narrow"/>
                <w:color w:val="000000" w:themeColor="text1"/>
                <w:sz w:val="20"/>
              </w:rPr>
            </w:pPr>
            <w:r>
              <w:rPr>
                <w:rFonts w:ascii="Arial Narrow" w:hAnsi="Arial Narrow"/>
                <w:color w:val="000000" w:themeColor="text1"/>
                <w:sz w:val="20"/>
              </w:rPr>
              <w:t>N</w:t>
            </w:r>
          </w:p>
        </w:tc>
        <w:tc>
          <w:tcPr>
            <w:tcW w:w="745" w:type="pct"/>
            <w:vAlign w:val="center"/>
          </w:tcPr>
          <w:p w:rsidR="00BC14E4" w:rsidRPr="0023426E" w:rsidRDefault="00BC14E4" w:rsidP="003223D2">
            <w:pPr>
              <w:keepNext/>
              <w:widowControl/>
              <w:jc w:val="center"/>
              <w:rPr>
                <w:rFonts w:ascii="Arial Narrow" w:hAnsi="Arial Narrow"/>
                <w:b/>
                <w:sz w:val="20"/>
                <w:lang w:val="en-US"/>
              </w:rPr>
            </w:pPr>
            <w:r w:rsidRPr="0023426E">
              <w:rPr>
                <w:rFonts w:ascii="Arial Narrow" w:hAnsi="Arial Narrow"/>
                <w:b/>
                <w:sz w:val="20"/>
                <w:lang w:val="en-US"/>
              </w:rPr>
              <w:t>228</w:t>
            </w:r>
          </w:p>
        </w:tc>
        <w:tc>
          <w:tcPr>
            <w:tcW w:w="783" w:type="pct"/>
            <w:vAlign w:val="center"/>
          </w:tcPr>
          <w:p w:rsidR="00BC14E4" w:rsidRPr="0023426E" w:rsidRDefault="00BC14E4" w:rsidP="003223D2">
            <w:pPr>
              <w:keepNext/>
              <w:widowControl/>
              <w:jc w:val="center"/>
              <w:rPr>
                <w:rFonts w:ascii="Arial Narrow" w:hAnsi="Arial Narrow"/>
                <w:b/>
                <w:sz w:val="20"/>
                <w:lang w:val="en-US"/>
              </w:rPr>
            </w:pPr>
            <w:r w:rsidRPr="0023426E">
              <w:rPr>
                <w:rFonts w:ascii="Arial Narrow" w:hAnsi="Arial Narrow"/>
                <w:b/>
                <w:sz w:val="20"/>
                <w:lang w:val="en-US"/>
              </w:rPr>
              <w:t>224</w:t>
            </w:r>
          </w:p>
        </w:tc>
        <w:tc>
          <w:tcPr>
            <w:tcW w:w="614" w:type="pct"/>
            <w:vAlign w:val="center"/>
          </w:tcPr>
          <w:p w:rsidR="00BC14E4" w:rsidRPr="0023426E" w:rsidRDefault="00BC14E4" w:rsidP="003223D2">
            <w:pPr>
              <w:keepNext/>
              <w:widowControl/>
              <w:jc w:val="center"/>
              <w:rPr>
                <w:rFonts w:ascii="Arial Narrow" w:hAnsi="Arial Narrow"/>
                <w:b/>
                <w:color w:val="000000" w:themeColor="text1"/>
                <w:sz w:val="20"/>
              </w:rPr>
            </w:pPr>
            <w:r w:rsidRPr="0023426E">
              <w:rPr>
                <w:rFonts w:ascii="Arial Narrow" w:hAnsi="Arial Narrow"/>
                <w:b/>
                <w:color w:val="000000" w:themeColor="text1"/>
                <w:sz w:val="20"/>
              </w:rPr>
              <w:t>71</w:t>
            </w:r>
          </w:p>
        </w:tc>
        <w:tc>
          <w:tcPr>
            <w:tcW w:w="744" w:type="pct"/>
            <w:vAlign w:val="center"/>
          </w:tcPr>
          <w:p w:rsidR="00BC14E4" w:rsidRPr="0023426E" w:rsidRDefault="00BC14E4" w:rsidP="003223D2">
            <w:pPr>
              <w:keepNext/>
              <w:widowControl/>
              <w:jc w:val="center"/>
              <w:rPr>
                <w:rFonts w:ascii="Arial Narrow" w:hAnsi="Arial Narrow"/>
                <w:b/>
                <w:color w:val="000000" w:themeColor="text1"/>
                <w:sz w:val="20"/>
              </w:rPr>
            </w:pPr>
            <w:r w:rsidRPr="0023426E">
              <w:rPr>
                <w:rFonts w:ascii="Arial Narrow" w:hAnsi="Arial Narrow"/>
                <w:b/>
                <w:color w:val="000000" w:themeColor="text1"/>
                <w:sz w:val="20"/>
              </w:rPr>
              <w:t>72</w:t>
            </w:r>
          </w:p>
        </w:tc>
        <w:tc>
          <w:tcPr>
            <w:tcW w:w="653" w:type="pct"/>
            <w:vAlign w:val="center"/>
          </w:tcPr>
          <w:p w:rsidR="00BC14E4" w:rsidRPr="0023426E" w:rsidRDefault="00BC14E4" w:rsidP="003223D2">
            <w:pPr>
              <w:keepNext/>
              <w:widowControl/>
              <w:jc w:val="center"/>
              <w:rPr>
                <w:rFonts w:ascii="Arial Narrow" w:hAnsi="Arial Narrow"/>
                <w:b/>
                <w:color w:val="000000" w:themeColor="text1"/>
                <w:sz w:val="20"/>
              </w:rPr>
            </w:pPr>
            <w:r w:rsidRPr="0023426E">
              <w:rPr>
                <w:rFonts w:ascii="Arial Narrow" w:hAnsi="Arial Narrow"/>
                <w:b/>
                <w:color w:val="000000" w:themeColor="text1"/>
                <w:sz w:val="20"/>
              </w:rPr>
              <w:t>157</w:t>
            </w:r>
          </w:p>
        </w:tc>
        <w:tc>
          <w:tcPr>
            <w:tcW w:w="696" w:type="pct"/>
            <w:vAlign w:val="center"/>
          </w:tcPr>
          <w:p w:rsidR="00BC14E4" w:rsidRPr="0023426E" w:rsidRDefault="00BC14E4" w:rsidP="003223D2">
            <w:pPr>
              <w:keepNext/>
              <w:widowControl/>
              <w:jc w:val="center"/>
              <w:rPr>
                <w:rFonts w:ascii="Arial Narrow" w:hAnsi="Arial Narrow"/>
                <w:b/>
                <w:color w:val="000000" w:themeColor="text1"/>
                <w:sz w:val="20"/>
              </w:rPr>
            </w:pPr>
            <w:r w:rsidRPr="0023426E">
              <w:rPr>
                <w:rFonts w:ascii="Arial Narrow" w:hAnsi="Arial Narrow"/>
                <w:b/>
                <w:color w:val="000000" w:themeColor="text1"/>
                <w:sz w:val="20"/>
              </w:rPr>
              <w:t>152</w:t>
            </w:r>
          </w:p>
        </w:tc>
      </w:tr>
      <w:tr w:rsidR="00BC14E4" w:rsidRPr="00FA0FE5" w:rsidTr="00E771D1">
        <w:tc>
          <w:tcPr>
            <w:tcW w:w="765" w:type="pct"/>
            <w:vAlign w:val="center"/>
          </w:tcPr>
          <w:p w:rsidR="00BC14E4" w:rsidRPr="00FA0FE5" w:rsidRDefault="00BC14E4" w:rsidP="003223D2">
            <w:pPr>
              <w:keepNext/>
              <w:widowControl/>
              <w:ind w:right="-108"/>
              <w:jc w:val="left"/>
              <w:rPr>
                <w:rFonts w:ascii="Arial Narrow" w:hAnsi="Arial Narrow"/>
                <w:color w:val="000000" w:themeColor="text1"/>
                <w:sz w:val="20"/>
              </w:rPr>
            </w:pPr>
            <w:r>
              <w:rPr>
                <w:rFonts w:ascii="Arial Narrow" w:hAnsi="Arial Narrow"/>
                <w:color w:val="000000" w:themeColor="text1"/>
                <w:sz w:val="20"/>
              </w:rPr>
              <w:t>Patients with events, n (%)</w:t>
            </w:r>
          </w:p>
        </w:tc>
        <w:tc>
          <w:tcPr>
            <w:tcW w:w="745" w:type="pct"/>
            <w:vAlign w:val="center"/>
          </w:tcPr>
          <w:p w:rsidR="00BC14E4" w:rsidRPr="0023426E" w:rsidRDefault="00BC14E4" w:rsidP="003223D2">
            <w:pPr>
              <w:keepNext/>
              <w:widowControl/>
              <w:jc w:val="center"/>
              <w:rPr>
                <w:rFonts w:ascii="Arial Narrow" w:hAnsi="Arial Narrow"/>
                <w:color w:val="000000" w:themeColor="text1"/>
                <w:sz w:val="20"/>
              </w:rPr>
            </w:pPr>
            <w:r w:rsidRPr="0023426E">
              <w:rPr>
                <w:rFonts w:ascii="Arial Narrow" w:hAnsi="Arial Narrow"/>
                <w:color w:val="000000" w:themeColor="text1"/>
                <w:sz w:val="20"/>
              </w:rPr>
              <w:t>176 (77%)</w:t>
            </w:r>
          </w:p>
        </w:tc>
        <w:tc>
          <w:tcPr>
            <w:tcW w:w="783" w:type="pct"/>
            <w:vAlign w:val="center"/>
          </w:tcPr>
          <w:p w:rsidR="00BC14E4" w:rsidRPr="0023426E" w:rsidRDefault="00BC14E4" w:rsidP="003223D2">
            <w:pPr>
              <w:keepNext/>
              <w:widowControl/>
              <w:jc w:val="center"/>
              <w:rPr>
                <w:rFonts w:ascii="Arial Narrow" w:hAnsi="Arial Narrow"/>
                <w:color w:val="000000" w:themeColor="text1"/>
                <w:sz w:val="20"/>
              </w:rPr>
            </w:pPr>
            <w:r w:rsidRPr="0023426E">
              <w:rPr>
                <w:rFonts w:ascii="Arial Narrow" w:hAnsi="Arial Narrow"/>
                <w:color w:val="000000" w:themeColor="text1"/>
                <w:sz w:val="20"/>
              </w:rPr>
              <w:t>181 (81%)</w:t>
            </w:r>
          </w:p>
        </w:tc>
        <w:tc>
          <w:tcPr>
            <w:tcW w:w="614" w:type="pct"/>
            <w:vAlign w:val="center"/>
          </w:tcPr>
          <w:p w:rsidR="00BC14E4" w:rsidRPr="0023426E" w:rsidRDefault="00BC14E4" w:rsidP="003223D2">
            <w:pPr>
              <w:keepNext/>
              <w:widowControl/>
              <w:jc w:val="center"/>
              <w:rPr>
                <w:rFonts w:ascii="Arial Narrow" w:hAnsi="Arial Narrow"/>
                <w:color w:val="000000" w:themeColor="text1"/>
                <w:sz w:val="20"/>
              </w:rPr>
            </w:pPr>
            <w:r w:rsidRPr="0023426E">
              <w:rPr>
                <w:rFonts w:ascii="Arial Narrow" w:hAnsi="Arial Narrow"/>
                <w:color w:val="000000" w:themeColor="text1"/>
                <w:sz w:val="20"/>
              </w:rPr>
              <w:t>52 (73%)</w:t>
            </w:r>
          </w:p>
        </w:tc>
        <w:tc>
          <w:tcPr>
            <w:tcW w:w="744" w:type="pct"/>
            <w:vAlign w:val="center"/>
          </w:tcPr>
          <w:p w:rsidR="00BC14E4" w:rsidRPr="0023426E" w:rsidRDefault="00BC14E4" w:rsidP="003223D2">
            <w:pPr>
              <w:keepNext/>
              <w:widowControl/>
              <w:jc w:val="center"/>
              <w:rPr>
                <w:rFonts w:ascii="Arial Narrow" w:hAnsi="Arial Narrow"/>
                <w:color w:val="000000" w:themeColor="text1"/>
                <w:sz w:val="20"/>
              </w:rPr>
            </w:pPr>
            <w:r w:rsidRPr="0023426E">
              <w:rPr>
                <w:rFonts w:ascii="Arial Narrow" w:hAnsi="Arial Narrow"/>
                <w:color w:val="000000" w:themeColor="text1"/>
                <w:sz w:val="20"/>
              </w:rPr>
              <w:t>63 (88%)</w:t>
            </w:r>
          </w:p>
        </w:tc>
        <w:tc>
          <w:tcPr>
            <w:tcW w:w="653" w:type="pct"/>
            <w:vAlign w:val="center"/>
          </w:tcPr>
          <w:p w:rsidR="00BC14E4" w:rsidRPr="0023426E" w:rsidRDefault="00BC14E4" w:rsidP="003223D2">
            <w:pPr>
              <w:keepNext/>
              <w:widowControl/>
              <w:jc w:val="center"/>
              <w:rPr>
                <w:rFonts w:ascii="Arial Narrow" w:hAnsi="Arial Narrow"/>
                <w:color w:val="000000" w:themeColor="text1"/>
                <w:sz w:val="20"/>
              </w:rPr>
            </w:pPr>
            <w:r w:rsidRPr="0023426E">
              <w:rPr>
                <w:rFonts w:ascii="Arial Narrow" w:hAnsi="Arial Narrow"/>
                <w:color w:val="000000" w:themeColor="text1"/>
                <w:sz w:val="20"/>
              </w:rPr>
              <w:t>124 (79%)</w:t>
            </w:r>
          </w:p>
        </w:tc>
        <w:tc>
          <w:tcPr>
            <w:tcW w:w="696" w:type="pct"/>
            <w:vAlign w:val="center"/>
          </w:tcPr>
          <w:p w:rsidR="00BC14E4" w:rsidRPr="0023426E" w:rsidRDefault="00BC14E4" w:rsidP="003223D2">
            <w:pPr>
              <w:keepNext/>
              <w:widowControl/>
              <w:jc w:val="center"/>
              <w:rPr>
                <w:rFonts w:ascii="Arial Narrow" w:hAnsi="Arial Narrow"/>
                <w:color w:val="000000" w:themeColor="text1"/>
                <w:sz w:val="20"/>
              </w:rPr>
            </w:pPr>
            <w:r w:rsidRPr="0023426E">
              <w:rPr>
                <w:rFonts w:ascii="Arial Narrow" w:hAnsi="Arial Narrow"/>
                <w:color w:val="000000" w:themeColor="text1"/>
                <w:sz w:val="20"/>
              </w:rPr>
              <w:t>118 (78%)</w:t>
            </w:r>
          </w:p>
        </w:tc>
      </w:tr>
      <w:tr w:rsidR="00BC14E4" w:rsidRPr="00FA0FE5" w:rsidTr="00E771D1">
        <w:tc>
          <w:tcPr>
            <w:tcW w:w="765" w:type="pct"/>
            <w:vAlign w:val="center"/>
          </w:tcPr>
          <w:p w:rsidR="00BC14E4" w:rsidRDefault="00BC14E4" w:rsidP="003223D2">
            <w:pPr>
              <w:keepNext/>
              <w:widowControl/>
              <w:ind w:right="-108"/>
              <w:jc w:val="left"/>
              <w:rPr>
                <w:rFonts w:ascii="Arial Narrow" w:hAnsi="Arial Narrow"/>
                <w:color w:val="000000" w:themeColor="text1"/>
                <w:sz w:val="20"/>
              </w:rPr>
            </w:pPr>
            <w:r>
              <w:rPr>
                <w:rFonts w:ascii="Arial Narrow" w:hAnsi="Arial Narrow"/>
                <w:color w:val="000000" w:themeColor="text1"/>
                <w:sz w:val="20"/>
              </w:rPr>
              <w:t>Censored, n (%)</w:t>
            </w:r>
          </w:p>
        </w:tc>
        <w:tc>
          <w:tcPr>
            <w:tcW w:w="745" w:type="pct"/>
            <w:vAlign w:val="center"/>
          </w:tcPr>
          <w:p w:rsidR="00BC14E4" w:rsidRPr="0023426E" w:rsidRDefault="00BC14E4" w:rsidP="003223D2">
            <w:pPr>
              <w:keepNext/>
              <w:widowControl/>
              <w:jc w:val="center"/>
            </w:pPr>
            <w:r w:rsidRPr="0023426E">
              <w:rPr>
                <w:rFonts w:ascii="Arial Narrow" w:hAnsi="Arial Narrow"/>
                <w:color w:val="000000" w:themeColor="text1"/>
                <w:sz w:val="20"/>
              </w:rPr>
              <w:t>52 (23%)</w:t>
            </w:r>
          </w:p>
        </w:tc>
        <w:tc>
          <w:tcPr>
            <w:tcW w:w="783" w:type="pct"/>
            <w:vAlign w:val="center"/>
          </w:tcPr>
          <w:p w:rsidR="00BC14E4" w:rsidRPr="0023426E" w:rsidRDefault="00BC14E4" w:rsidP="003223D2">
            <w:pPr>
              <w:keepNext/>
              <w:widowControl/>
              <w:jc w:val="center"/>
            </w:pPr>
            <w:r w:rsidRPr="0023426E">
              <w:rPr>
                <w:rFonts w:ascii="Arial Narrow" w:hAnsi="Arial Narrow"/>
                <w:color w:val="000000" w:themeColor="text1"/>
                <w:sz w:val="20"/>
              </w:rPr>
              <w:t>43 (19%)</w:t>
            </w:r>
          </w:p>
        </w:tc>
        <w:tc>
          <w:tcPr>
            <w:tcW w:w="614" w:type="pct"/>
          </w:tcPr>
          <w:p w:rsidR="00BC14E4" w:rsidRPr="0023426E" w:rsidRDefault="00BC14E4" w:rsidP="003223D2">
            <w:pPr>
              <w:keepNext/>
              <w:widowControl/>
              <w:jc w:val="center"/>
              <w:rPr>
                <w:rFonts w:ascii="Arial Narrow" w:hAnsi="Arial Narrow"/>
                <w:color w:val="000000" w:themeColor="text1"/>
                <w:sz w:val="20"/>
              </w:rPr>
            </w:pPr>
            <w:r w:rsidRPr="0023426E">
              <w:rPr>
                <w:rFonts w:ascii="Arial Narrow" w:hAnsi="Arial Narrow"/>
                <w:color w:val="000000" w:themeColor="text1"/>
                <w:sz w:val="20"/>
              </w:rPr>
              <w:t>-</w:t>
            </w:r>
          </w:p>
        </w:tc>
        <w:tc>
          <w:tcPr>
            <w:tcW w:w="744" w:type="pct"/>
          </w:tcPr>
          <w:p w:rsidR="00BC14E4" w:rsidRPr="0023426E" w:rsidRDefault="00BC14E4" w:rsidP="003223D2">
            <w:pPr>
              <w:keepNext/>
              <w:widowControl/>
              <w:jc w:val="center"/>
              <w:rPr>
                <w:rFonts w:ascii="Arial Narrow" w:hAnsi="Arial Narrow"/>
                <w:color w:val="000000" w:themeColor="text1"/>
                <w:sz w:val="20"/>
              </w:rPr>
            </w:pPr>
            <w:r w:rsidRPr="0023426E">
              <w:rPr>
                <w:rFonts w:ascii="Arial Narrow" w:hAnsi="Arial Narrow"/>
                <w:color w:val="000000" w:themeColor="text1"/>
                <w:sz w:val="20"/>
              </w:rPr>
              <w:t>-</w:t>
            </w:r>
          </w:p>
        </w:tc>
        <w:tc>
          <w:tcPr>
            <w:tcW w:w="653" w:type="pct"/>
          </w:tcPr>
          <w:p w:rsidR="00BC14E4" w:rsidRPr="0023426E" w:rsidRDefault="00BC14E4" w:rsidP="003223D2">
            <w:pPr>
              <w:keepNext/>
              <w:widowControl/>
              <w:jc w:val="center"/>
              <w:rPr>
                <w:rFonts w:ascii="Arial Narrow" w:hAnsi="Arial Narrow"/>
                <w:color w:val="000000" w:themeColor="text1"/>
                <w:sz w:val="20"/>
              </w:rPr>
            </w:pPr>
            <w:r w:rsidRPr="0023426E">
              <w:rPr>
                <w:rFonts w:ascii="Arial Narrow" w:hAnsi="Arial Narrow"/>
                <w:color w:val="000000" w:themeColor="text1"/>
                <w:sz w:val="20"/>
              </w:rPr>
              <w:t>-</w:t>
            </w:r>
          </w:p>
        </w:tc>
        <w:tc>
          <w:tcPr>
            <w:tcW w:w="696" w:type="pct"/>
          </w:tcPr>
          <w:p w:rsidR="00BC14E4" w:rsidRPr="0023426E" w:rsidRDefault="00BC14E4" w:rsidP="003223D2">
            <w:pPr>
              <w:keepNext/>
              <w:widowControl/>
              <w:jc w:val="center"/>
              <w:rPr>
                <w:rFonts w:ascii="Arial Narrow" w:hAnsi="Arial Narrow"/>
                <w:color w:val="000000" w:themeColor="text1"/>
                <w:sz w:val="20"/>
              </w:rPr>
            </w:pPr>
            <w:r w:rsidRPr="0023426E">
              <w:rPr>
                <w:rFonts w:ascii="Arial Narrow" w:hAnsi="Arial Narrow"/>
                <w:color w:val="000000" w:themeColor="text1"/>
                <w:sz w:val="20"/>
              </w:rPr>
              <w:t>-</w:t>
            </w:r>
          </w:p>
        </w:tc>
      </w:tr>
      <w:tr w:rsidR="00BC14E4" w:rsidRPr="00FA0FE5" w:rsidTr="00E771D1">
        <w:tc>
          <w:tcPr>
            <w:tcW w:w="765" w:type="pct"/>
            <w:vAlign w:val="center"/>
          </w:tcPr>
          <w:p w:rsidR="00BC14E4" w:rsidRDefault="00BC14E4" w:rsidP="003223D2">
            <w:pPr>
              <w:keepNext/>
              <w:widowControl/>
              <w:ind w:right="-108"/>
              <w:jc w:val="left"/>
              <w:rPr>
                <w:rFonts w:ascii="Arial Narrow" w:hAnsi="Arial Narrow"/>
                <w:color w:val="000000" w:themeColor="text1"/>
                <w:sz w:val="20"/>
              </w:rPr>
            </w:pPr>
            <w:r>
              <w:rPr>
                <w:rFonts w:ascii="Arial Narrow" w:hAnsi="Arial Narrow"/>
                <w:color w:val="000000" w:themeColor="text1"/>
                <w:sz w:val="20"/>
              </w:rPr>
              <w:t xml:space="preserve">Median OS, months </w:t>
            </w:r>
          </w:p>
          <w:p w:rsidR="00BC14E4" w:rsidRDefault="00BC14E4" w:rsidP="003223D2">
            <w:pPr>
              <w:keepNext/>
              <w:widowControl/>
              <w:ind w:right="-108"/>
              <w:jc w:val="left"/>
              <w:rPr>
                <w:rFonts w:ascii="Arial Narrow" w:hAnsi="Arial Narrow"/>
                <w:color w:val="000000" w:themeColor="text1"/>
                <w:sz w:val="20"/>
              </w:rPr>
            </w:pPr>
            <w:r>
              <w:rPr>
                <w:rFonts w:ascii="Arial Narrow" w:hAnsi="Arial Narrow"/>
                <w:color w:val="000000" w:themeColor="text1"/>
                <w:sz w:val="20"/>
              </w:rPr>
              <w:t>(95% CI)</w:t>
            </w:r>
          </w:p>
        </w:tc>
        <w:tc>
          <w:tcPr>
            <w:tcW w:w="745" w:type="pct"/>
            <w:vAlign w:val="center"/>
          </w:tcPr>
          <w:p w:rsidR="00BC14E4" w:rsidRPr="0023426E" w:rsidRDefault="004E2076" w:rsidP="003223D2">
            <w:pPr>
              <w:keepNext/>
              <w:widowControl/>
              <w:jc w:val="center"/>
              <w:rPr>
                <w:rFonts w:ascii="Arial Narrow" w:hAnsi="Arial Narrow"/>
                <w:color w:val="000000" w:themeColor="text1"/>
                <w:sz w:val="20"/>
              </w:rPr>
            </w:pPr>
            <w:r>
              <w:rPr>
                <w:rFonts w:ascii="Arial Narrow" w:hAnsi="Arial Narrow"/>
                <w:color w:val="000000" w:themeColor="text1"/>
                <w:sz w:val="20"/>
              </w:rPr>
              <w:t>13.5</w:t>
            </w:r>
          </w:p>
          <w:p w:rsidR="00BC14E4" w:rsidRPr="0023426E" w:rsidRDefault="00BC14E4" w:rsidP="003223D2">
            <w:pPr>
              <w:keepNext/>
              <w:widowControl/>
              <w:jc w:val="center"/>
              <w:rPr>
                <w:rFonts w:ascii="Arial Narrow" w:hAnsi="Arial Narrow"/>
                <w:color w:val="000000" w:themeColor="text1"/>
                <w:sz w:val="20"/>
              </w:rPr>
            </w:pPr>
            <w:r w:rsidRPr="0023426E">
              <w:rPr>
                <w:rFonts w:ascii="Arial Narrow" w:hAnsi="Arial Narrow"/>
                <w:color w:val="000000" w:themeColor="text1"/>
                <w:sz w:val="20"/>
              </w:rPr>
              <w:t>(10.9, 15.6)</w:t>
            </w:r>
          </w:p>
        </w:tc>
        <w:tc>
          <w:tcPr>
            <w:tcW w:w="783" w:type="pct"/>
            <w:vAlign w:val="center"/>
          </w:tcPr>
          <w:p w:rsidR="00BC14E4" w:rsidRPr="0023426E" w:rsidRDefault="004E2076" w:rsidP="003223D2">
            <w:pPr>
              <w:keepNext/>
              <w:widowControl/>
              <w:jc w:val="center"/>
              <w:rPr>
                <w:rFonts w:ascii="Arial Narrow" w:hAnsi="Arial Narrow"/>
                <w:color w:val="000000" w:themeColor="text1"/>
                <w:sz w:val="20"/>
              </w:rPr>
            </w:pPr>
            <w:r>
              <w:rPr>
                <w:rFonts w:ascii="Arial Narrow" w:hAnsi="Arial Narrow"/>
                <w:color w:val="000000" w:themeColor="text1"/>
                <w:sz w:val="20"/>
              </w:rPr>
              <w:t>11.5</w:t>
            </w:r>
          </w:p>
          <w:p w:rsidR="00BC14E4" w:rsidRPr="0023426E" w:rsidRDefault="00BC14E4" w:rsidP="003223D2">
            <w:pPr>
              <w:keepNext/>
              <w:widowControl/>
              <w:jc w:val="center"/>
              <w:rPr>
                <w:rFonts w:ascii="Arial Narrow" w:hAnsi="Arial Narrow"/>
                <w:color w:val="000000" w:themeColor="text1"/>
                <w:sz w:val="20"/>
              </w:rPr>
            </w:pPr>
            <w:r w:rsidRPr="0023426E">
              <w:rPr>
                <w:rFonts w:ascii="Arial Narrow" w:hAnsi="Arial Narrow"/>
                <w:color w:val="000000" w:themeColor="text1"/>
                <w:sz w:val="20"/>
              </w:rPr>
              <w:t>(9.6, 13.0)</w:t>
            </w:r>
          </w:p>
        </w:tc>
        <w:tc>
          <w:tcPr>
            <w:tcW w:w="614" w:type="pct"/>
            <w:vAlign w:val="center"/>
          </w:tcPr>
          <w:p w:rsidR="00BC14E4" w:rsidRPr="0023426E" w:rsidRDefault="004E2076" w:rsidP="003223D2">
            <w:pPr>
              <w:keepNext/>
              <w:widowControl/>
              <w:jc w:val="center"/>
              <w:rPr>
                <w:rFonts w:ascii="Arial Narrow" w:hAnsi="Arial Narrow"/>
                <w:color w:val="000000" w:themeColor="text1"/>
                <w:sz w:val="20"/>
              </w:rPr>
            </w:pPr>
            <w:r>
              <w:rPr>
                <w:rFonts w:ascii="Arial Narrow" w:hAnsi="Arial Narrow"/>
                <w:color w:val="000000" w:themeColor="text1"/>
                <w:sz w:val="20"/>
              </w:rPr>
              <w:t>15.6</w:t>
            </w:r>
          </w:p>
          <w:p w:rsidR="00BC14E4" w:rsidRPr="0023426E" w:rsidRDefault="00BC14E4" w:rsidP="003223D2">
            <w:pPr>
              <w:keepNext/>
              <w:widowControl/>
              <w:jc w:val="center"/>
              <w:rPr>
                <w:rFonts w:ascii="Arial Narrow" w:hAnsi="Arial Narrow"/>
                <w:color w:val="000000" w:themeColor="text1"/>
                <w:sz w:val="20"/>
              </w:rPr>
            </w:pPr>
            <w:r w:rsidRPr="0023426E">
              <w:rPr>
                <w:rFonts w:ascii="Arial Narrow" w:hAnsi="Arial Narrow"/>
                <w:color w:val="000000" w:themeColor="text1"/>
                <w:sz w:val="20"/>
              </w:rPr>
              <w:t>(10.2, 18.6)</w:t>
            </w:r>
          </w:p>
        </w:tc>
        <w:tc>
          <w:tcPr>
            <w:tcW w:w="744" w:type="pct"/>
            <w:vAlign w:val="center"/>
          </w:tcPr>
          <w:p w:rsidR="00BC14E4" w:rsidRPr="0023426E" w:rsidRDefault="00BC14E4" w:rsidP="003223D2">
            <w:pPr>
              <w:keepNext/>
              <w:widowControl/>
              <w:jc w:val="center"/>
              <w:rPr>
                <w:rFonts w:ascii="Arial Narrow" w:hAnsi="Arial Narrow"/>
                <w:color w:val="000000" w:themeColor="text1"/>
                <w:sz w:val="20"/>
              </w:rPr>
            </w:pPr>
            <w:r w:rsidRPr="0023426E">
              <w:rPr>
                <w:rFonts w:ascii="Arial Narrow" w:hAnsi="Arial Narrow"/>
                <w:color w:val="000000" w:themeColor="text1"/>
                <w:sz w:val="20"/>
              </w:rPr>
              <w:t>8.4</w:t>
            </w:r>
          </w:p>
          <w:p w:rsidR="00BC14E4" w:rsidRPr="0023426E" w:rsidRDefault="00BC14E4" w:rsidP="003223D2">
            <w:pPr>
              <w:keepNext/>
              <w:widowControl/>
              <w:jc w:val="center"/>
              <w:rPr>
                <w:rFonts w:ascii="Arial Narrow" w:hAnsi="Arial Narrow"/>
                <w:color w:val="000000" w:themeColor="text1"/>
                <w:sz w:val="20"/>
              </w:rPr>
            </w:pPr>
            <w:r w:rsidRPr="0023426E">
              <w:rPr>
                <w:rFonts w:ascii="Arial Narrow" w:hAnsi="Arial Narrow"/>
                <w:color w:val="000000" w:themeColor="text1"/>
                <w:sz w:val="20"/>
              </w:rPr>
              <w:t xml:space="preserve"> (5.2, 10.1)</w:t>
            </w:r>
          </w:p>
        </w:tc>
        <w:tc>
          <w:tcPr>
            <w:tcW w:w="653" w:type="pct"/>
            <w:vAlign w:val="center"/>
          </w:tcPr>
          <w:p w:rsidR="00BC14E4" w:rsidRPr="0023426E" w:rsidRDefault="004E2076" w:rsidP="003223D2">
            <w:pPr>
              <w:keepNext/>
              <w:widowControl/>
              <w:jc w:val="center"/>
              <w:rPr>
                <w:rFonts w:ascii="Arial Narrow" w:hAnsi="Arial Narrow"/>
                <w:color w:val="000000" w:themeColor="text1"/>
                <w:sz w:val="20"/>
              </w:rPr>
            </w:pPr>
            <w:r>
              <w:rPr>
                <w:rFonts w:ascii="Arial Narrow" w:hAnsi="Arial Narrow"/>
                <w:color w:val="000000" w:themeColor="text1"/>
                <w:sz w:val="20"/>
              </w:rPr>
              <w:t>12.7</w:t>
            </w:r>
          </w:p>
          <w:p w:rsidR="00BC14E4" w:rsidRPr="0023426E" w:rsidRDefault="00BC14E4" w:rsidP="003223D2">
            <w:pPr>
              <w:keepNext/>
              <w:widowControl/>
              <w:jc w:val="center"/>
              <w:rPr>
                <w:rFonts w:ascii="Arial Narrow" w:hAnsi="Arial Narrow"/>
                <w:color w:val="000000" w:themeColor="text1"/>
                <w:sz w:val="20"/>
              </w:rPr>
            </w:pPr>
            <w:r w:rsidRPr="0023426E">
              <w:rPr>
                <w:rFonts w:ascii="Arial Narrow" w:hAnsi="Arial Narrow"/>
                <w:color w:val="000000" w:themeColor="text1"/>
                <w:sz w:val="20"/>
              </w:rPr>
              <w:t>(9.8, 14.8)</w:t>
            </w:r>
          </w:p>
        </w:tc>
        <w:tc>
          <w:tcPr>
            <w:tcW w:w="696" w:type="pct"/>
            <w:vAlign w:val="center"/>
          </w:tcPr>
          <w:p w:rsidR="00BC14E4" w:rsidRPr="0023426E" w:rsidRDefault="004E2076" w:rsidP="003223D2">
            <w:pPr>
              <w:keepNext/>
              <w:widowControl/>
              <w:jc w:val="center"/>
              <w:rPr>
                <w:rFonts w:ascii="Arial Narrow" w:hAnsi="Arial Narrow"/>
                <w:color w:val="000000" w:themeColor="text1"/>
                <w:sz w:val="20"/>
              </w:rPr>
            </w:pPr>
            <w:r>
              <w:rPr>
                <w:rFonts w:ascii="Arial Narrow" w:hAnsi="Arial Narrow"/>
                <w:color w:val="000000" w:themeColor="text1"/>
                <w:sz w:val="20"/>
              </w:rPr>
              <w:t>13.0</w:t>
            </w:r>
          </w:p>
          <w:p w:rsidR="00BC14E4" w:rsidRPr="0023426E" w:rsidRDefault="00BC14E4" w:rsidP="003223D2">
            <w:pPr>
              <w:keepNext/>
              <w:widowControl/>
              <w:jc w:val="center"/>
              <w:rPr>
                <w:rFonts w:ascii="Arial Narrow" w:hAnsi="Arial Narrow"/>
                <w:color w:val="000000" w:themeColor="text1"/>
                <w:sz w:val="20"/>
              </w:rPr>
            </w:pPr>
            <w:r w:rsidRPr="0023426E">
              <w:rPr>
                <w:rFonts w:ascii="Arial Narrow" w:hAnsi="Arial Narrow"/>
                <w:color w:val="000000" w:themeColor="text1"/>
                <w:sz w:val="20"/>
              </w:rPr>
              <w:t>(11.3, 15.1)</w:t>
            </w:r>
          </w:p>
        </w:tc>
      </w:tr>
      <w:tr w:rsidR="00BC14E4" w:rsidRPr="00611DE8" w:rsidTr="00E771D1">
        <w:tc>
          <w:tcPr>
            <w:tcW w:w="765" w:type="pct"/>
            <w:vAlign w:val="center"/>
          </w:tcPr>
          <w:p w:rsidR="00BC14E4" w:rsidRPr="0082262C" w:rsidRDefault="00BC14E4" w:rsidP="003223D2">
            <w:pPr>
              <w:keepNext/>
              <w:widowControl/>
              <w:ind w:right="-108"/>
              <w:jc w:val="left"/>
              <w:rPr>
                <w:rFonts w:ascii="Arial Narrow" w:hAnsi="Arial Narrow"/>
                <w:b/>
                <w:color w:val="000000" w:themeColor="text1"/>
                <w:sz w:val="20"/>
              </w:rPr>
            </w:pPr>
            <w:r>
              <w:rPr>
                <w:rFonts w:ascii="Arial Narrow" w:hAnsi="Arial Narrow"/>
                <w:b/>
                <w:color w:val="000000" w:themeColor="text1"/>
                <w:sz w:val="20"/>
              </w:rPr>
              <w:t>HR (95% CI)</w:t>
            </w:r>
          </w:p>
        </w:tc>
        <w:tc>
          <w:tcPr>
            <w:tcW w:w="1528" w:type="pct"/>
            <w:gridSpan w:val="2"/>
            <w:vAlign w:val="center"/>
          </w:tcPr>
          <w:p w:rsidR="00BC14E4" w:rsidRPr="0023426E" w:rsidRDefault="00BC14E4" w:rsidP="003223D2">
            <w:pPr>
              <w:keepNext/>
              <w:widowControl/>
              <w:jc w:val="center"/>
              <w:rPr>
                <w:rFonts w:ascii="Arial Narrow" w:hAnsi="Arial Narrow"/>
                <w:b/>
                <w:color w:val="000000" w:themeColor="text1"/>
                <w:sz w:val="20"/>
              </w:rPr>
            </w:pPr>
            <w:r w:rsidRPr="0023426E">
              <w:rPr>
                <w:rFonts w:ascii="Arial Narrow" w:hAnsi="Arial Narrow"/>
                <w:b/>
                <w:color w:val="000000" w:themeColor="text1"/>
                <w:sz w:val="20"/>
              </w:rPr>
              <w:t>0.77 (0.62, 0.95)</w:t>
            </w:r>
          </w:p>
          <w:p w:rsidR="00BC14E4" w:rsidRPr="0023426E" w:rsidRDefault="00BC14E4" w:rsidP="003223D2">
            <w:pPr>
              <w:keepNext/>
              <w:widowControl/>
              <w:jc w:val="center"/>
              <w:rPr>
                <w:rFonts w:ascii="Arial Narrow" w:hAnsi="Arial Narrow"/>
                <w:color w:val="000000" w:themeColor="text1"/>
                <w:sz w:val="20"/>
              </w:rPr>
            </w:pPr>
            <w:r w:rsidRPr="0023426E">
              <w:rPr>
                <w:rFonts w:ascii="Arial Narrow" w:hAnsi="Arial Narrow"/>
                <w:b/>
                <w:color w:val="000000" w:themeColor="text1"/>
                <w:sz w:val="20"/>
              </w:rPr>
              <w:t>p=0.0115</w:t>
            </w:r>
          </w:p>
        </w:tc>
        <w:tc>
          <w:tcPr>
            <w:tcW w:w="1358" w:type="pct"/>
            <w:gridSpan w:val="2"/>
          </w:tcPr>
          <w:p w:rsidR="00BC14E4" w:rsidRPr="0023426E" w:rsidRDefault="00BC14E4" w:rsidP="003223D2">
            <w:pPr>
              <w:keepNext/>
              <w:widowControl/>
              <w:jc w:val="center"/>
              <w:rPr>
                <w:rFonts w:ascii="Arial Narrow" w:hAnsi="Arial Narrow"/>
                <w:b/>
                <w:color w:val="000000" w:themeColor="text1"/>
                <w:sz w:val="20"/>
              </w:rPr>
            </w:pPr>
            <w:r w:rsidRPr="0023426E">
              <w:rPr>
                <w:rFonts w:ascii="Arial Narrow" w:hAnsi="Arial Narrow"/>
                <w:b/>
                <w:color w:val="000000" w:themeColor="text1"/>
                <w:sz w:val="20"/>
              </w:rPr>
              <w:t>0.51 (0.35, 0.75)</w:t>
            </w:r>
          </w:p>
          <w:p w:rsidR="00BC14E4" w:rsidRPr="0023426E" w:rsidRDefault="00BC14E4" w:rsidP="003223D2">
            <w:pPr>
              <w:keepNext/>
              <w:widowControl/>
              <w:jc w:val="center"/>
              <w:rPr>
                <w:rFonts w:ascii="Arial Narrow" w:hAnsi="Arial Narrow"/>
                <w:b/>
                <w:color w:val="000000" w:themeColor="text1"/>
                <w:sz w:val="20"/>
              </w:rPr>
            </w:pPr>
            <w:r w:rsidRPr="0023426E">
              <w:rPr>
                <w:rFonts w:ascii="Arial Narrow" w:hAnsi="Arial Narrow"/>
                <w:b/>
                <w:color w:val="000000" w:themeColor="text1"/>
                <w:sz w:val="20"/>
              </w:rPr>
              <w:t>p=0.0006</w:t>
            </w:r>
          </w:p>
        </w:tc>
        <w:tc>
          <w:tcPr>
            <w:tcW w:w="1349" w:type="pct"/>
            <w:gridSpan w:val="2"/>
          </w:tcPr>
          <w:p w:rsidR="00BC14E4" w:rsidRPr="0023426E" w:rsidRDefault="00BC14E4" w:rsidP="003223D2">
            <w:pPr>
              <w:keepNext/>
              <w:widowControl/>
              <w:jc w:val="center"/>
              <w:rPr>
                <w:rFonts w:ascii="Arial Narrow" w:hAnsi="Arial Narrow"/>
                <w:color w:val="000000" w:themeColor="text1"/>
                <w:sz w:val="20"/>
              </w:rPr>
            </w:pPr>
            <w:r w:rsidRPr="0023426E">
              <w:rPr>
                <w:rFonts w:ascii="Arial Narrow" w:hAnsi="Arial Narrow"/>
                <w:color w:val="000000" w:themeColor="text1"/>
                <w:sz w:val="20"/>
              </w:rPr>
              <w:t>0.93 (0.71, 1.20)</w:t>
            </w:r>
          </w:p>
          <w:p w:rsidR="00BC14E4" w:rsidRPr="0023426E" w:rsidRDefault="00BC14E4" w:rsidP="003223D2">
            <w:pPr>
              <w:keepNext/>
              <w:widowControl/>
              <w:jc w:val="center"/>
              <w:rPr>
                <w:rFonts w:ascii="Arial Narrow" w:hAnsi="Arial Narrow"/>
                <w:color w:val="000000" w:themeColor="text1"/>
                <w:sz w:val="20"/>
              </w:rPr>
            </w:pPr>
            <w:r w:rsidRPr="0023426E">
              <w:rPr>
                <w:rFonts w:ascii="Arial Narrow" w:hAnsi="Arial Narrow"/>
                <w:color w:val="000000" w:themeColor="text1"/>
                <w:sz w:val="20"/>
              </w:rPr>
              <w:t>p=0.5730</w:t>
            </w:r>
          </w:p>
        </w:tc>
      </w:tr>
    </w:tbl>
    <w:p w:rsidR="00D25FC6" w:rsidRPr="00B010BF" w:rsidRDefault="00D25FC6" w:rsidP="00E771D1">
      <w:pPr>
        <w:pStyle w:val="TableFooter"/>
        <w:widowControl/>
        <w:ind w:left="709"/>
        <w:rPr>
          <w:rStyle w:val="CommentReference"/>
          <w:b w:val="0"/>
        </w:rPr>
      </w:pPr>
      <w:r w:rsidRPr="00B010BF">
        <w:rPr>
          <w:rStyle w:val="CommentReference"/>
          <w:b w:val="0"/>
        </w:rPr>
        <w:t>Source: Table B-16, p61, Table B-24, p71, Figure B-3, p66, Fi</w:t>
      </w:r>
      <w:r w:rsidR="004E2076">
        <w:rPr>
          <w:rStyle w:val="CommentReference"/>
          <w:b w:val="0"/>
        </w:rPr>
        <w:t>gure B-5, p72 of the submission</w:t>
      </w:r>
    </w:p>
    <w:p w:rsidR="000F21C2" w:rsidRPr="00B010BF" w:rsidRDefault="000F21C2" w:rsidP="00E771D1">
      <w:pPr>
        <w:pStyle w:val="TableFooter"/>
        <w:widowControl/>
        <w:ind w:left="709"/>
        <w:rPr>
          <w:rStyle w:val="CommentReference"/>
          <w:b w:val="0"/>
        </w:rPr>
      </w:pPr>
      <w:proofErr w:type="spellStart"/>
      <w:proofErr w:type="gramStart"/>
      <w:r w:rsidRPr="00B010BF">
        <w:rPr>
          <w:rStyle w:val="CommentReference"/>
          <w:b w:val="0"/>
          <w:vertAlign w:val="superscript"/>
        </w:rPr>
        <w:t>a</w:t>
      </w:r>
      <w:proofErr w:type="spellEnd"/>
      <w:proofErr w:type="gramEnd"/>
      <w:r w:rsidRPr="00B010BF">
        <w:rPr>
          <w:rStyle w:val="CommentReference"/>
          <w:b w:val="0"/>
        </w:rPr>
        <w:t xml:space="preserve"> Within the clinical study report the test for interaction was not presented.</w:t>
      </w:r>
    </w:p>
    <w:p w:rsidR="00047312" w:rsidRPr="00B010BF" w:rsidRDefault="00047312" w:rsidP="00E771D1">
      <w:pPr>
        <w:pStyle w:val="TableFooter"/>
        <w:widowControl/>
        <w:ind w:left="709"/>
        <w:rPr>
          <w:rStyle w:val="CommentReference"/>
          <w:b w:val="0"/>
        </w:rPr>
      </w:pPr>
      <w:r w:rsidRPr="00B010BF">
        <w:rPr>
          <w:rStyle w:val="CommentReference"/>
          <w:b w:val="0"/>
        </w:rPr>
        <w:t xml:space="preserve">CI = confidence interval; HR = hazard ratio; ITT = intention to treat; </w:t>
      </w:r>
      <w:r w:rsidR="00D25FC6" w:rsidRPr="00B010BF">
        <w:rPr>
          <w:rStyle w:val="CommentReference"/>
          <w:b w:val="0"/>
        </w:rPr>
        <w:t>OS = overall survival</w:t>
      </w:r>
    </w:p>
    <w:p w:rsidR="007C56E4" w:rsidRPr="00B010BF" w:rsidRDefault="007C56E4" w:rsidP="00903665">
      <w:pPr>
        <w:pStyle w:val="Caption"/>
        <w:keepNext/>
        <w:widowControl/>
      </w:pPr>
    </w:p>
    <w:p w:rsidR="001028CA" w:rsidRPr="00B010BF" w:rsidRDefault="001028CA" w:rsidP="00E771D1">
      <w:pPr>
        <w:pStyle w:val="Caption"/>
        <w:keepNext/>
        <w:widowControl/>
        <w:ind w:firstLine="709"/>
      </w:pPr>
      <w:r w:rsidRPr="00B010BF">
        <w:t xml:space="preserve">Figure </w:t>
      </w:r>
      <w:r w:rsidR="00556B92">
        <w:rPr>
          <w:noProof/>
        </w:rPr>
        <w:t>1</w:t>
      </w:r>
      <w:r w:rsidRPr="00B010BF">
        <w:t>: Overall survival in the intention to treat population of Study 309 – median follow-up 31 months</w:t>
      </w:r>
    </w:p>
    <w:p w:rsidR="00D25FC6" w:rsidRPr="00B010BF" w:rsidRDefault="00D25FC6" w:rsidP="00A40D49">
      <w:pPr>
        <w:widowControl/>
        <w:ind w:firstLine="709"/>
        <w:rPr>
          <w:rStyle w:val="CommentReference"/>
        </w:rPr>
      </w:pPr>
      <w:r w:rsidRPr="00B010BF">
        <w:rPr>
          <w:noProof/>
          <w:lang w:eastAsia="en-AU"/>
        </w:rPr>
        <w:drawing>
          <wp:inline distT="0" distB="0" distL="0" distR="0" wp14:anchorId="6D401D81" wp14:editId="4FB8C7A9">
            <wp:extent cx="5250538" cy="2828925"/>
            <wp:effectExtent l="0" t="0" r="7620" b="0"/>
            <wp:docPr id="3" name="Picture 3" descr="Kaplan-Meier plot of overall survival in intention-to-treat population of Study 309 of eribulin and dacarbazine." title="Overall survival in ITT population of Study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99" b="12406"/>
                    <a:stretch/>
                  </pic:blipFill>
                  <pic:spPr bwMode="auto">
                    <a:xfrm>
                      <a:off x="0" y="0"/>
                      <a:ext cx="5271340" cy="2840133"/>
                    </a:xfrm>
                    <a:prstGeom prst="rect">
                      <a:avLst/>
                    </a:prstGeom>
                    <a:ln>
                      <a:noFill/>
                    </a:ln>
                    <a:extLst>
                      <a:ext uri="{53640926-AAD7-44D8-BBD7-CCE9431645EC}">
                        <a14:shadowObscured xmlns:a14="http://schemas.microsoft.com/office/drawing/2010/main"/>
                      </a:ext>
                    </a:extLst>
                  </pic:spPr>
                </pic:pic>
              </a:graphicData>
            </a:graphic>
          </wp:inline>
        </w:drawing>
      </w:r>
    </w:p>
    <w:p w:rsidR="00D25FC6" w:rsidRPr="00B010BF" w:rsidRDefault="00D25FC6" w:rsidP="00E771D1">
      <w:pPr>
        <w:pStyle w:val="TableFooter"/>
        <w:widowControl/>
        <w:ind w:left="709"/>
        <w:rPr>
          <w:rStyle w:val="CommentReference"/>
          <w:b w:val="0"/>
          <w:sz w:val="18"/>
          <w:szCs w:val="20"/>
        </w:rPr>
      </w:pPr>
      <w:r w:rsidRPr="00B010BF">
        <w:rPr>
          <w:rStyle w:val="CommentReference"/>
          <w:b w:val="0"/>
          <w:sz w:val="18"/>
          <w:szCs w:val="20"/>
        </w:rPr>
        <w:t>Source: Figure B-1, p62 of the submission</w:t>
      </w:r>
    </w:p>
    <w:p w:rsidR="00047312" w:rsidRPr="00B010BF" w:rsidRDefault="00047312" w:rsidP="00E771D1">
      <w:pPr>
        <w:pStyle w:val="TableFooter"/>
        <w:widowControl/>
        <w:tabs>
          <w:tab w:val="left" w:pos="3966"/>
        </w:tabs>
        <w:ind w:left="709"/>
        <w:rPr>
          <w:rStyle w:val="CommentReference"/>
          <w:b w:val="0"/>
          <w:sz w:val="18"/>
          <w:szCs w:val="20"/>
        </w:rPr>
      </w:pPr>
      <w:r w:rsidRPr="00B010BF">
        <w:rPr>
          <w:rStyle w:val="CommentReference"/>
          <w:b w:val="0"/>
          <w:sz w:val="18"/>
          <w:szCs w:val="20"/>
        </w:rPr>
        <w:t>CI = confide</w:t>
      </w:r>
      <w:r w:rsidR="004E2076">
        <w:rPr>
          <w:rStyle w:val="CommentReference"/>
          <w:b w:val="0"/>
          <w:sz w:val="18"/>
          <w:szCs w:val="20"/>
        </w:rPr>
        <w:t>nce interval; HR = hazard ratio</w:t>
      </w:r>
    </w:p>
    <w:p w:rsidR="00D25FC6" w:rsidRPr="00B010BF" w:rsidRDefault="00D25FC6" w:rsidP="00903665">
      <w:pPr>
        <w:widowControl/>
        <w:rPr>
          <w:rStyle w:val="CommentReference"/>
          <w:sz w:val="22"/>
          <w:szCs w:val="22"/>
        </w:rPr>
      </w:pPr>
    </w:p>
    <w:p w:rsidR="001028CA" w:rsidRPr="00B010BF" w:rsidRDefault="001028CA" w:rsidP="00E771D1">
      <w:pPr>
        <w:pStyle w:val="Caption"/>
        <w:keepNext/>
        <w:widowControl/>
        <w:ind w:left="709"/>
      </w:pPr>
      <w:r w:rsidRPr="00F239B7">
        <w:t xml:space="preserve">Figure </w:t>
      </w:r>
      <w:r w:rsidR="00556B92">
        <w:rPr>
          <w:noProof/>
        </w:rPr>
        <w:t>2</w:t>
      </w:r>
      <w:r w:rsidRPr="00B010BF">
        <w:t xml:space="preserve">: Overall survival in patients with </w:t>
      </w:r>
      <w:proofErr w:type="spellStart"/>
      <w:r w:rsidRPr="00B010BF">
        <w:t>liposarcoma</w:t>
      </w:r>
      <w:proofErr w:type="spellEnd"/>
      <w:r w:rsidRPr="00B010BF">
        <w:t xml:space="preserve"> of Study 309 – median follow-up 31 months</w:t>
      </w:r>
    </w:p>
    <w:p w:rsidR="00D25FC6" w:rsidRPr="00B010BF" w:rsidRDefault="00D25FC6" w:rsidP="00A40D49">
      <w:pPr>
        <w:keepNext/>
        <w:widowControl/>
        <w:ind w:firstLine="709"/>
        <w:rPr>
          <w:rStyle w:val="CommentReference"/>
        </w:rPr>
      </w:pPr>
      <w:r w:rsidRPr="00B010BF">
        <w:rPr>
          <w:noProof/>
          <w:lang w:eastAsia="en-AU"/>
        </w:rPr>
        <w:drawing>
          <wp:inline distT="0" distB="0" distL="0" distR="0" wp14:anchorId="7ED08A83" wp14:editId="215EC7EA">
            <wp:extent cx="5303629" cy="2457450"/>
            <wp:effectExtent l="0" t="0" r="0" b="0"/>
            <wp:docPr id="4" name="Picture 4" descr="Kaplan-Meier plot of overall survival in liposarcoma population of Study 309 of eribulin and dacarbazine." title="Overall survival in liposarcoma population of Study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982" b="12356"/>
                    <a:stretch/>
                  </pic:blipFill>
                  <pic:spPr bwMode="auto">
                    <a:xfrm>
                      <a:off x="0" y="0"/>
                      <a:ext cx="5315762" cy="2463072"/>
                    </a:xfrm>
                    <a:prstGeom prst="rect">
                      <a:avLst/>
                    </a:prstGeom>
                    <a:ln>
                      <a:noFill/>
                    </a:ln>
                    <a:extLst>
                      <a:ext uri="{53640926-AAD7-44D8-BBD7-CCE9431645EC}">
                        <a14:shadowObscured xmlns:a14="http://schemas.microsoft.com/office/drawing/2010/main"/>
                      </a:ext>
                    </a:extLst>
                  </pic:spPr>
                </pic:pic>
              </a:graphicData>
            </a:graphic>
          </wp:inline>
        </w:drawing>
      </w:r>
    </w:p>
    <w:p w:rsidR="00D25FC6" w:rsidRPr="00B010BF" w:rsidRDefault="00D25FC6" w:rsidP="00E771D1">
      <w:pPr>
        <w:pStyle w:val="TableFooter"/>
        <w:keepNext/>
        <w:widowControl/>
        <w:ind w:left="709"/>
        <w:rPr>
          <w:rStyle w:val="CommentReference"/>
          <w:b w:val="0"/>
          <w:sz w:val="18"/>
          <w:szCs w:val="20"/>
        </w:rPr>
      </w:pPr>
      <w:r w:rsidRPr="00B010BF">
        <w:rPr>
          <w:rStyle w:val="CommentReference"/>
          <w:b w:val="0"/>
          <w:sz w:val="18"/>
          <w:szCs w:val="20"/>
        </w:rPr>
        <w:t>Source: Figure B-4, p72 of the submission</w:t>
      </w:r>
    </w:p>
    <w:p w:rsidR="00047312" w:rsidRPr="00B010BF" w:rsidRDefault="00047312" w:rsidP="00E771D1">
      <w:pPr>
        <w:pStyle w:val="TableFooter"/>
        <w:keepNext/>
        <w:widowControl/>
        <w:ind w:left="709"/>
        <w:rPr>
          <w:rStyle w:val="CommentReference"/>
          <w:b w:val="0"/>
          <w:sz w:val="18"/>
          <w:szCs w:val="20"/>
        </w:rPr>
      </w:pPr>
      <w:r w:rsidRPr="00B010BF">
        <w:rPr>
          <w:rStyle w:val="CommentReference"/>
          <w:b w:val="0"/>
          <w:sz w:val="18"/>
          <w:szCs w:val="20"/>
        </w:rPr>
        <w:t>CI = confidence interval; HR = hazard ratio</w:t>
      </w:r>
    </w:p>
    <w:p w:rsidR="000D7464" w:rsidRPr="00B010BF" w:rsidRDefault="000D7464" w:rsidP="00903665">
      <w:pPr>
        <w:pStyle w:val="TableFooter"/>
        <w:widowControl/>
        <w:ind w:left="720"/>
        <w:rPr>
          <w:rStyle w:val="CommentReference"/>
          <w:b w:val="0"/>
          <w:sz w:val="22"/>
          <w:szCs w:val="22"/>
        </w:rPr>
      </w:pPr>
    </w:p>
    <w:p w:rsidR="000D7464" w:rsidRPr="00F34398" w:rsidRDefault="000D7464" w:rsidP="00A728F8">
      <w:pPr>
        <w:pStyle w:val="ListParagraph"/>
        <w:widowControl/>
        <w:numPr>
          <w:ilvl w:val="1"/>
          <w:numId w:val="2"/>
        </w:numPr>
        <w:rPr>
          <w:szCs w:val="22"/>
          <w:lang w:val="en-GB"/>
        </w:rPr>
      </w:pPr>
      <w:r w:rsidRPr="004140E4">
        <w:t xml:space="preserve">In the ITT population of Study 309, </w:t>
      </w:r>
      <w:r w:rsidR="00AE5336">
        <w:t xml:space="preserve">the median overall survival with </w:t>
      </w:r>
      <w:proofErr w:type="spellStart"/>
      <w:r w:rsidRPr="004140E4">
        <w:t>eribulin</w:t>
      </w:r>
      <w:proofErr w:type="spellEnd"/>
      <w:r w:rsidRPr="004140E4">
        <w:t xml:space="preserve"> </w:t>
      </w:r>
      <w:r w:rsidR="00AE5336">
        <w:t>was</w:t>
      </w:r>
      <w:r w:rsidR="0011495F">
        <w:t xml:space="preserve"> 13.5 months compared with </w:t>
      </w:r>
      <w:r w:rsidRPr="004140E4">
        <w:t xml:space="preserve">11.5 months for patients treated with </w:t>
      </w:r>
      <w:proofErr w:type="spellStart"/>
      <w:r w:rsidRPr="004140E4">
        <w:t>dacarbazine</w:t>
      </w:r>
      <w:proofErr w:type="spellEnd"/>
      <w:r w:rsidRPr="004140E4">
        <w:t xml:space="preserve"> (hazard ratio (HR): 0.77; 95% confidence interval (CI): 0.62 to 0.95). The effect was more pronounced in patients with </w:t>
      </w:r>
      <w:proofErr w:type="spellStart"/>
      <w:r w:rsidRPr="004140E4">
        <w:t>liposarcoma</w:t>
      </w:r>
      <w:proofErr w:type="spellEnd"/>
      <w:r w:rsidRPr="004140E4">
        <w:t xml:space="preserve"> (pre-specified subgroup), with a median survival of 15.6 months for </w:t>
      </w:r>
      <w:proofErr w:type="spellStart"/>
      <w:r w:rsidRPr="004140E4">
        <w:t>eribulin</w:t>
      </w:r>
      <w:proofErr w:type="spellEnd"/>
      <w:r w:rsidRPr="004140E4">
        <w:t xml:space="preserve"> compared with 8.4 months for </w:t>
      </w:r>
      <w:proofErr w:type="spellStart"/>
      <w:r w:rsidRPr="004140E4">
        <w:t>dacarbazine</w:t>
      </w:r>
      <w:proofErr w:type="spellEnd"/>
      <w:r w:rsidRPr="004140E4">
        <w:t xml:space="preserve"> (HR: 0.51; 95% CI: 0.35 to 0.75). In contrast, </w:t>
      </w:r>
      <w:proofErr w:type="spellStart"/>
      <w:r w:rsidRPr="004140E4">
        <w:t>eribulin</w:t>
      </w:r>
      <w:proofErr w:type="spellEnd"/>
      <w:r w:rsidRPr="004140E4">
        <w:t xml:space="preserve"> did not </w:t>
      </w:r>
      <w:r w:rsidRPr="00B010BF">
        <w:t xml:space="preserve">improve overall survival in patients with </w:t>
      </w:r>
      <w:proofErr w:type="spellStart"/>
      <w:r w:rsidRPr="00B010BF">
        <w:t>leiomyosarcoma</w:t>
      </w:r>
      <w:proofErr w:type="spellEnd"/>
      <w:r w:rsidRPr="00B010BF">
        <w:t xml:space="preserve"> compared with </w:t>
      </w:r>
      <w:proofErr w:type="spellStart"/>
      <w:r w:rsidRPr="00B010BF">
        <w:t>dacarbazine</w:t>
      </w:r>
      <w:proofErr w:type="spellEnd"/>
      <w:r w:rsidRPr="00B010BF">
        <w:t xml:space="preserve">, with a similar median overall survival reported in both treatment groups </w:t>
      </w:r>
      <w:r w:rsidR="00581D86" w:rsidRPr="00B010BF">
        <w:t>of</w:t>
      </w:r>
      <w:r w:rsidR="00AE5336">
        <w:t xml:space="preserve"> </w:t>
      </w:r>
      <w:r w:rsidRPr="00B010BF">
        <w:t>12.7 months</w:t>
      </w:r>
      <w:r w:rsidR="00581D86" w:rsidRPr="00B010BF">
        <w:t xml:space="preserve"> for </w:t>
      </w:r>
      <w:proofErr w:type="spellStart"/>
      <w:r w:rsidR="00581D86" w:rsidRPr="00B010BF">
        <w:t>eribulin</w:t>
      </w:r>
      <w:proofErr w:type="spellEnd"/>
      <w:r w:rsidR="00581D86" w:rsidRPr="00B010BF">
        <w:t>,</w:t>
      </w:r>
      <w:r w:rsidRPr="00B010BF">
        <w:t xml:space="preserve"> versus 13.0 months </w:t>
      </w:r>
      <w:r w:rsidR="00581D86" w:rsidRPr="00B010BF">
        <w:t xml:space="preserve">for </w:t>
      </w:r>
      <w:proofErr w:type="spellStart"/>
      <w:r w:rsidR="00581D86" w:rsidRPr="00B010BF">
        <w:t>dacarbazine</w:t>
      </w:r>
      <w:proofErr w:type="spellEnd"/>
      <w:r w:rsidRPr="00B010BF">
        <w:t xml:space="preserve"> </w:t>
      </w:r>
      <w:r w:rsidR="00581D86" w:rsidRPr="00B010BF">
        <w:t>(</w:t>
      </w:r>
      <w:r w:rsidRPr="00B010BF">
        <w:t xml:space="preserve">HR: 0.93; 95% CI: 0.71 to 1.20). </w:t>
      </w:r>
      <w:r w:rsidR="00D920DB" w:rsidRPr="00B010BF">
        <w:t>The submission stated</w:t>
      </w:r>
      <w:r w:rsidR="000F21C2" w:rsidRPr="00B010BF">
        <w:t xml:space="preserve"> that the difference in prognosis between </w:t>
      </w:r>
      <w:proofErr w:type="spellStart"/>
      <w:r w:rsidR="000F21C2" w:rsidRPr="00B010BF">
        <w:t>liposarcoma</w:t>
      </w:r>
      <w:proofErr w:type="spellEnd"/>
      <w:r w:rsidR="000F21C2" w:rsidRPr="00B010BF">
        <w:t xml:space="preserve"> and </w:t>
      </w:r>
      <w:proofErr w:type="spellStart"/>
      <w:r w:rsidR="000F21C2" w:rsidRPr="00B010BF">
        <w:t>leiomyosarcoma</w:t>
      </w:r>
      <w:proofErr w:type="spellEnd"/>
      <w:r w:rsidR="000F21C2" w:rsidRPr="00B010BF">
        <w:t xml:space="preserve"> </w:t>
      </w:r>
      <w:r w:rsidR="000F21C2" w:rsidRPr="00B010BF">
        <w:lastRenderedPageBreak/>
        <w:t xml:space="preserve">might offer an explanation for the difference in efficacy of </w:t>
      </w:r>
      <w:proofErr w:type="spellStart"/>
      <w:r w:rsidR="000F21C2" w:rsidRPr="00B010BF">
        <w:t>eribulin</w:t>
      </w:r>
      <w:proofErr w:type="spellEnd"/>
      <w:r w:rsidR="000F21C2" w:rsidRPr="00B010BF">
        <w:t xml:space="preserve"> treatment by subgroup.</w:t>
      </w:r>
    </w:p>
    <w:p w:rsidR="00F34398" w:rsidRPr="00F34398" w:rsidRDefault="00F34398" w:rsidP="00F34398">
      <w:pPr>
        <w:pStyle w:val="ListParagraph"/>
        <w:widowControl/>
        <w:rPr>
          <w:szCs w:val="22"/>
          <w:lang w:val="en-GB"/>
        </w:rPr>
      </w:pPr>
    </w:p>
    <w:p w:rsidR="00F34398" w:rsidRPr="00F34398" w:rsidRDefault="00F34398" w:rsidP="00F34398">
      <w:pPr>
        <w:pStyle w:val="ListParagraph"/>
        <w:widowControl/>
        <w:numPr>
          <w:ilvl w:val="1"/>
          <w:numId w:val="2"/>
        </w:numPr>
      </w:pPr>
      <w:r>
        <w:t xml:space="preserve">The PBAC noted that the median overall survival in the </w:t>
      </w:r>
      <w:proofErr w:type="spellStart"/>
      <w:r>
        <w:t>dacarbazine</w:t>
      </w:r>
      <w:proofErr w:type="spellEnd"/>
      <w:r>
        <w:t xml:space="preserve"> arm </w:t>
      </w:r>
      <w:r w:rsidR="0011495F">
        <w:t>was 11.5 (95% CI: 9.6 to</w:t>
      </w:r>
      <w:r>
        <w:t xml:space="preserve"> 13.0) months in the IT</w:t>
      </w:r>
      <w:r w:rsidR="0011495F">
        <w:t xml:space="preserve">T population, 8.4 (95% CI: 5.2 to </w:t>
      </w:r>
      <w:r>
        <w:t xml:space="preserve">10.1) months in the </w:t>
      </w:r>
      <w:proofErr w:type="spellStart"/>
      <w:r>
        <w:t>liposarcoma</w:t>
      </w:r>
      <w:proofErr w:type="spellEnd"/>
      <w:r>
        <w:t xml:space="preserve"> su</w:t>
      </w:r>
      <w:r w:rsidR="0011495F">
        <w:t xml:space="preserve">bgroup, and 13.0 (95% CI: 11.3 to </w:t>
      </w:r>
      <w:r>
        <w:t xml:space="preserve">15.1) months in the </w:t>
      </w:r>
      <w:proofErr w:type="spellStart"/>
      <w:r>
        <w:t>leiomyosarcoma</w:t>
      </w:r>
      <w:proofErr w:type="spellEnd"/>
      <w:r>
        <w:t xml:space="preserve"> subgroup.</w:t>
      </w:r>
      <w:r w:rsidR="0023426E">
        <w:t xml:space="preserve"> Therefore, the PBAC considered that the larger incremental survival gain observed </w:t>
      </w:r>
      <w:r w:rsidR="00255A12">
        <w:t xml:space="preserve">in </w:t>
      </w:r>
      <w:proofErr w:type="spellStart"/>
      <w:r w:rsidR="00255A12">
        <w:t>eribulin</w:t>
      </w:r>
      <w:proofErr w:type="spellEnd"/>
      <w:r w:rsidR="00255A12">
        <w:t xml:space="preserve"> vs </w:t>
      </w:r>
      <w:proofErr w:type="spellStart"/>
      <w:r w:rsidR="00255A12">
        <w:t>darcabazine</w:t>
      </w:r>
      <w:proofErr w:type="spellEnd"/>
      <w:r w:rsidR="00255A12">
        <w:t xml:space="preserve"> patients </w:t>
      </w:r>
      <w:r w:rsidR="0023426E">
        <w:t xml:space="preserve">in the </w:t>
      </w:r>
      <w:proofErr w:type="spellStart"/>
      <w:r w:rsidR="0023426E">
        <w:t>liposarcoma</w:t>
      </w:r>
      <w:proofErr w:type="spellEnd"/>
      <w:r w:rsidR="0023426E">
        <w:t xml:space="preserve"> subgroup </w:t>
      </w:r>
      <w:r w:rsidR="00255A12">
        <w:t>(7.2 months) compared to the ITT population (2.0 months),</w:t>
      </w:r>
      <w:r w:rsidR="0023426E">
        <w:t xml:space="preserve"> was partly due to the reduced survival in the </w:t>
      </w:r>
      <w:proofErr w:type="spellStart"/>
      <w:r w:rsidR="0023426E">
        <w:t>darcabazine</w:t>
      </w:r>
      <w:proofErr w:type="spellEnd"/>
      <w:r w:rsidR="0023426E">
        <w:t xml:space="preserve"> arm</w:t>
      </w:r>
      <w:r w:rsidR="00255A12">
        <w:t xml:space="preserve"> of the </w:t>
      </w:r>
      <w:proofErr w:type="spellStart"/>
      <w:r w:rsidR="00255A12">
        <w:t>liposarcoma</w:t>
      </w:r>
      <w:proofErr w:type="spellEnd"/>
      <w:r w:rsidR="00255A12">
        <w:t xml:space="preserve"> subgroup rather than being solely due to an increased survival in the </w:t>
      </w:r>
      <w:proofErr w:type="spellStart"/>
      <w:r w:rsidR="00255A12">
        <w:t>eribulin</w:t>
      </w:r>
      <w:proofErr w:type="spellEnd"/>
      <w:r w:rsidR="00255A12">
        <w:t xml:space="preserve"> arm</w:t>
      </w:r>
      <w:r w:rsidR="0023426E">
        <w:t>.</w:t>
      </w:r>
      <w:r>
        <w:t xml:space="preserve"> </w:t>
      </w:r>
      <w:r w:rsidR="0048428F">
        <w:t xml:space="preserve">The PBAC also noted that although the subgroups were pre-specified in Study 309, </w:t>
      </w:r>
      <w:r w:rsidR="00556B92">
        <w:t xml:space="preserve">the submission did </w:t>
      </w:r>
      <w:r w:rsidR="0048428F">
        <w:t>no</w:t>
      </w:r>
      <w:r w:rsidR="00556B92">
        <w:t>t make any</w:t>
      </w:r>
      <w:r w:rsidR="0048428F">
        <w:t xml:space="preserve"> adjustment</w:t>
      </w:r>
      <w:r w:rsidR="00556B92">
        <w:t>s</w:t>
      </w:r>
      <w:r w:rsidR="0048428F">
        <w:t xml:space="preserve"> for multiplicity</w:t>
      </w:r>
      <w:r w:rsidR="00556B92">
        <w:t xml:space="preserve"> or present</w:t>
      </w:r>
      <w:r w:rsidR="0048428F">
        <w:t xml:space="preserve"> a formal test of interaction for subgroup effects. Therefore, the PBAC considered that the </w:t>
      </w:r>
      <w:r w:rsidR="00556B92">
        <w:t xml:space="preserve">observed </w:t>
      </w:r>
      <w:r w:rsidR="0048428F">
        <w:t xml:space="preserve">difference </w:t>
      </w:r>
      <w:r w:rsidR="00556B92">
        <w:t>in median overall survival</w:t>
      </w:r>
      <w:r w:rsidR="0048428F">
        <w:t xml:space="preserve"> between the </w:t>
      </w:r>
      <w:proofErr w:type="spellStart"/>
      <w:r w:rsidR="0048428F">
        <w:t>eribulin</w:t>
      </w:r>
      <w:proofErr w:type="spellEnd"/>
      <w:r w:rsidR="0048428F">
        <w:t xml:space="preserve"> and </w:t>
      </w:r>
      <w:proofErr w:type="spellStart"/>
      <w:r w:rsidR="0048428F">
        <w:t>dacarbazine</w:t>
      </w:r>
      <w:proofErr w:type="spellEnd"/>
      <w:r w:rsidR="0048428F">
        <w:t xml:space="preserve"> arms in the </w:t>
      </w:r>
      <w:proofErr w:type="spellStart"/>
      <w:r w:rsidR="0048428F">
        <w:t>liposarcoma</w:t>
      </w:r>
      <w:proofErr w:type="spellEnd"/>
      <w:r w:rsidR="0048428F">
        <w:t xml:space="preserve"> subgroup, compared</w:t>
      </w:r>
      <w:r w:rsidR="00556B92">
        <w:t xml:space="preserve"> to the </w:t>
      </w:r>
      <w:proofErr w:type="spellStart"/>
      <w:r w:rsidR="00556B92">
        <w:t>leiomyosacoma</w:t>
      </w:r>
      <w:proofErr w:type="spellEnd"/>
      <w:r w:rsidR="00556B92">
        <w:t xml:space="preserve"> subgroup and</w:t>
      </w:r>
      <w:r w:rsidR="0048428F">
        <w:t xml:space="preserve"> the ITT population, </w:t>
      </w:r>
      <w:r w:rsidR="00556B92">
        <w:t>was not a robust result</w:t>
      </w:r>
      <w:r w:rsidR="0048428F">
        <w:t xml:space="preserve">. The PBAC further noted that the median overall survival difference between the </w:t>
      </w:r>
      <w:proofErr w:type="spellStart"/>
      <w:r w:rsidR="0048428F">
        <w:t>eribulin</w:t>
      </w:r>
      <w:proofErr w:type="spellEnd"/>
      <w:r w:rsidR="0048428F">
        <w:t xml:space="preserve"> and </w:t>
      </w:r>
      <w:proofErr w:type="spellStart"/>
      <w:r w:rsidR="0048428F">
        <w:t>dacarbazine</w:t>
      </w:r>
      <w:proofErr w:type="spellEnd"/>
      <w:r w:rsidR="0048428F">
        <w:t xml:space="preserve"> arms in the ITT population was 2 months, and considered that </w:t>
      </w:r>
      <w:r w:rsidR="00FC069E">
        <w:t>this may be</w:t>
      </w:r>
      <w:r w:rsidR="0048428F">
        <w:t xml:space="preserve"> more reflective of the true efficacy of </w:t>
      </w:r>
      <w:proofErr w:type="spellStart"/>
      <w:r w:rsidR="0048428F">
        <w:t>eribulin</w:t>
      </w:r>
      <w:proofErr w:type="spellEnd"/>
      <w:r w:rsidR="0048428F">
        <w:t xml:space="preserve">, rather than the 7.2 months observed </w:t>
      </w:r>
      <w:r w:rsidR="004E2076">
        <w:t xml:space="preserve">in the </w:t>
      </w:r>
      <w:proofErr w:type="spellStart"/>
      <w:r w:rsidR="004E2076">
        <w:t>liposarcoma</w:t>
      </w:r>
      <w:proofErr w:type="spellEnd"/>
      <w:r w:rsidR="004E2076">
        <w:t xml:space="preserve"> subgroup.</w:t>
      </w:r>
    </w:p>
    <w:p w:rsidR="00D359E9" w:rsidRPr="00B010BF" w:rsidRDefault="00D359E9" w:rsidP="00903665">
      <w:pPr>
        <w:pStyle w:val="PBACHeading1"/>
        <w:numPr>
          <w:ilvl w:val="0"/>
          <w:numId w:val="0"/>
        </w:numPr>
        <w:ind w:left="720" w:hanging="720"/>
        <w:rPr>
          <w:lang w:val="en-GB"/>
        </w:rPr>
      </w:pPr>
    </w:p>
    <w:p w:rsidR="000F21C2" w:rsidRPr="00B010BF" w:rsidRDefault="000F21C2" w:rsidP="00A728F8">
      <w:pPr>
        <w:pStyle w:val="ListParagraph"/>
        <w:widowControl/>
        <w:numPr>
          <w:ilvl w:val="1"/>
          <w:numId w:val="2"/>
        </w:numPr>
        <w:rPr>
          <w:szCs w:val="22"/>
          <w:lang w:val="en-GB"/>
        </w:rPr>
      </w:pPr>
      <w:r w:rsidRPr="00B010BF">
        <w:rPr>
          <w:szCs w:val="22"/>
          <w:lang w:val="en-GB"/>
        </w:rPr>
        <w:t>The results for progression free sur</w:t>
      </w:r>
      <w:r w:rsidR="004E2076">
        <w:rPr>
          <w:szCs w:val="22"/>
          <w:lang w:val="en-GB"/>
        </w:rPr>
        <w:t>vival are presented in Table 4.</w:t>
      </w:r>
    </w:p>
    <w:p w:rsidR="000F21C2" w:rsidRPr="00B010BF" w:rsidRDefault="000F21C2" w:rsidP="00903665">
      <w:pPr>
        <w:pStyle w:val="PBACHeading1"/>
        <w:numPr>
          <w:ilvl w:val="0"/>
          <w:numId w:val="0"/>
        </w:numPr>
        <w:ind w:left="720"/>
        <w:rPr>
          <w:rStyle w:val="CommentReference"/>
          <w:b/>
        </w:rPr>
      </w:pPr>
    </w:p>
    <w:p w:rsidR="00E0735D" w:rsidRDefault="00E0735D" w:rsidP="00E771D1">
      <w:pPr>
        <w:pStyle w:val="Caption"/>
        <w:keepNext/>
        <w:widowControl/>
        <w:ind w:left="709"/>
        <w:rPr>
          <w:vertAlign w:val="superscript"/>
        </w:rPr>
      </w:pPr>
      <w:r w:rsidRPr="00F239B7">
        <w:t xml:space="preserve">Table </w:t>
      </w:r>
      <w:r w:rsidR="00556B92">
        <w:rPr>
          <w:noProof/>
        </w:rPr>
        <w:t>4</w:t>
      </w:r>
      <w:r w:rsidRPr="00B010BF">
        <w:t>: Summary of the progression free survival</w:t>
      </w:r>
      <w:r w:rsidR="002A36A0">
        <w:t xml:space="preserve"> (PFS)</w:t>
      </w:r>
      <w:r w:rsidRPr="00B010BF">
        <w:t xml:space="preserve"> results from Study 309 – median follow-up 31 months</w:t>
      </w:r>
      <w:r w:rsidRPr="00B010BF">
        <w:rPr>
          <w:vertAlign w:val="superscript"/>
        </w:rPr>
        <w:t xml:space="preserve"> a</w:t>
      </w:r>
    </w:p>
    <w:tbl>
      <w:tblPr>
        <w:tblW w:w="834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59"/>
        <w:gridCol w:w="1134"/>
        <w:gridCol w:w="1134"/>
        <w:gridCol w:w="1134"/>
        <w:gridCol w:w="1134"/>
        <w:gridCol w:w="1134"/>
        <w:gridCol w:w="1116"/>
      </w:tblGrid>
      <w:tr w:rsidR="00BC14E4" w:rsidRPr="00BC14E4" w:rsidTr="00E771D1">
        <w:trPr>
          <w:tblHeader/>
        </w:trPr>
        <w:tc>
          <w:tcPr>
            <w:tcW w:w="1559" w:type="dxa"/>
            <w:vMerge w:val="restart"/>
            <w:vAlign w:val="center"/>
          </w:tcPr>
          <w:p w:rsidR="00BC14E4" w:rsidRPr="00BC14E4" w:rsidRDefault="00BC14E4" w:rsidP="003223D2">
            <w:pPr>
              <w:keepNext/>
              <w:widowControl/>
              <w:jc w:val="left"/>
              <w:rPr>
                <w:rFonts w:ascii="Arial Narrow" w:hAnsi="Arial Narrow"/>
                <w:color w:val="000000" w:themeColor="text1"/>
                <w:sz w:val="20"/>
              </w:rPr>
            </w:pPr>
          </w:p>
        </w:tc>
        <w:tc>
          <w:tcPr>
            <w:tcW w:w="2268" w:type="dxa"/>
            <w:gridSpan w:val="2"/>
            <w:vAlign w:val="center"/>
          </w:tcPr>
          <w:p w:rsidR="00BC14E4" w:rsidRPr="00BC14E4" w:rsidRDefault="00BC14E4" w:rsidP="003223D2">
            <w:pPr>
              <w:keepNext/>
              <w:widowControl/>
              <w:jc w:val="center"/>
              <w:rPr>
                <w:rFonts w:ascii="Arial Narrow" w:hAnsi="Arial Narrow"/>
                <w:b/>
                <w:sz w:val="20"/>
                <w:lang w:val="en-US"/>
              </w:rPr>
            </w:pPr>
            <w:r w:rsidRPr="00BC14E4">
              <w:rPr>
                <w:rFonts w:ascii="Arial Narrow" w:hAnsi="Arial Narrow"/>
                <w:b/>
                <w:color w:val="000000" w:themeColor="text1"/>
                <w:sz w:val="20"/>
              </w:rPr>
              <w:t>ITT analysis</w:t>
            </w:r>
          </w:p>
        </w:tc>
        <w:tc>
          <w:tcPr>
            <w:tcW w:w="2268" w:type="dxa"/>
            <w:gridSpan w:val="2"/>
          </w:tcPr>
          <w:p w:rsidR="00BC14E4" w:rsidRPr="00BC14E4" w:rsidRDefault="00BC14E4" w:rsidP="003223D2">
            <w:pPr>
              <w:keepNext/>
              <w:widowControl/>
              <w:jc w:val="center"/>
              <w:rPr>
                <w:rFonts w:ascii="Arial Narrow" w:hAnsi="Arial Narrow"/>
                <w:b/>
                <w:sz w:val="20"/>
                <w:lang w:val="en-US"/>
              </w:rPr>
            </w:pPr>
            <w:proofErr w:type="spellStart"/>
            <w:r w:rsidRPr="00BC14E4">
              <w:rPr>
                <w:rFonts w:ascii="Arial Narrow" w:hAnsi="Arial Narrow"/>
                <w:b/>
                <w:color w:val="000000" w:themeColor="text1"/>
                <w:sz w:val="20"/>
              </w:rPr>
              <w:t>Liposarcoma</w:t>
            </w:r>
            <w:proofErr w:type="spellEnd"/>
          </w:p>
        </w:tc>
        <w:tc>
          <w:tcPr>
            <w:tcW w:w="2250" w:type="dxa"/>
            <w:gridSpan w:val="2"/>
          </w:tcPr>
          <w:p w:rsidR="00BC14E4" w:rsidRPr="00BC14E4" w:rsidRDefault="00BC14E4" w:rsidP="003223D2">
            <w:pPr>
              <w:keepNext/>
              <w:widowControl/>
              <w:jc w:val="center"/>
              <w:rPr>
                <w:rFonts w:ascii="Arial Narrow" w:hAnsi="Arial Narrow"/>
                <w:b/>
                <w:sz w:val="20"/>
                <w:lang w:val="en-US"/>
              </w:rPr>
            </w:pPr>
            <w:proofErr w:type="spellStart"/>
            <w:r w:rsidRPr="00BC14E4">
              <w:rPr>
                <w:rFonts w:ascii="Arial Narrow" w:hAnsi="Arial Narrow"/>
                <w:b/>
                <w:color w:val="000000" w:themeColor="text1"/>
                <w:sz w:val="20"/>
              </w:rPr>
              <w:t>Leiomyosarcoma</w:t>
            </w:r>
            <w:proofErr w:type="spellEnd"/>
          </w:p>
        </w:tc>
      </w:tr>
      <w:tr w:rsidR="00BC14E4" w:rsidRPr="00BC14E4" w:rsidTr="00E771D1">
        <w:trPr>
          <w:tblHeader/>
        </w:trPr>
        <w:tc>
          <w:tcPr>
            <w:tcW w:w="1559" w:type="dxa"/>
            <w:vMerge/>
            <w:vAlign w:val="center"/>
          </w:tcPr>
          <w:p w:rsidR="00BC14E4" w:rsidRPr="00BC14E4" w:rsidRDefault="00BC14E4" w:rsidP="003223D2">
            <w:pPr>
              <w:keepNext/>
              <w:widowControl/>
              <w:jc w:val="left"/>
              <w:rPr>
                <w:rFonts w:ascii="Arial Narrow" w:hAnsi="Arial Narrow"/>
                <w:color w:val="000000" w:themeColor="text1"/>
                <w:sz w:val="20"/>
              </w:rPr>
            </w:pPr>
          </w:p>
        </w:tc>
        <w:tc>
          <w:tcPr>
            <w:tcW w:w="1134" w:type="dxa"/>
            <w:vAlign w:val="center"/>
          </w:tcPr>
          <w:p w:rsidR="00BC14E4" w:rsidRPr="00BC14E4" w:rsidRDefault="00BC14E4" w:rsidP="003223D2">
            <w:pPr>
              <w:keepNext/>
              <w:widowControl/>
              <w:jc w:val="center"/>
              <w:rPr>
                <w:rFonts w:ascii="Arial Narrow" w:hAnsi="Arial Narrow"/>
                <w:b/>
                <w:sz w:val="20"/>
                <w:lang w:val="en-US"/>
              </w:rPr>
            </w:pPr>
            <w:proofErr w:type="spellStart"/>
            <w:r w:rsidRPr="00BC14E4">
              <w:rPr>
                <w:rFonts w:ascii="Arial Narrow" w:hAnsi="Arial Narrow"/>
                <w:b/>
                <w:sz w:val="20"/>
                <w:lang w:val="en-US"/>
              </w:rPr>
              <w:t>Eribulin</w:t>
            </w:r>
            <w:proofErr w:type="spellEnd"/>
          </w:p>
        </w:tc>
        <w:tc>
          <w:tcPr>
            <w:tcW w:w="1134" w:type="dxa"/>
            <w:vAlign w:val="center"/>
          </w:tcPr>
          <w:p w:rsidR="00BC14E4" w:rsidRPr="00BC14E4" w:rsidRDefault="00BC14E4" w:rsidP="003223D2">
            <w:pPr>
              <w:keepNext/>
              <w:widowControl/>
              <w:jc w:val="center"/>
              <w:rPr>
                <w:rFonts w:ascii="Arial Narrow" w:hAnsi="Arial Narrow"/>
                <w:b/>
                <w:sz w:val="20"/>
                <w:lang w:val="en-US"/>
              </w:rPr>
            </w:pPr>
            <w:proofErr w:type="spellStart"/>
            <w:r w:rsidRPr="00BC14E4">
              <w:rPr>
                <w:rFonts w:ascii="Arial Narrow" w:hAnsi="Arial Narrow"/>
                <w:b/>
                <w:sz w:val="20"/>
                <w:lang w:val="en-US"/>
              </w:rPr>
              <w:t>Dacarbazine</w:t>
            </w:r>
            <w:proofErr w:type="spellEnd"/>
          </w:p>
        </w:tc>
        <w:tc>
          <w:tcPr>
            <w:tcW w:w="1134" w:type="dxa"/>
            <w:vAlign w:val="center"/>
          </w:tcPr>
          <w:p w:rsidR="00BC14E4" w:rsidRPr="00BC14E4" w:rsidRDefault="00BC14E4" w:rsidP="003223D2">
            <w:pPr>
              <w:keepNext/>
              <w:widowControl/>
              <w:jc w:val="center"/>
              <w:rPr>
                <w:rFonts w:ascii="Arial Narrow" w:hAnsi="Arial Narrow"/>
                <w:b/>
                <w:sz w:val="20"/>
                <w:lang w:val="en-US"/>
              </w:rPr>
            </w:pPr>
            <w:proofErr w:type="spellStart"/>
            <w:r w:rsidRPr="00BC14E4">
              <w:rPr>
                <w:rFonts w:ascii="Arial Narrow" w:hAnsi="Arial Narrow"/>
                <w:b/>
                <w:sz w:val="20"/>
                <w:lang w:val="en-US"/>
              </w:rPr>
              <w:t>Eribulin</w:t>
            </w:r>
            <w:proofErr w:type="spellEnd"/>
          </w:p>
        </w:tc>
        <w:tc>
          <w:tcPr>
            <w:tcW w:w="1134" w:type="dxa"/>
            <w:vAlign w:val="center"/>
          </w:tcPr>
          <w:p w:rsidR="00BC14E4" w:rsidRPr="00BC14E4" w:rsidRDefault="00BC14E4" w:rsidP="003223D2">
            <w:pPr>
              <w:keepNext/>
              <w:widowControl/>
              <w:jc w:val="center"/>
              <w:rPr>
                <w:rFonts w:ascii="Arial Narrow" w:hAnsi="Arial Narrow"/>
                <w:b/>
                <w:sz w:val="20"/>
                <w:lang w:val="en-US"/>
              </w:rPr>
            </w:pPr>
            <w:proofErr w:type="spellStart"/>
            <w:r w:rsidRPr="00BC14E4">
              <w:rPr>
                <w:rFonts w:ascii="Arial Narrow" w:hAnsi="Arial Narrow"/>
                <w:b/>
                <w:sz w:val="20"/>
                <w:lang w:val="en-US"/>
              </w:rPr>
              <w:t>Dacarbazine</w:t>
            </w:r>
            <w:proofErr w:type="spellEnd"/>
          </w:p>
        </w:tc>
        <w:tc>
          <w:tcPr>
            <w:tcW w:w="1134" w:type="dxa"/>
            <w:vAlign w:val="center"/>
          </w:tcPr>
          <w:p w:rsidR="00BC14E4" w:rsidRPr="00BC14E4" w:rsidRDefault="00BC14E4" w:rsidP="003223D2">
            <w:pPr>
              <w:keepNext/>
              <w:widowControl/>
              <w:jc w:val="center"/>
              <w:rPr>
                <w:rFonts w:ascii="Arial Narrow" w:hAnsi="Arial Narrow"/>
                <w:b/>
                <w:sz w:val="20"/>
                <w:lang w:val="en-US"/>
              </w:rPr>
            </w:pPr>
            <w:proofErr w:type="spellStart"/>
            <w:r w:rsidRPr="00BC14E4">
              <w:rPr>
                <w:rFonts w:ascii="Arial Narrow" w:hAnsi="Arial Narrow"/>
                <w:b/>
                <w:sz w:val="20"/>
                <w:lang w:val="en-US"/>
              </w:rPr>
              <w:t>Eribulin</w:t>
            </w:r>
            <w:proofErr w:type="spellEnd"/>
          </w:p>
        </w:tc>
        <w:tc>
          <w:tcPr>
            <w:tcW w:w="1116" w:type="dxa"/>
            <w:vAlign w:val="center"/>
          </w:tcPr>
          <w:p w:rsidR="00BC14E4" w:rsidRPr="00BC14E4" w:rsidRDefault="00BC14E4" w:rsidP="003223D2">
            <w:pPr>
              <w:keepNext/>
              <w:widowControl/>
              <w:jc w:val="center"/>
              <w:rPr>
                <w:rFonts w:ascii="Arial Narrow" w:hAnsi="Arial Narrow"/>
                <w:b/>
                <w:sz w:val="20"/>
                <w:lang w:val="en-US"/>
              </w:rPr>
            </w:pPr>
            <w:proofErr w:type="spellStart"/>
            <w:r w:rsidRPr="00BC14E4">
              <w:rPr>
                <w:rFonts w:ascii="Arial Narrow" w:hAnsi="Arial Narrow"/>
                <w:b/>
                <w:sz w:val="20"/>
                <w:lang w:val="en-US"/>
              </w:rPr>
              <w:t>Dacarbazine</w:t>
            </w:r>
            <w:proofErr w:type="spellEnd"/>
          </w:p>
        </w:tc>
      </w:tr>
      <w:tr w:rsidR="00BC14E4" w:rsidRPr="00BC14E4" w:rsidTr="00E771D1">
        <w:trPr>
          <w:tblHeader/>
        </w:trPr>
        <w:tc>
          <w:tcPr>
            <w:tcW w:w="1559" w:type="dxa"/>
            <w:vAlign w:val="center"/>
          </w:tcPr>
          <w:p w:rsidR="00BC14E4" w:rsidRPr="00BC14E4" w:rsidRDefault="00BC14E4" w:rsidP="003223D2">
            <w:pPr>
              <w:keepNext/>
              <w:widowControl/>
              <w:jc w:val="left"/>
              <w:rPr>
                <w:rFonts w:ascii="Arial Narrow" w:hAnsi="Arial Narrow"/>
                <w:color w:val="000000" w:themeColor="text1"/>
                <w:sz w:val="20"/>
              </w:rPr>
            </w:pPr>
            <w:r w:rsidRPr="00BC14E4">
              <w:rPr>
                <w:rFonts w:ascii="Arial Narrow" w:hAnsi="Arial Narrow"/>
                <w:color w:val="000000" w:themeColor="text1"/>
                <w:sz w:val="20"/>
              </w:rPr>
              <w:t>N</w:t>
            </w:r>
          </w:p>
        </w:tc>
        <w:tc>
          <w:tcPr>
            <w:tcW w:w="1134" w:type="dxa"/>
            <w:vAlign w:val="center"/>
          </w:tcPr>
          <w:p w:rsidR="00BC14E4" w:rsidRPr="00BC14E4" w:rsidRDefault="00BC14E4" w:rsidP="003223D2">
            <w:pPr>
              <w:keepNext/>
              <w:widowControl/>
              <w:jc w:val="center"/>
              <w:rPr>
                <w:rFonts w:ascii="Arial Narrow" w:hAnsi="Arial Narrow"/>
                <w:sz w:val="20"/>
                <w:lang w:val="en-US"/>
              </w:rPr>
            </w:pPr>
            <w:r w:rsidRPr="00BC14E4">
              <w:rPr>
                <w:rFonts w:ascii="Arial Narrow" w:hAnsi="Arial Narrow"/>
                <w:sz w:val="20"/>
                <w:lang w:val="en-US"/>
              </w:rPr>
              <w:t>228</w:t>
            </w:r>
          </w:p>
        </w:tc>
        <w:tc>
          <w:tcPr>
            <w:tcW w:w="1134" w:type="dxa"/>
            <w:vAlign w:val="center"/>
          </w:tcPr>
          <w:p w:rsidR="00BC14E4" w:rsidRPr="00BC14E4" w:rsidRDefault="00BC14E4" w:rsidP="003223D2">
            <w:pPr>
              <w:keepNext/>
              <w:widowControl/>
              <w:jc w:val="center"/>
              <w:rPr>
                <w:rFonts w:ascii="Arial Narrow" w:hAnsi="Arial Narrow"/>
                <w:sz w:val="20"/>
                <w:lang w:val="en-US"/>
              </w:rPr>
            </w:pPr>
            <w:r w:rsidRPr="00BC14E4">
              <w:rPr>
                <w:rFonts w:ascii="Arial Narrow" w:hAnsi="Arial Narrow"/>
                <w:sz w:val="20"/>
                <w:lang w:val="en-US"/>
              </w:rPr>
              <w:t>224</w:t>
            </w:r>
          </w:p>
        </w:tc>
        <w:tc>
          <w:tcPr>
            <w:tcW w:w="1134" w:type="dxa"/>
            <w:vAlign w:val="center"/>
          </w:tcPr>
          <w:p w:rsidR="00BC14E4" w:rsidRPr="00BC14E4" w:rsidRDefault="00BC14E4" w:rsidP="003223D2">
            <w:pPr>
              <w:keepNext/>
              <w:widowControl/>
              <w:jc w:val="center"/>
              <w:rPr>
                <w:rFonts w:ascii="Arial Narrow" w:hAnsi="Arial Narrow"/>
                <w:color w:val="000000" w:themeColor="text1"/>
                <w:sz w:val="20"/>
              </w:rPr>
            </w:pPr>
            <w:r w:rsidRPr="00BC14E4">
              <w:rPr>
                <w:rFonts w:ascii="Arial Narrow" w:hAnsi="Arial Narrow"/>
                <w:color w:val="000000" w:themeColor="text1"/>
                <w:sz w:val="20"/>
              </w:rPr>
              <w:t>71</w:t>
            </w:r>
          </w:p>
        </w:tc>
        <w:tc>
          <w:tcPr>
            <w:tcW w:w="1134" w:type="dxa"/>
            <w:vAlign w:val="center"/>
          </w:tcPr>
          <w:p w:rsidR="00BC14E4" w:rsidRPr="00BC14E4" w:rsidRDefault="00BC14E4" w:rsidP="003223D2">
            <w:pPr>
              <w:keepNext/>
              <w:widowControl/>
              <w:jc w:val="center"/>
              <w:rPr>
                <w:rFonts w:ascii="Arial Narrow" w:hAnsi="Arial Narrow"/>
                <w:color w:val="000000" w:themeColor="text1"/>
                <w:sz w:val="20"/>
              </w:rPr>
            </w:pPr>
            <w:r w:rsidRPr="00BC14E4">
              <w:rPr>
                <w:rFonts w:ascii="Arial Narrow" w:hAnsi="Arial Narrow"/>
                <w:color w:val="000000" w:themeColor="text1"/>
                <w:sz w:val="20"/>
              </w:rPr>
              <w:t>72</w:t>
            </w:r>
          </w:p>
        </w:tc>
        <w:tc>
          <w:tcPr>
            <w:tcW w:w="1134" w:type="dxa"/>
            <w:vAlign w:val="center"/>
          </w:tcPr>
          <w:p w:rsidR="00BC14E4" w:rsidRPr="00BC14E4" w:rsidRDefault="00BC14E4" w:rsidP="003223D2">
            <w:pPr>
              <w:keepNext/>
              <w:widowControl/>
              <w:jc w:val="center"/>
              <w:rPr>
                <w:rFonts w:ascii="Arial Narrow" w:hAnsi="Arial Narrow"/>
                <w:color w:val="000000" w:themeColor="text1"/>
                <w:sz w:val="20"/>
              </w:rPr>
            </w:pPr>
            <w:r w:rsidRPr="00BC14E4">
              <w:rPr>
                <w:rFonts w:ascii="Arial Narrow" w:hAnsi="Arial Narrow"/>
                <w:color w:val="000000" w:themeColor="text1"/>
                <w:sz w:val="20"/>
              </w:rPr>
              <w:t>157</w:t>
            </w:r>
          </w:p>
        </w:tc>
        <w:tc>
          <w:tcPr>
            <w:tcW w:w="1116" w:type="dxa"/>
            <w:vAlign w:val="center"/>
          </w:tcPr>
          <w:p w:rsidR="00BC14E4" w:rsidRPr="00BC14E4" w:rsidRDefault="00BC14E4" w:rsidP="003223D2">
            <w:pPr>
              <w:keepNext/>
              <w:widowControl/>
              <w:jc w:val="center"/>
              <w:rPr>
                <w:rFonts w:ascii="Arial Narrow" w:hAnsi="Arial Narrow"/>
                <w:color w:val="000000" w:themeColor="text1"/>
                <w:sz w:val="20"/>
              </w:rPr>
            </w:pPr>
            <w:r w:rsidRPr="00BC14E4">
              <w:rPr>
                <w:rFonts w:ascii="Arial Narrow" w:hAnsi="Arial Narrow"/>
                <w:color w:val="000000" w:themeColor="text1"/>
                <w:sz w:val="20"/>
              </w:rPr>
              <w:t>152</w:t>
            </w:r>
          </w:p>
        </w:tc>
      </w:tr>
      <w:tr w:rsidR="00BC14E4" w:rsidRPr="00BC14E4" w:rsidTr="00E771D1">
        <w:tc>
          <w:tcPr>
            <w:tcW w:w="1559" w:type="dxa"/>
            <w:vAlign w:val="center"/>
          </w:tcPr>
          <w:p w:rsidR="00BC14E4" w:rsidRPr="00BC14E4" w:rsidRDefault="00BC14E4" w:rsidP="003223D2">
            <w:pPr>
              <w:keepNext/>
              <w:widowControl/>
              <w:ind w:right="-108"/>
              <w:jc w:val="left"/>
              <w:rPr>
                <w:rFonts w:ascii="Arial Narrow" w:hAnsi="Arial Narrow"/>
                <w:color w:val="000000" w:themeColor="text1"/>
                <w:sz w:val="20"/>
              </w:rPr>
            </w:pPr>
            <w:r w:rsidRPr="00BC14E4">
              <w:rPr>
                <w:rFonts w:ascii="Arial Narrow" w:hAnsi="Arial Narrow"/>
                <w:color w:val="000000" w:themeColor="text1"/>
                <w:sz w:val="20"/>
              </w:rPr>
              <w:t>Patients with events, n (%)</w:t>
            </w:r>
          </w:p>
        </w:tc>
        <w:tc>
          <w:tcPr>
            <w:tcW w:w="1134" w:type="dxa"/>
            <w:vAlign w:val="center"/>
          </w:tcPr>
          <w:p w:rsidR="00BC14E4" w:rsidRPr="00BC14E4" w:rsidRDefault="00BC14E4" w:rsidP="003223D2">
            <w:pPr>
              <w:pStyle w:val="Tabletext"/>
              <w:keepNext/>
              <w:jc w:val="center"/>
            </w:pPr>
            <w:r w:rsidRPr="00BC14E4">
              <w:t>197 (86%)</w:t>
            </w:r>
          </w:p>
        </w:tc>
        <w:tc>
          <w:tcPr>
            <w:tcW w:w="1134" w:type="dxa"/>
            <w:vAlign w:val="center"/>
          </w:tcPr>
          <w:p w:rsidR="00BC14E4" w:rsidRPr="00BC14E4" w:rsidRDefault="00BC14E4" w:rsidP="003223D2">
            <w:pPr>
              <w:pStyle w:val="Tabletext"/>
              <w:keepNext/>
              <w:jc w:val="center"/>
            </w:pPr>
            <w:r w:rsidRPr="00BC14E4">
              <w:t>188 (84%)</w:t>
            </w:r>
          </w:p>
        </w:tc>
        <w:tc>
          <w:tcPr>
            <w:tcW w:w="1134" w:type="dxa"/>
            <w:vAlign w:val="center"/>
          </w:tcPr>
          <w:p w:rsidR="00BC14E4" w:rsidRPr="00BC14E4" w:rsidRDefault="00BC14E4" w:rsidP="003223D2">
            <w:pPr>
              <w:keepNext/>
              <w:widowControl/>
              <w:jc w:val="center"/>
              <w:rPr>
                <w:rFonts w:ascii="Arial Narrow" w:hAnsi="Arial Narrow"/>
                <w:color w:val="000000" w:themeColor="text1"/>
                <w:sz w:val="20"/>
              </w:rPr>
            </w:pPr>
            <w:r w:rsidRPr="00BC14E4">
              <w:rPr>
                <w:rFonts w:ascii="Arial Narrow" w:hAnsi="Arial Narrow"/>
                <w:color w:val="000000" w:themeColor="text1"/>
                <w:sz w:val="20"/>
              </w:rPr>
              <w:t>57 (80%)</w:t>
            </w:r>
          </w:p>
        </w:tc>
        <w:tc>
          <w:tcPr>
            <w:tcW w:w="1134" w:type="dxa"/>
            <w:vAlign w:val="center"/>
          </w:tcPr>
          <w:p w:rsidR="00BC14E4" w:rsidRPr="00BC14E4" w:rsidRDefault="00BC14E4" w:rsidP="003223D2">
            <w:pPr>
              <w:keepNext/>
              <w:widowControl/>
              <w:jc w:val="center"/>
              <w:rPr>
                <w:rFonts w:ascii="Arial Narrow" w:hAnsi="Arial Narrow"/>
                <w:color w:val="000000" w:themeColor="text1"/>
                <w:sz w:val="20"/>
              </w:rPr>
            </w:pPr>
            <w:r w:rsidRPr="00BC14E4">
              <w:rPr>
                <w:rFonts w:ascii="Arial Narrow" w:hAnsi="Arial Narrow"/>
                <w:color w:val="000000" w:themeColor="text1"/>
                <w:sz w:val="20"/>
              </w:rPr>
              <w:t>59 (82%)</w:t>
            </w:r>
          </w:p>
        </w:tc>
        <w:tc>
          <w:tcPr>
            <w:tcW w:w="1134" w:type="dxa"/>
            <w:vAlign w:val="center"/>
          </w:tcPr>
          <w:p w:rsidR="00BC14E4" w:rsidRPr="00BC14E4" w:rsidRDefault="00BC14E4" w:rsidP="003223D2">
            <w:pPr>
              <w:keepNext/>
              <w:widowControl/>
              <w:jc w:val="center"/>
              <w:rPr>
                <w:rFonts w:ascii="Arial Narrow" w:hAnsi="Arial Narrow"/>
                <w:color w:val="000000" w:themeColor="text1"/>
                <w:sz w:val="20"/>
              </w:rPr>
            </w:pPr>
            <w:r w:rsidRPr="00BC14E4">
              <w:rPr>
                <w:rFonts w:ascii="Arial Narrow" w:hAnsi="Arial Narrow"/>
                <w:color w:val="000000" w:themeColor="text1"/>
                <w:sz w:val="20"/>
              </w:rPr>
              <w:t>140 (89%)</w:t>
            </w:r>
          </w:p>
        </w:tc>
        <w:tc>
          <w:tcPr>
            <w:tcW w:w="1116" w:type="dxa"/>
            <w:vAlign w:val="center"/>
          </w:tcPr>
          <w:p w:rsidR="00BC14E4" w:rsidRPr="00BC14E4" w:rsidRDefault="00BC14E4" w:rsidP="003223D2">
            <w:pPr>
              <w:keepNext/>
              <w:widowControl/>
              <w:jc w:val="center"/>
              <w:rPr>
                <w:rFonts w:ascii="Arial Narrow" w:hAnsi="Arial Narrow"/>
                <w:color w:val="000000" w:themeColor="text1"/>
                <w:sz w:val="20"/>
              </w:rPr>
            </w:pPr>
            <w:r w:rsidRPr="00BC14E4">
              <w:rPr>
                <w:rFonts w:ascii="Arial Narrow" w:hAnsi="Arial Narrow"/>
                <w:color w:val="000000" w:themeColor="text1"/>
                <w:sz w:val="20"/>
              </w:rPr>
              <w:t>129 (85%)</w:t>
            </w:r>
          </w:p>
        </w:tc>
      </w:tr>
      <w:tr w:rsidR="00BC14E4" w:rsidRPr="00BC14E4" w:rsidTr="00E771D1">
        <w:tc>
          <w:tcPr>
            <w:tcW w:w="1559" w:type="dxa"/>
            <w:vAlign w:val="center"/>
          </w:tcPr>
          <w:p w:rsidR="00BC14E4" w:rsidRPr="00BC14E4" w:rsidRDefault="00BC14E4" w:rsidP="003223D2">
            <w:pPr>
              <w:keepNext/>
              <w:widowControl/>
              <w:ind w:right="-108"/>
              <w:jc w:val="left"/>
              <w:rPr>
                <w:rFonts w:ascii="Arial Narrow" w:hAnsi="Arial Narrow"/>
                <w:color w:val="000000" w:themeColor="text1"/>
                <w:sz w:val="20"/>
              </w:rPr>
            </w:pPr>
            <w:r w:rsidRPr="00BC14E4">
              <w:rPr>
                <w:rFonts w:ascii="Arial Narrow" w:hAnsi="Arial Narrow"/>
                <w:color w:val="000000" w:themeColor="text1"/>
                <w:sz w:val="20"/>
              </w:rPr>
              <w:t>Median PFS, months (95% CI)</w:t>
            </w:r>
          </w:p>
        </w:tc>
        <w:tc>
          <w:tcPr>
            <w:tcW w:w="1134" w:type="dxa"/>
            <w:vAlign w:val="center"/>
          </w:tcPr>
          <w:p w:rsidR="00BC14E4" w:rsidRPr="00BC14E4" w:rsidRDefault="00BC14E4" w:rsidP="003223D2">
            <w:pPr>
              <w:pStyle w:val="Tabletext"/>
              <w:keepNext/>
              <w:jc w:val="center"/>
            </w:pPr>
            <w:r w:rsidRPr="00BC14E4">
              <w:t>2.6 (1.9, 2.8)</w:t>
            </w:r>
          </w:p>
        </w:tc>
        <w:tc>
          <w:tcPr>
            <w:tcW w:w="1134" w:type="dxa"/>
            <w:vAlign w:val="center"/>
          </w:tcPr>
          <w:p w:rsidR="00BC14E4" w:rsidRPr="00BC14E4" w:rsidRDefault="00BC14E4" w:rsidP="003223D2">
            <w:pPr>
              <w:pStyle w:val="Tabletext"/>
              <w:keepNext/>
              <w:jc w:val="center"/>
            </w:pPr>
            <w:r w:rsidRPr="00BC14E4">
              <w:t>2.6 (1.8, 2.7)</w:t>
            </w:r>
          </w:p>
        </w:tc>
        <w:tc>
          <w:tcPr>
            <w:tcW w:w="1134" w:type="dxa"/>
            <w:vAlign w:val="center"/>
          </w:tcPr>
          <w:p w:rsidR="00BC14E4" w:rsidRPr="00BC14E4" w:rsidRDefault="00BC14E4" w:rsidP="003223D2">
            <w:pPr>
              <w:keepNext/>
              <w:widowControl/>
              <w:jc w:val="center"/>
              <w:rPr>
                <w:rFonts w:ascii="Arial Narrow" w:hAnsi="Arial Narrow"/>
                <w:color w:val="000000" w:themeColor="text1"/>
                <w:sz w:val="20"/>
              </w:rPr>
            </w:pPr>
            <w:r w:rsidRPr="00BC14E4">
              <w:rPr>
                <w:rFonts w:ascii="Arial Narrow" w:hAnsi="Arial Narrow"/>
                <w:color w:val="000000" w:themeColor="text1"/>
                <w:sz w:val="20"/>
              </w:rPr>
              <w:t>2.9 (2.6, 4.8)</w:t>
            </w:r>
          </w:p>
        </w:tc>
        <w:tc>
          <w:tcPr>
            <w:tcW w:w="1134" w:type="dxa"/>
            <w:vAlign w:val="center"/>
          </w:tcPr>
          <w:p w:rsidR="00BC14E4" w:rsidRPr="00BC14E4" w:rsidRDefault="00BC14E4" w:rsidP="003223D2">
            <w:pPr>
              <w:keepNext/>
              <w:widowControl/>
              <w:jc w:val="center"/>
              <w:rPr>
                <w:rFonts w:ascii="Arial Narrow" w:hAnsi="Arial Narrow"/>
                <w:color w:val="000000" w:themeColor="text1"/>
                <w:sz w:val="20"/>
              </w:rPr>
            </w:pPr>
            <w:r w:rsidRPr="00BC14E4">
              <w:rPr>
                <w:rFonts w:ascii="Arial Narrow" w:hAnsi="Arial Narrow"/>
                <w:color w:val="000000" w:themeColor="text1"/>
                <w:sz w:val="20"/>
              </w:rPr>
              <w:t>1.7 (1.4, 2.6)</w:t>
            </w:r>
          </w:p>
        </w:tc>
        <w:tc>
          <w:tcPr>
            <w:tcW w:w="1134" w:type="dxa"/>
            <w:vAlign w:val="center"/>
          </w:tcPr>
          <w:p w:rsidR="00BC14E4" w:rsidRPr="00BC14E4" w:rsidRDefault="00BC14E4" w:rsidP="003223D2">
            <w:pPr>
              <w:keepNext/>
              <w:widowControl/>
              <w:jc w:val="center"/>
              <w:rPr>
                <w:rFonts w:ascii="Arial Narrow" w:hAnsi="Arial Narrow"/>
                <w:color w:val="000000" w:themeColor="text1"/>
                <w:sz w:val="20"/>
              </w:rPr>
            </w:pPr>
            <w:r w:rsidRPr="00BC14E4">
              <w:rPr>
                <w:rFonts w:ascii="Arial Narrow" w:hAnsi="Arial Narrow"/>
                <w:color w:val="000000" w:themeColor="text1"/>
                <w:sz w:val="20"/>
              </w:rPr>
              <w:t>2.2 (1.5, 2.7)</w:t>
            </w:r>
          </w:p>
        </w:tc>
        <w:tc>
          <w:tcPr>
            <w:tcW w:w="1116" w:type="dxa"/>
            <w:vAlign w:val="center"/>
          </w:tcPr>
          <w:p w:rsidR="00BC14E4" w:rsidRPr="00BC14E4" w:rsidRDefault="00BC14E4" w:rsidP="003223D2">
            <w:pPr>
              <w:keepNext/>
              <w:widowControl/>
              <w:jc w:val="center"/>
              <w:rPr>
                <w:rFonts w:ascii="Arial Narrow" w:hAnsi="Arial Narrow"/>
                <w:color w:val="000000" w:themeColor="text1"/>
                <w:sz w:val="20"/>
              </w:rPr>
            </w:pPr>
            <w:r w:rsidRPr="00BC14E4">
              <w:rPr>
                <w:rFonts w:ascii="Arial Narrow" w:hAnsi="Arial Narrow"/>
                <w:color w:val="000000" w:themeColor="text1"/>
                <w:sz w:val="20"/>
              </w:rPr>
              <w:t>2.6 (2.4, 2.9)</w:t>
            </w:r>
          </w:p>
        </w:tc>
      </w:tr>
      <w:tr w:rsidR="00BC14E4" w:rsidRPr="00BC14E4" w:rsidTr="00E771D1">
        <w:tc>
          <w:tcPr>
            <w:tcW w:w="1559" w:type="dxa"/>
            <w:vAlign w:val="center"/>
          </w:tcPr>
          <w:p w:rsidR="00BC14E4" w:rsidRPr="00BC14E4" w:rsidRDefault="00BC14E4" w:rsidP="003223D2">
            <w:pPr>
              <w:keepNext/>
              <w:widowControl/>
              <w:ind w:right="-108"/>
              <w:jc w:val="left"/>
              <w:rPr>
                <w:rFonts w:ascii="Arial Narrow" w:hAnsi="Arial Narrow"/>
                <w:color w:val="000000" w:themeColor="text1"/>
                <w:sz w:val="20"/>
              </w:rPr>
            </w:pPr>
            <w:r w:rsidRPr="00BC14E4">
              <w:rPr>
                <w:rFonts w:ascii="Arial Narrow" w:hAnsi="Arial Narrow"/>
                <w:color w:val="000000" w:themeColor="text1"/>
                <w:sz w:val="20"/>
              </w:rPr>
              <w:t>HR (95% CI)</w:t>
            </w:r>
          </w:p>
        </w:tc>
        <w:tc>
          <w:tcPr>
            <w:tcW w:w="2268" w:type="dxa"/>
            <w:gridSpan w:val="2"/>
            <w:vAlign w:val="center"/>
          </w:tcPr>
          <w:p w:rsidR="00BC14E4" w:rsidRPr="00BC14E4" w:rsidRDefault="00BC14E4" w:rsidP="003223D2">
            <w:pPr>
              <w:keepNext/>
              <w:widowControl/>
              <w:jc w:val="center"/>
              <w:rPr>
                <w:rFonts w:ascii="Arial Narrow" w:hAnsi="Arial Narrow"/>
                <w:sz w:val="20"/>
              </w:rPr>
            </w:pPr>
            <w:r w:rsidRPr="00BC14E4">
              <w:rPr>
                <w:rFonts w:ascii="Arial Narrow" w:hAnsi="Arial Narrow"/>
                <w:sz w:val="20"/>
              </w:rPr>
              <w:t>0.88 (0.71, 1.09)</w:t>
            </w:r>
          </w:p>
          <w:p w:rsidR="00BC14E4" w:rsidRPr="00BC14E4" w:rsidRDefault="00BC14E4" w:rsidP="003223D2">
            <w:pPr>
              <w:keepNext/>
              <w:widowControl/>
              <w:jc w:val="center"/>
              <w:rPr>
                <w:rFonts w:ascii="Arial Narrow" w:hAnsi="Arial Narrow"/>
                <w:color w:val="000000" w:themeColor="text1"/>
                <w:sz w:val="20"/>
              </w:rPr>
            </w:pPr>
            <w:r w:rsidRPr="00BC14E4">
              <w:rPr>
                <w:rFonts w:ascii="Arial Narrow" w:hAnsi="Arial Narrow"/>
                <w:sz w:val="20"/>
              </w:rPr>
              <w:t>p=0.1773</w:t>
            </w:r>
          </w:p>
        </w:tc>
        <w:tc>
          <w:tcPr>
            <w:tcW w:w="2268" w:type="dxa"/>
            <w:gridSpan w:val="2"/>
          </w:tcPr>
          <w:p w:rsidR="00BC14E4" w:rsidRPr="00BC14E4" w:rsidRDefault="00BC14E4" w:rsidP="003223D2">
            <w:pPr>
              <w:keepNext/>
              <w:widowControl/>
              <w:jc w:val="center"/>
              <w:rPr>
                <w:rFonts w:ascii="Arial Narrow" w:hAnsi="Arial Narrow"/>
                <w:b/>
                <w:color w:val="000000" w:themeColor="text1"/>
                <w:sz w:val="20"/>
              </w:rPr>
            </w:pPr>
            <w:r w:rsidRPr="00BC14E4">
              <w:rPr>
                <w:rFonts w:ascii="Arial Narrow" w:hAnsi="Arial Narrow"/>
                <w:b/>
                <w:color w:val="000000" w:themeColor="text1"/>
                <w:sz w:val="20"/>
              </w:rPr>
              <w:t>0.52 (0.35, 0.78)</w:t>
            </w:r>
          </w:p>
          <w:p w:rsidR="00BC14E4" w:rsidRPr="00BC14E4" w:rsidRDefault="00BC14E4" w:rsidP="003223D2">
            <w:pPr>
              <w:keepNext/>
              <w:widowControl/>
              <w:jc w:val="center"/>
              <w:rPr>
                <w:rFonts w:ascii="Arial Narrow" w:hAnsi="Arial Narrow"/>
                <w:b/>
                <w:color w:val="000000" w:themeColor="text1"/>
                <w:sz w:val="20"/>
              </w:rPr>
            </w:pPr>
            <w:r w:rsidRPr="00BC14E4">
              <w:rPr>
                <w:rFonts w:ascii="Arial Narrow" w:hAnsi="Arial Narrow"/>
                <w:b/>
                <w:color w:val="000000" w:themeColor="text1"/>
                <w:sz w:val="20"/>
              </w:rPr>
              <w:t>p=0.0015</w:t>
            </w:r>
          </w:p>
        </w:tc>
        <w:tc>
          <w:tcPr>
            <w:tcW w:w="2250" w:type="dxa"/>
            <w:gridSpan w:val="2"/>
          </w:tcPr>
          <w:p w:rsidR="00BC14E4" w:rsidRPr="00BC14E4" w:rsidRDefault="00BC14E4" w:rsidP="003223D2">
            <w:pPr>
              <w:keepNext/>
              <w:widowControl/>
              <w:jc w:val="center"/>
              <w:rPr>
                <w:rFonts w:ascii="Arial Narrow" w:hAnsi="Arial Narrow"/>
                <w:color w:val="000000" w:themeColor="text1"/>
                <w:sz w:val="20"/>
              </w:rPr>
            </w:pPr>
            <w:r w:rsidRPr="00BC14E4">
              <w:rPr>
                <w:rFonts w:ascii="Arial Narrow" w:hAnsi="Arial Narrow"/>
                <w:color w:val="000000" w:themeColor="text1"/>
                <w:sz w:val="20"/>
              </w:rPr>
              <w:t>1.07 (0.84, 1.38)</w:t>
            </w:r>
          </w:p>
          <w:p w:rsidR="00BC14E4" w:rsidRPr="00BC14E4" w:rsidRDefault="00BC14E4" w:rsidP="003223D2">
            <w:pPr>
              <w:keepNext/>
              <w:widowControl/>
              <w:jc w:val="center"/>
              <w:rPr>
                <w:rFonts w:ascii="Arial Narrow" w:hAnsi="Arial Narrow"/>
                <w:color w:val="000000" w:themeColor="text1"/>
                <w:sz w:val="20"/>
              </w:rPr>
            </w:pPr>
            <w:r w:rsidRPr="00BC14E4">
              <w:rPr>
                <w:rFonts w:ascii="Arial Narrow" w:hAnsi="Arial Narrow"/>
                <w:color w:val="000000" w:themeColor="text1"/>
                <w:sz w:val="20"/>
              </w:rPr>
              <w:t>p=0.5848</w:t>
            </w:r>
          </w:p>
        </w:tc>
      </w:tr>
    </w:tbl>
    <w:p w:rsidR="000F21C2" w:rsidRPr="00B010BF" w:rsidRDefault="000F21C2" w:rsidP="00E771D1">
      <w:pPr>
        <w:pStyle w:val="TableFooter"/>
        <w:widowControl/>
        <w:ind w:left="709"/>
        <w:rPr>
          <w:rStyle w:val="CommentReference"/>
          <w:sz w:val="18"/>
          <w:szCs w:val="20"/>
        </w:rPr>
      </w:pPr>
      <w:r w:rsidRPr="00B010BF">
        <w:rPr>
          <w:rStyle w:val="CommentReference"/>
          <w:b w:val="0"/>
          <w:sz w:val="18"/>
          <w:szCs w:val="20"/>
        </w:rPr>
        <w:t xml:space="preserve">Source: </w:t>
      </w:r>
      <w:r w:rsidRPr="00B010BF">
        <w:t>Table B-20, p67</w:t>
      </w:r>
      <w:r w:rsidRPr="00B010BF">
        <w:rPr>
          <w:rStyle w:val="CommentReference"/>
          <w:b w:val="0"/>
          <w:sz w:val="18"/>
          <w:szCs w:val="20"/>
        </w:rPr>
        <w:t>of the submission, and extracted from Table 14.2.3.1.1, p291 of the CSR</w:t>
      </w:r>
    </w:p>
    <w:p w:rsidR="000F21C2" w:rsidRPr="00B010BF" w:rsidRDefault="000F21C2" w:rsidP="00E771D1">
      <w:pPr>
        <w:pStyle w:val="TableFooter"/>
        <w:widowControl/>
        <w:ind w:left="709"/>
        <w:rPr>
          <w:rStyle w:val="CommentReference"/>
          <w:sz w:val="18"/>
          <w:szCs w:val="20"/>
        </w:rPr>
      </w:pPr>
      <w:proofErr w:type="spellStart"/>
      <w:proofErr w:type="gramStart"/>
      <w:r w:rsidRPr="00B010BF">
        <w:rPr>
          <w:rStyle w:val="CommentReference"/>
          <w:b w:val="0"/>
          <w:vertAlign w:val="superscript"/>
        </w:rPr>
        <w:t>a</w:t>
      </w:r>
      <w:proofErr w:type="spellEnd"/>
      <w:proofErr w:type="gramEnd"/>
      <w:r w:rsidRPr="00B010BF">
        <w:rPr>
          <w:rStyle w:val="CommentReference"/>
          <w:b w:val="0"/>
        </w:rPr>
        <w:t xml:space="preserve"> Within the clinical study report the test for interaction was not presented.</w:t>
      </w:r>
    </w:p>
    <w:p w:rsidR="000F21C2" w:rsidRPr="00B010BF" w:rsidRDefault="000F21C2" w:rsidP="00E771D1">
      <w:pPr>
        <w:pStyle w:val="TableFooter"/>
        <w:widowControl/>
        <w:ind w:left="709"/>
        <w:rPr>
          <w:rStyle w:val="CommentReference"/>
          <w:sz w:val="18"/>
          <w:szCs w:val="20"/>
        </w:rPr>
      </w:pPr>
      <w:r w:rsidRPr="00B010BF">
        <w:rPr>
          <w:rStyle w:val="CommentReference"/>
          <w:b w:val="0"/>
          <w:sz w:val="18"/>
          <w:szCs w:val="20"/>
        </w:rPr>
        <w:t xml:space="preserve">CI = confidence interval; HR = hazard ratio; ITT = intention to treat; PFS = progression free survival; </w:t>
      </w:r>
      <w:r w:rsidRPr="00B010BF">
        <w:rPr>
          <w:rStyle w:val="CommentReference"/>
          <w:sz w:val="18"/>
          <w:szCs w:val="20"/>
        </w:rPr>
        <w:t>Bold</w:t>
      </w:r>
      <w:r w:rsidRPr="00B010BF">
        <w:rPr>
          <w:rStyle w:val="CommentReference"/>
          <w:b w:val="0"/>
          <w:sz w:val="18"/>
          <w:szCs w:val="20"/>
        </w:rPr>
        <w:t xml:space="preserve"> = statistically significant</w:t>
      </w:r>
    </w:p>
    <w:p w:rsidR="000F21C2" w:rsidRPr="00B010BF" w:rsidRDefault="000F21C2" w:rsidP="00903665">
      <w:pPr>
        <w:pStyle w:val="TableFooter"/>
        <w:widowControl/>
        <w:ind w:left="709" w:hanging="709"/>
        <w:rPr>
          <w:rStyle w:val="CommentReference"/>
          <w:sz w:val="18"/>
          <w:szCs w:val="20"/>
        </w:rPr>
      </w:pPr>
    </w:p>
    <w:p w:rsidR="009D081E" w:rsidRDefault="000F21C2" w:rsidP="00A728F8">
      <w:pPr>
        <w:pStyle w:val="ListParagraph"/>
        <w:widowControl/>
        <w:numPr>
          <w:ilvl w:val="1"/>
          <w:numId w:val="2"/>
        </w:numPr>
        <w:rPr>
          <w:szCs w:val="22"/>
          <w:lang w:val="en-GB"/>
        </w:rPr>
      </w:pPr>
      <w:r w:rsidRPr="00BC14E4">
        <w:rPr>
          <w:szCs w:val="22"/>
          <w:lang w:val="en-GB"/>
        </w:rPr>
        <w:t xml:space="preserve">No differences were observed in progression free survival in the ITT population, with median progression free survival being 2.6 months for both treatments (HR 0.88; 95% CI: 0.71 to 1.09). A 1.2 month improvement in median progression free survival was observed in the </w:t>
      </w:r>
      <w:proofErr w:type="spellStart"/>
      <w:r w:rsidRPr="00BC14E4">
        <w:rPr>
          <w:szCs w:val="22"/>
          <w:lang w:val="en-GB"/>
        </w:rPr>
        <w:t>liposarcoma</w:t>
      </w:r>
      <w:proofErr w:type="spellEnd"/>
      <w:r w:rsidRPr="00BC14E4">
        <w:rPr>
          <w:szCs w:val="22"/>
          <w:lang w:val="en-GB"/>
        </w:rPr>
        <w:t xml:space="preserve"> subgroup (HR: 0.52; 95% CI: 0.35 to 0.78). No difference in progression free survival was observed for patients with </w:t>
      </w:r>
      <w:proofErr w:type="spellStart"/>
      <w:r w:rsidRPr="00BC14E4">
        <w:rPr>
          <w:szCs w:val="22"/>
          <w:lang w:val="en-GB"/>
        </w:rPr>
        <w:t>leiomyosarcoma</w:t>
      </w:r>
      <w:proofErr w:type="spellEnd"/>
      <w:r w:rsidRPr="00BC14E4">
        <w:rPr>
          <w:szCs w:val="22"/>
          <w:lang w:val="en-GB"/>
        </w:rPr>
        <w:t>.</w:t>
      </w:r>
    </w:p>
    <w:p w:rsidR="009D081E" w:rsidRDefault="009D081E" w:rsidP="009D081E">
      <w:pPr>
        <w:pStyle w:val="ListParagraph"/>
        <w:widowControl/>
        <w:rPr>
          <w:szCs w:val="22"/>
          <w:lang w:val="en-GB"/>
        </w:rPr>
      </w:pPr>
    </w:p>
    <w:p w:rsidR="000F21C2" w:rsidRPr="0011495F" w:rsidRDefault="009D081E" w:rsidP="0011495F">
      <w:pPr>
        <w:pStyle w:val="ListParagraph"/>
        <w:widowControl/>
        <w:numPr>
          <w:ilvl w:val="1"/>
          <w:numId w:val="2"/>
        </w:numPr>
        <w:rPr>
          <w:szCs w:val="22"/>
          <w:lang w:val="en-GB"/>
        </w:rPr>
      </w:pPr>
      <w:r>
        <w:rPr>
          <w:szCs w:val="22"/>
          <w:lang w:val="en-GB"/>
        </w:rPr>
        <w:t>T</w:t>
      </w:r>
      <w:r w:rsidR="00E95CB9">
        <w:rPr>
          <w:szCs w:val="22"/>
          <w:lang w:val="en-GB"/>
        </w:rPr>
        <w:t>he PBAC noted</w:t>
      </w:r>
      <w:r w:rsidR="002A36A0">
        <w:rPr>
          <w:szCs w:val="22"/>
          <w:lang w:val="en-GB"/>
        </w:rPr>
        <w:t xml:space="preserve"> the inconsistency in the incremental difference between </w:t>
      </w:r>
      <w:proofErr w:type="spellStart"/>
      <w:r w:rsidR="002A36A0">
        <w:rPr>
          <w:szCs w:val="22"/>
          <w:lang w:val="en-GB"/>
        </w:rPr>
        <w:t>eribulin</w:t>
      </w:r>
      <w:proofErr w:type="spellEnd"/>
      <w:r w:rsidR="002A36A0">
        <w:rPr>
          <w:szCs w:val="22"/>
          <w:lang w:val="en-GB"/>
        </w:rPr>
        <w:t xml:space="preserve"> and </w:t>
      </w:r>
      <w:proofErr w:type="spellStart"/>
      <w:r w:rsidR="002A36A0">
        <w:rPr>
          <w:szCs w:val="22"/>
          <w:lang w:val="en-GB"/>
        </w:rPr>
        <w:t>dacarbazine</w:t>
      </w:r>
      <w:proofErr w:type="spellEnd"/>
      <w:r w:rsidR="002A36A0">
        <w:rPr>
          <w:szCs w:val="22"/>
          <w:lang w:val="en-GB"/>
        </w:rPr>
        <w:t xml:space="preserve"> for</w:t>
      </w:r>
      <w:r>
        <w:rPr>
          <w:szCs w:val="22"/>
          <w:lang w:val="en-GB"/>
        </w:rPr>
        <w:t xml:space="preserve"> progression free survival compared to overall survival for the </w:t>
      </w:r>
      <w:r w:rsidR="002A36A0">
        <w:rPr>
          <w:szCs w:val="22"/>
          <w:lang w:val="en-GB"/>
        </w:rPr>
        <w:t xml:space="preserve">ITT population (nil PFS vs 2 months OS), </w:t>
      </w:r>
      <w:proofErr w:type="spellStart"/>
      <w:r>
        <w:rPr>
          <w:szCs w:val="22"/>
          <w:lang w:val="en-GB"/>
        </w:rPr>
        <w:t>liposarcoma</w:t>
      </w:r>
      <w:proofErr w:type="spellEnd"/>
      <w:r w:rsidR="002A36A0">
        <w:rPr>
          <w:szCs w:val="22"/>
          <w:lang w:val="en-GB"/>
        </w:rPr>
        <w:t xml:space="preserve"> subgroup (1.2 month PFS vs 7.2 months OS)</w:t>
      </w:r>
      <w:r>
        <w:rPr>
          <w:szCs w:val="22"/>
          <w:lang w:val="en-GB"/>
        </w:rPr>
        <w:t xml:space="preserve"> </w:t>
      </w:r>
      <w:r w:rsidR="002A36A0">
        <w:rPr>
          <w:szCs w:val="22"/>
          <w:lang w:val="en-GB"/>
        </w:rPr>
        <w:t xml:space="preserve">and </w:t>
      </w:r>
      <w:proofErr w:type="spellStart"/>
      <w:r w:rsidR="002A36A0">
        <w:rPr>
          <w:szCs w:val="22"/>
          <w:lang w:val="en-GB"/>
        </w:rPr>
        <w:t>leiomyosarcoma</w:t>
      </w:r>
      <w:proofErr w:type="spellEnd"/>
      <w:r w:rsidR="002A36A0">
        <w:rPr>
          <w:szCs w:val="22"/>
          <w:lang w:val="en-GB"/>
        </w:rPr>
        <w:t xml:space="preserve"> subgroup (-0.4 month PFS vs -0.3 month OS)</w:t>
      </w:r>
      <w:r w:rsidR="00E95CB9">
        <w:rPr>
          <w:szCs w:val="22"/>
          <w:lang w:val="en-GB"/>
        </w:rPr>
        <w:t xml:space="preserve">. The PBAC considered that this </w:t>
      </w:r>
      <w:r w:rsidR="002A36A0">
        <w:rPr>
          <w:szCs w:val="22"/>
          <w:lang w:val="en-GB"/>
        </w:rPr>
        <w:t xml:space="preserve">added </w:t>
      </w:r>
      <w:r>
        <w:rPr>
          <w:szCs w:val="22"/>
          <w:lang w:val="en-GB"/>
        </w:rPr>
        <w:t>further</w:t>
      </w:r>
      <w:r w:rsidR="002A36A0">
        <w:rPr>
          <w:szCs w:val="22"/>
          <w:lang w:val="en-GB"/>
        </w:rPr>
        <w:t xml:space="preserve"> uncertainty to</w:t>
      </w:r>
      <w:r w:rsidR="00E95CB9">
        <w:rPr>
          <w:szCs w:val="22"/>
          <w:lang w:val="en-GB"/>
        </w:rPr>
        <w:t xml:space="preserve"> estimating </w:t>
      </w:r>
      <w:proofErr w:type="spellStart"/>
      <w:r w:rsidR="00E95CB9">
        <w:rPr>
          <w:szCs w:val="22"/>
          <w:lang w:val="en-GB"/>
        </w:rPr>
        <w:t>eribulin’s</w:t>
      </w:r>
      <w:proofErr w:type="spellEnd"/>
      <w:r w:rsidR="00E95CB9">
        <w:rPr>
          <w:szCs w:val="22"/>
          <w:lang w:val="en-GB"/>
        </w:rPr>
        <w:t xml:space="preserve"> treatment </w:t>
      </w:r>
      <w:r w:rsidR="00E95CB9">
        <w:rPr>
          <w:szCs w:val="22"/>
          <w:lang w:val="en-GB"/>
        </w:rPr>
        <w:lastRenderedPageBreak/>
        <w:t>effect, and that the true magnitude of survival benefit was likely to be less than 7.2 months</w:t>
      </w:r>
      <w:r w:rsidR="002A36A0">
        <w:rPr>
          <w:szCs w:val="22"/>
          <w:lang w:val="en-GB"/>
        </w:rPr>
        <w:t xml:space="preserve">. </w:t>
      </w:r>
      <w:r w:rsidR="00E95CB9">
        <w:rPr>
          <w:szCs w:val="22"/>
          <w:lang w:val="en-GB"/>
        </w:rPr>
        <w:t xml:space="preserve">The PBAC also noted that the majority of the survival gain in the </w:t>
      </w:r>
      <w:proofErr w:type="spellStart"/>
      <w:r w:rsidR="00E95CB9">
        <w:rPr>
          <w:szCs w:val="22"/>
          <w:lang w:val="en-GB"/>
        </w:rPr>
        <w:t>liposarcoma</w:t>
      </w:r>
      <w:proofErr w:type="spellEnd"/>
      <w:r w:rsidR="00E95CB9">
        <w:rPr>
          <w:szCs w:val="22"/>
          <w:lang w:val="en-GB"/>
        </w:rPr>
        <w:t xml:space="preserve"> subgroup was post-progression, and considered </w:t>
      </w:r>
      <w:r w:rsidR="00DA0E1A">
        <w:rPr>
          <w:szCs w:val="22"/>
          <w:lang w:val="en-GB"/>
        </w:rPr>
        <w:t>that the magnitude of post-progression survival was neither consistent with the known disease prognosis nor consistent with results demonstrated by oth</w:t>
      </w:r>
      <w:r w:rsidR="004E2076">
        <w:rPr>
          <w:szCs w:val="22"/>
          <w:lang w:val="en-GB"/>
        </w:rPr>
        <w:t>er trials in this disease area.</w:t>
      </w:r>
    </w:p>
    <w:p w:rsidR="00D359E9" w:rsidRPr="00B010BF" w:rsidRDefault="00D359E9" w:rsidP="00903665">
      <w:pPr>
        <w:pStyle w:val="PBACHeading1"/>
        <w:numPr>
          <w:ilvl w:val="0"/>
          <w:numId w:val="0"/>
        </w:numPr>
        <w:rPr>
          <w:lang w:val="en-GB"/>
        </w:rPr>
      </w:pPr>
    </w:p>
    <w:p w:rsidR="000D7464" w:rsidRPr="00B010BF" w:rsidRDefault="0066332D" w:rsidP="00A728F8">
      <w:pPr>
        <w:pStyle w:val="ListParagraph"/>
        <w:widowControl/>
        <w:numPr>
          <w:ilvl w:val="1"/>
          <w:numId w:val="2"/>
        </w:numPr>
        <w:rPr>
          <w:szCs w:val="22"/>
          <w:lang w:val="en-GB"/>
        </w:rPr>
      </w:pPr>
      <w:r w:rsidRPr="00B010BF">
        <w:t xml:space="preserve">A </w:t>
      </w:r>
      <w:r w:rsidR="00CA53CA" w:rsidRPr="00B010BF">
        <w:t>naive</w:t>
      </w:r>
      <w:r w:rsidR="000D7464" w:rsidRPr="00B010BF">
        <w:t xml:space="preserve"> comparison of the efficacy of the key outcomes for the supportive comparator </w:t>
      </w:r>
      <w:proofErr w:type="spellStart"/>
      <w:r w:rsidR="000D7464" w:rsidRPr="00B010BF">
        <w:t>ifosfamide</w:t>
      </w:r>
      <w:proofErr w:type="spellEnd"/>
      <w:r w:rsidR="00BF2C5A" w:rsidRPr="00B010BF">
        <w:t xml:space="preserve"> is presented in Table </w:t>
      </w:r>
      <w:r w:rsidR="002D3E86" w:rsidRPr="00B010BF">
        <w:t>5</w:t>
      </w:r>
      <w:r w:rsidR="000D7464" w:rsidRPr="00B010BF">
        <w:t>.</w:t>
      </w:r>
    </w:p>
    <w:p w:rsidR="000D7464" w:rsidRPr="00B010BF" w:rsidRDefault="000D7464" w:rsidP="00903665">
      <w:pPr>
        <w:widowControl/>
        <w:ind w:firstLine="720"/>
        <w:rPr>
          <w:rStyle w:val="CommentReference"/>
          <w:sz w:val="22"/>
          <w:szCs w:val="22"/>
          <w:lang w:val="en-GB"/>
        </w:rPr>
      </w:pPr>
    </w:p>
    <w:p w:rsidR="001028CA" w:rsidRDefault="001028CA" w:rsidP="00E771D1">
      <w:pPr>
        <w:pStyle w:val="Caption"/>
        <w:keepNext/>
        <w:widowControl/>
        <w:ind w:left="709"/>
      </w:pPr>
      <w:r w:rsidRPr="00F239B7">
        <w:t xml:space="preserve">Table </w:t>
      </w:r>
      <w:r w:rsidR="00556B92">
        <w:rPr>
          <w:noProof/>
        </w:rPr>
        <w:t>5</w:t>
      </w:r>
      <w:r w:rsidRPr="00B010BF">
        <w:t xml:space="preserve">: Side by side comparison of the key efficacy outcomes for the supportive comparator, </w:t>
      </w:r>
      <w:proofErr w:type="spellStart"/>
      <w:r w:rsidRPr="00B010BF">
        <w:t>ifosfamide</w:t>
      </w:r>
      <w:proofErr w:type="spellEnd"/>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00"/>
        <w:gridCol w:w="1661"/>
        <w:gridCol w:w="1662"/>
        <w:gridCol w:w="1661"/>
        <w:gridCol w:w="1661"/>
      </w:tblGrid>
      <w:tr w:rsidR="00BC14E4" w:rsidRPr="00FA0FE5" w:rsidTr="00E771D1">
        <w:trPr>
          <w:trHeight w:val="20"/>
          <w:tblHeader/>
        </w:trPr>
        <w:tc>
          <w:tcPr>
            <w:tcW w:w="1019" w:type="pct"/>
            <w:vMerge w:val="restart"/>
            <w:vAlign w:val="center"/>
          </w:tcPr>
          <w:p w:rsidR="00BC14E4" w:rsidRPr="00FA0FE5" w:rsidRDefault="00BC14E4" w:rsidP="003223D2">
            <w:pPr>
              <w:keepNext/>
              <w:widowControl/>
              <w:jc w:val="left"/>
              <w:rPr>
                <w:rFonts w:ascii="Arial Narrow" w:hAnsi="Arial Narrow"/>
                <w:color w:val="000000" w:themeColor="text1"/>
                <w:sz w:val="20"/>
              </w:rPr>
            </w:pPr>
          </w:p>
        </w:tc>
        <w:tc>
          <w:tcPr>
            <w:tcW w:w="1991" w:type="pct"/>
            <w:gridSpan w:val="2"/>
            <w:vAlign w:val="center"/>
          </w:tcPr>
          <w:p w:rsidR="00BC14E4" w:rsidRPr="0082262C" w:rsidRDefault="00BC14E4" w:rsidP="003223D2">
            <w:pPr>
              <w:keepNext/>
              <w:widowControl/>
              <w:jc w:val="center"/>
              <w:rPr>
                <w:rFonts w:ascii="Arial Narrow" w:hAnsi="Arial Narrow"/>
                <w:b/>
                <w:sz w:val="20"/>
                <w:lang w:val="en-US"/>
              </w:rPr>
            </w:pPr>
            <w:r>
              <w:rPr>
                <w:rFonts w:ascii="Arial Narrow" w:hAnsi="Arial Narrow"/>
                <w:b/>
                <w:color w:val="000000" w:themeColor="text1"/>
                <w:sz w:val="20"/>
              </w:rPr>
              <w:t>Study 309 - ITT</w:t>
            </w:r>
          </w:p>
        </w:tc>
        <w:tc>
          <w:tcPr>
            <w:tcW w:w="1990" w:type="pct"/>
            <w:gridSpan w:val="2"/>
          </w:tcPr>
          <w:p w:rsidR="00BC14E4" w:rsidRDefault="00BC14E4" w:rsidP="003223D2">
            <w:pPr>
              <w:keepNext/>
              <w:widowControl/>
              <w:jc w:val="center"/>
              <w:rPr>
                <w:rFonts w:ascii="Arial Narrow" w:hAnsi="Arial Narrow"/>
                <w:b/>
                <w:sz w:val="20"/>
                <w:lang w:val="en-US"/>
              </w:rPr>
            </w:pPr>
            <w:r>
              <w:rPr>
                <w:rFonts w:ascii="Arial Narrow" w:hAnsi="Arial Narrow"/>
                <w:b/>
                <w:color w:val="000000" w:themeColor="text1"/>
                <w:sz w:val="20"/>
              </w:rPr>
              <w:t xml:space="preserve">Van </w:t>
            </w:r>
            <w:proofErr w:type="spellStart"/>
            <w:r>
              <w:rPr>
                <w:rFonts w:ascii="Arial Narrow" w:hAnsi="Arial Narrow"/>
                <w:b/>
                <w:color w:val="000000" w:themeColor="text1"/>
                <w:sz w:val="20"/>
              </w:rPr>
              <w:t>Oosterom</w:t>
            </w:r>
            <w:proofErr w:type="spellEnd"/>
            <w:r>
              <w:rPr>
                <w:rFonts w:ascii="Arial Narrow" w:hAnsi="Arial Narrow"/>
                <w:b/>
                <w:color w:val="000000" w:themeColor="text1"/>
                <w:sz w:val="20"/>
              </w:rPr>
              <w:t xml:space="preserve"> (2002) - 2</w:t>
            </w:r>
            <w:r w:rsidRPr="00E21B41">
              <w:rPr>
                <w:rFonts w:ascii="Arial Narrow" w:hAnsi="Arial Narrow"/>
                <w:b/>
                <w:color w:val="000000" w:themeColor="text1"/>
                <w:sz w:val="20"/>
                <w:vertAlign w:val="superscript"/>
              </w:rPr>
              <w:t>nd</w:t>
            </w:r>
            <w:r>
              <w:rPr>
                <w:rFonts w:ascii="Arial Narrow" w:hAnsi="Arial Narrow"/>
                <w:b/>
                <w:color w:val="000000" w:themeColor="text1"/>
                <w:sz w:val="20"/>
              </w:rPr>
              <w:t xml:space="preserve"> line</w:t>
            </w:r>
            <w:r>
              <w:rPr>
                <w:rFonts w:ascii="Arial Narrow" w:hAnsi="Arial Narrow"/>
                <w:b/>
                <w:sz w:val="20"/>
                <w:lang w:val="en-US"/>
              </w:rPr>
              <w:t xml:space="preserve"> </w:t>
            </w:r>
          </w:p>
        </w:tc>
      </w:tr>
      <w:tr w:rsidR="00BC14E4" w:rsidRPr="00FA0FE5" w:rsidTr="00E771D1">
        <w:trPr>
          <w:trHeight w:val="20"/>
          <w:tblHeader/>
        </w:trPr>
        <w:tc>
          <w:tcPr>
            <w:tcW w:w="1019" w:type="pct"/>
            <w:vMerge/>
            <w:vAlign w:val="center"/>
          </w:tcPr>
          <w:p w:rsidR="00BC14E4" w:rsidRPr="00FA0FE5" w:rsidRDefault="00BC14E4" w:rsidP="003223D2">
            <w:pPr>
              <w:keepNext/>
              <w:widowControl/>
              <w:jc w:val="left"/>
              <w:rPr>
                <w:rFonts w:ascii="Arial Narrow" w:hAnsi="Arial Narrow"/>
                <w:color w:val="000000" w:themeColor="text1"/>
                <w:sz w:val="20"/>
              </w:rPr>
            </w:pPr>
          </w:p>
        </w:tc>
        <w:tc>
          <w:tcPr>
            <w:tcW w:w="995" w:type="pct"/>
            <w:vAlign w:val="center"/>
          </w:tcPr>
          <w:p w:rsidR="00BC14E4" w:rsidRPr="0082262C" w:rsidRDefault="00BC14E4" w:rsidP="003223D2">
            <w:pPr>
              <w:keepNext/>
              <w:widowControl/>
              <w:jc w:val="center"/>
              <w:rPr>
                <w:rFonts w:ascii="Arial Narrow" w:hAnsi="Arial Narrow"/>
                <w:b/>
                <w:sz w:val="20"/>
                <w:lang w:val="en-US"/>
              </w:rPr>
            </w:pPr>
            <w:proofErr w:type="spellStart"/>
            <w:r w:rsidRPr="0082262C">
              <w:rPr>
                <w:rFonts w:ascii="Arial Narrow" w:hAnsi="Arial Narrow"/>
                <w:b/>
                <w:sz w:val="20"/>
                <w:lang w:val="en-US"/>
              </w:rPr>
              <w:t>Eribulin</w:t>
            </w:r>
            <w:proofErr w:type="spellEnd"/>
          </w:p>
        </w:tc>
        <w:tc>
          <w:tcPr>
            <w:tcW w:w="996" w:type="pct"/>
            <w:vAlign w:val="center"/>
          </w:tcPr>
          <w:p w:rsidR="00BC14E4" w:rsidRPr="0082262C" w:rsidRDefault="00BC14E4" w:rsidP="003223D2">
            <w:pPr>
              <w:keepNext/>
              <w:widowControl/>
              <w:jc w:val="center"/>
              <w:rPr>
                <w:rFonts w:ascii="Arial Narrow" w:hAnsi="Arial Narrow"/>
                <w:b/>
                <w:sz w:val="20"/>
                <w:lang w:val="en-US"/>
              </w:rPr>
            </w:pPr>
            <w:proofErr w:type="spellStart"/>
            <w:r w:rsidRPr="0082262C">
              <w:rPr>
                <w:rFonts w:ascii="Arial Narrow" w:hAnsi="Arial Narrow"/>
                <w:b/>
                <w:sz w:val="20"/>
                <w:lang w:val="en-US"/>
              </w:rPr>
              <w:t>Dacarbazine</w:t>
            </w:r>
            <w:proofErr w:type="spellEnd"/>
          </w:p>
        </w:tc>
        <w:tc>
          <w:tcPr>
            <w:tcW w:w="995" w:type="pct"/>
            <w:vAlign w:val="center"/>
          </w:tcPr>
          <w:p w:rsidR="00BC14E4" w:rsidRDefault="004E2076" w:rsidP="003223D2">
            <w:pPr>
              <w:keepNext/>
              <w:widowControl/>
              <w:jc w:val="center"/>
              <w:rPr>
                <w:rFonts w:ascii="Arial Narrow" w:hAnsi="Arial Narrow"/>
                <w:b/>
                <w:sz w:val="20"/>
                <w:lang w:val="en-US"/>
              </w:rPr>
            </w:pPr>
            <w:proofErr w:type="spellStart"/>
            <w:r>
              <w:rPr>
                <w:rFonts w:ascii="Arial Narrow" w:hAnsi="Arial Narrow"/>
                <w:b/>
                <w:sz w:val="20"/>
                <w:lang w:val="en-US"/>
              </w:rPr>
              <w:t>Ifosfamide</w:t>
            </w:r>
            <w:proofErr w:type="spellEnd"/>
          </w:p>
          <w:p w:rsidR="00BC14E4" w:rsidRPr="0082262C" w:rsidRDefault="00BC14E4" w:rsidP="003223D2">
            <w:pPr>
              <w:keepNext/>
              <w:widowControl/>
              <w:jc w:val="center"/>
              <w:rPr>
                <w:rFonts w:ascii="Arial Narrow" w:hAnsi="Arial Narrow"/>
                <w:b/>
                <w:sz w:val="20"/>
                <w:lang w:val="en-US"/>
              </w:rPr>
            </w:pPr>
            <w:r>
              <w:rPr>
                <w:rFonts w:ascii="Arial Narrow" w:hAnsi="Arial Narrow"/>
                <w:b/>
                <w:sz w:val="20"/>
                <w:lang w:val="en-US"/>
              </w:rPr>
              <w:t>5 g/m</w:t>
            </w:r>
            <w:r w:rsidRPr="00E21B41">
              <w:rPr>
                <w:rFonts w:ascii="Arial Narrow" w:hAnsi="Arial Narrow"/>
                <w:b/>
                <w:sz w:val="20"/>
                <w:vertAlign w:val="superscript"/>
                <w:lang w:val="en-US"/>
              </w:rPr>
              <w:t>2</w:t>
            </w:r>
            <w:r>
              <w:rPr>
                <w:rFonts w:ascii="Arial Narrow" w:hAnsi="Arial Narrow"/>
                <w:b/>
                <w:sz w:val="20"/>
                <w:lang w:val="en-US"/>
              </w:rPr>
              <w:t xml:space="preserve"> x 1 day</w:t>
            </w:r>
          </w:p>
        </w:tc>
        <w:tc>
          <w:tcPr>
            <w:tcW w:w="995" w:type="pct"/>
            <w:vAlign w:val="center"/>
          </w:tcPr>
          <w:p w:rsidR="00BC14E4" w:rsidRDefault="004E2076" w:rsidP="003223D2">
            <w:pPr>
              <w:keepNext/>
              <w:widowControl/>
              <w:jc w:val="center"/>
              <w:rPr>
                <w:rFonts w:ascii="Arial Narrow" w:hAnsi="Arial Narrow"/>
                <w:b/>
                <w:sz w:val="20"/>
                <w:lang w:val="en-US"/>
              </w:rPr>
            </w:pPr>
            <w:proofErr w:type="spellStart"/>
            <w:r>
              <w:rPr>
                <w:rFonts w:ascii="Arial Narrow" w:hAnsi="Arial Narrow"/>
                <w:b/>
                <w:sz w:val="20"/>
                <w:lang w:val="en-US"/>
              </w:rPr>
              <w:t>Ifosfamide</w:t>
            </w:r>
            <w:proofErr w:type="spellEnd"/>
          </w:p>
          <w:p w:rsidR="00BC14E4" w:rsidRPr="0082262C" w:rsidRDefault="00BC14E4" w:rsidP="003223D2">
            <w:pPr>
              <w:keepNext/>
              <w:widowControl/>
              <w:jc w:val="center"/>
              <w:rPr>
                <w:rFonts w:ascii="Arial Narrow" w:hAnsi="Arial Narrow"/>
                <w:b/>
                <w:sz w:val="20"/>
                <w:lang w:val="en-US"/>
              </w:rPr>
            </w:pPr>
            <w:r>
              <w:rPr>
                <w:rFonts w:ascii="Arial Narrow" w:hAnsi="Arial Narrow"/>
                <w:b/>
                <w:sz w:val="20"/>
                <w:lang w:val="en-US"/>
              </w:rPr>
              <w:t>3 g/m</w:t>
            </w:r>
            <w:r w:rsidRPr="00E21B41">
              <w:rPr>
                <w:rFonts w:ascii="Arial Narrow" w:hAnsi="Arial Narrow"/>
                <w:b/>
                <w:sz w:val="20"/>
                <w:vertAlign w:val="superscript"/>
                <w:lang w:val="en-US"/>
              </w:rPr>
              <w:t>2</w:t>
            </w:r>
            <w:r>
              <w:rPr>
                <w:rFonts w:ascii="Arial Narrow" w:hAnsi="Arial Narrow"/>
                <w:b/>
                <w:sz w:val="20"/>
                <w:lang w:val="en-US"/>
              </w:rPr>
              <w:t xml:space="preserve"> x 3 day</w:t>
            </w:r>
          </w:p>
        </w:tc>
      </w:tr>
      <w:tr w:rsidR="00BC14E4" w:rsidRPr="00FA0FE5" w:rsidTr="00E771D1">
        <w:trPr>
          <w:trHeight w:val="20"/>
          <w:tblHeader/>
        </w:trPr>
        <w:tc>
          <w:tcPr>
            <w:tcW w:w="1019" w:type="pct"/>
            <w:vAlign w:val="center"/>
          </w:tcPr>
          <w:p w:rsidR="00BC14E4" w:rsidRPr="00A814F3" w:rsidRDefault="00BC14E4" w:rsidP="003223D2">
            <w:pPr>
              <w:keepNext/>
              <w:widowControl/>
              <w:jc w:val="left"/>
              <w:rPr>
                <w:rFonts w:ascii="Arial Narrow" w:hAnsi="Arial Narrow"/>
                <w:b/>
                <w:color w:val="000000" w:themeColor="text1"/>
                <w:sz w:val="20"/>
              </w:rPr>
            </w:pPr>
            <w:r w:rsidRPr="00A814F3">
              <w:rPr>
                <w:rFonts w:ascii="Arial Narrow" w:hAnsi="Arial Narrow"/>
                <w:b/>
                <w:color w:val="000000" w:themeColor="text1"/>
                <w:sz w:val="20"/>
              </w:rPr>
              <w:t>N</w:t>
            </w:r>
          </w:p>
        </w:tc>
        <w:tc>
          <w:tcPr>
            <w:tcW w:w="995" w:type="pct"/>
            <w:vAlign w:val="center"/>
          </w:tcPr>
          <w:p w:rsidR="00BC14E4" w:rsidRPr="0082262C" w:rsidRDefault="00BC14E4" w:rsidP="003223D2">
            <w:pPr>
              <w:keepNext/>
              <w:widowControl/>
              <w:jc w:val="center"/>
              <w:rPr>
                <w:rFonts w:ascii="Arial Narrow" w:hAnsi="Arial Narrow"/>
                <w:b/>
                <w:sz w:val="20"/>
                <w:lang w:val="en-US"/>
              </w:rPr>
            </w:pPr>
            <w:r w:rsidRPr="0082262C">
              <w:rPr>
                <w:rFonts w:ascii="Arial Narrow" w:hAnsi="Arial Narrow"/>
                <w:b/>
                <w:sz w:val="20"/>
                <w:lang w:val="en-US"/>
              </w:rPr>
              <w:t>228</w:t>
            </w:r>
          </w:p>
        </w:tc>
        <w:tc>
          <w:tcPr>
            <w:tcW w:w="996" w:type="pct"/>
            <w:vAlign w:val="center"/>
          </w:tcPr>
          <w:p w:rsidR="00BC14E4" w:rsidRPr="0082262C" w:rsidRDefault="00BC14E4" w:rsidP="003223D2">
            <w:pPr>
              <w:keepNext/>
              <w:widowControl/>
              <w:jc w:val="center"/>
              <w:rPr>
                <w:rFonts w:ascii="Arial Narrow" w:hAnsi="Arial Narrow"/>
                <w:b/>
                <w:sz w:val="20"/>
                <w:lang w:val="en-US"/>
              </w:rPr>
            </w:pPr>
            <w:r w:rsidRPr="0082262C">
              <w:rPr>
                <w:rFonts w:ascii="Arial Narrow" w:hAnsi="Arial Narrow"/>
                <w:b/>
                <w:sz w:val="20"/>
                <w:lang w:val="en-US"/>
              </w:rPr>
              <w:t>224</w:t>
            </w:r>
          </w:p>
        </w:tc>
        <w:tc>
          <w:tcPr>
            <w:tcW w:w="995" w:type="pct"/>
            <w:vAlign w:val="center"/>
          </w:tcPr>
          <w:p w:rsidR="00BC14E4" w:rsidRPr="00963778" w:rsidRDefault="00BC14E4" w:rsidP="003223D2">
            <w:pPr>
              <w:keepNext/>
              <w:widowControl/>
              <w:jc w:val="center"/>
              <w:rPr>
                <w:rFonts w:ascii="Arial Narrow" w:hAnsi="Arial Narrow"/>
                <w:b/>
                <w:color w:val="000000" w:themeColor="text1"/>
                <w:sz w:val="20"/>
              </w:rPr>
            </w:pPr>
            <w:r>
              <w:rPr>
                <w:rFonts w:ascii="Arial Narrow" w:hAnsi="Arial Narrow"/>
                <w:b/>
                <w:color w:val="000000" w:themeColor="text1"/>
                <w:sz w:val="20"/>
              </w:rPr>
              <w:t>36</w:t>
            </w:r>
          </w:p>
        </w:tc>
        <w:tc>
          <w:tcPr>
            <w:tcW w:w="995" w:type="pct"/>
            <w:vAlign w:val="center"/>
          </w:tcPr>
          <w:p w:rsidR="00BC14E4" w:rsidRPr="00963778" w:rsidRDefault="00BC14E4" w:rsidP="003223D2">
            <w:pPr>
              <w:keepNext/>
              <w:widowControl/>
              <w:jc w:val="center"/>
              <w:rPr>
                <w:rFonts w:ascii="Arial Narrow" w:hAnsi="Arial Narrow"/>
                <w:b/>
                <w:color w:val="000000" w:themeColor="text1"/>
                <w:sz w:val="20"/>
              </w:rPr>
            </w:pPr>
            <w:r>
              <w:rPr>
                <w:rFonts w:ascii="Arial Narrow" w:hAnsi="Arial Narrow"/>
                <w:b/>
                <w:color w:val="000000" w:themeColor="text1"/>
                <w:sz w:val="20"/>
              </w:rPr>
              <w:t>40</w:t>
            </w:r>
          </w:p>
        </w:tc>
      </w:tr>
      <w:tr w:rsidR="00BC14E4" w:rsidRPr="00FA0FE5" w:rsidTr="00E771D1">
        <w:trPr>
          <w:trHeight w:val="20"/>
        </w:trPr>
        <w:tc>
          <w:tcPr>
            <w:tcW w:w="1019" w:type="pct"/>
            <w:vAlign w:val="center"/>
          </w:tcPr>
          <w:p w:rsidR="00BC14E4" w:rsidRDefault="00BC14E4" w:rsidP="003223D2">
            <w:pPr>
              <w:keepNext/>
              <w:widowControl/>
              <w:ind w:right="-108"/>
              <w:jc w:val="left"/>
              <w:rPr>
                <w:rFonts w:ascii="Arial Narrow" w:hAnsi="Arial Narrow"/>
                <w:color w:val="000000" w:themeColor="text1"/>
                <w:sz w:val="20"/>
              </w:rPr>
            </w:pPr>
            <w:r>
              <w:rPr>
                <w:rFonts w:ascii="Arial Narrow" w:hAnsi="Arial Narrow"/>
                <w:color w:val="000000" w:themeColor="text1"/>
                <w:sz w:val="20"/>
              </w:rPr>
              <w:t>Median OS, months (95% CI)</w:t>
            </w:r>
          </w:p>
        </w:tc>
        <w:tc>
          <w:tcPr>
            <w:tcW w:w="995" w:type="pct"/>
            <w:vAlign w:val="center"/>
          </w:tcPr>
          <w:p w:rsidR="00BC14E4" w:rsidRPr="00FA0FE5" w:rsidRDefault="00BC14E4" w:rsidP="003223D2">
            <w:pPr>
              <w:keepNext/>
              <w:widowControl/>
              <w:jc w:val="center"/>
              <w:rPr>
                <w:rFonts w:ascii="Arial Narrow" w:hAnsi="Arial Narrow"/>
                <w:color w:val="000000" w:themeColor="text1"/>
                <w:sz w:val="20"/>
              </w:rPr>
            </w:pPr>
            <w:r>
              <w:rPr>
                <w:rFonts w:ascii="Arial Narrow" w:hAnsi="Arial Narrow"/>
                <w:color w:val="000000" w:themeColor="text1"/>
                <w:sz w:val="20"/>
              </w:rPr>
              <w:t>13.5 (10.9, 15.6)</w:t>
            </w:r>
          </w:p>
        </w:tc>
        <w:tc>
          <w:tcPr>
            <w:tcW w:w="996" w:type="pct"/>
            <w:vAlign w:val="center"/>
          </w:tcPr>
          <w:p w:rsidR="00BC14E4" w:rsidRPr="00FA0FE5" w:rsidRDefault="00BC14E4" w:rsidP="003223D2">
            <w:pPr>
              <w:keepNext/>
              <w:widowControl/>
              <w:jc w:val="center"/>
              <w:rPr>
                <w:rFonts w:ascii="Arial Narrow" w:hAnsi="Arial Narrow"/>
                <w:color w:val="000000" w:themeColor="text1"/>
                <w:sz w:val="20"/>
              </w:rPr>
            </w:pPr>
            <w:r>
              <w:rPr>
                <w:rFonts w:ascii="Arial Narrow" w:hAnsi="Arial Narrow"/>
                <w:color w:val="000000" w:themeColor="text1"/>
                <w:sz w:val="20"/>
              </w:rPr>
              <w:t>11.5 (9.6, 13.0)</w:t>
            </w:r>
          </w:p>
        </w:tc>
        <w:tc>
          <w:tcPr>
            <w:tcW w:w="995" w:type="pct"/>
            <w:vAlign w:val="center"/>
          </w:tcPr>
          <w:p w:rsidR="00BC14E4" w:rsidRPr="001A23AA" w:rsidRDefault="00BC14E4" w:rsidP="003223D2">
            <w:pPr>
              <w:keepNext/>
              <w:widowControl/>
              <w:jc w:val="center"/>
              <w:rPr>
                <w:rFonts w:ascii="Arial Narrow" w:hAnsi="Arial Narrow"/>
                <w:color w:val="000000" w:themeColor="text1"/>
                <w:sz w:val="20"/>
              </w:rPr>
            </w:pPr>
            <w:r>
              <w:rPr>
                <w:rFonts w:ascii="Arial Narrow" w:hAnsi="Arial Narrow"/>
                <w:color w:val="000000" w:themeColor="text1"/>
                <w:sz w:val="20"/>
              </w:rPr>
              <w:t>10.4 (NR)</w:t>
            </w:r>
          </w:p>
        </w:tc>
        <w:tc>
          <w:tcPr>
            <w:tcW w:w="995" w:type="pct"/>
            <w:vAlign w:val="center"/>
          </w:tcPr>
          <w:p w:rsidR="00BC14E4" w:rsidRPr="001A23AA" w:rsidRDefault="00BC14E4" w:rsidP="003223D2">
            <w:pPr>
              <w:keepNext/>
              <w:widowControl/>
              <w:jc w:val="center"/>
              <w:rPr>
                <w:rFonts w:ascii="Arial Narrow" w:hAnsi="Arial Narrow"/>
                <w:color w:val="000000" w:themeColor="text1"/>
                <w:sz w:val="20"/>
              </w:rPr>
            </w:pPr>
            <w:r>
              <w:rPr>
                <w:rFonts w:ascii="Arial Narrow" w:hAnsi="Arial Narrow"/>
                <w:color w:val="000000" w:themeColor="text1"/>
                <w:sz w:val="20"/>
              </w:rPr>
              <w:t>8.3 (NR)</w:t>
            </w:r>
          </w:p>
        </w:tc>
      </w:tr>
      <w:tr w:rsidR="00BC14E4" w:rsidRPr="00FA0FE5" w:rsidTr="00E771D1">
        <w:trPr>
          <w:trHeight w:val="20"/>
        </w:trPr>
        <w:tc>
          <w:tcPr>
            <w:tcW w:w="1019" w:type="pct"/>
            <w:vAlign w:val="center"/>
          </w:tcPr>
          <w:p w:rsidR="00BC14E4" w:rsidRDefault="00BC14E4" w:rsidP="003223D2">
            <w:pPr>
              <w:keepNext/>
              <w:widowControl/>
              <w:ind w:right="-108"/>
              <w:jc w:val="left"/>
              <w:rPr>
                <w:rFonts w:ascii="Arial Narrow" w:hAnsi="Arial Narrow"/>
                <w:color w:val="000000" w:themeColor="text1"/>
                <w:sz w:val="20"/>
              </w:rPr>
            </w:pPr>
            <w:r>
              <w:rPr>
                <w:rFonts w:ascii="Arial Narrow" w:hAnsi="Arial Narrow"/>
                <w:color w:val="000000" w:themeColor="text1"/>
                <w:sz w:val="20"/>
              </w:rPr>
              <w:t>Median PFS, months (95% CI)</w:t>
            </w:r>
          </w:p>
        </w:tc>
        <w:tc>
          <w:tcPr>
            <w:tcW w:w="995" w:type="pct"/>
            <w:vAlign w:val="center"/>
          </w:tcPr>
          <w:p w:rsidR="00BC14E4" w:rsidRDefault="00BC14E4" w:rsidP="003223D2">
            <w:pPr>
              <w:keepNext/>
              <w:widowControl/>
              <w:jc w:val="center"/>
              <w:rPr>
                <w:rFonts w:ascii="Arial Narrow" w:hAnsi="Arial Narrow"/>
                <w:color w:val="000000" w:themeColor="text1"/>
                <w:sz w:val="20"/>
              </w:rPr>
            </w:pPr>
            <w:r>
              <w:rPr>
                <w:rFonts w:ascii="Arial Narrow" w:hAnsi="Arial Narrow"/>
                <w:color w:val="000000" w:themeColor="text1"/>
                <w:sz w:val="20"/>
              </w:rPr>
              <w:t>2.6 (1.9, 2.8)</w:t>
            </w:r>
          </w:p>
        </w:tc>
        <w:tc>
          <w:tcPr>
            <w:tcW w:w="996" w:type="pct"/>
            <w:vAlign w:val="center"/>
          </w:tcPr>
          <w:p w:rsidR="00BC14E4" w:rsidRDefault="00BC14E4" w:rsidP="003223D2">
            <w:pPr>
              <w:keepNext/>
              <w:widowControl/>
              <w:jc w:val="center"/>
              <w:rPr>
                <w:rFonts w:ascii="Arial Narrow" w:hAnsi="Arial Narrow"/>
                <w:color w:val="000000" w:themeColor="text1"/>
                <w:sz w:val="20"/>
              </w:rPr>
            </w:pPr>
            <w:r>
              <w:rPr>
                <w:rFonts w:ascii="Arial Narrow" w:hAnsi="Arial Narrow"/>
                <w:color w:val="000000" w:themeColor="text1"/>
                <w:sz w:val="20"/>
              </w:rPr>
              <w:t xml:space="preserve">2.6 (1.8, 2.7) </w:t>
            </w:r>
          </w:p>
        </w:tc>
        <w:tc>
          <w:tcPr>
            <w:tcW w:w="995" w:type="pct"/>
            <w:vAlign w:val="center"/>
          </w:tcPr>
          <w:p w:rsidR="00BC14E4" w:rsidRDefault="00BC14E4" w:rsidP="003223D2">
            <w:pPr>
              <w:keepNext/>
              <w:widowControl/>
              <w:jc w:val="center"/>
              <w:rPr>
                <w:rFonts w:ascii="Arial Narrow" w:hAnsi="Arial Narrow"/>
                <w:color w:val="000000" w:themeColor="text1"/>
                <w:sz w:val="20"/>
              </w:rPr>
            </w:pPr>
            <w:r>
              <w:rPr>
                <w:rFonts w:ascii="Arial Narrow" w:hAnsi="Arial Narrow"/>
                <w:color w:val="000000" w:themeColor="text1"/>
                <w:sz w:val="20"/>
              </w:rPr>
              <w:t>1.4 (NR)</w:t>
            </w:r>
          </w:p>
        </w:tc>
        <w:tc>
          <w:tcPr>
            <w:tcW w:w="995" w:type="pct"/>
            <w:vAlign w:val="center"/>
          </w:tcPr>
          <w:p w:rsidR="00BC14E4" w:rsidRDefault="00BC14E4" w:rsidP="003223D2">
            <w:pPr>
              <w:keepNext/>
              <w:widowControl/>
              <w:jc w:val="center"/>
              <w:rPr>
                <w:rFonts w:ascii="Arial Narrow" w:hAnsi="Arial Narrow"/>
                <w:color w:val="000000" w:themeColor="text1"/>
                <w:sz w:val="20"/>
              </w:rPr>
            </w:pPr>
            <w:r>
              <w:rPr>
                <w:rFonts w:ascii="Arial Narrow" w:hAnsi="Arial Narrow"/>
                <w:color w:val="000000" w:themeColor="text1"/>
                <w:sz w:val="20"/>
              </w:rPr>
              <w:t>3.2 (NR)</w:t>
            </w:r>
          </w:p>
        </w:tc>
      </w:tr>
    </w:tbl>
    <w:p w:rsidR="001A2837" w:rsidRPr="00B010BF" w:rsidRDefault="001A2837" w:rsidP="00E771D1">
      <w:pPr>
        <w:pStyle w:val="TableFooter"/>
        <w:keepNext/>
        <w:widowControl/>
        <w:ind w:left="709"/>
        <w:rPr>
          <w:rStyle w:val="CommentReference"/>
          <w:b w:val="0"/>
        </w:rPr>
      </w:pPr>
      <w:r w:rsidRPr="00B010BF">
        <w:rPr>
          <w:rStyle w:val="CommentReference"/>
          <w:b w:val="0"/>
        </w:rPr>
        <w:t>Source: Tables 9-11, pp11-13 of Appendix 1 to the submission</w:t>
      </w:r>
    </w:p>
    <w:p w:rsidR="001A2837" w:rsidRPr="00B010BF" w:rsidRDefault="00047312" w:rsidP="00E771D1">
      <w:pPr>
        <w:pStyle w:val="TableFooter"/>
        <w:keepNext/>
        <w:widowControl/>
        <w:ind w:left="709"/>
        <w:rPr>
          <w:rStyle w:val="CommentReference"/>
          <w:b w:val="0"/>
        </w:rPr>
      </w:pPr>
      <w:r w:rsidRPr="00B010BF">
        <w:rPr>
          <w:rStyle w:val="CommentReference"/>
          <w:b w:val="0"/>
        </w:rPr>
        <w:t xml:space="preserve">CI = confidence interval; </w:t>
      </w:r>
      <w:r w:rsidR="001A2837" w:rsidRPr="00B010BF">
        <w:rPr>
          <w:rStyle w:val="CommentReference"/>
          <w:b w:val="0"/>
        </w:rPr>
        <w:t>ITT = intention to treat; NR = not reported</w:t>
      </w:r>
      <w:r w:rsidRPr="00B010BF">
        <w:rPr>
          <w:rStyle w:val="CommentReference"/>
          <w:b w:val="0"/>
        </w:rPr>
        <w:t>; OS = overall survival; PFS = progression free survival</w:t>
      </w:r>
    </w:p>
    <w:p w:rsidR="0066382A" w:rsidRPr="00B010BF" w:rsidRDefault="0066382A" w:rsidP="00903665">
      <w:pPr>
        <w:widowControl/>
        <w:rPr>
          <w:szCs w:val="22"/>
          <w:lang w:val="en-GB"/>
        </w:rPr>
      </w:pPr>
    </w:p>
    <w:p w:rsidR="00B07E99" w:rsidRPr="00B010BF" w:rsidRDefault="000D7464" w:rsidP="00A728F8">
      <w:pPr>
        <w:pStyle w:val="ListParagraph"/>
        <w:widowControl/>
        <w:numPr>
          <w:ilvl w:val="1"/>
          <w:numId w:val="2"/>
        </w:numPr>
        <w:rPr>
          <w:szCs w:val="22"/>
          <w:lang w:val="en-GB"/>
        </w:rPr>
      </w:pPr>
      <w:r w:rsidRPr="00B010BF">
        <w:rPr>
          <w:lang w:val="en-GB"/>
        </w:rPr>
        <w:t>The submission summarised the results</w:t>
      </w:r>
      <w:r w:rsidR="002956F7" w:rsidRPr="00B010BF">
        <w:rPr>
          <w:lang w:val="en-GB"/>
        </w:rPr>
        <w:t xml:space="preserve"> for </w:t>
      </w:r>
      <w:r w:rsidR="004F75CC" w:rsidRPr="00B010BF">
        <w:rPr>
          <w:lang w:val="en-GB"/>
        </w:rPr>
        <w:t xml:space="preserve">the </w:t>
      </w:r>
      <w:r w:rsidR="002956F7" w:rsidRPr="00B010BF">
        <w:rPr>
          <w:lang w:val="en-GB"/>
        </w:rPr>
        <w:t xml:space="preserve">comparison </w:t>
      </w:r>
      <w:r w:rsidR="00A814F3" w:rsidRPr="00B010BF">
        <w:rPr>
          <w:lang w:val="en-GB"/>
        </w:rPr>
        <w:t>o</w:t>
      </w:r>
      <w:r w:rsidR="002956F7" w:rsidRPr="00B010BF">
        <w:rPr>
          <w:lang w:val="en-GB"/>
        </w:rPr>
        <w:t xml:space="preserve">f </w:t>
      </w:r>
      <w:proofErr w:type="spellStart"/>
      <w:r w:rsidR="002956F7" w:rsidRPr="00B010BF">
        <w:rPr>
          <w:lang w:val="en-GB"/>
        </w:rPr>
        <w:t>eribulin</w:t>
      </w:r>
      <w:proofErr w:type="spellEnd"/>
      <w:r w:rsidR="002956F7" w:rsidRPr="00B010BF">
        <w:rPr>
          <w:lang w:val="en-GB"/>
        </w:rPr>
        <w:t xml:space="preserve"> with </w:t>
      </w:r>
      <w:proofErr w:type="spellStart"/>
      <w:r w:rsidR="002956F7" w:rsidRPr="00B010BF">
        <w:rPr>
          <w:lang w:val="en-GB"/>
        </w:rPr>
        <w:t>ifosfamide</w:t>
      </w:r>
      <w:proofErr w:type="spellEnd"/>
      <w:r w:rsidR="00741412" w:rsidRPr="00B010BF">
        <w:rPr>
          <w:lang w:val="en-GB"/>
        </w:rPr>
        <w:t xml:space="preserve"> </w:t>
      </w:r>
      <w:r w:rsidR="002956F7" w:rsidRPr="00B010BF">
        <w:rPr>
          <w:lang w:val="en-GB"/>
        </w:rPr>
        <w:t>(supportive comparator)</w:t>
      </w:r>
      <w:r w:rsidRPr="00B010BF">
        <w:rPr>
          <w:lang w:val="en-GB"/>
        </w:rPr>
        <w:t xml:space="preserve">, rather than making </w:t>
      </w:r>
      <w:r w:rsidR="002956F7" w:rsidRPr="00B010BF">
        <w:rPr>
          <w:lang w:val="en-GB"/>
        </w:rPr>
        <w:t xml:space="preserve">a </w:t>
      </w:r>
      <w:r w:rsidRPr="00B010BF">
        <w:rPr>
          <w:lang w:val="en-GB"/>
        </w:rPr>
        <w:t xml:space="preserve">formal comparison, due to the heterogeneity between the two trials and the lack of </w:t>
      </w:r>
      <w:r w:rsidR="00572301">
        <w:rPr>
          <w:lang w:val="en-GB"/>
        </w:rPr>
        <w:t xml:space="preserve">a </w:t>
      </w:r>
      <w:r w:rsidRPr="00B010BF">
        <w:rPr>
          <w:lang w:val="en-GB"/>
        </w:rPr>
        <w:t xml:space="preserve">common treatment arm. This was </w:t>
      </w:r>
      <w:r w:rsidR="00572301">
        <w:rPr>
          <w:lang w:val="en-GB"/>
        </w:rPr>
        <w:t xml:space="preserve">considered </w:t>
      </w:r>
      <w:r w:rsidRPr="00B010BF">
        <w:rPr>
          <w:lang w:val="en-GB"/>
        </w:rPr>
        <w:t>reasonable</w:t>
      </w:r>
      <w:r w:rsidR="00572301">
        <w:rPr>
          <w:lang w:val="en-GB"/>
        </w:rPr>
        <w:t xml:space="preserve"> during the </w:t>
      </w:r>
      <w:proofErr w:type="spellStart"/>
      <w:r w:rsidR="00572301">
        <w:rPr>
          <w:lang w:val="en-GB"/>
        </w:rPr>
        <w:t>evalution</w:t>
      </w:r>
      <w:proofErr w:type="spellEnd"/>
      <w:r w:rsidRPr="00B010BF">
        <w:rPr>
          <w:lang w:val="en-GB"/>
        </w:rPr>
        <w:t xml:space="preserve">. The submission noted that the overall survival for </w:t>
      </w:r>
      <w:proofErr w:type="spellStart"/>
      <w:r w:rsidRPr="00B010BF">
        <w:rPr>
          <w:lang w:val="en-GB"/>
        </w:rPr>
        <w:t>ifosfamide</w:t>
      </w:r>
      <w:proofErr w:type="spellEnd"/>
      <w:r w:rsidRPr="00B010BF">
        <w:rPr>
          <w:lang w:val="en-GB"/>
        </w:rPr>
        <w:t xml:space="preserve"> (5</w:t>
      </w:r>
      <w:r w:rsidR="004F75CC" w:rsidRPr="00B010BF">
        <w:rPr>
          <w:lang w:val="en-GB"/>
        </w:rPr>
        <w:t> </w:t>
      </w:r>
      <w:r w:rsidRPr="00B010BF">
        <w:rPr>
          <w:lang w:val="en-GB"/>
        </w:rPr>
        <w:t>g/</w:t>
      </w:r>
      <w:r w:rsidR="00817136" w:rsidRPr="00B010BF">
        <w:rPr>
          <w:lang w:val="en-GB"/>
        </w:rPr>
        <w:t> </w:t>
      </w:r>
      <w:r w:rsidRPr="00B010BF">
        <w:rPr>
          <w:lang w:val="en-GB"/>
        </w:rPr>
        <w:t>m</w:t>
      </w:r>
      <w:r w:rsidRPr="00B010BF">
        <w:rPr>
          <w:vertAlign w:val="superscript"/>
          <w:lang w:val="en-GB"/>
        </w:rPr>
        <w:t>2</w:t>
      </w:r>
      <w:r w:rsidR="004F75CC" w:rsidRPr="00B010BF">
        <w:rPr>
          <w:vertAlign w:val="superscript"/>
          <w:lang w:val="en-GB"/>
        </w:rPr>
        <w:t> </w:t>
      </w:r>
      <w:r w:rsidRPr="00B010BF">
        <w:rPr>
          <w:lang w:val="en-GB"/>
        </w:rPr>
        <w:t>x</w:t>
      </w:r>
      <w:r w:rsidR="004F75CC" w:rsidRPr="00B010BF">
        <w:rPr>
          <w:lang w:val="en-GB"/>
        </w:rPr>
        <w:t> </w:t>
      </w:r>
      <w:r w:rsidRPr="00B010BF">
        <w:rPr>
          <w:lang w:val="en-GB"/>
        </w:rPr>
        <w:t>1</w:t>
      </w:r>
      <w:r w:rsidR="004F75CC" w:rsidRPr="00B010BF">
        <w:rPr>
          <w:lang w:val="en-GB"/>
        </w:rPr>
        <w:t> </w:t>
      </w:r>
      <w:r w:rsidRPr="00B010BF">
        <w:rPr>
          <w:lang w:val="en-GB"/>
        </w:rPr>
        <w:t xml:space="preserve">day) was similar to that reported for </w:t>
      </w:r>
      <w:proofErr w:type="spellStart"/>
      <w:r w:rsidRPr="00B010BF">
        <w:rPr>
          <w:lang w:val="en-GB"/>
        </w:rPr>
        <w:t>dacarbazine</w:t>
      </w:r>
      <w:proofErr w:type="spellEnd"/>
      <w:r w:rsidR="00506115" w:rsidRPr="00B010BF">
        <w:rPr>
          <w:lang w:val="en-GB"/>
        </w:rPr>
        <w:t xml:space="preserve">. </w:t>
      </w:r>
      <w:r w:rsidR="00B07E99" w:rsidRPr="00B010BF">
        <w:rPr>
          <w:lang w:val="en-GB"/>
        </w:rPr>
        <w:t xml:space="preserve">It was difficult to formally compare </w:t>
      </w:r>
      <w:proofErr w:type="spellStart"/>
      <w:r w:rsidR="00B07E99" w:rsidRPr="00B010BF">
        <w:rPr>
          <w:lang w:val="en-GB"/>
        </w:rPr>
        <w:t>eribulin</w:t>
      </w:r>
      <w:proofErr w:type="spellEnd"/>
      <w:r w:rsidR="00B07E99" w:rsidRPr="00B010BF">
        <w:rPr>
          <w:lang w:val="en-GB"/>
        </w:rPr>
        <w:t xml:space="preserve"> and </w:t>
      </w:r>
      <w:proofErr w:type="spellStart"/>
      <w:r w:rsidR="00B07E99" w:rsidRPr="00B010BF">
        <w:rPr>
          <w:lang w:val="en-GB"/>
        </w:rPr>
        <w:t>ifosfamide</w:t>
      </w:r>
      <w:proofErr w:type="spellEnd"/>
      <w:r w:rsidR="00B07E99" w:rsidRPr="00B010BF">
        <w:rPr>
          <w:lang w:val="en-GB"/>
        </w:rPr>
        <w:t xml:space="preserve"> due to the differences in trial design, included histological subtypes, prior treatments and the lack of common comparator.</w:t>
      </w:r>
    </w:p>
    <w:p w:rsidR="001A2837" w:rsidRPr="00B010BF" w:rsidRDefault="001A2837" w:rsidP="00903665">
      <w:pPr>
        <w:widowControl/>
        <w:rPr>
          <w:szCs w:val="22"/>
          <w:lang w:val="en-GB"/>
        </w:rPr>
      </w:pPr>
    </w:p>
    <w:p w:rsidR="00B60939" w:rsidRPr="00B010BF" w:rsidRDefault="00B60939" w:rsidP="00903665">
      <w:pPr>
        <w:pStyle w:val="Heading3"/>
        <w:widowControl/>
        <w:rPr>
          <w:i w:val="0"/>
        </w:rPr>
      </w:pPr>
      <w:bookmarkStart w:id="10" w:name="_Toc461622506"/>
      <w:r w:rsidRPr="00B010BF">
        <w:rPr>
          <w:i w:val="0"/>
        </w:rPr>
        <w:t>Comparative harms</w:t>
      </w:r>
      <w:bookmarkEnd w:id="10"/>
    </w:p>
    <w:p w:rsidR="00B60939" w:rsidRPr="00B010BF" w:rsidRDefault="00B60939" w:rsidP="00903665">
      <w:pPr>
        <w:widowControl/>
        <w:ind w:left="720" w:hanging="720"/>
        <w:rPr>
          <w:szCs w:val="22"/>
          <w:lang w:val="en-GB"/>
        </w:rPr>
      </w:pPr>
    </w:p>
    <w:p w:rsidR="002956F7" w:rsidRPr="00B010BF" w:rsidRDefault="002956F7" w:rsidP="00A728F8">
      <w:pPr>
        <w:pStyle w:val="ListParagraph"/>
        <w:widowControl/>
        <w:numPr>
          <w:ilvl w:val="1"/>
          <w:numId w:val="2"/>
        </w:numPr>
        <w:rPr>
          <w:szCs w:val="22"/>
          <w:lang w:val="en-GB"/>
        </w:rPr>
      </w:pPr>
      <w:r w:rsidRPr="00B010BF">
        <w:rPr>
          <w:lang w:val="en-GB"/>
        </w:rPr>
        <w:t>The submission noted that the number of treatment-emergent adverse events</w:t>
      </w:r>
      <w:r w:rsidR="00561AE7" w:rsidRPr="00B010BF">
        <w:rPr>
          <w:lang w:val="en-GB"/>
        </w:rPr>
        <w:t xml:space="preserve"> (TEAEs)</w:t>
      </w:r>
      <w:r w:rsidRPr="00B010BF">
        <w:rPr>
          <w:lang w:val="en-GB"/>
        </w:rPr>
        <w:t xml:space="preserve"> w</w:t>
      </w:r>
      <w:r w:rsidR="004D0EAD" w:rsidRPr="00B010BF">
        <w:rPr>
          <w:lang w:val="en-GB"/>
        </w:rPr>
        <w:t>as</w:t>
      </w:r>
      <w:r w:rsidRPr="00B010BF">
        <w:rPr>
          <w:lang w:val="en-GB"/>
        </w:rPr>
        <w:t xml:space="preserve"> slightly higher for </w:t>
      </w:r>
      <w:proofErr w:type="spellStart"/>
      <w:r w:rsidRPr="00B010BF">
        <w:rPr>
          <w:lang w:val="en-GB"/>
        </w:rPr>
        <w:t>eribulin</w:t>
      </w:r>
      <w:proofErr w:type="spellEnd"/>
      <w:r w:rsidRPr="00B010BF">
        <w:rPr>
          <w:lang w:val="en-GB"/>
        </w:rPr>
        <w:t xml:space="preserve"> compared with </w:t>
      </w:r>
      <w:proofErr w:type="spellStart"/>
      <w:r w:rsidRPr="00B010BF">
        <w:rPr>
          <w:lang w:val="en-GB"/>
        </w:rPr>
        <w:t>dacarbazine</w:t>
      </w:r>
      <w:proofErr w:type="spellEnd"/>
      <w:r w:rsidRPr="00B010BF">
        <w:rPr>
          <w:lang w:val="en-GB"/>
        </w:rPr>
        <w:t xml:space="preserve">. However, the </w:t>
      </w:r>
      <w:r w:rsidR="00ED361A" w:rsidRPr="00B010BF">
        <w:rPr>
          <w:lang w:val="en-GB"/>
        </w:rPr>
        <w:t xml:space="preserve">submission </w:t>
      </w:r>
      <w:r w:rsidR="00581D86" w:rsidRPr="00B010BF">
        <w:rPr>
          <w:lang w:val="en-GB"/>
        </w:rPr>
        <w:t>argued</w:t>
      </w:r>
      <w:r w:rsidRPr="00B010BF">
        <w:rPr>
          <w:lang w:val="en-GB"/>
        </w:rPr>
        <w:t xml:space="preserve"> </w:t>
      </w:r>
      <w:r w:rsidR="001117AD">
        <w:rPr>
          <w:lang w:val="en-GB"/>
        </w:rPr>
        <w:t xml:space="preserve">that </w:t>
      </w:r>
      <w:r w:rsidRPr="00B010BF">
        <w:rPr>
          <w:lang w:val="en-GB"/>
        </w:rPr>
        <w:t xml:space="preserve">the analysis did not support a conclusion that there were significant differences between the rates of key adverse events </w:t>
      </w:r>
      <w:r w:rsidR="00561AE7" w:rsidRPr="00B010BF">
        <w:rPr>
          <w:lang w:val="en-GB"/>
        </w:rPr>
        <w:t xml:space="preserve">(AEs) </w:t>
      </w:r>
      <w:r w:rsidRPr="00B010BF">
        <w:rPr>
          <w:lang w:val="en-GB"/>
        </w:rPr>
        <w:t xml:space="preserve">relevant for PBAC decision making. This might not </w:t>
      </w:r>
      <w:r w:rsidR="006005E7" w:rsidRPr="00B010BF">
        <w:rPr>
          <w:lang w:val="en-GB"/>
        </w:rPr>
        <w:t xml:space="preserve">have </w:t>
      </w:r>
      <w:r w:rsidRPr="00B010BF">
        <w:rPr>
          <w:lang w:val="en-GB"/>
        </w:rPr>
        <w:t>be</w:t>
      </w:r>
      <w:r w:rsidR="006005E7" w:rsidRPr="00B010BF">
        <w:rPr>
          <w:lang w:val="en-GB"/>
        </w:rPr>
        <w:t>en</w:t>
      </w:r>
      <w:r w:rsidRPr="00B010BF">
        <w:rPr>
          <w:lang w:val="en-GB"/>
        </w:rPr>
        <w:t xml:space="preserve"> reasonable, as the number of Grade 3 or 4 adverse events </w:t>
      </w:r>
      <w:r w:rsidR="0037468B" w:rsidRPr="00B010BF">
        <w:rPr>
          <w:lang w:val="en-GB"/>
        </w:rPr>
        <w:t>was</w:t>
      </w:r>
      <w:r w:rsidRPr="00B010BF">
        <w:rPr>
          <w:lang w:val="en-GB"/>
        </w:rPr>
        <w:t xml:space="preserve"> statistically significant</w:t>
      </w:r>
      <w:r w:rsidR="00F342A2">
        <w:rPr>
          <w:lang w:val="en-GB"/>
        </w:rPr>
        <w:t>ly</w:t>
      </w:r>
      <w:r w:rsidRPr="00B010BF">
        <w:rPr>
          <w:lang w:val="en-GB"/>
        </w:rPr>
        <w:t xml:space="preserve"> higher in the </w:t>
      </w:r>
      <w:proofErr w:type="spellStart"/>
      <w:r w:rsidRPr="00B010BF">
        <w:rPr>
          <w:lang w:val="en-GB"/>
        </w:rPr>
        <w:t>eribulin</w:t>
      </w:r>
      <w:proofErr w:type="spellEnd"/>
      <w:r w:rsidRPr="00B010BF">
        <w:rPr>
          <w:lang w:val="en-GB"/>
        </w:rPr>
        <w:t xml:space="preserve"> treatment arm compared with </w:t>
      </w:r>
      <w:proofErr w:type="spellStart"/>
      <w:r w:rsidRPr="00B010BF">
        <w:rPr>
          <w:lang w:val="en-GB"/>
        </w:rPr>
        <w:t>dacarbazine</w:t>
      </w:r>
      <w:proofErr w:type="spellEnd"/>
      <w:r w:rsidRPr="00B010BF">
        <w:rPr>
          <w:lang w:val="en-GB"/>
        </w:rPr>
        <w:t xml:space="preserve"> treatment arm (152/226</w:t>
      </w:r>
      <w:r w:rsidR="006E2FD2" w:rsidRPr="00B010BF">
        <w:rPr>
          <w:lang w:val="en-GB"/>
        </w:rPr>
        <w:t xml:space="preserve"> (</w:t>
      </w:r>
      <w:r w:rsidRPr="00B010BF">
        <w:rPr>
          <w:lang w:val="en-GB"/>
        </w:rPr>
        <w:t>67%</w:t>
      </w:r>
      <w:r w:rsidR="006E2FD2" w:rsidRPr="00B010BF">
        <w:rPr>
          <w:lang w:val="en-GB"/>
        </w:rPr>
        <w:t>)</w:t>
      </w:r>
      <w:r w:rsidRPr="00B010BF">
        <w:rPr>
          <w:lang w:val="en-GB"/>
        </w:rPr>
        <w:t xml:space="preserve"> versus 126/224</w:t>
      </w:r>
      <w:r w:rsidR="006E2FD2" w:rsidRPr="00B010BF">
        <w:rPr>
          <w:lang w:val="en-GB"/>
        </w:rPr>
        <w:t xml:space="preserve"> (</w:t>
      </w:r>
      <w:r w:rsidRPr="00B010BF">
        <w:rPr>
          <w:lang w:val="en-GB"/>
        </w:rPr>
        <w:t>56%</w:t>
      </w:r>
      <w:r w:rsidR="006E2FD2" w:rsidRPr="00B010BF">
        <w:rPr>
          <w:lang w:val="en-GB"/>
        </w:rPr>
        <w:t>)</w:t>
      </w:r>
      <w:r w:rsidRPr="00B010BF">
        <w:rPr>
          <w:lang w:val="en-GB"/>
        </w:rPr>
        <w:t>, relative risk: 1.20; 95% CI: 1.03 to 1.39).</w:t>
      </w:r>
    </w:p>
    <w:p w:rsidR="00A874E1" w:rsidRPr="00B010BF" w:rsidRDefault="00A874E1" w:rsidP="00903665">
      <w:pPr>
        <w:pStyle w:val="PBACHeading1"/>
        <w:numPr>
          <w:ilvl w:val="0"/>
          <w:numId w:val="0"/>
        </w:numPr>
        <w:ind w:left="720" w:hanging="720"/>
        <w:rPr>
          <w:lang w:val="en-GB"/>
        </w:rPr>
      </w:pPr>
    </w:p>
    <w:p w:rsidR="00A874E1" w:rsidRPr="00B010BF" w:rsidRDefault="00A874E1" w:rsidP="00A728F8">
      <w:pPr>
        <w:pStyle w:val="ListParagraph"/>
        <w:widowControl/>
        <w:numPr>
          <w:ilvl w:val="1"/>
          <w:numId w:val="2"/>
        </w:numPr>
        <w:rPr>
          <w:szCs w:val="22"/>
          <w:lang w:val="en-GB"/>
        </w:rPr>
      </w:pPr>
      <w:r w:rsidRPr="00B010BF">
        <w:rPr>
          <w:szCs w:val="22"/>
          <w:lang w:val="en-GB"/>
        </w:rPr>
        <w:t xml:space="preserve">The ESC noted </w:t>
      </w:r>
      <w:r w:rsidR="00E64BC5" w:rsidRPr="00B010BF">
        <w:rPr>
          <w:szCs w:val="22"/>
          <w:lang w:val="en-GB"/>
        </w:rPr>
        <w:t xml:space="preserve">that </w:t>
      </w:r>
      <w:r w:rsidRPr="00B010BF">
        <w:rPr>
          <w:szCs w:val="22"/>
          <w:lang w:val="en-GB"/>
        </w:rPr>
        <w:t xml:space="preserve">the TGA </w:t>
      </w:r>
      <w:r w:rsidR="00E64BC5" w:rsidRPr="00B010BF">
        <w:rPr>
          <w:szCs w:val="22"/>
          <w:lang w:val="en-GB"/>
        </w:rPr>
        <w:t>Delegate’s Overview</w:t>
      </w:r>
      <w:r w:rsidR="00BC182B" w:rsidRPr="00B010BF">
        <w:rPr>
          <w:szCs w:val="22"/>
          <w:lang w:val="en-GB"/>
        </w:rPr>
        <w:t xml:space="preserve"> </w:t>
      </w:r>
      <w:r w:rsidRPr="00B010BF">
        <w:rPr>
          <w:szCs w:val="22"/>
          <w:lang w:val="en-GB"/>
        </w:rPr>
        <w:t xml:space="preserve">stated </w:t>
      </w:r>
      <w:proofErr w:type="spellStart"/>
      <w:r w:rsidRPr="00B010BF">
        <w:rPr>
          <w:szCs w:val="22"/>
          <w:lang w:val="en-GB"/>
        </w:rPr>
        <w:t>eribulin</w:t>
      </w:r>
      <w:proofErr w:type="spellEnd"/>
      <w:r w:rsidRPr="00B010BF">
        <w:rPr>
          <w:szCs w:val="22"/>
          <w:lang w:val="en-GB"/>
        </w:rPr>
        <w:t xml:space="preserve"> was ‘moderately more toxic than </w:t>
      </w:r>
      <w:proofErr w:type="spellStart"/>
      <w:r w:rsidRPr="00B010BF">
        <w:rPr>
          <w:szCs w:val="22"/>
          <w:lang w:val="en-GB"/>
        </w:rPr>
        <w:t>dacarbaz</w:t>
      </w:r>
      <w:r w:rsidR="00F342A2">
        <w:rPr>
          <w:szCs w:val="22"/>
          <w:lang w:val="en-GB"/>
        </w:rPr>
        <w:t>ine</w:t>
      </w:r>
      <w:proofErr w:type="spellEnd"/>
      <w:r w:rsidR="00F342A2">
        <w:rPr>
          <w:szCs w:val="22"/>
          <w:lang w:val="en-GB"/>
        </w:rPr>
        <w:t xml:space="preserve"> with a higher incidence of G</w:t>
      </w:r>
      <w:r w:rsidRPr="00B010BF">
        <w:rPr>
          <w:szCs w:val="22"/>
          <w:lang w:val="en-GB"/>
        </w:rPr>
        <w:t>rade ≥ 3 AEs (67.3% vs. 56.3%) and AEs leading to withdrawal (7.5% vs. 4.9%)</w:t>
      </w:r>
      <w:r w:rsidR="00561AE7" w:rsidRPr="00B010BF">
        <w:rPr>
          <w:szCs w:val="22"/>
          <w:lang w:val="en-GB"/>
        </w:rPr>
        <w:t>’</w:t>
      </w:r>
      <w:r w:rsidRPr="00B010BF">
        <w:rPr>
          <w:szCs w:val="22"/>
          <w:lang w:val="en-GB"/>
        </w:rPr>
        <w:t>.</w:t>
      </w:r>
    </w:p>
    <w:p w:rsidR="002956F7" w:rsidRPr="00B010BF" w:rsidRDefault="002956F7" w:rsidP="00903665">
      <w:pPr>
        <w:pStyle w:val="ListParagraph"/>
        <w:widowControl/>
        <w:rPr>
          <w:szCs w:val="22"/>
          <w:lang w:val="en-GB"/>
        </w:rPr>
      </w:pPr>
    </w:p>
    <w:p w:rsidR="002956F7" w:rsidRPr="00B010BF" w:rsidRDefault="008048C0" w:rsidP="00A728F8">
      <w:pPr>
        <w:pStyle w:val="ListParagraph"/>
        <w:widowControl/>
        <w:numPr>
          <w:ilvl w:val="1"/>
          <w:numId w:val="2"/>
        </w:numPr>
        <w:rPr>
          <w:szCs w:val="22"/>
          <w:lang w:val="en-GB"/>
        </w:rPr>
      </w:pPr>
      <w:r w:rsidRPr="00B010BF">
        <w:rPr>
          <w:szCs w:val="22"/>
          <w:lang w:val="en-GB"/>
        </w:rPr>
        <w:t>T</w:t>
      </w:r>
      <w:r w:rsidR="002956F7" w:rsidRPr="00B010BF">
        <w:rPr>
          <w:szCs w:val="22"/>
          <w:lang w:val="en-GB"/>
        </w:rPr>
        <w:t xml:space="preserve">reatment-emergent adverse events (all Grades) </w:t>
      </w:r>
      <w:r w:rsidR="006005E7" w:rsidRPr="00B010BF">
        <w:rPr>
          <w:szCs w:val="22"/>
          <w:lang w:val="en-GB"/>
        </w:rPr>
        <w:t xml:space="preserve">that </w:t>
      </w:r>
      <w:r w:rsidR="002956F7" w:rsidRPr="00B010BF">
        <w:rPr>
          <w:szCs w:val="22"/>
          <w:lang w:val="en-GB"/>
        </w:rPr>
        <w:t>occurr</w:t>
      </w:r>
      <w:r w:rsidR="006005E7" w:rsidRPr="00B010BF">
        <w:rPr>
          <w:szCs w:val="22"/>
          <w:lang w:val="en-GB"/>
        </w:rPr>
        <w:t>ed</w:t>
      </w:r>
      <w:r w:rsidR="002956F7" w:rsidRPr="00B010BF">
        <w:rPr>
          <w:szCs w:val="22"/>
          <w:lang w:val="en-GB"/>
        </w:rPr>
        <w:t xml:space="preserve"> </w:t>
      </w:r>
      <w:r w:rsidR="006005E7" w:rsidRPr="00B010BF">
        <w:rPr>
          <w:szCs w:val="22"/>
          <w:lang w:val="en-GB"/>
        </w:rPr>
        <w:t>with</w:t>
      </w:r>
      <w:r w:rsidR="002956F7" w:rsidRPr="00B010BF">
        <w:rPr>
          <w:szCs w:val="22"/>
          <w:lang w:val="en-GB"/>
        </w:rPr>
        <w:t xml:space="preserve"> a statistically </w:t>
      </w:r>
      <w:r w:rsidR="00F11C4E" w:rsidRPr="00B010BF">
        <w:rPr>
          <w:szCs w:val="22"/>
          <w:lang w:val="en-GB"/>
        </w:rPr>
        <w:t xml:space="preserve">significantly </w:t>
      </w:r>
      <w:r w:rsidR="002956F7" w:rsidRPr="00B010BF">
        <w:rPr>
          <w:szCs w:val="22"/>
          <w:lang w:val="en-GB"/>
        </w:rPr>
        <w:t xml:space="preserve">higher incidence in the </w:t>
      </w:r>
      <w:proofErr w:type="spellStart"/>
      <w:r w:rsidR="002956F7" w:rsidRPr="00B010BF">
        <w:rPr>
          <w:szCs w:val="22"/>
          <w:lang w:val="en-GB"/>
        </w:rPr>
        <w:t>eribulin</w:t>
      </w:r>
      <w:proofErr w:type="spellEnd"/>
      <w:r w:rsidR="002956F7" w:rsidRPr="00B010BF">
        <w:rPr>
          <w:szCs w:val="22"/>
          <w:lang w:val="en-GB"/>
        </w:rPr>
        <w:t xml:space="preserve"> arm included: neutropenia, alopecia, peripheral sensory neuropathy, headache, stomatitis, pyrexia, urinary tract infection and hypokalaemia. Th</w:t>
      </w:r>
      <w:r w:rsidR="00BF2C5A" w:rsidRPr="00B010BF">
        <w:rPr>
          <w:szCs w:val="22"/>
          <w:lang w:val="en-GB"/>
        </w:rPr>
        <w:t>rombocytopenia was the only</w:t>
      </w:r>
      <w:r w:rsidR="002956F7" w:rsidRPr="00B010BF">
        <w:rPr>
          <w:szCs w:val="22"/>
          <w:lang w:val="en-GB"/>
        </w:rPr>
        <w:t xml:space="preserve"> </w:t>
      </w:r>
      <w:r w:rsidR="00BF2C5A" w:rsidRPr="00B010BF">
        <w:rPr>
          <w:szCs w:val="22"/>
          <w:lang w:val="en-GB"/>
        </w:rPr>
        <w:t>TEAE</w:t>
      </w:r>
      <w:r w:rsidR="006005E7" w:rsidRPr="00B010BF">
        <w:rPr>
          <w:szCs w:val="22"/>
          <w:lang w:val="en-GB"/>
        </w:rPr>
        <w:t xml:space="preserve"> that</w:t>
      </w:r>
      <w:r w:rsidR="002956F7" w:rsidRPr="00B010BF">
        <w:rPr>
          <w:szCs w:val="22"/>
          <w:lang w:val="en-GB"/>
        </w:rPr>
        <w:t xml:space="preserve"> occurr</w:t>
      </w:r>
      <w:r w:rsidR="006005E7" w:rsidRPr="00B010BF">
        <w:rPr>
          <w:szCs w:val="22"/>
          <w:lang w:val="en-GB"/>
        </w:rPr>
        <w:t>ed with</w:t>
      </w:r>
      <w:r w:rsidR="002956F7" w:rsidRPr="00B010BF">
        <w:rPr>
          <w:szCs w:val="22"/>
          <w:lang w:val="en-GB"/>
        </w:rPr>
        <w:t xml:space="preserve"> a statistically </w:t>
      </w:r>
      <w:r w:rsidR="00817136" w:rsidRPr="00B010BF">
        <w:rPr>
          <w:szCs w:val="22"/>
          <w:lang w:val="en-GB"/>
        </w:rPr>
        <w:t xml:space="preserve">significantly </w:t>
      </w:r>
      <w:r w:rsidR="002956F7" w:rsidRPr="00B010BF">
        <w:rPr>
          <w:szCs w:val="22"/>
          <w:lang w:val="en-GB"/>
        </w:rPr>
        <w:t xml:space="preserve">higher incidence in the </w:t>
      </w:r>
      <w:proofErr w:type="spellStart"/>
      <w:r w:rsidR="002956F7" w:rsidRPr="00B010BF">
        <w:rPr>
          <w:szCs w:val="22"/>
          <w:lang w:val="en-GB"/>
        </w:rPr>
        <w:t>dacarbazine</w:t>
      </w:r>
      <w:proofErr w:type="spellEnd"/>
      <w:r w:rsidR="002956F7" w:rsidRPr="00B010BF">
        <w:rPr>
          <w:szCs w:val="22"/>
          <w:lang w:val="en-GB"/>
        </w:rPr>
        <w:t xml:space="preserve"> arm</w:t>
      </w:r>
      <w:r w:rsidR="00BF2C5A" w:rsidRPr="00B010BF">
        <w:rPr>
          <w:szCs w:val="22"/>
          <w:lang w:val="en-GB"/>
        </w:rPr>
        <w:t>.</w:t>
      </w:r>
    </w:p>
    <w:p w:rsidR="002956F7" w:rsidRPr="00B010BF" w:rsidRDefault="002956F7" w:rsidP="00903665">
      <w:pPr>
        <w:pStyle w:val="ListParagraph"/>
        <w:widowControl/>
        <w:rPr>
          <w:szCs w:val="22"/>
          <w:lang w:val="en-GB"/>
        </w:rPr>
      </w:pPr>
    </w:p>
    <w:p w:rsidR="002956F7" w:rsidRPr="00B010BF" w:rsidRDefault="002956F7" w:rsidP="00A728F8">
      <w:pPr>
        <w:pStyle w:val="ListParagraph"/>
        <w:widowControl/>
        <w:numPr>
          <w:ilvl w:val="1"/>
          <w:numId w:val="2"/>
        </w:numPr>
        <w:rPr>
          <w:szCs w:val="22"/>
          <w:lang w:val="en-GB"/>
        </w:rPr>
      </w:pPr>
      <w:r w:rsidRPr="00B010BF">
        <w:rPr>
          <w:lang w:val="en-GB"/>
        </w:rPr>
        <w:lastRenderedPageBreak/>
        <w:t>For Grade 3</w:t>
      </w:r>
      <w:r w:rsidR="008048C0" w:rsidRPr="00B010BF">
        <w:rPr>
          <w:lang w:val="en-GB"/>
        </w:rPr>
        <w:t xml:space="preserve"> or </w:t>
      </w:r>
      <w:r w:rsidRPr="00B010BF">
        <w:rPr>
          <w:lang w:val="en-GB"/>
        </w:rPr>
        <w:t xml:space="preserve">4 adverse events, </w:t>
      </w:r>
      <w:proofErr w:type="spellStart"/>
      <w:r w:rsidRPr="00B010BF">
        <w:rPr>
          <w:lang w:val="en-GB"/>
        </w:rPr>
        <w:t>eribulin</w:t>
      </w:r>
      <w:proofErr w:type="spellEnd"/>
      <w:r w:rsidRPr="00B010BF">
        <w:rPr>
          <w:lang w:val="en-GB"/>
        </w:rPr>
        <w:t xml:space="preserve"> was associated with statistically significantly more </w:t>
      </w:r>
      <w:r w:rsidR="00BF2C5A" w:rsidRPr="00B010BF">
        <w:rPr>
          <w:lang w:val="en-GB"/>
        </w:rPr>
        <w:t>TEAEs</w:t>
      </w:r>
      <w:r w:rsidR="008E596B" w:rsidRPr="00B010BF">
        <w:rPr>
          <w:lang w:val="en-GB"/>
        </w:rPr>
        <w:t xml:space="preserve"> </w:t>
      </w:r>
      <w:r w:rsidRPr="00B010BF">
        <w:rPr>
          <w:lang w:val="en-GB"/>
        </w:rPr>
        <w:t>(any</w:t>
      </w:r>
      <w:r w:rsidR="00BF2C5A" w:rsidRPr="00B010BF">
        <w:rPr>
          <w:lang w:val="en-GB"/>
        </w:rPr>
        <w:t xml:space="preserve"> type</w:t>
      </w:r>
      <w:r w:rsidRPr="00B010BF">
        <w:rPr>
          <w:lang w:val="en-GB"/>
        </w:rPr>
        <w:t xml:space="preserve">), blood and lymphatic system disorders (total), neutropenia and leukopenia, while </w:t>
      </w:r>
      <w:proofErr w:type="spellStart"/>
      <w:r w:rsidRPr="00B010BF">
        <w:rPr>
          <w:lang w:val="en-GB"/>
        </w:rPr>
        <w:t>dacarbazine</w:t>
      </w:r>
      <w:proofErr w:type="spellEnd"/>
      <w:r w:rsidRPr="00B010BF">
        <w:rPr>
          <w:lang w:val="en-GB"/>
        </w:rPr>
        <w:t xml:space="preserve"> was associated with more thrombocytopenia.</w:t>
      </w:r>
    </w:p>
    <w:p w:rsidR="00B60939" w:rsidRPr="00B010BF" w:rsidRDefault="00B60939" w:rsidP="00903665">
      <w:pPr>
        <w:pStyle w:val="ListParagraph"/>
        <w:widowControl/>
        <w:ind w:left="0"/>
        <w:rPr>
          <w:szCs w:val="22"/>
          <w:lang w:val="en-GB"/>
        </w:rPr>
      </w:pPr>
    </w:p>
    <w:p w:rsidR="007F1017" w:rsidRPr="00A43FAA" w:rsidRDefault="007F1017" w:rsidP="00903665">
      <w:pPr>
        <w:pStyle w:val="Heading3"/>
        <w:widowControl/>
      </w:pPr>
      <w:bookmarkStart w:id="11" w:name="_Toc461622507"/>
      <w:r w:rsidRPr="00A43FAA">
        <w:t>Benefits/harms</w:t>
      </w:r>
      <w:bookmarkEnd w:id="11"/>
    </w:p>
    <w:p w:rsidR="007F1017" w:rsidRPr="00B010BF" w:rsidRDefault="007F1017" w:rsidP="00903665">
      <w:pPr>
        <w:pStyle w:val="ListParagraph"/>
        <w:keepNext/>
        <w:widowControl/>
        <w:ind w:left="0"/>
        <w:rPr>
          <w:szCs w:val="22"/>
          <w:lang w:val="en-GB"/>
        </w:rPr>
      </w:pPr>
    </w:p>
    <w:p w:rsidR="00EC00C9" w:rsidRPr="00B010BF" w:rsidRDefault="00EC00C9" w:rsidP="00A728F8">
      <w:pPr>
        <w:pStyle w:val="ListParagraph"/>
        <w:keepNext/>
        <w:widowControl/>
        <w:numPr>
          <w:ilvl w:val="1"/>
          <w:numId w:val="2"/>
        </w:numPr>
        <w:rPr>
          <w:szCs w:val="22"/>
          <w:lang w:val="en-GB"/>
        </w:rPr>
      </w:pPr>
      <w:r w:rsidRPr="00B010BF">
        <w:rPr>
          <w:szCs w:val="22"/>
          <w:lang w:val="en-GB"/>
        </w:rPr>
        <w:t xml:space="preserve">A summary of the comparative benefits and harms for </w:t>
      </w:r>
      <w:proofErr w:type="spellStart"/>
      <w:r w:rsidR="006E2FD2" w:rsidRPr="00B010BF">
        <w:rPr>
          <w:szCs w:val="22"/>
          <w:lang w:val="en-GB"/>
        </w:rPr>
        <w:t>eribulin</w:t>
      </w:r>
      <w:proofErr w:type="spellEnd"/>
      <w:r w:rsidRPr="00B010BF">
        <w:rPr>
          <w:szCs w:val="22"/>
          <w:lang w:val="en-GB"/>
        </w:rPr>
        <w:t xml:space="preserve"> versus </w:t>
      </w:r>
      <w:proofErr w:type="spellStart"/>
      <w:r w:rsidR="006E2FD2" w:rsidRPr="00B010BF">
        <w:rPr>
          <w:szCs w:val="22"/>
          <w:lang w:val="en-GB"/>
        </w:rPr>
        <w:t>dacarbazine</w:t>
      </w:r>
      <w:proofErr w:type="spellEnd"/>
      <w:r w:rsidR="00813FEF">
        <w:rPr>
          <w:szCs w:val="22"/>
          <w:lang w:val="en-GB"/>
        </w:rPr>
        <w:t xml:space="preserve"> is presented in </w:t>
      </w:r>
      <w:r w:rsidR="00FF146C" w:rsidRPr="00B010BF">
        <w:rPr>
          <w:szCs w:val="22"/>
          <w:lang w:val="en-GB"/>
        </w:rPr>
        <w:t>T</w:t>
      </w:r>
      <w:r w:rsidRPr="00B010BF">
        <w:rPr>
          <w:szCs w:val="22"/>
          <w:lang w:val="en-GB"/>
        </w:rPr>
        <w:t xml:space="preserve">able </w:t>
      </w:r>
      <w:r w:rsidR="002D3E86" w:rsidRPr="00B010BF">
        <w:rPr>
          <w:szCs w:val="22"/>
          <w:lang w:val="en-GB"/>
        </w:rPr>
        <w:t>6</w:t>
      </w:r>
      <w:r w:rsidRPr="00B010BF">
        <w:rPr>
          <w:szCs w:val="22"/>
          <w:lang w:val="en-GB"/>
        </w:rPr>
        <w:t>.</w:t>
      </w:r>
    </w:p>
    <w:p w:rsidR="00162913" w:rsidRPr="00B010BF" w:rsidRDefault="00162913" w:rsidP="00903665">
      <w:pPr>
        <w:widowControl/>
        <w:rPr>
          <w:lang w:val="en-GB"/>
        </w:rPr>
      </w:pPr>
    </w:p>
    <w:p w:rsidR="001028CA" w:rsidRDefault="001028CA" w:rsidP="00E771D1">
      <w:pPr>
        <w:pStyle w:val="Caption"/>
        <w:keepNext/>
        <w:widowControl/>
        <w:ind w:left="709"/>
      </w:pPr>
      <w:r w:rsidRPr="00B010BF">
        <w:t xml:space="preserve">Table </w:t>
      </w:r>
      <w:r w:rsidR="00556B92">
        <w:rPr>
          <w:noProof/>
        </w:rPr>
        <w:t>6</w:t>
      </w:r>
      <w:r w:rsidRPr="00B010BF">
        <w:t xml:space="preserve">: Summary of comparative benefits and harms for </w:t>
      </w:r>
      <w:proofErr w:type="spellStart"/>
      <w:r w:rsidRPr="00B010BF">
        <w:t>eribulin</w:t>
      </w:r>
      <w:proofErr w:type="spellEnd"/>
      <w:r w:rsidRPr="00B010BF">
        <w:t xml:space="preserve"> and </w:t>
      </w:r>
      <w:proofErr w:type="spellStart"/>
      <w:r w:rsidRPr="00B010BF">
        <w:t>dacarbazine</w:t>
      </w:r>
      <w:proofErr w:type="spellEnd"/>
      <w:r w:rsidRPr="00B010BF">
        <w:t xml:space="preserve"> from Study 309</w:t>
      </w:r>
    </w:p>
    <w:tbl>
      <w:tblPr>
        <w:tblStyle w:val="TableGrid"/>
        <w:tblW w:w="4595" w:type="pct"/>
        <w:tblInd w:w="737" w:type="dxa"/>
        <w:tblLayout w:type="fixed"/>
        <w:tblCellMar>
          <w:left w:w="28" w:type="dxa"/>
          <w:right w:w="28" w:type="dxa"/>
        </w:tblCellMar>
        <w:tblLook w:val="04A0" w:firstRow="1" w:lastRow="0" w:firstColumn="1" w:lastColumn="0" w:noHBand="0" w:noVBand="1"/>
        <w:tblCaption w:val="Benefits/Harms Table of eribulin and dacarbazine"/>
      </w:tblPr>
      <w:tblGrid>
        <w:gridCol w:w="992"/>
        <w:gridCol w:w="277"/>
        <w:gridCol w:w="459"/>
        <w:gridCol w:w="1194"/>
        <w:gridCol w:w="40"/>
        <w:gridCol w:w="1387"/>
        <w:gridCol w:w="314"/>
        <w:gridCol w:w="765"/>
        <w:gridCol w:w="1240"/>
        <w:gridCol w:w="1679"/>
      </w:tblGrid>
      <w:tr w:rsidR="00BC14E4" w:rsidRPr="00946063" w:rsidTr="00E771D1">
        <w:trPr>
          <w:trHeight w:val="20"/>
          <w:tblHeader/>
        </w:trPr>
        <w:tc>
          <w:tcPr>
            <w:tcW w:w="5000" w:type="pct"/>
            <w:gridSpan w:val="10"/>
            <w:shd w:val="clear" w:color="auto" w:fill="auto"/>
            <w:vAlign w:val="center"/>
          </w:tcPr>
          <w:p w:rsidR="00BC14E4" w:rsidRPr="00946063" w:rsidRDefault="00BC14E4" w:rsidP="003223D2">
            <w:pPr>
              <w:keepNext/>
              <w:widowControl/>
              <w:jc w:val="left"/>
              <w:rPr>
                <w:rFonts w:ascii="Arial Narrow" w:hAnsi="Arial Narrow"/>
                <w:b/>
                <w:color w:val="000000"/>
                <w:sz w:val="20"/>
                <w:szCs w:val="18"/>
                <w:lang w:val="en-GB"/>
              </w:rPr>
            </w:pPr>
            <w:r w:rsidRPr="00946063">
              <w:rPr>
                <w:rFonts w:ascii="Arial Narrow" w:hAnsi="Arial Narrow"/>
                <w:b/>
                <w:color w:val="000000"/>
                <w:sz w:val="20"/>
                <w:szCs w:val="18"/>
                <w:lang w:val="en-GB"/>
              </w:rPr>
              <w:t xml:space="preserve">Benefits – subgroup of patients with </w:t>
            </w:r>
            <w:proofErr w:type="spellStart"/>
            <w:r w:rsidRPr="00946063">
              <w:rPr>
                <w:rFonts w:ascii="Arial Narrow" w:hAnsi="Arial Narrow"/>
                <w:b/>
                <w:color w:val="000000"/>
                <w:sz w:val="20"/>
                <w:szCs w:val="18"/>
                <w:lang w:val="en-GB"/>
              </w:rPr>
              <w:t>liposarcoma</w:t>
            </w:r>
            <w:proofErr w:type="spellEnd"/>
          </w:p>
        </w:tc>
      </w:tr>
      <w:tr w:rsidR="00BC14E4" w:rsidRPr="00946063" w:rsidTr="00E771D1">
        <w:trPr>
          <w:trHeight w:val="20"/>
        </w:trPr>
        <w:tc>
          <w:tcPr>
            <w:tcW w:w="760" w:type="pct"/>
            <w:gridSpan w:val="2"/>
            <w:shd w:val="clear" w:color="auto" w:fill="auto"/>
            <w:vAlign w:val="center"/>
          </w:tcPr>
          <w:p w:rsidR="00BC14E4" w:rsidRPr="00946063" w:rsidRDefault="00BC14E4" w:rsidP="003223D2">
            <w:pPr>
              <w:keepNext/>
              <w:widowControl/>
              <w:jc w:val="left"/>
              <w:rPr>
                <w:rFonts w:ascii="Arial Narrow" w:hAnsi="Arial Narrow"/>
                <w:b/>
                <w:color w:val="000000"/>
                <w:sz w:val="20"/>
                <w:szCs w:val="18"/>
                <w:lang w:val="en-GB"/>
              </w:rPr>
            </w:pPr>
            <w:r w:rsidRPr="00946063">
              <w:rPr>
                <w:rFonts w:ascii="Arial Narrow" w:hAnsi="Arial Narrow"/>
                <w:b/>
                <w:color w:val="000000"/>
                <w:sz w:val="20"/>
                <w:szCs w:val="18"/>
                <w:lang w:val="en-GB"/>
              </w:rPr>
              <w:t>Trial</w:t>
            </w:r>
          </w:p>
        </w:tc>
        <w:tc>
          <w:tcPr>
            <w:tcW w:w="990" w:type="pct"/>
            <w:gridSpan w:val="2"/>
            <w:vAlign w:val="center"/>
          </w:tcPr>
          <w:p w:rsidR="00BC14E4" w:rsidRPr="00946063" w:rsidRDefault="00BC14E4" w:rsidP="003223D2">
            <w:pPr>
              <w:keepNext/>
              <w:widowControl/>
              <w:jc w:val="center"/>
              <w:rPr>
                <w:rFonts w:ascii="Arial Narrow" w:hAnsi="Arial Narrow"/>
                <w:b/>
                <w:color w:val="000000"/>
                <w:sz w:val="20"/>
                <w:szCs w:val="18"/>
                <w:lang w:val="en-GB"/>
              </w:rPr>
            </w:pPr>
            <w:proofErr w:type="spellStart"/>
            <w:r w:rsidRPr="00946063">
              <w:rPr>
                <w:rFonts w:ascii="Arial Narrow" w:hAnsi="Arial Narrow"/>
                <w:b/>
                <w:color w:val="000000"/>
                <w:sz w:val="20"/>
                <w:szCs w:val="18"/>
                <w:lang w:val="en-GB"/>
              </w:rPr>
              <w:t>Eribulin</w:t>
            </w:r>
            <w:proofErr w:type="spellEnd"/>
          </w:p>
        </w:tc>
        <w:tc>
          <w:tcPr>
            <w:tcW w:w="1043" w:type="pct"/>
            <w:gridSpan w:val="3"/>
            <w:vAlign w:val="center"/>
          </w:tcPr>
          <w:p w:rsidR="00BC14E4" w:rsidRPr="00946063" w:rsidRDefault="00BC14E4" w:rsidP="003223D2">
            <w:pPr>
              <w:keepNext/>
              <w:widowControl/>
              <w:jc w:val="center"/>
              <w:rPr>
                <w:rFonts w:ascii="Arial Narrow" w:hAnsi="Arial Narrow"/>
                <w:b/>
                <w:color w:val="000000"/>
                <w:sz w:val="20"/>
                <w:szCs w:val="18"/>
                <w:lang w:val="en-GB"/>
              </w:rPr>
            </w:pPr>
            <w:proofErr w:type="spellStart"/>
            <w:r w:rsidRPr="00946063">
              <w:rPr>
                <w:rFonts w:ascii="Arial Narrow" w:hAnsi="Arial Narrow"/>
                <w:b/>
                <w:color w:val="000000"/>
                <w:sz w:val="20"/>
                <w:szCs w:val="18"/>
                <w:lang w:val="en-GB"/>
              </w:rPr>
              <w:t>Dacarbazine</w:t>
            </w:r>
            <w:proofErr w:type="spellEnd"/>
          </w:p>
        </w:tc>
        <w:tc>
          <w:tcPr>
            <w:tcW w:w="1201" w:type="pct"/>
            <w:gridSpan w:val="2"/>
            <w:vAlign w:val="center"/>
          </w:tcPr>
          <w:p w:rsidR="00BC14E4" w:rsidRPr="00946063" w:rsidRDefault="00BC14E4" w:rsidP="003223D2">
            <w:pPr>
              <w:keepNext/>
              <w:widowControl/>
              <w:jc w:val="center"/>
              <w:rPr>
                <w:rFonts w:ascii="Arial Narrow" w:hAnsi="Arial Narrow"/>
                <w:b/>
                <w:color w:val="000000"/>
                <w:sz w:val="20"/>
                <w:szCs w:val="18"/>
                <w:lang w:val="en-GB"/>
              </w:rPr>
            </w:pPr>
            <w:r w:rsidRPr="00946063">
              <w:rPr>
                <w:rFonts w:ascii="Arial Narrow" w:hAnsi="Arial Narrow"/>
                <w:b/>
                <w:color w:val="000000"/>
                <w:sz w:val="20"/>
                <w:szCs w:val="18"/>
                <w:lang w:val="en-GB"/>
              </w:rPr>
              <w:t>Absolute Difference</w:t>
            </w:r>
          </w:p>
        </w:tc>
        <w:tc>
          <w:tcPr>
            <w:tcW w:w="1006" w:type="pct"/>
            <w:vAlign w:val="center"/>
          </w:tcPr>
          <w:p w:rsidR="00BC14E4" w:rsidRPr="00946063" w:rsidRDefault="00BC14E4" w:rsidP="003223D2">
            <w:pPr>
              <w:keepNext/>
              <w:widowControl/>
              <w:jc w:val="center"/>
              <w:rPr>
                <w:rFonts w:ascii="Arial Narrow" w:hAnsi="Arial Narrow"/>
                <w:b/>
                <w:color w:val="000000"/>
                <w:sz w:val="20"/>
                <w:szCs w:val="18"/>
                <w:lang w:val="en-GB"/>
              </w:rPr>
            </w:pPr>
            <w:r w:rsidRPr="00946063">
              <w:rPr>
                <w:rFonts w:ascii="Arial Narrow" w:hAnsi="Arial Narrow"/>
                <w:b/>
                <w:color w:val="000000"/>
                <w:sz w:val="20"/>
                <w:szCs w:val="18"/>
                <w:lang w:val="en-GB"/>
              </w:rPr>
              <w:t>HR (95% CI)</w:t>
            </w:r>
          </w:p>
        </w:tc>
      </w:tr>
      <w:tr w:rsidR="00BC14E4" w:rsidRPr="00946063" w:rsidTr="00E771D1">
        <w:trPr>
          <w:trHeight w:val="20"/>
        </w:trPr>
        <w:tc>
          <w:tcPr>
            <w:tcW w:w="5000" w:type="pct"/>
            <w:gridSpan w:val="10"/>
            <w:shd w:val="clear" w:color="auto" w:fill="auto"/>
            <w:vAlign w:val="center"/>
          </w:tcPr>
          <w:p w:rsidR="00BC14E4" w:rsidRPr="00946063" w:rsidRDefault="00BC14E4" w:rsidP="003223D2">
            <w:pPr>
              <w:keepNext/>
              <w:widowControl/>
              <w:jc w:val="left"/>
              <w:rPr>
                <w:rFonts w:ascii="Arial Narrow" w:hAnsi="Arial Narrow"/>
                <w:b/>
                <w:color w:val="000000"/>
                <w:sz w:val="20"/>
                <w:szCs w:val="18"/>
                <w:lang w:val="en-GB"/>
              </w:rPr>
            </w:pPr>
            <w:r w:rsidRPr="00946063">
              <w:rPr>
                <w:rFonts w:ascii="Arial Narrow" w:hAnsi="Arial Narrow"/>
                <w:b/>
                <w:color w:val="000000"/>
                <w:sz w:val="20"/>
                <w:szCs w:val="18"/>
                <w:lang w:val="en-GB"/>
              </w:rPr>
              <w:t>OS: median follow-up 31 months</w:t>
            </w:r>
          </w:p>
        </w:tc>
      </w:tr>
      <w:tr w:rsidR="00BC14E4" w:rsidRPr="00946063" w:rsidTr="00E771D1">
        <w:trPr>
          <w:trHeight w:val="20"/>
        </w:trPr>
        <w:tc>
          <w:tcPr>
            <w:tcW w:w="760" w:type="pct"/>
            <w:gridSpan w:val="2"/>
            <w:shd w:val="clear" w:color="auto" w:fill="auto"/>
            <w:vAlign w:val="center"/>
          </w:tcPr>
          <w:p w:rsidR="00BC14E4" w:rsidRPr="00946063" w:rsidRDefault="00BC14E4" w:rsidP="0011495F">
            <w:pPr>
              <w:keepNext/>
              <w:widowControl/>
              <w:jc w:val="left"/>
              <w:rPr>
                <w:rFonts w:ascii="Arial Narrow" w:hAnsi="Arial Narrow"/>
                <w:color w:val="000000"/>
                <w:sz w:val="20"/>
                <w:szCs w:val="18"/>
                <w:lang w:val="en-GB"/>
              </w:rPr>
            </w:pPr>
            <w:r w:rsidRPr="00946063">
              <w:rPr>
                <w:rFonts w:ascii="Arial Narrow" w:hAnsi="Arial Narrow"/>
                <w:color w:val="000000"/>
                <w:sz w:val="20"/>
                <w:szCs w:val="18"/>
                <w:lang w:val="en-GB"/>
              </w:rPr>
              <w:t>Deaths, n/N</w:t>
            </w:r>
          </w:p>
        </w:tc>
        <w:tc>
          <w:tcPr>
            <w:tcW w:w="990" w:type="pct"/>
            <w:gridSpan w:val="2"/>
          </w:tcPr>
          <w:p w:rsidR="00BC14E4" w:rsidRPr="00946063" w:rsidRDefault="00BC14E4" w:rsidP="003223D2">
            <w:pPr>
              <w:keepNext/>
              <w:widowControl/>
              <w:jc w:val="center"/>
              <w:rPr>
                <w:rFonts w:ascii="Arial Narrow" w:hAnsi="Arial Narrow"/>
                <w:sz w:val="20"/>
                <w:lang w:val="en-GB"/>
              </w:rPr>
            </w:pPr>
            <w:r w:rsidRPr="00946063">
              <w:rPr>
                <w:rFonts w:ascii="Arial Narrow" w:hAnsi="Arial Narrow"/>
                <w:sz w:val="20"/>
                <w:lang w:val="en-GB"/>
              </w:rPr>
              <w:t>52/71</w:t>
            </w:r>
          </w:p>
        </w:tc>
        <w:tc>
          <w:tcPr>
            <w:tcW w:w="1043" w:type="pct"/>
            <w:gridSpan w:val="3"/>
          </w:tcPr>
          <w:p w:rsidR="00BC14E4" w:rsidRPr="00946063" w:rsidRDefault="00BC14E4" w:rsidP="003223D2">
            <w:pPr>
              <w:keepNext/>
              <w:widowControl/>
              <w:jc w:val="center"/>
              <w:rPr>
                <w:rFonts w:ascii="Arial Narrow" w:hAnsi="Arial Narrow"/>
                <w:sz w:val="20"/>
                <w:lang w:val="en-GB"/>
              </w:rPr>
            </w:pPr>
            <w:r w:rsidRPr="00946063">
              <w:rPr>
                <w:rFonts w:ascii="Arial Narrow" w:hAnsi="Arial Narrow"/>
                <w:sz w:val="20"/>
                <w:lang w:val="en-GB"/>
              </w:rPr>
              <w:t>63/72</w:t>
            </w:r>
          </w:p>
        </w:tc>
        <w:tc>
          <w:tcPr>
            <w:tcW w:w="1201" w:type="pct"/>
            <w:gridSpan w:val="2"/>
            <w:vAlign w:val="center"/>
          </w:tcPr>
          <w:p w:rsidR="00BC14E4" w:rsidRPr="00946063" w:rsidRDefault="00BC14E4" w:rsidP="003223D2">
            <w:pPr>
              <w:keepNext/>
              <w:widowControl/>
              <w:jc w:val="center"/>
              <w:rPr>
                <w:rFonts w:ascii="Arial Narrow" w:hAnsi="Arial Narrow"/>
                <w:color w:val="000000"/>
                <w:sz w:val="20"/>
                <w:szCs w:val="18"/>
                <w:lang w:val="en-GB"/>
              </w:rPr>
            </w:pPr>
            <w:r w:rsidRPr="00946063">
              <w:rPr>
                <w:rFonts w:ascii="Arial Narrow" w:hAnsi="Arial Narrow"/>
                <w:color w:val="000000"/>
                <w:sz w:val="20"/>
                <w:szCs w:val="18"/>
                <w:lang w:val="en-GB"/>
              </w:rPr>
              <w:t>-</w:t>
            </w:r>
          </w:p>
        </w:tc>
        <w:tc>
          <w:tcPr>
            <w:tcW w:w="1006" w:type="pct"/>
            <w:vAlign w:val="center"/>
          </w:tcPr>
          <w:p w:rsidR="00BC14E4" w:rsidRPr="00946063" w:rsidRDefault="00BC14E4" w:rsidP="003223D2">
            <w:pPr>
              <w:keepNext/>
              <w:widowControl/>
              <w:jc w:val="center"/>
              <w:rPr>
                <w:rFonts w:ascii="Arial Narrow" w:hAnsi="Arial Narrow"/>
                <w:color w:val="000000"/>
                <w:sz w:val="20"/>
                <w:szCs w:val="18"/>
                <w:lang w:val="en-GB"/>
              </w:rPr>
            </w:pPr>
            <w:r w:rsidRPr="00946063">
              <w:rPr>
                <w:rFonts w:ascii="Arial Narrow" w:hAnsi="Arial Narrow"/>
                <w:b/>
                <w:color w:val="000000" w:themeColor="text1"/>
                <w:sz w:val="20"/>
              </w:rPr>
              <w:t>0.51 (0.35, 0.75)</w:t>
            </w:r>
          </w:p>
        </w:tc>
      </w:tr>
      <w:tr w:rsidR="00BC14E4" w:rsidRPr="00946063" w:rsidTr="00E771D1">
        <w:trPr>
          <w:trHeight w:val="20"/>
        </w:trPr>
        <w:tc>
          <w:tcPr>
            <w:tcW w:w="760" w:type="pct"/>
            <w:gridSpan w:val="2"/>
            <w:shd w:val="clear" w:color="auto" w:fill="auto"/>
            <w:vAlign w:val="center"/>
          </w:tcPr>
          <w:p w:rsidR="00BC14E4" w:rsidRPr="00946063" w:rsidRDefault="00BC14E4" w:rsidP="0011495F">
            <w:pPr>
              <w:keepNext/>
              <w:widowControl/>
              <w:jc w:val="left"/>
              <w:rPr>
                <w:rFonts w:ascii="Arial Narrow" w:hAnsi="Arial Narrow"/>
                <w:color w:val="000000"/>
                <w:sz w:val="20"/>
                <w:szCs w:val="18"/>
                <w:lang w:val="en-GB"/>
              </w:rPr>
            </w:pPr>
            <w:r w:rsidRPr="00946063">
              <w:rPr>
                <w:rFonts w:ascii="Arial Narrow" w:hAnsi="Arial Narrow"/>
                <w:color w:val="000000"/>
                <w:sz w:val="20"/>
                <w:szCs w:val="18"/>
                <w:lang w:val="en-GB"/>
              </w:rPr>
              <w:t>Median, months (95% CI)</w:t>
            </w:r>
          </w:p>
        </w:tc>
        <w:tc>
          <w:tcPr>
            <w:tcW w:w="990" w:type="pct"/>
            <w:gridSpan w:val="2"/>
            <w:vAlign w:val="center"/>
          </w:tcPr>
          <w:p w:rsidR="00BC14E4" w:rsidRPr="00946063" w:rsidRDefault="00BC14E4" w:rsidP="003223D2">
            <w:pPr>
              <w:keepNext/>
              <w:widowControl/>
              <w:jc w:val="center"/>
              <w:rPr>
                <w:rFonts w:ascii="Arial Narrow" w:hAnsi="Arial Narrow"/>
                <w:color w:val="000000" w:themeColor="text1"/>
                <w:sz w:val="20"/>
              </w:rPr>
            </w:pPr>
            <w:r w:rsidRPr="00946063">
              <w:rPr>
                <w:rFonts w:ascii="Arial Narrow" w:hAnsi="Arial Narrow"/>
                <w:color w:val="000000" w:themeColor="text1"/>
                <w:sz w:val="20"/>
              </w:rPr>
              <w:t>15.6 (10.2, 18.6)</w:t>
            </w:r>
          </w:p>
        </w:tc>
        <w:tc>
          <w:tcPr>
            <w:tcW w:w="1043" w:type="pct"/>
            <w:gridSpan w:val="3"/>
            <w:vAlign w:val="center"/>
          </w:tcPr>
          <w:p w:rsidR="00BC14E4" w:rsidRPr="00946063" w:rsidRDefault="00BC14E4" w:rsidP="003223D2">
            <w:pPr>
              <w:keepNext/>
              <w:widowControl/>
              <w:jc w:val="center"/>
              <w:rPr>
                <w:rFonts w:ascii="Arial Narrow" w:hAnsi="Arial Narrow"/>
                <w:color w:val="000000" w:themeColor="text1"/>
                <w:sz w:val="20"/>
              </w:rPr>
            </w:pPr>
            <w:r w:rsidRPr="00946063">
              <w:rPr>
                <w:rFonts w:ascii="Arial Narrow" w:hAnsi="Arial Narrow"/>
                <w:color w:val="000000" w:themeColor="text1"/>
                <w:sz w:val="20"/>
              </w:rPr>
              <w:t>8.4  (5.2, 10.1)</w:t>
            </w:r>
          </w:p>
        </w:tc>
        <w:tc>
          <w:tcPr>
            <w:tcW w:w="1201" w:type="pct"/>
            <w:gridSpan w:val="2"/>
            <w:vAlign w:val="center"/>
          </w:tcPr>
          <w:p w:rsidR="00BC14E4" w:rsidRPr="00946063" w:rsidRDefault="00BC14E4" w:rsidP="003223D2">
            <w:pPr>
              <w:keepNext/>
              <w:widowControl/>
              <w:jc w:val="center"/>
              <w:rPr>
                <w:rFonts w:ascii="Arial Narrow" w:hAnsi="Arial Narrow"/>
                <w:color w:val="000000"/>
                <w:sz w:val="20"/>
                <w:szCs w:val="18"/>
                <w:lang w:val="en-GB"/>
              </w:rPr>
            </w:pPr>
            <w:r w:rsidRPr="00946063">
              <w:rPr>
                <w:rFonts w:ascii="Arial Narrow" w:hAnsi="Arial Narrow"/>
                <w:color w:val="000000"/>
                <w:sz w:val="20"/>
                <w:szCs w:val="18"/>
                <w:lang w:val="en-GB"/>
              </w:rPr>
              <w:t>7.2</w:t>
            </w:r>
          </w:p>
        </w:tc>
        <w:tc>
          <w:tcPr>
            <w:tcW w:w="1006" w:type="pct"/>
            <w:vAlign w:val="center"/>
          </w:tcPr>
          <w:p w:rsidR="00BC14E4" w:rsidRPr="00946063" w:rsidRDefault="00BC14E4" w:rsidP="003223D2">
            <w:pPr>
              <w:keepNext/>
              <w:widowControl/>
              <w:jc w:val="center"/>
              <w:rPr>
                <w:rFonts w:ascii="Arial Narrow" w:hAnsi="Arial Narrow"/>
                <w:color w:val="000000"/>
                <w:sz w:val="20"/>
                <w:szCs w:val="18"/>
                <w:lang w:val="en-GB"/>
              </w:rPr>
            </w:pPr>
            <w:r w:rsidRPr="00946063">
              <w:rPr>
                <w:rFonts w:ascii="Arial Narrow" w:hAnsi="Arial Narrow"/>
                <w:color w:val="000000"/>
                <w:sz w:val="20"/>
                <w:szCs w:val="18"/>
                <w:lang w:val="en-GB"/>
              </w:rPr>
              <w:t>-</w:t>
            </w:r>
          </w:p>
        </w:tc>
      </w:tr>
      <w:tr w:rsidR="00BC14E4" w:rsidRPr="00946063" w:rsidTr="00E771D1">
        <w:trPr>
          <w:trHeight w:val="20"/>
        </w:trPr>
        <w:tc>
          <w:tcPr>
            <w:tcW w:w="5000" w:type="pct"/>
            <w:gridSpan w:val="10"/>
            <w:shd w:val="clear" w:color="auto" w:fill="auto"/>
            <w:vAlign w:val="center"/>
          </w:tcPr>
          <w:p w:rsidR="00BC14E4" w:rsidRPr="00946063" w:rsidRDefault="00BC14E4" w:rsidP="003223D2">
            <w:pPr>
              <w:keepNext/>
              <w:widowControl/>
              <w:jc w:val="left"/>
              <w:rPr>
                <w:rFonts w:ascii="Arial Narrow" w:hAnsi="Arial Narrow"/>
                <w:b/>
                <w:color w:val="000000"/>
                <w:sz w:val="20"/>
                <w:szCs w:val="18"/>
                <w:lang w:val="en-GB"/>
              </w:rPr>
            </w:pPr>
            <w:r w:rsidRPr="00946063">
              <w:rPr>
                <w:rFonts w:ascii="Arial Narrow" w:hAnsi="Arial Narrow"/>
                <w:b/>
                <w:color w:val="000000"/>
                <w:sz w:val="20"/>
                <w:szCs w:val="18"/>
                <w:lang w:val="en-GB"/>
              </w:rPr>
              <w:t>PFS: median follow-up 31 months</w:t>
            </w:r>
          </w:p>
        </w:tc>
      </w:tr>
      <w:tr w:rsidR="00BC14E4" w:rsidRPr="00946063" w:rsidTr="00E771D1">
        <w:trPr>
          <w:trHeight w:val="20"/>
        </w:trPr>
        <w:tc>
          <w:tcPr>
            <w:tcW w:w="760" w:type="pct"/>
            <w:gridSpan w:val="2"/>
            <w:shd w:val="clear" w:color="auto" w:fill="auto"/>
            <w:vAlign w:val="center"/>
          </w:tcPr>
          <w:p w:rsidR="00BC14E4" w:rsidRPr="00946063" w:rsidRDefault="00BC14E4" w:rsidP="0011495F">
            <w:pPr>
              <w:keepNext/>
              <w:widowControl/>
              <w:jc w:val="left"/>
              <w:rPr>
                <w:rFonts w:ascii="Arial Narrow" w:hAnsi="Arial Narrow"/>
                <w:color w:val="000000"/>
                <w:sz w:val="20"/>
                <w:szCs w:val="18"/>
                <w:lang w:val="en-GB"/>
              </w:rPr>
            </w:pPr>
            <w:r w:rsidRPr="00946063">
              <w:rPr>
                <w:rFonts w:ascii="Arial Narrow" w:hAnsi="Arial Narrow"/>
                <w:color w:val="000000"/>
                <w:sz w:val="20"/>
                <w:szCs w:val="18"/>
                <w:lang w:val="en-GB"/>
              </w:rPr>
              <w:t>Progressed, n/N</w:t>
            </w:r>
          </w:p>
        </w:tc>
        <w:tc>
          <w:tcPr>
            <w:tcW w:w="990" w:type="pct"/>
            <w:gridSpan w:val="2"/>
            <w:vAlign w:val="center"/>
          </w:tcPr>
          <w:p w:rsidR="00BC14E4" w:rsidRPr="00946063" w:rsidRDefault="00BC14E4" w:rsidP="003223D2">
            <w:pPr>
              <w:keepNext/>
              <w:widowControl/>
              <w:jc w:val="center"/>
              <w:rPr>
                <w:rFonts w:ascii="Arial Narrow" w:hAnsi="Arial Narrow"/>
                <w:color w:val="000000" w:themeColor="text1"/>
                <w:sz w:val="20"/>
              </w:rPr>
            </w:pPr>
            <w:r w:rsidRPr="00946063">
              <w:rPr>
                <w:rFonts w:ascii="Arial Narrow" w:hAnsi="Arial Narrow"/>
                <w:color w:val="000000" w:themeColor="text1"/>
                <w:sz w:val="20"/>
              </w:rPr>
              <w:t>57/71</w:t>
            </w:r>
          </w:p>
        </w:tc>
        <w:tc>
          <w:tcPr>
            <w:tcW w:w="1043" w:type="pct"/>
            <w:gridSpan w:val="3"/>
            <w:vAlign w:val="center"/>
          </w:tcPr>
          <w:p w:rsidR="00BC14E4" w:rsidRPr="00946063" w:rsidRDefault="00BC14E4" w:rsidP="003223D2">
            <w:pPr>
              <w:keepNext/>
              <w:widowControl/>
              <w:jc w:val="center"/>
              <w:rPr>
                <w:rFonts w:ascii="Arial Narrow" w:hAnsi="Arial Narrow"/>
                <w:color w:val="000000" w:themeColor="text1"/>
                <w:sz w:val="20"/>
              </w:rPr>
            </w:pPr>
            <w:r w:rsidRPr="00946063">
              <w:rPr>
                <w:rFonts w:ascii="Arial Narrow" w:hAnsi="Arial Narrow"/>
                <w:color w:val="000000" w:themeColor="text1"/>
                <w:sz w:val="20"/>
              </w:rPr>
              <w:t>59/72</w:t>
            </w:r>
          </w:p>
        </w:tc>
        <w:tc>
          <w:tcPr>
            <w:tcW w:w="1201" w:type="pct"/>
            <w:gridSpan w:val="2"/>
            <w:vAlign w:val="center"/>
          </w:tcPr>
          <w:p w:rsidR="00BC14E4" w:rsidRPr="00946063" w:rsidRDefault="00BC14E4" w:rsidP="003223D2">
            <w:pPr>
              <w:keepNext/>
              <w:widowControl/>
              <w:jc w:val="center"/>
              <w:rPr>
                <w:rFonts w:ascii="Arial Narrow" w:hAnsi="Arial Narrow"/>
                <w:color w:val="000000"/>
                <w:sz w:val="20"/>
                <w:szCs w:val="18"/>
                <w:lang w:val="en-GB"/>
              </w:rPr>
            </w:pPr>
            <w:r w:rsidRPr="00946063">
              <w:rPr>
                <w:rFonts w:ascii="Arial Narrow" w:hAnsi="Arial Narrow"/>
                <w:color w:val="000000"/>
                <w:sz w:val="20"/>
                <w:szCs w:val="18"/>
                <w:lang w:val="en-GB"/>
              </w:rPr>
              <w:t>-</w:t>
            </w:r>
          </w:p>
        </w:tc>
        <w:tc>
          <w:tcPr>
            <w:tcW w:w="1006" w:type="pct"/>
            <w:vAlign w:val="center"/>
          </w:tcPr>
          <w:p w:rsidR="00BC14E4" w:rsidRPr="00946063" w:rsidRDefault="00BC14E4" w:rsidP="003223D2">
            <w:pPr>
              <w:keepNext/>
              <w:widowControl/>
              <w:jc w:val="center"/>
              <w:rPr>
                <w:rFonts w:ascii="Arial Narrow" w:hAnsi="Arial Narrow"/>
                <w:color w:val="000000"/>
                <w:sz w:val="20"/>
                <w:szCs w:val="18"/>
                <w:lang w:val="en-GB"/>
              </w:rPr>
            </w:pPr>
            <w:r w:rsidRPr="00946063">
              <w:rPr>
                <w:rFonts w:ascii="Arial Narrow" w:hAnsi="Arial Narrow"/>
                <w:b/>
                <w:color w:val="000000" w:themeColor="text1"/>
                <w:sz w:val="20"/>
              </w:rPr>
              <w:t>0.52 (0.35, 0.78)</w:t>
            </w:r>
          </w:p>
        </w:tc>
      </w:tr>
      <w:tr w:rsidR="00BC14E4" w:rsidRPr="00946063" w:rsidTr="00E771D1">
        <w:trPr>
          <w:trHeight w:val="20"/>
        </w:trPr>
        <w:tc>
          <w:tcPr>
            <w:tcW w:w="760" w:type="pct"/>
            <w:gridSpan w:val="2"/>
            <w:shd w:val="clear" w:color="auto" w:fill="auto"/>
            <w:vAlign w:val="center"/>
          </w:tcPr>
          <w:p w:rsidR="00BC14E4" w:rsidRPr="00946063" w:rsidRDefault="00BC14E4" w:rsidP="0011495F">
            <w:pPr>
              <w:keepNext/>
              <w:widowControl/>
              <w:jc w:val="left"/>
              <w:rPr>
                <w:rFonts w:ascii="Arial Narrow" w:hAnsi="Arial Narrow"/>
                <w:color w:val="000000"/>
                <w:sz w:val="20"/>
                <w:szCs w:val="18"/>
                <w:lang w:val="en-GB"/>
              </w:rPr>
            </w:pPr>
            <w:r w:rsidRPr="00946063">
              <w:rPr>
                <w:rFonts w:ascii="Arial Narrow" w:hAnsi="Arial Narrow"/>
                <w:color w:val="000000"/>
                <w:sz w:val="20"/>
                <w:szCs w:val="18"/>
                <w:lang w:val="en-GB"/>
              </w:rPr>
              <w:t>Median, months (95% CI)</w:t>
            </w:r>
          </w:p>
        </w:tc>
        <w:tc>
          <w:tcPr>
            <w:tcW w:w="990" w:type="pct"/>
            <w:gridSpan w:val="2"/>
            <w:vAlign w:val="center"/>
          </w:tcPr>
          <w:p w:rsidR="00BC14E4" w:rsidRPr="00946063" w:rsidRDefault="00BC14E4" w:rsidP="003223D2">
            <w:pPr>
              <w:keepNext/>
              <w:widowControl/>
              <w:jc w:val="center"/>
              <w:rPr>
                <w:rFonts w:ascii="Arial Narrow" w:hAnsi="Arial Narrow"/>
                <w:color w:val="000000" w:themeColor="text1"/>
                <w:sz w:val="20"/>
              </w:rPr>
            </w:pPr>
            <w:r w:rsidRPr="00946063">
              <w:rPr>
                <w:rFonts w:ascii="Arial Narrow" w:hAnsi="Arial Narrow"/>
                <w:color w:val="000000" w:themeColor="text1"/>
                <w:sz w:val="20"/>
              </w:rPr>
              <w:t>2.9 (2.6, 4.8)</w:t>
            </w:r>
          </w:p>
        </w:tc>
        <w:tc>
          <w:tcPr>
            <w:tcW w:w="1043" w:type="pct"/>
            <w:gridSpan w:val="3"/>
            <w:vAlign w:val="center"/>
          </w:tcPr>
          <w:p w:rsidR="00BC14E4" w:rsidRPr="00946063" w:rsidRDefault="00BC14E4" w:rsidP="003223D2">
            <w:pPr>
              <w:keepNext/>
              <w:widowControl/>
              <w:jc w:val="center"/>
              <w:rPr>
                <w:rFonts w:ascii="Arial Narrow" w:hAnsi="Arial Narrow"/>
                <w:color w:val="000000" w:themeColor="text1"/>
                <w:sz w:val="20"/>
              </w:rPr>
            </w:pPr>
            <w:r w:rsidRPr="00946063">
              <w:rPr>
                <w:rFonts w:ascii="Arial Narrow" w:hAnsi="Arial Narrow"/>
                <w:color w:val="000000" w:themeColor="text1"/>
                <w:sz w:val="20"/>
              </w:rPr>
              <w:t>1.7 (1.4, 2.6)</w:t>
            </w:r>
          </w:p>
        </w:tc>
        <w:tc>
          <w:tcPr>
            <w:tcW w:w="1201" w:type="pct"/>
            <w:gridSpan w:val="2"/>
            <w:vAlign w:val="center"/>
          </w:tcPr>
          <w:p w:rsidR="00BC14E4" w:rsidRPr="00946063" w:rsidRDefault="00BC14E4" w:rsidP="003223D2">
            <w:pPr>
              <w:keepNext/>
              <w:widowControl/>
              <w:jc w:val="center"/>
              <w:rPr>
                <w:rFonts w:ascii="Arial Narrow" w:hAnsi="Arial Narrow"/>
                <w:color w:val="000000"/>
                <w:sz w:val="20"/>
                <w:szCs w:val="18"/>
                <w:lang w:val="en-GB"/>
              </w:rPr>
            </w:pPr>
            <w:r w:rsidRPr="00946063">
              <w:rPr>
                <w:rFonts w:ascii="Arial Narrow" w:hAnsi="Arial Narrow"/>
                <w:color w:val="000000"/>
                <w:sz w:val="20"/>
                <w:szCs w:val="18"/>
                <w:lang w:val="en-GB"/>
              </w:rPr>
              <w:t>1.2</w:t>
            </w:r>
          </w:p>
        </w:tc>
        <w:tc>
          <w:tcPr>
            <w:tcW w:w="1006" w:type="pct"/>
            <w:vAlign w:val="center"/>
          </w:tcPr>
          <w:p w:rsidR="00BC14E4" w:rsidRPr="00946063" w:rsidRDefault="00BC14E4" w:rsidP="003223D2">
            <w:pPr>
              <w:keepNext/>
              <w:widowControl/>
              <w:jc w:val="center"/>
              <w:rPr>
                <w:rFonts w:ascii="Arial Narrow" w:hAnsi="Arial Narrow"/>
                <w:color w:val="000000"/>
                <w:sz w:val="20"/>
                <w:szCs w:val="18"/>
                <w:lang w:val="en-GB"/>
              </w:rPr>
            </w:pPr>
            <w:r w:rsidRPr="00946063">
              <w:rPr>
                <w:rFonts w:ascii="Arial Narrow" w:hAnsi="Arial Narrow"/>
                <w:color w:val="000000"/>
                <w:sz w:val="20"/>
                <w:szCs w:val="18"/>
                <w:lang w:val="en-GB"/>
              </w:rPr>
              <w:t>-</w:t>
            </w:r>
          </w:p>
        </w:tc>
      </w:tr>
      <w:tr w:rsidR="00BC14E4" w:rsidRPr="00946063" w:rsidTr="00E771D1">
        <w:trPr>
          <w:trHeight w:val="20"/>
        </w:trPr>
        <w:tc>
          <w:tcPr>
            <w:tcW w:w="5000" w:type="pct"/>
            <w:gridSpan w:val="10"/>
            <w:tcBorders>
              <w:top w:val="double" w:sz="4" w:space="0" w:color="auto"/>
            </w:tcBorders>
            <w:shd w:val="clear" w:color="auto" w:fill="auto"/>
            <w:vAlign w:val="center"/>
          </w:tcPr>
          <w:p w:rsidR="00BC14E4" w:rsidRPr="00946063" w:rsidRDefault="00BC14E4" w:rsidP="003223D2">
            <w:pPr>
              <w:keepNext/>
              <w:widowControl/>
              <w:jc w:val="left"/>
              <w:rPr>
                <w:rFonts w:ascii="Arial Narrow" w:hAnsi="Arial Narrow"/>
                <w:b/>
                <w:color w:val="000000"/>
                <w:sz w:val="20"/>
                <w:szCs w:val="18"/>
                <w:lang w:val="en-GB"/>
              </w:rPr>
            </w:pPr>
            <w:r w:rsidRPr="00946063">
              <w:rPr>
                <w:rFonts w:ascii="Arial Narrow" w:hAnsi="Arial Narrow"/>
                <w:b/>
                <w:color w:val="000000"/>
                <w:sz w:val="20"/>
                <w:szCs w:val="18"/>
                <w:lang w:val="en-GB"/>
              </w:rPr>
              <w:t>Harms – safety population (</w:t>
            </w:r>
            <w:proofErr w:type="spellStart"/>
            <w:r w:rsidRPr="00946063">
              <w:rPr>
                <w:rFonts w:ascii="Arial Narrow" w:hAnsi="Arial Narrow"/>
                <w:b/>
                <w:color w:val="000000"/>
                <w:sz w:val="20"/>
                <w:szCs w:val="18"/>
                <w:lang w:val="en-GB"/>
              </w:rPr>
              <w:t>liposarcoma</w:t>
            </w:r>
            <w:proofErr w:type="spellEnd"/>
            <w:r w:rsidRPr="00946063">
              <w:rPr>
                <w:rFonts w:ascii="Arial Narrow" w:hAnsi="Arial Narrow"/>
                <w:b/>
                <w:color w:val="000000"/>
                <w:sz w:val="20"/>
                <w:szCs w:val="18"/>
                <w:lang w:val="en-GB"/>
              </w:rPr>
              <w:t xml:space="preserve"> and </w:t>
            </w:r>
            <w:proofErr w:type="spellStart"/>
            <w:r w:rsidRPr="00946063">
              <w:rPr>
                <w:rFonts w:ascii="Arial Narrow" w:hAnsi="Arial Narrow"/>
                <w:b/>
                <w:color w:val="000000"/>
                <w:sz w:val="20"/>
                <w:szCs w:val="18"/>
                <w:lang w:val="en-GB"/>
              </w:rPr>
              <w:t>leiomyosarcoma</w:t>
            </w:r>
            <w:proofErr w:type="spellEnd"/>
            <w:r w:rsidRPr="00946063">
              <w:rPr>
                <w:rFonts w:ascii="Arial Narrow" w:hAnsi="Arial Narrow"/>
                <w:b/>
                <w:color w:val="000000"/>
                <w:sz w:val="20"/>
                <w:szCs w:val="18"/>
                <w:lang w:val="en-GB"/>
              </w:rPr>
              <w:t xml:space="preserve">) </w:t>
            </w:r>
            <w:r w:rsidRPr="00946063">
              <w:rPr>
                <w:rFonts w:ascii="Arial Narrow" w:hAnsi="Arial Narrow"/>
                <w:b/>
                <w:color w:val="000000"/>
                <w:sz w:val="20"/>
                <w:szCs w:val="18"/>
                <w:vertAlign w:val="superscript"/>
                <w:lang w:val="en-GB"/>
              </w:rPr>
              <w:t>a</w:t>
            </w:r>
          </w:p>
        </w:tc>
      </w:tr>
      <w:tr w:rsidR="00BC14E4" w:rsidRPr="00946063" w:rsidTr="00E771D1">
        <w:trPr>
          <w:trHeight w:val="20"/>
        </w:trPr>
        <w:tc>
          <w:tcPr>
            <w:tcW w:w="594" w:type="pct"/>
            <w:vMerge w:val="restart"/>
            <w:shd w:val="clear" w:color="auto" w:fill="auto"/>
            <w:vAlign w:val="center"/>
          </w:tcPr>
          <w:p w:rsidR="00BC14E4" w:rsidRPr="00946063" w:rsidRDefault="00BC14E4" w:rsidP="003223D2">
            <w:pPr>
              <w:keepNext/>
              <w:widowControl/>
              <w:jc w:val="left"/>
              <w:rPr>
                <w:rFonts w:ascii="Arial Narrow" w:hAnsi="Arial Narrow"/>
                <w:b/>
                <w:color w:val="000000"/>
                <w:sz w:val="20"/>
                <w:szCs w:val="18"/>
                <w:lang w:val="en-GB"/>
              </w:rPr>
            </w:pPr>
          </w:p>
        </w:tc>
        <w:tc>
          <w:tcPr>
            <w:tcW w:w="441" w:type="pct"/>
            <w:gridSpan w:val="2"/>
            <w:vMerge w:val="restart"/>
            <w:vAlign w:val="center"/>
          </w:tcPr>
          <w:p w:rsidR="00BC14E4" w:rsidRPr="00946063" w:rsidRDefault="00BC14E4" w:rsidP="003223D2">
            <w:pPr>
              <w:keepNext/>
              <w:widowControl/>
              <w:jc w:val="center"/>
              <w:rPr>
                <w:rFonts w:ascii="Arial Narrow" w:hAnsi="Arial Narrow"/>
                <w:b/>
                <w:color w:val="000000"/>
                <w:sz w:val="20"/>
                <w:szCs w:val="18"/>
                <w:lang w:val="en-GB"/>
              </w:rPr>
            </w:pPr>
            <w:proofErr w:type="spellStart"/>
            <w:r w:rsidRPr="00946063">
              <w:rPr>
                <w:rFonts w:ascii="Arial Narrow" w:hAnsi="Arial Narrow"/>
                <w:b/>
                <w:color w:val="000000"/>
                <w:sz w:val="20"/>
                <w:szCs w:val="18"/>
                <w:lang w:val="en-GB"/>
              </w:rPr>
              <w:t>Eribulin</w:t>
            </w:r>
            <w:proofErr w:type="spellEnd"/>
            <w:r w:rsidRPr="00946063">
              <w:rPr>
                <w:rFonts w:ascii="Arial Narrow" w:hAnsi="Arial Narrow"/>
                <w:b/>
                <w:color w:val="000000"/>
                <w:sz w:val="20"/>
                <w:szCs w:val="18"/>
                <w:lang w:val="en-GB"/>
              </w:rPr>
              <w:t xml:space="preserve"> </w:t>
            </w:r>
          </w:p>
        </w:tc>
        <w:tc>
          <w:tcPr>
            <w:tcW w:w="739" w:type="pct"/>
            <w:gridSpan w:val="2"/>
            <w:vMerge w:val="restart"/>
            <w:vAlign w:val="center"/>
          </w:tcPr>
          <w:p w:rsidR="00BC14E4" w:rsidRPr="00946063" w:rsidRDefault="00BC14E4" w:rsidP="003223D2">
            <w:pPr>
              <w:keepNext/>
              <w:widowControl/>
              <w:jc w:val="center"/>
              <w:rPr>
                <w:rFonts w:ascii="Arial Narrow" w:hAnsi="Arial Narrow"/>
                <w:b/>
                <w:color w:val="000000"/>
                <w:sz w:val="20"/>
                <w:szCs w:val="18"/>
                <w:lang w:val="en-GB"/>
              </w:rPr>
            </w:pPr>
            <w:proofErr w:type="spellStart"/>
            <w:r w:rsidRPr="00946063">
              <w:rPr>
                <w:rFonts w:ascii="Arial Narrow" w:hAnsi="Arial Narrow"/>
                <w:b/>
                <w:color w:val="000000"/>
                <w:sz w:val="20"/>
                <w:szCs w:val="18"/>
                <w:lang w:val="en-GB"/>
              </w:rPr>
              <w:t>Dacarbazine</w:t>
            </w:r>
            <w:proofErr w:type="spellEnd"/>
          </w:p>
        </w:tc>
        <w:tc>
          <w:tcPr>
            <w:tcW w:w="831" w:type="pct"/>
            <w:vMerge w:val="restart"/>
            <w:vAlign w:val="center"/>
          </w:tcPr>
          <w:p w:rsidR="00BC14E4" w:rsidRPr="00946063" w:rsidRDefault="00BC14E4" w:rsidP="003223D2">
            <w:pPr>
              <w:keepNext/>
              <w:widowControl/>
              <w:jc w:val="center"/>
              <w:rPr>
                <w:rFonts w:ascii="Arial Narrow" w:hAnsi="Arial Narrow"/>
                <w:b/>
                <w:color w:val="000000"/>
                <w:sz w:val="20"/>
                <w:szCs w:val="18"/>
                <w:lang w:val="en-GB"/>
              </w:rPr>
            </w:pPr>
            <w:r w:rsidRPr="00946063">
              <w:rPr>
                <w:rFonts w:ascii="Arial Narrow" w:hAnsi="Arial Narrow"/>
                <w:b/>
                <w:color w:val="000000"/>
                <w:sz w:val="20"/>
                <w:szCs w:val="18"/>
                <w:lang w:val="en-GB"/>
              </w:rPr>
              <w:t>RR (95% CI)</w:t>
            </w:r>
          </w:p>
        </w:tc>
        <w:tc>
          <w:tcPr>
            <w:tcW w:w="1389" w:type="pct"/>
            <w:gridSpan w:val="3"/>
            <w:vAlign w:val="center"/>
          </w:tcPr>
          <w:p w:rsidR="00BC14E4" w:rsidRPr="00946063" w:rsidRDefault="00BC14E4" w:rsidP="003223D2">
            <w:pPr>
              <w:keepNext/>
              <w:widowControl/>
              <w:jc w:val="center"/>
              <w:rPr>
                <w:rFonts w:ascii="Arial Narrow" w:hAnsi="Arial Narrow"/>
                <w:b/>
                <w:color w:val="000000"/>
                <w:sz w:val="20"/>
                <w:szCs w:val="18"/>
                <w:lang w:val="en-GB"/>
              </w:rPr>
            </w:pPr>
            <w:r w:rsidRPr="00946063">
              <w:rPr>
                <w:rFonts w:ascii="Arial Narrow" w:hAnsi="Arial Narrow"/>
                <w:b/>
                <w:color w:val="000000"/>
                <w:sz w:val="20"/>
                <w:szCs w:val="18"/>
                <w:lang w:val="en-GB"/>
              </w:rPr>
              <w:t xml:space="preserve">Event rate/100 patients </w:t>
            </w:r>
            <w:r w:rsidRPr="00946063">
              <w:rPr>
                <w:rFonts w:ascii="Arial Narrow" w:hAnsi="Arial Narrow"/>
                <w:b/>
                <w:color w:val="000000"/>
                <w:sz w:val="20"/>
                <w:szCs w:val="18"/>
                <w:vertAlign w:val="superscript"/>
                <w:lang w:val="en-GB"/>
              </w:rPr>
              <w:t xml:space="preserve">b </w:t>
            </w:r>
          </w:p>
        </w:tc>
        <w:tc>
          <w:tcPr>
            <w:tcW w:w="1006" w:type="pct"/>
            <w:vMerge w:val="restart"/>
            <w:vAlign w:val="center"/>
          </w:tcPr>
          <w:p w:rsidR="00BC14E4" w:rsidRPr="00946063" w:rsidRDefault="00BC14E4" w:rsidP="003223D2">
            <w:pPr>
              <w:keepNext/>
              <w:widowControl/>
              <w:jc w:val="center"/>
              <w:rPr>
                <w:rFonts w:ascii="Arial Narrow" w:hAnsi="Arial Narrow"/>
                <w:b/>
                <w:color w:val="000000"/>
                <w:sz w:val="20"/>
                <w:szCs w:val="18"/>
                <w:lang w:val="en-GB"/>
              </w:rPr>
            </w:pPr>
            <w:r w:rsidRPr="00946063">
              <w:rPr>
                <w:rFonts w:ascii="Arial Narrow" w:hAnsi="Arial Narrow"/>
                <w:b/>
                <w:color w:val="000000"/>
                <w:sz w:val="20"/>
                <w:szCs w:val="18"/>
                <w:lang w:val="en-GB"/>
              </w:rPr>
              <w:t>RD (95% CI)</w:t>
            </w:r>
          </w:p>
        </w:tc>
      </w:tr>
      <w:tr w:rsidR="00BC14E4" w:rsidRPr="00946063" w:rsidTr="00E771D1">
        <w:trPr>
          <w:trHeight w:val="20"/>
        </w:trPr>
        <w:tc>
          <w:tcPr>
            <w:tcW w:w="594" w:type="pct"/>
            <w:vMerge/>
            <w:shd w:val="clear" w:color="auto" w:fill="auto"/>
            <w:vAlign w:val="center"/>
          </w:tcPr>
          <w:p w:rsidR="00BC14E4" w:rsidRPr="00946063" w:rsidRDefault="00BC14E4" w:rsidP="003223D2">
            <w:pPr>
              <w:keepNext/>
              <w:widowControl/>
              <w:jc w:val="left"/>
              <w:rPr>
                <w:rFonts w:ascii="Arial Narrow" w:hAnsi="Arial Narrow"/>
                <w:b/>
                <w:color w:val="000000"/>
                <w:sz w:val="20"/>
                <w:szCs w:val="18"/>
                <w:lang w:val="en-GB"/>
              </w:rPr>
            </w:pPr>
          </w:p>
        </w:tc>
        <w:tc>
          <w:tcPr>
            <w:tcW w:w="441" w:type="pct"/>
            <w:gridSpan w:val="2"/>
            <w:vMerge/>
            <w:vAlign w:val="center"/>
          </w:tcPr>
          <w:p w:rsidR="00BC14E4" w:rsidRPr="00946063" w:rsidRDefault="00BC14E4" w:rsidP="003223D2">
            <w:pPr>
              <w:keepNext/>
              <w:widowControl/>
              <w:jc w:val="center"/>
              <w:rPr>
                <w:rFonts w:ascii="Arial Narrow" w:hAnsi="Arial Narrow"/>
                <w:b/>
                <w:color w:val="000000"/>
                <w:sz w:val="20"/>
                <w:szCs w:val="18"/>
                <w:lang w:val="en-GB"/>
              </w:rPr>
            </w:pPr>
          </w:p>
        </w:tc>
        <w:tc>
          <w:tcPr>
            <w:tcW w:w="739" w:type="pct"/>
            <w:gridSpan w:val="2"/>
            <w:vMerge/>
            <w:vAlign w:val="center"/>
          </w:tcPr>
          <w:p w:rsidR="00BC14E4" w:rsidRPr="00946063" w:rsidRDefault="00BC14E4" w:rsidP="003223D2">
            <w:pPr>
              <w:keepNext/>
              <w:widowControl/>
              <w:jc w:val="center"/>
              <w:rPr>
                <w:rFonts w:ascii="Arial Narrow" w:hAnsi="Arial Narrow"/>
                <w:b/>
                <w:color w:val="000000"/>
                <w:sz w:val="20"/>
                <w:szCs w:val="18"/>
                <w:lang w:val="en-GB"/>
              </w:rPr>
            </w:pPr>
          </w:p>
        </w:tc>
        <w:tc>
          <w:tcPr>
            <w:tcW w:w="831" w:type="pct"/>
            <w:vMerge/>
            <w:vAlign w:val="center"/>
          </w:tcPr>
          <w:p w:rsidR="00BC14E4" w:rsidRPr="00946063" w:rsidRDefault="00BC14E4" w:rsidP="003223D2">
            <w:pPr>
              <w:keepNext/>
              <w:widowControl/>
              <w:jc w:val="center"/>
              <w:rPr>
                <w:rFonts w:ascii="Arial Narrow" w:hAnsi="Arial Narrow"/>
                <w:b/>
                <w:color w:val="000000"/>
                <w:sz w:val="20"/>
                <w:szCs w:val="18"/>
                <w:lang w:val="en-GB"/>
              </w:rPr>
            </w:pPr>
          </w:p>
        </w:tc>
        <w:tc>
          <w:tcPr>
            <w:tcW w:w="646" w:type="pct"/>
            <w:gridSpan w:val="2"/>
            <w:vAlign w:val="center"/>
          </w:tcPr>
          <w:p w:rsidR="00BC14E4" w:rsidRPr="00946063" w:rsidRDefault="00BC14E4" w:rsidP="003223D2">
            <w:pPr>
              <w:keepNext/>
              <w:widowControl/>
              <w:jc w:val="center"/>
              <w:rPr>
                <w:rFonts w:ascii="Arial Narrow" w:hAnsi="Arial Narrow"/>
                <w:b/>
                <w:color w:val="000000"/>
                <w:sz w:val="20"/>
                <w:szCs w:val="18"/>
                <w:lang w:val="en-GB"/>
              </w:rPr>
            </w:pPr>
            <w:proofErr w:type="spellStart"/>
            <w:r w:rsidRPr="00946063">
              <w:rPr>
                <w:rFonts w:ascii="Arial Narrow" w:hAnsi="Arial Narrow"/>
                <w:b/>
                <w:color w:val="000000"/>
                <w:sz w:val="20"/>
                <w:szCs w:val="18"/>
                <w:lang w:val="en-GB"/>
              </w:rPr>
              <w:t>Eribulin</w:t>
            </w:r>
            <w:proofErr w:type="spellEnd"/>
          </w:p>
        </w:tc>
        <w:tc>
          <w:tcPr>
            <w:tcW w:w="742" w:type="pct"/>
            <w:vAlign w:val="center"/>
          </w:tcPr>
          <w:p w:rsidR="00BC14E4" w:rsidRPr="00946063" w:rsidRDefault="00BC14E4" w:rsidP="003223D2">
            <w:pPr>
              <w:keepNext/>
              <w:widowControl/>
              <w:jc w:val="center"/>
              <w:rPr>
                <w:rFonts w:ascii="Arial Narrow" w:hAnsi="Arial Narrow"/>
                <w:b/>
                <w:color w:val="000000"/>
                <w:sz w:val="20"/>
                <w:szCs w:val="18"/>
                <w:lang w:val="en-GB"/>
              </w:rPr>
            </w:pPr>
            <w:proofErr w:type="spellStart"/>
            <w:r w:rsidRPr="00946063">
              <w:rPr>
                <w:rFonts w:ascii="Arial Narrow" w:hAnsi="Arial Narrow"/>
                <w:b/>
                <w:color w:val="000000"/>
                <w:sz w:val="20"/>
                <w:szCs w:val="18"/>
                <w:lang w:val="en-GB"/>
              </w:rPr>
              <w:t>Dacarbazine</w:t>
            </w:r>
            <w:proofErr w:type="spellEnd"/>
          </w:p>
        </w:tc>
        <w:tc>
          <w:tcPr>
            <w:tcW w:w="1006" w:type="pct"/>
            <w:vMerge/>
            <w:vAlign w:val="center"/>
          </w:tcPr>
          <w:p w:rsidR="00BC14E4" w:rsidRPr="00946063" w:rsidRDefault="00BC14E4" w:rsidP="003223D2">
            <w:pPr>
              <w:keepNext/>
              <w:widowControl/>
              <w:jc w:val="center"/>
              <w:rPr>
                <w:rFonts w:ascii="Arial Narrow" w:hAnsi="Arial Narrow"/>
                <w:b/>
                <w:color w:val="000000"/>
                <w:sz w:val="20"/>
                <w:szCs w:val="18"/>
                <w:lang w:val="en-GB"/>
              </w:rPr>
            </w:pPr>
          </w:p>
        </w:tc>
      </w:tr>
      <w:tr w:rsidR="00BC14E4" w:rsidRPr="00946063" w:rsidTr="00E771D1">
        <w:trPr>
          <w:trHeight w:val="20"/>
        </w:trPr>
        <w:tc>
          <w:tcPr>
            <w:tcW w:w="5000" w:type="pct"/>
            <w:gridSpan w:val="10"/>
            <w:shd w:val="clear" w:color="auto" w:fill="auto"/>
            <w:vAlign w:val="center"/>
          </w:tcPr>
          <w:p w:rsidR="00BC14E4" w:rsidRPr="00946063" w:rsidRDefault="00BC14E4" w:rsidP="003223D2">
            <w:pPr>
              <w:keepNext/>
              <w:widowControl/>
              <w:jc w:val="left"/>
              <w:rPr>
                <w:rFonts w:ascii="Arial Narrow" w:hAnsi="Arial Narrow"/>
                <w:color w:val="000000"/>
                <w:sz w:val="20"/>
                <w:szCs w:val="18"/>
                <w:lang w:val="en-GB"/>
              </w:rPr>
            </w:pPr>
            <w:r w:rsidRPr="00946063">
              <w:rPr>
                <w:rFonts w:ascii="Arial Narrow" w:hAnsi="Arial Narrow"/>
                <w:b/>
                <w:color w:val="000000"/>
                <w:sz w:val="20"/>
                <w:szCs w:val="18"/>
                <w:lang w:val="en-GB"/>
              </w:rPr>
              <w:t>All Grade TEAE (non-haematological), n/N</w:t>
            </w:r>
          </w:p>
        </w:tc>
      </w:tr>
      <w:tr w:rsidR="00BC14E4" w:rsidRPr="00946063" w:rsidTr="00E771D1">
        <w:trPr>
          <w:trHeight w:val="20"/>
        </w:trPr>
        <w:tc>
          <w:tcPr>
            <w:tcW w:w="594" w:type="pct"/>
            <w:shd w:val="clear" w:color="auto" w:fill="auto"/>
            <w:vAlign w:val="center"/>
          </w:tcPr>
          <w:p w:rsidR="00BC14E4" w:rsidRPr="00946063" w:rsidRDefault="00BC14E4" w:rsidP="0011495F">
            <w:pPr>
              <w:keepNext/>
              <w:widowControl/>
              <w:jc w:val="left"/>
              <w:rPr>
                <w:rFonts w:ascii="Arial Narrow" w:hAnsi="Arial Narrow"/>
                <w:color w:val="000000"/>
                <w:sz w:val="20"/>
                <w:szCs w:val="18"/>
                <w:lang w:val="en-GB"/>
              </w:rPr>
            </w:pPr>
            <w:r w:rsidRPr="00946063">
              <w:rPr>
                <w:rFonts w:ascii="Arial Narrow" w:hAnsi="Arial Narrow"/>
                <w:color w:val="000000"/>
                <w:sz w:val="20"/>
                <w:szCs w:val="18"/>
                <w:lang w:val="en-GB"/>
              </w:rPr>
              <w:t>Pyrexia</w:t>
            </w:r>
          </w:p>
        </w:tc>
        <w:tc>
          <w:tcPr>
            <w:tcW w:w="441" w:type="pct"/>
            <w:gridSpan w:val="2"/>
            <w:vAlign w:val="center"/>
          </w:tcPr>
          <w:p w:rsidR="00BC14E4" w:rsidRPr="00946063" w:rsidRDefault="00BC14E4" w:rsidP="003223D2">
            <w:pPr>
              <w:keepNext/>
              <w:widowControl/>
              <w:jc w:val="center"/>
              <w:rPr>
                <w:rFonts w:ascii="Arial Narrow" w:hAnsi="Arial Narrow"/>
                <w:color w:val="000000"/>
                <w:sz w:val="20"/>
                <w:szCs w:val="18"/>
                <w:lang w:val="en-GB"/>
              </w:rPr>
            </w:pPr>
            <w:r w:rsidRPr="00946063">
              <w:rPr>
                <w:rFonts w:ascii="Arial Narrow" w:hAnsi="Arial Narrow"/>
                <w:color w:val="000000"/>
                <w:sz w:val="20"/>
                <w:szCs w:val="18"/>
                <w:lang w:val="en-GB"/>
              </w:rPr>
              <w:t>63/226</w:t>
            </w:r>
          </w:p>
        </w:tc>
        <w:tc>
          <w:tcPr>
            <w:tcW w:w="739" w:type="pct"/>
            <w:gridSpan w:val="2"/>
            <w:vAlign w:val="center"/>
          </w:tcPr>
          <w:p w:rsidR="00BC14E4" w:rsidRPr="00946063" w:rsidRDefault="00BC14E4" w:rsidP="003223D2">
            <w:pPr>
              <w:keepNext/>
              <w:widowControl/>
              <w:jc w:val="center"/>
              <w:rPr>
                <w:rFonts w:ascii="Arial Narrow" w:hAnsi="Arial Narrow"/>
                <w:color w:val="000000"/>
                <w:sz w:val="20"/>
                <w:szCs w:val="18"/>
                <w:lang w:val="en-GB"/>
              </w:rPr>
            </w:pPr>
            <w:r w:rsidRPr="00946063">
              <w:rPr>
                <w:rFonts w:ascii="Arial Narrow" w:hAnsi="Arial Narrow"/>
                <w:color w:val="000000"/>
                <w:sz w:val="20"/>
                <w:szCs w:val="18"/>
                <w:lang w:val="en-GB"/>
              </w:rPr>
              <w:t>31/224</w:t>
            </w:r>
          </w:p>
        </w:tc>
        <w:tc>
          <w:tcPr>
            <w:tcW w:w="831" w:type="pct"/>
            <w:vAlign w:val="center"/>
          </w:tcPr>
          <w:p w:rsidR="00BC14E4" w:rsidRPr="00946063" w:rsidRDefault="00BC14E4" w:rsidP="003223D2">
            <w:pPr>
              <w:pStyle w:val="Tabletext"/>
              <w:keepNext/>
              <w:jc w:val="center"/>
              <w:rPr>
                <w:b/>
                <w:color w:val="000000"/>
                <w:szCs w:val="18"/>
                <w:lang w:val="en-GB"/>
              </w:rPr>
            </w:pPr>
            <w:r w:rsidRPr="00946063">
              <w:rPr>
                <w:b/>
                <w:color w:val="000000"/>
                <w:szCs w:val="18"/>
                <w:lang w:val="en-GB"/>
              </w:rPr>
              <w:t>2.01 (1.37, 2.97)</w:t>
            </w:r>
          </w:p>
        </w:tc>
        <w:tc>
          <w:tcPr>
            <w:tcW w:w="646" w:type="pct"/>
            <w:gridSpan w:val="2"/>
            <w:vAlign w:val="center"/>
          </w:tcPr>
          <w:p w:rsidR="00BC14E4" w:rsidRPr="00946063" w:rsidRDefault="00BC14E4" w:rsidP="003223D2">
            <w:pPr>
              <w:keepNext/>
              <w:widowControl/>
              <w:jc w:val="center"/>
              <w:rPr>
                <w:rFonts w:ascii="Arial Narrow" w:hAnsi="Arial Narrow"/>
                <w:color w:val="000000"/>
                <w:sz w:val="20"/>
                <w:szCs w:val="18"/>
                <w:lang w:val="en-GB"/>
              </w:rPr>
            </w:pPr>
            <w:r w:rsidRPr="00946063">
              <w:rPr>
                <w:rFonts w:ascii="Arial Narrow" w:hAnsi="Arial Narrow"/>
                <w:color w:val="000000"/>
                <w:sz w:val="20"/>
                <w:szCs w:val="18"/>
                <w:lang w:val="en-GB"/>
              </w:rPr>
              <w:t>28</w:t>
            </w:r>
          </w:p>
        </w:tc>
        <w:tc>
          <w:tcPr>
            <w:tcW w:w="742" w:type="pct"/>
            <w:vAlign w:val="center"/>
          </w:tcPr>
          <w:p w:rsidR="00BC14E4" w:rsidRPr="00946063" w:rsidRDefault="00BC14E4" w:rsidP="003223D2">
            <w:pPr>
              <w:keepNext/>
              <w:widowControl/>
              <w:jc w:val="center"/>
              <w:rPr>
                <w:rFonts w:ascii="Arial Narrow" w:hAnsi="Arial Narrow"/>
                <w:color w:val="000000"/>
                <w:sz w:val="20"/>
                <w:szCs w:val="18"/>
                <w:lang w:val="en-GB"/>
              </w:rPr>
            </w:pPr>
            <w:r w:rsidRPr="00946063">
              <w:rPr>
                <w:rFonts w:ascii="Arial Narrow" w:hAnsi="Arial Narrow"/>
                <w:color w:val="000000"/>
                <w:sz w:val="20"/>
                <w:szCs w:val="18"/>
                <w:lang w:val="en-GB"/>
              </w:rPr>
              <w:t>14</w:t>
            </w:r>
          </w:p>
        </w:tc>
        <w:tc>
          <w:tcPr>
            <w:tcW w:w="1006" w:type="pct"/>
            <w:vAlign w:val="center"/>
          </w:tcPr>
          <w:p w:rsidR="00BC14E4" w:rsidRPr="00946063" w:rsidRDefault="00BC14E4" w:rsidP="003223D2">
            <w:pPr>
              <w:keepNext/>
              <w:widowControl/>
              <w:jc w:val="center"/>
              <w:rPr>
                <w:rFonts w:ascii="Arial Narrow" w:hAnsi="Arial Narrow"/>
                <w:b/>
                <w:color w:val="000000"/>
                <w:sz w:val="20"/>
                <w:szCs w:val="18"/>
                <w:lang w:val="en-GB"/>
              </w:rPr>
            </w:pPr>
            <w:r w:rsidRPr="00946063">
              <w:rPr>
                <w:rFonts w:ascii="Arial Narrow" w:hAnsi="Arial Narrow"/>
                <w:b/>
                <w:color w:val="000000"/>
                <w:sz w:val="20"/>
                <w:szCs w:val="18"/>
                <w:lang w:val="en-GB"/>
              </w:rPr>
              <w:t>0.14 (0.07, 0.21)</w:t>
            </w:r>
          </w:p>
        </w:tc>
      </w:tr>
      <w:tr w:rsidR="00BC14E4" w:rsidRPr="00946063" w:rsidTr="00E771D1">
        <w:trPr>
          <w:trHeight w:val="20"/>
        </w:trPr>
        <w:tc>
          <w:tcPr>
            <w:tcW w:w="594" w:type="pct"/>
            <w:shd w:val="clear" w:color="auto" w:fill="auto"/>
            <w:vAlign w:val="center"/>
          </w:tcPr>
          <w:p w:rsidR="00BC14E4" w:rsidRPr="00946063" w:rsidRDefault="00BC14E4" w:rsidP="0011495F">
            <w:pPr>
              <w:keepNext/>
              <w:widowControl/>
              <w:jc w:val="left"/>
              <w:rPr>
                <w:rFonts w:ascii="Arial Narrow" w:hAnsi="Arial Narrow"/>
                <w:color w:val="000000"/>
                <w:sz w:val="20"/>
                <w:szCs w:val="18"/>
                <w:lang w:val="en-GB"/>
              </w:rPr>
            </w:pPr>
            <w:r w:rsidRPr="00946063">
              <w:rPr>
                <w:rFonts w:ascii="Arial Narrow" w:hAnsi="Arial Narrow"/>
                <w:color w:val="000000"/>
                <w:sz w:val="20"/>
                <w:szCs w:val="18"/>
                <w:lang w:val="en-GB"/>
              </w:rPr>
              <w:t>Peripheral sensory neuropathy</w:t>
            </w:r>
          </w:p>
        </w:tc>
        <w:tc>
          <w:tcPr>
            <w:tcW w:w="441" w:type="pct"/>
            <w:gridSpan w:val="2"/>
            <w:vAlign w:val="center"/>
          </w:tcPr>
          <w:p w:rsidR="00BC14E4" w:rsidRPr="00946063" w:rsidRDefault="00BC14E4" w:rsidP="003223D2">
            <w:pPr>
              <w:keepNext/>
              <w:widowControl/>
              <w:jc w:val="center"/>
              <w:rPr>
                <w:rFonts w:ascii="Arial Narrow" w:hAnsi="Arial Narrow"/>
                <w:color w:val="000000"/>
                <w:sz w:val="20"/>
                <w:szCs w:val="18"/>
                <w:lang w:val="en-GB"/>
              </w:rPr>
            </w:pPr>
            <w:r w:rsidRPr="00946063">
              <w:rPr>
                <w:rFonts w:ascii="Arial Narrow" w:hAnsi="Arial Narrow"/>
                <w:color w:val="000000"/>
                <w:sz w:val="20"/>
                <w:szCs w:val="18"/>
                <w:lang w:val="en-GB"/>
              </w:rPr>
              <w:t>46/226</w:t>
            </w:r>
          </w:p>
        </w:tc>
        <w:tc>
          <w:tcPr>
            <w:tcW w:w="739" w:type="pct"/>
            <w:gridSpan w:val="2"/>
            <w:vAlign w:val="center"/>
          </w:tcPr>
          <w:p w:rsidR="00BC14E4" w:rsidRPr="00946063" w:rsidRDefault="00BC14E4" w:rsidP="003223D2">
            <w:pPr>
              <w:keepNext/>
              <w:widowControl/>
              <w:jc w:val="center"/>
              <w:rPr>
                <w:rFonts w:ascii="Arial Narrow" w:hAnsi="Arial Narrow"/>
                <w:color w:val="000000"/>
                <w:sz w:val="20"/>
                <w:szCs w:val="18"/>
                <w:lang w:val="en-GB"/>
              </w:rPr>
            </w:pPr>
            <w:r w:rsidRPr="00946063">
              <w:rPr>
                <w:rFonts w:ascii="Arial Narrow" w:hAnsi="Arial Narrow"/>
                <w:color w:val="000000"/>
                <w:sz w:val="20"/>
                <w:szCs w:val="18"/>
                <w:lang w:val="en-GB"/>
              </w:rPr>
              <w:t>8/224</w:t>
            </w:r>
          </w:p>
        </w:tc>
        <w:tc>
          <w:tcPr>
            <w:tcW w:w="831" w:type="pct"/>
            <w:vAlign w:val="center"/>
          </w:tcPr>
          <w:p w:rsidR="00BC14E4" w:rsidRPr="00946063" w:rsidRDefault="00BC14E4" w:rsidP="003223D2">
            <w:pPr>
              <w:pStyle w:val="Tabletext"/>
              <w:keepNext/>
              <w:jc w:val="center"/>
              <w:rPr>
                <w:b/>
                <w:color w:val="000000"/>
                <w:szCs w:val="18"/>
                <w:lang w:val="en-GB"/>
              </w:rPr>
            </w:pPr>
            <w:r w:rsidRPr="00946063">
              <w:rPr>
                <w:b/>
              </w:rPr>
              <w:t>5.70 (2.75, 11.8)</w:t>
            </w:r>
          </w:p>
        </w:tc>
        <w:tc>
          <w:tcPr>
            <w:tcW w:w="646" w:type="pct"/>
            <w:gridSpan w:val="2"/>
            <w:vAlign w:val="center"/>
          </w:tcPr>
          <w:p w:rsidR="00BC14E4" w:rsidRPr="00946063" w:rsidRDefault="00BC14E4" w:rsidP="003223D2">
            <w:pPr>
              <w:keepNext/>
              <w:widowControl/>
              <w:jc w:val="center"/>
              <w:rPr>
                <w:rFonts w:ascii="Arial Narrow" w:hAnsi="Arial Narrow"/>
                <w:color w:val="000000"/>
                <w:sz w:val="20"/>
                <w:szCs w:val="18"/>
                <w:lang w:val="en-GB"/>
              </w:rPr>
            </w:pPr>
            <w:r w:rsidRPr="00946063">
              <w:rPr>
                <w:rFonts w:ascii="Arial Narrow" w:hAnsi="Arial Narrow"/>
                <w:color w:val="000000"/>
                <w:sz w:val="20"/>
                <w:szCs w:val="18"/>
                <w:lang w:val="en-GB"/>
              </w:rPr>
              <w:t>20</w:t>
            </w:r>
          </w:p>
        </w:tc>
        <w:tc>
          <w:tcPr>
            <w:tcW w:w="742" w:type="pct"/>
            <w:vAlign w:val="center"/>
          </w:tcPr>
          <w:p w:rsidR="00BC14E4" w:rsidRPr="00946063" w:rsidRDefault="00BC14E4" w:rsidP="003223D2">
            <w:pPr>
              <w:keepNext/>
              <w:widowControl/>
              <w:jc w:val="center"/>
              <w:rPr>
                <w:rFonts w:ascii="Arial Narrow" w:hAnsi="Arial Narrow"/>
                <w:color w:val="000000"/>
                <w:sz w:val="20"/>
                <w:szCs w:val="18"/>
                <w:lang w:val="en-GB"/>
              </w:rPr>
            </w:pPr>
            <w:r w:rsidRPr="00946063">
              <w:rPr>
                <w:rFonts w:ascii="Arial Narrow" w:hAnsi="Arial Narrow"/>
                <w:color w:val="000000"/>
                <w:sz w:val="20"/>
                <w:szCs w:val="18"/>
                <w:lang w:val="en-GB"/>
              </w:rPr>
              <w:t>4</w:t>
            </w:r>
          </w:p>
        </w:tc>
        <w:tc>
          <w:tcPr>
            <w:tcW w:w="1006" w:type="pct"/>
            <w:vAlign w:val="center"/>
          </w:tcPr>
          <w:p w:rsidR="00BC14E4" w:rsidRPr="00946063" w:rsidRDefault="00BC14E4" w:rsidP="003223D2">
            <w:pPr>
              <w:keepNext/>
              <w:widowControl/>
              <w:jc w:val="center"/>
              <w:rPr>
                <w:rFonts w:ascii="Arial Narrow" w:hAnsi="Arial Narrow"/>
                <w:b/>
                <w:color w:val="000000"/>
                <w:sz w:val="20"/>
                <w:szCs w:val="18"/>
                <w:lang w:val="en-GB"/>
              </w:rPr>
            </w:pPr>
            <w:r w:rsidRPr="00946063">
              <w:rPr>
                <w:rFonts w:ascii="Arial Narrow" w:hAnsi="Arial Narrow"/>
                <w:b/>
                <w:color w:val="000000"/>
                <w:sz w:val="20"/>
                <w:szCs w:val="18"/>
                <w:lang w:val="en-GB"/>
              </w:rPr>
              <w:t>0.17 (0.11, 0.23)</w:t>
            </w:r>
          </w:p>
        </w:tc>
      </w:tr>
      <w:tr w:rsidR="00BC14E4" w:rsidRPr="00946063" w:rsidTr="00E771D1">
        <w:trPr>
          <w:trHeight w:val="20"/>
        </w:trPr>
        <w:tc>
          <w:tcPr>
            <w:tcW w:w="594" w:type="pct"/>
            <w:shd w:val="clear" w:color="auto" w:fill="auto"/>
            <w:vAlign w:val="center"/>
          </w:tcPr>
          <w:p w:rsidR="00BC14E4" w:rsidRPr="00946063" w:rsidRDefault="00BC14E4" w:rsidP="0011495F">
            <w:pPr>
              <w:keepNext/>
              <w:widowControl/>
              <w:jc w:val="left"/>
              <w:rPr>
                <w:rFonts w:ascii="Arial Narrow" w:hAnsi="Arial Narrow"/>
                <w:color w:val="000000"/>
                <w:sz w:val="20"/>
                <w:szCs w:val="18"/>
                <w:lang w:val="en-GB"/>
              </w:rPr>
            </w:pPr>
            <w:r w:rsidRPr="00946063">
              <w:rPr>
                <w:rFonts w:ascii="Arial Narrow" w:hAnsi="Arial Narrow"/>
                <w:color w:val="000000"/>
                <w:sz w:val="20"/>
                <w:szCs w:val="18"/>
                <w:lang w:val="en-GB"/>
              </w:rPr>
              <w:t>Alopecia</w:t>
            </w:r>
          </w:p>
        </w:tc>
        <w:tc>
          <w:tcPr>
            <w:tcW w:w="441" w:type="pct"/>
            <w:gridSpan w:val="2"/>
            <w:vAlign w:val="center"/>
          </w:tcPr>
          <w:p w:rsidR="00BC14E4" w:rsidRPr="00946063" w:rsidRDefault="00BC14E4" w:rsidP="003223D2">
            <w:pPr>
              <w:keepNext/>
              <w:widowControl/>
              <w:jc w:val="center"/>
              <w:rPr>
                <w:rFonts w:ascii="Arial Narrow" w:hAnsi="Arial Narrow"/>
                <w:color w:val="000000"/>
                <w:sz w:val="20"/>
                <w:szCs w:val="18"/>
                <w:lang w:val="en-GB"/>
              </w:rPr>
            </w:pPr>
            <w:r w:rsidRPr="00946063">
              <w:rPr>
                <w:rFonts w:ascii="Arial Narrow" w:hAnsi="Arial Narrow"/>
                <w:color w:val="000000"/>
                <w:sz w:val="20"/>
                <w:szCs w:val="18"/>
                <w:lang w:val="en-GB"/>
              </w:rPr>
              <w:t>79/226</w:t>
            </w:r>
          </w:p>
        </w:tc>
        <w:tc>
          <w:tcPr>
            <w:tcW w:w="739" w:type="pct"/>
            <w:gridSpan w:val="2"/>
            <w:vAlign w:val="center"/>
          </w:tcPr>
          <w:p w:rsidR="00BC14E4" w:rsidRPr="00946063" w:rsidRDefault="00BC14E4" w:rsidP="003223D2">
            <w:pPr>
              <w:keepNext/>
              <w:widowControl/>
              <w:jc w:val="center"/>
              <w:rPr>
                <w:rFonts w:ascii="Arial Narrow" w:hAnsi="Arial Narrow"/>
                <w:color w:val="000000"/>
                <w:sz w:val="20"/>
                <w:szCs w:val="18"/>
                <w:lang w:val="en-GB"/>
              </w:rPr>
            </w:pPr>
            <w:r w:rsidRPr="00946063">
              <w:rPr>
                <w:rFonts w:ascii="Arial Narrow" w:hAnsi="Arial Narrow"/>
                <w:color w:val="000000"/>
                <w:sz w:val="20"/>
                <w:szCs w:val="18"/>
                <w:lang w:val="en-GB"/>
              </w:rPr>
              <w:t>6/224</w:t>
            </w:r>
          </w:p>
        </w:tc>
        <w:tc>
          <w:tcPr>
            <w:tcW w:w="831" w:type="pct"/>
            <w:vAlign w:val="center"/>
          </w:tcPr>
          <w:p w:rsidR="00BC14E4" w:rsidRPr="00946063" w:rsidRDefault="00BC14E4" w:rsidP="003223D2">
            <w:pPr>
              <w:pStyle w:val="Tabletext"/>
              <w:keepNext/>
              <w:jc w:val="center"/>
              <w:rPr>
                <w:b/>
                <w:color w:val="000000"/>
                <w:szCs w:val="18"/>
                <w:lang w:val="en-GB"/>
              </w:rPr>
            </w:pPr>
            <w:r w:rsidRPr="00946063">
              <w:rPr>
                <w:b/>
              </w:rPr>
              <w:t>13.1 (5.81, 29.3)</w:t>
            </w:r>
          </w:p>
        </w:tc>
        <w:tc>
          <w:tcPr>
            <w:tcW w:w="646" w:type="pct"/>
            <w:gridSpan w:val="2"/>
            <w:vAlign w:val="center"/>
          </w:tcPr>
          <w:p w:rsidR="00BC14E4" w:rsidRPr="00946063" w:rsidRDefault="00BC14E4" w:rsidP="003223D2">
            <w:pPr>
              <w:keepNext/>
              <w:widowControl/>
              <w:jc w:val="center"/>
              <w:rPr>
                <w:rFonts w:ascii="Arial Narrow" w:hAnsi="Arial Narrow"/>
                <w:color w:val="000000"/>
                <w:sz w:val="20"/>
                <w:szCs w:val="18"/>
                <w:lang w:val="en-GB"/>
              </w:rPr>
            </w:pPr>
            <w:r w:rsidRPr="00946063">
              <w:rPr>
                <w:rFonts w:ascii="Arial Narrow" w:hAnsi="Arial Narrow"/>
                <w:color w:val="000000"/>
                <w:sz w:val="20"/>
                <w:szCs w:val="18"/>
                <w:lang w:val="en-GB"/>
              </w:rPr>
              <w:t>35</w:t>
            </w:r>
          </w:p>
        </w:tc>
        <w:tc>
          <w:tcPr>
            <w:tcW w:w="742" w:type="pct"/>
            <w:vAlign w:val="center"/>
          </w:tcPr>
          <w:p w:rsidR="00BC14E4" w:rsidRPr="00946063" w:rsidRDefault="00BC14E4" w:rsidP="003223D2">
            <w:pPr>
              <w:keepNext/>
              <w:widowControl/>
              <w:jc w:val="center"/>
              <w:rPr>
                <w:rFonts w:ascii="Arial Narrow" w:hAnsi="Arial Narrow"/>
                <w:color w:val="000000"/>
                <w:sz w:val="20"/>
                <w:szCs w:val="18"/>
                <w:lang w:val="en-GB"/>
              </w:rPr>
            </w:pPr>
            <w:r w:rsidRPr="00946063">
              <w:rPr>
                <w:rFonts w:ascii="Arial Narrow" w:hAnsi="Arial Narrow"/>
                <w:color w:val="000000"/>
                <w:sz w:val="20"/>
                <w:szCs w:val="18"/>
                <w:lang w:val="en-GB"/>
              </w:rPr>
              <w:t>3</w:t>
            </w:r>
          </w:p>
        </w:tc>
        <w:tc>
          <w:tcPr>
            <w:tcW w:w="1006" w:type="pct"/>
            <w:vAlign w:val="center"/>
          </w:tcPr>
          <w:p w:rsidR="00BC14E4" w:rsidRPr="00946063" w:rsidRDefault="00BC14E4" w:rsidP="003223D2">
            <w:pPr>
              <w:keepNext/>
              <w:widowControl/>
              <w:jc w:val="center"/>
              <w:rPr>
                <w:rFonts w:ascii="Arial Narrow" w:hAnsi="Arial Narrow"/>
                <w:b/>
                <w:color w:val="000000"/>
                <w:sz w:val="20"/>
                <w:szCs w:val="18"/>
                <w:lang w:val="en-GB"/>
              </w:rPr>
            </w:pPr>
            <w:r w:rsidRPr="00946063">
              <w:rPr>
                <w:rFonts w:ascii="Arial Narrow" w:hAnsi="Arial Narrow"/>
                <w:b/>
                <w:color w:val="000000"/>
                <w:sz w:val="20"/>
                <w:szCs w:val="18"/>
                <w:lang w:val="en-GB"/>
              </w:rPr>
              <w:t>0.32 (0.26, 0.39)</w:t>
            </w:r>
          </w:p>
        </w:tc>
      </w:tr>
      <w:tr w:rsidR="00BC14E4" w:rsidRPr="00946063" w:rsidTr="00E771D1">
        <w:trPr>
          <w:trHeight w:val="20"/>
        </w:trPr>
        <w:tc>
          <w:tcPr>
            <w:tcW w:w="5000" w:type="pct"/>
            <w:gridSpan w:val="10"/>
            <w:shd w:val="clear" w:color="auto" w:fill="auto"/>
            <w:vAlign w:val="center"/>
          </w:tcPr>
          <w:p w:rsidR="00BC14E4" w:rsidRPr="00946063" w:rsidRDefault="00BC14E4" w:rsidP="003223D2">
            <w:pPr>
              <w:keepNext/>
              <w:widowControl/>
              <w:jc w:val="left"/>
              <w:rPr>
                <w:rFonts w:ascii="Arial Narrow" w:hAnsi="Arial Narrow"/>
                <w:color w:val="000000"/>
                <w:sz w:val="20"/>
                <w:szCs w:val="18"/>
                <w:lang w:val="en-GB"/>
              </w:rPr>
            </w:pPr>
            <w:r w:rsidRPr="00946063">
              <w:rPr>
                <w:rFonts w:ascii="Arial Narrow" w:hAnsi="Arial Narrow"/>
                <w:b/>
                <w:color w:val="000000"/>
                <w:sz w:val="20"/>
                <w:szCs w:val="18"/>
                <w:lang w:val="en-GB"/>
              </w:rPr>
              <w:t>Grade 3/4 TEAE (haematological), n/N</w:t>
            </w:r>
          </w:p>
        </w:tc>
      </w:tr>
      <w:tr w:rsidR="00BC14E4" w:rsidRPr="00946063" w:rsidTr="00E771D1">
        <w:trPr>
          <w:trHeight w:val="20"/>
        </w:trPr>
        <w:tc>
          <w:tcPr>
            <w:tcW w:w="594" w:type="pct"/>
            <w:shd w:val="clear" w:color="auto" w:fill="auto"/>
            <w:vAlign w:val="center"/>
          </w:tcPr>
          <w:p w:rsidR="00BC14E4" w:rsidRPr="00946063" w:rsidRDefault="00BC14E4" w:rsidP="0011495F">
            <w:pPr>
              <w:keepNext/>
              <w:widowControl/>
              <w:jc w:val="left"/>
              <w:rPr>
                <w:rFonts w:ascii="Arial Narrow" w:hAnsi="Arial Narrow"/>
                <w:color w:val="000000"/>
                <w:sz w:val="20"/>
                <w:szCs w:val="18"/>
                <w:lang w:val="en-GB"/>
              </w:rPr>
            </w:pPr>
            <w:r w:rsidRPr="00946063">
              <w:rPr>
                <w:rFonts w:ascii="Arial Narrow" w:hAnsi="Arial Narrow"/>
                <w:color w:val="000000"/>
                <w:sz w:val="20"/>
                <w:szCs w:val="18"/>
                <w:lang w:val="en-GB"/>
              </w:rPr>
              <w:t>Neutropenia</w:t>
            </w:r>
          </w:p>
        </w:tc>
        <w:tc>
          <w:tcPr>
            <w:tcW w:w="441" w:type="pct"/>
            <w:gridSpan w:val="2"/>
            <w:vAlign w:val="center"/>
          </w:tcPr>
          <w:p w:rsidR="00BC14E4" w:rsidRPr="00946063" w:rsidRDefault="00BC14E4" w:rsidP="003223D2">
            <w:pPr>
              <w:keepNext/>
              <w:widowControl/>
              <w:jc w:val="center"/>
              <w:rPr>
                <w:rFonts w:ascii="Arial Narrow" w:hAnsi="Arial Narrow"/>
                <w:color w:val="000000"/>
                <w:sz w:val="20"/>
                <w:szCs w:val="18"/>
                <w:lang w:val="en-GB"/>
              </w:rPr>
            </w:pPr>
            <w:r w:rsidRPr="00946063">
              <w:rPr>
                <w:rFonts w:ascii="Arial Narrow" w:hAnsi="Arial Narrow"/>
                <w:color w:val="000000"/>
                <w:sz w:val="20"/>
                <w:szCs w:val="18"/>
                <w:lang w:val="en-GB"/>
              </w:rPr>
              <w:t>80/226</w:t>
            </w:r>
          </w:p>
        </w:tc>
        <w:tc>
          <w:tcPr>
            <w:tcW w:w="739" w:type="pct"/>
            <w:gridSpan w:val="2"/>
            <w:vAlign w:val="center"/>
          </w:tcPr>
          <w:p w:rsidR="00BC14E4" w:rsidRPr="00946063" w:rsidRDefault="00BC14E4" w:rsidP="003223D2">
            <w:pPr>
              <w:keepNext/>
              <w:widowControl/>
              <w:jc w:val="center"/>
              <w:rPr>
                <w:rFonts w:ascii="Arial Narrow" w:hAnsi="Arial Narrow"/>
                <w:color w:val="000000"/>
                <w:sz w:val="20"/>
                <w:szCs w:val="18"/>
                <w:lang w:val="en-GB"/>
              </w:rPr>
            </w:pPr>
            <w:r w:rsidRPr="00946063">
              <w:rPr>
                <w:rFonts w:ascii="Arial Narrow" w:hAnsi="Arial Narrow"/>
                <w:color w:val="000000"/>
                <w:sz w:val="20"/>
                <w:szCs w:val="18"/>
                <w:lang w:val="en-GB"/>
              </w:rPr>
              <w:t>35/224</w:t>
            </w:r>
          </w:p>
        </w:tc>
        <w:tc>
          <w:tcPr>
            <w:tcW w:w="831" w:type="pct"/>
            <w:vAlign w:val="center"/>
          </w:tcPr>
          <w:p w:rsidR="00BC14E4" w:rsidRPr="00946063" w:rsidRDefault="00BC14E4" w:rsidP="003223D2">
            <w:pPr>
              <w:pStyle w:val="Tabletext"/>
              <w:keepNext/>
              <w:jc w:val="center"/>
              <w:rPr>
                <w:b/>
                <w:color w:val="000000"/>
                <w:szCs w:val="18"/>
                <w:lang w:val="en-GB"/>
              </w:rPr>
            </w:pPr>
            <w:r w:rsidRPr="00946063">
              <w:rPr>
                <w:b/>
                <w:color w:val="000000"/>
                <w:szCs w:val="18"/>
                <w:lang w:val="en-GB"/>
              </w:rPr>
              <w:t>1.30 (1.01, 1.69)</w:t>
            </w:r>
          </w:p>
        </w:tc>
        <w:tc>
          <w:tcPr>
            <w:tcW w:w="646" w:type="pct"/>
            <w:gridSpan w:val="2"/>
            <w:vAlign w:val="center"/>
          </w:tcPr>
          <w:p w:rsidR="00BC14E4" w:rsidRPr="00946063" w:rsidRDefault="00BC14E4" w:rsidP="003223D2">
            <w:pPr>
              <w:keepNext/>
              <w:widowControl/>
              <w:jc w:val="center"/>
              <w:rPr>
                <w:rFonts w:ascii="Arial Narrow" w:hAnsi="Arial Narrow"/>
                <w:color w:val="000000"/>
                <w:sz w:val="20"/>
                <w:szCs w:val="18"/>
                <w:lang w:val="en-GB"/>
              </w:rPr>
            </w:pPr>
            <w:r w:rsidRPr="00946063">
              <w:rPr>
                <w:rFonts w:ascii="Arial Narrow" w:hAnsi="Arial Narrow"/>
                <w:color w:val="000000"/>
                <w:sz w:val="20"/>
                <w:szCs w:val="18"/>
                <w:lang w:val="en-GB"/>
              </w:rPr>
              <w:t>35</w:t>
            </w:r>
          </w:p>
        </w:tc>
        <w:tc>
          <w:tcPr>
            <w:tcW w:w="742" w:type="pct"/>
            <w:vAlign w:val="center"/>
          </w:tcPr>
          <w:p w:rsidR="00BC14E4" w:rsidRPr="00946063" w:rsidRDefault="00BC14E4" w:rsidP="003223D2">
            <w:pPr>
              <w:keepNext/>
              <w:widowControl/>
              <w:jc w:val="center"/>
              <w:rPr>
                <w:rFonts w:ascii="Arial Narrow" w:hAnsi="Arial Narrow"/>
                <w:color w:val="000000"/>
                <w:sz w:val="20"/>
                <w:szCs w:val="18"/>
                <w:lang w:val="en-GB"/>
              </w:rPr>
            </w:pPr>
            <w:r w:rsidRPr="00946063">
              <w:rPr>
                <w:rFonts w:ascii="Arial Narrow" w:hAnsi="Arial Narrow"/>
                <w:color w:val="000000"/>
                <w:sz w:val="20"/>
                <w:szCs w:val="18"/>
                <w:lang w:val="en-GB"/>
              </w:rPr>
              <w:t>16</w:t>
            </w:r>
          </w:p>
        </w:tc>
        <w:tc>
          <w:tcPr>
            <w:tcW w:w="1006" w:type="pct"/>
            <w:vAlign w:val="center"/>
          </w:tcPr>
          <w:p w:rsidR="00BC14E4" w:rsidRPr="00946063" w:rsidRDefault="00BC14E4" w:rsidP="003223D2">
            <w:pPr>
              <w:keepNext/>
              <w:widowControl/>
              <w:jc w:val="center"/>
              <w:rPr>
                <w:rFonts w:ascii="Arial Narrow" w:hAnsi="Arial Narrow"/>
                <w:b/>
                <w:color w:val="000000"/>
                <w:sz w:val="20"/>
                <w:szCs w:val="18"/>
                <w:lang w:val="en-GB"/>
              </w:rPr>
            </w:pPr>
            <w:r w:rsidRPr="00946063">
              <w:rPr>
                <w:rFonts w:ascii="Arial Narrow" w:hAnsi="Arial Narrow"/>
                <w:b/>
                <w:color w:val="000000"/>
                <w:sz w:val="20"/>
                <w:szCs w:val="18"/>
                <w:lang w:val="en-GB"/>
              </w:rPr>
              <w:t>0.20 (0.12, 0.28)</w:t>
            </w:r>
          </w:p>
        </w:tc>
      </w:tr>
      <w:tr w:rsidR="00BC14E4" w:rsidRPr="00946063" w:rsidTr="00E771D1">
        <w:trPr>
          <w:trHeight w:val="20"/>
        </w:trPr>
        <w:tc>
          <w:tcPr>
            <w:tcW w:w="594" w:type="pct"/>
            <w:shd w:val="clear" w:color="auto" w:fill="auto"/>
            <w:vAlign w:val="center"/>
          </w:tcPr>
          <w:p w:rsidR="00BC14E4" w:rsidRPr="00946063" w:rsidRDefault="00BC14E4" w:rsidP="0011495F">
            <w:pPr>
              <w:keepNext/>
              <w:widowControl/>
              <w:jc w:val="left"/>
              <w:rPr>
                <w:rFonts w:ascii="Arial Narrow" w:hAnsi="Arial Narrow"/>
                <w:color w:val="000000"/>
                <w:sz w:val="20"/>
                <w:szCs w:val="18"/>
                <w:lang w:val="en-GB"/>
              </w:rPr>
            </w:pPr>
            <w:r w:rsidRPr="00946063">
              <w:rPr>
                <w:rFonts w:ascii="Arial Narrow" w:hAnsi="Arial Narrow"/>
                <w:color w:val="000000"/>
                <w:sz w:val="20"/>
                <w:szCs w:val="18"/>
                <w:lang w:val="en-GB"/>
              </w:rPr>
              <w:t>Leukopenia</w:t>
            </w:r>
          </w:p>
        </w:tc>
        <w:tc>
          <w:tcPr>
            <w:tcW w:w="441" w:type="pct"/>
            <w:gridSpan w:val="2"/>
            <w:vAlign w:val="center"/>
          </w:tcPr>
          <w:p w:rsidR="00BC14E4" w:rsidRPr="00946063" w:rsidRDefault="00BC14E4" w:rsidP="003223D2">
            <w:pPr>
              <w:keepNext/>
              <w:widowControl/>
              <w:jc w:val="center"/>
              <w:rPr>
                <w:rFonts w:ascii="Arial Narrow" w:hAnsi="Arial Narrow"/>
                <w:color w:val="000000"/>
                <w:sz w:val="20"/>
                <w:szCs w:val="18"/>
                <w:lang w:val="en-GB"/>
              </w:rPr>
            </w:pPr>
            <w:r w:rsidRPr="00946063">
              <w:rPr>
                <w:rFonts w:ascii="Arial Narrow" w:hAnsi="Arial Narrow"/>
                <w:color w:val="000000"/>
                <w:sz w:val="20"/>
                <w:szCs w:val="18"/>
                <w:lang w:val="en-GB"/>
              </w:rPr>
              <w:t>23/226</w:t>
            </w:r>
          </w:p>
        </w:tc>
        <w:tc>
          <w:tcPr>
            <w:tcW w:w="739" w:type="pct"/>
            <w:gridSpan w:val="2"/>
            <w:vAlign w:val="center"/>
          </w:tcPr>
          <w:p w:rsidR="00BC14E4" w:rsidRPr="00946063" w:rsidRDefault="00BC14E4" w:rsidP="003223D2">
            <w:pPr>
              <w:keepNext/>
              <w:widowControl/>
              <w:jc w:val="center"/>
              <w:rPr>
                <w:rFonts w:ascii="Arial Narrow" w:hAnsi="Arial Narrow"/>
                <w:color w:val="000000"/>
                <w:sz w:val="20"/>
                <w:szCs w:val="18"/>
                <w:lang w:val="en-GB"/>
              </w:rPr>
            </w:pPr>
            <w:r w:rsidRPr="00946063">
              <w:rPr>
                <w:rFonts w:ascii="Arial Narrow" w:hAnsi="Arial Narrow"/>
                <w:color w:val="000000"/>
                <w:sz w:val="20"/>
                <w:szCs w:val="18"/>
                <w:lang w:val="en-GB"/>
              </w:rPr>
              <w:t>10/224</w:t>
            </w:r>
          </w:p>
        </w:tc>
        <w:tc>
          <w:tcPr>
            <w:tcW w:w="831" w:type="pct"/>
            <w:vAlign w:val="center"/>
          </w:tcPr>
          <w:p w:rsidR="00BC14E4" w:rsidRPr="00946063" w:rsidRDefault="00BC14E4" w:rsidP="003223D2">
            <w:pPr>
              <w:pStyle w:val="Tabletext"/>
              <w:keepNext/>
              <w:jc w:val="center"/>
              <w:rPr>
                <w:b/>
                <w:color w:val="000000"/>
                <w:szCs w:val="18"/>
                <w:lang w:val="en-GB"/>
              </w:rPr>
            </w:pPr>
            <w:r w:rsidRPr="00946063">
              <w:rPr>
                <w:b/>
                <w:color w:val="000000"/>
                <w:szCs w:val="18"/>
                <w:lang w:val="en-GB"/>
              </w:rPr>
              <w:t>1.11 (0.63, 1.96)</w:t>
            </w:r>
          </w:p>
        </w:tc>
        <w:tc>
          <w:tcPr>
            <w:tcW w:w="646" w:type="pct"/>
            <w:gridSpan w:val="2"/>
            <w:vAlign w:val="center"/>
          </w:tcPr>
          <w:p w:rsidR="00BC14E4" w:rsidRPr="00946063" w:rsidRDefault="00BC14E4" w:rsidP="003223D2">
            <w:pPr>
              <w:keepNext/>
              <w:widowControl/>
              <w:jc w:val="center"/>
              <w:rPr>
                <w:rFonts w:ascii="Arial Narrow" w:hAnsi="Arial Narrow"/>
                <w:color w:val="000000"/>
                <w:sz w:val="20"/>
                <w:szCs w:val="18"/>
                <w:lang w:val="en-GB"/>
              </w:rPr>
            </w:pPr>
            <w:r w:rsidRPr="00946063">
              <w:rPr>
                <w:rFonts w:ascii="Arial Narrow" w:hAnsi="Arial Narrow"/>
                <w:color w:val="000000"/>
                <w:sz w:val="20"/>
                <w:szCs w:val="18"/>
                <w:lang w:val="en-GB"/>
              </w:rPr>
              <w:t>10</w:t>
            </w:r>
          </w:p>
        </w:tc>
        <w:tc>
          <w:tcPr>
            <w:tcW w:w="742" w:type="pct"/>
            <w:vAlign w:val="center"/>
          </w:tcPr>
          <w:p w:rsidR="00BC14E4" w:rsidRPr="00946063" w:rsidRDefault="00BC14E4" w:rsidP="003223D2">
            <w:pPr>
              <w:keepNext/>
              <w:widowControl/>
              <w:jc w:val="center"/>
              <w:rPr>
                <w:rFonts w:ascii="Arial Narrow" w:hAnsi="Arial Narrow"/>
                <w:color w:val="000000"/>
                <w:sz w:val="20"/>
                <w:szCs w:val="18"/>
                <w:lang w:val="en-GB"/>
              </w:rPr>
            </w:pPr>
            <w:r w:rsidRPr="00946063">
              <w:rPr>
                <w:rFonts w:ascii="Arial Narrow" w:hAnsi="Arial Narrow"/>
                <w:color w:val="000000"/>
                <w:sz w:val="20"/>
                <w:szCs w:val="18"/>
                <w:lang w:val="en-GB"/>
              </w:rPr>
              <w:t>4</w:t>
            </w:r>
          </w:p>
        </w:tc>
        <w:tc>
          <w:tcPr>
            <w:tcW w:w="1006" w:type="pct"/>
            <w:vAlign w:val="center"/>
          </w:tcPr>
          <w:p w:rsidR="00BC14E4" w:rsidRPr="00946063" w:rsidRDefault="00BC14E4" w:rsidP="003223D2">
            <w:pPr>
              <w:keepNext/>
              <w:widowControl/>
              <w:jc w:val="center"/>
              <w:rPr>
                <w:rFonts w:ascii="Arial Narrow" w:hAnsi="Arial Narrow"/>
                <w:b/>
                <w:color w:val="000000"/>
                <w:sz w:val="20"/>
                <w:szCs w:val="18"/>
                <w:lang w:val="en-GB"/>
              </w:rPr>
            </w:pPr>
            <w:r w:rsidRPr="00946063">
              <w:rPr>
                <w:rFonts w:ascii="Arial Narrow" w:hAnsi="Arial Narrow"/>
                <w:b/>
                <w:color w:val="000000"/>
                <w:sz w:val="20"/>
                <w:szCs w:val="18"/>
                <w:lang w:val="en-GB"/>
              </w:rPr>
              <w:t>0.06 (0.01, 0.11)</w:t>
            </w:r>
          </w:p>
        </w:tc>
      </w:tr>
      <w:tr w:rsidR="00BC14E4" w:rsidRPr="00946063" w:rsidTr="00E771D1">
        <w:trPr>
          <w:trHeight w:val="20"/>
        </w:trPr>
        <w:tc>
          <w:tcPr>
            <w:tcW w:w="594" w:type="pct"/>
            <w:shd w:val="clear" w:color="auto" w:fill="auto"/>
            <w:vAlign w:val="center"/>
          </w:tcPr>
          <w:p w:rsidR="00BC14E4" w:rsidRPr="00946063" w:rsidRDefault="00BC14E4" w:rsidP="0011495F">
            <w:pPr>
              <w:keepNext/>
              <w:widowControl/>
              <w:jc w:val="left"/>
              <w:rPr>
                <w:rFonts w:ascii="Arial Narrow" w:hAnsi="Arial Narrow"/>
                <w:color w:val="000000"/>
                <w:sz w:val="20"/>
                <w:szCs w:val="18"/>
                <w:lang w:val="en-GB"/>
              </w:rPr>
            </w:pPr>
            <w:r w:rsidRPr="00946063">
              <w:rPr>
                <w:rFonts w:ascii="Arial Narrow" w:hAnsi="Arial Narrow"/>
                <w:color w:val="000000"/>
                <w:sz w:val="20"/>
                <w:szCs w:val="18"/>
                <w:lang w:val="en-GB"/>
              </w:rPr>
              <w:t>Thrombocytopenia</w:t>
            </w:r>
          </w:p>
        </w:tc>
        <w:tc>
          <w:tcPr>
            <w:tcW w:w="441" w:type="pct"/>
            <w:gridSpan w:val="2"/>
            <w:vAlign w:val="center"/>
          </w:tcPr>
          <w:p w:rsidR="00BC14E4" w:rsidRPr="00946063" w:rsidRDefault="00BC14E4" w:rsidP="003223D2">
            <w:pPr>
              <w:keepNext/>
              <w:widowControl/>
              <w:jc w:val="center"/>
              <w:rPr>
                <w:rFonts w:ascii="Arial Narrow" w:hAnsi="Arial Narrow"/>
                <w:color w:val="000000"/>
                <w:sz w:val="20"/>
                <w:szCs w:val="18"/>
                <w:lang w:val="en-GB"/>
              </w:rPr>
            </w:pPr>
            <w:r w:rsidRPr="00946063">
              <w:rPr>
                <w:rFonts w:ascii="Arial Narrow" w:hAnsi="Arial Narrow"/>
                <w:color w:val="000000"/>
                <w:sz w:val="20"/>
                <w:szCs w:val="18"/>
                <w:lang w:val="en-GB"/>
              </w:rPr>
              <w:t>1/226</w:t>
            </w:r>
          </w:p>
        </w:tc>
        <w:tc>
          <w:tcPr>
            <w:tcW w:w="739" w:type="pct"/>
            <w:gridSpan w:val="2"/>
            <w:vAlign w:val="center"/>
          </w:tcPr>
          <w:p w:rsidR="00BC14E4" w:rsidRPr="00946063" w:rsidRDefault="00BC14E4" w:rsidP="003223D2">
            <w:pPr>
              <w:keepNext/>
              <w:widowControl/>
              <w:jc w:val="center"/>
              <w:rPr>
                <w:rFonts w:ascii="Arial Narrow" w:hAnsi="Arial Narrow"/>
                <w:color w:val="000000"/>
                <w:sz w:val="20"/>
                <w:szCs w:val="18"/>
                <w:lang w:val="en-GB"/>
              </w:rPr>
            </w:pPr>
            <w:r w:rsidRPr="00946063">
              <w:rPr>
                <w:rFonts w:ascii="Arial Narrow" w:hAnsi="Arial Narrow"/>
                <w:color w:val="000000"/>
                <w:sz w:val="20"/>
                <w:szCs w:val="18"/>
                <w:lang w:val="en-GB"/>
              </w:rPr>
              <w:t>34/224</w:t>
            </w:r>
          </w:p>
        </w:tc>
        <w:tc>
          <w:tcPr>
            <w:tcW w:w="831" w:type="pct"/>
            <w:vAlign w:val="center"/>
          </w:tcPr>
          <w:p w:rsidR="00BC14E4" w:rsidRPr="00946063" w:rsidRDefault="00BC14E4" w:rsidP="003223D2">
            <w:pPr>
              <w:pStyle w:val="Tabletext"/>
              <w:keepNext/>
              <w:jc w:val="center"/>
              <w:rPr>
                <w:b/>
                <w:color w:val="000000"/>
                <w:szCs w:val="18"/>
                <w:lang w:val="en-GB"/>
              </w:rPr>
            </w:pPr>
            <w:r w:rsidRPr="00946063">
              <w:rPr>
                <w:b/>
                <w:color w:val="000000"/>
                <w:lang w:val="en-GB"/>
              </w:rPr>
              <w:t>1.47 (0.81, 2.69)</w:t>
            </w:r>
          </w:p>
        </w:tc>
        <w:tc>
          <w:tcPr>
            <w:tcW w:w="646" w:type="pct"/>
            <w:gridSpan w:val="2"/>
            <w:vAlign w:val="center"/>
          </w:tcPr>
          <w:p w:rsidR="00BC14E4" w:rsidRPr="00946063" w:rsidRDefault="00BC14E4" w:rsidP="003223D2">
            <w:pPr>
              <w:keepNext/>
              <w:widowControl/>
              <w:jc w:val="center"/>
              <w:rPr>
                <w:rFonts w:ascii="Arial Narrow" w:hAnsi="Arial Narrow"/>
                <w:color w:val="000000"/>
                <w:sz w:val="20"/>
                <w:szCs w:val="18"/>
                <w:lang w:val="en-GB"/>
              </w:rPr>
            </w:pPr>
            <w:r w:rsidRPr="00946063">
              <w:rPr>
                <w:rFonts w:ascii="Arial Narrow" w:hAnsi="Arial Narrow"/>
                <w:color w:val="000000"/>
                <w:sz w:val="20"/>
                <w:szCs w:val="18"/>
                <w:lang w:val="en-GB"/>
              </w:rPr>
              <w:t>0.4</w:t>
            </w:r>
          </w:p>
        </w:tc>
        <w:tc>
          <w:tcPr>
            <w:tcW w:w="742" w:type="pct"/>
            <w:vAlign w:val="center"/>
          </w:tcPr>
          <w:p w:rsidR="00BC14E4" w:rsidRPr="00946063" w:rsidRDefault="00BC14E4" w:rsidP="003223D2">
            <w:pPr>
              <w:keepNext/>
              <w:widowControl/>
              <w:jc w:val="center"/>
              <w:rPr>
                <w:rFonts w:ascii="Arial Narrow" w:hAnsi="Arial Narrow"/>
                <w:color w:val="000000"/>
                <w:sz w:val="20"/>
                <w:szCs w:val="18"/>
                <w:lang w:val="en-GB"/>
              </w:rPr>
            </w:pPr>
            <w:r w:rsidRPr="00946063">
              <w:rPr>
                <w:rFonts w:ascii="Arial Narrow" w:hAnsi="Arial Narrow"/>
                <w:color w:val="000000"/>
                <w:sz w:val="20"/>
                <w:szCs w:val="18"/>
                <w:lang w:val="en-GB"/>
              </w:rPr>
              <w:t>15</w:t>
            </w:r>
          </w:p>
        </w:tc>
        <w:tc>
          <w:tcPr>
            <w:tcW w:w="1006" w:type="pct"/>
            <w:vAlign w:val="center"/>
          </w:tcPr>
          <w:p w:rsidR="00BC14E4" w:rsidRPr="00946063" w:rsidRDefault="00BC14E4" w:rsidP="003223D2">
            <w:pPr>
              <w:keepNext/>
              <w:widowControl/>
              <w:jc w:val="center"/>
              <w:rPr>
                <w:rFonts w:ascii="Arial Narrow" w:hAnsi="Arial Narrow"/>
                <w:b/>
                <w:color w:val="000000"/>
                <w:sz w:val="20"/>
                <w:szCs w:val="18"/>
                <w:lang w:val="en-GB"/>
              </w:rPr>
            </w:pPr>
            <w:r w:rsidRPr="00946063">
              <w:rPr>
                <w:rFonts w:ascii="Arial Narrow" w:hAnsi="Arial Narrow"/>
                <w:b/>
                <w:color w:val="000000"/>
                <w:sz w:val="20"/>
                <w:szCs w:val="18"/>
                <w:lang w:val="en-GB"/>
              </w:rPr>
              <w:t>-0.15 (-0.20, -0.10)</w:t>
            </w:r>
          </w:p>
        </w:tc>
      </w:tr>
    </w:tbl>
    <w:p w:rsidR="002956F7" w:rsidRPr="00B010BF" w:rsidRDefault="002956F7" w:rsidP="00E771D1">
      <w:pPr>
        <w:pStyle w:val="TableFooter"/>
        <w:keepNext/>
        <w:widowControl/>
        <w:ind w:left="709"/>
        <w:rPr>
          <w:lang w:val="en-GB"/>
        </w:rPr>
      </w:pPr>
      <w:r w:rsidRPr="00B010BF">
        <w:rPr>
          <w:lang w:val="en-GB"/>
        </w:rPr>
        <w:t>Source: Compiled during the evaluation</w:t>
      </w:r>
      <w:r w:rsidR="00E67AC2" w:rsidRPr="00B010BF">
        <w:rPr>
          <w:lang w:val="en-GB"/>
        </w:rPr>
        <w:t xml:space="preserve"> and calculated during evaluation</w:t>
      </w:r>
    </w:p>
    <w:p w:rsidR="00B62715" w:rsidRPr="00B010BF" w:rsidRDefault="004D0EAD" w:rsidP="00E771D1">
      <w:pPr>
        <w:pStyle w:val="TableFooter"/>
        <w:keepNext/>
        <w:widowControl/>
        <w:ind w:left="709"/>
        <w:rPr>
          <w:lang w:val="en-GB"/>
        </w:rPr>
      </w:pPr>
      <w:r w:rsidRPr="00B010BF">
        <w:rPr>
          <w:lang w:val="en-GB"/>
        </w:rPr>
        <w:t xml:space="preserve">CI = confidence interval; </w:t>
      </w:r>
      <w:r w:rsidR="002956F7" w:rsidRPr="00B010BF">
        <w:rPr>
          <w:lang w:val="en-GB"/>
        </w:rPr>
        <w:t xml:space="preserve">HR = hazard ratio; OS = overall survival; PFS = progression free survival; </w:t>
      </w:r>
      <w:r w:rsidR="00B62715" w:rsidRPr="00B010BF">
        <w:rPr>
          <w:lang w:val="en-GB"/>
        </w:rPr>
        <w:t xml:space="preserve">RD = risk difference; </w:t>
      </w:r>
      <w:r w:rsidR="002956F7" w:rsidRPr="00B010BF">
        <w:rPr>
          <w:lang w:val="en-GB"/>
        </w:rPr>
        <w:t xml:space="preserve">RR = relative risk; TEAE = treatment-emergent adverse event; </w:t>
      </w:r>
      <w:r w:rsidRPr="00B010BF">
        <w:rPr>
          <w:b/>
          <w:lang w:val="en-GB"/>
        </w:rPr>
        <w:t>B</w:t>
      </w:r>
      <w:r w:rsidR="002956F7" w:rsidRPr="00B010BF">
        <w:rPr>
          <w:b/>
          <w:lang w:val="en-GB"/>
        </w:rPr>
        <w:t>old</w:t>
      </w:r>
      <w:r w:rsidR="002956F7" w:rsidRPr="00B010BF">
        <w:rPr>
          <w:lang w:val="en-GB"/>
        </w:rPr>
        <w:t xml:space="preserve"> = statistically significant</w:t>
      </w:r>
    </w:p>
    <w:p w:rsidR="004D0EAD" w:rsidRPr="00B010BF" w:rsidRDefault="004D0EAD" w:rsidP="00E771D1">
      <w:pPr>
        <w:pStyle w:val="TableFooter"/>
        <w:keepNext/>
        <w:widowControl/>
        <w:ind w:left="709"/>
        <w:rPr>
          <w:lang w:val="en-GB"/>
        </w:rPr>
      </w:pPr>
      <w:proofErr w:type="gramStart"/>
      <w:r w:rsidRPr="00B010BF">
        <w:rPr>
          <w:vertAlign w:val="superscript"/>
          <w:lang w:val="en-GB"/>
        </w:rPr>
        <w:t>a</w:t>
      </w:r>
      <w:proofErr w:type="gramEnd"/>
      <w:r w:rsidRPr="00B010BF">
        <w:rPr>
          <w:lang w:val="en-GB"/>
        </w:rPr>
        <w:t xml:space="preserve"> Two patients in the </w:t>
      </w:r>
      <w:proofErr w:type="spellStart"/>
      <w:r w:rsidRPr="00B010BF">
        <w:rPr>
          <w:lang w:val="en-GB"/>
        </w:rPr>
        <w:t>eribulin</w:t>
      </w:r>
      <w:proofErr w:type="spellEnd"/>
      <w:r w:rsidRPr="00B010BF">
        <w:rPr>
          <w:lang w:val="en-GB"/>
        </w:rPr>
        <w:t xml:space="preserve"> arm were not treated and therefore excluded from the safety population.</w:t>
      </w:r>
    </w:p>
    <w:p w:rsidR="00273DFF" w:rsidRPr="00B010BF" w:rsidRDefault="00273DFF" w:rsidP="00E771D1">
      <w:pPr>
        <w:pStyle w:val="TableFooter"/>
        <w:keepNext/>
        <w:widowControl/>
        <w:ind w:left="709"/>
        <w:rPr>
          <w:lang w:val="en-GB"/>
        </w:rPr>
      </w:pPr>
      <w:proofErr w:type="gramStart"/>
      <w:r w:rsidRPr="00B010BF">
        <w:rPr>
          <w:vertAlign w:val="superscript"/>
          <w:lang w:val="en-GB"/>
        </w:rPr>
        <w:t>b</w:t>
      </w:r>
      <w:proofErr w:type="gramEnd"/>
      <w:r w:rsidRPr="00B010BF">
        <w:rPr>
          <w:lang w:val="en-GB"/>
        </w:rPr>
        <w:t xml:space="preserve"> Median follow-up in Study 309 = 31 months</w:t>
      </w:r>
    </w:p>
    <w:p w:rsidR="00B62715" w:rsidRPr="00B010BF" w:rsidRDefault="00B62715" w:rsidP="00903665">
      <w:pPr>
        <w:widowControl/>
        <w:rPr>
          <w:lang w:val="en-GB"/>
        </w:rPr>
      </w:pPr>
    </w:p>
    <w:p w:rsidR="00AA450E" w:rsidRPr="00AA450E" w:rsidRDefault="00EC00C9" w:rsidP="00A728F8">
      <w:pPr>
        <w:pStyle w:val="ListParagraph"/>
        <w:widowControl/>
        <w:numPr>
          <w:ilvl w:val="1"/>
          <w:numId w:val="2"/>
        </w:numPr>
        <w:rPr>
          <w:szCs w:val="22"/>
          <w:lang w:val="en-GB"/>
        </w:rPr>
      </w:pPr>
      <w:r w:rsidRPr="00B010BF">
        <w:rPr>
          <w:lang w:val="en-GB"/>
        </w:rPr>
        <w:t xml:space="preserve">On the basis of </w:t>
      </w:r>
      <w:r w:rsidR="00BF2C5A" w:rsidRPr="00B010BF">
        <w:rPr>
          <w:lang w:val="en-GB"/>
        </w:rPr>
        <w:t>the</w:t>
      </w:r>
      <w:r w:rsidR="006E2FD2" w:rsidRPr="00B010BF">
        <w:rPr>
          <w:lang w:val="en-GB"/>
        </w:rPr>
        <w:t xml:space="preserve"> </w:t>
      </w:r>
      <w:r w:rsidR="00561AE7" w:rsidRPr="00B010BF">
        <w:rPr>
          <w:lang w:val="en-GB"/>
        </w:rPr>
        <w:t>direct evidence presented by the submission</w:t>
      </w:r>
      <w:r w:rsidR="00BF2C5A" w:rsidRPr="00B010BF">
        <w:rPr>
          <w:lang w:val="en-GB"/>
        </w:rPr>
        <w:t xml:space="preserve">, in the </w:t>
      </w:r>
      <w:proofErr w:type="spellStart"/>
      <w:r w:rsidR="00BF2C5A" w:rsidRPr="00B010BF">
        <w:rPr>
          <w:lang w:val="en-GB"/>
        </w:rPr>
        <w:t>liposarcoma</w:t>
      </w:r>
      <w:proofErr w:type="spellEnd"/>
      <w:r w:rsidR="00BF2C5A" w:rsidRPr="00B010BF">
        <w:rPr>
          <w:lang w:val="en-GB"/>
        </w:rPr>
        <w:t xml:space="preserve"> subgroup</w:t>
      </w:r>
      <w:r w:rsidR="00561AE7" w:rsidRPr="00B010BF">
        <w:rPr>
          <w:lang w:val="en-GB"/>
        </w:rPr>
        <w:t xml:space="preserve"> </w:t>
      </w:r>
      <w:r w:rsidR="003F36B1" w:rsidRPr="00B010BF">
        <w:rPr>
          <w:lang w:val="en-GB"/>
        </w:rPr>
        <w:t>(</w:t>
      </w:r>
      <w:r w:rsidR="00AA450E">
        <w:rPr>
          <w:lang w:val="en-GB"/>
        </w:rPr>
        <w:t xml:space="preserve">which represented </w:t>
      </w:r>
      <w:r w:rsidR="003F36B1" w:rsidRPr="00B010BF">
        <w:rPr>
          <w:lang w:val="en-GB"/>
        </w:rPr>
        <w:t>31.6% of the ITT population</w:t>
      </w:r>
      <w:r w:rsidR="00AA450E">
        <w:rPr>
          <w:lang w:val="en-GB"/>
        </w:rPr>
        <w:t xml:space="preserve"> and was not powered to detect a difference in survival between treatment arms</w:t>
      </w:r>
      <w:r w:rsidR="003F36B1" w:rsidRPr="00B010BF">
        <w:rPr>
          <w:lang w:val="en-GB"/>
        </w:rPr>
        <w:t>)</w:t>
      </w:r>
      <w:r w:rsidR="00AA450E">
        <w:rPr>
          <w:lang w:val="en-GB"/>
        </w:rPr>
        <w:t>,</w:t>
      </w:r>
      <w:r w:rsidR="00561AE7" w:rsidRPr="00B010BF">
        <w:rPr>
          <w:lang w:val="en-GB"/>
        </w:rPr>
        <w:t xml:space="preserve"> approximately a 7.2 month increase in median overall survival </w:t>
      </w:r>
      <w:r w:rsidR="00AA450E">
        <w:rPr>
          <w:lang w:val="en-GB"/>
        </w:rPr>
        <w:t xml:space="preserve">was observed </w:t>
      </w:r>
      <w:r w:rsidR="00561AE7" w:rsidRPr="00B010BF">
        <w:rPr>
          <w:lang w:val="en-GB"/>
        </w:rPr>
        <w:t xml:space="preserve">in patients treated with </w:t>
      </w:r>
      <w:proofErr w:type="spellStart"/>
      <w:r w:rsidR="00561AE7" w:rsidRPr="00B010BF">
        <w:rPr>
          <w:lang w:val="en-GB"/>
        </w:rPr>
        <w:t>eribulin</w:t>
      </w:r>
      <w:proofErr w:type="spellEnd"/>
      <w:r w:rsidR="00561AE7" w:rsidRPr="00B010BF">
        <w:rPr>
          <w:lang w:val="en-GB"/>
        </w:rPr>
        <w:t xml:space="preserve"> in comparison with </w:t>
      </w:r>
      <w:proofErr w:type="spellStart"/>
      <w:r w:rsidR="00561AE7" w:rsidRPr="00B010BF">
        <w:rPr>
          <w:lang w:val="en-GB"/>
        </w:rPr>
        <w:t>dacarbazine</w:t>
      </w:r>
      <w:proofErr w:type="spellEnd"/>
      <w:r w:rsidR="00561AE7" w:rsidRPr="00B010BF">
        <w:rPr>
          <w:lang w:val="en-GB"/>
        </w:rPr>
        <w:t>.</w:t>
      </w:r>
      <w:r w:rsidR="00AA450E">
        <w:rPr>
          <w:lang w:val="en-GB"/>
        </w:rPr>
        <w:t xml:space="preserve"> However, the PBAC considered that the true survival benefit with </w:t>
      </w:r>
      <w:proofErr w:type="spellStart"/>
      <w:r w:rsidR="00AA450E">
        <w:rPr>
          <w:lang w:val="en-GB"/>
        </w:rPr>
        <w:t>eribulin</w:t>
      </w:r>
      <w:proofErr w:type="spellEnd"/>
      <w:r w:rsidR="00AA450E">
        <w:rPr>
          <w:lang w:val="en-GB"/>
        </w:rPr>
        <w:t xml:space="preserve"> would likely be less than 7.2 months, given that the subgroup results were not adjusted for multiplicity. Therefore the PBAC considered that</w:t>
      </w:r>
      <w:r w:rsidR="000D21DD">
        <w:rPr>
          <w:lang w:val="en-GB"/>
        </w:rPr>
        <w:t xml:space="preserve"> results of the ITT population, which demonstrated a 2.0 month increase in median overall survival in patients treated with </w:t>
      </w:r>
      <w:proofErr w:type="spellStart"/>
      <w:r w:rsidR="000D21DD">
        <w:rPr>
          <w:lang w:val="en-GB"/>
        </w:rPr>
        <w:t>eribulin</w:t>
      </w:r>
      <w:proofErr w:type="spellEnd"/>
      <w:r w:rsidR="000D21DD">
        <w:rPr>
          <w:lang w:val="en-GB"/>
        </w:rPr>
        <w:t xml:space="preserve"> in comparison with </w:t>
      </w:r>
      <w:proofErr w:type="spellStart"/>
      <w:r w:rsidR="000D21DD">
        <w:rPr>
          <w:lang w:val="en-GB"/>
        </w:rPr>
        <w:t>dacarbazine</w:t>
      </w:r>
      <w:proofErr w:type="spellEnd"/>
      <w:r w:rsidR="000D21DD">
        <w:rPr>
          <w:lang w:val="en-GB"/>
        </w:rPr>
        <w:t>, was a more reliable estimate of the true bene</w:t>
      </w:r>
      <w:r w:rsidR="004E2076">
        <w:rPr>
          <w:lang w:val="en-GB"/>
        </w:rPr>
        <w:t xml:space="preserve">fit of treatment with </w:t>
      </w:r>
      <w:proofErr w:type="spellStart"/>
      <w:r w:rsidR="004E2076">
        <w:rPr>
          <w:lang w:val="en-GB"/>
        </w:rPr>
        <w:t>eribulin</w:t>
      </w:r>
      <w:proofErr w:type="spellEnd"/>
      <w:r w:rsidR="004E2076">
        <w:rPr>
          <w:lang w:val="en-GB"/>
        </w:rPr>
        <w:t>.</w:t>
      </w:r>
    </w:p>
    <w:p w:rsidR="00AA450E" w:rsidRPr="00AA450E" w:rsidRDefault="00AA450E" w:rsidP="000D21DD">
      <w:pPr>
        <w:pStyle w:val="ListParagraph"/>
        <w:widowControl/>
        <w:rPr>
          <w:szCs w:val="22"/>
          <w:lang w:val="en-GB"/>
        </w:rPr>
      </w:pPr>
    </w:p>
    <w:p w:rsidR="00A814F3" w:rsidRPr="00B010BF" w:rsidRDefault="003F36B1" w:rsidP="00A728F8">
      <w:pPr>
        <w:pStyle w:val="ListParagraph"/>
        <w:widowControl/>
        <w:numPr>
          <w:ilvl w:val="1"/>
          <w:numId w:val="2"/>
        </w:numPr>
        <w:rPr>
          <w:szCs w:val="22"/>
          <w:lang w:val="en-GB"/>
        </w:rPr>
      </w:pPr>
      <w:r w:rsidRPr="00B010BF">
        <w:rPr>
          <w:lang w:val="en-GB"/>
        </w:rPr>
        <w:lastRenderedPageBreak/>
        <w:t xml:space="preserve">On the basis of the direct evidence presented for the ITT population, </w:t>
      </w:r>
      <w:r w:rsidR="004F75CC" w:rsidRPr="00B010BF">
        <w:rPr>
          <w:lang w:val="en-GB"/>
        </w:rPr>
        <w:t xml:space="preserve"> for every 100 patients treated with</w:t>
      </w:r>
      <w:r w:rsidR="00273DFF" w:rsidRPr="00B010BF">
        <w:rPr>
          <w:lang w:val="en-GB"/>
        </w:rPr>
        <w:t xml:space="preserve"> </w:t>
      </w:r>
      <w:proofErr w:type="spellStart"/>
      <w:r w:rsidR="00273DFF" w:rsidRPr="00B010BF">
        <w:rPr>
          <w:lang w:val="en-GB"/>
        </w:rPr>
        <w:t>eribulin</w:t>
      </w:r>
      <w:proofErr w:type="spellEnd"/>
      <w:r w:rsidR="004F75CC" w:rsidRPr="00B010BF">
        <w:rPr>
          <w:lang w:val="en-GB"/>
        </w:rPr>
        <w:t xml:space="preserve"> in comparison with </w:t>
      </w:r>
      <w:proofErr w:type="spellStart"/>
      <w:r w:rsidR="00A814F3" w:rsidRPr="00B010BF">
        <w:rPr>
          <w:lang w:val="en-GB"/>
        </w:rPr>
        <w:t>dacarbazine</w:t>
      </w:r>
      <w:proofErr w:type="spellEnd"/>
      <w:r w:rsidRPr="00B010BF">
        <w:rPr>
          <w:lang w:val="en-GB"/>
        </w:rPr>
        <w:t xml:space="preserve">, over a median follow-up of around </w:t>
      </w:r>
      <w:r w:rsidR="00A90A52" w:rsidRPr="00B010BF">
        <w:rPr>
          <w:lang w:val="en-GB"/>
        </w:rPr>
        <w:t>31 months</w:t>
      </w:r>
      <w:r w:rsidR="00A814F3" w:rsidRPr="00B010BF">
        <w:rPr>
          <w:lang w:val="en-GB"/>
        </w:rPr>
        <w:t>:</w:t>
      </w:r>
    </w:p>
    <w:p w:rsidR="006E2FD2" w:rsidRPr="00B010BF" w:rsidRDefault="00FC1884" w:rsidP="00A728F8">
      <w:pPr>
        <w:pStyle w:val="ListParagraph"/>
        <w:widowControl/>
        <w:numPr>
          <w:ilvl w:val="0"/>
          <w:numId w:val="1"/>
        </w:numPr>
        <w:ind w:left="993" w:hanging="284"/>
        <w:rPr>
          <w:lang w:val="en-GB"/>
        </w:rPr>
      </w:pPr>
      <w:r w:rsidRPr="00B010BF">
        <w:rPr>
          <w:lang w:val="en-GB"/>
        </w:rPr>
        <w:t xml:space="preserve">Approximately </w:t>
      </w:r>
      <w:r w:rsidR="006E2FD2" w:rsidRPr="00B010BF">
        <w:rPr>
          <w:lang w:val="en-GB"/>
        </w:rPr>
        <w:t>14 additional patients</w:t>
      </w:r>
      <w:r w:rsidRPr="00B010BF">
        <w:rPr>
          <w:lang w:val="en-GB"/>
        </w:rPr>
        <w:t xml:space="preserve"> would have</w:t>
      </w:r>
      <w:r w:rsidR="006E2FD2" w:rsidRPr="00B010BF">
        <w:rPr>
          <w:lang w:val="en-GB"/>
        </w:rPr>
        <w:t xml:space="preserve"> pyrexia</w:t>
      </w:r>
      <w:r w:rsidR="00BF2C5A" w:rsidRPr="00B010BF">
        <w:rPr>
          <w:lang w:val="en-GB"/>
        </w:rPr>
        <w:t xml:space="preserve"> (</w:t>
      </w:r>
      <w:r w:rsidR="003F36B1" w:rsidRPr="00B010BF">
        <w:rPr>
          <w:lang w:val="en-GB"/>
        </w:rPr>
        <w:t xml:space="preserve">fever, </w:t>
      </w:r>
      <w:r w:rsidR="00BF2C5A" w:rsidRPr="00B010BF">
        <w:rPr>
          <w:lang w:val="en-GB"/>
        </w:rPr>
        <w:t>any Grade)</w:t>
      </w:r>
      <w:r w:rsidR="00273DFF" w:rsidRPr="00B010BF">
        <w:rPr>
          <w:lang w:val="en-GB"/>
        </w:rPr>
        <w:t>;</w:t>
      </w:r>
    </w:p>
    <w:p w:rsidR="00FC1884" w:rsidRPr="00B010BF" w:rsidRDefault="006E2FD2" w:rsidP="00A728F8">
      <w:pPr>
        <w:pStyle w:val="ListParagraph"/>
        <w:widowControl/>
        <w:numPr>
          <w:ilvl w:val="0"/>
          <w:numId w:val="1"/>
        </w:numPr>
        <w:ind w:left="993" w:hanging="284"/>
        <w:rPr>
          <w:lang w:val="en-GB"/>
        </w:rPr>
      </w:pPr>
      <w:r w:rsidRPr="00B010BF">
        <w:rPr>
          <w:lang w:val="en-GB"/>
        </w:rPr>
        <w:t>Approximately 1</w:t>
      </w:r>
      <w:r w:rsidR="00232B54" w:rsidRPr="00B010BF">
        <w:rPr>
          <w:lang w:val="en-GB"/>
        </w:rPr>
        <w:t>7</w:t>
      </w:r>
      <w:r w:rsidRPr="00B010BF">
        <w:rPr>
          <w:lang w:val="en-GB"/>
        </w:rPr>
        <w:t xml:space="preserve"> additional patients would have peripheral sensory neuropathy</w:t>
      </w:r>
      <w:r w:rsidR="00BF2C5A" w:rsidRPr="00B010BF">
        <w:rPr>
          <w:lang w:val="en-GB"/>
        </w:rPr>
        <w:t xml:space="preserve"> (</w:t>
      </w:r>
      <w:r w:rsidR="003F36B1" w:rsidRPr="00B010BF">
        <w:rPr>
          <w:lang w:val="en-GB"/>
        </w:rPr>
        <w:t xml:space="preserve">loss of feeling in </w:t>
      </w:r>
      <w:proofErr w:type="spellStart"/>
      <w:r w:rsidR="003F36B1" w:rsidRPr="00B010BF">
        <w:rPr>
          <w:lang w:val="en-GB"/>
        </w:rPr>
        <w:t>extremeties</w:t>
      </w:r>
      <w:proofErr w:type="spellEnd"/>
      <w:r w:rsidR="003F36B1" w:rsidRPr="00B010BF">
        <w:rPr>
          <w:lang w:val="en-GB"/>
        </w:rPr>
        <w:t xml:space="preserve">, </w:t>
      </w:r>
      <w:r w:rsidR="00BF2C5A" w:rsidRPr="00B010BF">
        <w:rPr>
          <w:lang w:val="en-GB"/>
        </w:rPr>
        <w:t>any Grade)</w:t>
      </w:r>
      <w:r w:rsidR="00273DFF" w:rsidRPr="00B010BF">
        <w:rPr>
          <w:lang w:val="en-GB"/>
        </w:rPr>
        <w:t>;</w:t>
      </w:r>
    </w:p>
    <w:p w:rsidR="006E2FD2" w:rsidRPr="00B010BF" w:rsidRDefault="006E2FD2" w:rsidP="00A728F8">
      <w:pPr>
        <w:pStyle w:val="ListParagraph"/>
        <w:widowControl/>
        <w:numPr>
          <w:ilvl w:val="0"/>
          <w:numId w:val="1"/>
        </w:numPr>
        <w:ind w:left="993" w:hanging="284"/>
        <w:rPr>
          <w:lang w:val="en-GB"/>
        </w:rPr>
      </w:pPr>
      <w:r w:rsidRPr="00B010BF">
        <w:rPr>
          <w:lang w:val="en-GB"/>
        </w:rPr>
        <w:t>Approximately 32 additional patients would have alopecia</w:t>
      </w:r>
      <w:r w:rsidR="00BF2C5A" w:rsidRPr="00B010BF">
        <w:rPr>
          <w:lang w:val="en-GB"/>
        </w:rPr>
        <w:t xml:space="preserve"> (</w:t>
      </w:r>
      <w:r w:rsidR="003F36B1" w:rsidRPr="00B010BF">
        <w:rPr>
          <w:lang w:val="en-GB"/>
        </w:rPr>
        <w:t xml:space="preserve">hair loss, </w:t>
      </w:r>
      <w:r w:rsidR="00BF2C5A" w:rsidRPr="00B010BF">
        <w:rPr>
          <w:lang w:val="en-GB"/>
        </w:rPr>
        <w:t>any Grade)</w:t>
      </w:r>
      <w:r w:rsidR="00273DFF" w:rsidRPr="00B010BF">
        <w:rPr>
          <w:lang w:val="en-GB"/>
        </w:rPr>
        <w:t>;</w:t>
      </w:r>
    </w:p>
    <w:p w:rsidR="006E2FD2" w:rsidRPr="00B010BF" w:rsidRDefault="006E2FD2" w:rsidP="00A728F8">
      <w:pPr>
        <w:pStyle w:val="ListParagraph"/>
        <w:widowControl/>
        <w:numPr>
          <w:ilvl w:val="0"/>
          <w:numId w:val="1"/>
        </w:numPr>
        <w:ind w:left="993" w:hanging="284"/>
        <w:rPr>
          <w:lang w:val="en-GB"/>
        </w:rPr>
      </w:pPr>
      <w:r w:rsidRPr="00B010BF">
        <w:rPr>
          <w:lang w:val="en-GB"/>
        </w:rPr>
        <w:t xml:space="preserve">Approximately </w:t>
      </w:r>
      <w:r w:rsidR="00232B54" w:rsidRPr="00B010BF">
        <w:rPr>
          <w:lang w:val="en-GB"/>
        </w:rPr>
        <w:t>20</w:t>
      </w:r>
      <w:r w:rsidRPr="00B010BF">
        <w:rPr>
          <w:lang w:val="en-GB"/>
        </w:rPr>
        <w:t xml:space="preserve"> additional patients would have Grade 3 or 4 neutropenia</w:t>
      </w:r>
      <w:r w:rsidR="003F36B1" w:rsidRPr="00B010BF">
        <w:rPr>
          <w:lang w:val="en-GB"/>
        </w:rPr>
        <w:t xml:space="preserve"> (very low white blood </w:t>
      </w:r>
      <w:r w:rsidR="00E22AE7" w:rsidRPr="00B010BF">
        <w:rPr>
          <w:lang w:val="en-GB"/>
        </w:rPr>
        <w:t>cell count</w:t>
      </w:r>
      <w:r w:rsidR="003F36B1" w:rsidRPr="00B010BF">
        <w:rPr>
          <w:lang w:val="en-GB"/>
        </w:rPr>
        <w:t>)</w:t>
      </w:r>
      <w:r w:rsidR="00273DFF" w:rsidRPr="00B010BF">
        <w:rPr>
          <w:lang w:val="en-GB"/>
        </w:rPr>
        <w:t>;</w:t>
      </w:r>
    </w:p>
    <w:p w:rsidR="006E2FD2" w:rsidRPr="00B010BF" w:rsidRDefault="006E2FD2" w:rsidP="00A728F8">
      <w:pPr>
        <w:pStyle w:val="ListParagraph"/>
        <w:widowControl/>
        <w:numPr>
          <w:ilvl w:val="0"/>
          <w:numId w:val="1"/>
        </w:numPr>
        <w:ind w:left="993" w:hanging="284"/>
        <w:rPr>
          <w:lang w:val="en-GB"/>
        </w:rPr>
      </w:pPr>
      <w:r w:rsidRPr="00B010BF">
        <w:rPr>
          <w:lang w:val="en-GB"/>
        </w:rPr>
        <w:t>Approximately 6 additional patients would have Grade 3 or 4 leukopenia</w:t>
      </w:r>
      <w:r w:rsidR="003F36B1" w:rsidRPr="00B010BF">
        <w:rPr>
          <w:lang w:val="en-GB"/>
        </w:rPr>
        <w:t xml:space="preserve"> (very low white blood </w:t>
      </w:r>
      <w:r w:rsidR="00E22AE7" w:rsidRPr="00B010BF">
        <w:rPr>
          <w:lang w:val="en-GB"/>
        </w:rPr>
        <w:t>cell count</w:t>
      </w:r>
      <w:r w:rsidR="003F36B1" w:rsidRPr="00B010BF">
        <w:rPr>
          <w:lang w:val="en-GB"/>
        </w:rPr>
        <w:t>)</w:t>
      </w:r>
      <w:r w:rsidR="00273DFF" w:rsidRPr="00B010BF">
        <w:rPr>
          <w:lang w:val="en-GB"/>
        </w:rPr>
        <w:t>; and</w:t>
      </w:r>
    </w:p>
    <w:p w:rsidR="006E2FD2" w:rsidRPr="00B010BF" w:rsidRDefault="006E2FD2" w:rsidP="00A728F8">
      <w:pPr>
        <w:pStyle w:val="ListParagraph"/>
        <w:widowControl/>
        <w:numPr>
          <w:ilvl w:val="0"/>
          <w:numId w:val="1"/>
        </w:numPr>
        <w:ind w:left="993" w:hanging="284"/>
        <w:rPr>
          <w:lang w:val="en-GB"/>
        </w:rPr>
      </w:pPr>
      <w:r w:rsidRPr="00B010BF">
        <w:rPr>
          <w:lang w:val="en-GB"/>
        </w:rPr>
        <w:t xml:space="preserve">Approximately 15 fewer patients would have Grade 3 or </w:t>
      </w:r>
      <w:proofErr w:type="gramStart"/>
      <w:r w:rsidRPr="00B010BF">
        <w:rPr>
          <w:lang w:val="en-GB"/>
        </w:rPr>
        <w:t>4 thrombocytopenia</w:t>
      </w:r>
      <w:r w:rsidR="00E22AE7" w:rsidRPr="00B010BF">
        <w:rPr>
          <w:lang w:val="en-GB"/>
        </w:rPr>
        <w:t xml:space="preserve"> (very low platelet count</w:t>
      </w:r>
      <w:r w:rsidR="003F36B1" w:rsidRPr="00B010BF">
        <w:rPr>
          <w:lang w:val="en-GB"/>
        </w:rPr>
        <w:t>)</w:t>
      </w:r>
      <w:proofErr w:type="gramEnd"/>
      <w:r w:rsidRPr="00B010BF">
        <w:rPr>
          <w:lang w:val="en-GB"/>
        </w:rPr>
        <w:t>.</w:t>
      </w:r>
    </w:p>
    <w:p w:rsidR="00FC1884" w:rsidRPr="00A43FAA" w:rsidRDefault="00FC1884" w:rsidP="00903665">
      <w:pPr>
        <w:pStyle w:val="ListParagraph"/>
        <w:widowControl/>
        <w:rPr>
          <w:i/>
          <w:szCs w:val="22"/>
          <w:lang w:val="en-GB"/>
        </w:rPr>
      </w:pPr>
    </w:p>
    <w:p w:rsidR="00B60939" w:rsidRPr="00B010BF" w:rsidRDefault="00B60939" w:rsidP="00903665">
      <w:pPr>
        <w:pStyle w:val="Heading3"/>
        <w:widowControl/>
        <w:rPr>
          <w:i w:val="0"/>
        </w:rPr>
      </w:pPr>
      <w:bookmarkStart w:id="12" w:name="_Toc461622508"/>
      <w:r w:rsidRPr="00A43FAA">
        <w:t>Clinical claim</w:t>
      </w:r>
      <w:bookmarkEnd w:id="12"/>
    </w:p>
    <w:p w:rsidR="00B60939" w:rsidRPr="00B010BF" w:rsidRDefault="00B60939" w:rsidP="00903665">
      <w:pPr>
        <w:keepNext/>
        <w:widowControl/>
        <w:ind w:left="720" w:hanging="720"/>
        <w:rPr>
          <w:szCs w:val="22"/>
          <w:lang w:val="en-GB"/>
        </w:rPr>
      </w:pPr>
    </w:p>
    <w:p w:rsidR="00A814F3" w:rsidRPr="000D21DD" w:rsidRDefault="006E2FD2" w:rsidP="000C1A3C">
      <w:pPr>
        <w:pStyle w:val="ListParagraph"/>
        <w:widowControl/>
        <w:numPr>
          <w:ilvl w:val="1"/>
          <w:numId w:val="2"/>
        </w:numPr>
        <w:rPr>
          <w:szCs w:val="22"/>
          <w:lang w:val="en-GB"/>
        </w:rPr>
      </w:pPr>
      <w:r w:rsidRPr="000D21DD">
        <w:rPr>
          <w:lang w:val="en-GB"/>
        </w:rPr>
        <w:t xml:space="preserve">The submission described </w:t>
      </w:r>
      <w:proofErr w:type="spellStart"/>
      <w:r w:rsidRPr="000D21DD">
        <w:rPr>
          <w:lang w:val="en-GB"/>
        </w:rPr>
        <w:t>eribulin</w:t>
      </w:r>
      <w:proofErr w:type="spellEnd"/>
      <w:r w:rsidRPr="000D21DD">
        <w:rPr>
          <w:lang w:val="en-GB"/>
        </w:rPr>
        <w:t xml:space="preserve"> as superior in terms of comparative effectiveness and different in terms of comparative safety over </w:t>
      </w:r>
      <w:proofErr w:type="spellStart"/>
      <w:r w:rsidRPr="000D21DD">
        <w:rPr>
          <w:lang w:val="en-GB"/>
        </w:rPr>
        <w:t>dacarbazine</w:t>
      </w:r>
      <w:proofErr w:type="spellEnd"/>
      <w:r w:rsidRPr="000D21DD">
        <w:rPr>
          <w:lang w:val="en-GB"/>
        </w:rPr>
        <w:t>.</w:t>
      </w:r>
    </w:p>
    <w:p w:rsidR="000D21DD" w:rsidRPr="000D21DD" w:rsidRDefault="000D21DD" w:rsidP="000D21DD">
      <w:pPr>
        <w:pStyle w:val="ListParagraph"/>
        <w:widowControl/>
        <w:rPr>
          <w:szCs w:val="22"/>
          <w:lang w:val="en-GB"/>
        </w:rPr>
      </w:pPr>
    </w:p>
    <w:p w:rsidR="006E2FD2" w:rsidRPr="00B010BF" w:rsidRDefault="006E2FD2" w:rsidP="00A728F8">
      <w:pPr>
        <w:pStyle w:val="ListParagraph"/>
        <w:widowControl/>
        <w:numPr>
          <w:ilvl w:val="1"/>
          <w:numId w:val="2"/>
        </w:numPr>
        <w:rPr>
          <w:szCs w:val="22"/>
          <w:lang w:val="en-GB"/>
        </w:rPr>
      </w:pPr>
      <w:r w:rsidRPr="00B010BF">
        <w:rPr>
          <w:lang w:val="en-GB"/>
        </w:rPr>
        <w:t>Th</w:t>
      </w:r>
      <w:r w:rsidR="00A558AC">
        <w:rPr>
          <w:lang w:val="en-GB"/>
        </w:rPr>
        <w:t>e</w:t>
      </w:r>
      <w:r w:rsidRPr="00B010BF">
        <w:rPr>
          <w:lang w:val="en-GB"/>
        </w:rPr>
        <w:t xml:space="preserve"> claim of different</w:t>
      </w:r>
      <w:r w:rsidR="00BF2C5A" w:rsidRPr="00B010BF">
        <w:rPr>
          <w:lang w:val="en-GB"/>
        </w:rPr>
        <w:t xml:space="preserve"> safety compared with </w:t>
      </w:r>
      <w:proofErr w:type="spellStart"/>
      <w:r w:rsidR="00BF2C5A" w:rsidRPr="00B010BF">
        <w:rPr>
          <w:lang w:val="en-GB"/>
        </w:rPr>
        <w:t>dacarbazine</w:t>
      </w:r>
      <w:proofErr w:type="spellEnd"/>
      <w:r w:rsidR="0011495F">
        <w:rPr>
          <w:lang w:val="en-GB"/>
        </w:rPr>
        <w:t xml:space="preserve"> was not</w:t>
      </w:r>
      <w:r w:rsidRPr="00B010BF">
        <w:rPr>
          <w:lang w:val="en-GB"/>
        </w:rPr>
        <w:t xml:space="preserve"> adequately supported.</w:t>
      </w:r>
      <w:r w:rsidR="000D21DD">
        <w:rPr>
          <w:rStyle w:val="CommentReference"/>
          <w:rFonts w:cs="Times New Roman"/>
        </w:rPr>
        <w:t xml:space="preserve"> </w:t>
      </w:r>
      <w:r w:rsidR="0011495F">
        <w:rPr>
          <w:lang w:val="en-GB"/>
        </w:rPr>
        <w:t>A more appropriate claim would</w:t>
      </w:r>
      <w:r w:rsidRPr="00B010BF">
        <w:rPr>
          <w:lang w:val="en-GB"/>
        </w:rPr>
        <w:t xml:space="preserve"> be</w:t>
      </w:r>
      <w:r w:rsidR="0011495F">
        <w:rPr>
          <w:lang w:val="en-GB"/>
        </w:rPr>
        <w:t xml:space="preserve"> that </w:t>
      </w:r>
      <w:proofErr w:type="spellStart"/>
      <w:r w:rsidR="0011495F">
        <w:rPr>
          <w:lang w:val="en-GB"/>
        </w:rPr>
        <w:t>eribulin</w:t>
      </w:r>
      <w:proofErr w:type="spellEnd"/>
      <w:r w:rsidR="0011495F">
        <w:rPr>
          <w:lang w:val="en-GB"/>
        </w:rPr>
        <w:t xml:space="preserve"> is</w:t>
      </w:r>
      <w:r w:rsidRPr="00B010BF">
        <w:rPr>
          <w:lang w:val="en-GB"/>
        </w:rPr>
        <w:t xml:space="preserve"> inferior</w:t>
      </w:r>
      <w:r w:rsidR="0011495F">
        <w:rPr>
          <w:lang w:val="en-GB"/>
        </w:rPr>
        <w:t xml:space="preserve"> to </w:t>
      </w:r>
      <w:proofErr w:type="spellStart"/>
      <w:r w:rsidR="0011495F">
        <w:rPr>
          <w:lang w:val="en-GB"/>
        </w:rPr>
        <w:t>dacarbazine</w:t>
      </w:r>
      <w:proofErr w:type="spellEnd"/>
      <w:r w:rsidRPr="00B010BF">
        <w:rPr>
          <w:lang w:val="en-GB"/>
        </w:rPr>
        <w:t xml:space="preserve"> in terms of comparative safety for the treatment of patients with locally </w:t>
      </w:r>
      <w:proofErr w:type="spellStart"/>
      <w:r w:rsidRPr="00B010BF">
        <w:rPr>
          <w:lang w:val="en-GB"/>
        </w:rPr>
        <w:t>unresectable</w:t>
      </w:r>
      <w:proofErr w:type="spellEnd"/>
      <w:r w:rsidRPr="00B010BF">
        <w:rPr>
          <w:lang w:val="en-GB"/>
        </w:rPr>
        <w:t xml:space="preserve"> or metastatic soft tissue sarcoma</w:t>
      </w:r>
      <w:r w:rsidR="0011495F">
        <w:rPr>
          <w:lang w:val="en-GB"/>
        </w:rPr>
        <w:t>,</w:t>
      </w:r>
      <w:r w:rsidRPr="00B010BF">
        <w:rPr>
          <w:lang w:val="en-GB"/>
        </w:rPr>
        <w:t xml:space="preserve"> as:</w:t>
      </w:r>
    </w:p>
    <w:p w:rsidR="006E2FD2" w:rsidRPr="00B010BF" w:rsidRDefault="006E2FD2" w:rsidP="00A728F8">
      <w:pPr>
        <w:pStyle w:val="ListParagraph"/>
        <w:widowControl/>
        <w:numPr>
          <w:ilvl w:val="0"/>
          <w:numId w:val="5"/>
        </w:numPr>
        <w:rPr>
          <w:szCs w:val="22"/>
          <w:lang w:val="en-GB"/>
        </w:rPr>
      </w:pPr>
      <w:r w:rsidRPr="00B010BF">
        <w:rPr>
          <w:szCs w:val="22"/>
          <w:lang w:val="en-GB"/>
        </w:rPr>
        <w:t xml:space="preserve">the </w:t>
      </w:r>
      <w:r w:rsidR="00E22AE7" w:rsidRPr="00B010BF">
        <w:rPr>
          <w:szCs w:val="22"/>
          <w:lang w:val="en-GB"/>
        </w:rPr>
        <w:t xml:space="preserve">proportion </w:t>
      </w:r>
      <w:r w:rsidRPr="00B010BF">
        <w:rPr>
          <w:szCs w:val="22"/>
          <w:lang w:val="en-GB"/>
        </w:rPr>
        <w:t xml:space="preserve">of patients with Grade 3 or 4 </w:t>
      </w:r>
      <w:r w:rsidR="0011495F">
        <w:rPr>
          <w:szCs w:val="22"/>
          <w:lang w:val="en-GB"/>
        </w:rPr>
        <w:t>TEAEs</w:t>
      </w:r>
      <w:r w:rsidRPr="00B010BF">
        <w:rPr>
          <w:szCs w:val="22"/>
          <w:lang w:val="en-GB"/>
        </w:rPr>
        <w:t xml:space="preserve"> w</w:t>
      </w:r>
      <w:r w:rsidR="004C1331" w:rsidRPr="00B010BF">
        <w:rPr>
          <w:szCs w:val="22"/>
          <w:lang w:val="en-GB"/>
        </w:rPr>
        <w:t xml:space="preserve">as  </w:t>
      </w:r>
      <w:r w:rsidRPr="00B010BF">
        <w:rPr>
          <w:szCs w:val="22"/>
          <w:lang w:val="en-GB"/>
        </w:rPr>
        <w:t xml:space="preserve">significantly higher with </w:t>
      </w:r>
      <w:proofErr w:type="spellStart"/>
      <w:r w:rsidRPr="00B010BF">
        <w:rPr>
          <w:szCs w:val="22"/>
          <w:lang w:val="en-GB"/>
        </w:rPr>
        <w:t>eribulin</w:t>
      </w:r>
      <w:proofErr w:type="spellEnd"/>
      <w:r w:rsidR="002560D1" w:rsidRPr="00B010BF">
        <w:rPr>
          <w:szCs w:val="22"/>
          <w:lang w:val="en-GB"/>
        </w:rPr>
        <w:t>;</w:t>
      </w:r>
    </w:p>
    <w:p w:rsidR="006E2FD2" w:rsidRPr="00B010BF" w:rsidRDefault="006E2FD2" w:rsidP="00A728F8">
      <w:pPr>
        <w:pStyle w:val="ListParagraph"/>
        <w:widowControl/>
        <w:numPr>
          <w:ilvl w:val="0"/>
          <w:numId w:val="5"/>
        </w:numPr>
        <w:rPr>
          <w:szCs w:val="22"/>
          <w:lang w:val="en-GB"/>
        </w:rPr>
      </w:pPr>
      <w:proofErr w:type="spellStart"/>
      <w:r w:rsidRPr="00B010BF">
        <w:rPr>
          <w:szCs w:val="22"/>
          <w:lang w:val="en-GB"/>
        </w:rPr>
        <w:t>eribulin</w:t>
      </w:r>
      <w:proofErr w:type="spellEnd"/>
      <w:r w:rsidRPr="00B010BF">
        <w:rPr>
          <w:szCs w:val="22"/>
          <w:lang w:val="en-GB"/>
        </w:rPr>
        <w:t xml:space="preserve"> was associated with statistically significant higher rates of any Grade neutropenia, alopecia, peripheral sensory neuropathy, headache, stomatitis, pyrexia, urinary tract infection and hypokalaemia, while </w:t>
      </w:r>
      <w:proofErr w:type="spellStart"/>
      <w:r w:rsidRPr="00B010BF">
        <w:rPr>
          <w:szCs w:val="22"/>
          <w:lang w:val="en-GB"/>
        </w:rPr>
        <w:t>dacarbazine</w:t>
      </w:r>
      <w:proofErr w:type="spellEnd"/>
      <w:r w:rsidRPr="00B010BF">
        <w:rPr>
          <w:szCs w:val="22"/>
          <w:lang w:val="en-GB"/>
        </w:rPr>
        <w:t xml:space="preserve"> was associated with a statistically</w:t>
      </w:r>
      <w:r w:rsidR="001117AD">
        <w:rPr>
          <w:szCs w:val="22"/>
          <w:lang w:val="en-GB"/>
        </w:rPr>
        <w:t xml:space="preserve"> significant</w:t>
      </w:r>
      <w:r w:rsidRPr="00B010BF">
        <w:rPr>
          <w:szCs w:val="22"/>
          <w:lang w:val="en-GB"/>
        </w:rPr>
        <w:t xml:space="preserve"> higher incidence of thrombocytopenia</w:t>
      </w:r>
      <w:r w:rsidR="002560D1" w:rsidRPr="00B010BF">
        <w:rPr>
          <w:szCs w:val="22"/>
          <w:lang w:val="en-GB"/>
        </w:rPr>
        <w:t>; and</w:t>
      </w:r>
    </w:p>
    <w:p w:rsidR="006E2FD2" w:rsidRPr="00B010BF" w:rsidRDefault="006E2FD2" w:rsidP="00A728F8">
      <w:pPr>
        <w:pStyle w:val="ListParagraph"/>
        <w:widowControl/>
        <w:numPr>
          <w:ilvl w:val="0"/>
          <w:numId w:val="5"/>
        </w:numPr>
        <w:rPr>
          <w:szCs w:val="22"/>
          <w:lang w:val="en-GB"/>
        </w:rPr>
      </w:pPr>
      <w:proofErr w:type="spellStart"/>
      <w:proofErr w:type="gramStart"/>
      <w:r w:rsidRPr="00B010BF">
        <w:rPr>
          <w:szCs w:val="22"/>
          <w:lang w:val="en-GB"/>
        </w:rPr>
        <w:t>eribulin</w:t>
      </w:r>
      <w:proofErr w:type="spellEnd"/>
      <w:proofErr w:type="gramEnd"/>
      <w:r w:rsidRPr="00B010BF">
        <w:rPr>
          <w:szCs w:val="22"/>
          <w:lang w:val="en-GB"/>
        </w:rPr>
        <w:t xml:space="preserve"> was associated with statistically significant higher rates of Grade 3 or 4 </w:t>
      </w:r>
      <w:r w:rsidR="00BF2C5A" w:rsidRPr="00B010BF">
        <w:rPr>
          <w:szCs w:val="22"/>
          <w:lang w:val="en-GB"/>
        </w:rPr>
        <w:t>TEAEs</w:t>
      </w:r>
      <w:r w:rsidRPr="00B010BF">
        <w:rPr>
          <w:szCs w:val="22"/>
          <w:lang w:val="en-GB"/>
        </w:rPr>
        <w:t xml:space="preserve"> (any</w:t>
      </w:r>
      <w:r w:rsidR="00BF2C5A" w:rsidRPr="00B010BF">
        <w:rPr>
          <w:szCs w:val="22"/>
          <w:lang w:val="en-GB"/>
        </w:rPr>
        <w:t xml:space="preserve"> type</w:t>
      </w:r>
      <w:r w:rsidRPr="00B010BF">
        <w:rPr>
          <w:szCs w:val="22"/>
          <w:lang w:val="en-GB"/>
        </w:rPr>
        <w:t xml:space="preserve">), blood and lymphatic system disorders (total), neutropenia and leukopenia; </w:t>
      </w:r>
      <w:proofErr w:type="spellStart"/>
      <w:r w:rsidRPr="00B010BF">
        <w:rPr>
          <w:szCs w:val="22"/>
          <w:lang w:val="en-GB"/>
        </w:rPr>
        <w:t>dacarbazine</w:t>
      </w:r>
      <w:proofErr w:type="spellEnd"/>
      <w:r w:rsidRPr="00B010BF">
        <w:rPr>
          <w:szCs w:val="22"/>
          <w:lang w:val="en-GB"/>
        </w:rPr>
        <w:t xml:space="preserve"> was associated with a higher incidence of  thrombocytopenia.</w:t>
      </w:r>
    </w:p>
    <w:p w:rsidR="00B60939" w:rsidRPr="00B010BF" w:rsidRDefault="00B60939" w:rsidP="00903665">
      <w:pPr>
        <w:widowControl/>
        <w:ind w:left="720" w:hanging="720"/>
        <w:rPr>
          <w:szCs w:val="22"/>
          <w:lang w:val="en-GB"/>
        </w:rPr>
      </w:pPr>
    </w:p>
    <w:p w:rsidR="000A0966" w:rsidRPr="00B010BF" w:rsidRDefault="00E91BA4" w:rsidP="00A728F8">
      <w:pPr>
        <w:pStyle w:val="ListParagraph"/>
        <w:keepNext/>
        <w:widowControl/>
        <w:numPr>
          <w:ilvl w:val="1"/>
          <w:numId w:val="2"/>
        </w:numPr>
        <w:rPr>
          <w:szCs w:val="22"/>
          <w:lang w:val="en-GB"/>
        </w:rPr>
      </w:pPr>
      <w:r w:rsidRPr="00B010BF">
        <w:rPr>
          <w:lang w:val="en-GB"/>
        </w:rPr>
        <w:t xml:space="preserve">The PSCR acknowledged that it might have been reasonable to consider </w:t>
      </w:r>
      <w:proofErr w:type="spellStart"/>
      <w:r w:rsidRPr="00B010BF">
        <w:rPr>
          <w:lang w:val="en-GB"/>
        </w:rPr>
        <w:t>eribulin</w:t>
      </w:r>
      <w:proofErr w:type="spellEnd"/>
      <w:r w:rsidRPr="00B010BF">
        <w:rPr>
          <w:lang w:val="en-GB"/>
        </w:rPr>
        <w:t xml:space="preserve"> as inferior to </w:t>
      </w:r>
      <w:proofErr w:type="spellStart"/>
      <w:r w:rsidRPr="00B010BF">
        <w:rPr>
          <w:lang w:val="en-GB"/>
        </w:rPr>
        <w:t>dacarbazine</w:t>
      </w:r>
      <w:proofErr w:type="spellEnd"/>
      <w:r w:rsidRPr="00B010BF">
        <w:rPr>
          <w:lang w:val="en-GB"/>
        </w:rPr>
        <w:t xml:space="preserve"> with regards to comparative </w:t>
      </w:r>
      <w:proofErr w:type="gramStart"/>
      <w:r w:rsidRPr="00B010BF">
        <w:rPr>
          <w:lang w:val="en-GB"/>
        </w:rPr>
        <w:t>safety,</w:t>
      </w:r>
      <w:proofErr w:type="gramEnd"/>
      <w:r w:rsidRPr="00B010BF">
        <w:rPr>
          <w:lang w:val="en-GB"/>
        </w:rPr>
        <w:t xml:space="preserve"> </w:t>
      </w:r>
      <w:r w:rsidR="000A0966" w:rsidRPr="00B010BF">
        <w:rPr>
          <w:lang w:val="en-GB"/>
        </w:rPr>
        <w:t>however,</w:t>
      </w:r>
      <w:r w:rsidRPr="00B010BF">
        <w:rPr>
          <w:lang w:val="en-GB"/>
        </w:rPr>
        <w:t xml:space="preserve"> </w:t>
      </w:r>
      <w:r w:rsidR="00783C7A">
        <w:rPr>
          <w:lang w:val="en-GB"/>
        </w:rPr>
        <w:t>the PSCR also stated that</w:t>
      </w:r>
      <w:r w:rsidR="006F4CD2">
        <w:rPr>
          <w:lang w:val="en-GB"/>
        </w:rPr>
        <w:t xml:space="preserve"> </w:t>
      </w:r>
      <w:r w:rsidRPr="00B010BF">
        <w:rPr>
          <w:lang w:val="en-GB"/>
        </w:rPr>
        <w:t xml:space="preserve">the </w:t>
      </w:r>
      <w:r w:rsidR="000A0966" w:rsidRPr="00B010BF">
        <w:rPr>
          <w:lang w:val="en-GB"/>
        </w:rPr>
        <w:t>development</w:t>
      </w:r>
      <w:r w:rsidRPr="00B010BF">
        <w:rPr>
          <w:lang w:val="en-GB"/>
        </w:rPr>
        <w:t xml:space="preserve"> of serious haematological </w:t>
      </w:r>
      <w:r w:rsidR="00783C7A">
        <w:rPr>
          <w:lang w:val="en-GB"/>
        </w:rPr>
        <w:t>AEs</w:t>
      </w:r>
      <w:r w:rsidRPr="00B010BF">
        <w:rPr>
          <w:lang w:val="en-GB"/>
        </w:rPr>
        <w:t xml:space="preserve"> could be mitigated through implementation of dose delay/reduction protocols.</w:t>
      </w:r>
      <w:r w:rsidR="00A874E1" w:rsidRPr="00B010BF">
        <w:rPr>
          <w:lang w:val="en-GB"/>
        </w:rPr>
        <w:t xml:space="preserve"> </w:t>
      </w:r>
      <w:r w:rsidR="00233427" w:rsidRPr="00B010BF">
        <w:rPr>
          <w:lang w:val="en-GB"/>
        </w:rPr>
        <w:t xml:space="preserve">The ESC noted that the impact of dose delay/reduction protocols on the efficacy and safety of </w:t>
      </w:r>
      <w:proofErr w:type="spellStart"/>
      <w:r w:rsidR="00233427" w:rsidRPr="00B010BF">
        <w:rPr>
          <w:lang w:val="en-GB"/>
        </w:rPr>
        <w:t>eribulin</w:t>
      </w:r>
      <w:proofErr w:type="spellEnd"/>
      <w:r w:rsidR="00233427" w:rsidRPr="00B010BF">
        <w:rPr>
          <w:lang w:val="en-GB"/>
        </w:rPr>
        <w:t xml:space="preserve"> had not been demonstrated and therefore considered that </w:t>
      </w:r>
      <w:r w:rsidR="00A558AC">
        <w:rPr>
          <w:lang w:val="en-GB"/>
        </w:rPr>
        <w:t xml:space="preserve">it was unknown if </w:t>
      </w:r>
      <w:r w:rsidR="00233427" w:rsidRPr="00B010BF">
        <w:rPr>
          <w:lang w:val="en-GB"/>
        </w:rPr>
        <w:t xml:space="preserve">such strategies </w:t>
      </w:r>
      <w:r w:rsidR="00A558AC">
        <w:rPr>
          <w:lang w:val="en-GB"/>
        </w:rPr>
        <w:t>would</w:t>
      </w:r>
      <w:r w:rsidR="00233427" w:rsidRPr="00B010BF">
        <w:rPr>
          <w:lang w:val="en-GB"/>
        </w:rPr>
        <w:t xml:space="preserve"> mitigate the risk of developing serious </w:t>
      </w:r>
      <w:r w:rsidR="00783C7A">
        <w:rPr>
          <w:lang w:val="en-GB"/>
        </w:rPr>
        <w:t>AEs</w:t>
      </w:r>
      <w:r w:rsidR="00233427" w:rsidRPr="00B010BF">
        <w:rPr>
          <w:lang w:val="en-GB"/>
        </w:rPr>
        <w:t xml:space="preserve">. </w:t>
      </w:r>
      <w:r w:rsidR="00A874E1" w:rsidRPr="00B010BF">
        <w:rPr>
          <w:lang w:val="en-GB"/>
        </w:rPr>
        <w:t>The</w:t>
      </w:r>
      <w:r w:rsidR="00990833" w:rsidRPr="00B010BF">
        <w:rPr>
          <w:lang w:val="en-GB"/>
        </w:rPr>
        <w:t xml:space="preserve"> ESC agreed with the commentary</w:t>
      </w:r>
      <w:r w:rsidR="00A874E1" w:rsidRPr="00B010BF">
        <w:rPr>
          <w:lang w:val="en-GB"/>
        </w:rPr>
        <w:t xml:space="preserve"> </w:t>
      </w:r>
      <w:r w:rsidR="000A0966" w:rsidRPr="00B010BF">
        <w:rPr>
          <w:lang w:val="en-GB"/>
        </w:rPr>
        <w:t>that</w:t>
      </w:r>
      <w:r w:rsidR="00A874E1" w:rsidRPr="00B010BF">
        <w:rPr>
          <w:lang w:val="en-GB"/>
        </w:rPr>
        <w:t xml:space="preserve"> </w:t>
      </w:r>
      <w:r w:rsidR="000A0966" w:rsidRPr="00B010BF">
        <w:rPr>
          <w:lang w:val="en-GB"/>
        </w:rPr>
        <w:t xml:space="preserve">a more appropriate claim would be that </w:t>
      </w:r>
      <w:proofErr w:type="spellStart"/>
      <w:r w:rsidR="000A0966" w:rsidRPr="00B010BF">
        <w:rPr>
          <w:lang w:val="en-GB"/>
        </w:rPr>
        <w:t>eribulin</w:t>
      </w:r>
      <w:proofErr w:type="spellEnd"/>
      <w:r w:rsidR="000A0966" w:rsidRPr="00B010BF">
        <w:rPr>
          <w:lang w:val="en-GB"/>
        </w:rPr>
        <w:t xml:space="preserve"> is inferior to </w:t>
      </w:r>
      <w:proofErr w:type="spellStart"/>
      <w:r w:rsidR="000A0966" w:rsidRPr="00B010BF">
        <w:rPr>
          <w:lang w:val="en-GB"/>
        </w:rPr>
        <w:t>dacarbazine</w:t>
      </w:r>
      <w:proofErr w:type="spellEnd"/>
      <w:r w:rsidR="000A0966" w:rsidRPr="00B010BF">
        <w:rPr>
          <w:lang w:val="en-GB"/>
        </w:rPr>
        <w:t xml:space="preserve"> </w:t>
      </w:r>
      <w:r w:rsidR="004E2076">
        <w:rPr>
          <w:lang w:val="en-GB"/>
        </w:rPr>
        <w:t>in terms of comparative safety.</w:t>
      </w:r>
    </w:p>
    <w:p w:rsidR="00E91BA4" w:rsidRPr="00B010BF" w:rsidRDefault="00E91BA4" w:rsidP="00903665">
      <w:pPr>
        <w:pStyle w:val="PBACHeading1"/>
        <w:numPr>
          <w:ilvl w:val="0"/>
          <w:numId w:val="0"/>
        </w:numPr>
        <w:ind w:left="720" w:hanging="720"/>
        <w:rPr>
          <w:lang w:val="en-GB"/>
        </w:rPr>
      </w:pPr>
    </w:p>
    <w:p w:rsidR="00817136" w:rsidRPr="00B010BF" w:rsidRDefault="00817136" w:rsidP="00A728F8">
      <w:pPr>
        <w:pStyle w:val="ListParagraph"/>
        <w:keepNext/>
        <w:widowControl/>
        <w:numPr>
          <w:ilvl w:val="1"/>
          <w:numId w:val="2"/>
        </w:numPr>
        <w:rPr>
          <w:szCs w:val="22"/>
          <w:lang w:val="en-GB"/>
        </w:rPr>
      </w:pPr>
      <w:r w:rsidRPr="00B010BF">
        <w:rPr>
          <w:lang w:val="en-GB"/>
        </w:rPr>
        <w:lastRenderedPageBreak/>
        <w:t xml:space="preserve">The submission made no claims of comparative efficacy or safety for the comparison with </w:t>
      </w:r>
      <w:proofErr w:type="spellStart"/>
      <w:r w:rsidRPr="00B010BF">
        <w:rPr>
          <w:lang w:val="en-GB"/>
        </w:rPr>
        <w:t>ifosfamide</w:t>
      </w:r>
      <w:proofErr w:type="spellEnd"/>
      <w:r w:rsidRPr="00B010BF">
        <w:rPr>
          <w:lang w:val="en-GB"/>
        </w:rPr>
        <w:t xml:space="preserve"> due to the substantial differences in the clinical characteristics of patients enrolled across the identified trial, the lack of a common intervention, and the heterogeneity in the nature of outcomes reported. This was </w:t>
      </w:r>
      <w:r w:rsidR="00A558AC">
        <w:rPr>
          <w:lang w:val="en-GB"/>
        </w:rPr>
        <w:t xml:space="preserve">considered </w:t>
      </w:r>
      <w:r w:rsidRPr="00B010BF">
        <w:rPr>
          <w:lang w:val="en-GB"/>
        </w:rPr>
        <w:t>reasonable</w:t>
      </w:r>
      <w:r w:rsidR="00A558AC">
        <w:rPr>
          <w:lang w:val="en-GB"/>
        </w:rPr>
        <w:t xml:space="preserve"> during the evaluation</w:t>
      </w:r>
      <w:r w:rsidRPr="00B010BF">
        <w:rPr>
          <w:lang w:val="en-GB"/>
        </w:rPr>
        <w:t>.</w:t>
      </w:r>
    </w:p>
    <w:p w:rsidR="00124895" w:rsidRPr="00B010BF" w:rsidRDefault="00124895" w:rsidP="00903665">
      <w:pPr>
        <w:widowControl/>
        <w:ind w:left="720" w:hanging="720"/>
        <w:rPr>
          <w:szCs w:val="22"/>
          <w:lang w:val="en-GB"/>
        </w:rPr>
      </w:pPr>
    </w:p>
    <w:p w:rsidR="0088345B" w:rsidRPr="00DB6AE3" w:rsidRDefault="0088345B" w:rsidP="00DB6AE3">
      <w:pPr>
        <w:pStyle w:val="ListParagraph"/>
        <w:widowControl/>
        <w:numPr>
          <w:ilvl w:val="1"/>
          <w:numId w:val="2"/>
        </w:numPr>
        <w:rPr>
          <w:szCs w:val="22"/>
          <w:lang w:val="en-GB"/>
        </w:rPr>
      </w:pPr>
      <w:r>
        <w:rPr>
          <w:bCs/>
          <w:szCs w:val="22"/>
        </w:rPr>
        <w:t>The PBAC accepted</w:t>
      </w:r>
      <w:r w:rsidR="00A728F8" w:rsidRPr="004140E4">
        <w:rPr>
          <w:bCs/>
          <w:szCs w:val="22"/>
        </w:rPr>
        <w:t xml:space="preserve"> the </w:t>
      </w:r>
      <w:r>
        <w:rPr>
          <w:bCs/>
          <w:szCs w:val="22"/>
        </w:rPr>
        <w:t xml:space="preserve">submission’s </w:t>
      </w:r>
      <w:r w:rsidR="00A728F8" w:rsidRPr="004140E4">
        <w:rPr>
          <w:bCs/>
          <w:szCs w:val="22"/>
        </w:rPr>
        <w:t xml:space="preserve">claim of superior comparative effectiveness </w:t>
      </w:r>
      <w:r>
        <w:rPr>
          <w:bCs/>
          <w:szCs w:val="22"/>
        </w:rPr>
        <w:t xml:space="preserve">of </w:t>
      </w:r>
      <w:proofErr w:type="spellStart"/>
      <w:r>
        <w:rPr>
          <w:bCs/>
          <w:szCs w:val="22"/>
        </w:rPr>
        <w:t>eribulin</w:t>
      </w:r>
      <w:proofErr w:type="spellEnd"/>
      <w:r>
        <w:rPr>
          <w:bCs/>
          <w:szCs w:val="22"/>
        </w:rPr>
        <w:t xml:space="preserve"> over </w:t>
      </w:r>
      <w:proofErr w:type="spellStart"/>
      <w:r>
        <w:rPr>
          <w:bCs/>
          <w:szCs w:val="22"/>
        </w:rPr>
        <w:t>dacarbazine</w:t>
      </w:r>
      <w:proofErr w:type="spellEnd"/>
      <w:r>
        <w:rPr>
          <w:bCs/>
          <w:szCs w:val="22"/>
        </w:rPr>
        <w:t>, however,</w:t>
      </w:r>
      <w:r w:rsidR="008F5D59" w:rsidRPr="008E529B">
        <w:rPr>
          <w:bCs/>
          <w:szCs w:val="22"/>
        </w:rPr>
        <w:t xml:space="preserve"> considered th</w:t>
      </w:r>
      <w:r>
        <w:rPr>
          <w:bCs/>
          <w:szCs w:val="22"/>
        </w:rPr>
        <w:t xml:space="preserve">at the magnitude </w:t>
      </w:r>
      <w:r w:rsidR="008F5D59" w:rsidRPr="008E529B">
        <w:rPr>
          <w:bCs/>
          <w:szCs w:val="22"/>
        </w:rPr>
        <w:t xml:space="preserve">of </w:t>
      </w:r>
      <w:r w:rsidR="00474960">
        <w:rPr>
          <w:bCs/>
          <w:szCs w:val="22"/>
        </w:rPr>
        <w:t xml:space="preserve">the </w:t>
      </w:r>
      <w:r w:rsidR="008F5D59" w:rsidRPr="008E529B">
        <w:rPr>
          <w:bCs/>
          <w:szCs w:val="22"/>
        </w:rPr>
        <w:t>overall survival benefit of 7.2 months</w:t>
      </w:r>
      <w:r>
        <w:rPr>
          <w:bCs/>
          <w:szCs w:val="22"/>
        </w:rPr>
        <w:t xml:space="preserve"> in the </w:t>
      </w:r>
      <w:proofErr w:type="spellStart"/>
      <w:r>
        <w:rPr>
          <w:bCs/>
          <w:szCs w:val="22"/>
        </w:rPr>
        <w:t>liposarcoma</w:t>
      </w:r>
      <w:proofErr w:type="spellEnd"/>
      <w:r>
        <w:rPr>
          <w:bCs/>
          <w:szCs w:val="22"/>
        </w:rPr>
        <w:t xml:space="preserve"> subgroup</w:t>
      </w:r>
      <w:r w:rsidR="008F5D59" w:rsidRPr="008E529B">
        <w:rPr>
          <w:bCs/>
          <w:szCs w:val="22"/>
        </w:rPr>
        <w:t xml:space="preserve"> was </w:t>
      </w:r>
      <w:r w:rsidR="006F4CD2" w:rsidRPr="008E529B">
        <w:rPr>
          <w:bCs/>
          <w:szCs w:val="22"/>
        </w:rPr>
        <w:t>implausibl</w:t>
      </w:r>
      <w:r w:rsidR="00474960">
        <w:rPr>
          <w:bCs/>
          <w:szCs w:val="22"/>
        </w:rPr>
        <w:t>y large.</w:t>
      </w:r>
      <w:r w:rsidR="006F4CD2">
        <w:rPr>
          <w:bCs/>
          <w:szCs w:val="22"/>
        </w:rPr>
        <w:t xml:space="preserve"> </w:t>
      </w:r>
      <w:r>
        <w:rPr>
          <w:bCs/>
          <w:szCs w:val="22"/>
        </w:rPr>
        <w:t xml:space="preserve">The PBAC considered that a </w:t>
      </w:r>
      <w:r w:rsidRPr="00B010BF">
        <w:t xml:space="preserve">difference in prognosis between </w:t>
      </w:r>
      <w:proofErr w:type="spellStart"/>
      <w:r w:rsidRPr="00B010BF">
        <w:t>liposarcoma</w:t>
      </w:r>
      <w:proofErr w:type="spellEnd"/>
      <w:r w:rsidRPr="00B010BF">
        <w:t xml:space="preserve"> and </w:t>
      </w:r>
      <w:proofErr w:type="spellStart"/>
      <w:r w:rsidRPr="00B010BF">
        <w:t>leiomyosarcoma</w:t>
      </w:r>
      <w:proofErr w:type="spellEnd"/>
      <w:r>
        <w:t xml:space="preserve"> was not a clinically robust rationale to explain a difference in treatment effect. </w:t>
      </w:r>
      <w:r w:rsidR="00DB6AE3">
        <w:rPr>
          <w:szCs w:val="22"/>
          <w:lang w:val="en-GB"/>
        </w:rPr>
        <w:t xml:space="preserve">The PBAC noted that if the results of the </w:t>
      </w:r>
      <w:proofErr w:type="spellStart"/>
      <w:r w:rsidR="00DB6AE3">
        <w:rPr>
          <w:szCs w:val="22"/>
          <w:lang w:val="en-GB"/>
        </w:rPr>
        <w:t>liposarcoma</w:t>
      </w:r>
      <w:proofErr w:type="spellEnd"/>
      <w:r w:rsidR="00DB6AE3">
        <w:rPr>
          <w:szCs w:val="22"/>
          <w:lang w:val="en-GB"/>
        </w:rPr>
        <w:t xml:space="preserve"> subgroup analysis were accepted, </w:t>
      </w:r>
      <w:proofErr w:type="spellStart"/>
      <w:r w:rsidR="00DB6AE3">
        <w:rPr>
          <w:szCs w:val="22"/>
          <w:lang w:val="en-GB"/>
        </w:rPr>
        <w:t>eribulin</w:t>
      </w:r>
      <w:proofErr w:type="spellEnd"/>
      <w:r w:rsidR="00DB6AE3">
        <w:rPr>
          <w:szCs w:val="22"/>
          <w:lang w:val="en-GB"/>
        </w:rPr>
        <w:t xml:space="preserve"> achieved an additional 1.2 months of progression free survival, and thu</w:t>
      </w:r>
      <w:r w:rsidR="00783C7A">
        <w:rPr>
          <w:szCs w:val="22"/>
          <w:lang w:val="en-GB"/>
        </w:rPr>
        <w:t>s the remaining survival gain (6</w:t>
      </w:r>
      <w:r w:rsidR="00DB6AE3">
        <w:rPr>
          <w:szCs w:val="22"/>
          <w:lang w:val="en-GB"/>
        </w:rPr>
        <w:t xml:space="preserve"> months) represented post-progression survival. The PBAC considered that the magnitude of </w:t>
      </w:r>
      <w:r w:rsidR="000C3A2A">
        <w:rPr>
          <w:szCs w:val="22"/>
          <w:lang w:val="en-GB"/>
        </w:rPr>
        <w:t>the</w:t>
      </w:r>
      <w:r w:rsidR="00AE02F9">
        <w:rPr>
          <w:szCs w:val="22"/>
          <w:lang w:val="en-GB"/>
        </w:rPr>
        <w:t xml:space="preserve"> </w:t>
      </w:r>
      <w:r w:rsidR="00DB6AE3">
        <w:rPr>
          <w:szCs w:val="22"/>
          <w:lang w:val="en-GB"/>
        </w:rPr>
        <w:t xml:space="preserve">post-progression survival </w:t>
      </w:r>
      <w:r w:rsidR="004E2076">
        <w:rPr>
          <w:szCs w:val="22"/>
          <w:lang w:val="en-GB"/>
        </w:rPr>
        <w:t>was not biologically plausible.</w:t>
      </w:r>
    </w:p>
    <w:p w:rsidR="00A728F8" w:rsidRPr="004140E4" w:rsidRDefault="00A728F8" w:rsidP="00EA01C0">
      <w:pPr>
        <w:rPr>
          <w:bCs/>
          <w:szCs w:val="22"/>
        </w:rPr>
      </w:pPr>
    </w:p>
    <w:p w:rsidR="00EA01C0" w:rsidRPr="004140E4" w:rsidRDefault="00A728F8" w:rsidP="00EA01C0">
      <w:pPr>
        <w:pStyle w:val="ListParagraph"/>
        <w:widowControl/>
        <w:numPr>
          <w:ilvl w:val="1"/>
          <w:numId w:val="2"/>
        </w:numPr>
        <w:rPr>
          <w:szCs w:val="22"/>
        </w:rPr>
      </w:pPr>
      <w:r w:rsidRPr="004140E4">
        <w:rPr>
          <w:szCs w:val="22"/>
        </w:rPr>
        <w:t xml:space="preserve">The PBAC considered that the claim of </w:t>
      </w:r>
      <w:r w:rsidR="008F5D59" w:rsidRPr="004140E4">
        <w:rPr>
          <w:szCs w:val="22"/>
        </w:rPr>
        <w:t>different</w:t>
      </w:r>
      <w:r w:rsidRPr="004140E4">
        <w:rPr>
          <w:szCs w:val="22"/>
        </w:rPr>
        <w:t xml:space="preserve"> comparative safety was not adequately supported by the data</w:t>
      </w:r>
      <w:r w:rsidR="00224E2C">
        <w:rPr>
          <w:szCs w:val="22"/>
        </w:rPr>
        <w:t xml:space="preserve">, and that </w:t>
      </w:r>
      <w:proofErr w:type="spellStart"/>
      <w:r w:rsidR="00224E2C">
        <w:rPr>
          <w:szCs w:val="22"/>
        </w:rPr>
        <w:t>eribulin</w:t>
      </w:r>
      <w:proofErr w:type="spellEnd"/>
      <w:r w:rsidR="00224E2C">
        <w:rPr>
          <w:szCs w:val="22"/>
        </w:rPr>
        <w:t xml:space="preserve"> was</w:t>
      </w:r>
      <w:r w:rsidR="008F5D59" w:rsidRPr="004140E4">
        <w:rPr>
          <w:szCs w:val="22"/>
        </w:rPr>
        <w:t xml:space="preserve"> of inferior safety to </w:t>
      </w:r>
      <w:proofErr w:type="spellStart"/>
      <w:r w:rsidR="008F5D59" w:rsidRPr="004140E4">
        <w:rPr>
          <w:szCs w:val="22"/>
        </w:rPr>
        <w:t>dacarbazine</w:t>
      </w:r>
      <w:proofErr w:type="spellEnd"/>
      <w:r w:rsidRPr="004140E4">
        <w:rPr>
          <w:szCs w:val="22"/>
        </w:rPr>
        <w:t>.</w:t>
      </w:r>
      <w:r w:rsidR="00EA01C0">
        <w:rPr>
          <w:szCs w:val="22"/>
        </w:rPr>
        <w:br/>
      </w:r>
    </w:p>
    <w:p w:rsidR="00B60939" w:rsidRPr="00A43FAA" w:rsidRDefault="00B60939" w:rsidP="00903665">
      <w:pPr>
        <w:pStyle w:val="Heading3"/>
        <w:widowControl/>
      </w:pPr>
      <w:bookmarkStart w:id="13" w:name="_Toc461622509"/>
      <w:r w:rsidRPr="00A43FAA">
        <w:t>Economic analysis</w:t>
      </w:r>
      <w:bookmarkEnd w:id="13"/>
      <w:r w:rsidR="00491B3A" w:rsidRPr="00A43FAA">
        <w:t xml:space="preserve"> </w:t>
      </w:r>
    </w:p>
    <w:p w:rsidR="00B60939" w:rsidRPr="00B010BF" w:rsidRDefault="00B60939" w:rsidP="00903665">
      <w:pPr>
        <w:widowControl/>
        <w:ind w:left="720" w:hanging="720"/>
        <w:rPr>
          <w:szCs w:val="22"/>
          <w:lang w:val="en-GB"/>
        </w:rPr>
      </w:pPr>
    </w:p>
    <w:p w:rsidR="00B60939" w:rsidRPr="00B010BF" w:rsidRDefault="006E2FD2" w:rsidP="00A728F8">
      <w:pPr>
        <w:pStyle w:val="ListParagraph"/>
        <w:widowControl/>
        <w:numPr>
          <w:ilvl w:val="1"/>
          <w:numId w:val="2"/>
        </w:numPr>
        <w:rPr>
          <w:szCs w:val="22"/>
          <w:lang w:val="en-GB"/>
        </w:rPr>
      </w:pPr>
      <w:r w:rsidRPr="00B010BF">
        <w:rPr>
          <w:lang w:val="en-GB"/>
        </w:rPr>
        <w:t xml:space="preserve">The submission presented a modelled economic analysis comparing </w:t>
      </w:r>
      <w:proofErr w:type="spellStart"/>
      <w:r w:rsidRPr="00B010BF">
        <w:rPr>
          <w:lang w:val="en-GB"/>
        </w:rPr>
        <w:t>eribulin</w:t>
      </w:r>
      <w:proofErr w:type="spellEnd"/>
      <w:r w:rsidRPr="00B010BF">
        <w:rPr>
          <w:lang w:val="en-GB"/>
        </w:rPr>
        <w:t xml:space="preserve"> </w:t>
      </w:r>
      <w:r w:rsidR="00BF2C5A" w:rsidRPr="00B010BF">
        <w:rPr>
          <w:lang w:val="en-GB"/>
        </w:rPr>
        <w:t xml:space="preserve">and </w:t>
      </w:r>
      <w:proofErr w:type="spellStart"/>
      <w:r w:rsidRPr="00B010BF">
        <w:rPr>
          <w:lang w:val="en-GB"/>
        </w:rPr>
        <w:t>dacarbazine</w:t>
      </w:r>
      <w:proofErr w:type="spellEnd"/>
      <w:r w:rsidRPr="00B010BF">
        <w:rPr>
          <w:lang w:val="en-GB"/>
        </w:rPr>
        <w:t xml:space="preserve"> (main comparator). This was consistent with the clinical evidence. </w:t>
      </w:r>
      <w:r w:rsidR="00C002F3" w:rsidRPr="00B010BF">
        <w:rPr>
          <w:lang w:val="en-GB"/>
        </w:rPr>
        <w:t>T</w:t>
      </w:r>
      <w:r w:rsidRPr="00B010BF">
        <w:rPr>
          <w:lang w:val="en-GB"/>
        </w:rPr>
        <w:t xml:space="preserve">he submission did not consider </w:t>
      </w:r>
      <w:proofErr w:type="spellStart"/>
      <w:r w:rsidRPr="00B010BF">
        <w:rPr>
          <w:lang w:val="en-GB"/>
        </w:rPr>
        <w:t>ifosfamide</w:t>
      </w:r>
      <w:proofErr w:type="spellEnd"/>
      <w:r w:rsidRPr="00B010BF">
        <w:rPr>
          <w:lang w:val="en-GB"/>
        </w:rPr>
        <w:t xml:space="preserve"> as a </w:t>
      </w:r>
      <w:r w:rsidR="00002730" w:rsidRPr="00B010BF">
        <w:rPr>
          <w:lang w:val="en-GB"/>
        </w:rPr>
        <w:t xml:space="preserve">supplementary </w:t>
      </w:r>
      <w:r w:rsidRPr="00B010BF">
        <w:rPr>
          <w:lang w:val="en-GB"/>
        </w:rPr>
        <w:t xml:space="preserve">comparator for the </w:t>
      </w:r>
      <w:r w:rsidR="001117AD">
        <w:rPr>
          <w:lang w:val="en-GB"/>
        </w:rPr>
        <w:t>economic evaluation. A</w:t>
      </w:r>
      <w:r w:rsidRPr="00B010BF">
        <w:rPr>
          <w:lang w:val="en-GB"/>
        </w:rPr>
        <w:t xml:space="preserve"> summary of th</w:t>
      </w:r>
      <w:r w:rsidR="001117AD">
        <w:rPr>
          <w:lang w:val="en-GB"/>
        </w:rPr>
        <w:t>e model structure and rationale is presented in Table 7.</w:t>
      </w:r>
    </w:p>
    <w:p w:rsidR="00275C5A" w:rsidRPr="00B010BF" w:rsidRDefault="00275C5A" w:rsidP="00903665">
      <w:pPr>
        <w:widowControl/>
        <w:rPr>
          <w:szCs w:val="22"/>
          <w:lang w:val="en-GB"/>
        </w:rPr>
      </w:pPr>
    </w:p>
    <w:p w:rsidR="001028CA" w:rsidRDefault="001028CA" w:rsidP="00E771D1">
      <w:pPr>
        <w:pStyle w:val="Caption"/>
        <w:keepNext/>
        <w:widowControl/>
        <w:ind w:left="709"/>
      </w:pPr>
      <w:r w:rsidRPr="00B010BF">
        <w:t xml:space="preserve">Table </w:t>
      </w:r>
      <w:r w:rsidR="00556B92">
        <w:rPr>
          <w:noProof/>
        </w:rPr>
        <w:t>7</w:t>
      </w:r>
      <w:r w:rsidRPr="00B010BF">
        <w:t>: 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843"/>
        <w:gridCol w:w="6502"/>
      </w:tblGrid>
      <w:tr w:rsidR="00BC14E4" w:rsidRPr="00CD0DEF" w:rsidTr="00E771D1">
        <w:tc>
          <w:tcPr>
            <w:tcW w:w="1104" w:type="pct"/>
            <w:shd w:val="clear" w:color="auto" w:fill="auto"/>
            <w:vAlign w:val="center"/>
          </w:tcPr>
          <w:p w:rsidR="00BC14E4" w:rsidRPr="00CD0DEF" w:rsidRDefault="00BC14E4" w:rsidP="003223D2">
            <w:pPr>
              <w:keepNext/>
              <w:widowControl/>
              <w:jc w:val="left"/>
              <w:rPr>
                <w:rFonts w:ascii="Arial Narrow" w:hAnsi="Arial Narrow"/>
                <w:b/>
                <w:sz w:val="20"/>
                <w:lang w:val="en-GB"/>
              </w:rPr>
            </w:pPr>
            <w:r w:rsidRPr="00CD0DEF">
              <w:rPr>
                <w:rFonts w:ascii="Arial Narrow" w:hAnsi="Arial Narrow"/>
                <w:b/>
                <w:sz w:val="20"/>
                <w:lang w:val="en-GB"/>
              </w:rPr>
              <w:t>Component</w:t>
            </w:r>
          </w:p>
        </w:tc>
        <w:tc>
          <w:tcPr>
            <w:tcW w:w="3896" w:type="pct"/>
            <w:shd w:val="clear" w:color="auto" w:fill="auto"/>
            <w:vAlign w:val="center"/>
          </w:tcPr>
          <w:p w:rsidR="00BC14E4" w:rsidRPr="00CD0DEF" w:rsidRDefault="00BC14E4" w:rsidP="003223D2">
            <w:pPr>
              <w:keepNext/>
              <w:widowControl/>
              <w:jc w:val="center"/>
              <w:rPr>
                <w:rFonts w:ascii="Arial Narrow" w:hAnsi="Arial Narrow"/>
                <w:b/>
                <w:sz w:val="20"/>
                <w:lang w:val="en-GB"/>
              </w:rPr>
            </w:pPr>
            <w:r w:rsidRPr="00CD0DEF">
              <w:rPr>
                <w:rFonts w:ascii="Arial Narrow" w:hAnsi="Arial Narrow"/>
                <w:b/>
                <w:sz w:val="20"/>
                <w:lang w:val="en-GB"/>
              </w:rPr>
              <w:t>Summary</w:t>
            </w:r>
          </w:p>
        </w:tc>
      </w:tr>
      <w:tr w:rsidR="00BC14E4" w:rsidRPr="00CD0DEF" w:rsidTr="00E771D1">
        <w:tc>
          <w:tcPr>
            <w:tcW w:w="1104" w:type="pct"/>
            <w:shd w:val="clear" w:color="auto" w:fill="auto"/>
            <w:vAlign w:val="center"/>
          </w:tcPr>
          <w:p w:rsidR="00BC14E4" w:rsidRPr="00CD0DEF" w:rsidRDefault="00BC14E4" w:rsidP="003223D2">
            <w:pPr>
              <w:keepNext/>
              <w:widowControl/>
              <w:jc w:val="left"/>
              <w:rPr>
                <w:rFonts w:ascii="Arial Narrow" w:hAnsi="Arial Narrow"/>
                <w:sz w:val="20"/>
                <w:lang w:val="en-GB"/>
              </w:rPr>
            </w:pPr>
            <w:r w:rsidRPr="00CD0DEF">
              <w:rPr>
                <w:rFonts w:ascii="Arial Narrow" w:hAnsi="Arial Narrow"/>
                <w:sz w:val="20"/>
                <w:lang w:val="en-GB"/>
              </w:rPr>
              <w:t>Time horizon</w:t>
            </w:r>
          </w:p>
        </w:tc>
        <w:tc>
          <w:tcPr>
            <w:tcW w:w="3896" w:type="pct"/>
            <w:shd w:val="clear" w:color="auto" w:fill="auto"/>
          </w:tcPr>
          <w:p w:rsidR="00BC14E4" w:rsidRPr="00FC6703" w:rsidRDefault="00BC14E4" w:rsidP="003223D2">
            <w:pPr>
              <w:keepNext/>
              <w:widowControl/>
              <w:rPr>
                <w:rFonts w:ascii="Arial Narrow" w:hAnsi="Arial Narrow"/>
                <w:sz w:val="20"/>
                <w:lang w:val="en-GB"/>
              </w:rPr>
            </w:pPr>
            <w:r>
              <w:rPr>
                <w:rFonts w:ascii="Arial Narrow" w:hAnsi="Arial Narrow"/>
                <w:sz w:val="20"/>
                <w:lang w:val="en-GB"/>
              </w:rPr>
              <w:t xml:space="preserve">The submission </w:t>
            </w:r>
            <w:r w:rsidRPr="002B2DD2">
              <w:rPr>
                <w:rFonts w:ascii="Arial Narrow" w:hAnsi="Arial Narrow"/>
                <w:sz w:val="20"/>
                <w:lang w:val="en-GB"/>
              </w:rPr>
              <w:t xml:space="preserve">stated that the model had a 5 year time horizon, however the economic model was a trial-based analysis whereby the full Kaplan-Meier curves for OS from the </w:t>
            </w:r>
            <w:proofErr w:type="spellStart"/>
            <w:r w:rsidRPr="002B2DD2">
              <w:rPr>
                <w:rFonts w:ascii="Arial Narrow" w:hAnsi="Arial Narrow"/>
                <w:sz w:val="20"/>
                <w:lang w:val="en-GB"/>
              </w:rPr>
              <w:t>liposarcoma</w:t>
            </w:r>
            <w:proofErr w:type="spellEnd"/>
            <w:r w:rsidRPr="002B2DD2">
              <w:rPr>
                <w:rFonts w:ascii="Arial Narrow" w:hAnsi="Arial Narrow"/>
                <w:sz w:val="20"/>
                <w:lang w:val="en-GB"/>
              </w:rPr>
              <w:t xml:space="preserve"> subgroup were applied. In the model it was assumed that all patients died in the cycle following the end of the curves. As a consequence, all patients in the </w:t>
            </w:r>
            <w:proofErr w:type="spellStart"/>
            <w:r w:rsidRPr="002B2DD2">
              <w:rPr>
                <w:rFonts w:ascii="Arial Narrow" w:hAnsi="Arial Narrow"/>
                <w:sz w:val="20"/>
                <w:lang w:val="en-GB"/>
              </w:rPr>
              <w:t>eribulin</w:t>
            </w:r>
            <w:proofErr w:type="spellEnd"/>
            <w:r w:rsidRPr="002B2DD2">
              <w:rPr>
                <w:rFonts w:ascii="Arial Narrow" w:hAnsi="Arial Narrow"/>
                <w:sz w:val="20"/>
                <w:lang w:val="en-GB"/>
              </w:rPr>
              <w:t xml:space="preserve"> arm had died at 40 months and in the </w:t>
            </w:r>
            <w:proofErr w:type="spellStart"/>
            <w:r w:rsidRPr="002B2DD2">
              <w:rPr>
                <w:rFonts w:ascii="Arial Narrow" w:hAnsi="Arial Narrow"/>
                <w:sz w:val="20"/>
                <w:lang w:val="en-GB"/>
              </w:rPr>
              <w:t>dacarbazine</w:t>
            </w:r>
            <w:proofErr w:type="spellEnd"/>
            <w:r w:rsidRPr="002B2DD2">
              <w:rPr>
                <w:rFonts w:ascii="Arial Narrow" w:hAnsi="Arial Narrow"/>
                <w:sz w:val="20"/>
                <w:lang w:val="en-GB"/>
              </w:rPr>
              <w:t xml:space="preserve"> arm, at 32 months. As such, the time horizon in effect was 40 months.</w:t>
            </w:r>
          </w:p>
        </w:tc>
      </w:tr>
      <w:tr w:rsidR="00BC14E4" w:rsidRPr="00CD0DEF" w:rsidTr="00E771D1">
        <w:tc>
          <w:tcPr>
            <w:tcW w:w="1104" w:type="pct"/>
            <w:shd w:val="clear" w:color="auto" w:fill="auto"/>
            <w:vAlign w:val="center"/>
          </w:tcPr>
          <w:p w:rsidR="00BC14E4" w:rsidRPr="00CD0DEF" w:rsidRDefault="00BC14E4" w:rsidP="003223D2">
            <w:pPr>
              <w:keepNext/>
              <w:widowControl/>
              <w:jc w:val="left"/>
              <w:rPr>
                <w:rFonts w:ascii="Arial Narrow" w:hAnsi="Arial Narrow"/>
                <w:sz w:val="20"/>
                <w:lang w:val="en-GB"/>
              </w:rPr>
            </w:pPr>
            <w:r w:rsidRPr="00CD0DEF">
              <w:rPr>
                <w:rFonts w:ascii="Arial Narrow" w:hAnsi="Arial Narrow"/>
                <w:sz w:val="20"/>
                <w:lang w:val="en-GB"/>
              </w:rPr>
              <w:t>Outcomes</w:t>
            </w:r>
          </w:p>
        </w:tc>
        <w:tc>
          <w:tcPr>
            <w:tcW w:w="3896" w:type="pct"/>
            <w:shd w:val="clear" w:color="auto" w:fill="auto"/>
          </w:tcPr>
          <w:p w:rsidR="00BC14E4" w:rsidRPr="00FC6703" w:rsidRDefault="00BC14E4" w:rsidP="003223D2">
            <w:pPr>
              <w:keepNext/>
              <w:widowControl/>
              <w:rPr>
                <w:rFonts w:ascii="Arial Narrow" w:hAnsi="Arial Narrow"/>
                <w:sz w:val="20"/>
                <w:lang w:val="en-GB"/>
              </w:rPr>
            </w:pPr>
            <w:r w:rsidRPr="00FC6703">
              <w:rPr>
                <w:rFonts w:ascii="Arial Narrow" w:hAnsi="Arial Narrow"/>
                <w:sz w:val="20"/>
                <w:lang w:val="en-GB"/>
              </w:rPr>
              <w:t>LYG and QALYs</w:t>
            </w:r>
          </w:p>
        </w:tc>
      </w:tr>
      <w:tr w:rsidR="00BC14E4" w:rsidRPr="00CD0DEF" w:rsidTr="00E771D1">
        <w:tc>
          <w:tcPr>
            <w:tcW w:w="1104" w:type="pct"/>
            <w:shd w:val="clear" w:color="auto" w:fill="auto"/>
            <w:vAlign w:val="center"/>
          </w:tcPr>
          <w:p w:rsidR="00BC14E4" w:rsidRPr="00CD0DEF" w:rsidRDefault="00BC14E4" w:rsidP="003223D2">
            <w:pPr>
              <w:keepNext/>
              <w:widowControl/>
              <w:jc w:val="left"/>
              <w:rPr>
                <w:rFonts w:ascii="Arial Narrow" w:hAnsi="Arial Narrow"/>
                <w:sz w:val="20"/>
                <w:lang w:val="en-GB"/>
              </w:rPr>
            </w:pPr>
            <w:r w:rsidRPr="00CD0DEF">
              <w:rPr>
                <w:rFonts w:ascii="Arial Narrow" w:hAnsi="Arial Narrow"/>
                <w:sz w:val="20"/>
                <w:lang w:val="en-GB"/>
              </w:rPr>
              <w:t>Methods used to generate results</w:t>
            </w:r>
          </w:p>
        </w:tc>
        <w:tc>
          <w:tcPr>
            <w:tcW w:w="3896" w:type="pct"/>
            <w:shd w:val="clear" w:color="auto" w:fill="auto"/>
          </w:tcPr>
          <w:p w:rsidR="00BC14E4" w:rsidRPr="00FC6703" w:rsidRDefault="00BC14E4" w:rsidP="003223D2">
            <w:pPr>
              <w:keepNext/>
              <w:widowControl/>
              <w:rPr>
                <w:rFonts w:ascii="Arial Narrow" w:hAnsi="Arial Narrow"/>
                <w:sz w:val="20"/>
                <w:lang w:val="en-GB"/>
              </w:rPr>
            </w:pPr>
            <w:r>
              <w:rPr>
                <w:rFonts w:ascii="Arial Narrow" w:hAnsi="Arial Narrow"/>
                <w:sz w:val="20"/>
                <w:lang w:val="en-GB"/>
              </w:rPr>
              <w:t>Expected value analysis, d</w:t>
            </w:r>
            <w:r w:rsidRPr="00FC6703">
              <w:rPr>
                <w:rFonts w:ascii="Arial Narrow" w:hAnsi="Arial Narrow"/>
                <w:sz w:val="20"/>
                <w:lang w:val="en-GB"/>
              </w:rPr>
              <w:t>irectly trial based</w:t>
            </w:r>
          </w:p>
        </w:tc>
      </w:tr>
      <w:tr w:rsidR="00BC14E4" w:rsidRPr="00CD0DEF" w:rsidTr="00E771D1">
        <w:tc>
          <w:tcPr>
            <w:tcW w:w="1104" w:type="pct"/>
            <w:shd w:val="clear" w:color="auto" w:fill="auto"/>
            <w:vAlign w:val="center"/>
          </w:tcPr>
          <w:p w:rsidR="00BC14E4" w:rsidRPr="00CD0DEF" w:rsidRDefault="00BC14E4" w:rsidP="003223D2">
            <w:pPr>
              <w:keepNext/>
              <w:widowControl/>
              <w:jc w:val="left"/>
              <w:rPr>
                <w:rFonts w:ascii="Arial Narrow" w:hAnsi="Arial Narrow"/>
                <w:sz w:val="20"/>
                <w:lang w:val="en-GB"/>
              </w:rPr>
            </w:pPr>
            <w:r w:rsidRPr="00CD0DEF">
              <w:rPr>
                <w:rFonts w:ascii="Arial Narrow" w:hAnsi="Arial Narrow"/>
                <w:sz w:val="20"/>
                <w:lang w:val="en-GB"/>
              </w:rPr>
              <w:t>Health states</w:t>
            </w:r>
          </w:p>
        </w:tc>
        <w:tc>
          <w:tcPr>
            <w:tcW w:w="3896" w:type="pct"/>
            <w:shd w:val="clear" w:color="auto" w:fill="auto"/>
            <w:vAlign w:val="center"/>
          </w:tcPr>
          <w:p w:rsidR="00BC14E4" w:rsidRPr="00CD0DEF" w:rsidRDefault="00BC14E4" w:rsidP="003223D2">
            <w:pPr>
              <w:keepNext/>
              <w:widowControl/>
              <w:jc w:val="left"/>
              <w:rPr>
                <w:rFonts w:ascii="Arial Narrow" w:hAnsi="Arial Narrow"/>
                <w:sz w:val="20"/>
                <w:lang w:val="en-GB"/>
              </w:rPr>
            </w:pPr>
            <w:r>
              <w:rPr>
                <w:rFonts w:ascii="Arial Narrow" w:hAnsi="Arial Narrow"/>
                <w:sz w:val="20"/>
                <w:lang w:val="en-GB"/>
              </w:rPr>
              <w:t>Stable disease, progressed disease, death.</w:t>
            </w:r>
          </w:p>
        </w:tc>
      </w:tr>
      <w:tr w:rsidR="00BC14E4" w:rsidRPr="00CD0DEF" w:rsidTr="00E771D1">
        <w:tc>
          <w:tcPr>
            <w:tcW w:w="1104" w:type="pct"/>
            <w:shd w:val="clear" w:color="auto" w:fill="auto"/>
            <w:vAlign w:val="center"/>
          </w:tcPr>
          <w:p w:rsidR="00BC14E4" w:rsidRPr="00CD0DEF" w:rsidRDefault="00BC14E4" w:rsidP="003223D2">
            <w:pPr>
              <w:keepNext/>
              <w:widowControl/>
              <w:jc w:val="left"/>
              <w:rPr>
                <w:rFonts w:ascii="Arial Narrow" w:hAnsi="Arial Narrow"/>
                <w:sz w:val="20"/>
                <w:lang w:val="en-GB"/>
              </w:rPr>
            </w:pPr>
            <w:r w:rsidRPr="00CD0DEF">
              <w:rPr>
                <w:rFonts w:ascii="Arial Narrow" w:hAnsi="Arial Narrow"/>
                <w:sz w:val="20"/>
                <w:lang w:val="en-GB"/>
              </w:rPr>
              <w:t>Cycle length</w:t>
            </w:r>
          </w:p>
        </w:tc>
        <w:tc>
          <w:tcPr>
            <w:tcW w:w="3896" w:type="pct"/>
            <w:shd w:val="clear" w:color="auto" w:fill="auto"/>
            <w:vAlign w:val="center"/>
          </w:tcPr>
          <w:p w:rsidR="00BC14E4" w:rsidRPr="00CD0DEF" w:rsidRDefault="00BC14E4" w:rsidP="003223D2">
            <w:pPr>
              <w:keepNext/>
              <w:widowControl/>
              <w:jc w:val="left"/>
              <w:rPr>
                <w:rFonts w:ascii="Arial Narrow" w:hAnsi="Arial Narrow"/>
                <w:sz w:val="20"/>
                <w:lang w:val="en-GB"/>
              </w:rPr>
            </w:pPr>
            <w:r>
              <w:rPr>
                <w:rFonts w:ascii="Arial Narrow" w:hAnsi="Arial Narrow"/>
                <w:sz w:val="20"/>
                <w:lang w:val="en-GB"/>
              </w:rPr>
              <w:t>One month</w:t>
            </w:r>
          </w:p>
        </w:tc>
      </w:tr>
      <w:tr w:rsidR="00BC14E4" w:rsidRPr="00CD0DEF" w:rsidTr="00E771D1">
        <w:tc>
          <w:tcPr>
            <w:tcW w:w="1104" w:type="pct"/>
            <w:shd w:val="clear" w:color="auto" w:fill="auto"/>
            <w:vAlign w:val="center"/>
          </w:tcPr>
          <w:p w:rsidR="00BC14E4" w:rsidRPr="00CD0DEF" w:rsidRDefault="00BC14E4" w:rsidP="003223D2">
            <w:pPr>
              <w:keepNext/>
              <w:widowControl/>
              <w:jc w:val="left"/>
              <w:rPr>
                <w:rFonts w:ascii="Arial Narrow" w:hAnsi="Arial Narrow"/>
                <w:sz w:val="20"/>
                <w:lang w:val="en-GB"/>
              </w:rPr>
            </w:pPr>
            <w:r w:rsidRPr="00CD0DEF">
              <w:rPr>
                <w:rFonts w:ascii="Arial Narrow" w:hAnsi="Arial Narrow"/>
                <w:sz w:val="20"/>
                <w:lang w:val="en-GB"/>
              </w:rPr>
              <w:t>Transition probabilities</w:t>
            </w:r>
          </w:p>
        </w:tc>
        <w:tc>
          <w:tcPr>
            <w:tcW w:w="3896" w:type="pct"/>
            <w:shd w:val="clear" w:color="auto" w:fill="auto"/>
            <w:vAlign w:val="center"/>
          </w:tcPr>
          <w:p w:rsidR="00BC14E4" w:rsidRPr="00CD0DEF" w:rsidRDefault="00BC14E4" w:rsidP="003223D2">
            <w:pPr>
              <w:keepNext/>
              <w:widowControl/>
              <w:jc w:val="left"/>
              <w:rPr>
                <w:rFonts w:ascii="Arial Narrow" w:hAnsi="Arial Narrow"/>
                <w:sz w:val="20"/>
                <w:lang w:val="en-GB"/>
              </w:rPr>
            </w:pPr>
            <w:r>
              <w:rPr>
                <w:rFonts w:ascii="Arial Narrow" w:hAnsi="Arial Narrow"/>
                <w:sz w:val="20"/>
                <w:lang w:val="en-GB"/>
              </w:rPr>
              <w:t>Kaplan-Meier curve.</w:t>
            </w:r>
          </w:p>
        </w:tc>
      </w:tr>
    </w:tbl>
    <w:p w:rsidR="00275C5A" w:rsidRPr="00B010BF" w:rsidRDefault="00275C5A" w:rsidP="00E771D1">
      <w:pPr>
        <w:pStyle w:val="TableFooter"/>
        <w:widowControl/>
        <w:ind w:left="709"/>
        <w:rPr>
          <w:lang w:val="en-GB"/>
        </w:rPr>
      </w:pPr>
      <w:r w:rsidRPr="00B010BF">
        <w:rPr>
          <w:lang w:val="en-GB"/>
        </w:rPr>
        <w:t>Source: compiled during the evaluation</w:t>
      </w:r>
      <w:r w:rsidR="00E67AC2" w:rsidRPr="00B010BF">
        <w:rPr>
          <w:lang w:val="en-GB"/>
        </w:rPr>
        <w:t xml:space="preserve"> and calculated during evaluation</w:t>
      </w:r>
    </w:p>
    <w:p w:rsidR="00273DFF" w:rsidRPr="00B010BF" w:rsidRDefault="00273DFF" w:rsidP="00E771D1">
      <w:pPr>
        <w:pStyle w:val="TableFooter"/>
        <w:widowControl/>
        <w:ind w:left="709"/>
        <w:rPr>
          <w:lang w:val="en-GB"/>
        </w:rPr>
      </w:pPr>
      <w:r w:rsidRPr="00B010BF">
        <w:rPr>
          <w:lang w:val="en-GB"/>
        </w:rPr>
        <w:t xml:space="preserve">LYG = life years gained; </w:t>
      </w:r>
      <w:r w:rsidR="000B1DA5" w:rsidRPr="00B010BF">
        <w:rPr>
          <w:lang w:val="en-GB"/>
        </w:rPr>
        <w:t xml:space="preserve">OS = overall survival; </w:t>
      </w:r>
      <w:r w:rsidRPr="00B010BF">
        <w:rPr>
          <w:lang w:val="en-GB"/>
        </w:rPr>
        <w:t>QALY = quality-adjusted life year</w:t>
      </w:r>
    </w:p>
    <w:p w:rsidR="00275C5A" w:rsidRPr="00B010BF" w:rsidRDefault="00275C5A" w:rsidP="00903665">
      <w:pPr>
        <w:widowControl/>
        <w:rPr>
          <w:szCs w:val="22"/>
          <w:lang w:val="en-GB"/>
        </w:rPr>
      </w:pPr>
    </w:p>
    <w:p w:rsidR="00D359E9" w:rsidRPr="00B010BF" w:rsidRDefault="00D359E9" w:rsidP="00A728F8">
      <w:pPr>
        <w:pStyle w:val="ListParagraph"/>
        <w:widowControl/>
        <w:numPr>
          <w:ilvl w:val="1"/>
          <w:numId w:val="2"/>
        </w:numPr>
        <w:rPr>
          <w:szCs w:val="22"/>
          <w:lang w:val="en-GB"/>
        </w:rPr>
      </w:pPr>
      <w:r w:rsidRPr="00B010BF">
        <w:rPr>
          <w:szCs w:val="22"/>
          <w:lang w:val="en-GB"/>
        </w:rPr>
        <w:t xml:space="preserve">The ESC considered that the economic model was only applicable to patients who had previously received two or more systemic therapies </w:t>
      </w:r>
      <w:r w:rsidR="00062AF5" w:rsidRPr="00B010BF">
        <w:rPr>
          <w:szCs w:val="22"/>
          <w:lang w:val="en-GB"/>
        </w:rPr>
        <w:t>prior to</w:t>
      </w:r>
      <w:r w:rsidRPr="00B010BF">
        <w:rPr>
          <w:szCs w:val="22"/>
          <w:lang w:val="en-GB"/>
        </w:rPr>
        <w:t xml:space="preserve"> receiving </w:t>
      </w:r>
      <w:proofErr w:type="spellStart"/>
      <w:r w:rsidRPr="00B010BF">
        <w:rPr>
          <w:szCs w:val="22"/>
          <w:lang w:val="en-GB"/>
        </w:rPr>
        <w:t>eribulin</w:t>
      </w:r>
      <w:proofErr w:type="spellEnd"/>
      <w:r w:rsidRPr="00B010BF">
        <w:rPr>
          <w:szCs w:val="22"/>
          <w:lang w:val="en-GB"/>
        </w:rPr>
        <w:t>.</w:t>
      </w:r>
    </w:p>
    <w:p w:rsidR="00D359E9" w:rsidRPr="00B010BF" w:rsidRDefault="00D359E9" w:rsidP="00903665">
      <w:pPr>
        <w:pStyle w:val="PBACHeading1"/>
        <w:numPr>
          <w:ilvl w:val="0"/>
          <w:numId w:val="0"/>
        </w:numPr>
        <w:ind w:left="720" w:hanging="720"/>
        <w:rPr>
          <w:lang w:val="en-GB"/>
        </w:rPr>
      </w:pPr>
    </w:p>
    <w:p w:rsidR="002138F6" w:rsidRPr="00B010BF" w:rsidRDefault="002138F6" w:rsidP="00A728F8">
      <w:pPr>
        <w:pStyle w:val="ListParagraph"/>
        <w:widowControl/>
        <w:numPr>
          <w:ilvl w:val="1"/>
          <w:numId w:val="2"/>
        </w:numPr>
        <w:rPr>
          <w:szCs w:val="22"/>
          <w:lang w:val="en-GB"/>
        </w:rPr>
      </w:pPr>
      <w:r w:rsidRPr="00B010BF">
        <w:rPr>
          <w:szCs w:val="22"/>
          <w:lang w:val="en-GB"/>
        </w:rPr>
        <w:t>The submission</w:t>
      </w:r>
      <w:r w:rsidR="00264A7D" w:rsidRPr="00B010BF">
        <w:rPr>
          <w:szCs w:val="22"/>
          <w:lang w:val="en-GB"/>
        </w:rPr>
        <w:t>’s method for estimating</w:t>
      </w:r>
      <w:r w:rsidRPr="00B010BF">
        <w:rPr>
          <w:szCs w:val="22"/>
          <w:lang w:val="en-GB"/>
        </w:rPr>
        <w:t xml:space="preserve"> the cost per infusion for </w:t>
      </w:r>
      <w:proofErr w:type="spellStart"/>
      <w:r w:rsidRPr="00B010BF">
        <w:rPr>
          <w:szCs w:val="22"/>
          <w:lang w:val="en-GB"/>
        </w:rPr>
        <w:t>eribulin</w:t>
      </w:r>
      <w:proofErr w:type="spellEnd"/>
      <w:r w:rsidRPr="00B010BF">
        <w:rPr>
          <w:szCs w:val="22"/>
          <w:lang w:val="en-GB"/>
        </w:rPr>
        <w:t xml:space="preserve"> and </w:t>
      </w:r>
      <w:proofErr w:type="spellStart"/>
      <w:r w:rsidRPr="00B010BF">
        <w:rPr>
          <w:szCs w:val="22"/>
          <w:lang w:val="en-GB"/>
        </w:rPr>
        <w:t>dacarbazine</w:t>
      </w:r>
      <w:proofErr w:type="spellEnd"/>
      <w:r w:rsidR="00264A7D" w:rsidRPr="00B010BF">
        <w:rPr>
          <w:szCs w:val="22"/>
          <w:lang w:val="en-GB"/>
        </w:rPr>
        <w:t xml:space="preserve"> was inappropriate</w:t>
      </w:r>
      <w:r w:rsidRPr="00B010BF">
        <w:rPr>
          <w:szCs w:val="22"/>
          <w:lang w:val="en-GB"/>
        </w:rPr>
        <w:t xml:space="preserve">. For </w:t>
      </w:r>
      <w:proofErr w:type="spellStart"/>
      <w:r w:rsidRPr="00B010BF">
        <w:rPr>
          <w:szCs w:val="22"/>
          <w:lang w:val="en-GB"/>
        </w:rPr>
        <w:t>eribulin</w:t>
      </w:r>
      <w:proofErr w:type="spellEnd"/>
      <w:r w:rsidRPr="00B010BF">
        <w:rPr>
          <w:szCs w:val="22"/>
          <w:lang w:val="en-GB"/>
        </w:rPr>
        <w:t xml:space="preserve">, the submission calculated the number of 2 mL or 3 mL vials required (including wastage). The inclusion of the 3 mL vial in </w:t>
      </w:r>
      <w:r w:rsidRPr="00B010BF">
        <w:rPr>
          <w:szCs w:val="22"/>
          <w:lang w:val="en-GB"/>
        </w:rPr>
        <w:lastRenderedPageBreak/>
        <w:t>these calculations was inappropriate</w:t>
      </w:r>
      <w:r w:rsidR="00AA2D6F" w:rsidRPr="00B010BF">
        <w:rPr>
          <w:szCs w:val="22"/>
          <w:lang w:val="en-GB"/>
        </w:rPr>
        <w:t>,</w:t>
      </w:r>
      <w:r w:rsidR="008A0E08" w:rsidRPr="00B010BF">
        <w:rPr>
          <w:szCs w:val="22"/>
          <w:lang w:val="en-GB"/>
        </w:rPr>
        <w:t xml:space="preserve"> as it was not requested in the submission </w:t>
      </w:r>
      <w:r w:rsidR="003A077B" w:rsidRPr="00B010BF">
        <w:rPr>
          <w:szCs w:val="22"/>
          <w:lang w:val="en-GB"/>
        </w:rPr>
        <w:t xml:space="preserve">or included in the </w:t>
      </w:r>
      <w:r w:rsidR="008A0E08" w:rsidRPr="00B010BF">
        <w:rPr>
          <w:szCs w:val="22"/>
          <w:lang w:val="en-GB"/>
        </w:rPr>
        <w:t>TGA app</w:t>
      </w:r>
      <w:r w:rsidR="003A077B" w:rsidRPr="00B010BF">
        <w:rPr>
          <w:szCs w:val="22"/>
          <w:lang w:val="en-GB"/>
        </w:rPr>
        <w:t>lication</w:t>
      </w:r>
      <w:r w:rsidRPr="00B010BF">
        <w:rPr>
          <w:szCs w:val="22"/>
          <w:lang w:val="en-GB"/>
        </w:rPr>
        <w:t>. The submission then estimated the cost per vial (including dispensing fees and mark-ups). This was inappropriate. According to the Efficient Funding of Chemotherapy</w:t>
      </w:r>
      <w:r w:rsidR="00BB29E5" w:rsidRPr="00B010BF">
        <w:rPr>
          <w:szCs w:val="22"/>
          <w:lang w:val="en-GB"/>
        </w:rPr>
        <w:t xml:space="preserve"> Remuneration Arrangements</w:t>
      </w:r>
      <w:r w:rsidRPr="00B010BF">
        <w:rPr>
          <w:szCs w:val="22"/>
          <w:lang w:val="en-GB"/>
        </w:rPr>
        <w:t xml:space="preserve">, dispensing fees and mark-ups should be calculated per infusion/dispensing rather than per vial. During evaluation these two errors (inclusion of 3 mL vial and incorrect application of dispensing fees and mark-ups) were corrected, resulting in a monthly </w:t>
      </w:r>
      <w:proofErr w:type="spellStart"/>
      <w:r w:rsidRPr="00B010BF">
        <w:rPr>
          <w:szCs w:val="22"/>
          <w:lang w:val="en-GB"/>
        </w:rPr>
        <w:t>eribulin</w:t>
      </w:r>
      <w:proofErr w:type="spellEnd"/>
      <w:r w:rsidRPr="00B010BF">
        <w:rPr>
          <w:szCs w:val="22"/>
          <w:lang w:val="en-GB"/>
        </w:rPr>
        <w:t xml:space="preserve"> cost of $</w:t>
      </w:r>
      <w:r w:rsidR="002E58CD">
        <w:rPr>
          <w:noProof/>
          <w:color w:val="000000"/>
          <w:szCs w:val="22"/>
          <w:highlight w:val="black"/>
          <w:lang w:val="en-GB"/>
        </w:rPr>
        <w:t>''''''''''''''</w:t>
      </w:r>
      <w:r w:rsidRPr="00B010BF">
        <w:rPr>
          <w:szCs w:val="22"/>
          <w:lang w:val="en-GB"/>
        </w:rPr>
        <w:t xml:space="preserve"> compared with the estimated cost in the submission of $</w:t>
      </w:r>
      <w:r w:rsidR="002E58CD">
        <w:rPr>
          <w:noProof/>
          <w:color w:val="000000"/>
          <w:szCs w:val="22"/>
          <w:highlight w:val="black"/>
          <w:lang w:val="en-GB"/>
        </w:rPr>
        <w:t>''''''''''''''</w:t>
      </w:r>
      <w:r w:rsidRPr="00B010BF">
        <w:rPr>
          <w:szCs w:val="22"/>
          <w:lang w:val="en-GB"/>
        </w:rPr>
        <w:t xml:space="preserve">. A similar error was made for </w:t>
      </w:r>
      <w:proofErr w:type="spellStart"/>
      <w:r w:rsidRPr="00B010BF">
        <w:rPr>
          <w:szCs w:val="22"/>
          <w:lang w:val="en-GB"/>
        </w:rPr>
        <w:t>dacarbazine</w:t>
      </w:r>
      <w:proofErr w:type="spellEnd"/>
      <w:r w:rsidR="000678AF" w:rsidRPr="00B010BF">
        <w:rPr>
          <w:szCs w:val="22"/>
          <w:lang w:val="en-GB"/>
        </w:rPr>
        <w:t>,</w:t>
      </w:r>
      <w:r w:rsidRPr="00B010BF">
        <w:rPr>
          <w:szCs w:val="22"/>
          <w:lang w:val="en-GB"/>
        </w:rPr>
        <w:t xml:space="preserve"> resulting in a higher </w:t>
      </w:r>
      <w:r w:rsidR="000678AF" w:rsidRPr="00B010BF">
        <w:rPr>
          <w:szCs w:val="22"/>
          <w:lang w:val="en-GB"/>
        </w:rPr>
        <w:t xml:space="preserve">estimated </w:t>
      </w:r>
      <w:r w:rsidRPr="00B010BF">
        <w:rPr>
          <w:szCs w:val="22"/>
          <w:lang w:val="en-GB"/>
        </w:rPr>
        <w:t>monthly cost ($</w:t>
      </w:r>
      <w:r w:rsidR="002E58CD">
        <w:rPr>
          <w:noProof/>
          <w:color w:val="000000"/>
          <w:szCs w:val="22"/>
          <w:highlight w:val="black"/>
          <w:lang w:val="en-GB"/>
        </w:rPr>
        <w:t>'''''''''''''</w:t>
      </w:r>
      <w:r w:rsidRPr="00B010BF">
        <w:rPr>
          <w:szCs w:val="22"/>
          <w:lang w:val="en-GB"/>
        </w:rPr>
        <w:t xml:space="preserve"> versus $</w:t>
      </w:r>
      <w:r w:rsidR="002E58CD">
        <w:rPr>
          <w:noProof/>
          <w:color w:val="000000"/>
          <w:szCs w:val="22"/>
          <w:highlight w:val="black"/>
          <w:lang w:val="en-GB"/>
        </w:rPr>
        <w:t>''''''''''''</w:t>
      </w:r>
      <w:r w:rsidRPr="00B010BF">
        <w:rPr>
          <w:szCs w:val="22"/>
          <w:lang w:val="en-GB"/>
        </w:rPr>
        <w:t xml:space="preserve"> using the </w:t>
      </w:r>
      <w:r w:rsidR="005342C3" w:rsidRPr="00B010BF">
        <w:rPr>
          <w:szCs w:val="22"/>
          <w:lang w:val="en-GB"/>
        </w:rPr>
        <w:t xml:space="preserve">same methodology for applying </w:t>
      </w:r>
      <w:r w:rsidRPr="00B010BF">
        <w:rPr>
          <w:szCs w:val="22"/>
          <w:lang w:val="en-GB"/>
        </w:rPr>
        <w:t xml:space="preserve">dispensing </w:t>
      </w:r>
      <w:r w:rsidR="000678AF" w:rsidRPr="00B010BF">
        <w:rPr>
          <w:szCs w:val="22"/>
          <w:lang w:val="en-GB"/>
        </w:rPr>
        <w:t xml:space="preserve">fees </w:t>
      </w:r>
      <w:r w:rsidRPr="00B010BF">
        <w:rPr>
          <w:szCs w:val="22"/>
          <w:lang w:val="en-GB"/>
        </w:rPr>
        <w:t>and mark-up</w:t>
      </w:r>
      <w:r w:rsidR="005342C3" w:rsidRPr="00B010BF">
        <w:rPr>
          <w:szCs w:val="22"/>
          <w:lang w:val="en-GB"/>
        </w:rPr>
        <w:t xml:space="preserve"> as for </w:t>
      </w:r>
      <w:proofErr w:type="spellStart"/>
      <w:r w:rsidR="005342C3" w:rsidRPr="00B010BF">
        <w:rPr>
          <w:szCs w:val="22"/>
          <w:lang w:val="en-GB"/>
        </w:rPr>
        <w:t>eribulin</w:t>
      </w:r>
      <w:proofErr w:type="spellEnd"/>
      <w:r w:rsidRPr="00B010BF">
        <w:rPr>
          <w:szCs w:val="22"/>
          <w:lang w:val="en-GB"/>
        </w:rPr>
        <w:t>).</w:t>
      </w:r>
      <w:r w:rsidR="00264A7D" w:rsidRPr="00B010BF">
        <w:rPr>
          <w:szCs w:val="22"/>
          <w:lang w:val="en-GB"/>
        </w:rPr>
        <w:t xml:space="preserve"> Further, it</w:t>
      </w:r>
      <w:r w:rsidR="005342C3" w:rsidRPr="00B010BF">
        <w:rPr>
          <w:szCs w:val="22"/>
          <w:lang w:val="en-GB"/>
        </w:rPr>
        <w:t xml:space="preserve"> should be noted that as </w:t>
      </w:r>
      <w:proofErr w:type="spellStart"/>
      <w:r w:rsidR="005342C3" w:rsidRPr="00B010BF">
        <w:rPr>
          <w:szCs w:val="22"/>
          <w:lang w:val="en-GB"/>
        </w:rPr>
        <w:t>dacarbazine</w:t>
      </w:r>
      <w:proofErr w:type="spellEnd"/>
      <w:r w:rsidR="005342C3" w:rsidRPr="00B010BF">
        <w:rPr>
          <w:szCs w:val="22"/>
          <w:lang w:val="en-GB"/>
        </w:rPr>
        <w:t xml:space="preserve"> is no</w:t>
      </w:r>
      <w:r w:rsidR="000C3A2A">
        <w:rPr>
          <w:szCs w:val="22"/>
          <w:lang w:val="en-GB"/>
        </w:rPr>
        <w:t>t PBS-subsidised,</w:t>
      </w:r>
      <w:r w:rsidR="005342C3" w:rsidRPr="00B010BF">
        <w:rPr>
          <w:szCs w:val="22"/>
          <w:lang w:val="en-GB"/>
        </w:rPr>
        <w:t xml:space="preserve"> </w:t>
      </w:r>
      <w:r w:rsidR="000C3A2A">
        <w:rPr>
          <w:szCs w:val="22"/>
          <w:lang w:val="en-GB"/>
        </w:rPr>
        <w:t xml:space="preserve">inclusion of </w:t>
      </w:r>
      <w:r w:rsidR="005342C3" w:rsidRPr="00B010BF">
        <w:rPr>
          <w:szCs w:val="22"/>
          <w:lang w:val="en-GB"/>
        </w:rPr>
        <w:t>dispensing fees and mark-ups m</w:t>
      </w:r>
      <w:r w:rsidR="000C3A2A">
        <w:rPr>
          <w:szCs w:val="22"/>
          <w:lang w:val="en-GB"/>
        </w:rPr>
        <w:t>ay or may not be appropriate</w:t>
      </w:r>
      <w:r w:rsidR="004E2076">
        <w:rPr>
          <w:szCs w:val="22"/>
          <w:lang w:val="en-GB"/>
        </w:rPr>
        <w:t>.</w:t>
      </w:r>
    </w:p>
    <w:p w:rsidR="002138F6" w:rsidRPr="00B010BF" w:rsidRDefault="002138F6" w:rsidP="00903665">
      <w:pPr>
        <w:pStyle w:val="ListParagraph"/>
        <w:widowControl/>
        <w:rPr>
          <w:szCs w:val="22"/>
          <w:lang w:val="en-GB"/>
        </w:rPr>
      </w:pPr>
    </w:p>
    <w:p w:rsidR="00D359E9" w:rsidRPr="00B010BF" w:rsidRDefault="002138F6" w:rsidP="00A728F8">
      <w:pPr>
        <w:pStyle w:val="ListParagraph"/>
        <w:widowControl/>
        <w:numPr>
          <w:ilvl w:val="1"/>
          <w:numId w:val="2"/>
        </w:numPr>
        <w:rPr>
          <w:szCs w:val="22"/>
          <w:lang w:val="en-GB"/>
        </w:rPr>
      </w:pPr>
      <w:r w:rsidRPr="00B010BF">
        <w:rPr>
          <w:szCs w:val="22"/>
          <w:lang w:val="en-GB"/>
        </w:rPr>
        <w:t>Patients in the progressed disease health state received one cycle of post-progression chemotherapy. The submission calculated the average cost for post-progression treatment</w:t>
      </w:r>
      <w:r w:rsidR="00A814F3" w:rsidRPr="00B010BF">
        <w:rPr>
          <w:szCs w:val="22"/>
          <w:lang w:val="en-GB"/>
        </w:rPr>
        <w:t xml:space="preserve"> incorrectly</w:t>
      </w:r>
      <w:r w:rsidRPr="00B010BF">
        <w:rPr>
          <w:szCs w:val="22"/>
          <w:lang w:val="en-GB"/>
        </w:rPr>
        <w:t xml:space="preserve">, similar to that done for </w:t>
      </w:r>
      <w:proofErr w:type="spellStart"/>
      <w:r w:rsidRPr="00B010BF">
        <w:rPr>
          <w:szCs w:val="22"/>
          <w:lang w:val="en-GB"/>
        </w:rPr>
        <w:t>eribulin</w:t>
      </w:r>
      <w:proofErr w:type="spellEnd"/>
      <w:r w:rsidRPr="00B010BF">
        <w:rPr>
          <w:szCs w:val="22"/>
          <w:lang w:val="en-GB"/>
        </w:rPr>
        <w:t xml:space="preserve"> and </w:t>
      </w:r>
      <w:proofErr w:type="spellStart"/>
      <w:r w:rsidRPr="00B010BF">
        <w:rPr>
          <w:szCs w:val="22"/>
          <w:lang w:val="en-GB"/>
        </w:rPr>
        <w:t>dacarbazine</w:t>
      </w:r>
      <w:proofErr w:type="spellEnd"/>
      <w:r w:rsidR="00F50E60" w:rsidRPr="00B010BF">
        <w:rPr>
          <w:szCs w:val="22"/>
          <w:lang w:val="en-GB"/>
        </w:rPr>
        <w:t>.</w:t>
      </w:r>
      <w:r w:rsidR="001E6223" w:rsidRPr="00B010BF">
        <w:rPr>
          <w:szCs w:val="22"/>
          <w:lang w:val="en-GB"/>
        </w:rPr>
        <w:t xml:space="preserve"> The ESC however noted that a</w:t>
      </w:r>
      <w:r w:rsidR="003B5DB0" w:rsidRPr="00B010BF">
        <w:rPr>
          <w:szCs w:val="22"/>
          <w:lang w:val="en-GB"/>
        </w:rPr>
        <w:t xml:space="preserve"> substantial proportion of the </w:t>
      </w:r>
      <w:proofErr w:type="spellStart"/>
      <w:r w:rsidR="003B5DB0" w:rsidRPr="00B010BF">
        <w:rPr>
          <w:szCs w:val="22"/>
          <w:lang w:val="en-GB"/>
        </w:rPr>
        <w:t>liposarcoma</w:t>
      </w:r>
      <w:proofErr w:type="spellEnd"/>
      <w:r w:rsidR="003B5DB0" w:rsidRPr="00B010BF">
        <w:rPr>
          <w:szCs w:val="22"/>
          <w:lang w:val="en-GB"/>
        </w:rPr>
        <w:t xml:space="preserve"> subgroup </w:t>
      </w:r>
      <w:r w:rsidR="001E6223" w:rsidRPr="00B010BF">
        <w:rPr>
          <w:szCs w:val="22"/>
          <w:lang w:val="en-GB"/>
        </w:rPr>
        <w:t>did not have another course of chemotherapy post</w:t>
      </w:r>
      <w:r w:rsidR="00884669" w:rsidRPr="00B010BF">
        <w:rPr>
          <w:szCs w:val="22"/>
          <w:lang w:val="en-GB"/>
        </w:rPr>
        <w:t>-</w:t>
      </w:r>
      <w:r w:rsidR="001E6223" w:rsidRPr="00B010BF">
        <w:rPr>
          <w:szCs w:val="22"/>
          <w:lang w:val="en-GB"/>
        </w:rPr>
        <w:t xml:space="preserve">progression (35.2% and 45.8% respectively in the </w:t>
      </w:r>
      <w:proofErr w:type="spellStart"/>
      <w:r w:rsidR="001E6223" w:rsidRPr="00B010BF">
        <w:rPr>
          <w:szCs w:val="22"/>
          <w:lang w:val="en-GB"/>
        </w:rPr>
        <w:t>eribulin</w:t>
      </w:r>
      <w:proofErr w:type="spellEnd"/>
      <w:r w:rsidR="001E6223" w:rsidRPr="00B010BF">
        <w:rPr>
          <w:szCs w:val="22"/>
          <w:lang w:val="en-GB"/>
        </w:rPr>
        <w:t xml:space="preserve"> and </w:t>
      </w:r>
      <w:proofErr w:type="spellStart"/>
      <w:r w:rsidR="001E6223" w:rsidRPr="00B010BF">
        <w:rPr>
          <w:szCs w:val="22"/>
          <w:lang w:val="en-GB"/>
        </w:rPr>
        <w:t>dacarbazine</w:t>
      </w:r>
      <w:proofErr w:type="spellEnd"/>
      <w:r w:rsidR="001E6223" w:rsidRPr="00B010BF">
        <w:rPr>
          <w:szCs w:val="22"/>
          <w:lang w:val="en-GB"/>
        </w:rPr>
        <w:t xml:space="preserve"> groups)</w:t>
      </w:r>
      <w:r w:rsidR="0086387D" w:rsidRPr="00B010BF">
        <w:rPr>
          <w:szCs w:val="22"/>
          <w:lang w:val="en-GB"/>
        </w:rPr>
        <w:t xml:space="preserve"> (Table C-4, p108 of the submission)</w:t>
      </w:r>
      <w:r w:rsidR="001E6223" w:rsidRPr="00B010BF">
        <w:rPr>
          <w:szCs w:val="22"/>
          <w:lang w:val="en-GB"/>
        </w:rPr>
        <w:t>, and considered that such progression costs may have been overestimated.</w:t>
      </w:r>
    </w:p>
    <w:p w:rsidR="00D359E9" w:rsidRPr="00B010BF" w:rsidRDefault="00D359E9" w:rsidP="00903665">
      <w:pPr>
        <w:pStyle w:val="ListParagraph"/>
        <w:widowControl/>
        <w:rPr>
          <w:szCs w:val="22"/>
          <w:lang w:val="en-GB"/>
        </w:rPr>
      </w:pPr>
    </w:p>
    <w:p w:rsidR="00062AF5" w:rsidRPr="00B010BF" w:rsidRDefault="00D359E9" w:rsidP="00A728F8">
      <w:pPr>
        <w:pStyle w:val="ListParagraph"/>
        <w:widowControl/>
        <w:numPr>
          <w:ilvl w:val="1"/>
          <w:numId w:val="2"/>
        </w:numPr>
        <w:rPr>
          <w:szCs w:val="22"/>
          <w:lang w:val="en-GB"/>
        </w:rPr>
      </w:pPr>
      <w:r w:rsidRPr="00B010BF">
        <w:rPr>
          <w:szCs w:val="22"/>
          <w:lang w:val="en-GB"/>
        </w:rPr>
        <w:t xml:space="preserve">The ESC </w:t>
      </w:r>
      <w:r w:rsidR="00062AF5" w:rsidRPr="00B010BF">
        <w:rPr>
          <w:szCs w:val="22"/>
          <w:lang w:val="en-GB"/>
        </w:rPr>
        <w:t xml:space="preserve">noted that the submission excluded </w:t>
      </w:r>
      <w:proofErr w:type="spellStart"/>
      <w:r w:rsidR="00062AF5" w:rsidRPr="00B010BF">
        <w:rPr>
          <w:szCs w:val="22"/>
          <w:lang w:val="en-GB"/>
        </w:rPr>
        <w:t>dacarbazine</w:t>
      </w:r>
      <w:proofErr w:type="spellEnd"/>
      <w:r w:rsidR="00062AF5" w:rsidRPr="00B010BF">
        <w:rPr>
          <w:szCs w:val="22"/>
          <w:lang w:val="en-GB"/>
        </w:rPr>
        <w:t xml:space="preserve"> as a third-line treatment option in the estimation of post-progression treatment costs. </w:t>
      </w:r>
      <w:r w:rsidR="00DC0FF4" w:rsidRPr="00B010BF">
        <w:rPr>
          <w:szCs w:val="22"/>
          <w:lang w:val="en-GB"/>
        </w:rPr>
        <w:t xml:space="preserve">The ESC considered that this was inappropriate, as patients may receive </w:t>
      </w:r>
      <w:proofErr w:type="spellStart"/>
      <w:r w:rsidR="00DC0FF4" w:rsidRPr="00B010BF">
        <w:rPr>
          <w:szCs w:val="22"/>
          <w:lang w:val="en-GB"/>
        </w:rPr>
        <w:t>dacarbazine</w:t>
      </w:r>
      <w:proofErr w:type="spellEnd"/>
      <w:r w:rsidR="00DC0FF4" w:rsidRPr="00B010BF">
        <w:rPr>
          <w:szCs w:val="22"/>
          <w:lang w:val="en-GB"/>
        </w:rPr>
        <w:t xml:space="preserve"> after experiencing disease progression with </w:t>
      </w:r>
      <w:proofErr w:type="spellStart"/>
      <w:r w:rsidR="00DC0FF4" w:rsidRPr="00B010BF">
        <w:rPr>
          <w:szCs w:val="22"/>
          <w:lang w:val="en-GB"/>
        </w:rPr>
        <w:t>eribulin</w:t>
      </w:r>
      <w:proofErr w:type="spellEnd"/>
      <w:r w:rsidR="00DC0FF4" w:rsidRPr="00B010BF">
        <w:rPr>
          <w:szCs w:val="22"/>
          <w:lang w:val="en-GB"/>
        </w:rPr>
        <w:t xml:space="preserve">. </w:t>
      </w:r>
      <w:r w:rsidR="001A1021">
        <w:rPr>
          <w:szCs w:val="22"/>
          <w:lang w:val="en-GB"/>
        </w:rPr>
        <w:t xml:space="preserve">The PBAC noted that 69.3% of </w:t>
      </w:r>
      <w:proofErr w:type="spellStart"/>
      <w:r w:rsidR="001A1021">
        <w:rPr>
          <w:szCs w:val="22"/>
          <w:lang w:val="en-GB"/>
        </w:rPr>
        <w:t>eribulin</w:t>
      </w:r>
      <w:proofErr w:type="spellEnd"/>
      <w:r w:rsidR="001A1021">
        <w:rPr>
          <w:szCs w:val="22"/>
          <w:lang w:val="en-GB"/>
        </w:rPr>
        <w:t xml:space="preserve"> patients and 62.9% of </w:t>
      </w:r>
      <w:proofErr w:type="spellStart"/>
      <w:r w:rsidR="001A1021">
        <w:rPr>
          <w:szCs w:val="22"/>
          <w:lang w:val="en-GB"/>
        </w:rPr>
        <w:t>dacarbazine</w:t>
      </w:r>
      <w:proofErr w:type="spellEnd"/>
      <w:r w:rsidR="001A1021">
        <w:rPr>
          <w:szCs w:val="22"/>
          <w:lang w:val="en-GB"/>
        </w:rPr>
        <w:t xml:space="preserve"> patients</w:t>
      </w:r>
      <w:r w:rsidR="000C3A2A">
        <w:rPr>
          <w:szCs w:val="22"/>
          <w:lang w:val="en-GB"/>
        </w:rPr>
        <w:t xml:space="preserve"> in the ITT population</w:t>
      </w:r>
      <w:r w:rsidR="001A1021">
        <w:rPr>
          <w:szCs w:val="22"/>
          <w:lang w:val="en-GB"/>
        </w:rPr>
        <w:t xml:space="preserve"> received </w:t>
      </w:r>
      <w:proofErr w:type="gramStart"/>
      <w:r w:rsidR="001A1021">
        <w:rPr>
          <w:szCs w:val="22"/>
          <w:lang w:val="en-GB"/>
        </w:rPr>
        <w:t>at lea</w:t>
      </w:r>
      <w:r w:rsidR="004E2076">
        <w:rPr>
          <w:szCs w:val="22"/>
          <w:lang w:val="en-GB"/>
        </w:rPr>
        <w:t>st one post-trial chemotherapy</w:t>
      </w:r>
      <w:proofErr w:type="gramEnd"/>
      <w:r w:rsidR="004E2076">
        <w:rPr>
          <w:szCs w:val="22"/>
          <w:lang w:val="en-GB"/>
        </w:rPr>
        <w:t>.</w:t>
      </w:r>
    </w:p>
    <w:p w:rsidR="00062AF5" w:rsidRPr="00B010BF" w:rsidRDefault="00062AF5" w:rsidP="00903665">
      <w:pPr>
        <w:pStyle w:val="ListParagraph"/>
        <w:widowControl/>
        <w:rPr>
          <w:szCs w:val="22"/>
          <w:lang w:val="en-GB"/>
        </w:rPr>
      </w:pPr>
    </w:p>
    <w:p w:rsidR="002138F6" w:rsidRPr="00B010BF" w:rsidRDefault="002209D7" w:rsidP="00A728F8">
      <w:pPr>
        <w:pStyle w:val="ListParagraph"/>
        <w:widowControl/>
        <w:numPr>
          <w:ilvl w:val="1"/>
          <w:numId w:val="2"/>
        </w:numPr>
        <w:rPr>
          <w:szCs w:val="22"/>
          <w:lang w:val="en-GB"/>
        </w:rPr>
      </w:pPr>
      <w:r w:rsidRPr="00B010BF">
        <w:rPr>
          <w:szCs w:val="22"/>
          <w:lang w:val="en-GB"/>
        </w:rPr>
        <w:t>The revised</w:t>
      </w:r>
      <w:r w:rsidR="00A814F3" w:rsidRPr="00B010BF">
        <w:rPr>
          <w:szCs w:val="22"/>
          <w:lang w:val="en-GB"/>
        </w:rPr>
        <w:t xml:space="preserve"> base case included the appropriate dispensing fees and mark-ups for</w:t>
      </w:r>
      <w:r w:rsidR="002138F6" w:rsidRPr="00B010BF">
        <w:rPr>
          <w:szCs w:val="22"/>
          <w:lang w:val="en-GB"/>
        </w:rPr>
        <w:t xml:space="preserve"> </w:t>
      </w:r>
      <w:proofErr w:type="spellStart"/>
      <w:r w:rsidR="002138F6" w:rsidRPr="00B010BF">
        <w:rPr>
          <w:szCs w:val="22"/>
          <w:lang w:val="en-GB"/>
        </w:rPr>
        <w:t>eribulin</w:t>
      </w:r>
      <w:proofErr w:type="spellEnd"/>
      <w:r w:rsidR="002138F6" w:rsidRPr="00B010BF">
        <w:rPr>
          <w:szCs w:val="22"/>
          <w:lang w:val="en-GB"/>
        </w:rPr>
        <w:t xml:space="preserve">, </w:t>
      </w:r>
      <w:proofErr w:type="spellStart"/>
      <w:r w:rsidR="002138F6" w:rsidRPr="00B010BF">
        <w:rPr>
          <w:szCs w:val="22"/>
          <w:lang w:val="en-GB"/>
        </w:rPr>
        <w:t>dacarbazine</w:t>
      </w:r>
      <w:proofErr w:type="spellEnd"/>
      <w:r w:rsidR="002138F6" w:rsidRPr="00B010BF">
        <w:rPr>
          <w:szCs w:val="22"/>
          <w:lang w:val="en-GB"/>
        </w:rPr>
        <w:t xml:space="preserve"> and post-progression treatments</w:t>
      </w:r>
      <w:r w:rsidR="00A814F3" w:rsidRPr="00B010BF">
        <w:rPr>
          <w:szCs w:val="22"/>
          <w:lang w:val="en-GB"/>
        </w:rPr>
        <w:t xml:space="preserve"> and excluded the use of the 3</w:t>
      </w:r>
      <w:r w:rsidR="008A0E08" w:rsidRPr="00B010BF">
        <w:rPr>
          <w:szCs w:val="22"/>
          <w:lang w:val="en-GB"/>
        </w:rPr>
        <w:t> mL</w:t>
      </w:r>
      <w:r w:rsidR="00A814F3" w:rsidRPr="00B010BF">
        <w:rPr>
          <w:szCs w:val="22"/>
          <w:lang w:val="en-GB"/>
        </w:rPr>
        <w:t xml:space="preserve"> vial for </w:t>
      </w:r>
      <w:proofErr w:type="spellStart"/>
      <w:r w:rsidR="00A814F3" w:rsidRPr="00B010BF">
        <w:rPr>
          <w:szCs w:val="22"/>
          <w:lang w:val="en-GB"/>
        </w:rPr>
        <w:t>eribulin</w:t>
      </w:r>
      <w:proofErr w:type="spellEnd"/>
      <w:r w:rsidR="00B07E99" w:rsidRPr="00B010BF">
        <w:rPr>
          <w:szCs w:val="22"/>
          <w:lang w:val="en-GB"/>
        </w:rPr>
        <w:t xml:space="preserve"> (the 3 mL vial was not requested by the submission)</w:t>
      </w:r>
      <w:r w:rsidR="002138F6" w:rsidRPr="00B010BF">
        <w:rPr>
          <w:szCs w:val="22"/>
          <w:lang w:val="en-GB"/>
        </w:rPr>
        <w:t>.</w:t>
      </w:r>
    </w:p>
    <w:p w:rsidR="002138F6" w:rsidRPr="00B010BF" w:rsidRDefault="002138F6" w:rsidP="00903665">
      <w:pPr>
        <w:pStyle w:val="ListParagraph"/>
        <w:widowControl/>
        <w:rPr>
          <w:szCs w:val="22"/>
          <w:lang w:val="en-GB"/>
        </w:rPr>
      </w:pPr>
    </w:p>
    <w:p w:rsidR="002138F6" w:rsidRPr="00B010BF" w:rsidRDefault="00002730" w:rsidP="00A728F8">
      <w:pPr>
        <w:pStyle w:val="ListParagraph"/>
        <w:widowControl/>
        <w:numPr>
          <w:ilvl w:val="1"/>
          <w:numId w:val="2"/>
        </w:numPr>
        <w:rPr>
          <w:szCs w:val="22"/>
          <w:lang w:val="en-GB"/>
        </w:rPr>
      </w:pPr>
      <w:r w:rsidRPr="00B010BF">
        <w:rPr>
          <w:lang w:val="en-GB"/>
        </w:rPr>
        <w:t xml:space="preserve">The key drivers of the economic model are presented in Table </w:t>
      </w:r>
      <w:r w:rsidR="002D3E86" w:rsidRPr="00B010BF">
        <w:rPr>
          <w:lang w:val="en-GB"/>
        </w:rPr>
        <w:t>8</w:t>
      </w:r>
      <w:r w:rsidRPr="00B010BF">
        <w:rPr>
          <w:lang w:val="en-GB"/>
        </w:rPr>
        <w:t>.</w:t>
      </w:r>
    </w:p>
    <w:p w:rsidR="00275C5A" w:rsidRPr="00B010BF" w:rsidRDefault="00275C5A" w:rsidP="00903665">
      <w:pPr>
        <w:widowControl/>
        <w:rPr>
          <w:szCs w:val="22"/>
          <w:lang w:val="en-GB"/>
        </w:rPr>
      </w:pPr>
    </w:p>
    <w:p w:rsidR="001028CA" w:rsidRDefault="001028CA" w:rsidP="005B0C39">
      <w:pPr>
        <w:pStyle w:val="Caption"/>
        <w:keepNext/>
        <w:widowControl/>
        <w:ind w:left="709"/>
      </w:pPr>
      <w:r w:rsidRPr="00B010BF">
        <w:t xml:space="preserve">Table </w:t>
      </w:r>
      <w:r w:rsidR="00556B92">
        <w:rPr>
          <w:noProof/>
        </w:rPr>
        <w:t>8</w:t>
      </w:r>
      <w:r w:rsidRPr="00B010BF">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59"/>
        <w:gridCol w:w="6607"/>
        <w:gridCol w:w="779"/>
      </w:tblGrid>
      <w:tr w:rsidR="00BC14E4" w:rsidRPr="00CD0DEF" w:rsidTr="005B0C39">
        <w:trPr>
          <w:tblHeader/>
        </w:trPr>
        <w:tc>
          <w:tcPr>
            <w:tcW w:w="170" w:type="pct"/>
            <w:shd w:val="clear" w:color="auto" w:fill="auto"/>
            <w:vAlign w:val="center"/>
          </w:tcPr>
          <w:p w:rsidR="00BC14E4" w:rsidRPr="00CD0DEF" w:rsidRDefault="00BC14E4" w:rsidP="003223D2">
            <w:pPr>
              <w:keepNext/>
              <w:widowControl/>
              <w:jc w:val="left"/>
              <w:rPr>
                <w:rFonts w:ascii="Arial Narrow" w:hAnsi="Arial Narrow"/>
                <w:b/>
                <w:sz w:val="20"/>
                <w:lang w:val="en-GB"/>
              </w:rPr>
            </w:pPr>
            <w:r w:rsidRPr="00CD0DEF">
              <w:rPr>
                <w:rFonts w:ascii="Arial Narrow" w:hAnsi="Arial Narrow"/>
                <w:b/>
                <w:sz w:val="20"/>
                <w:lang w:val="en-GB"/>
              </w:rPr>
              <w:t>Description</w:t>
            </w:r>
          </w:p>
        </w:tc>
        <w:tc>
          <w:tcPr>
            <w:tcW w:w="4161" w:type="pct"/>
            <w:shd w:val="clear" w:color="auto" w:fill="auto"/>
            <w:vAlign w:val="center"/>
          </w:tcPr>
          <w:p w:rsidR="00BC14E4" w:rsidRPr="00CD0DEF" w:rsidRDefault="00BC14E4" w:rsidP="003223D2">
            <w:pPr>
              <w:keepNext/>
              <w:widowControl/>
              <w:jc w:val="center"/>
              <w:rPr>
                <w:rFonts w:ascii="Arial Narrow" w:hAnsi="Arial Narrow"/>
                <w:b/>
                <w:sz w:val="20"/>
                <w:lang w:val="en-GB"/>
              </w:rPr>
            </w:pPr>
            <w:r w:rsidRPr="00CD0DEF">
              <w:rPr>
                <w:rFonts w:ascii="Arial Narrow" w:hAnsi="Arial Narrow"/>
                <w:b/>
                <w:sz w:val="20"/>
                <w:lang w:val="en-GB"/>
              </w:rPr>
              <w:t>Method/Value</w:t>
            </w:r>
          </w:p>
        </w:tc>
        <w:tc>
          <w:tcPr>
            <w:tcW w:w="669" w:type="pct"/>
            <w:shd w:val="clear" w:color="auto" w:fill="auto"/>
            <w:vAlign w:val="center"/>
          </w:tcPr>
          <w:p w:rsidR="00BC14E4" w:rsidRPr="00CD0DEF" w:rsidRDefault="00BC14E4" w:rsidP="003223D2">
            <w:pPr>
              <w:keepNext/>
              <w:widowControl/>
              <w:jc w:val="center"/>
              <w:rPr>
                <w:rFonts w:ascii="Arial Narrow" w:hAnsi="Arial Narrow"/>
                <w:b/>
                <w:sz w:val="20"/>
                <w:lang w:val="en-GB"/>
              </w:rPr>
            </w:pPr>
            <w:r w:rsidRPr="00CD0DEF">
              <w:rPr>
                <w:rFonts w:ascii="Arial Narrow" w:hAnsi="Arial Narrow"/>
                <w:b/>
                <w:sz w:val="20"/>
                <w:lang w:val="en-GB"/>
              </w:rPr>
              <w:t>Impact</w:t>
            </w:r>
          </w:p>
        </w:tc>
      </w:tr>
      <w:tr w:rsidR="00BC14E4" w:rsidRPr="00CD0DEF" w:rsidTr="005B0C39">
        <w:tc>
          <w:tcPr>
            <w:tcW w:w="170" w:type="pct"/>
            <w:shd w:val="clear" w:color="auto" w:fill="auto"/>
            <w:vAlign w:val="center"/>
          </w:tcPr>
          <w:p w:rsidR="00BC14E4" w:rsidRPr="00CD0DEF" w:rsidRDefault="00BC14E4" w:rsidP="003223D2">
            <w:pPr>
              <w:keepNext/>
              <w:widowControl/>
              <w:jc w:val="left"/>
              <w:rPr>
                <w:rFonts w:ascii="Arial Narrow" w:hAnsi="Arial Narrow"/>
                <w:sz w:val="20"/>
                <w:lang w:val="en-GB"/>
              </w:rPr>
            </w:pPr>
            <w:r w:rsidRPr="00CD0DEF">
              <w:rPr>
                <w:rFonts w:ascii="Arial Narrow" w:hAnsi="Arial Narrow"/>
                <w:sz w:val="20"/>
                <w:lang w:val="en-GB"/>
              </w:rPr>
              <w:t>Time horizon</w:t>
            </w:r>
          </w:p>
        </w:tc>
        <w:tc>
          <w:tcPr>
            <w:tcW w:w="4161" w:type="pct"/>
            <w:shd w:val="clear" w:color="auto" w:fill="auto"/>
            <w:vAlign w:val="center"/>
          </w:tcPr>
          <w:p w:rsidR="00BC14E4" w:rsidRPr="00CD0DEF" w:rsidRDefault="00BC14E4" w:rsidP="003223D2">
            <w:pPr>
              <w:keepNext/>
              <w:widowControl/>
              <w:jc w:val="left"/>
              <w:rPr>
                <w:rFonts w:ascii="Arial Narrow" w:hAnsi="Arial Narrow"/>
                <w:sz w:val="20"/>
                <w:lang w:val="en-GB"/>
              </w:rPr>
            </w:pPr>
            <w:r>
              <w:rPr>
                <w:rFonts w:ascii="Arial Narrow" w:hAnsi="Arial Narrow"/>
                <w:sz w:val="20"/>
                <w:lang w:val="en-GB"/>
              </w:rPr>
              <w:t xml:space="preserve">After the end of the OS KM curve, patients were assumed to have died; this resulted in different duration for both treatment arms. </w:t>
            </w:r>
          </w:p>
        </w:tc>
        <w:tc>
          <w:tcPr>
            <w:tcW w:w="669" w:type="pct"/>
            <w:shd w:val="clear" w:color="auto" w:fill="auto"/>
            <w:vAlign w:val="center"/>
          </w:tcPr>
          <w:p w:rsidR="00BC14E4" w:rsidRPr="00CD0DEF" w:rsidRDefault="00BC14E4" w:rsidP="003223D2">
            <w:pPr>
              <w:keepNext/>
              <w:widowControl/>
              <w:jc w:val="center"/>
              <w:rPr>
                <w:rFonts w:ascii="Arial Narrow" w:hAnsi="Arial Narrow"/>
                <w:sz w:val="20"/>
                <w:lang w:val="en-GB"/>
              </w:rPr>
            </w:pPr>
            <w:r>
              <w:rPr>
                <w:rFonts w:ascii="Arial Narrow" w:hAnsi="Arial Narrow"/>
                <w:sz w:val="20"/>
                <w:lang w:val="en-GB"/>
              </w:rPr>
              <w:t xml:space="preserve">Low, favours </w:t>
            </w:r>
            <w:proofErr w:type="spellStart"/>
            <w:r>
              <w:rPr>
                <w:rFonts w:ascii="Arial Narrow" w:hAnsi="Arial Narrow"/>
                <w:sz w:val="20"/>
                <w:lang w:val="en-GB"/>
              </w:rPr>
              <w:t>eribulin</w:t>
            </w:r>
            <w:proofErr w:type="spellEnd"/>
          </w:p>
        </w:tc>
      </w:tr>
      <w:tr w:rsidR="00BC14E4" w:rsidRPr="00CD0DEF" w:rsidTr="005B0C39">
        <w:tc>
          <w:tcPr>
            <w:tcW w:w="170" w:type="pct"/>
            <w:shd w:val="clear" w:color="auto" w:fill="auto"/>
            <w:vAlign w:val="center"/>
          </w:tcPr>
          <w:p w:rsidR="00BC14E4" w:rsidRPr="00CD0DEF" w:rsidRDefault="00BC14E4" w:rsidP="003223D2">
            <w:pPr>
              <w:keepNext/>
              <w:widowControl/>
              <w:jc w:val="left"/>
              <w:rPr>
                <w:rFonts w:ascii="Arial Narrow" w:hAnsi="Arial Narrow"/>
                <w:sz w:val="20"/>
                <w:lang w:val="en-GB"/>
              </w:rPr>
            </w:pPr>
            <w:r>
              <w:rPr>
                <w:rFonts w:ascii="Arial Narrow" w:hAnsi="Arial Narrow"/>
                <w:sz w:val="20"/>
                <w:lang w:val="en-GB"/>
              </w:rPr>
              <w:t>Utility value progressed disease</w:t>
            </w:r>
          </w:p>
        </w:tc>
        <w:tc>
          <w:tcPr>
            <w:tcW w:w="4161" w:type="pct"/>
            <w:shd w:val="clear" w:color="auto" w:fill="auto"/>
            <w:vAlign w:val="center"/>
          </w:tcPr>
          <w:p w:rsidR="00BC14E4" w:rsidRPr="004F66B3" w:rsidRDefault="00BC14E4" w:rsidP="003223D2">
            <w:pPr>
              <w:keepNext/>
              <w:widowControl/>
              <w:jc w:val="left"/>
              <w:rPr>
                <w:rFonts w:ascii="Arial Narrow" w:hAnsi="Arial Narrow"/>
                <w:sz w:val="20"/>
                <w:lang w:val="en-GB"/>
              </w:rPr>
            </w:pPr>
            <w:r w:rsidRPr="004F66B3">
              <w:rPr>
                <w:rFonts w:ascii="Arial Narrow" w:hAnsi="Arial Narrow" w:cs="Times New Roman"/>
                <w:sz w:val="20"/>
                <w:lang w:val="en-GB"/>
              </w:rPr>
              <w:t xml:space="preserve">Values from Study 309 (EQ-5D-3L, US or UK weights) for stable disease and post-progression were applied. The value for post-progression might not reflect the accelerated decline in health related </w:t>
            </w:r>
            <w:proofErr w:type="spellStart"/>
            <w:r w:rsidRPr="004F66B3">
              <w:rPr>
                <w:rFonts w:ascii="Arial Narrow" w:hAnsi="Arial Narrow" w:cs="Times New Roman"/>
                <w:sz w:val="20"/>
                <w:lang w:val="en-GB"/>
              </w:rPr>
              <w:t>QoL</w:t>
            </w:r>
            <w:proofErr w:type="spellEnd"/>
            <w:r w:rsidRPr="004F66B3">
              <w:rPr>
                <w:rFonts w:ascii="Arial Narrow" w:hAnsi="Arial Narrow" w:cs="Times New Roman"/>
                <w:sz w:val="20"/>
                <w:lang w:val="en-GB"/>
              </w:rPr>
              <w:t xml:space="preserve"> prior to death. In Villa (2015), using a health related vignette study, the mean change in utility from progression free to progressed disease was -0.239.</w:t>
            </w:r>
          </w:p>
        </w:tc>
        <w:tc>
          <w:tcPr>
            <w:tcW w:w="669" w:type="pct"/>
            <w:shd w:val="clear" w:color="auto" w:fill="auto"/>
            <w:vAlign w:val="center"/>
          </w:tcPr>
          <w:p w:rsidR="00BC14E4" w:rsidRPr="00CD0DEF" w:rsidRDefault="00BC14E4" w:rsidP="003223D2">
            <w:pPr>
              <w:keepNext/>
              <w:widowControl/>
              <w:jc w:val="center"/>
              <w:rPr>
                <w:rFonts w:ascii="Arial Narrow" w:hAnsi="Arial Narrow"/>
                <w:sz w:val="20"/>
                <w:lang w:val="en-GB"/>
              </w:rPr>
            </w:pPr>
            <w:r>
              <w:rPr>
                <w:rFonts w:ascii="Arial Narrow" w:hAnsi="Arial Narrow"/>
                <w:sz w:val="20"/>
                <w:lang w:val="en-GB"/>
              </w:rPr>
              <w:t xml:space="preserve">Low, favours </w:t>
            </w:r>
            <w:proofErr w:type="spellStart"/>
            <w:r>
              <w:rPr>
                <w:rFonts w:ascii="Arial Narrow" w:hAnsi="Arial Narrow"/>
                <w:sz w:val="20"/>
                <w:lang w:val="en-GB"/>
              </w:rPr>
              <w:t>eribulin</w:t>
            </w:r>
            <w:proofErr w:type="spellEnd"/>
          </w:p>
        </w:tc>
      </w:tr>
      <w:tr w:rsidR="00BC14E4" w:rsidRPr="00CD0DEF" w:rsidTr="005B0C39">
        <w:tc>
          <w:tcPr>
            <w:tcW w:w="170" w:type="pct"/>
            <w:shd w:val="clear" w:color="auto" w:fill="auto"/>
            <w:vAlign w:val="center"/>
          </w:tcPr>
          <w:p w:rsidR="00BC14E4" w:rsidRPr="00CD0DEF" w:rsidRDefault="00BC14E4" w:rsidP="003223D2">
            <w:pPr>
              <w:keepNext/>
              <w:widowControl/>
              <w:jc w:val="left"/>
              <w:rPr>
                <w:rFonts w:ascii="Arial Narrow" w:hAnsi="Arial Narrow"/>
                <w:sz w:val="20"/>
                <w:lang w:val="en-GB"/>
              </w:rPr>
            </w:pPr>
            <w:r>
              <w:rPr>
                <w:rFonts w:ascii="Arial Narrow" w:hAnsi="Arial Narrow"/>
                <w:sz w:val="20"/>
                <w:lang w:val="en-GB"/>
              </w:rPr>
              <w:t xml:space="preserve">Cost of </w:t>
            </w:r>
            <w:proofErr w:type="spellStart"/>
            <w:r>
              <w:rPr>
                <w:rFonts w:ascii="Arial Narrow" w:hAnsi="Arial Narrow"/>
                <w:sz w:val="20"/>
                <w:lang w:val="en-GB"/>
              </w:rPr>
              <w:t>dacarbazine</w:t>
            </w:r>
            <w:proofErr w:type="spellEnd"/>
          </w:p>
        </w:tc>
        <w:tc>
          <w:tcPr>
            <w:tcW w:w="4161" w:type="pct"/>
            <w:shd w:val="clear" w:color="auto" w:fill="auto"/>
            <w:vAlign w:val="center"/>
          </w:tcPr>
          <w:p w:rsidR="00BC14E4" w:rsidRPr="004F66B3" w:rsidRDefault="00BC14E4" w:rsidP="003223D2">
            <w:pPr>
              <w:keepNext/>
              <w:widowControl/>
              <w:jc w:val="left"/>
              <w:rPr>
                <w:rFonts w:ascii="Arial Narrow" w:hAnsi="Arial Narrow"/>
                <w:sz w:val="20"/>
                <w:lang w:val="en-GB"/>
              </w:rPr>
            </w:pPr>
            <w:r w:rsidRPr="004F66B3">
              <w:rPr>
                <w:rFonts w:ascii="Arial Narrow" w:hAnsi="Arial Narrow"/>
                <w:sz w:val="20"/>
                <w:lang w:val="en-GB"/>
              </w:rPr>
              <w:t xml:space="preserve">Submission used quoted price for a clinical trial, while a lower price is published in </w:t>
            </w:r>
            <w:proofErr w:type="spellStart"/>
            <w:r w:rsidRPr="004F66B3">
              <w:rPr>
                <w:rFonts w:ascii="Arial Narrow" w:hAnsi="Arial Narrow"/>
                <w:sz w:val="20"/>
                <w:lang w:val="en-GB"/>
              </w:rPr>
              <w:t>eMIMS</w:t>
            </w:r>
            <w:proofErr w:type="spellEnd"/>
            <w:r w:rsidRPr="004F66B3">
              <w:rPr>
                <w:rFonts w:ascii="Arial Narrow" w:hAnsi="Arial Narrow"/>
                <w:sz w:val="20"/>
                <w:lang w:val="en-GB"/>
              </w:rPr>
              <w:t xml:space="preserve">. Hospital prices may be even lower than the </w:t>
            </w:r>
            <w:proofErr w:type="spellStart"/>
            <w:r w:rsidRPr="004F66B3">
              <w:rPr>
                <w:rFonts w:ascii="Arial Narrow" w:hAnsi="Arial Narrow"/>
                <w:sz w:val="20"/>
                <w:lang w:val="en-GB"/>
              </w:rPr>
              <w:t>eMIMs</w:t>
            </w:r>
            <w:proofErr w:type="spellEnd"/>
            <w:r w:rsidRPr="004F66B3">
              <w:rPr>
                <w:rFonts w:ascii="Arial Narrow" w:hAnsi="Arial Narrow"/>
                <w:sz w:val="20"/>
                <w:lang w:val="en-GB"/>
              </w:rPr>
              <w:t xml:space="preserve"> price.</w:t>
            </w:r>
          </w:p>
        </w:tc>
        <w:tc>
          <w:tcPr>
            <w:tcW w:w="669" w:type="pct"/>
            <w:shd w:val="clear" w:color="auto" w:fill="auto"/>
            <w:vAlign w:val="center"/>
          </w:tcPr>
          <w:p w:rsidR="00BC14E4" w:rsidRPr="00CD0DEF" w:rsidRDefault="00BC14E4" w:rsidP="003223D2">
            <w:pPr>
              <w:keepNext/>
              <w:widowControl/>
              <w:jc w:val="center"/>
              <w:rPr>
                <w:rFonts w:ascii="Arial Narrow" w:hAnsi="Arial Narrow"/>
                <w:sz w:val="20"/>
                <w:lang w:val="en-GB"/>
              </w:rPr>
            </w:pPr>
            <w:r>
              <w:rPr>
                <w:rFonts w:ascii="Arial Narrow" w:hAnsi="Arial Narrow"/>
                <w:sz w:val="20"/>
                <w:lang w:val="en-GB"/>
              </w:rPr>
              <w:t xml:space="preserve">Low, favours </w:t>
            </w:r>
            <w:proofErr w:type="spellStart"/>
            <w:r>
              <w:rPr>
                <w:rFonts w:ascii="Arial Narrow" w:hAnsi="Arial Narrow"/>
                <w:sz w:val="20"/>
                <w:lang w:val="en-GB"/>
              </w:rPr>
              <w:t>eribulin</w:t>
            </w:r>
            <w:proofErr w:type="spellEnd"/>
          </w:p>
        </w:tc>
      </w:tr>
    </w:tbl>
    <w:p w:rsidR="00D110BD" w:rsidRPr="00B010BF" w:rsidRDefault="00D110BD" w:rsidP="005B0C39">
      <w:pPr>
        <w:pStyle w:val="TableFooter"/>
        <w:widowControl/>
        <w:ind w:left="709"/>
        <w:jc w:val="left"/>
        <w:rPr>
          <w:lang w:val="en-GB"/>
        </w:rPr>
      </w:pPr>
      <w:r w:rsidRPr="00B010BF">
        <w:rPr>
          <w:lang w:val="en-GB"/>
        </w:rPr>
        <w:t>Source: compiled during the evaluation</w:t>
      </w:r>
      <w:r w:rsidR="00A814F3" w:rsidRPr="00B010BF">
        <w:rPr>
          <w:lang w:val="en-GB"/>
        </w:rPr>
        <w:t xml:space="preserve">, </w:t>
      </w:r>
      <w:proofErr w:type="spellStart"/>
      <w:r w:rsidR="00A814F3" w:rsidRPr="002E58CD">
        <w:rPr>
          <w:lang w:val="en-GB"/>
        </w:rPr>
        <w:t>eMIMS</w:t>
      </w:r>
      <w:proofErr w:type="spellEnd"/>
      <w:r w:rsidR="00A814F3" w:rsidRPr="002E58CD">
        <w:rPr>
          <w:lang w:val="en-GB"/>
        </w:rPr>
        <w:t xml:space="preserve"> </w:t>
      </w:r>
      <w:r w:rsidR="00A814F3" w:rsidRPr="00B010BF">
        <w:rPr>
          <w:lang w:val="en-GB"/>
        </w:rPr>
        <w:t xml:space="preserve">(accessed 23 August, 2016) </w:t>
      </w:r>
      <w:r w:rsidR="00E67AC2" w:rsidRPr="00B010BF">
        <w:rPr>
          <w:lang w:val="en-GB"/>
        </w:rPr>
        <w:t>a</w:t>
      </w:r>
      <w:r w:rsidR="004E2076">
        <w:rPr>
          <w:lang w:val="en-GB"/>
        </w:rPr>
        <w:t>nd calculated during evaluation</w:t>
      </w:r>
    </w:p>
    <w:p w:rsidR="00A814F3" w:rsidRPr="00B010BF" w:rsidRDefault="000678AF" w:rsidP="005B0C39">
      <w:pPr>
        <w:pStyle w:val="TableFooter"/>
        <w:widowControl/>
        <w:ind w:left="709"/>
        <w:rPr>
          <w:lang w:val="en-GB"/>
        </w:rPr>
      </w:pPr>
      <w:proofErr w:type="spellStart"/>
      <w:proofErr w:type="gramStart"/>
      <w:r w:rsidRPr="00B010BF">
        <w:rPr>
          <w:lang w:val="en-GB"/>
        </w:rPr>
        <w:t>eMIMS</w:t>
      </w:r>
      <w:proofErr w:type="spellEnd"/>
      <w:proofErr w:type="gramEnd"/>
      <w:r w:rsidRPr="00B010BF">
        <w:rPr>
          <w:lang w:val="en-GB"/>
        </w:rPr>
        <w:t xml:space="preserve"> = electronic Monthly Index of Medical Specialties; </w:t>
      </w:r>
      <w:r w:rsidR="00A814F3" w:rsidRPr="00B010BF">
        <w:rPr>
          <w:lang w:val="en-GB"/>
        </w:rPr>
        <w:t xml:space="preserve">EQ-5D-3L = </w:t>
      </w:r>
      <w:proofErr w:type="spellStart"/>
      <w:r w:rsidR="00A814F3" w:rsidRPr="00B010BF">
        <w:rPr>
          <w:lang w:val="en-GB"/>
        </w:rPr>
        <w:t>Euroqol</w:t>
      </w:r>
      <w:proofErr w:type="spellEnd"/>
      <w:r w:rsidR="00A814F3" w:rsidRPr="00B010BF">
        <w:rPr>
          <w:lang w:val="en-GB"/>
        </w:rPr>
        <w:t xml:space="preserve"> 5-dimension 3-level instrument; KM = Kaplan-Meier; OS = overall survival; </w:t>
      </w:r>
      <w:proofErr w:type="spellStart"/>
      <w:r w:rsidR="00A814F3" w:rsidRPr="00B010BF">
        <w:rPr>
          <w:lang w:val="en-GB"/>
        </w:rPr>
        <w:t>QoL</w:t>
      </w:r>
      <w:proofErr w:type="spellEnd"/>
      <w:r w:rsidR="00A814F3" w:rsidRPr="00B010BF">
        <w:rPr>
          <w:lang w:val="en-GB"/>
        </w:rPr>
        <w:t xml:space="preserve"> = quality of life; UK = United Kingdom; US = United States</w:t>
      </w:r>
    </w:p>
    <w:p w:rsidR="00D110BD" w:rsidRPr="00B010BF" w:rsidRDefault="00D110BD" w:rsidP="00903665">
      <w:pPr>
        <w:widowControl/>
        <w:rPr>
          <w:szCs w:val="22"/>
          <w:lang w:val="en-GB"/>
        </w:rPr>
      </w:pPr>
    </w:p>
    <w:p w:rsidR="004F66B3" w:rsidRPr="00B010BF" w:rsidRDefault="004F66B3" w:rsidP="00A728F8">
      <w:pPr>
        <w:pStyle w:val="ListParagraph"/>
        <w:widowControl/>
        <w:numPr>
          <w:ilvl w:val="1"/>
          <w:numId w:val="2"/>
        </w:numPr>
        <w:rPr>
          <w:lang w:val="en-GB"/>
        </w:rPr>
      </w:pPr>
      <w:r w:rsidRPr="00B010BF">
        <w:rPr>
          <w:lang w:val="en-GB"/>
        </w:rPr>
        <w:lastRenderedPageBreak/>
        <w:t xml:space="preserve">The submission did not provide details as to whether the utility values were specific for the subgroup of patients with </w:t>
      </w:r>
      <w:proofErr w:type="spellStart"/>
      <w:r w:rsidRPr="00B010BF">
        <w:rPr>
          <w:lang w:val="en-GB"/>
        </w:rPr>
        <w:t>liposarcoma</w:t>
      </w:r>
      <w:proofErr w:type="spellEnd"/>
      <w:r w:rsidRPr="00B010BF">
        <w:rPr>
          <w:lang w:val="en-GB"/>
        </w:rPr>
        <w:t xml:space="preserve">, and no details were provided on the number of patients providing values for progressed disease. Further, EQ-5D-3L measurements for the progressive disease state </w:t>
      </w:r>
      <w:proofErr w:type="gramStart"/>
      <w:r w:rsidRPr="00B010BF">
        <w:rPr>
          <w:lang w:val="en-GB"/>
        </w:rPr>
        <w:t>were</w:t>
      </w:r>
      <w:proofErr w:type="gramEnd"/>
      <w:r w:rsidRPr="00B010BF">
        <w:rPr>
          <w:lang w:val="en-GB"/>
        </w:rPr>
        <w:t xml:space="preserve"> taken immediately following progression; therefore, this utility value might not have been representative for the more adv</w:t>
      </w:r>
      <w:r w:rsidR="004E2076">
        <w:rPr>
          <w:lang w:val="en-GB"/>
        </w:rPr>
        <w:t>anced progressed disease state.</w:t>
      </w:r>
    </w:p>
    <w:p w:rsidR="004F66B3" w:rsidRPr="00B010BF" w:rsidRDefault="004F66B3" w:rsidP="00903665">
      <w:pPr>
        <w:pStyle w:val="ListParagraph"/>
        <w:widowControl/>
        <w:rPr>
          <w:szCs w:val="22"/>
          <w:lang w:val="en-GB"/>
        </w:rPr>
      </w:pPr>
    </w:p>
    <w:p w:rsidR="004F66B3" w:rsidRPr="00B010BF" w:rsidRDefault="004F66B3" w:rsidP="00A728F8">
      <w:pPr>
        <w:pStyle w:val="ListParagraph"/>
        <w:widowControl/>
        <w:numPr>
          <w:ilvl w:val="1"/>
          <w:numId w:val="2"/>
        </w:numPr>
        <w:rPr>
          <w:szCs w:val="22"/>
          <w:lang w:val="en-GB"/>
        </w:rPr>
      </w:pPr>
      <w:r w:rsidRPr="00B010BF">
        <w:rPr>
          <w:lang w:val="en-GB"/>
        </w:rPr>
        <w:t xml:space="preserve">The </w:t>
      </w:r>
      <w:r w:rsidR="00E91BA4" w:rsidRPr="00B010BF">
        <w:rPr>
          <w:lang w:val="en-GB"/>
        </w:rPr>
        <w:t>PSCR a</w:t>
      </w:r>
      <w:r w:rsidRPr="00B010BF">
        <w:rPr>
          <w:lang w:val="en-GB"/>
        </w:rPr>
        <w:t xml:space="preserve">cknowledged that the utility value applied in the ‘progressive disease’ health state </w:t>
      </w:r>
      <w:r w:rsidR="00061432" w:rsidRPr="00B010BF">
        <w:rPr>
          <w:lang w:val="en-GB"/>
        </w:rPr>
        <w:t xml:space="preserve">was </w:t>
      </w:r>
      <w:r w:rsidRPr="00B010BF">
        <w:rPr>
          <w:lang w:val="en-GB"/>
        </w:rPr>
        <w:t xml:space="preserve">based on EQ-5D data collected at the first off-treatment visit following disease progression and may therefore not fully capture the decline in quality of life prior to death. However, the PSCR argued that the application of more conservative utility values in the commentary resulted in an ICER that was still </w:t>
      </w:r>
      <w:proofErr w:type="gramStart"/>
      <w:r w:rsidRPr="00B010BF">
        <w:rPr>
          <w:lang w:val="en-GB"/>
        </w:rPr>
        <w:t>c</w:t>
      </w:r>
      <w:r w:rsidR="00484282">
        <w:rPr>
          <w:lang w:val="en-GB"/>
        </w:rPr>
        <w:t>ost</w:t>
      </w:r>
      <w:r w:rsidR="00484282">
        <w:rPr>
          <w:lang w:val="en-GB"/>
        </w:rPr>
        <w:noBreakHyphen/>
      </w:r>
      <w:r w:rsidR="004E2076">
        <w:rPr>
          <w:lang w:val="en-GB"/>
        </w:rPr>
        <w:t>effective</w:t>
      </w:r>
      <w:proofErr w:type="gramEnd"/>
      <w:r w:rsidR="004E2076">
        <w:rPr>
          <w:lang w:val="en-GB"/>
        </w:rPr>
        <w:t>.</w:t>
      </w:r>
    </w:p>
    <w:p w:rsidR="00675349" w:rsidRPr="00B010BF" w:rsidRDefault="00675349" w:rsidP="00903665">
      <w:pPr>
        <w:pStyle w:val="ListParagraph"/>
        <w:widowControl/>
        <w:rPr>
          <w:szCs w:val="22"/>
          <w:lang w:val="en-GB"/>
        </w:rPr>
      </w:pPr>
    </w:p>
    <w:p w:rsidR="00990833" w:rsidRDefault="00675349" w:rsidP="00A728F8">
      <w:pPr>
        <w:pStyle w:val="ListParagraph"/>
        <w:widowControl/>
        <w:numPr>
          <w:ilvl w:val="1"/>
          <w:numId w:val="2"/>
        </w:numPr>
        <w:rPr>
          <w:szCs w:val="22"/>
          <w:lang w:val="en-GB"/>
        </w:rPr>
      </w:pPr>
      <w:r w:rsidRPr="00B010BF">
        <w:rPr>
          <w:szCs w:val="22"/>
          <w:lang w:val="en-GB"/>
        </w:rPr>
        <w:t xml:space="preserve">The ESC </w:t>
      </w:r>
      <w:r w:rsidR="00990833" w:rsidRPr="00B010BF">
        <w:rPr>
          <w:szCs w:val="22"/>
          <w:lang w:val="en-GB"/>
        </w:rPr>
        <w:t xml:space="preserve">noted that the submission applied </w:t>
      </w:r>
      <w:proofErr w:type="spellStart"/>
      <w:r w:rsidR="00990833" w:rsidRPr="00B010BF">
        <w:rPr>
          <w:szCs w:val="22"/>
          <w:lang w:val="en-GB"/>
        </w:rPr>
        <w:t>disutilities</w:t>
      </w:r>
      <w:proofErr w:type="spellEnd"/>
      <w:r w:rsidR="00990833" w:rsidRPr="00B010BF">
        <w:rPr>
          <w:szCs w:val="22"/>
          <w:lang w:val="en-GB"/>
        </w:rPr>
        <w:t xml:space="preserve"> for adverse events. The ESC considered that this </w:t>
      </w:r>
      <w:r w:rsidR="00061432" w:rsidRPr="00B010BF">
        <w:rPr>
          <w:szCs w:val="22"/>
          <w:lang w:val="en-GB"/>
        </w:rPr>
        <w:t xml:space="preserve">may be </w:t>
      </w:r>
      <w:r w:rsidR="00990833" w:rsidRPr="00B010BF">
        <w:rPr>
          <w:szCs w:val="22"/>
          <w:lang w:val="en-GB"/>
        </w:rPr>
        <w:t xml:space="preserve">inappropriate, as the EQ-5D-3L </w:t>
      </w:r>
      <w:r w:rsidR="00264A7D" w:rsidRPr="00B010BF">
        <w:rPr>
          <w:szCs w:val="22"/>
          <w:lang w:val="en-GB"/>
        </w:rPr>
        <w:t xml:space="preserve">data from the trial </w:t>
      </w:r>
      <w:r w:rsidR="00061432" w:rsidRPr="00B010BF">
        <w:rPr>
          <w:szCs w:val="22"/>
          <w:lang w:val="en-GB"/>
        </w:rPr>
        <w:t xml:space="preserve">should </w:t>
      </w:r>
      <w:r w:rsidR="00990833" w:rsidRPr="00B010BF">
        <w:rPr>
          <w:szCs w:val="22"/>
          <w:lang w:val="en-GB"/>
        </w:rPr>
        <w:t>already captu</w:t>
      </w:r>
      <w:r w:rsidR="00264A7D" w:rsidRPr="00B010BF">
        <w:rPr>
          <w:szCs w:val="22"/>
          <w:lang w:val="en-GB"/>
        </w:rPr>
        <w:t>re the impact of adverse events. A</w:t>
      </w:r>
      <w:r w:rsidR="00990833" w:rsidRPr="00B010BF">
        <w:rPr>
          <w:szCs w:val="22"/>
          <w:lang w:val="en-GB"/>
        </w:rPr>
        <w:t xml:space="preserve">pplying additional </w:t>
      </w:r>
      <w:proofErr w:type="spellStart"/>
      <w:r w:rsidR="00990833" w:rsidRPr="00B010BF">
        <w:rPr>
          <w:szCs w:val="22"/>
          <w:lang w:val="en-GB"/>
        </w:rPr>
        <w:t>disutilities</w:t>
      </w:r>
      <w:proofErr w:type="spellEnd"/>
      <w:r w:rsidR="00990833" w:rsidRPr="00B010BF">
        <w:rPr>
          <w:szCs w:val="22"/>
          <w:lang w:val="en-GB"/>
        </w:rPr>
        <w:t xml:space="preserve"> in the economic model </w:t>
      </w:r>
      <w:r w:rsidR="00264A7D" w:rsidRPr="00B010BF">
        <w:rPr>
          <w:szCs w:val="22"/>
          <w:lang w:val="en-GB"/>
        </w:rPr>
        <w:t>may</w:t>
      </w:r>
      <w:r w:rsidR="00061432" w:rsidRPr="00B010BF">
        <w:rPr>
          <w:szCs w:val="22"/>
          <w:lang w:val="en-GB"/>
        </w:rPr>
        <w:t xml:space="preserve"> </w:t>
      </w:r>
      <w:r w:rsidR="00264A7D" w:rsidRPr="00B010BF">
        <w:rPr>
          <w:szCs w:val="22"/>
          <w:lang w:val="en-GB"/>
        </w:rPr>
        <w:t>double count</w:t>
      </w:r>
      <w:r w:rsidR="004E2076">
        <w:rPr>
          <w:szCs w:val="22"/>
          <w:lang w:val="en-GB"/>
        </w:rPr>
        <w:t xml:space="preserve"> the impact of adverse events.</w:t>
      </w:r>
    </w:p>
    <w:p w:rsidR="001A1021" w:rsidRPr="001A1021" w:rsidRDefault="001A1021" w:rsidP="001A1021">
      <w:pPr>
        <w:pStyle w:val="ListParagraph"/>
        <w:rPr>
          <w:szCs w:val="22"/>
          <w:lang w:val="en-GB"/>
        </w:rPr>
      </w:pPr>
    </w:p>
    <w:p w:rsidR="001A1021" w:rsidRPr="00B010BF" w:rsidRDefault="001A1021" w:rsidP="00A728F8">
      <w:pPr>
        <w:pStyle w:val="ListParagraph"/>
        <w:widowControl/>
        <w:numPr>
          <w:ilvl w:val="1"/>
          <w:numId w:val="2"/>
        </w:numPr>
        <w:rPr>
          <w:szCs w:val="22"/>
          <w:lang w:val="en-GB"/>
        </w:rPr>
      </w:pPr>
      <w:r>
        <w:rPr>
          <w:szCs w:val="22"/>
          <w:lang w:val="en-GB"/>
        </w:rPr>
        <w:t>The PBAC noted that</w:t>
      </w:r>
      <w:r w:rsidR="00D37C7C">
        <w:rPr>
          <w:szCs w:val="22"/>
          <w:lang w:val="en-GB"/>
        </w:rPr>
        <w:t xml:space="preserve"> utility values were not a major driver in the economic model and had a relatively small impact on the </w:t>
      </w:r>
      <w:r w:rsidR="00D37C7C" w:rsidRPr="00B010BF">
        <w:rPr>
          <w:lang w:val="en-GB"/>
        </w:rPr>
        <w:t>incremental cost-effectiveness ratio (ICER)</w:t>
      </w:r>
      <w:r w:rsidR="00D37C7C">
        <w:rPr>
          <w:lang w:val="en-GB"/>
        </w:rPr>
        <w:t>.</w:t>
      </w:r>
    </w:p>
    <w:p w:rsidR="00990833" w:rsidRPr="00B010BF" w:rsidRDefault="00990833" w:rsidP="00903665">
      <w:pPr>
        <w:pStyle w:val="ListParagraph"/>
        <w:widowControl/>
        <w:rPr>
          <w:szCs w:val="22"/>
          <w:lang w:val="en-GB"/>
        </w:rPr>
      </w:pPr>
    </w:p>
    <w:p w:rsidR="00275C5A" w:rsidRPr="00B010BF" w:rsidRDefault="00002730" w:rsidP="00A728F8">
      <w:pPr>
        <w:pStyle w:val="ListParagraph"/>
        <w:widowControl/>
        <w:numPr>
          <w:ilvl w:val="1"/>
          <w:numId w:val="2"/>
        </w:numPr>
        <w:rPr>
          <w:szCs w:val="22"/>
          <w:lang w:val="en-GB"/>
        </w:rPr>
      </w:pPr>
      <w:r w:rsidRPr="00B010BF">
        <w:rPr>
          <w:lang w:val="en-GB"/>
        </w:rPr>
        <w:t xml:space="preserve">The results of the economic evaluation are presented in Table </w:t>
      </w:r>
      <w:r w:rsidR="002D3E86" w:rsidRPr="00B010BF">
        <w:rPr>
          <w:lang w:val="en-GB"/>
        </w:rPr>
        <w:t>9</w:t>
      </w:r>
      <w:r w:rsidRPr="00B010BF">
        <w:rPr>
          <w:lang w:val="en-GB"/>
        </w:rPr>
        <w:t>.</w:t>
      </w:r>
    </w:p>
    <w:p w:rsidR="00D110BD" w:rsidRPr="00B010BF" w:rsidRDefault="00D110BD" w:rsidP="00903665">
      <w:pPr>
        <w:widowControl/>
        <w:rPr>
          <w:szCs w:val="22"/>
          <w:lang w:val="en-GB"/>
        </w:rPr>
      </w:pPr>
    </w:p>
    <w:p w:rsidR="001028CA" w:rsidRDefault="001028CA" w:rsidP="005B0C39">
      <w:pPr>
        <w:pStyle w:val="Caption"/>
        <w:keepNext/>
        <w:widowControl/>
        <w:ind w:left="709"/>
      </w:pPr>
      <w:r w:rsidRPr="00B010BF">
        <w:t xml:space="preserve">Table </w:t>
      </w:r>
      <w:r w:rsidR="00556B92">
        <w:rPr>
          <w:noProof/>
        </w:rPr>
        <w:t>9</w:t>
      </w:r>
      <w:r w:rsidRPr="00B010BF">
        <w:t>: Results of the ec</w:t>
      </w:r>
      <w:r w:rsidR="002209D7" w:rsidRPr="00B010BF">
        <w:t>onomic evaluation – discounted</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26"/>
        <w:gridCol w:w="2313"/>
        <w:gridCol w:w="2373"/>
        <w:gridCol w:w="2233"/>
      </w:tblGrid>
      <w:tr w:rsidR="00BC14E4" w:rsidRPr="00CD0DEF" w:rsidTr="005B0C39">
        <w:trPr>
          <w:trHeight w:val="20"/>
          <w:tblHeader/>
        </w:trPr>
        <w:tc>
          <w:tcPr>
            <w:tcW w:w="854" w:type="pct"/>
            <w:vAlign w:val="center"/>
          </w:tcPr>
          <w:p w:rsidR="00BC14E4" w:rsidRPr="00CD0DEF" w:rsidRDefault="00BC14E4" w:rsidP="003223D2">
            <w:pPr>
              <w:keepNext/>
              <w:widowControl/>
              <w:jc w:val="left"/>
              <w:rPr>
                <w:rFonts w:ascii="Arial Narrow" w:hAnsi="Arial Narrow"/>
                <w:b/>
                <w:sz w:val="20"/>
                <w:lang w:val="en-GB"/>
              </w:rPr>
            </w:pPr>
            <w:r w:rsidRPr="00CD0DEF">
              <w:rPr>
                <w:rFonts w:ascii="Arial Narrow" w:hAnsi="Arial Narrow"/>
                <w:b/>
                <w:sz w:val="20"/>
                <w:lang w:val="en-GB"/>
              </w:rPr>
              <w:t>Component</w:t>
            </w:r>
          </w:p>
        </w:tc>
        <w:tc>
          <w:tcPr>
            <w:tcW w:w="1386" w:type="pct"/>
          </w:tcPr>
          <w:p w:rsidR="00BC14E4" w:rsidRPr="00CD0DEF" w:rsidRDefault="00BC14E4" w:rsidP="003223D2">
            <w:pPr>
              <w:keepNext/>
              <w:widowControl/>
              <w:jc w:val="center"/>
              <w:rPr>
                <w:rFonts w:ascii="Arial Narrow" w:hAnsi="Arial Narrow"/>
                <w:b/>
                <w:sz w:val="20"/>
                <w:lang w:val="en-GB"/>
              </w:rPr>
            </w:pPr>
            <w:proofErr w:type="spellStart"/>
            <w:r>
              <w:rPr>
                <w:rFonts w:ascii="Arial Narrow" w:hAnsi="Arial Narrow"/>
                <w:b/>
                <w:sz w:val="20"/>
                <w:lang w:val="en-GB"/>
              </w:rPr>
              <w:t>Eribulin</w:t>
            </w:r>
            <w:proofErr w:type="spellEnd"/>
          </w:p>
        </w:tc>
        <w:tc>
          <w:tcPr>
            <w:tcW w:w="1422" w:type="pct"/>
          </w:tcPr>
          <w:p w:rsidR="00BC14E4" w:rsidRPr="00CD0DEF" w:rsidRDefault="00BC14E4" w:rsidP="003223D2">
            <w:pPr>
              <w:keepNext/>
              <w:widowControl/>
              <w:jc w:val="center"/>
              <w:rPr>
                <w:rFonts w:ascii="Arial Narrow" w:hAnsi="Arial Narrow"/>
                <w:b/>
                <w:sz w:val="20"/>
                <w:lang w:val="en-GB"/>
              </w:rPr>
            </w:pPr>
            <w:proofErr w:type="spellStart"/>
            <w:r>
              <w:rPr>
                <w:rFonts w:ascii="Arial Narrow" w:hAnsi="Arial Narrow"/>
                <w:b/>
                <w:sz w:val="20"/>
                <w:lang w:val="en-GB"/>
              </w:rPr>
              <w:t>Dacarbazine</w:t>
            </w:r>
            <w:proofErr w:type="spellEnd"/>
          </w:p>
        </w:tc>
        <w:tc>
          <w:tcPr>
            <w:tcW w:w="1338" w:type="pct"/>
          </w:tcPr>
          <w:p w:rsidR="00BC14E4" w:rsidRPr="00CD0DEF" w:rsidRDefault="00BC14E4" w:rsidP="003223D2">
            <w:pPr>
              <w:keepNext/>
              <w:widowControl/>
              <w:jc w:val="center"/>
              <w:rPr>
                <w:rFonts w:ascii="Arial Narrow" w:hAnsi="Arial Narrow"/>
                <w:b/>
                <w:sz w:val="20"/>
                <w:lang w:val="en-GB"/>
              </w:rPr>
            </w:pPr>
            <w:r w:rsidRPr="00CD0DEF">
              <w:rPr>
                <w:rFonts w:ascii="Arial Narrow" w:hAnsi="Arial Narrow"/>
                <w:b/>
                <w:sz w:val="20"/>
                <w:lang w:val="en-GB"/>
              </w:rPr>
              <w:t>Increment</w:t>
            </w:r>
          </w:p>
        </w:tc>
      </w:tr>
      <w:tr w:rsidR="00BC14E4" w:rsidRPr="00CD0DEF" w:rsidTr="005B0C39">
        <w:trPr>
          <w:trHeight w:val="20"/>
        </w:trPr>
        <w:tc>
          <w:tcPr>
            <w:tcW w:w="854" w:type="pct"/>
            <w:vAlign w:val="center"/>
          </w:tcPr>
          <w:p w:rsidR="00BC14E4" w:rsidRDefault="00BC14E4" w:rsidP="003223D2">
            <w:pPr>
              <w:keepNext/>
              <w:widowControl/>
              <w:jc w:val="left"/>
              <w:rPr>
                <w:rFonts w:ascii="Arial Narrow" w:hAnsi="Arial Narrow"/>
                <w:sz w:val="20"/>
                <w:lang w:val="en-GB"/>
              </w:rPr>
            </w:pPr>
            <w:r w:rsidRPr="00CD0DEF">
              <w:rPr>
                <w:rFonts w:ascii="Arial Narrow" w:hAnsi="Arial Narrow"/>
                <w:sz w:val="20"/>
                <w:lang w:val="en-GB"/>
              </w:rPr>
              <w:t>Costs</w:t>
            </w:r>
          </w:p>
          <w:p w:rsidR="00BC14E4" w:rsidRPr="002209D7" w:rsidRDefault="00BC14E4" w:rsidP="003223D2">
            <w:pPr>
              <w:keepNext/>
              <w:widowControl/>
              <w:jc w:val="left"/>
              <w:rPr>
                <w:rFonts w:ascii="Arial Narrow" w:hAnsi="Arial Narrow"/>
                <w:sz w:val="20"/>
                <w:vertAlign w:val="superscript"/>
                <w:lang w:val="en-GB"/>
              </w:rPr>
            </w:pPr>
            <w:r>
              <w:rPr>
                <w:rFonts w:ascii="Arial Narrow" w:hAnsi="Arial Narrow"/>
                <w:sz w:val="20"/>
                <w:lang w:val="en-GB"/>
              </w:rPr>
              <w:t xml:space="preserve">Revised base </w:t>
            </w:r>
            <w:proofErr w:type="spellStart"/>
            <w:r>
              <w:rPr>
                <w:rFonts w:ascii="Arial Narrow" w:hAnsi="Arial Narrow"/>
                <w:sz w:val="20"/>
                <w:lang w:val="en-GB"/>
              </w:rPr>
              <w:t>case</w:t>
            </w:r>
            <w:r>
              <w:rPr>
                <w:rFonts w:ascii="Arial Narrow" w:hAnsi="Arial Narrow"/>
                <w:sz w:val="20"/>
                <w:vertAlign w:val="superscript"/>
                <w:lang w:val="en-GB"/>
              </w:rPr>
              <w:t>a</w:t>
            </w:r>
            <w:proofErr w:type="spellEnd"/>
          </w:p>
        </w:tc>
        <w:tc>
          <w:tcPr>
            <w:tcW w:w="1386" w:type="pct"/>
            <w:vAlign w:val="center"/>
          </w:tcPr>
          <w:p w:rsidR="00BC14E4" w:rsidRPr="002209D7" w:rsidRDefault="00BC14E4" w:rsidP="005F795F">
            <w:pPr>
              <w:keepNext/>
              <w:widowControl/>
              <w:jc w:val="center"/>
              <w:rPr>
                <w:rFonts w:ascii="Arial Narrow" w:hAnsi="Arial Narrow"/>
                <w:sz w:val="20"/>
                <w:lang w:val="en-GB"/>
              </w:rPr>
            </w:pPr>
            <w:r w:rsidRPr="002209D7">
              <w:rPr>
                <w:rFonts w:ascii="Arial Narrow" w:hAnsi="Arial Narrow"/>
                <w:sz w:val="20"/>
                <w:lang w:val="en-GB"/>
              </w:rPr>
              <w:t>$</w:t>
            </w:r>
            <w:r w:rsidR="002E58CD">
              <w:rPr>
                <w:rFonts w:ascii="Arial Narrow" w:hAnsi="Arial Narrow"/>
                <w:noProof/>
                <w:color w:val="000000"/>
                <w:sz w:val="20"/>
                <w:highlight w:val="black"/>
                <w:lang w:val="en-GB"/>
              </w:rPr>
              <w:t>'''''''''''''''''</w:t>
            </w:r>
          </w:p>
          <w:p w:rsidR="00BC14E4" w:rsidRPr="002209D7" w:rsidRDefault="00BC14E4" w:rsidP="005F795F">
            <w:pPr>
              <w:keepNext/>
              <w:widowControl/>
              <w:jc w:val="center"/>
              <w:rPr>
                <w:rFonts w:ascii="Arial Narrow" w:hAnsi="Arial Narrow"/>
                <w:sz w:val="20"/>
                <w:lang w:val="en-GB"/>
              </w:rPr>
            </w:pPr>
            <w:r w:rsidRPr="002209D7">
              <w:rPr>
                <w:rFonts w:ascii="Arial Narrow" w:hAnsi="Arial Narrow"/>
                <w:sz w:val="20"/>
                <w:lang w:val="en-GB"/>
              </w:rPr>
              <w:t>$</w:t>
            </w:r>
            <w:r w:rsidR="002E58CD">
              <w:rPr>
                <w:rFonts w:ascii="Arial Narrow" w:hAnsi="Arial Narrow"/>
                <w:noProof/>
                <w:color w:val="000000"/>
                <w:sz w:val="20"/>
                <w:highlight w:val="black"/>
                <w:lang w:val="en-GB"/>
              </w:rPr>
              <w:t>''''''''''''''''''</w:t>
            </w:r>
          </w:p>
        </w:tc>
        <w:tc>
          <w:tcPr>
            <w:tcW w:w="1422" w:type="pct"/>
            <w:vAlign w:val="center"/>
          </w:tcPr>
          <w:p w:rsidR="00BC14E4" w:rsidRPr="002209D7" w:rsidRDefault="00BC14E4" w:rsidP="005F795F">
            <w:pPr>
              <w:keepNext/>
              <w:widowControl/>
              <w:jc w:val="center"/>
              <w:rPr>
                <w:rFonts w:ascii="Arial Narrow" w:hAnsi="Arial Narrow"/>
                <w:sz w:val="20"/>
                <w:lang w:val="en-GB"/>
              </w:rPr>
            </w:pPr>
            <w:r w:rsidRPr="002209D7">
              <w:rPr>
                <w:rFonts w:ascii="Arial Narrow" w:hAnsi="Arial Narrow"/>
                <w:sz w:val="20"/>
                <w:lang w:val="en-GB"/>
              </w:rPr>
              <w:t>$</w:t>
            </w:r>
            <w:r w:rsidR="002E58CD">
              <w:rPr>
                <w:rFonts w:ascii="Arial Narrow" w:hAnsi="Arial Narrow"/>
                <w:noProof/>
                <w:color w:val="000000"/>
                <w:sz w:val="20"/>
                <w:highlight w:val="black"/>
                <w:lang w:val="en-GB"/>
              </w:rPr>
              <w:t>''''''''''''''''</w:t>
            </w:r>
          </w:p>
          <w:p w:rsidR="00BC14E4" w:rsidRPr="002209D7" w:rsidRDefault="00BC14E4" w:rsidP="005F795F">
            <w:pPr>
              <w:keepNext/>
              <w:widowControl/>
              <w:jc w:val="center"/>
              <w:rPr>
                <w:rFonts w:ascii="Arial Narrow" w:hAnsi="Arial Narrow"/>
                <w:sz w:val="20"/>
                <w:lang w:val="en-GB"/>
              </w:rPr>
            </w:pPr>
            <w:r w:rsidRPr="002209D7">
              <w:rPr>
                <w:rFonts w:ascii="Arial Narrow" w:hAnsi="Arial Narrow"/>
                <w:sz w:val="20"/>
                <w:lang w:val="en-GB"/>
              </w:rPr>
              <w:t>$</w:t>
            </w:r>
            <w:r w:rsidR="002E58CD">
              <w:rPr>
                <w:rFonts w:ascii="Arial Narrow" w:hAnsi="Arial Narrow"/>
                <w:noProof/>
                <w:color w:val="000000"/>
                <w:sz w:val="20"/>
                <w:highlight w:val="black"/>
                <w:lang w:val="en-GB"/>
              </w:rPr>
              <w:t>''''''''''''''''</w:t>
            </w:r>
          </w:p>
        </w:tc>
        <w:tc>
          <w:tcPr>
            <w:tcW w:w="1338" w:type="pct"/>
            <w:vAlign w:val="center"/>
          </w:tcPr>
          <w:p w:rsidR="00BC14E4" w:rsidRPr="002209D7" w:rsidRDefault="00BC14E4" w:rsidP="005F795F">
            <w:pPr>
              <w:keepNext/>
              <w:widowControl/>
              <w:jc w:val="center"/>
              <w:rPr>
                <w:rFonts w:ascii="Arial Narrow" w:hAnsi="Arial Narrow"/>
                <w:sz w:val="20"/>
                <w:lang w:val="en-GB"/>
              </w:rPr>
            </w:pPr>
            <w:r w:rsidRPr="002209D7">
              <w:rPr>
                <w:rFonts w:ascii="Arial Narrow" w:hAnsi="Arial Narrow"/>
                <w:sz w:val="20"/>
                <w:lang w:val="en-GB"/>
              </w:rPr>
              <w:t>$</w:t>
            </w:r>
            <w:r w:rsidR="002E58CD">
              <w:rPr>
                <w:rFonts w:ascii="Arial Narrow" w:hAnsi="Arial Narrow"/>
                <w:noProof/>
                <w:color w:val="000000"/>
                <w:sz w:val="20"/>
                <w:highlight w:val="black"/>
                <w:lang w:val="en-GB"/>
              </w:rPr>
              <w:t>''''''''''''''''</w:t>
            </w:r>
          </w:p>
          <w:p w:rsidR="00BC14E4" w:rsidRPr="002209D7" w:rsidRDefault="00BC14E4" w:rsidP="005F795F">
            <w:pPr>
              <w:keepNext/>
              <w:widowControl/>
              <w:jc w:val="center"/>
              <w:rPr>
                <w:rFonts w:ascii="Arial Narrow" w:hAnsi="Arial Narrow"/>
                <w:sz w:val="20"/>
                <w:lang w:val="en-GB"/>
              </w:rPr>
            </w:pPr>
            <w:r w:rsidRPr="002209D7">
              <w:rPr>
                <w:rFonts w:ascii="Arial Narrow" w:hAnsi="Arial Narrow"/>
                <w:sz w:val="20"/>
                <w:lang w:val="en-GB"/>
              </w:rPr>
              <w:t>$</w:t>
            </w:r>
            <w:r w:rsidR="002E58CD">
              <w:rPr>
                <w:rFonts w:ascii="Arial Narrow" w:hAnsi="Arial Narrow"/>
                <w:noProof/>
                <w:color w:val="000000"/>
                <w:sz w:val="20"/>
                <w:highlight w:val="black"/>
                <w:lang w:val="en-GB"/>
              </w:rPr>
              <w:t>'''''''''''''''</w:t>
            </w:r>
          </w:p>
        </w:tc>
      </w:tr>
      <w:tr w:rsidR="00BC14E4" w:rsidRPr="00CD0DEF" w:rsidTr="005B0C39">
        <w:trPr>
          <w:trHeight w:val="20"/>
        </w:trPr>
        <w:tc>
          <w:tcPr>
            <w:tcW w:w="854" w:type="pct"/>
            <w:vAlign w:val="center"/>
          </w:tcPr>
          <w:p w:rsidR="00BC14E4" w:rsidRPr="00CD0DEF" w:rsidRDefault="00BC14E4" w:rsidP="003223D2">
            <w:pPr>
              <w:keepNext/>
              <w:widowControl/>
              <w:jc w:val="left"/>
              <w:rPr>
                <w:rFonts w:ascii="Arial Narrow" w:hAnsi="Arial Narrow"/>
                <w:sz w:val="20"/>
                <w:lang w:val="en-GB"/>
              </w:rPr>
            </w:pPr>
            <w:r>
              <w:rPr>
                <w:rFonts w:ascii="Arial Narrow" w:hAnsi="Arial Narrow"/>
                <w:sz w:val="20"/>
                <w:lang w:val="en-GB"/>
              </w:rPr>
              <w:t>LYG</w:t>
            </w:r>
          </w:p>
        </w:tc>
        <w:tc>
          <w:tcPr>
            <w:tcW w:w="1386" w:type="pct"/>
          </w:tcPr>
          <w:p w:rsidR="00BC14E4" w:rsidRPr="00CD0DEF" w:rsidRDefault="00BC14E4" w:rsidP="003223D2">
            <w:pPr>
              <w:keepNext/>
              <w:widowControl/>
              <w:jc w:val="center"/>
              <w:rPr>
                <w:rFonts w:ascii="Arial Narrow" w:hAnsi="Arial Narrow"/>
                <w:sz w:val="20"/>
                <w:lang w:val="en-GB"/>
              </w:rPr>
            </w:pPr>
            <w:r>
              <w:rPr>
                <w:rFonts w:ascii="Arial Narrow" w:hAnsi="Arial Narrow"/>
                <w:sz w:val="20"/>
                <w:lang w:val="en-GB"/>
              </w:rPr>
              <w:t>1.33</w:t>
            </w:r>
          </w:p>
        </w:tc>
        <w:tc>
          <w:tcPr>
            <w:tcW w:w="1422" w:type="pct"/>
          </w:tcPr>
          <w:p w:rsidR="00BC14E4" w:rsidRPr="00CD0DEF" w:rsidRDefault="00BC14E4" w:rsidP="003223D2">
            <w:pPr>
              <w:keepNext/>
              <w:widowControl/>
              <w:jc w:val="center"/>
              <w:rPr>
                <w:rFonts w:ascii="Arial Narrow" w:hAnsi="Arial Narrow"/>
                <w:sz w:val="20"/>
                <w:lang w:val="en-GB"/>
              </w:rPr>
            </w:pPr>
            <w:r>
              <w:rPr>
                <w:rFonts w:ascii="Arial Narrow" w:hAnsi="Arial Narrow"/>
                <w:sz w:val="20"/>
                <w:lang w:val="en-GB"/>
              </w:rPr>
              <w:t>0.81</w:t>
            </w:r>
          </w:p>
        </w:tc>
        <w:tc>
          <w:tcPr>
            <w:tcW w:w="1338" w:type="pct"/>
            <w:vAlign w:val="center"/>
          </w:tcPr>
          <w:p w:rsidR="00BC14E4" w:rsidRPr="00CD0DEF" w:rsidRDefault="00BC14E4" w:rsidP="005F795F">
            <w:pPr>
              <w:keepNext/>
              <w:widowControl/>
              <w:jc w:val="center"/>
              <w:rPr>
                <w:rFonts w:ascii="Arial Narrow" w:hAnsi="Arial Narrow"/>
                <w:sz w:val="20"/>
                <w:lang w:val="en-GB"/>
              </w:rPr>
            </w:pPr>
            <w:r>
              <w:rPr>
                <w:rFonts w:ascii="Arial Narrow" w:hAnsi="Arial Narrow"/>
                <w:sz w:val="20"/>
                <w:lang w:val="en-GB"/>
              </w:rPr>
              <w:t>0.52</w:t>
            </w:r>
          </w:p>
        </w:tc>
      </w:tr>
      <w:tr w:rsidR="00BC14E4" w:rsidRPr="00CD0DEF" w:rsidTr="005B0C39">
        <w:trPr>
          <w:trHeight w:val="20"/>
        </w:trPr>
        <w:tc>
          <w:tcPr>
            <w:tcW w:w="3662" w:type="pct"/>
            <w:gridSpan w:val="3"/>
            <w:vAlign w:val="center"/>
          </w:tcPr>
          <w:p w:rsidR="00BC14E4" w:rsidRDefault="00BC14E4" w:rsidP="003223D2">
            <w:pPr>
              <w:keepNext/>
              <w:widowControl/>
              <w:jc w:val="left"/>
              <w:rPr>
                <w:rFonts w:ascii="Arial Narrow" w:hAnsi="Arial Narrow"/>
                <w:b/>
                <w:sz w:val="20"/>
                <w:lang w:val="en-GB"/>
              </w:rPr>
            </w:pPr>
            <w:r w:rsidRPr="00CD0DEF">
              <w:rPr>
                <w:rFonts w:ascii="Arial Narrow" w:hAnsi="Arial Narrow"/>
                <w:b/>
                <w:sz w:val="20"/>
                <w:lang w:val="en-GB"/>
              </w:rPr>
              <w:t xml:space="preserve">Incremental cost/extra </w:t>
            </w:r>
            <w:r>
              <w:rPr>
                <w:rFonts w:ascii="Arial Narrow" w:hAnsi="Arial Narrow"/>
                <w:b/>
                <w:sz w:val="20"/>
                <w:lang w:val="en-GB"/>
              </w:rPr>
              <w:t>LYG</w:t>
            </w:r>
          </w:p>
          <w:p w:rsidR="00BC14E4" w:rsidRPr="00CD0DEF" w:rsidRDefault="00BC14E4" w:rsidP="003223D2">
            <w:pPr>
              <w:keepNext/>
              <w:widowControl/>
              <w:jc w:val="left"/>
              <w:rPr>
                <w:rFonts w:ascii="Arial Narrow" w:hAnsi="Arial Narrow"/>
                <w:b/>
                <w:sz w:val="20"/>
                <w:lang w:val="en-GB"/>
              </w:rPr>
            </w:pPr>
            <w:r>
              <w:rPr>
                <w:rFonts w:ascii="Arial Narrow" w:hAnsi="Arial Narrow"/>
                <w:sz w:val="20"/>
                <w:lang w:val="en-GB"/>
              </w:rPr>
              <w:t xml:space="preserve">Revised base </w:t>
            </w:r>
            <w:proofErr w:type="spellStart"/>
            <w:r>
              <w:rPr>
                <w:rFonts w:ascii="Arial Narrow" w:hAnsi="Arial Narrow"/>
                <w:sz w:val="20"/>
                <w:lang w:val="en-GB"/>
              </w:rPr>
              <w:t>case</w:t>
            </w:r>
            <w:r>
              <w:rPr>
                <w:rFonts w:ascii="Arial Narrow" w:hAnsi="Arial Narrow"/>
                <w:sz w:val="20"/>
                <w:vertAlign w:val="superscript"/>
                <w:lang w:val="en-GB"/>
              </w:rPr>
              <w:t>a</w:t>
            </w:r>
            <w:proofErr w:type="spellEnd"/>
          </w:p>
        </w:tc>
        <w:tc>
          <w:tcPr>
            <w:tcW w:w="1338" w:type="pct"/>
            <w:vAlign w:val="center"/>
          </w:tcPr>
          <w:p w:rsidR="00BC14E4" w:rsidRPr="002209D7" w:rsidRDefault="00BC14E4" w:rsidP="005F795F">
            <w:pPr>
              <w:keepNext/>
              <w:widowControl/>
              <w:jc w:val="center"/>
              <w:rPr>
                <w:rFonts w:ascii="Arial Narrow" w:hAnsi="Arial Narrow"/>
                <w:b/>
                <w:sz w:val="20"/>
                <w:lang w:val="en-GB"/>
              </w:rPr>
            </w:pPr>
            <w:r w:rsidRPr="002209D7">
              <w:rPr>
                <w:rFonts w:ascii="Arial Narrow" w:hAnsi="Arial Narrow"/>
                <w:b/>
                <w:sz w:val="20"/>
                <w:lang w:val="en-GB"/>
              </w:rPr>
              <w:t>$</w:t>
            </w:r>
            <w:r w:rsidR="002E58CD">
              <w:rPr>
                <w:rFonts w:ascii="Arial Narrow" w:hAnsi="Arial Narrow"/>
                <w:b/>
                <w:noProof/>
                <w:color w:val="000000"/>
                <w:sz w:val="20"/>
                <w:highlight w:val="black"/>
                <w:lang w:val="en-GB"/>
              </w:rPr>
              <w:t>''''''''''''''</w:t>
            </w:r>
          </w:p>
          <w:p w:rsidR="00BC14E4" w:rsidRPr="0043313E" w:rsidRDefault="00BC14E4" w:rsidP="005F795F">
            <w:pPr>
              <w:keepNext/>
              <w:widowControl/>
              <w:jc w:val="center"/>
              <w:rPr>
                <w:rFonts w:ascii="Arial Narrow" w:hAnsi="Arial Narrow"/>
                <w:b/>
                <w:i/>
                <w:sz w:val="20"/>
                <w:lang w:val="en-GB"/>
              </w:rPr>
            </w:pPr>
            <w:r w:rsidRPr="002209D7">
              <w:rPr>
                <w:rFonts w:ascii="Arial Narrow" w:hAnsi="Arial Narrow"/>
                <w:b/>
                <w:sz w:val="20"/>
                <w:lang w:val="en-GB"/>
              </w:rPr>
              <w:t>$</w:t>
            </w:r>
            <w:r w:rsidR="002E58CD">
              <w:rPr>
                <w:rFonts w:ascii="Arial Narrow" w:hAnsi="Arial Narrow"/>
                <w:b/>
                <w:noProof/>
                <w:color w:val="000000"/>
                <w:sz w:val="20"/>
                <w:highlight w:val="black"/>
                <w:lang w:val="en-GB"/>
              </w:rPr>
              <w:t>'''''''''''''</w:t>
            </w:r>
          </w:p>
        </w:tc>
      </w:tr>
      <w:tr w:rsidR="00BC14E4" w:rsidRPr="00CD0DEF" w:rsidTr="005B0C39">
        <w:trPr>
          <w:trHeight w:val="20"/>
        </w:trPr>
        <w:tc>
          <w:tcPr>
            <w:tcW w:w="854" w:type="pct"/>
            <w:vAlign w:val="center"/>
          </w:tcPr>
          <w:p w:rsidR="00BC14E4" w:rsidRPr="00CD0DEF" w:rsidRDefault="00BC14E4" w:rsidP="003223D2">
            <w:pPr>
              <w:keepNext/>
              <w:widowControl/>
              <w:jc w:val="left"/>
              <w:rPr>
                <w:rFonts w:ascii="Arial Narrow" w:hAnsi="Arial Narrow"/>
                <w:sz w:val="20"/>
                <w:lang w:val="en-GB"/>
              </w:rPr>
            </w:pPr>
            <w:r>
              <w:rPr>
                <w:rFonts w:ascii="Arial Narrow" w:hAnsi="Arial Narrow"/>
                <w:sz w:val="20"/>
                <w:lang w:val="en-GB"/>
              </w:rPr>
              <w:t>QALYs</w:t>
            </w:r>
          </w:p>
        </w:tc>
        <w:tc>
          <w:tcPr>
            <w:tcW w:w="1386" w:type="pct"/>
          </w:tcPr>
          <w:p w:rsidR="00BC14E4" w:rsidRPr="00CD0DEF" w:rsidRDefault="00BC14E4" w:rsidP="003223D2">
            <w:pPr>
              <w:keepNext/>
              <w:widowControl/>
              <w:jc w:val="center"/>
              <w:rPr>
                <w:rFonts w:ascii="Arial Narrow" w:hAnsi="Arial Narrow"/>
                <w:sz w:val="20"/>
                <w:lang w:val="en-GB"/>
              </w:rPr>
            </w:pPr>
            <w:r>
              <w:rPr>
                <w:rFonts w:ascii="Arial Narrow" w:hAnsi="Arial Narrow"/>
                <w:sz w:val="20"/>
                <w:lang w:val="en-GB"/>
              </w:rPr>
              <w:t>0.91</w:t>
            </w:r>
          </w:p>
        </w:tc>
        <w:tc>
          <w:tcPr>
            <w:tcW w:w="1422" w:type="pct"/>
          </w:tcPr>
          <w:p w:rsidR="00BC14E4" w:rsidRPr="00CD0DEF" w:rsidRDefault="00BC14E4" w:rsidP="003223D2">
            <w:pPr>
              <w:keepNext/>
              <w:widowControl/>
              <w:jc w:val="center"/>
              <w:rPr>
                <w:rFonts w:ascii="Arial Narrow" w:hAnsi="Arial Narrow"/>
                <w:sz w:val="20"/>
                <w:lang w:val="en-GB"/>
              </w:rPr>
            </w:pPr>
            <w:r>
              <w:rPr>
                <w:rFonts w:ascii="Arial Narrow" w:hAnsi="Arial Narrow"/>
                <w:sz w:val="20"/>
                <w:lang w:val="en-GB"/>
              </w:rPr>
              <w:t>0.55</w:t>
            </w:r>
          </w:p>
        </w:tc>
        <w:tc>
          <w:tcPr>
            <w:tcW w:w="1338" w:type="pct"/>
            <w:vAlign w:val="center"/>
          </w:tcPr>
          <w:p w:rsidR="00BC14E4" w:rsidRPr="00CD0DEF" w:rsidRDefault="00BC14E4" w:rsidP="005F795F">
            <w:pPr>
              <w:keepNext/>
              <w:widowControl/>
              <w:jc w:val="center"/>
              <w:rPr>
                <w:rFonts w:ascii="Arial Narrow" w:hAnsi="Arial Narrow"/>
                <w:sz w:val="20"/>
                <w:lang w:val="en-GB"/>
              </w:rPr>
            </w:pPr>
            <w:r>
              <w:rPr>
                <w:rFonts w:ascii="Arial Narrow" w:hAnsi="Arial Narrow"/>
                <w:sz w:val="20"/>
                <w:lang w:val="en-GB"/>
              </w:rPr>
              <w:t>0.36</w:t>
            </w:r>
          </w:p>
        </w:tc>
      </w:tr>
      <w:tr w:rsidR="00BC14E4" w:rsidRPr="002209D7" w:rsidTr="005B0C39">
        <w:trPr>
          <w:trHeight w:val="20"/>
        </w:trPr>
        <w:tc>
          <w:tcPr>
            <w:tcW w:w="3662" w:type="pct"/>
            <w:gridSpan w:val="3"/>
            <w:vAlign w:val="center"/>
          </w:tcPr>
          <w:p w:rsidR="00BC14E4" w:rsidRDefault="00BC14E4" w:rsidP="003223D2">
            <w:pPr>
              <w:keepNext/>
              <w:widowControl/>
              <w:jc w:val="left"/>
              <w:rPr>
                <w:rFonts w:ascii="Arial Narrow" w:hAnsi="Arial Narrow"/>
                <w:b/>
                <w:sz w:val="20"/>
                <w:lang w:val="en-GB"/>
              </w:rPr>
            </w:pPr>
            <w:r w:rsidRPr="00CD0DEF">
              <w:rPr>
                <w:rFonts w:ascii="Arial Narrow" w:hAnsi="Arial Narrow"/>
                <w:b/>
                <w:sz w:val="20"/>
                <w:lang w:val="en-GB"/>
              </w:rPr>
              <w:t xml:space="preserve">Incremental cost/extra </w:t>
            </w:r>
            <w:r>
              <w:rPr>
                <w:rFonts w:ascii="Arial Narrow" w:hAnsi="Arial Narrow"/>
                <w:b/>
                <w:sz w:val="20"/>
                <w:lang w:val="en-GB"/>
              </w:rPr>
              <w:t>QALY</w:t>
            </w:r>
            <w:r w:rsidRPr="00CD0DEF">
              <w:rPr>
                <w:rFonts w:ascii="Arial Narrow" w:hAnsi="Arial Narrow"/>
                <w:b/>
                <w:sz w:val="20"/>
                <w:lang w:val="en-GB"/>
              </w:rPr>
              <w:t xml:space="preserve"> gained</w:t>
            </w:r>
          </w:p>
          <w:p w:rsidR="00BC14E4" w:rsidRPr="00CD0DEF" w:rsidRDefault="00BC14E4" w:rsidP="003223D2">
            <w:pPr>
              <w:keepNext/>
              <w:widowControl/>
              <w:jc w:val="left"/>
              <w:rPr>
                <w:rFonts w:ascii="Arial Narrow" w:hAnsi="Arial Narrow"/>
                <w:b/>
                <w:sz w:val="20"/>
                <w:lang w:val="en-GB"/>
              </w:rPr>
            </w:pPr>
            <w:r>
              <w:rPr>
                <w:rFonts w:ascii="Arial Narrow" w:hAnsi="Arial Narrow"/>
                <w:sz w:val="20"/>
                <w:lang w:val="en-GB"/>
              </w:rPr>
              <w:t xml:space="preserve">Revised base </w:t>
            </w:r>
            <w:proofErr w:type="spellStart"/>
            <w:r>
              <w:rPr>
                <w:rFonts w:ascii="Arial Narrow" w:hAnsi="Arial Narrow"/>
                <w:sz w:val="20"/>
                <w:lang w:val="en-GB"/>
              </w:rPr>
              <w:t>case</w:t>
            </w:r>
            <w:r>
              <w:rPr>
                <w:rFonts w:ascii="Arial Narrow" w:hAnsi="Arial Narrow"/>
                <w:sz w:val="20"/>
                <w:vertAlign w:val="superscript"/>
                <w:lang w:val="en-GB"/>
              </w:rPr>
              <w:t>a</w:t>
            </w:r>
            <w:proofErr w:type="spellEnd"/>
          </w:p>
        </w:tc>
        <w:tc>
          <w:tcPr>
            <w:tcW w:w="1338" w:type="pct"/>
            <w:vAlign w:val="center"/>
          </w:tcPr>
          <w:p w:rsidR="00BC14E4" w:rsidRPr="002209D7" w:rsidRDefault="00BC14E4" w:rsidP="005F795F">
            <w:pPr>
              <w:keepNext/>
              <w:widowControl/>
              <w:jc w:val="center"/>
              <w:rPr>
                <w:rFonts w:ascii="Arial Narrow" w:hAnsi="Arial Narrow"/>
                <w:b/>
                <w:sz w:val="20"/>
                <w:lang w:val="en-GB"/>
              </w:rPr>
            </w:pPr>
            <w:r w:rsidRPr="002209D7">
              <w:rPr>
                <w:rFonts w:ascii="Arial Narrow" w:hAnsi="Arial Narrow"/>
                <w:b/>
                <w:sz w:val="20"/>
                <w:lang w:val="en-GB"/>
              </w:rPr>
              <w:t>$</w:t>
            </w:r>
            <w:r w:rsidR="002E58CD">
              <w:rPr>
                <w:rFonts w:ascii="Arial Narrow" w:hAnsi="Arial Narrow"/>
                <w:b/>
                <w:noProof/>
                <w:color w:val="000000"/>
                <w:sz w:val="20"/>
                <w:highlight w:val="black"/>
                <w:lang w:val="en-GB"/>
              </w:rPr>
              <w:t>''''''''''''''</w:t>
            </w:r>
          </w:p>
          <w:p w:rsidR="00BC14E4" w:rsidRPr="002209D7" w:rsidRDefault="00BC14E4" w:rsidP="005F795F">
            <w:pPr>
              <w:keepNext/>
              <w:widowControl/>
              <w:jc w:val="center"/>
              <w:rPr>
                <w:rFonts w:ascii="Arial Narrow" w:hAnsi="Arial Narrow"/>
                <w:b/>
                <w:sz w:val="20"/>
                <w:lang w:val="en-GB"/>
              </w:rPr>
            </w:pPr>
            <w:r w:rsidRPr="002209D7">
              <w:rPr>
                <w:rFonts w:ascii="Arial Narrow" w:hAnsi="Arial Narrow"/>
                <w:b/>
                <w:sz w:val="20"/>
                <w:lang w:val="en-GB"/>
              </w:rPr>
              <w:t>$</w:t>
            </w:r>
            <w:r w:rsidR="002E58CD">
              <w:rPr>
                <w:rFonts w:ascii="Arial Narrow" w:hAnsi="Arial Narrow"/>
                <w:b/>
                <w:noProof/>
                <w:color w:val="000000"/>
                <w:sz w:val="20"/>
                <w:highlight w:val="black"/>
                <w:lang w:val="en-GB"/>
              </w:rPr>
              <w:t>'''''''''''''</w:t>
            </w:r>
          </w:p>
        </w:tc>
      </w:tr>
    </w:tbl>
    <w:p w:rsidR="00CD67F6" w:rsidRPr="00B010BF" w:rsidRDefault="00CD67F6" w:rsidP="005B0C39">
      <w:pPr>
        <w:pStyle w:val="TableFooter"/>
        <w:widowControl/>
        <w:ind w:left="709"/>
        <w:rPr>
          <w:lang w:val="en-GB"/>
        </w:rPr>
      </w:pPr>
      <w:r w:rsidRPr="00B010BF">
        <w:rPr>
          <w:lang w:val="en-GB"/>
        </w:rPr>
        <w:t>Source: Table D-23, p140 of the submission</w:t>
      </w:r>
      <w:r w:rsidR="00E67AC2" w:rsidRPr="00B010BF">
        <w:rPr>
          <w:lang w:val="en-GB"/>
        </w:rPr>
        <w:t xml:space="preserve"> and calculated during evaluation</w:t>
      </w:r>
    </w:p>
    <w:p w:rsidR="00CD67F6" w:rsidRPr="00B010BF" w:rsidRDefault="00CD67F6" w:rsidP="005B0C39">
      <w:pPr>
        <w:pStyle w:val="TableFooter"/>
        <w:widowControl/>
        <w:ind w:left="709"/>
        <w:rPr>
          <w:lang w:val="en-GB"/>
        </w:rPr>
      </w:pPr>
      <w:r w:rsidRPr="00B010BF">
        <w:rPr>
          <w:lang w:val="en-GB"/>
        </w:rPr>
        <w:t>LYG = life years gained; QALY = quality-adjusted life year</w:t>
      </w:r>
    </w:p>
    <w:p w:rsidR="002138F6" w:rsidRPr="00B010BF" w:rsidRDefault="002138F6" w:rsidP="005B0C39">
      <w:pPr>
        <w:pStyle w:val="TableFooter"/>
        <w:widowControl/>
        <w:ind w:left="709"/>
        <w:rPr>
          <w:lang w:val="en-GB"/>
        </w:rPr>
      </w:pPr>
      <w:proofErr w:type="spellStart"/>
      <w:proofErr w:type="gramStart"/>
      <w:r w:rsidRPr="00B010BF">
        <w:rPr>
          <w:vertAlign w:val="superscript"/>
          <w:lang w:val="en-GB"/>
        </w:rPr>
        <w:t>a</w:t>
      </w:r>
      <w:proofErr w:type="spellEnd"/>
      <w:proofErr w:type="gramEnd"/>
      <w:r w:rsidRPr="00B010BF">
        <w:rPr>
          <w:vertAlign w:val="superscript"/>
          <w:lang w:val="en-GB"/>
        </w:rPr>
        <w:t xml:space="preserve"> </w:t>
      </w:r>
      <w:r w:rsidR="002209D7" w:rsidRPr="00B010BF">
        <w:rPr>
          <w:lang w:val="en-GB"/>
        </w:rPr>
        <w:t xml:space="preserve">For the revised </w:t>
      </w:r>
      <w:r w:rsidRPr="00B010BF">
        <w:rPr>
          <w:lang w:val="en-GB"/>
        </w:rPr>
        <w:t xml:space="preserve">base case, </w:t>
      </w:r>
      <w:r w:rsidR="00A814F3" w:rsidRPr="00B010BF">
        <w:rPr>
          <w:lang w:val="en-GB"/>
        </w:rPr>
        <w:t>dispensing fees and mark-ups were applied per infusion, rather than a weighted cost per vial</w:t>
      </w:r>
      <w:r w:rsidR="00124895" w:rsidRPr="00B010BF">
        <w:rPr>
          <w:lang w:val="en-GB"/>
        </w:rPr>
        <w:t xml:space="preserve"> (per the 1 August 2016 Efficient Funding for Chemotherapy)</w:t>
      </w:r>
      <w:r w:rsidR="00A814F3" w:rsidRPr="00B010BF">
        <w:rPr>
          <w:lang w:val="en-GB"/>
        </w:rPr>
        <w:t xml:space="preserve">. Further the 3 mL </w:t>
      </w:r>
      <w:proofErr w:type="spellStart"/>
      <w:r w:rsidR="00A814F3" w:rsidRPr="00B010BF">
        <w:rPr>
          <w:lang w:val="en-GB"/>
        </w:rPr>
        <w:t>eribulin</w:t>
      </w:r>
      <w:proofErr w:type="spellEnd"/>
      <w:r w:rsidR="00A814F3" w:rsidRPr="00B010BF">
        <w:rPr>
          <w:lang w:val="en-GB"/>
        </w:rPr>
        <w:t xml:space="preserve"> vial was excluded from the calculations.</w:t>
      </w:r>
    </w:p>
    <w:p w:rsidR="00D110BD" w:rsidRPr="00B010BF" w:rsidRDefault="00D110BD" w:rsidP="00903665">
      <w:pPr>
        <w:widowControl/>
        <w:rPr>
          <w:szCs w:val="22"/>
          <w:lang w:val="en-GB"/>
        </w:rPr>
      </w:pPr>
    </w:p>
    <w:p w:rsidR="00CD67F6" w:rsidRPr="00B010BF" w:rsidRDefault="00CD67F6" w:rsidP="00A728F8">
      <w:pPr>
        <w:pStyle w:val="ListParagraph"/>
        <w:widowControl/>
        <w:numPr>
          <w:ilvl w:val="1"/>
          <w:numId w:val="2"/>
        </w:numPr>
        <w:rPr>
          <w:szCs w:val="22"/>
          <w:lang w:val="en-GB"/>
        </w:rPr>
      </w:pPr>
      <w:r w:rsidRPr="00B010BF">
        <w:rPr>
          <w:lang w:val="en-GB"/>
        </w:rPr>
        <w:t xml:space="preserve">The submission estimated an </w:t>
      </w:r>
      <w:r w:rsidR="00D37C7C">
        <w:rPr>
          <w:lang w:val="en-GB"/>
        </w:rPr>
        <w:t xml:space="preserve">ICER </w:t>
      </w:r>
      <w:r w:rsidRPr="00B010BF">
        <w:rPr>
          <w:lang w:val="en-GB"/>
        </w:rPr>
        <w:t>of $</w:t>
      </w:r>
      <w:r w:rsidR="00102399">
        <w:rPr>
          <w:lang w:val="en-GB"/>
        </w:rPr>
        <w:t>15,000 - $45,000</w:t>
      </w:r>
      <w:r w:rsidRPr="00B010BF">
        <w:rPr>
          <w:lang w:val="en-GB"/>
        </w:rPr>
        <w:t xml:space="preserve"> per life year gained and $</w:t>
      </w:r>
      <w:r w:rsidR="00102399">
        <w:rPr>
          <w:lang w:val="en-GB"/>
        </w:rPr>
        <w:t>15,000 - $45,000</w:t>
      </w:r>
      <w:r w:rsidRPr="00B010BF">
        <w:rPr>
          <w:lang w:val="en-GB"/>
        </w:rPr>
        <w:t xml:space="preserve"> per </w:t>
      </w:r>
      <w:r w:rsidR="00490663" w:rsidRPr="00B010BF">
        <w:rPr>
          <w:lang w:val="en-GB"/>
        </w:rPr>
        <w:t>quality-adjusted life year (</w:t>
      </w:r>
      <w:r w:rsidRPr="00B010BF">
        <w:rPr>
          <w:lang w:val="en-GB"/>
        </w:rPr>
        <w:t>QALY</w:t>
      </w:r>
      <w:r w:rsidR="00490663" w:rsidRPr="00B010BF">
        <w:rPr>
          <w:lang w:val="en-GB"/>
        </w:rPr>
        <w:t>)</w:t>
      </w:r>
      <w:r w:rsidRPr="00B010BF">
        <w:rPr>
          <w:lang w:val="en-GB"/>
        </w:rPr>
        <w:t xml:space="preserve"> gained.</w:t>
      </w:r>
      <w:r w:rsidR="002209D7" w:rsidRPr="00B010BF">
        <w:rPr>
          <w:lang w:val="en-GB"/>
        </w:rPr>
        <w:t xml:space="preserve"> Using the revised</w:t>
      </w:r>
      <w:r w:rsidRPr="00B010BF">
        <w:rPr>
          <w:lang w:val="en-GB"/>
        </w:rPr>
        <w:t xml:space="preserve"> values, the ICER increased to $</w:t>
      </w:r>
      <w:r w:rsidR="00102399">
        <w:rPr>
          <w:lang w:val="en-GB"/>
        </w:rPr>
        <w:t>15,000 - $45,000</w:t>
      </w:r>
      <w:r w:rsidRPr="00B010BF">
        <w:rPr>
          <w:lang w:val="en-GB"/>
        </w:rPr>
        <w:t xml:space="preserve"> per life year gained and $</w:t>
      </w:r>
      <w:r w:rsidR="00102399">
        <w:rPr>
          <w:lang w:val="en-GB"/>
        </w:rPr>
        <w:t>15,000 - $45,000</w:t>
      </w:r>
      <w:r w:rsidRPr="00B010BF">
        <w:rPr>
          <w:lang w:val="en-GB"/>
        </w:rPr>
        <w:t xml:space="preserve"> per QALY gained.</w:t>
      </w:r>
    </w:p>
    <w:p w:rsidR="00CD67F6" w:rsidRPr="00B010BF" w:rsidRDefault="00CD67F6" w:rsidP="00903665">
      <w:pPr>
        <w:pStyle w:val="ListParagraph"/>
        <w:widowControl/>
        <w:rPr>
          <w:szCs w:val="22"/>
          <w:lang w:val="en-GB"/>
        </w:rPr>
      </w:pPr>
    </w:p>
    <w:p w:rsidR="002138F6" w:rsidRPr="00B010BF" w:rsidRDefault="00002730" w:rsidP="00A728F8">
      <w:pPr>
        <w:pStyle w:val="ListParagraph"/>
        <w:widowControl/>
        <w:numPr>
          <w:ilvl w:val="1"/>
          <w:numId w:val="2"/>
        </w:numPr>
        <w:rPr>
          <w:szCs w:val="22"/>
          <w:lang w:val="en-GB"/>
        </w:rPr>
      </w:pPr>
      <w:r w:rsidRPr="00B010BF">
        <w:rPr>
          <w:lang w:val="en-GB"/>
        </w:rPr>
        <w:t>The key sensitiv</w:t>
      </w:r>
      <w:r w:rsidR="002209D7" w:rsidRPr="00B010BF">
        <w:rPr>
          <w:lang w:val="en-GB"/>
        </w:rPr>
        <w:t>ity analyses using the revised</w:t>
      </w:r>
      <w:r w:rsidRPr="00B010BF">
        <w:rPr>
          <w:lang w:val="en-GB"/>
        </w:rPr>
        <w:t xml:space="preserve"> base case are presented in Table </w:t>
      </w:r>
      <w:r w:rsidR="002D3E86" w:rsidRPr="00B010BF">
        <w:rPr>
          <w:lang w:val="en-GB"/>
        </w:rPr>
        <w:t>10</w:t>
      </w:r>
      <w:r w:rsidRPr="00B010BF">
        <w:rPr>
          <w:lang w:val="en-GB"/>
        </w:rPr>
        <w:t>.</w:t>
      </w:r>
    </w:p>
    <w:p w:rsidR="00940824" w:rsidRPr="00B010BF" w:rsidRDefault="00940824" w:rsidP="00903665">
      <w:pPr>
        <w:pStyle w:val="ListParagraph"/>
        <w:widowControl/>
        <w:rPr>
          <w:szCs w:val="22"/>
          <w:lang w:val="en-GB"/>
        </w:rPr>
      </w:pPr>
    </w:p>
    <w:p w:rsidR="001028CA" w:rsidRDefault="001028CA" w:rsidP="005B0C39">
      <w:pPr>
        <w:pStyle w:val="Caption"/>
        <w:keepNext/>
        <w:widowControl/>
        <w:ind w:left="709"/>
        <w:rPr>
          <w:vertAlign w:val="superscript"/>
        </w:rPr>
      </w:pPr>
      <w:r w:rsidRPr="00B010BF">
        <w:lastRenderedPageBreak/>
        <w:t xml:space="preserve">Table </w:t>
      </w:r>
      <w:r w:rsidR="00556B92">
        <w:rPr>
          <w:noProof/>
        </w:rPr>
        <w:t>10</w:t>
      </w:r>
      <w:r w:rsidRPr="00B010BF">
        <w:t>: Results of univariate and multivariate sensitivit</w:t>
      </w:r>
      <w:r w:rsidR="002209D7" w:rsidRPr="00B010BF">
        <w:t>y analyses – using the revised</w:t>
      </w:r>
      <w:r w:rsidRPr="00B010BF">
        <w:t xml:space="preserve"> base case</w:t>
      </w:r>
      <w:r w:rsidRPr="00B010BF">
        <w:rPr>
          <w:vertAlign w:val="superscript"/>
        </w:rPr>
        <w:t xml:space="preserve"> a</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585"/>
        <w:gridCol w:w="920"/>
        <w:gridCol w:w="920"/>
        <w:gridCol w:w="920"/>
      </w:tblGrid>
      <w:tr w:rsidR="00BC14E4" w:rsidRPr="00CD0DEF" w:rsidTr="005B0C39">
        <w:trPr>
          <w:cantSplit/>
          <w:tblHeader/>
        </w:trPr>
        <w:tc>
          <w:tcPr>
            <w:tcW w:w="3347" w:type="pct"/>
            <w:tcBorders>
              <w:top w:val="single" w:sz="4" w:space="0" w:color="auto"/>
              <w:left w:val="single" w:sz="4" w:space="0" w:color="auto"/>
              <w:bottom w:val="single" w:sz="4" w:space="0" w:color="auto"/>
              <w:right w:val="single" w:sz="4" w:space="0" w:color="auto"/>
            </w:tcBorders>
            <w:vAlign w:val="center"/>
          </w:tcPr>
          <w:p w:rsidR="00BC14E4" w:rsidRPr="00CD0DEF" w:rsidRDefault="00BC14E4" w:rsidP="003223D2">
            <w:pPr>
              <w:keepNext/>
              <w:widowControl/>
              <w:jc w:val="left"/>
              <w:rPr>
                <w:rFonts w:ascii="Arial Narrow" w:hAnsi="Arial Narrow"/>
                <w:sz w:val="20"/>
                <w:lang w:val="en-GB"/>
              </w:rPr>
            </w:pPr>
          </w:p>
        </w:tc>
        <w:tc>
          <w:tcPr>
            <w:tcW w:w="551" w:type="pct"/>
            <w:tcBorders>
              <w:top w:val="single" w:sz="4" w:space="0" w:color="auto"/>
              <w:left w:val="single" w:sz="4" w:space="0" w:color="auto"/>
              <w:bottom w:val="single" w:sz="4" w:space="0" w:color="auto"/>
              <w:right w:val="single" w:sz="4" w:space="0" w:color="auto"/>
            </w:tcBorders>
            <w:vAlign w:val="center"/>
          </w:tcPr>
          <w:p w:rsidR="00BC14E4" w:rsidRPr="00CD0DEF" w:rsidRDefault="00BC14E4" w:rsidP="003223D2">
            <w:pPr>
              <w:keepNext/>
              <w:widowControl/>
              <w:jc w:val="center"/>
              <w:rPr>
                <w:rFonts w:ascii="Arial Narrow" w:hAnsi="Arial Narrow"/>
                <w:sz w:val="20"/>
                <w:lang w:val="en-GB"/>
              </w:rPr>
            </w:pPr>
            <w:r>
              <w:rPr>
                <w:rFonts w:ascii="Arial Narrow" w:hAnsi="Arial Narrow"/>
                <w:b/>
                <w:sz w:val="20"/>
                <w:lang w:val="en-GB"/>
              </w:rPr>
              <w:t xml:space="preserve">Δ </w:t>
            </w:r>
            <w:r w:rsidRPr="00CD0DEF">
              <w:rPr>
                <w:rFonts w:ascii="Arial Narrow" w:hAnsi="Arial Narrow"/>
                <w:b/>
                <w:sz w:val="20"/>
                <w:lang w:val="en-GB"/>
              </w:rPr>
              <w:t>costs</w:t>
            </w:r>
          </w:p>
        </w:tc>
        <w:tc>
          <w:tcPr>
            <w:tcW w:w="551" w:type="pct"/>
            <w:tcBorders>
              <w:top w:val="single" w:sz="4" w:space="0" w:color="auto"/>
              <w:left w:val="single" w:sz="4" w:space="0" w:color="auto"/>
              <w:bottom w:val="single" w:sz="4" w:space="0" w:color="auto"/>
              <w:right w:val="single" w:sz="4" w:space="0" w:color="auto"/>
            </w:tcBorders>
            <w:vAlign w:val="center"/>
          </w:tcPr>
          <w:p w:rsidR="00BC14E4" w:rsidRPr="00CD0DEF" w:rsidRDefault="00BC14E4" w:rsidP="003223D2">
            <w:pPr>
              <w:keepNext/>
              <w:widowControl/>
              <w:jc w:val="center"/>
              <w:rPr>
                <w:rFonts w:ascii="Arial Narrow" w:hAnsi="Arial Narrow"/>
                <w:sz w:val="20"/>
                <w:lang w:val="en-GB"/>
              </w:rPr>
            </w:pPr>
            <w:r>
              <w:rPr>
                <w:rFonts w:ascii="Arial Narrow" w:hAnsi="Arial Narrow"/>
                <w:b/>
                <w:sz w:val="20"/>
                <w:lang w:val="en-GB"/>
              </w:rPr>
              <w:t>Δ QALY</w:t>
            </w:r>
          </w:p>
        </w:tc>
        <w:tc>
          <w:tcPr>
            <w:tcW w:w="552" w:type="pct"/>
            <w:tcBorders>
              <w:top w:val="single" w:sz="4" w:space="0" w:color="auto"/>
              <w:left w:val="single" w:sz="4" w:space="0" w:color="auto"/>
              <w:bottom w:val="single" w:sz="4" w:space="0" w:color="auto"/>
              <w:right w:val="single" w:sz="4" w:space="0" w:color="auto"/>
            </w:tcBorders>
            <w:vAlign w:val="center"/>
          </w:tcPr>
          <w:p w:rsidR="00BC14E4" w:rsidRPr="00CD0DEF" w:rsidRDefault="00BC14E4" w:rsidP="003223D2">
            <w:pPr>
              <w:keepNext/>
              <w:widowControl/>
              <w:jc w:val="center"/>
              <w:rPr>
                <w:rFonts w:ascii="Arial Narrow" w:hAnsi="Arial Narrow"/>
                <w:sz w:val="20"/>
                <w:lang w:val="en-GB"/>
              </w:rPr>
            </w:pPr>
            <w:r>
              <w:rPr>
                <w:rFonts w:ascii="Arial Narrow" w:hAnsi="Arial Narrow"/>
                <w:b/>
                <w:sz w:val="20"/>
                <w:lang w:val="en-GB"/>
              </w:rPr>
              <w:t>ICER</w:t>
            </w:r>
          </w:p>
        </w:tc>
      </w:tr>
      <w:tr w:rsidR="00BC14E4" w:rsidRPr="00CD0DEF" w:rsidTr="005B0C39">
        <w:trPr>
          <w:cantSplit/>
        </w:trPr>
        <w:tc>
          <w:tcPr>
            <w:tcW w:w="3347" w:type="pct"/>
            <w:tcBorders>
              <w:top w:val="single" w:sz="4" w:space="0" w:color="auto"/>
              <w:left w:val="single" w:sz="4" w:space="0" w:color="auto"/>
              <w:bottom w:val="single" w:sz="4" w:space="0" w:color="auto"/>
              <w:right w:val="single" w:sz="4" w:space="0" w:color="auto"/>
            </w:tcBorders>
            <w:vAlign w:val="center"/>
          </w:tcPr>
          <w:p w:rsidR="00BC14E4" w:rsidRPr="00990833" w:rsidRDefault="00BC14E4" w:rsidP="003223D2">
            <w:pPr>
              <w:keepNext/>
              <w:widowControl/>
              <w:jc w:val="left"/>
              <w:rPr>
                <w:rFonts w:ascii="Arial Narrow" w:hAnsi="Arial Narrow"/>
                <w:b/>
                <w:sz w:val="20"/>
                <w:lang w:val="en-GB"/>
              </w:rPr>
            </w:pPr>
            <w:r>
              <w:rPr>
                <w:rFonts w:ascii="Arial Narrow" w:hAnsi="Arial Narrow"/>
                <w:b/>
                <w:sz w:val="20"/>
                <w:lang w:val="en-GB"/>
              </w:rPr>
              <w:t>Revised</w:t>
            </w:r>
            <w:r w:rsidRPr="00990833">
              <w:rPr>
                <w:rFonts w:ascii="Arial Narrow" w:hAnsi="Arial Narrow"/>
                <w:b/>
                <w:sz w:val="20"/>
                <w:lang w:val="en-GB"/>
              </w:rPr>
              <w:t xml:space="preserve"> base case </w:t>
            </w:r>
            <w:r w:rsidRPr="00990833">
              <w:rPr>
                <w:rFonts w:ascii="Arial Narrow" w:hAnsi="Arial Narrow"/>
                <w:b/>
                <w:sz w:val="20"/>
                <w:vertAlign w:val="superscript"/>
                <w:lang w:val="en-GB"/>
              </w:rPr>
              <w:t>a</w:t>
            </w:r>
          </w:p>
        </w:tc>
        <w:tc>
          <w:tcPr>
            <w:tcW w:w="551" w:type="pct"/>
            <w:tcBorders>
              <w:top w:val="single" w:sz="4" w:space="0" w:color="auto"/>
              <w:left w:val="single" w:sz="4" w:space="0" w:color="auto"/>
              <w:bottom w:val="single" w:sz="4" w:space="0" w:color="auto"/>
              <w:right w:val="single" w:sz="4" w:space="0" w:color="auto"/>
            </w:tcBorders>
            <w:vAlign w:val="center"/>
          </w:tcPr>
          <w:p w:rsidR="00BC14E4" w:rsidRPr="00990833" w:rsidRDefault="00BC14E4" w:rsidP="005F795F">
            <w:pPr>
              <w:keepNext/>
              <w:widowControl/>
              <w:jc w:val="center"/>
              <w:rPr>
                <w:rFonts w:ascii="Arial Narrow" w:hAnsi="Arial Narrow"/>
                <w:b/>
                <w:sz w:val="20"/>
                <w:lang w:val="en-GB"/>
              </w:rPr>
            </w:pPr>
            <w:r w:rsidRPr="00990833">
              <w:rPr>
                <w:rFonts w:ascii="Arial Narrow" w:hAnsi="Arial Narrow"/>
                <w:b/>
                <w:sz w:val="20"/>
                <w:lang w:val="en-GB"/>
              </w:rPr>
              <w:t>$</w:t>
            </w:r>
            <w:r w:rsidR="002E58CD">
              <w:rPr>
                <w:rFonts w:ascii="Arial Narrow" w:hAnsi="Arial Narrow"/>
                <w:b/>
                <w:noProof/>
                <w:color w:val="000000"/>
                <w:sz w:val="20"/>
                <w:highlight w:val="black"/>
                <w:lang w:val="en-GB"/>
              </w:rPr>
              <w:t>''''''''''''</w:t>
            </w:r>
          </w:p>
        </w:tc>
        <w:tc>
          <w:tcPr>
            <w:tcW w:w="551" w:type="pct"/>
            <w:tcBorders>
              <w:top w:val="single" w:sz="4" w:space="0" w:color="auto"/>
              <w:left w:val="single" w:sz="4" w:space="0" w:color="auto"/>
              <w:bottom w:val="single" w:sz="4" w:space="0" w:color="auto"/>
              <w:right w:val="single" w:sz="4" w:space="0" w:color="auto"/>
            </w:tcBorders>
            <w:vAlign w:val="center"/>
          </w:tcPr>
          <w:p w:rsidR="00BC14E4" w:rsidRPr="00990833" w:rsidRDefault="00BC14E4" w:rsidP="005F795F">
            <w:pPr>
              <w:keepNext/>
              <w:widowControl/>
              <w:jc w:val="center"/>
              <w:rPr>
                <w:rFonts w:ascii="Arial Narrow" w:hAnsi="Arial Narrow"/>
                <w:b/>
                <w:sz w:val="20"/>
                <w:lang w:val="en-GB"/>
              </w:rPr>
            </w:pPr>
            <w:r w:rsidRPr="00990833">
              <w:rPr>
                <w:rFonts w:ascii="Arial Narrow" w:hAnsi="Arial Narrow"/>
                <w:b/>
                <w:sz w:val="20"/>
                <w:lang w:val="en-GB"/>
              </w:rPr>
              <w:t>0.36</w:t>
            </w:r>
          </w:p>
        </w:tc>
        <w:tc>
          <w:tcPr>
            <w:tcW w:w="552" w:type="pct"/>
            <w:tcBorders>
              <w:top w:val="single" w:sz="4" w:space="0" w:color="auto"/>
              <w:left w:val="single" w:sz="4" w:space="0" w:color="auto"/>
              <w:bottom w:val="single" w:sz="4" w:space="0" w:color="auto"/>
              <w:right w:val="single" w:sz="4" w:space="0" w:color="auto"/>
            </w:tcBorders>
            <w:vAlign w:val="center"/>
          </w:tcPr>
          <w:p w:rsidR="00BC14E4" w:rsidRPr="00990833" w:rsidRDefault="00BC14E4" w:rsidP="005F795F">
            <w:pPr>
              <w:keepNext/>
              <w:widowControl/>
              <w:jc w:val="center"/>
              <w:rPr>
                <w:rFonts w:ascii="Arial Narrow" w:hAnsi="Arial Narrow"/>
                <w:b/>
                <w:sz w:val="20"/>
                <w:lang w:val="en-GB"/>
              </w:rPr>
            </w:pPr>
            <w:r w:rsidRPr="00990833">
              <w:rPr>
                <w:rFonts w:ascii="Arial Narrow" w:hAnsi="Arial Narrow"/>
                <w:b/>
                <w:sz w:val="20"/>
                <w:lang w:val="en-GB"/>
              </w:rPr>
              <w:t>$</w:t>
            </w:r>
            <w:r w:rsidR="002E58CD">
              <w:rPr>
                <w:rFonts w:ascii="Arial Narrow" w:hAnsi="Arial Narrow"/>
                <w:b/>
                <w:noProof/>
                <w:color w:val="000000"/>
                <w:sz w:val="20"/>
                <w:highlight w:val="black"/>
                <w:lang w:val="en-GB"/>
              </w:rPr>
              <w:t>''''''''''''''</w:t>
            </w:r>
          </w:p>
        </w:tc>
      </w:tr>
      <w:tr w:rsidR="00BC14E4" w:rsidRPr="00CD0DEF" w:rsidTr="005B0C39">
        <w:trPr>
          <w:cantSplit/>
        </w:trPr>
        <w:tc>
          <w:tcPr>
            <w:tcW w:w="5000" w:type="pct"/>
            <w:gridSpan w:val="4"/>
            <w:tcBorders>
              <w:top w:val="single" w:sz="4" w:space="0" w:color="auto"/>
              <w:left w:val="single" w:sz="4" w:space="0" w:color="auto"/>
              <w:bottom w:val="single" w:sz="4" w:space="0" w:color="auto"/>
              <w:right w:val="single" w:sz="4" w:space="0" w:color="auto"/>
            </w:tcBorders>
            <w:vAlign w:val="center"/>
          </w:tcPr>
          <w:p w:rsidR="00BC14E4" w:rsidRPr="0047107F" w:rsidRDefault="00BC14E4" w:rsidP="003223D2">
            <w:pPr>
              <w:keepNext/>
              <w:widowControl/>
              <w:jc w:val="left"/>
              <w:rPr>
                <w:rFonts w:ascii="Arial Narrow" w:hAnsi="Arial Narrow"/>
                <w:i/>
                <w:sz w:val="20"/>
                <w:lang w:val="en-GB"/>
              </w:rPr>
            </w:pPr>
            <w:r w:rsidRPr="005F376E">
              <w:rPr>
                <w:rFonts w:ascii="Arial Narrow" w:hAnsi="Arial Narrow"/>
                <w:b/>
                <w:sz w:val="20"/>
                <w:lang w:val="en-GB"/>
              </w:rPr>
              <w:t>Univariate sensitivity analyses</w:t>
            </w:r>
          </w:p>
        </w:tc>
      </w:tr>
      <w:tr w:rsidR="00BC14E4" w:rsidRPr="00CD0DEF" w:rsidTr="005B0C39">
        <w:trPr>
          <w:cantSplit/>
        </w:trPr>
        <w:tc>
          <w:tcPr>
            <w:tcW w:w="3347" w:type="pct"/>
            <w:tcBorders>
              <w:top w:val="single" w:sz="4" w:space="0" w:color="auto"/>
              <w:left w:val="single" w:sz="4" w:space="0" w:color="auto"/>
              <w:bottom w:val="single" w:sz="4" w:space="0" w:color="auto"/>
              <w:right w:val="single" w:sz="4" w:space="0" w:color="auto"/>
            </w:tcBorders>
            <w:vAlign w:val="center"/>
          </w:tcPr>
          <w:p w:rsidR="00BC14E4" w:rsidRDefault="00BC14E4" w:rsidP="003223D2">
            <w:pPr>
              <w:keepNext/>
              <w:widowControl/>
              <w:jc w:val="left"/>
              <w:rPr>
                <w:rFonts w:ascii="Arial Narrow" w:hAnsi="Arial Narrow"/>
                <w:sz w:val="20"/>
                <w:lang w:val="en-GB"/>
              </w:rPr>
            </w:pPr>
            <w:r>
              <w:rPr>
                <w:rFonts w:ascii="Arial Narrow" w:hAnsi="Arial Narrow"/>
                <w:sz w:val="20"/>
                <w:lang w:val="en-GB"/>
              </w:rPr>
              <w:t xml:space="preserve">Duration of treatment (base case: until progression for both arms of model, </w:t>
            </w:r>
            <w:proofErr w:type="spellStart"/>
            <w:r>
              <w:rPr>
                <w:rFonts w:ascii="Arial Narrow" w:hAnsi="Arial Narrow"/>
                <w:sz w:val="20"/>
                <w:lang w:val="en-GB"/>
              </w:rPr>
              <w:t>eribulin</w:t>
            </w:r>
            <w:proofErr w:type="spellEnd"/>
            <w:r>
              <w:rPr>
                <w:rFonts w:ascii="Arial Narrow" w:hAnsi="Arial Narrow"/>
                <w:sz w:val="20"/>
                <w:lang w:val="en-GB"/>
              </w:rPr>
              <w:t xml:space="preserve"> = 6.2 months; </w:t>
            </w:r>
            <w:proofErr w:type="spellStart"/>
            <w:r>
              <w:rPr>
                <w:rFonts w:ascii="Arial Narrow" w:hAnsi="Arial Narrow"/>
                <w:sz w:val="20"/>
                <w:lang w:val="en-GB"/>
              </w:rPr>
              <w:t>dacarbazine</w:t>
            </w:r>
            <w:proofErr w:type="spellEnd"/>
            <w:r>
              <w:rPr>
                <w:rFonts w:ascii="Arial Narrow" w:hAnsi="Arial Narrow"/>
                <w:sz w:val="20"/>
                <w:lang w:val="en-GB"/>
              </w:rPr>
              <w:t xml:space="preserve"> = 3.4 months )</w:t>
            </w:r>
          </w:p>
          <w:p w:rsidR="00BC14E4" w:rsidRDefault="00BC14E4" w:rsidP="003223D2">
            <w:pPr>
              <w:keepNext/>
              <w:widowControl/>
              <w:ind w:firstLine="142"/>
              <w:jc w:val="left"/>
              <w:rPr>
                <w:rFonts w:ascii="Arial Narrow" w:hAnsi="Arial Narrow"/>
                <w:sz w:val="20"/>
                <w:lang w:val="en-GB"/>
              </w:rPr>
            </w:pPr>
            <w:r>
              <w:rPr>
                <w:rFonts w:ascii="Arial Narrow" w:hAnsi="Arial Narrow"/>
                <w:sz w:val="20"/>
                <w:lang w:val="en-GB"/>
              </w:rPr>
              <w:t>6 cycles for both arms</w:t>
            </w:r>
          </w:p>
          <w:p w:rsidR="00BC14E4" w:rsidRPr="00CD0DEF" w:rsidRDefault="00BC14E4" w:rsidP="003223D2">
            <w:pPr>
              <w:keepNext/>
              <w:widowControl/>
              <w:ind w:firstLine="142"/>
              <w:jc w:val="left"/>
              <w:rPr>
                <w:rFonts w:ascii="Arial Narrow" w:hAnsi="Arial Narrow"/>
                <w:sz w:val="20"/>
                <w:lang w:val="en-GB"/>
              </w:rPr>
            </w:pPr>
            <w:r>
              <w:rPr>
                <w:rFonts w:ascii="Arial Narrow" w:hAnsi="Arial Narrow"/>
                <w:sz w:val="20"/>
                <w:lang w:val="en-GB"/>
              </w:rPr>
              <w:t>11 cycles for both arms</w:t>
            </w:r>
          </w:p>
        </w:tc>
        <w:tc>
          <w:tcPr>
            <w:tcW w:w="551" w:type="pct"/>
            <w:tcBorders>
              <w:top w:val="single" w:sz="4" w:space="0" w:color="auto"/>
              <w:left w:val="single" w:sz="4" w:space="0" w:color="auto"/>
              <w:bottom w:val="single" w:sz="4" w:space="0" w:color="auto"/>
              <w:right w:val="single" w:sz="4" w:space="0" w:color="auto"/>
            </w:tcBorders>
            <w:vAlign w:val="center"/>
          </w:tcPr>
          <w:p w:rsidR="00BC14E4" w:rsidRPr="00990833" w:rsidRDefault="00BC14E4" w:rsidP="005F795F">
            <w:pPr>
              <w:keepNext/>
              <w:widowControl/>
              <w:jc w:val="center"/>
              <w:rPr>
                <w:rFonts w:ascii="Arial Narrow" w:hAnsi="Arial Narrow"/>
                <w:sz w:val="20"/>
                <w:lang w:val="en-GB"/>
              </w:rPr>
            </w:pPr>
          </w:p>
          <w:p w:rsidR="00BC14E4" w:rsidRPr="00990833" w:rsidRDefault="00BC14E4" w:rsidP="005F795F">
            <w:pPr>
              <w:keepNext/>
              <w:widowControl/>
              <w:jc w:val="center"/>
              <w:rPr>
                <w:rFonts w:ascii="Arial Narrow" w:hAnsi="Arial Narrow"/>
                <w:sz w:val="20"/>
                <w:lang w:val="en-GB"/>
              </w:rPr>
            </w:pPr>
          </w:p>
          <w:p w:rsidR="00BC14E4" w:rsidRPr="00990833" w:rsidRDefault="00BC14E4" w:rsidP="005F795F">
            <w:pPr>
              <w:keepNext/>
              <w:widowControl/>
              <w:jc w:val="center"/>
              <w:rPr>
                <w:rFonts w:ascii="Arial Narrow" w:hAnsi="Arial Narrow"/>
                <w:sz w:val="20"/>
                <w:lang w:val="en-GB"/>
              </w:rPr>
            </w:pPr>
            <w:r w:rsidRPr="00990833">
              <w:rPr>
                <w:rFonts w:ascii="Arial Narrow" w:hAnsi="Arial Narrow"/>
                <w:sz w:val="20"/>
                <w:lang w:val="en-GB"/>
              </w:rPr>
              <w:t>$</w:t>
            </w:r>
            <w:r w:rsidR="002E58CD">
              <w:rPr>
                <w:rFonts w:ascii="Arial Narrow" w:hAnsi="Arial Narrow"/>
                <w:noProof/>
                <w:color w:val="000000"/>
                <w:sz w:val="20"/>
                <w:highlight w:val="black"/>
                <w:lang w:val="en-GB"/>
              </w:rPr>
              <w:t>'''''''''''''''</w:t>
            </w:r>
          </w:p>
          <w:p w:rsidR="00BC14E4" w:rsidRPr="00990833" w:rsidRDefault="00BC14E4" w:rsidP="005F795F">
            <w:pPr>
              <w:keepNext/>
              <w:widowControl/>
              <w:jc w:val="center"/>
              <w:rPr>
                <w:rFonts w:ascii="Arial Narrow" w:hAnsi="Arial Narrow"/>
                <w:sz w:val="20"/>
                <w:lang w:val="en-GB"/>
              </w:rPr>
            </w:pPr>
            <w:r w:rsidRPr="00990833">
              <w:rPr>
                <w:rFonts w:ascii="Arial Narrow" w:hAnsi="Arial Narrow"/>
                <w:sz w:val="20"/>
                <w:lang w:val="en-GB"/>
              </w:rPr>
              <w:t>$</w:t>
            </w:r>
            <w:r w:rsidR="002E58CD">
              <w:rPr>
                <w:rFonts w:ascii="Arial Narrow" w:hAnsi="Arial Narrow"/>
                <w:noProof/>
                <w:color w:val="000000"/>
                <w:sz w:val="20"/>
                <w:highlight w:val="black"/>
                <w:lang w:val="en-GB"/>
              </w:rPr>
              <w:t>''''''''''''''</w:t>
            </w:r>
          </w:p>
        </w:tc>
        <w:tc>
          <w:tcPr>
            <w:tcW w:w="551" w:type="pct"/>
            <w:tcBorders>
              <w:top w:val="single" w:sz="4" w:space="0" w:color="auto"/>
              <w:left w:val="single" w:sz="4" w:space="0" w:color="auto"/>
              <w:bottom w:val="single" w:sz="4" w:space="0" w:color="auto"/>
              <w:right w:val="single" w:sz="4" w:space="0" w:color="auto"/>
            </w:tcBorders>
            <w:vAlign w:val="center"/>
          </w:tcPr>
          <w:p w:rsidR="00BC14E4" w:rsidRPr="00990833" w:rsidRDefault="00BC14E4" w:rsidP="003223D2">
            <w:pPr>
              <w:keepNext/>
              <w:widowControl/>
              <w:jc w:val="center"/>
              <w:rPr>
                <w:rFonts w:ascii="Arial Narrow" w:hAnsi="Arial Narrow"/>
                <w:sz w:val="20"/>
                <w:lang w:val="en-GB"/>
              </w:rPr>
            </w:pPr>
          </w:p>
          <w:p w:rsidR="00BC14E4" w:rsidRPr="00990833" w:rsidRDefault="00BC14E4" w:rsidP="003223D2">
            <w:pPr>
              <w:keepNext/>
              <w:widowControl/>
              <w:jc w:val="center"/>
              <w:rPr>
                <w:rFonts w:ascii="Arial Narrow" w:hAnsi="Arial Narrow"/>
                <w:sz w:val="20"/>
                <w:lang w:val="en-GB"/>
              </w:rPr>
            </w:pPr>
          </w:p>
          <w:p w:rsidR="00BC14E4" w:rsidRPr="00990833" w:rsidRDefault="00BC14E4" w:rsidP="003223D2">
            <w:pPr>
              <w:keepNext/>
              <w:widowControl/>
              <w:jc w:val="center"/>
              <w:rPr>
                <w:rFonts w:ascii="Arial Narrow" w:hAnsi="Arial Narrow"/>
                <w:sz w:val="20"/>
                <w:lang w:val="en-GB"/>
              </w:rPr>
            </w:pPr>
            <w:r w:rsidRPr="00990833">
              <w:rPr>
                <w:rFonts w:ascii="Arial Narrow" w:hAnsi="Arial Narrow"/>
                <w:sz w:val="20"/>
                <w:lang w:val="en-GB"/>
              </w:rPr>
              <w:t>0.36</w:t>
            </w:r>
          </w:p>
          <w:p w:rsidR="00BC14E4" w:rsidRPr="00990833" w:rsidRDefault="00BC14E4" w:rsidP="003223D2">
            <w:pPr>
              <w:keepNext/>
              <w:widowControl/>
              <w:jc w:val="center"/>
              <w:rPr>
                <w:rFonts w:ascii="Arial Narrow" w:hAnsi="Arial Narrow"/>
                <w:sz w:val="20"/>
                <w:lang w:val="en-GB"/>
              </w:rPr>
            </w:pPr>
            <w:r w:rsidRPr="00990833">
              <w:rPr>
                <w:rFonts w:ascii="Arial Narrow" w:hAnsi="Arial Narrow"/>
                <w:sz w:val="20"/>
                <w:lang w:val="en-GB"/>
              </w:rPr>
              <w:t>0.36</w:t>
            </w:r>
          </w:p>
        </w:tc>
        <w:tc>
          <w:tcPr>
            <w:tcW w:w="552" w:type="pct"/>
            <w:tcBorders>
              <w:top w:val="single" w:sz="4" w:space="0" w:color="auto"/>
              <w:left w:val="single" w:sz="4" w:space="0" w:color="auto"/>
              <w:bottom w:val="single" w:sz="4" w:space="0" w:color="auto"/>
              <w:right w:val="single" w:sz="4" w:space="0" w:color="auto"/>
            </w:tcBorders>
            <w:vAlign w:val="center"/>
          </w:tcPr>
          <w:p w:rsidR="00BC14E4" w:rsidRPr="00990833" w:rsidRDefault="00BC14E4" w:rsidP="005F795F">
            <w:pPr>
              <w:keepNext/>
              <w:widowControl/>
              <w:jc w:val="center"/>
              <w:rPr>
                <w:rFonts w:ascii="Arial Narrow" w:hAnsi="Arial Narrow"/>
                <w:sz w:val="20"/>
                <w:lang w:val="en-GB"/>
              </w:rPr>
            </w:pPr>
          </w:p>
          <w:p w:rsidR="00BC14E4" w:rsidRPr="00990833" w:rsidRDefault="00BC14E4" w:rsidP="005F795F">
            <w:pPr>
              <w:keepNext/>
              <w:widowControl/>
              <w:jc w:val="center"/>
              <w:rPr>
                <w:rFonts w:ascii="Arial Narrow" w:hAnsi="Arial Narrow"/>
                <w:sz w:val="20"/>
                <w:lang w:val="en-GB"/>
              </w:rPr>
            </w:pPr>
          </w:p>
          <w:p w:rsidR="00BC14E4" w:rsidRPr="00990833" w:rsidRDefault="00BC14E4" w:rsidP="005F795F">
            <w:pPr>
              <w:keepNext/>
              <w:widowControl/>
              <w:jc w:val="center"/>
              <w:rPr>
                <w:rFonts w:ascii="Arial Narrow" w:hAnsi="Arial Narrow"/>
                <w:sz w:val="20"/>
                <w:lang w:val="en-GB"/>
              </w:rPr>
            </w:pPr>
            <w:r w:rsidRPr="00990833">
              <w:rPr>
                <w:rFonts w:ascii="Arial Narrow" w:hAnsi="Arial Narrow"/>
                <w:sz w:val="20"/>
                <w:lang w:val="en-GB"/>
              </w:rPr>
              <w:t>$</w:t>
            </w:r>
            <w:r w:rsidR="002E58CD">
              <w:rPr>
                <w:rFonts w:ascii="Arial Narrow" w:hAnsi="Arial Narrow"/>
                <w:noProof/>
                <w:color w:val="000000"/>
                <w:sz w:val="20"/>
                <w:highlight w:val="black"/>
                <w:lang w:val="en-GB"/>
              </w:rPr>
              <w:t>'''''''''''''''''</w:t>
            </w:r>
          </w:p>
          <w:p w:rsidR="00BC14E4" w:rsidRPr="00990833" w:rsidRDefault="00BC14E4" w:rsidP="005F795F">
            <w:pPr>
              <w:keepNext/>
              <w:widowControl/>
              <w:jc w:val="center"/>
              <w:rPr>
                <w:rFonts w:ascii="Arial Narrow" w:hAnsi="Arial Narrow"/>
                <w:sz w:val="20"/>
                <w:lang w:val="en-GB"/>
              </w:rPr>
            </w:pPr>
            <w:r w:rsidRPr="00990833">
              <w:rPr>
                <w:rFonts w:ascii="Arial Narrow" w:hAnsi="Arial Narrow"/>
                <w:sz w:val="20"/>
                <w:lang w:val="en-GB"/>
              </w:rPr>
              <w:t>$</w:t>
            </w:r>
            <w:r w:rsidR="002E58CD">
              <w:rPr>
                <w:rFonts w:ascii="Arial Narrow" w:hAnsi="Arial Narrow"/>
                <w:noProof/>
                <w:color w:val="000000"/>
                <w:sz w:val="20"/>
                <w:highlight w:val="black"/>
                <w:lang w:val="en-GB"/>
              </w:rPr>
              <w:t>''''''''''''''''</w:t>
            </w:r>
          </w:p>
        </w:tc>
      </w:tr>
      <w:tr w:rsidR="00BC14E4" w:rsidRPr="00CD0DEF" w:rsidTr="005B0C39">
        <w:trPr>
          <w:cantSplit/>
        </w:trPr>
        <w:tc>
          <w:tcPr>
            <w:tcW w:w="3347" w:type="pct"/>
            <w:tcBorders>
              <w:top w:val="single" w:sz="4" w:space="0" w:color="auto"/>
              <w:left w:val="single" w:sz="4" w:space="0" w:color="auto"/>
              <w:bottom w:val="single" w:sz="4" w:space="0" w:color="auto"/>
              <w:right w:val="single" w:sz="4" w:space="0" w:color="auto"/>
            </w:tcBorders>
            <w:vAlign w:val="center"/>
          </w:tcPr>
          <w:p w:rsidR="00BC14E4" w:rsidRPr="00990833" w:rsidRDefault="00BC14E4" w:rsidP="003223D2">
            <w:pPr>
              <w:keepNext/>
              <w:widowControl/>
              <w:jc w:val="left"/>
              <w:rPr>
                <w:rFonts w:ascii="Arial Narrow" w:hAnsi="Arial Narrow"/>
                <w:sz w:val="20"/>
                <w:lang w:val="en-GB"/>
              </w:rPr>
            </w:pPr>
            <w:r w:rsidRPr="00990833">
              <w:rPr>
                <w:rFonts w:ascii="Arial Narrow" w:hAnsi="Arial Narrow"/>
                <w:sz w:val="20"/>
                <w:lang w:val="en-GB"/>
              </w:rPr>
              <w:t xml:space="preserve">Cost of </w:t>
            </w:r>
            <w:proofErr w:type="spellStart"/>
            <w:r w:rsidRPr="00990833">
              <w:rPr>
                <w:rFonts w:ascii="Arial Narrow" w:hAnsi="Arial Narrow"/>
                <w:sz w:val="20"/>
                <w:lang w:val="en-GB"/>
              </w:rPr>
              <w:t>dacarbazine</w:t>
            </w:r>
            <w:proofErr w:type="spellEnd"/>
            <w:r w:rsidRPr="00990833">
              <w:rPr>
                <w:rFonts w:ascii="Arial Narrow" w:hAnsi="Arial Narrow"/>
                <w:sz w:val="20"/>
                <w:lang w:val="en-GB"/>
              </w:rPr>
              <w:t>, 200 mg (base case AEMP = $</w:t>
            </w:r>
            <w:r w:rsidR="002E58CD">
              <w:rPr>
                <w:rFonts w:ascii="Arial Narrow" w:hAnsi="Arial Narrow"/>
                <w:noProof/>
                <w:color w:val="000000"/>
                <w:sz w:val="20"/>
                <w:highlight w:val="black"/>
                <w:lang w:val="en-GB"/>
              </w:rPr>
              <w:t>'''''</w:t>
            </w:r>
            <w:r w:rsidRPr="00990833">
              <w:rPr>
                <w:rFonts w:ascii="Arial Narrow" w:hAnsi="Arial Narrow"/>
                <w:sz w:val="20"/>
                <w:lang w:val="en-GB"/>
              </w:rPr>
              <w:t>)</w:t>
            </w:r>
          </w:p>
          <w:p w:rsidR="00BC14E4" w:rsidRPr="00990833" w:rsidRDefault="00BC14E4" w:rsidP="003223D2">
            <w:pPr>
              <w:keepNext/>
              <w:widowControl/>
              <w:ind w:firstLine="142"/>
              <w:jc w:val="left"/>
              <w:rPr>
                <w:rFonts w:ascii="Arial Narrow" w:hAnsi="Arial Narrow"/>
                <w:sz w:val="20"/>
                <w:lang w:val="en-GB"/>
              </w:rPr>
            </w:pPr>
            <w:r w:rsidRPr="00990833">
              <w:rPr>
                <w:rFonts w:ascii="Arial Narrow" w:hAnsi="Arial Narrow"/>
                <w:sz w:val="20"/>
                <w:lang w:val="en-GB"/>
              </w:rPr>
              <w:t>$</w:t>
            </w:r>
            <w:r w:rsidR="002E58CD">
              <w:rPr>
                <w:rFonts w:ascii="Arial Narrow" w:hAnsi="Arial Narrow"/>
                <w:noProof/>
                <w:color w:val="000000"/>
                <w:sz w:val="20"/>
                <w:highlight w:val="black"/>
                <w:lang w:val="en-GB"/>
              </w:rPr>
              <w:t>''''''''''''</w:t>
            </w:r>
            <w:r w:rsidRPr="00990833">
              <w:rPr>
                <w:rFonts w:ascii="Arial Narrow" w:hAnsi="Arial Narrow"/>
                <w:sz w:val="20"/>
                <w:lang w:val="en-GB"/>
              </w:rPr>
              <w:t xml:space="preserve"> (</w:t>
            </w:r>
            <w:proofErr w:type="spellStart"/>
            <w:r w:rsidRPr="00990833">
              <w:rPr>
                <w:rFonts w:ascii="Arial Narrow" w:hAnsi="Arial Narrow"/>
                <w:sz w:val="20"/>
                <w:lang w:val="en-GB"/>
              </w:rPr>
              <w:t>eMIMS</w:t>
            </w:r>
            <w:proofErr w:type="spellEnd"/>
            <w:r w:rsidRPr="00990833">
              <w:rPr>
                <w:rFonts w:ascii="Arial Narrow" w:hAnsi="Arial Narrow"/>
                <w:sz w:val="20"/>
                <w:lang w:val="en-GB"/>
              </w:rPr>
              <w:t>)</w:t>
            </w:r>
          </w:p>
        </w:tc>
        <w:tc>
          <w:tcPr>
            <w:tcW w:w="551" w:type="pct"/>
            <w:tcBorders>
              <w:top w:val="single" w:sz="4" w:space="0" w:color="auto"/>
              <w:left w:val="single" w:sz="4" w:space="0" w:color="auto"/>
              <w:bottom w:val="single" w:sz="4" w:space="0" w:color="auto"/>
              <w:right w:val="single" w:sz="4" w:space="0" w:color="auto"/>
            </w:tcBorders>
            <w:vAlign w:val="center"/>
          </w:tcPr>
          <w:p w:rsidR="00BC14E4" w:rsidRPr="00990833" w:rsidRDefault="00BC14E4" w:rsidP="005F795F">
            <w:pPr>
              <w:keepNext/>
              <w:widowControl/>
              <w:jc w:val="center"/>
              <w:rPr>
                <w:rFonts w:ascii="Arial Narrow" w:hAnsi="Arial Narrow"/>
                <w:sz w:val="20"/>
                <w:lang w:val="en-GB"/>
              </w:rPr>
            </w:pPr>
          </w:p>
          <w:p w:rsidR="00BC14E4" w:rsidRPr="00990833" w:rsidRDefault="00BC14E4" w:rsidP="005F795F">
            <w:pPr>
              <w:keepNext/>
              <w:widowControl/>
              <w:jc w:val="center"/>
              <w:rPr>
                <w:rFonts w:ascii="Arial Narrow" w:hAnsi="Arial Narrow"/>
                <w:sz w:val="20"/>
                <w:lang w:val="en-GB"/>
              </w:rPr>
            </w:pPr>
            <w:r w:rsidRPr="00990833">
              <w:rPr>
                <w:rFonts w:ascii="Arial Narrow" w:hAnsi="Arial Narrow"/>
                <w:sz w:val="20"/>
                <w:lang w:val="en-GB"/>
              </w:rPr>
              <w:t>$</w:t>
            </w:r>
            <w:r w:rsidR="002E58CD">
              <w:rPr>
                <w:rFonts w:ascii="Arial Narrow" w:hAnsi="Arial Narrow"/>
                <w:noProof/>
                <w:color w:val="000000"/>
                <w:sz w:val="20"/>
                <w:highlight w:val="black"/>
                <w:lang w:val="en-GB"/>
              </w:rPr>
              <w:t>'''''''''''''''''</w:t>
            </w:r>
          </w:p>
        </w:tc>
        <w:tc>
          <w:tcPr>
            <w:tcW w:w="551" w:type="pct"/>
            <w:tcBorders>
              <w:top w:val="single" w:sz="4" w:space="0" w:color="auto"/>
              <w:left w:val="single" w:sz="4" w:space="0" w:color="auto"/>
              <w:bottom w:val="single" w:sz="4" w:space="0" w:color="auto"/>
              <w:right w:val="single" w:sz="4" w:space="0" w:color="auto"/>
            </w:tcBorders>
            <w:vAlign w:val="center"/>
          </w:tcPr>
          <w:p w:rsidR="00BC14E4" w:rsidRPr="00990833" w:rsidRDefault="00BC14E4" w:rsidP="003223D2">
            <w:pPr>
              <w:keepNext/>
              <w:widowControl/>
              <w:jc w:val="center"/>
              <w:rPr>
                <w:rFonts w:ascii="Arial Narrow" w:hAnsi="Arial Narrow"/>
                <w:sz w:val="20"/>
                <w:lang w:val="en-GB"/>
              </w:rPr>
            </w:pPr>
          </w:p>
          <w:p w:rsidR="00BC14E4" w:rsidRPr="00990833" w:rsidRDefault="00BC14E4" w:rsidP="003223D2">
            <w:pPr>
              <w:keepNext/>
              <w:widowControl/>
              <w:jc w:val="center"/>
              <w:rPr>
                <w:rFonts w:ascii="Arial Narrow" w:hAnsi="Arial Narrow"/>
                <w:sz w:val="20"/>
                <w:lang w:val="en-GB"/>
              </w:rPr>
            </w:pPr>
            <w:r w:rsidRPr="00990833">
              <w:rPr>
                <w:rFonts w:ascii="Arial Narrow" w:hAnsi="Arial Narrow"/>
                <w:sz w:val="20"/>
                <w:lang w:val="en-GB"/>
              </w:rPr>
              <w:t>0.36</w:t>
            </w:r>
          </w:p>
        </w:tc>
        <w:tc>
          <w:tcPr>
            <w:tcW w:w="552" w:type="pct"/>
            <w:tcBorders>
              <w:top w:val="single" w:sz="4" w:space="0" w:color="auto"/>
              <w:left w:val="single" w:sz="4" w:space="0" w:color="auto"/>
              <w:bottom w:val="single" w:sz="4" w:space="0" w:color="auto"/>
              <w:right w:val="single" w:sz="4" w:space="0" w:color="auto"/>
            </w:tcBorders>
            <w:vAlign w:val="center"/>
          </w:tcPr>
          <w:p w:rsidR="00BC14E4" w:rsidRPr="00990833" w:rsidRDefault="00BC14E4" w:rsidP="005F795F">
            <w:pPr>
              <w:keepNext/>
              <w:widowControl/>
              <w:jc w:val="center"/>
              <w:rPr>
                <w:rFonts w:ascii="Arial Narrow" w:hAnsi="Arial Narrow"/>
                <w:sz w:val="20"/>
                <w:lang w:val="en-GB"/>
              </w:rPr>
            </w:pPr>
          </w:p>
          <w:p w:rsidR="00BC14E4" w:rsidRPr="00990833" w:rsidRDefault="00BC14E4" w:rsidP="005F795F">
            <w:pPr>
              <w:keepNext/>
              <w:widowControl/>
              <w:jc w:val="center"/>
              <w:rPr>
                <w:rFonts w:ascii="Arial Narrow" w:hAnsi="Arial Narrow"/>
                <w:sz w:val="20"/>
                <w:lang w:val="en-GB"/>
              </w:rPr>
            </w:pPr>
            <w:r w:rsidRPr="00990833">
              <w:rPr>
                <w:rFonts w:ascii="Arial Narrow" w:hAnsi="Arial Narrow"/>
                <w:sz w:val="20"/>
                <w:lang w:val="en-GB"/>
              </w:rPr>
              <w:t>$</w:t>
            </w:r>
            <w:r w:rsidR="002E58CD">
              <w:rPr>
                <w:rFonts w:ascii="Arial Narrow" w:hAnsi="Arial Narrow"/>
                <w:noProof/>
                <w:color w:val="000000"/>
                <w:sz w:val="20"/>
                <w:highlight w:val="black"/>
                <w:lang w:val="en-GB"/>
              </w:rPr>
              <w:t>''''''''''''''''</w:t>
            </w:r>
          </w:p>
        </w:tc>
      </w:tr>
      <w:tr w:rsidR="00BC14E4" w:rsidRPr="00CD0DEF" w:rsidTr="005B0C39">
        <w:trPr>
          <w:cantSplit/>
        </w:trPr>
        <w:tc>
          <w:tcPr>
            <w:tcW w:w="3347" w:type="pct"/>
            <w:tcBorders>
              <w:top w:val="single" w:sz="4" w:space="0" w:color="auto"/>
              <w:left w:val="single" w:sz="4" w:space="0" w:color="auto"/>
              <w:bottom w:val="single" w:sz="4" w:space="0" w:color="auto"/>
              <w:right w:val="single" w:sz="4" w:space="0" w:color="auto"/>
            </w:tcBorders>
            <w:vAlign w:val="center"/>
          </w:tcPr>
          <w:p w:rsidR="00BC14E4" w:rsidRPr="00990833" w:rsidRDefault="00BC14E4" w:rsidP="003223D2">
            <w:pPr>
              <w:keepNext/>
              <w:widowControl/>
              <w:jc w:val="left"/>
              <w:rPr>
                <w:rFonts w:ascii="Arial Narrow" w:hAnsi="Arial Narrow"/>
                <w:sz w:val="20"/>
                <w:lang w:val="en-GB"/>
              </w:rPr>
            </w:pPr>
            <w:r w:rsidRPr="00990833">
              <w:rPr>
                <w:rFonts w:ascii="Arial Narrow" w:hAnsi="Arial Narrow"/>
                <w:sz w:val="20"/>
                <w:lang w:val="en-GB"/>
              </w:rPr>
              <w:t>Model duration (base case = 5-years)</w:t>
            </w:r>
          </w:p>
          <w:p w:rsidR="00BC14E4" w:rsidRPr="00990833" w:rsidRDefault="00BC14E4" w:rsidP="003223D2">
            <w:pPr>
              <w:keepNext/>
              <w:widowControl/>
              <w:ind w:firstLine="142"/>
              <w:jc w:val="left"/>
              <w:rPr>
                <w:rFonts w:ascii="Arial Narrow" w:hAnsi="Arial Narrow"/>
                <w:sz w:val="20"/>
                <w:lang w:val="en-GB"/>
              </w:rPr>
            </w:pPr>
            <w:r w:rsidRPr="00990833">
              <w:rPr>
                <w:rFonts w:ascii="Arial Narrow" w:hAnsi="Arial Narrow"/>
                <w:sz w:val="20"/>
                <w:lang w:val="en-GB"/>
              </w:rPr>
              <w:t xml:space="preserve">31 months (i.e. longest follow-up in </w:t>
            </w:r>
            <w:proofErr w:type="spellStart"/>
            <w:r w:rsidRPr="00990833">
              <w:rPr>
                <w:rFonts w:ascii="Arial Narrow" w:hAnsi="Arial Narrow"/>
                <w:sz w:val="20"/>
                <w:lang w:val="en-GB"/>
              </w:rPr>
              <w:t>dacarbazine</w:t>
            </w:r>
            <w:proofErr w:type="spellEnd"/>
            <w:r w:rsidRPr="00990833">
              <w:rPr>
                <w:rFonts w:ascii="Arial Narrow" w:hAnsi="Arial Narrow"/>
                <w:sz w:val="20"/>
                <w:lang w:val="en-GB"/>
              </w:rPr>
              <w:t xml:space="preserve"> arm)</w:t>
            </w:r>
          </w:p>
        </w:tc>
        <w:tc>
          <w:tcPr>
            <w:tcW w:w="551" w:type="pct"/>
            <w:tcBorders>
              <w:top w:val="single" w:sz="4" w:space="0" w:color="auto"/>
              <w:left w:val="single" w:sz="4" w:space="0" w:color="auto"/>
              <w:bottom w:val="single" w:sz="4" w:space="0" w:color="auto"/>
              <w:right w:val="single" w:sz="4" w:space="0" w:color="auto"/>
            </w:tcBorders>
            <w:vAlign w:val="center"/>
          </w:tcPr>
          <w:p w:rsidR="00BC14E4" w:rsidRPr="00990833" w:rsidRDefault="00BC14E4" w:rsidP="005F795F">
            <w:pPr>
              <w:keepNext/>
              <w:widowControl/>
              <w:jc w:val="center"/>
              <w:rPr>
                <w:rFonts w:ascii="Arial Narrow" w:hAnsi="Arial Narrow"/>
                <w:sz w:val="20"/>
                <w:lang w:val="en-GB"/>
              </w:rPr>
            </w:pPr>
          </w:p>
          <w:p w:rsidR="00BC14E4" w:rsidRPr="00990833" w:rsidRDefault="00BC14E4" w:rsidP="005F795F">
            <w:pPr>
              <w:keepNext/>
              <w:widowControl/>
              <w:jc w:val="center"/>
              <w:rPr>
                <w:rFonts w:ascii="Arial Narrow" w:hAnsi="Arial Narrow"/>
                <w:sz w:val="20"/>
                <w:lang w:val="en-GB"/>
              </w:rPr>
            </w:pPr>
            <w:r w:rsidRPr="00990833">
              <w:rPr>
                <w:rFonts w:ascii="Arial Narrow" w:hAnsi="Arial Narrow"/>
                <w:sz w:val="20"/>
                <w:lang w:val="en-GB"/>
              </w:rPr>
              <w:t>$</w:t>
            </w:r>
            <w:r w:rsidR="002E58CD">
              <w:rPr>
                <w:rFonts w:ascii="Arial Narrow" w:hAnsi="Arial Narrow"/>
                <w:noProof/>
                <w:color w:val="000000"/>
                <w:sz w:val="20"/>
                <w:highlight w:val="black"/>
                <w:lang w:val="en-GB"/>
              </w:rPr>
              <w:t>''''''''''''''''</w:t>
            </w:r>
          </w:p>
        </w:tc>
        <w:tc>
          <w:tcPr>
            <w:tcW w:w="551" w:type="pct"/>
            <w:tcBorders>
              <w:top w:val="single" w:sz="4" w:space="0" w:color="auto"/>
              <w:left w:val="single" w:sz="4" w:space="0" w:color="auto"/>
              <w:bottom w:val="single" w:sz="4" w:space="0" w:color="auto"/>
              <w:right w:val="single" w:sz="4" w:space="0" w:color="auto"/>
            </w:tcBorders>
            <w:vAlign w:val="center"/>
          </w:tcPr>
          <w:p w:rsidR="00BC14E4" w:rsidRPr="00990833" w:rsidRDefault="00BC14E4" w:rsidP="003223D2">
            <w:pPr>
              <w:keepNext/>
              <w:widowControl/>
              <w:jc w:val="center"/>
              <w:rPr>
                <w:rFonts w:ascii="Arial Narrow" w:hAnsi="Arial Narrow"/>
                <w:sz w:val="20"/>
                <w:lang w:val="en-GB"/>
              </w:rPr>
            </w:pPr>
          </w:p>
          <w:p w:rsidR="00BC14E4" w:rsidRPr="00990833" w:rsidRDefault="00BC14E4" w:rsidP="003223D2">
            <w:pPr>
              <w:keepNext/>
              <w:widowControl/>
              <w:jc w:val="center"/>
              <w:rPr>
                <w:rFonts w:ascii="Arial Narrow" w:hAnsi="Arial Narrow"/>
                <w:sz w:val="20"/>
                <w:lang w:val="en-GB"/>
              </w:rPr>
            </w:pPr>
            <w:r w:rsidRPr="00990833">
              <w:rPr>
                <w:rFonts w:ascii="Arial Narrow" w:hAnsi="Arial Narrow"/>
                <w:sz w:val="20"/>
                <w:lang w:val="en-GB"/>
              </w:rPr>
              <w:t>0.31</w:t>
            </w:r>
          </w:p>
        </w:tc>
        <w:tc>
          <w:tcPr>
            <w:tcW w:w="552" w:type="pct"/>
            <w:tcBorders>
              <w:top w:val="single" w:sz="4" w:space="0" w:color="auto"/>
              <w:left w:val="single" w:sz="4" w:space="0" w:color="auto"/>
              <w:bottom w:val="single" w:sz="4" w:space="0" w:color="auto"/>
              <w:right w:val="single" w:sz="4" w:space="0" w:color="auto"/>
            </w:tcBorders>
            <w:vAlign w:val="center"/>
          </w:tcPr>
          <w:p w:rsidR="00BC14E4" w:rsidRPr="00990833" w:rsidRDefault="00BC14E4" w:rsidP="005F795F">
            <w:pPr>
              <w:keepNext/>
              <w:widowControl/>
              <w:jc w:val="center"/>
              <w:rPr>
                <w:rFonts w:ascii="Arial Narrow" w:hAnsi="Arial Narrow"/>
                <w:sz w:val="20"/>
                <w:lang w:val="en-GB"/>
              </w:rPr>
            </w:pPr>
          </w:p>
          <w:p w:rsidR="00BC14E4" w:rsidRPr="00990833" w:rsidRDefault="00BC14E4" w:rsidP="005F795F">
            <w:pPr>
              <w:keepNext/>
              <w:widowControl/>
              <w:jc w:val="center"/>
              <w:rPr>
                <w:rFonts w:ascii="Arial Narrow" w:hAnsi="Arial Narrow"/>
                <w:sz w:val="20"/>
                <w:lang w:val="en-GB"/>
              </w:rPr>
            </w:pPr>
            <w:r w:rsidRPr="00990833">
              <w:rPr>
                <w:rFonts w:ascii="Arial Narrow" w:hAnsi="Arial Narrow"/>
                <w:sz w:val="20"/>
                <w:lang w:val="en-GB"/>
              </w:rPr>
              <w:t>$</w:t>
            </w:r>
            <w:r w:rsidR="002E58CD">
              <w:rPr>
                <w:rFonts w:ascii="Arial Narrow" w:hAnsi="Arial Narrow"/>
                <w:noProof/>
                <w:color w:val="000000"/>
                <w:sz w:val="20"/>
                <w:highlight w:val="black"/>
                <w:lang w:val="en-GB"/>
              </w:rPr>
              <w:t>''''''''''''''''</w:t>
            </w:r>
          </w:p>
        </w:tc>
      </w:tr>
      <w:tr w:rsidR="00BC14E4" w:rsidRPr="00CD0DEF" w:rsidTr="005B0C39">
        <w:trPr>
          <w:cantSplit/>
        </w:trPr>
        <w:tc>
          <w:tcPr>
            <w:tcW w:w="3347" w:type="pct"/>
            <w:tcBorders>
              <w:top w:val="single" w:sz="4" w:space="0" w:color="auto"/>
              <w:left w:val="single" w:sz="4" w:space="0" w:color="auto"/>
              <w:bottom w:val="single" w:sz="4" w:space="0" w:color="auto"/>
              <w:right w:val="single" w:sz="4" w:space="0" w:color="auto"/>
            </w:tcBorders>
            <w:vAlign w:val="center"/>
          </w:tcPr>
          <w:p w:rsidR="00BC14E4" w:rsidRPr="00990833" w:rsidRDefault="00BC14E4" w:rsidP="003223D2">
            <w:pPr>
              <w:keepNext/>
              <w:widowControl/>
              <w:jc w:val="left"/>
              <w:rPr>
                <w:rFonts w:ascii="Arial Narrow" w:hAnsi="Arial Narrow"/>
                <w:sz w:val="20"/>
                <w:lang w:val="en-GB"/>
              </w:rPr>
            </w:pPr>
            <w:r w:rsidRPr="00990833">
              <w:rPr>
                <w:rFonts w:ascii="Arial Narrow" w:hAnsi="Arial Narrow"/>
                <w:sz w:val="20"/>
                <w:lang w:val="en-GB"/>
              </w:rPr>
              <w:t>Utility values (base case: SD = 0.73; PD = 0.67)</w:t>
            </w:r>
          </w:p>
          <w:p w:rsidR="00BC14E4" w:rsidRPr="00990833" w:rsidRDefault="00BC14E4" w:rsidP="003223D2">
            <w:pPr>
              <w:keepNext/>
              <w:widowControl/>
              <w:ind w:firstLine="142"/>
              <w:jc w:val="left"/>
              <w:rPr>
                <w:rFonts w:ascii="Arial Narrow" w:hAnsi="Arial Narrow"/>
                <w:sz w:val="20"/>
                <w:lang w:val="en-GB"/>
              </w:rPr>
            </w:pPr>
            <w:r w:rsidRPr="00990833">
              <w:rPr>
                <w:rFonts w:ascii="Arial Narrow" w:hAnsi="Arial Narrow"/>
                <w:sz w:val="20"/>
                <w:lang w:val="en-GB"/>
              </w:rPr>
              <w:t xml:space="preserve"> From Villa (2015): SD = 0.67; PD = 0.44</w:t>
            </w:r>
          </w:p>
        </w:tc>
        <w:tc>
          <w:tcPr>
            <w:tcW w:w="551" w:type="pct"/>
            <w:tcBorders>
              <w:top w:val="single" w:sz="4" w:space="0" w:color="auto"/>
              <w:left w:val="single" w:sz="4" w:space="0" w:color="auto"/>
              <w:bottom w:val="single" w:sz="4" w:space="0" w:color="auto"/>
              <w:right w:val="single" w:sz="4" w:space="0" w:color="auto"/>
            </w:tcBorders>
            <w:vAlign w:val="center"/>
          </w:tcPr>
          <w:p w:rsidR="00BC14E4" w:rsidRPr="00990833" w:rsidRDefault="00BC14E4" w:rsidP="005F795F">
            <w:pPr>
              <w:keepNext/>
              <w:widowControl/>
              <w:jc w:val="center"/>
              <w:rPr>
                <w:rFonts w:ascii="Arial Narrow" w:hAnsi="Arial Narrow"/>
                <w:sz w:val="20"/>
                <w:lang w:val="en-GB"/>
              </w:rPr>
            </w:pPr>
          </w:p>
          <w:p w:rsidR="00BC14E4" w:rsidRPr="00990833" w:rsidRDefault="00BC14E4" w:rsidP="005F795F">
            <w:pPr>
              <w:keepNext/>
              <w:widowControl/>
              <w:jc w:val="center"/>
              <w:rPr>
                <w:rFonts w:ascii="Arial Narrow" w:hAnsi="Arial Narrow"/>
                <w:sz w:val="20"/>
                <w:lang w:val="en-GB"/>
              </w:rPr>
            </w:pPr>
            <w:r w:rsidRPr="00990833">
              <w:rPr>
                <w:rFonts w:ascii="Arial Narrow" w:hAnsi="Arial Narrow"/>
                <w:sz w:val="20"/>
                <w:lang w:val="en-GB"/>
              </w:rPr>
              <w:t>$</w:t>
            </w:r>
            <w:r w:rsidR="002E58CD">
              <w:rPr>
                <w:rFonts w:ascii="Arial Narrow" w:hAnsi="Arial Narrow"/>
                <w:noProof/>
                <w:color w:val="000000"/>
                <w:sz w:val="20"/>
                <w:highlight w:val="black"/>
                <w:lang w:val="en-GB"/>
              </w:rPr>
              <w:t>'''''''''''''''</w:t>
            </w:r>
          </w:p>
        </w:tc>
        <w:tc>
          <w:tcPr>
            <w:tcW w:w="551" w:type="pct"/>
            <w:tcBorders>
              <w:top w:val="single" w:sz="4" w:space="0" w:color="auto"/>
              <w:left w:val="single" w:sz="4" w:space="0" w:color="auto"/>
              <w:bottom w:val="single" w:sz="4" w:space="0" w:color="auto"/>
              <w:right w:val="single" w:sz="4" w:space="0" w:color="auto"/>
            </w:tcBorders>
            <w:vAlign w:val="center"/>
          </w:tcPr>
          <w:p w:rsidR="00BC14E4" w:rsidRPr="00990833" w:rsidRDefault="00BC14E4" w:rsidP="003223D2">
            <w:pPr>
              <w:keepNext/>
              <w:widowControl/>
              <w:jc w:val="center"/>
              <w:rPr>
                <w:rFonts w:ascii="Arial Narrow" w:hAnsi="Arial Narrow"/>
                <w:sz w:val="20"/>
                <w:lang w:val="en-GB"/>
              </w:rPr>
            </w:pPr>
          </w:p>
          <w:p w:rsidR="00BC14E4" w:rsidRPr="00990833" w:rsidRDefault="00BC14E4" w:rsidP="003223D2">
            <w:pPr>
              <w:keepNext/>
              <w:widowControl/>
              <w:jc w:val="center"/>
              <w:rPr>
                <w:rFonts w:ascii="Arial Narrow" w:hAnsi="Arial Narrow"/>
                <w:sz w:val="20"/>
                <w:lang w:val="en-GB"/>
              </w:rPr>
            </w:pPr>
            <w:r w:rsidRPr="00990833">
              <w:rPr>
                <w:rFonts w:ascii="Arial Narrow" w:hAnsi="Arial Narrow"/>
                <w:sz w:val="20"/>
                <w:lang w:val="en-GB"/>
              </w:rPr>
              <w:t>0.28</w:t>
            </w:r>
          </w:p>
        </w:tc>
        <w:tc>
          <w:tcPr>
            <w:tcW w:w="552" w:type="pct"/>
            <w:tcBorders>
              <w:top w:val="single" w:sz="4" w:space="0" w:color="auto"/>
              <w:left w:val="single" w:sz="4" w:space="0" w:color="auto"/>
              <w:bottom w:val="single" w:sz="4" w:space="0" w:color="auto"/>
              <w:right w:val="single" w:sz="4" w:space="0" w:color="auto"/>
            </w:tcBorders>
            <w:vAlign w:val="center"/>
          </w:tcPr>
          <w:p w:rsidR="00BC14E4" w:rsidRPr="00990833" w:rsidRDefault="00BC14E4" w:rsidP="005F795F">
            <w:pPr>
              <w:keepNext/>
              <w:widowControl/>
              <w:jc w:val="center"/>
              <w:rPr>
                <w:rFonts w:ascii="Arial Narrow" w:hAnsi="Arial Narrow"/>
                <w:sz w:val="20"/>
                <w:lang w:val="en-GB"/>
              </w:rPr>
            </w:pPr>
          </w:p>
          <w:p w:rsidR="00BC14E4" w:rsidRPr="00990833" w:rsidRDefault="00BC14E4" w:rsidP="005F795F">
            <w:pPr>
              <w:keepNext/>
              <w:widowControl/>
              <w:jc w:val="center"/>
              <w:rPr>
                <w:rFonts w:ascii="Arial Narrow" w:hAnsi="Arial Narrow"/>
                <w:sz w:val="20"/>
                <w:lang w:val="en-GB"/>
              </w:rPr>
            </w:pPr>
            <w:r w:rsidRPr="00990833">
              <w:rPr>
                <w:rFonts w:ascii="Arial Narrow" w:hAnsi="Arial Narrow"/>
                <w:sz w:val="20"/>
                <w:lang w:val="en-GB"/>
              </w:rPr>
              <w:t>$</w:t>
            </w:r>
            <w:r w:rsidR="002E58CD">
              <w:rPr>
                <w:rFonts w:ascii="Arial Narrow" w:hAnsi="Arial Narrow"/>
                <w:noProof/>
                <w:color w:val="000000"/>
                <w:sz w:val="20"/>
                <w:highlight w:val="black"/>
                <w:lang w:val="en-GB"/>
              </w:rPr>
              <w:t>'''''''''''''''</w:t>
            </w:r>
          </w:p>
        </w:tc>
      </w:tr>
      <w:tr w:rsidR="00BC14E4" w:rsidRPr="00CD0DEF" w:rsidTr="005B0C39">
        <w:trPr>
          <w:cantSplit/>
        </w:trPr>
        <w:tc>
          <w:tcPr>
            <w:tcW w:w="3347" w:type="pct"/>
            <w:tcBorders>
              <w:top w:val="single" w:sz="4" w:space="0" w:color="auto"/>
              <w:left w:val="single" w:sz="4" w:space="0" w:color="auto"/>
              <w:bottom w:val="single" w:sz="4" w:space="0" w:color="auto"/>
              <w:right w:val="single" w:sz="4" w:space="0" w:color="auto"/>
            </w:tcBorders>
            <w:vAlign w:val="center"/>
          </w:tcPr>
          <w:p w:rsidR="00BC14E4" w:rsidRPr="000C3A2A" w:rsidRDefault="00BC14E4" w:rsidP="003223D2">
            <w:pPr>
              <w:keepNext/>
              <w:widowControl/>
              <w:jc w:val="left"/>
              <w:rPr>
                <w:rFonts w:ascii="Arial Narrow" w:hAnsi="Arial Narrow"/>
                <w:sz w:val="20"/>
                <w:lang w:val="en-GB"/>
              </w:rPr>
            </w:pPr>
            <w:r w:rsidRPr="000C3A2A">
              <w:rPr>
                <w:rFonts w:ascii="Arial Narrow" w:hAnsi="Arial Narrow"/>
                <w:sz w:val="20"/>
                <w:lang w:val="en-GB"/>
              </w:rPr>
              <w:t>Percentage of patients receiving post-progression treatment (base case 100%)</w:t>
            </w:r>
          </w:p>
          <w:p w:rsidR="00BC14E4" w:rsidRPr="000C3A2A" w:rsidRDefault="00BC14E4" w:rsidP="003223D2">
            <w:pPr>
              <w:keepNext/>
              <w:widowControl/>
              <w:jc w:val="left"/>
              <w:rPr>
                <w:rFonts w:ascii="Arial Narrow" w:hAnsi="Arial Narrow"/>
                <w:sz w:val="20"/>
                <w:lang w:val="en-GB"/>
              </w:rPr>
            </w:pPr>
            <w:r w:rsidRPr="000C3A2A">
              <w:rPr>
                <w:rFonts w:ascii="Arial Narrow" w:hAnsi="Arial Narrow"/>
                <w:sz w:val="20"/>
                <w:lang w:val="en-GB"/>
              </w:rPr>
              <w:t xml:space="preserve">From Study 309: </w:t>
            </w:r>
            <w:proofErr w:type="spellStart"/>
            <w:r w:rsidRPr="000C3A2A">
              <w:rPr>
                <w:rFonts w:ascii="Arial Narrow" w:hAnsi="Arial Narrow"/>
                <w:sz w:val="20"/>
                <w:lang w:val="en-GB"/>
              </w:rPr>
              <w:t>eribulin</w:t>
            </w:r>
            <w:proofErr w:type="spellEnd"/>
            <w:r w:rsidRPr="000C3A2A">
              <w:rPr>
                <w:rFonts w:ascii="Arial Narrow" w:hAnsi="Arial Narrow"/>
                <w:sz w:val="20"/>
                <w:lang w:val="en-GB"/>
              </w:rPr>
              <w:t xml:space="preserve"> 65%, </w:t>
            </w:r>
            <w:proofErr w:type="spellStart"/>
            <w:r w:rsidRPr="000C3A2A">
              <w:rPr>
                <w:rFonts w:ascii="Arial Narrow" w:hAnsi="Arial Narrow"/>
                <w:sz w:val="20"/>
                <w:lang w:val="en-GB"/>
              </w:rPr>
              <w:t>dacarbazine</w:t>
            </w:r>
            <w:proofErr w:type="spellEnd"/>
            <w:r w:rsidRPr="000C3A2A">
              <w:rPr>
                <w:rFonts w:ascii="Arial Narrow" w:hAnsi="Arial Narrow"/>
                <w:sz w:val="20"/>
                <w:lang w:val="en-GB"/>
              </w:rPr>
              <w:t xml:space="preserve"> 54%</w:t>
            </w:r>
          </w:p>
        </w:tc>
        <w:tc>
          <w:tcPr>
            <w:tcW w:w="551" w:type="pct"/>
            <w:tcBorders>
              <w:top w:val="single" w:sz="4" w:space="0" w:color="auto"/>
              <w:left w:val="single" w:sz="4" w:space="0" w:color="auto"/>
              <w:bottom w:val="single" w:sz="4" w:space="0" w:color="auto"/>
              <w:right w:val="single" w:sz="4" w:space="0" w:color="auto"/>
            </w:tcBorders>
            <w:vAlign w:val="center"/>
          </w:tcPr>
          <w:p w:rsidR="00BC14E4" w:rsidRPr="000C3A2A" w:rsidRDefault="00BC14E4" w:rsidP="005F795F">
            <w:pPr>
              <w:keepNext/>
              <w:widowControl/>
              <w:jc w:val="center"/>
              <w:rPr>
                <w:rFonts w:ascii="Arial Narrow" w:hAnsi="Arial Narrow"/>
                <w:sz w:val="20"/>
                <w:lang w:val="en-GB"/>
              </w:rPr>
            </w:pPr>
            <w:r w:rsidRPr="000C3A2A">
              <w:rPr>
                <w:rFonts w:ascii="Arial Narrow" w:hAnsi="Arial Narrow"/>
                <w:sz w:val="20"/>
                <w:lang w:val="en-GB"/>
              </w:rPr>
              <w:t>$</w:t>
            </w:r>
            <w:r w:rsidR="002E58CD">
              <w:rPr>
                <w:rFonts w:ascii="Arial Narrow" w:hAnsi="Arial Narrow"/>
                <w:noProof/>
                <w:color w:val="000000"/>
                <w:sz w:val="20"/>
                <w:highlight w:val="black"/>
                <w:lang w:val="en-GB"/>
              </w:rPr>
              <w:t>'''''''''''''''''</w:t>
            </w:r>
          </w:p>
        </w:tc>
        <w:tc>
          <w:tcPr>
            <w:tcW w:w="551" w:type="pct"/>
            <w:tcBorders>
              <w:top w:val="single" w:sz="4" w:space="0" w:color="auto"/>
              <w:left w:val="single" w:sz="4" w:space="0" w:color="auto"/>
              <w:bottom w:val="single" w:sz="4" w:space="0" w:color="auto"/>
              <w:right w:val="single" w:sz="4" w:space="0" w:color="auto"/>
            </w:tcBorders>
            <w:vAlign w:val="center"/>
          </w:tcPr>
          <w:p w:rsidR="00BC14E4" w:rsidRPr="000C3A2A" w:rsidRDefault="00BC14E4" w:rsidP="003223D2">
            <w:pPr>
              <w:keepNext/>
              <w:widowControl/>
              <w:jc w:val="center"/>
              <w:rPr>
                <w:rFonts w:ascii="Arial Narrow" w:hAnsi="Arial Narrow"/>
                <w:sz w:val="20"/>
                <w:lang w:val="en-GB"/>
              </w:rPr>
            </w:pPr>
            <w:r w:rsidRPr="000C3A2A">
              <w:rPr>
                <w:rFonts w:ascii="Arial Narrow" w:hAnsi="Arial Narrow"/>
                <w:sz w:val="20"/>
                <w:lang w:val="en-GB"/>
              </w:rPr>
              <w:t>0.28</w:t>
            </w:r>
          </w:p>
        </w:tc>
        <w:tc>
          <w:tcPr>
            <w:tcW w:w="552" w:type="pct"/>
            <w:tcBorders>
              <w:top w:val="single" w:sz="4" w:space="0" w:color="auto"/>
              <w:left w:val="single" w:sz="4" w:space="0" w:color="auto"/>
              <w:bottom w:val="single" w:sz="4" w:space="0" w:color="auto"/>
              <w:right w:val="single" w:sz="4" w:space="0" w:color="auto"/>
            </w:tcBorders>
            <w:vAlign w:val="center"/>
          </w:tcPr>
          <w:p w:rsidR="00BC14E4" w:rsidRPr="000C3A2A" w:rsidRDefault="00BC14E4" w:rsidP="005F795F">
            <w:pPr>
              <w:keepNext/>
              <w:widowControl/>
              <w:jc w:val="center"/>
              <w:rPr>
                <w:rFonts w:ascii="Arial Narrow" w:hAnsi="Arial Narrow"/>
                <w:sz w:val="20"/>
                <w:lang w:val="en-GB"/>
              </w:rPr>
            </w:pPr>
            <w:r w:rsidRPr="000C3A2A">
              <w:rPr>
                <w:rFonts w:ascii="Arial Narrow" w:hAnsi="Arial Narrow"/>
                <w:sz w:val="20"/>
                <w:lang w:val="en-GB"/>
              </w:rPr>
              <w:t>$</w:t>
            </w:r>
            <w:r w:rsidR="002E58CD">
              <w:rPr>
                <w:rFonts w:ascii="Arial Narrow" w:hAnsi="Arial Narrow"/>
                <w:noProof/>
                <w:color w:val="000000"/>
                <w:sz w:val="20"/>
                <w:highlight w:val="black"/>
                <w:lang w:val="en-GB"/>
              </w:rPr>
              <w:t>''''''''''''''''</w:t>
            </w:r>
          </w:p>
        </w:tc>
      </w:tr>
      <w:tr w:rsidR="00BC14E4" w:rsidRPr="00CD0DEF" w:rsidTr="005B0C39">
        <w:trPr>
          <w:cantSplit/>
        </w:trPr>
        <w:tc>
          <w:tcPr>
            <w:tcW w:w="5000" w:type="pct"/>
            <w:gridSpan w:val="4"/>
            <w:tcBorders>
              <w:top w:val="single" w:sz="4" w:space="0" w:color="auto"/>
              <w:left w:val="single" w:sz="4" w:space="0" w:color="auto"/>
              <w:bottom w:val="single" w:sz="4" w:space="0" w:color="auto"/>
              <w:right w:val="single" w:sz="4" w:space="0" w:color="auto"/>
            </w:tcBorders>
            <w:vAlign w:val="center"/>
          </w:tcPr>
          <w:p w:rsidR="00BC14E4" w:rsidRPr="00990833" w:rsidRDefault="00BC14E4" w:rsidP="003223D2">
            <w:pPr>
              <w:keepNext/>
              <w:widowControl/>
              <w:jc w:val="left"/>
              <w:rPr>
                <w:rFonts w:ascii="Arial Narrow" w:hAnsi="Arial Narrow"/>
                <w:sz w:val="20"/>
                <w:lang w:val="en-GB"/>
              </w:rPr>
            </w:pPr>
            <w:r w:rsidRPr="00990833">
              <w:rPr>
                <w:rFonts w:ascii="Arial Narrow" w:hAnsi="Arial Narrow"/>
                <w:b/>
                <w:sz w:val="20"/>
                <w:lang w:val="en-GB"/>
              </w:rPr>
              <w:t>Multivariate sensitivity analyses</w:t>
            </w:r>
          </w:p>
        </w:tc>
      </w:tr>
      <w:tr w:rsidR="00BC14E4" w:rsidRPr="00CD0DEF" w:rsidTr="005B0C39">
        <w:trPr>
          <w:cantSplit/>
        </w:trPr>
        <w:tc>
          <w:tcPr>
            <w:tcW w:w="3347" w:type="pct"/>
            <w:tcBorders>
              <w:top w:val="single" w:sz="4" w:space="0" w:color="auto"/>
              <w:left w:val="single" w:sz="4" w:space="0" w:color="auto"/>
              <w:bottom w:val="single" w:sz="4" w:space="0" w:color="auto"/>
              <w:right w:val="single" w:sz="4" w:space="0" w:color="auto"/>
            </w:tcBorders>
            <w:vAlign w:val="center"/>
          </w:tcPr>
          <w:p w:rsidR="00BC14E4" w:rsidRPr="00990833" w:rsidRDefault="00BC14E4" w:rsidP="003223D2">
            <w:pPr>
              <w:keepNext/>
              <w:widowControl/>
              <w:jc w:val="left"/>
              <w:rPr>
                <w:rFonts w:ascii="Arial Narrow" w:hAnsi="Arial Narrow"/>
                <w:sz w:val="20"/>
                <w:lang w:val="en-GB"/>
              </w:rPr>
            </w:pPr>
            <w:r w:rsidRPr="00990833">
              <w:rPr>
                <w:rFonts w:ascii="Arial Narrow" w:hAnsi="Arial Narrow"/>
                <w:sz w:val="20"/>
                <w:lang w:val="en-GB"/>
              </w:rPr>
              <w:t>Model duration = 31 months, and utility values from Villa (2015)</w:t>
            </w:r>
          </w:p>
        </w:tc>
        <w:tc>
          <w:tcPr>
            <w:tcW w:w="551" w:type="pct"/>
            <w:tcBorders>
              <w:top w:val="single" w:sz="4" w:space="0" w:color="auto"/>
              <w:left w:val="single" w:sz="4" w:space="0" w:color="auto"/>
              <w:bottom w:val="single" w:sz="4" w:space="0" w:color="auto"/>
              <w:right w:val="single" w:sz="4" w:space="0" w:color="auto"/>
            </w:tcBorders>
            <w:vAlign w:val="center"/>
          </w:tcPr>
          <w:p w:rsidR="00BC14E4" w:rsidRPr="00990833" w:rsidRDefault="00BC14E4" w:rsidP="005F795F">
            <w:pPr>
              <w:keepNext/>
              <w:widowControl/>
              <w:jc w:val="center"/>
              <w:rPr>
                <w:rFonts w:ascii="Arial Narrow" w:hAnsi="Arial Narrow"/>
                <w:sz w:val="20"/>
                <w:lang w:val="en-GB"/>
              </w:rPr>
            </w:pPr>
            <w:r w:rsidRPr="00990833">
              <w:rPr>
                <w:rFonts w:ascii="Arial Narrow" w:hAnsi="Arial Narrow"/>
                <w:sz w:val="20"/>
                <w:lang w:val="en-GB"/>
              </w:rPr>
              <w:t>$</w:t>
            </w:r>
            <w:r w:rsidR="002E58CD">
              <w:rPr>
                <w:rFonts w:ascii="Arial Narrow" w:hAnsi="Arial Narrow"/>
                <w:noProof/>
                <w:color w:val="000000"/>
                <w:sz w:val="20"/>
                <w:highlight w:val="black"/>
                <w:lang w:val="en-GB"/>
              </w:rPr>
              <w:t>'''''''''''''''''</w:t>
            </w:r>
          </w:p>
        </w:tc>
        <w:tc>
          <w:tcPr>
            <w:tcW w:w="551" w:type="pct"/>
            <w:tcBorders>
              <w:top w:val="single" w:sz="4" w:space="0" w:color="auto"/>
              <w:left w:val="single" w:sz="4" w:space="0" w:color="auto"/>
              <w:bottom w:val="single" w:sz="4" w:space="0" w:color="auto"/>
              <w:right w:val="single" w:sz="4" w:space="0" w:color="auto"/>
            </w:tcBorders>
            <w:vAlign w:val="center"/>
          </w:tcPr>
          <w:p w:rsidR="00BC14E4" w:rsidRPr="00990833" w:rsidRDefault="00BC14E4" w:rsidP="003223D2">
            <w:pPr>
              <w:keepNext/>
              <w:widowControl/>
              <w:jc w:val="center"/>
              <w:rPr>
                <w:rFonts w:ascii="Arial Narrow" w:hAnsi="Arial Narrow"/>
                <w:sz w:val="20"/>
                <w:lang w:val="en-GB"/>
              </w:rPr>
            </w:pPr>
            <w:r w:rsidRPr="00990833">
              <w:rPr>
                <w:rFonts w:ascii="Arial Narrow" w:hAnsi="Arial Narrow"/>
                <w:sz w:val="20"/>
                <w:lang w:val="en-GB"/>
              </w:rPr>
              <w:t>0.24</w:t>
            </w:r>
          </w:p>
        </w:tc>
        <w:tc>
          <w:tcPr>
            <w:tcW w:w="552" w:type="pct"/>
            <w:tcBorders>
              <w:top w:val="single" w:sz="4" w:space="0" w:color="auto"/>
              <w:left w:val="single" w:sz="4" w:space="0" w:color="auto"/>
              <w:bottom w:val="single" w:sz="4" w:space="0" w:color="auto"/>
              <w:right w:val="single" w:sz="4" w:space="0" w:color="auto"/>
            </w:tcBorders>
            <w:vAlign w:val="center"/>
          </w:tcPr>
          <w:p w:rsidR="00BC14E4" w:rsidRPr="00990833" w:rsidRDefault="00BC14E4" w:rsidP="005F795F">
            <w:pPr>
              <w:keepNext/>
              <w:widowControl/>
              <w:jc w:val="center"/>
              <w:rPr>
                <w:rFonts w:ascii="Arial Narrow" w:hAnsi="Arial Narrow"/>
                <w:sz w:val="20"/>
                <w:lang w:val="en-GB"/>
              </w:rPr>
            </w:pPr>
            <w:r w:rsidRPr="00990833">
              <w:rPr>
                <w:rFonts w:ascii="Arial Narrow" w:hAnsi="Arial Narrow"/>
                <w:sz w:val="20"/>
                <w:lang w:val="en-GB"/>
              </w:rPr>
              <w:t>$</w:t>
            </w:r>
            <w:r w:rsidR="002E58CD">
              <w:rPr>
                <w:rFonts w:ascii="Arial Narrow" w:hAnsi="Arial Narrow"/>
                <w:noProof/>
                <w:color w:val="000000"/>
                <w:sz w:val="20"/>
                <w:highlight w:val="black"/>
                <w:lang w:val="en-GB"/>
              </w:rPr>
              <w:t>''''''''''''''''</w:t>
            </w:r>
          </w:p>
        </w:tc>
      </w:tr>
      <w:tr w:rsidR="00BC14E4" w:rsidRPr="00CD0DEF" w:rsidTr="005B0C39">
        <w:trPr>
          <w:cantSplit/>
        </w:trPr>
        <w:tc>
          <w:tcPr>
            <w:tcW w:w="3347" w:type="pct"/>
            <w:tcBorders>
              <w:top w:val="single" w:sz="4" w:space="0" w:color="auto"/>
              <w:left w:val="single" w:sz="4" w:space="0" w:color="auto"/>
              <w:bottom w:val="single" w:sz="4" w:space="0" w:color="auto"/>
              <w:right w:val="single" w:sz="4" w:space="0" w:color="auto"/>
            </w:tcBorders>
            <w:vAlign w:val="center"/>
          </w:tcPr>
          <w:p w:rsidR="00BC14E4" w:rsidRPr="00990833" w:rsidRDefault="00BC14E4" w:rsidP="003223D2">
            <w:pPr>
              <w:keepNext/>
              <w:widowControl/>
              <w:jc w:val="left"/>
              <w:rPr>
                <w:rFonts w:ascii="Arial Narrow" w:hAnsi="Arial Narrow"/>
                <w:sz w:val="20"/>
                <w:lang w:val="en-GB"/>
              </w:rPr>
            </w:pPr>
            <w:r w:rsidRPr="00990833">
              <w:rPr>
                <w:rFonts w:ascii="Arial Narrow" w:hAnsi="Arial Narrow"/>
                <w:sz w:val="20"/>
                <w:lang w:val="en-GB"/>
              </w:rPr>
              <w:t xml:space="preserve">Model duration = 31 months. and </w:t>
            </w:r>
            <w:proofErr w:type="spellStart"/>
            <w:r w:rsidRPr="00990833">
              <w:rPr>
                <w:rFonts w:ascii="Arial Narrow" w:hAnsi="Arial Narrow"/>
                <w:sz w:val="20"/>
                <w:lang w:val="en-GB"/>
              </w:rPr>
              <w:t>dacarbazine</w:t>
            </w:r>
            <w:proofErr w:type="spellEnd"/>
            <w:r w:rsidRPr="00990833">
              <w:rPr>
                <w:rFonts w:ascii="Arial Narrow" w:hAnsi="Arial Narrow"/>
                <w:sz w:val="20"/>
                <w:lang w:val="en-GB"/>
              </w:rPr>
              <w:t xml:space="preserve"> price = $</w:t>
            </w:r>
            <w:r w:rsidR="002E58CD">
              <w:rPr>
                <w:rFonts w:ascii="Arial Narrow" w:hAnsi="Arial Narrow"/>
                <w:noProof/>
                <w:color w:val="000000"/>
                <w:sz w:val="20"/>
                <w:highlight w:val="black"/>
                <w:lang w:val="en-GB"/>
              </w:rPr>
              <w:t>'''''''''''''</w:t>
            </w:r>
          </w:p>
        </w:tc>
        <w:tc>
          <w:tcPr>
            <w:tcW w:w="551" w:type="pct"/>
            <w:tcBorders>
              <w:top w:val="single" w:sz="4" w:space="0" w:color="auto"/>
              <w:left w:val="single" w:sz="4" w:space="0" w:color="auto"/>
              <w:bottom w:val="single" w:sz="4" w:space="0" w:color="auto"/>
              <w:right w:val="single" w:sz="4" w:space="0" w:color="auto"/>
            </w:tcBorders>
            <w:vAlign w:val="center"/>
          </w:tcPr>
          <w:p w:rsidR="00BC14E4" w:rsidRPr="00990833" w:rsidRDefault="00BC14E4" w:rsidP="005F795F">
            <w:pPr>
              <w:keepNext/>
              <w:widowControl/>
              <w:jc w:val="center"/>
              <w:rPr>
                <w:rFonts w:ascii="Arial Narrow" w:hAnsi="Arial Narrow"/>
                <w:sz w:val="20"/>
                <w:lang w:val="en-GB"/>
              </w:rPr>
            </w:pPr>
            <w:r w:rsidRPr="00990833">
              <w:rPr>
                <w:rFonts w:ascii="Arial Narrow" w:hAnsi="Arial Narrow"/>
                <w:sz w:val="20"/>
                <w:lang w:val="en-GB"/>
              </w:rPr>
              <w:t>$</w:t>
            </w:r>
            <w:r w:rsidR="002E58CD">
              <w:rPr>
                <w:rFonts w:ascii="Arial Narrow" w:hAnsi="Arial Narrow"/>
                <w:noProof/>
                <w:color w:val="000000"/>
                <w:sz w:val="20"/>
                <w:highlight w:val="black"/>
                <w:lang w:val="en-GB"/>
              </w:rPr>
              <w:t>'''''''''''''''</w:t>
            </w:r>
          </w:p>
        </w:tc>
        <w:tc>
          <w:tcPr>
            <w:tcW w:w="551" w:type="pct"/>
            <w:tcBorders>
              <w:top w:val="single" w:sz="4" w:space="0" w:color="auto"/>
              <w:left w:val="single" w:sz="4" w:space="0" w:color="auto"/>
              <w:bottom w:val="single" w:sz="4" w:space="0" w:color="auto"/>
              <w:right w:val="single" w:sz="4" w:space="0" w:color="auto"/>
            </w:tcBorders>
            <w:vAlign w:val="center"/>
          </w:tcPr>
          <w:p w:rsidR="00BC14E4" w:rsidRPr="00990833" w:rsidRDefault="00BC14E4" w:rsidP="003223D2">
            <w:pPr>
              <w:keepNext/>
              <w:widowControl/>
              <w:jc w:val="center"/>
              <w:rPr>
                <w:rFonts w:ascii="Arial Narrow" w:hAnsi="Arial Narrow"/>
                <w:sz w:val="20"/>
                <w:lang w:val="en-GB"/>
              </w:rPr>
            </w:pPr>
            <w:r w:rsidRPr="00990833">
              <w:rPr>
                <w:rFonts w:ascii="Arial Narrow" w:hAnsi="Arial Narrow"/>
                <w:sz w:val="20"/>
                <w:lang w:val="en-GB"/>
              </w:rPr>
              <w:t>0.31</w:t>
            </w:r>
          </w:p>
        </w:tc>
        <w:tc>
          <w:tcPr>
            <w:tcW w:w="552" w:type="pct"/>
            <w:tcBorders>
              <w:top w:val="single" w:sz="4" w:space="0" w:color="auto"/>
              <w:left w:val="single" w:sz="4" w:space="0" w:color="auto"/>
              <w:bottom w:val="single" w:sz="4" w:space="0" w:color="auto"/>
              <w:right w:val="single" w:sz="4" w:space="0" w:color="auto"/>
            </w:tcBorders>
            <w:vAlign w:val="center"/>
          </w:tcPr>
          <w:p w:rsidR="00BC14E4" w:rsidRPr="00990833" w:rsidRDefault="00BC14E4" w:rsidP="005F795F">
            <w:pPr>
              <w:keepNext/>
              <w:widowControl/>
              <w:jc w:val="center"/>
              <w:rPr>
                <w:rFonts w:ascii="Arial Narrow" w:hAnsi="Arial Narrow"/>
                <w:sz w:val="20"/>
                <w:lang w:val="en-GB"/>
              </w:rPr>
            </w:pPr>
            <w:r w:rsidRPr="00990833">
              <w:rPr>
                <w:rFonts w:ascii="Arial Narrow" w:hAnsi="Arial Narrow"/>
                <w:sz w:val="20"/>
                <w:lang w:val="en-GB"/>
              </w:rPr>
              <w:t>$</w:t>
            </w:r>
            <w:r w:rsidR="002E58CD">
              <w:rPr>
                <w:rFonts w:ascii="Arial Narrow" w:hAnsi="Arial Narrow"/>
                <w:noProof/>
                <w:color w:val="000000"/>
                <w:sz w:val="20"/>
                <w:highlight w:val="black"/>
                <w:lang w:val="en-GB"/>
              </w:rPr>
              <w:t>'''''''''''''''''</w:t>
            </w:r>
          </w:p>
        </w:tc>
      </w:tr>
      <w:tr w:rsidR="00BC14E4" w:rsidRPr="00CD0DEF" w:rsidTr="005B0C39">
        <w:trPr>
          <w:cantSplit/>
        </w:trPr>
        <w:tc>
          <w:tcPr>
            <w:tcW w:w="3347" w:type="pct"/>
            <w:tcBorders>
              <w:top w:val="single" w:sz="4" w:space="0" w:color="auto"/>
              <w:left w:val="single" w:sz="4" w:space="0" w:color="auto"/>
              <w:bottom w:val="single" w:sz="4" w:space="0" w:color="auto"/>
              <w:right w:val="single" w:sz="4" w:space="0" w:color="auto"/>
            </w:tcBorders>
            <w:vAlign w:val="center"/>
          </w:tcPr>
          <w:p w:rsidR="00BC14E4" w:rsidRPr="00990833" w:rsidRDefault="00BC14E4" w:rsidP="003223D2">
            <w:pPr>
              <w:keepNext/>
              <w:widowControl/>
              <w:jc w:val="left"/>
              <w:rPr>
                <w:rFonts w:ascii="Arial Narrow" w:hAnsi="Arial Narrow"/>
                <w:sz w:val="20"/>
                <w:lang w:val="en-GB"/>
              </w:rPr>
            </w:pPr>
            <w:r w:rsidRPr="00990833">
              <w:rPr>
                <w:rFonts w:ascii="Arial Narrow" w:hAnsi="Arial Narrow"/>
                <w:sz w:val="20"/>
                <w:lang w:val="en-GB"/>
              </w:rPr>
              <w:t xml:space="preserve">Model duration = 31 months, utility values from Villa (2015), and </w:t>
            </w:r>
            <w:proofErr w:type="spellStart"/>
            <w:r w:rsidRPr="00990833">
              <w:rPr>
                <w:rFonts w:ascii="Arial Narrow" w:hAnsi="Arial Narrow"/>
                <w:sz w:val="20"/>
                <w:lang w:val="en-GB"/>
              </w:rPr>
              <w:t>dacarbazine</w:t>
            </w:r>
            <w:proofErr w:type="spellEnd"/>
            <w:r w:rsidRPr="00990833">
              <w:rPr>
                <w:rFonts w:ascii="Arial Narrow" w:hAnsi="Arial Narrow"/>
                <w:sz w:val="20"/>
                <w:lang w:val="en-GB"/>
              </w:rPr>
              <w:t xml:space="preserve"> price = $</w:t>
            </w:r>
            <w:r w:rsidR="002E58CD">
              <w:rPr>
                <w:rFonts w:ascii="Arial Narrow" w:hAnsi="Arial Narrow"/>
                <w:noProof/>
                <w:color w:val="000000"/>
                <w:sz w:val="20"/>
                <w:highlight w:val="black"/>
                <w:lang w:val="en-GB"/>
              </w:rPr>
              <w:t>''''''''''''''</w:t>
            </w:r>
          </w:p>
        </w:tc>
        <w:tc>
          <w:tcPr>
            <w:tcW w:w="551" w:type="pct"/>
            <w:tcBorders>
              <w:top w:val="single" w:sz="4" w:space="0" w:color="auto"/>
              <w:left w:val="single" w:sz="4" w:space="0" w:color="auto"/>
              <w:bottom w:val="single" w:sz="4" w:space="0" w:color="auto"/>
              <w:right w:val="single" w:sz="4" w:space="0" w:color="auto"/>
            </w:tcBorders>
            <w:vAlign w:val="center"/>
          </w:tcPr>
          <w:p w:rsidR="00BC14E4" w:rsidRPr="00990833" w:rsidRDefault="00BC14E4" w:rsidP="005F795F">
            <w:pPr>
              <w:keepNext/>
              <w:widowControl/>
              <w:jc w:val="center"/>
              <w:rPr>
                <w:rFonts w:ascii="Arial Narrow" w:hAnsi="Arial Narrow"/>
                <w:sz w:val="20"/>
                <w:lang w:val="en-GB"/>
              </w:rPr>
            </w:pPr>
            <w:r w:rsidRPr="00990833">
              <w:rPr>
                <w:rFonts w:ascii="Arial Narrow" w:hAnsi="Arial Narrow"/>
                <w:sz w:val="20"/>
                <w:lang w:val="en-GB"/>
              </w:rPr>
              <w:t>$</w:t>
            </w:r>
            <w:r w:rsidR="002E58CD">
              <w:rPr>
                <w:rFonts w:ascii="Arial Narrow" w:hAnsi="Arial Narrow"/>
                <w:noProof/>
                <w:color w:val="000000"/>
                <w:sz w:val="20"/>
                <w:highlight w:val="black"/>
                <w:lang w:val="en-GB"/>
              </w:rPr>
              <w:t>'''''''''''''''''</w:t>
            </w:r>
          </w:p>
        </w:tc>
        <w:tc>
          <w:tcPr>
            <w:tcW w:w="551" w:type="pct"/>
            <w:tcBorders>
              <w:top w:val="single" w:sz="4" w:space="0" w:color="auto"/>
              <w:left w:val="single" w:sz="4" w:space="0" w:color="auto"/>
              <w:bottom w:val="single" w:sz="4" w:space="0" w:color="auto"/>
              <w:right w:val="single" w:sz="4" w:space="0" w:color="auto"/>
            </w:tcBorders>
            <w:vAlign w:val="center"/>
          </w:tcPr>
          <w:p w:rsidR="00BC14E4" w:rsidRPr="00990833" w:rsidRDefault="00BC14E4" w:rsidP="003223D2">
            <w:pPr>
              <w:keepNext/>
              <w:widowControl/>
              <w:jc w:val="center"/>
              <w:rPr>
                <w:rFonts w:ascii="Arial Narrow" w:hAnsi="Arial Narrow"/>
                <w:sz w:val="20"/>
                <w:lang w:val="en-GB"/>
              </w:rPr>
            </w:pPr>
            <w:r w:rsidRPr="00990833">
              <w:rPr>
                <w:rFonts w:ascii="Arial Narrow" w:hAnsi="Arial Narrow"/>
                <w:sz w:val="20"/>
                <w:lang w:val="en-GB"/>
              </w:rPr>
              <w:t>0.24</w:t>
            </w:r>
          </w:p>
        </w:tc>
        <w:tc>
          <w:tcPr>
            <w:tcW w:w="552" w:type="pct"/>
            <w:tcBorders>
              <w:top w:val="single" w:sz="4" w:space="0" w:color="auto"/>
              <w:left w:val="single" w:sz="4" w:space="0" w:color="auto"/>
              <w:bottom w:val="single" w:sz="4" w:space="0" w:color="auto"/>
              <w:right w:val="single" w:sz="4" w:space="0" w:color="auto"/>
            </w:tcBorders>
            <w:vAlign w:val="center"/>
          </w:tcPr>
          <w:p w:rsidR="00BC14E4" w:rsidRPr="00990833" w:rsidRDefault="00BC14E4" w:rsidP="005F795F">
            <w:pPr>
              <w:keepNext/>
              <w:widowControl/>
              <w:jc w:val="center"/>
              <w:rPr>
                <w:rFonts w:ascii="Arial Narrow" w:hAnsi="Arial Narrow"/>
                <w:sz w:val="20"/>
                <w:lang w:val="en-GB"/>
              </w:rPr>
            </w:pPr>
            <w:r w:rsidRPr="00990833">
              <w:rPr>
                <w:rFonts w:ascii="Arial Narrow" w:hAnsi="Arial Narrow"/>
                <w:sz w:val="20"/>
                <w:lang w:val="en-GB"/>
              </w:rPr>
              <w:t>$</w:t>
            </w:r>
            <w:r w:rsidR="002E58CD">
              <w:rPr>
                <w:rFonts w:ascii="Arial Narrow" w:hAnsi="Arial Narrow"/>
                <w:noProof/>
                <w:color w:val="000000"/>
                <w:sz w:val="20"/>
                <w:highlight w:val="black"/>
                <w:lang w:val="en-GB"/>
              </w:rPr>
              <w:t>''''''''''''''''</w:t>
            </w:r>
          </w:p>
        </w:tc>
      </w:tr>
    </w:tbl>
    <w:p w:rsidR="002138F6" w:rsidRPr="00B010BF" w:rsidRDefault="002138F6" w:rsidP="005B0C39">
      <w:pPr>
        <w:pStyle w:val="TableFooter"/>
        <w:keepNext/>
        <w:widowControl/>
        <w:ind w:left="709"/>
        <w:rPr>
          <w:lang w:val="en-GB"/>
        </w:rPr>
      </w:pPr>
      <w:r w:rsidRPr="00B010BF">
        <w:rPr>
          <w:lang w:val="en-GB"/>
        </w:rPr>
        <w:t>Source: Table D-24, p141 and Table D-27, p143 of the submission and calculated during evaluation using the economic model</w:t>
      </w:r>
    </w:p>
    <w:p w:rsidR="002138F6" w:rsidRPr="00B010BF" w:rsidRDefault="002138F6" w:rsidP="005B0C39">
      <w:pPr>
        <w:pStyle w:val="TableFooter"/>
        <w:keepNext/>
        <w:widowControl/>
        <w:ind w:left="709"/>
        <w:rPr>
          <w:lang w:val="en-GB"/>
        </w:rPr>
      </w:pPr>
      <w:r w:rsidRPr="00B010BF">
        <w:rPr>
          <w:lang w:val="en-GB"/>
        </w:rPr>
        <w:t xml:space="preserve">AE = adverse event; AEMP = Australian ex-manufacturer price; CT = computed tomography; </w:t>
      </w:r>
      <w:proofErr w:type="spellStart"/>
      <w:r w:rsidR="008660D2" w:rsidRPr="00B010BF">
        <w:rPr>
          <w:lang w:val="en-GB"/>
        </w:rPr>
        <w:t>eMIMS</w:t>
      </w:r>
      <w:proofErr w:type="spellEnd"/>
      <w:r w:rsidR="008660D2" w:rsidRPr="00B010BF">
        <w:rPr>
          <w:lang w:val="en-GB"/>
        </w:rPr>
        <w:t xml:space="preserve"> = electronic Monthly Index of Medical Specialties; </w:t>
      </w:r>
      <w:r w:rsidRPr="00B010BF">
        <w:rPr>
          <w:lang w:val="en-GB"/>
        </w:rPr>
        <w:t>ICER = incremental cost effectiveness ratio; PD = progressive disease; QALY = quality-adjusted life year; SD = stable disease</w:t>
      </w:r>
    </w:p>
    <w:p w:rsidR="00124895" w:rsidRPr="00B010BF" w:rsidRDefault="00124895" w:rsidP="005B0C39">
      <w:pPr>
        <w:pStyle w:val="TableFooter"/>
        <w:widowControl/>
        <w:ind w:left="709"/>
        <w:rPr>
          <w:lang w:val="en-GB"/>
        </w:rPr>
      </w:pPr>
      <w:proofErr w:type="spellStart"/>
      <w:proofErr w:type="gramStart"/>
      <w:r w:rsidRPr="00B010BF">
        <w:rPr>
          <w:vertAlign w:val="superscript"/>
          <w:lang w:val="en-GB"/>
        </w:rPr>
        <w:t>a</w:t>
      </w:r>
      <w:proofErr w:type="spellEnd"/>
      <w:proofErr w:type="gramEnd"/>
      <w:r w:rsidRPr="00B010BF">
        <w:rPr>
          <w:vertAlign w:val="superscript"/>
          <w:lang w:val="en-GB"/>
        </w:rPr>
        <w:t xml:space="preserve"> </w:t>
      </w:r>
      <w:r w:rsidR="002209D7" w:rsidRPr="00B010BF">
        <w:rPr>
          <w:lang w:val="en-GB"/>
        </w:rPr>
        <w:t>For the revised</w:t>
      </w:r>
      <w:r w:rsidRPr="00B010BF">
        <w:rPr>
          <w:lang w:val="en-GB"/>
        </w:rPr>
        <w:t xml:space="preserve"> base case, dispensing fees and mark-ups were applied per infusion, rather than a weighted cost per vial (per the 1 August 2016 Efficient Funding for Chemotherapy). Further the 3 mL </w:t>
      </w:r>
      <w:proofErr w:type="spellStart"/>
      <w:r w:rsidRPr="00B010BF">
        <w:rPr>
          <w:lang w:val="en-GB"/>
        </w:rPr>
        <w:t>eribulin</w:t>
      </w:r>
      <w:proofErr w:type="spellEnd"/>
      <w:r w:rsidRPr="00B010BF">
        <w:rPr>
          <w:lang w:val="en-GB"/>
        </w:rPr>
        <w:t xml:space="preserve"> vial was excluded</w:t>
      </w:r>
      <w:r w:rsidR="004E2076">
        <w:rPr>
          <w:lang w:val="en-GB"/>
        </w:rPr>
        <w:t xml:space="preserve"> from the calculations.</w:t>
      </w:r>
    </w:p>
    <w:p w:rsidR="00C54E95" w:rsidRPr="00B010BF" w:rsidRDefault="00C54E95" w:rsidP="00903665">
      <w:pPr>
        <w:pStyle w:val="TableFooter"/>
        <w:keepNext/>
        <w:widowControl/>
        <w:ind w:left="720"/>
        <w:rPr>
          <w:sz w:val="22"/>
          <w:szCs w:val="22"/>
          <w:lang w:val="en-GB"/>
        </w:rPr>
      </w:pPr>
    </w:p>
    <w:p w:rsidR="00D110BD" w:rsidRPr="00D37C7C" w:rsidRDefault="00C54E95" w:rsidP="00A728F8">
      <w:pPr>
        <w:pStyle w:val="ListParagraph"/>
        <w:widowControl/>
        <w:numPr>
          <w:ilvl w:val="1"/>
          <w:numId w:val="2"/>
        </w:numPr>
        <w:rPr>
          <w:szCs w:val="22"/>
          <w:lang w:val="en-GB"/>
        </w:rPr>
      </w:pPr>
      <w:r w:rsidRPr="00B010BF">
        <w:rPr>
          <w:lang w:val="en-GB"/>
        </w:rPr>
        <w:t>The results of the sensitivity analyses indicated the model was most sensitive to the utility value applied for progressive disease and model duration. Under all scenarios the ICER remained below</w:t>
      </w:r>
      <w:r w:rsidR="00BB29E5" w:rsidRPr="00B010BF">
        <w:rPr>
          <w:lang w:val="en-GB"/>
        </w:rPr>
        <w:t xml:space="preserve"> approximately</w:t>
      </w:r>
      <w:r w:rsidRPr="00B010BF">
        <w:rPr>
          <w:lang w:val="en-GB"/>
        </w:rPr>
        <w:t xml:space="preserve"> $</w:t>
      </w:r>
      <w:r w:rsidR="00633031">
        <w:rPr>
          <w:lang w:val="en-GB"/>
        </w:rPr>
        <w:t>45,000</w:t>
      </w:r>
      <w:r w:rsidR="00FD00FC">
        <w:rPr>
          <w:lang w:val="en-GB"/>
        </w:rPr>
        <w:t xml:space="preserve"> - $75,000</w:t>
      </w:r>
      <w:r w:rsidRPr="00B010BF">
        <w:rPr>
          <w:lang w:val="en-GB"/>
        </w:rPr>
        <w:t xml:space="preserve"> per QALY</w:t>
      </w:r>
      <w:r w:rsidR="004A2C9B" w:rsidRPr="00B010BF">
        <w:rPr>
          <w:lang w:val="en-GB"/>
        </w:rPr>
        <w:t xml:space="preserve"> gained</w:t>
      </w:r>
      <w:r w:rsidR="00BB29E5" w:rsidRPr="00B010BF">
        <w:rPr>
          <w:lang w:val="en-GB"/>
        </w:rPr>
        <w:t>.</w:t>
      </w:r>
    </w:p>
    <w:p w:rsidR="00D37C7C" w:rsidRPr="00D37C7C" w:rsidRDefault="00D37C7C" w:rsidP="00D37C7C">
      <w:pPr>
        <w:pStyle w:val="ListParagraph"/>
        <w:widowControl/>
        <w:rPr>
          <w:szCs w:val="22"/>
          <w:lang w:val="en-GB"/>
        </w:rPr>
      </w:pPr>
    </w:p>
    <w:p w:rsidR="00D37C7C" w:rsidRPr="00B010BF" w:rsidRDefault="00D37C7C" w:rsidP="00A728F8">
      <w:pPr>
        <w:pStyle w:val="ListParagraph"/>
        <w:widowControl/>
        <w:numPr>
          <w:ilvl w:val="1"/>
          <w:numId w:val="2"/>
        </w:numPr>
        <w:rPr>
          <w:szCs w:val="22"/>
          <w:lang w:val="en-GB"/>
        </w:rPr>
      </w:pPr>
      <w:r>
        <w:rPr>
          <w:lang w:val="en-GB"/>
        </w:rPr>
        <w:t xml:space="preserve">The PBAC noted that the submission presented a trial-based economic analysis using results for overall survival from the </w:t>
      </w:r>
      <w:proofErr w:type="spellStart"/>
      <w:r>
        <w:rPr>
          <w:lang w:val="en-GB"/>
        </w:rPr>
        <w:t>liposarcoma</w:t>
      </w:r>
      <w:proofErr w:type="spellEnd"/>
      <w:r>
        <w:rPr>
          <w:lang w:val="en-GB"/>
        </w:rPr>
        <w:t xml:space="preserve"> subgroup, which produced a favourable ICER. However, the PBAC was concerned that the magnitude of survival gain observed in the </w:t>
      </w:r>
      <w:proofErr w:type="spellStart"/>
      <w:r>
        <w:rPr>
          <w:lang w:val="en-GB"/>
        </w:rPr>
        <w:t>liposarcoma</w:t>
      </w:r>
      <w:proofErr w:type="spellEnd"/>
      <w:r>
        <w:rPr>
          <w:lang w:val="en-GB"/>
        </w:rPr>
        <w:t xml:space="preserve"> subgroup was not reflective of</w:t>
      </w:r>
      <w:r w:rsidR="00891208">
        <w:rPr>
          <w:lang w:val="en-GB"/>
        </w:rPr>
        <w:t xml:space="preserve"> and likely exaggerated</w:t>
      </w:r>
      <w:r>
        <w:rPr>
          <w:lang w:val="en-GB"/>
        </w:rPr>
        <w:t xml:space="preserve"> the true efficacy of </w:t>
      </w:r>
      <w:proofErr w:type="spellStart"/>
      <w:r w:rsidR="00891208">
        <w:rPr>
          <w:lang w:val="en-GB"/>
        </w:rPr>
        <w:t>eribulin</w:t>
      </w:r>
      <w:proofErr w:type="spellEnd"/>
      <w:r w:rsidR="00891208">
        <w:rPr>
          <w:lang w:val="en-GB"/>
        </w:rPr>
        <w:t>. The PBAC further noted that if the survival gain observed in the ITT population was applied (2 months), the incremental cost</w:t>
      </w:r>
      <w:r w:rsidR="00E9326A">
        <w:rPr>
          <w:lang w:val="en-GB"/>
        </w:rPr>
        <w:t xml:space="preserve"> per QALY gained</w:t>
      </w:r>
      <w:r w:rsidR="00891208">
        <w:rPr>
          <w:lang w:val="en-GB"/>
        </w:rPr>
        <w:t xml:space="preserve"> would increase </w:t>
      </w:r>
      <w:r w:rsidR="00E9326A">
        <w:rPr>
          <w:lang w:val="en-GB"/>
        </w:rPr>
        <w:t xml:space="preserve">substantially. </w:t>
      </w:r>
      <w:r w:rsidR="00362B02">
        <w:rPr>
          <w:lang w:val="en-GB"/>
        </w:rPr>
        <w:t>On this basis, the PBAC considered that a</w:t>
      </w:r>
      <w:r w:rsidR="00503244">
        <w:rPr>
          <w:lang w:val="en-GB"/>
        </w:rPr>
        <w:t xml:space="preserve"> price reduction </w:t>
      </w:r>
      <w:r w:rsidR="00362B02">
        <w:rPr>
          <w:lang w:val="en-GB"/>
        </w:rPr>
        <w:t xml:space="preserve">would be required to </w:t>
      </w:r>
      <w:r w:rsidR="00503244">
        <w:rPr>
          <w:lang w:val="en-GB"/>
        </w:rPr>
        <w:t xml:space="preserve">ensure the </w:t>
      </w:r>
      <w:r w:rsidR="00362B02">
        <w:rPr>
          <w:lang w:val="en-GB"/>
        </w:rPr>
        <w:t xml:space="preserve">cost-effective </w:t>
      </w:r>
      <w:r w:rsidR="00503244">
        <w:rPr>
          <w:lang w:val="en-GB"/>
        </w:rPr>
        <w:t>PBS listing</w:t>
      </w:r>
      <w:r w:rsidR="004E2076">
        <w:rPr>
          <w:lang w:val="en-GB"/>
        </w:rPr>
        <w:t xml:space="preserve"> of </w:t>
      </w:r>
      <w:proofErr w:type="spellStart"/>
      <w:r w:rsidR="004E2076">
        <w:rPr>
          <w:lang w:val="en-GB"/>
        </w:rPr>
        <w:t>eribulin</w:t>
      </w:r>
      <w:proofErr w:type="spellEnd"/>
      <w:r w:rsidR="004E2076">
        <w:rPr>
          <w:lang w:val="en-GB"/>
        </w:rPr>
        <w:t>.</w:t>
      </w:r>
    </w:p>
    <w:p w:rsidR="006519EE" w:rsidRPr="00B010BF" w:rsidRDefault="006519EE" w:rsidP="00903665">
      <w:pPr>
        <w:widowControl/>
        <w:rPr>
          <w:szCs w:val="22"/>
          <w:lang w:val="en-GB"/>
        </w:rPr>
      </w:pPr>
    </w:p>
    <w:p w:rsidR="00C25D9C" w:rsidRPr="002E58CD" w:rsidRDefault="00C25D9C" w:rsidP="00903665">
      <w:pPr>
        <w:pStyle w:val="Heading3"/>
        <w:widowControl/>
        <w:rPr>
          <w:i w:val="0"/>
        </w:rPr>
      </w:pPr>
      <w:bookmarkStart w:id="14" w:name="_Toc461622510"/>
      <w:r w:rsidRPr="00B010BF">
        <w:rPr>
          <w:i w:val="0"/>
        </w:rPr>
        <w:t>Drug cost/patient/course: $</w:t>
      </w:r>
      <w:bookmarkEnd w:id="14"/>
      <w:r w:rsidR="002E58CD">
        <w:rPr>
          <w:i w:val="0"/>
          <w:noProof/>
          <w:color w:val="000000"/>
          <w:highlight w:val="black"/>
        </w:rPr>
        <w:t>''''''''''</w:t>
      </w:r>
    </w:p>
    <w:p w:rsidR="00C25D9C" w:rsidRPr="00B010BF" w:rsidRDefault="00C25D9C" w:rsidP="00903665">
      <w:pPr>
        <w:widowControl/>
        <w:rPr>
          <w:szCs w:val="22"/>
          <w:lang w:val="en-GB"/>
        </w:rPr>
      </w:pPr>
    </w:p>
    <w:p w:rsidR="00A86E8B" w:rsidRPr="00B010BF" w:rsidRDefault="00C54E95" w:rsidP="00A728F8">
      <w:pPr>
        <w:pStyle w:val="ListParagraph"/>
        <w:widowControl/>
        <w:numPr>
          <w:ilvl w:val="1"/>
          <w:numId w:val="2"/>
        </w:numPr>
        <w:rPr>
          <w:szCs w:val="22"/>
          <w:lang w:val="en-GB"/>
        </w:rPr>
      </w:pPr>
      <w:r w:rsidRPr="00B010BF">
        <w:rPr>
          <w:szCs w:val="22"/>
          <w:lang w:val="en-GB"/>
        </w:rPr>
        <w:t xml:space="preserve">The </w:t>
      </w:r>
      <w:proofErr w:type="spellStart"/>
      <w:r w:rsidRPr="00B010BF">
        <w:rPr>
          <w:szCs w:val="22"/>
          <w:lang w:val="en-GB"/>
        </w:rPr>
        <w:t>eribulin</w:t>
      </w:r>
      <w:proofErr w:type="spellEnd"/>
      <w:r w:rsidRPr="00B010BF">
        <w:rPr>
          <w:szCs w:val="22"/>
          <w:lang w:val="en-GB"/>
        </w:rPr>
        <w:t xml:space="preserve"> cost per patient per course was based on </w:t>
      </w:r>
      <w:r w:rsidR="00E43AB9" w:rsidRPr="00B010BF">
        <w:rPr>
          <w:szCs w:val="22"/>
          <w:lang w:val="en-GB"/>
        </w:rPr>
        <w:t xml:space="preserve">assumptions </w:t>
      </w:r>
      <w:r w:rsidR="008660D2" w:rsidRPr="00B010BF">
        <w:rPr>
          <w:szCs w:val="22"/>
          <w:lang w:val="en-GB"/>
        </w:rPr>
        <w:t xml:space="preserve">presented </w:t>
      </w:r>
      <w:r w:rsidR="00E43AB9" w:rsidRPr="00B010BF">
        <w:rPr>
          <w:szCs w:val="22"/>
          <w:lang w:val="en-GB"/>
        </w:rPr>
        <w:t>in the submission to estimate the financial impact</w:t>
      </w:r>
      <w:r w:rsidRPr="00B010BF">
        <w:rPr>
          <w:szCs w:val="22"/>
          <w:lang w:val="en-GB"/>
        </w:rPr>
        <w:t xml:space="preserve">. </w:t>
      </w:r>
      <w:r w:rsidR="008660D2" w:rsidRPr="00B010BF">
        <w:rPr>
          <w:lang w:val="en-GB"/>
        </w:rPr>
        <w:t xml:space="preserve">The submission assumed that every patient would receive 2.19 vials </w:t>
      </w:r>
      <w:r w:rsidR="00B07E99" w:rsidRPr="00B010BF">
        <w:rPr>
          <w:lang w:val="en-GB"/>
        </w:rPr>
        <w:t>(</w:t>
      </w:r>
      <w:r w:rsidR="00484C8B" w:rsidRPr="00B010BF">
        <w:rPr>
          <w:lang w:val="en-GB"/>
        </w:rPr>
        <w:t xml:space="preserve">1 mg in </w:t>
      </w:r>
      <w:r w:rsidR="00B07E99" w:rsidRPr="00B010BF">
        <w:rPr>
          <w:lang w:val="en-GB"/>
        </w:rPr>
        <w:t xml:space="preserve">2 mL) </w:t>
      </w:r>
      <w:r w:rsidR="008660D2" w:rsidRPr="00B010BF">
        <w:rPr>
          <w:lang w:val="en-GB"/>
        </w:rPr>
        <w:t xml:space="preserve">per infusion </w:t>
      </w:r>
      <w:r w:rsidR="008A0E08" w:rsidRPr="00B010BF">
        <w:rPr>
          <w:lang w:val="en-GB"/>
        </w:rPr>
        <w:t>(</w:t>
      </w:r>
      <w:r w:rsidR="008660D2" w:rsidRPr="00B010BF">
        <w:rPr>
          <w:lang w:val="en-GB"/>
        </w:rPr>
        <w:t xml:space="preserve">based on </w:t>
      </w:r>
      <w:r w:rsidR="00124895" w:rsidRPr="00B010BF">
        <w:rPr>
          <w:lang w:val="en-GB"/>
        </w:rPr>
        <w:t>the recommended</w:t>
      </w:r>
      <w:r w:rsidR="008660D2" w:rsidRPr="00B010BF">
        <w:rPr>
          <w:lang w:val="en-GB"/>
        </w:rPr>
        <w:t xml:space="preserve"> </w:t>
      </w:r>
      <w:proofErr w:type="spellStart"/>
      <w:r w:rsidR="008660D2" w:rsidRPr="00B010BF">
        <w:rPr>
          <w:lang w:val="en-GB"/>
        </w:rPr>
        <w:t>eribulin</w:t>
      </w:r>
      <w:proofErr w:type="spellEnd"/>
      <w:r w:rsidR="008660D2" w:rsidRPr="00B010BF">
        <w:rPr>
          <w:lang w:val="en-GB"/>
        </w:rPr>
        <w:t xml:space="preserve"> dose of 1.40</w:t>
      </w:r>
      <w:r w:rsidR="008F0319" w:rsidRPr="00B010BF">
        <w:rPr>
          <w:lang w:val="en-GB"/>
        </w:rPr>
        <w:t> </w:t>
      </w:r>
      <w:r w:rsidR="008660D2" w:rsidRPr="00B010BF">
        <w:rPr>
          <w:lang w:val="en-GB"/>
        </w:rPr>
        <w:t>mg/m</w:t>
      </w:r>
      <w:r w:rsidR="008660D2" w:rsidRPr="00B010BF">
        <w:rPr>
          <w:vertAlign w:val="superscript"/>
          <w:lang w:val="en-GB"/>
        </w:rPr>
        <w:t>2</w:t>
      </w:r>
      <w:r w:rsidR="008660D2" w:rsidRPr="00B010BF">
        <w:rPr>
          <w:lang w:val="en-GB"/>
        </w:rPr>
        <w:t xml:space="preserve">, </w:t>
      </w:r>
      <w:r w:rsidR="008A0E08" w:rsidRPr="00B010BF">
        <w:rPr>
          <w:lang w:val="en-GB"/>
        </w:rPr>
        <w:t xml:space="preserve">using </w:t>
      </w:r>
      <w:r w:rsidR="008660D2" w:rsidRPr="00B010BF">
        <w:rPr>
          <w:lang w:val="en-GB"/>
        </w:rPr>
        <w:t>a</w:t>
      </w:r>
      <w:r w:rsidR="008A0E08" w:rsidRPr="00B010BF">
        <w:rPr>
          <w:lang w:val="en-GB"/>
        </w:rPr>
        <w:t xml:space="preserve">n average </w:t>
      </w:r>
      <w:r w:rsidR="008660D2" w:rsidRPr="00B010BF">
        <w:rPr>
          <w:lang w:val="en-GB"/>
        </w:rPr>
        <w:t>body surface area of 1.82</w:t>
      </w:r>
      <w:r w:rsidR="008F0319" w:rsidRPr="00B010BF">
        <w:rPr>
          <w:lang w:val="en-GB"/>
        </w:rPr>
        <w:t> </w:t>
      </w:r>
      <w:r w:rsidR="008660D2" w:rsidRPr="00B010BF">
        <w:rPr>
          <w:lang w:val="en-GB"/>
        </w:rPr>
        <w:t>m</w:t>
      </w:r>
      <w:r w:rsidR="008660D2" w:rsidRPr="00B010BF">
        <w:rPr>
          <w:vertAlign w:val="superscript"/>
          <w:lang w:val="en-GB"/>
        </w:rPr>
        <w:t>2</w:t>
      </w:r>
      <w:r w:rsidR="008660D2" w:rsidRPr="00B010BF">
        <w:rPr>
          <w:lang w:val="en-GB"/>
        </w:rPr>
        <w:t>, and a dose intensity of 86% from Study 309</w:t>
      </w:r>
      <w:r w:rsidR="00EF241F" w:rsidRPr="00B010BF">
        <w:rPr>
          <w:lang w:val="en-GB"/>
        </w:rPr>
        <w:t>; but excluded potential wastage</w:t>
      </w:r>
      <w:r w:rsidR="008A0E08" w:rsidRPr="00B010BF">
        <w:rPr>
          <w:lang w:val="en-GB"/>
        </w:rPr>
        <w:t>)</w:t>
      </w:r>
      <w:r w:rsidR="00413CE0">
        <w:rPr>
          <w:lang w:val="en-GB"/>
        </w:rPr>
        <w:t xml:space="preserve">. On the basis of </w:t>
      </w:r>
      <w:r w:rsidR="008660D2" w:rsidRPr="00B010BF">
        <w:rPr>
          <w:lang w:val="en-GB"/>
        </w:rPr>
        <w:t xml:space="preserve">Study 309, it was </w:t>
      </w:r>
      <w:r w:rsidR="00413CE0">
        <w:rPr>
          <w:lang w:val="en-GB"/>
        </w:rPr>
        <w:t xml:space="preserve">also </w:t>
      </w:r>
      <w:r w:rsidR="008660D2" w:rsidRPr="00B010BF">
        <w:rPr>
          <w:lang w:val="en-GB"/>
        </w:rPr>
        <w:t>assumed each patient would receive 10.</w:t>
      </w:r>
      <w:r w:rsidR="008A0E08" w:rsidRPr="00B010BF">
        <w:rPr>
          <w:lang w:val="en-GB"/>
        </w:rPr>
        <w:t>6</w:t>
      </w:r>
      <w:r w:rsidR="008660D2" w:rsidRPr="00B010BF">
        <w:rPr>
          <w:lang w:val="en-GB"/>
        </w:rPr>
        <w:t>2</w:t>
      </w:r>
      <w:r w:rsidR="00484C8B" w:rsidRPr="00B010BF">
        <w:rPr>
          <w:lang w:val="en-GB"/>
        </w:rPr>
        <w:t> </w:t>
      </w:r>
      <w:r w:rsidR="008660D2" w:rsidRPr="00B010BF">
        <w:rPr>
          <w:lang w:val="en-GB"/>
        </w:rPr>
        <w:t xml:space="preserve">infusions. </w:t>
      </w:r>
      <w:r w:rsidR="000678AF" w:rsidRPr="00B010BF">
        <w:rPr>
          <w:szCs w:val="22"/>
          <w:lang w:val="en-GB"/>
        </w:rPr>
        <w:t>B</w:t>
      </w:r>
      <w:r w:rsidR="00E43AB9" w:rsidRPr="00B010BF">
        <w:rPr>
          <w:szCs w:val="22"/>
          <w:lang w:val="en-GB"/>
        </w:rPr>
        <w:t>ased on doxorubicin prescribing</w:t>
      </w:r>
      <w:r w:rsidR="000D2830" w:rsidRPr="00B010BF">
        <w:rPr>
          <w:szCs w:val="22"/>
          <w:lang w:val="en-GB"/>
        </w:rPr>
        <w:t xml:space="preserve"> patterns</w:t>
      </w:r>
      <w:r w:rsidR="00E43AB9" w:rsidRPr="00B010BF">
        <w:rPr>
          <w:szCs w:val="22"/>
          <w:lang w:val="en-GB"/>
        </w:rPr>
        <w:t>, the submission</w:t>
      </w:r>
      <w:r w:rsidRPr="00B010BF">
        <w:rPr>
          <w:szCs w:val="22"/>
          <w:lang w:val="en-GB"/>
        </w:rPr>
        <w:t xml:space="preserve"> assumed that 31% would be treated in the public hospital and the remaining in a </w:t>
      </w:r>
      <w:r w:rsidRPr="00B010BF">
        <w:rPr>
          <w:szCs w:val="22"/>
          <w:lang w:val="en-GB"/>
        </w:rPr>
        <w:lastRenderedPageBreak/>
        <w:t>private hospital. The costs included the effective price of $</w:t>
      </w:r>
      <w:r w:rsidR="002E58CD">
        <w:rPr>
          <w:noProof/>
          <w:color w:val="000000"/>
          <w:szCs w:val="22"/>
          <w:highlight w:val="black"/>
          <w:lang w:val="en-GB"/>
        </w:rPr>
        <w:t>'''''''''</w:t>
      </w:r>
      <w:r w:rsidRPr="00B010BF">
        <w:rPr>
          <w:szCs w:val="22"/>
          <w:lang w:val="en-GB"/>
        </w:rPr>
        <w:t xml:space="preserve"> ex-manufacturer </w:t>
      </w:r>
      <w:r w:rsidR="00E43AB9" w:rsidRPr="00B010BF">
        <w:rPr>
          <w:szCs w:val="22"/>
          <w:lang w:val="en-GB"/>
        </w:rPr>
        <w:t xml:space="preserve">per vial </w:t>
      </w:r>
      <w:r w:rsidR="008660D2" w:rsidRPr="00B010BF">
        <w:rPr>
          <w:szCs w:val="22"/>
          <w:lang w:val="en-GB"/>
        </w:rPr>
        <w:t>(1</w:t>
      </w:r>
      <w:r w:rsidR="008F0319" w:rsidRPr="00B010BF">
        <w:rPr>
          <w:szCs w:val="22"/>
          <w:lang w:val="en-GB"/>
        </w:rPr>
        <w:t> </w:t>
      </w:r>
      <w:r w:rsidR="008660D2" w:rsidRPr="00B010BF">
        <w:rPr>
          <w:szCs w:val="22"/>
          <w:lang w:val="en-GB"/>
        </w:rPr>
        <w:t>mg in 2</w:t>
      </w:r>
      <w:r w:rsidR="008F0319" w:rsidRPr="00B010BF">
        <w:rPr>
          <w:szCs w:val="22"/>
          <w:lang w:val="en-GB"/>
        </w:rPr>
        <w:t> </w:t>
      </w:r>
      <w:r w:rsidR="008660D2" w:rsidRPr="00B010BF">
        <w:rPr>
          <w:szCs w:val="22"/>
          <w:lang w:val="en-GB"/>
        </w:rPr>
        <w:t xml:space="preserve">mL) </w:t>
      </w:r>
      <w:r w:rsidRPr="00B010BF">
        <w:rPr>
          <w:szCs w:val="22"/>
          <w:lang w:val="en-GB"/>
        </w:rPr>
        <w:t>and dispensing fees/mark-ups</w:t>
      </w:r>
      <w:r w:rsidR="00E43AB9" w:rsidRPr="00B010BF">
        <w:rPr>
          <w:szCs w:val="22"/>
          <w:lang w:val="en-GB"/>
        </w:rPr>
        <w:t xml:space="preserve"> per infusion</w:t>
      </w:r>
      <w:r w:rsidRPr="00B010BF">
        <w:rPr>
          <w:szCs w:val="22"/>
          <w:lang w:val="en-GB"/>
        </w:rPr>
        <w:t xml:space="preserve"> of $</w:t>
      </w:r>
      <w:r w:rsidRPr="00EC2DF3">
        <w:rPr>
          <w:szCs w:val="22"/>
          <w:lang w:val="en-GB"/>
        </w:rPr>
        <w:t>82.67</w:t>
      </w:r>
      <w:r w:rsidRPr="00B010BF">
        <w:rPr>
          <w:szCs w:val="22"/>
          <w:lang w:val="en-GB"/>
        </w:rPr>
        <w:t xml:space="preserve"> for the public hospital setting and $</w:t>
      </w:r>
      <w:r w:rsidRPr="00EC2DF3">
        <w:rPr>
          <w:szCs w:val="22"/>
          <w:lang w:val="en-GB"/>
        </w:rPr>
        <w:t>123.62</w:t>
      </w:r>
      <w:r w:rsidRPr="00B010BF">
        <w:rPr>
          <w:szCs w:val="22"/>
          <w:lang w:val="en-GB"/>
        </w:rPr>
        <w:t xml:space="preserve"> for the private hospital setting</w:t>
      </w:r>
      <w:r w:rsidR="008660D2" w:rsidRPr="00B010BF">
        <w:rPr>
          <w:szCs w:val="22"/>
          <w:lang w:val="en-GB"/>
        </w:rPr>
        <w:t xml:space="preserve"> (1</w:t>
      </w:r>
      <w:r w:rsidR="008F0319" w:rsidRPr="00B010BF">
        <w:rPr>
          <w:szCs w:val="22"/>
          <w:lang w:val="en-GB"/>
        </w:rPr>
        <w:t> </w:t>
      </w:r>
      <w:r w:rsidR="008660D2" w:rsidRPr="00B010BF">
        <w:rPr>
          <w:szCs w:val="22"/>
          <w:lang w:val="en-GB"/>
        </w:rPr>
        <w:t>April 2016 PBS Schedule)</w:t>
      </w:r>
      <w:r w:rsidR="004E2076">
        <w:rPr>
          <w:szCs w:val="22"/>
          <w:lang w:val="en-GB"/>
        </w:rPr>
        <w:t>.</w:t>
      </w:r>
    </w:p>
    <w:p w:rsidR="00B60939" w:rsidRPr="00B010BF" w:rsidRDefault="00B60939" w:rsidP="00903665">
      <w:pPr>
        <w:widowControl/>
        <w:rPr>
          <w:szCs w:val="22"/>
          <w:lang w:val="en-GB"/>
        </w:rPr>
      </w:pPr>
    </w:p>
    <w:p w:rsidR="00B60939" w:rsidRPr="00B010BF" w:rsidRDefault="00B60939" w:rsidP="00903665">
      <w:pPr>
        <w:pStyle w:val="Heading3"/>
        <w:widowControl/>
        <w:rPr>
          <w:i w:val="0"/>
        </w:rPr>
      </w:pPr>
      <w:bookmarkStart w:id="15" w:name="_Toc461622511"/>
      <w:r w:rsidRPr="00B010BF">
        <w:rPr>
          <w:i w:val="0"/>
        </w:rPr>
        <w:t>Estimated PBS usage &amp; financial implications</w:t>
      </w:r>
      <w:bookmarkEnd w:id="15"/>
    </w:p>
    <w:p w:rsidR="00B60939" w:rsidRPr="00B010BF" w:rsidRDefault="00B60939" w:rsidP="00903665">
      <w:pPr>
        <w:keepNext/>
        <w:widowControl/>
        <w:ind w:left="720" w:hanging="720"/>
        <w:rPr>
          <w:b/>
          <w:szCs w:val="22"/>
          <w:lang w:val="en-GB"/>
        </w:rPr>
      </w:pPr>
    </w:p>
    <w:p w:rsidR="0072416F" w:rsidRPr="00B010BF" w:rsidRDefault="00C25D9C" w:rsidP="00A728F8">
      <w:pPr>
        <w:pStyle w:val="ListParagraph"/>
        <w:keepNext/>
        <w:widowControl/>
        <w:numPr>
          <w:ilvl w:val="1"/>
          <w:numId w:val="2"/>
        </w:numPr>
        <w:rPr>
          <w:szCs w:val="22"/>
          <w:lang w:val="en-GB"/>
        </w:rPr>
      </w:pPr>
      <w:r w:rsidRPr="00B010BF">
        <w:rPr>
          <w:lang w:val="en-GB"/>
        </w:rPr>
        <w:t xml:space="preserve">This submission </w:t>
      </w:r>
      <w:r w:rsidR="00EB1E67" w:rsidRPr="00B010BF">
        <w:rPr>
          <w:lang w:val="en-GB"/>
        </w:rPr>
        <w:t>was not</w:t>
      </w:r>
      <w:r w:rsidRPr="00B010BF">
        <w:rPr>
          <w:lang w:val="en-GB"/>
        </w:rPr>
        <w:t xml:space="preserve"> considered by DUSC</w:t>
      </w:r>
      <w:r w:rsidRPr="00B010BF">
        <w:rPr>
          <w:color w:val="0070C0"/>
          <w:lang w:val="en-GB"/>
        </w:rPr>
        <w:t xml:space="preserve">. </w:t>
      </w:r>
      <w:r w:rsidR="00F54375" w:rsidRPr="00B010BF">
        <w:rPr>
          <w:lang w:val="en-GB"/>
        </w:rPr>
        <w:t>The estimated use and financial implications are presented in Table 1</w:t>
      </w:r>
      <w:r w:rsidR="00D335BF" w:rsidRPr="00B010BF">
        <w:rPr>
          <w:lang w:val="en-GB"/>
        </w:rPr>
        <w:t>1</w:t>
      </w:r>
      <w:r w:rsidR="004E2076">
        <w:rPr>
          <w:lang w:val="en-GB"/>
        </w:rPr>
        <w:t>.</w:t>
      </w:r>
    </w:p>
    <w:p w:rsidR="00C25D9C" w:rsidRPr="00B010BF" w:rsidRDefault="00C25D9C" w:rsidP="00903665">
      <w:pPr>
        <w:widowControl/>
        <w:rPr>
          <w:szCs w:val="22"/>
          <w:lang w:val="en-GB"/>
        </w:rPr>
      </w:pPr>
    </w:p>
    <w:p w:rsidR="001028CA" w:rsidRDefault="001028CA" w:rsidP="00813FEF">
      <w:pPr>
        <w:pStyle w:val="Caption"/>
        <w:keepNext/>
        <w:widowControl/>
        <w:ind w:left="709"/>
        <w:rPr>
          <w:vertAlign w:val="superscript"/>
        </w:rPr>
      </w:pPr>
      <w:r w:rsidRPr="00B010BF">
        <w:t xml:space="preserve">Table </w:t>
      </w:r>
      <w:r w:rsidR="00556B92">
        <w:rPr>
          <w:noProof/>
        </w:rPr>
        <w:t>11</w:t>
      </w:r>
      <w:r w:rsidRPr="00B010BF">
        <w:t>: Estimated use and financial implications (italics = Australian epidemiological sources)</w:t>
      </w:r>
      <w:r w:rsidRPr="00B010BF">
        <w:rPr>
          <w:vertAlign w:val="superscript"/>
        </w:rPr>
        <w:t xml:space="preserve"> a</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94"/>
        <w:gridCol w:w="1350"/>
        <w:gridCol w:w="1198"/>
        <w:gridCol w:w="1198"/>
        <w:gridCol w:w="1198"/>
        <w:gridCol w:w="1207"/>
      </w:tblGrid>
      <w:tr w:rsidR="00BC14E4" w:rsidRPr="00CD0DEF" w:rsidTr="00813FEF">
        <w:trPr>
          <w:cantSplit/>
          <w:tblHeader/>
        </w:trPr>
        <w:tc>
          <w:tcPr>
            <w:tcW w:w="1314" w:type="pct"/>
            <w:shd w:val="clear" w:color="auto" w:fill="auto"/>
            <w:vAlign w:val="center"/>
          </w:tcPr>
          <w:p w:rsidR="00BC14E4" w:rsidRPr="00CD0DEF" w:rsidRDefault="00BC14E4" w:rsidP="003223D2">
            <w:pPr>
              <w:keepNext/>
              <w:widowControl/>
              <w:tabs>
                <w:tab w:val="left" w:pos="142"/>
              </w:tabs>
              <w:jc w:val="left"/>
              <w:rPr>
                <w:rFonts w:ascii="Arial Narrow" w:hAnsi="Arial Narrow"/>
                <w:b/>
                <w:sz w:val="20"/>
                <w:lang w:val="en-GB"/>
              </w:rPr>
            </w:pPr>
          </w:p>
        </w:tc>
        <w:tc>
          <w:tcPr>
            <w:tcW w:w="809" w:type="pct"/>
            <w:shd w:val="clear" w:color="auto" w:fill="auto"/>
            <w:vAlign w:val="center"/>
          </w:tcPr>
          <w:p w:rsidR="00BC14E4" w:rsidRPr="00CD0DEF" w:rsidRDefault="00BC14E4" w:rsidP="003223D2">
            <w:pPr>
              <w:keepNext/>
              <w:widowControl/>
              <w:jc w:val="center"/>
              <w:rPr>
                <w:rFonts w:ascii="Arial Narrow" w:hAnsi="Arial Narrow"/>
                <w:b/>
                <w:sz w:val="20"/>
                <w:lang w:val="en-GB"/>
              </w:rPr>
            </w:pPr>
            <w:r w:rsidRPr="00CD0DEF">
              <w:rPr>
                <w:rFonts w:ascii="Arial Narrow" w:hAnsi="Arial Narrow"/>
                <w:b/>
                <w:sz w:val="20"/>
                <w:lang w:val="en-GB"/>
              </w:rPr>
              <w:t>Year 1</w:t>
            </w:r>
          </w:p>
        </w:tc>
        <w:tc>
          <w:tcPr>
            <w:tcW w:w="718" w:type="pct"/>
            <w:shd w:val="clear" w:color="auto" w:fill="auto"/>
            <w:vAlign w:val="center"/>
          </w:tcPr>
          <w:p w:rsidR="00BC14E4" w:rsidRPr="00CD0DEF" w:rsidRDefault="00BC14E4" w:rsidP="003223D2">
            <w:pPr>
              <w:keepNext/>
              <w:widowControl/>
              <w:jc w:val="center"/>
              <w:rPr>
                <w:rFonts w:ascii="Arial Narrow" w:hAnsi="Arial Narrow"/>
                <w:b/>
                <w:sz w:val="20"/>
                <w:lang w:val="en-GB"/>
              </w:rPr>
            </w:pPr>
            <w:r w:rsidRPr="00CD0DEF">
              <w:rPr>
                <w:rFonts w:ascii="Arial Narrow" w:hAnsi="Arial Narrow"/>
                <w:b/>
                <w:sz w:val="20"/>
                <w:lang w:val="en-GB"/>
              </w:rPr>
              <w:t>Year 2</w:t>
            </w:r>
          </w:p>
        </w:tc>
        <w:tc>
          <w:tcPr>
            <w:tcW w:w="718" w:type="pct"/>
            <w:shd w:val="clear" w:color="auto" w:fill="auto"/>
            <w:vAlign w:val="center"/>
          </w:tcPr>
          <w:p w:rsidR="00BC14E4" w:rsidRPr="00CD0DEF" w:rsidRDefault="00BC14E4" w:rsidP="003223D2">
            <w:pPr>
              <w:keepNext/>
              <w:widowControl/>
              <w:jc w:val="center"/>
              <w:rPr>
                <w:rFonts w:ascii="Arial Narrow" w:hAnsi="Arial Narrow"/>
                <w:b/>
                <w:sz w:val="20"/>
                <w:lang w:val="en-GB"/>
              </w:rPr>
            </w:pPr>
            <w:r w:rsidRPr="00CD0DEF">
              <w:rPr>
                <w:rFonts w:ascii="Arial Narrow" w:hAnsi="Arial Narrow"/>
                <w:b/>
                <w:sz w:val="20"/>
                <w:lang w:val="en-GB"/>
              </w:rPr>
              <w:t>Year 3</w:t>
            </w:r>
          </w:p>
        </w:tc>
        <w:tc>
          <w:tcPr>
            <w:tcW w:w="718" w:type="pct"/>
            <w:shd w:val="clear" w:color="auto" w:fill="auto"/>
            <w:vAlign w:val="center"/>
          </w:tcPr>
          <w:p w:rsidR="00BC14E4" w:rsidRPr="00CD0DEF" w:rsidRDefault="00BC14E4" w:rsidP="003223D2">
            <w:pPr>
              <w:keepNext/>
              <w:widowControl/>
              <w:jc w:val="center"/>
              <w:rPr>
                <w:rFonts w:ascii="Arial Narrow" w:hAnsi="Arial Narrow"/>
                <w:b/>
                <w:sz w:val="20"/>
                <w:lang w:val="en-GB"/>
              </w:rPr>
            </w:pPr>
            <w:r w:rsidRPr="00CD0DEF">
              <w:rPr>
                <w:rFonts w:ascii="Arial Narrow" w:hAnsi="Arial Narrow"/>
                <w:b/>
                <w:sz w:val="20"/>
                <w:lang w:val="en-GB"/>
              </w:rPr>
              <w:t>Year 4</w:t>
            </w:r>
          </w:p>
        </w:tc>
        <w:tc>
          <w:tcPr>
            <w:tcW w:w="723" w:type="pct"/>
            <w:shd w:val="clear" w:color="auto" w:fill="auto"/>
            <w:vAlign w:val="center"/>
          </w:tcPr>
          <w:p w:rsidR="00BC14E4" w:rsidRPr="00CD0DEF" w:rsidRDefault="00BC14E4" w:rsidP="003223D2">
            <w:pPr>
              <w:keepNext/>
              <w:widowControl/>
              <w:jc w:val="center"/>
              <w:rPr>
                <w:rFonts w:ascii="Arial Narrow" w:hAnsi="Arial Narrow"/>
                <w:b/>
                <w:sz w:val="20"/>
                <w:lang w:val="en-GB"/>
              </w:rPr>
            </w:pPr>
            <w:r w:rsidRPr="00CD0DEF">
              <w:rPr>
                <w:rFonts w:ascii="Arial Narrow" w:hAnsi="Arial Narrow"/>
                <w:b/>
                <w:sz w:val="20"/>
                <w:lang w:val="en-GB"/>
              </w:rPr>
              <w:t>Year 5</w:t>
            </w:r>
          </w:p>
        </w:tc>
      </w:tr>
      <w:tr w:rsidR="00BC14E4" w:rsidRPr="00CD0DEF" w:rsidTr="00813FEF">
        <w:trPr>
          <w:cantSplit/>
        </w:trPr>
        <w:tc>
          <w:tcPr>
            <w:tcW w:w="5000" w:type="pct"/>
            <w:gridSpan w:val="6"/>
            <w:shd w:val="clear" w:color="auto" w:fill="auto"/>
            <w:vAlign w:val="center"/>
          </w:tcPr>
          <w:p w:rsidR="00BC14E4" w:rsidRPr="00CD0DEF" w:rsidRDefault="00BC14E4" w:rsidP="003223D2">
            <w:pPr>
              <w:keepNext/>
              <w:widowControl/>
              <w:jc w:val="left"/>
              <w:rPr>
                <w:rFonts w:ascii="Arial Narrow" w:hAnsi="Arial Narrow"/>
                <w:b/>
                <w:bCs/>
                <w:color w:val="000000"/>
                <w:sz w:val="20"/>
                <w:lang w:val="en-GB"/>
              </w:rPr>
            </w:pPr>
            <w:r w:rsidRPr="00CD0DEF">
              <w:rPr>
                <w:rFonts w:ascii="Arial Narrow" w:hAnsi="Arial Narrow"/>
                <w:b/>
                <w:bCs/>
                <w:color w:val="000000"/>
                <w:sz w:val="20"/>
                <w:lang w:val="en-GB"/>
              </w:rPr>
              <w:t>Estimated extent of use</w:t>
            </w:r>
          </w:p>
        </w:tc>
      </w:tr>
      <w:tr w:rsidR="00BC14E4" w:rsidRPr="00CD0DEF" w:rsidTr="00813FEF">
        <w:trPr>
          <w:cantSplit/>
        </w:trPr>
        <w:tc>
          <w:tcPr>
            <w:tcW w:w="1314" w:type="pct"/>
            <w:shd w:val="clear" w:color="auto" w:fill="auto"/>
            <w:vAlign w:val="center"/>
          </w:tcPr>
          <w:p w:rsidR="00BC14E4" w:rsidRDefault="00BC14E4" w:rsidP="003223D2">
            <w:pPr>
              <w:keepNext/>
              <w:widowControl/>
              <w:tabs>
                <w:tab w:val="left" w:pos="142"/>
              </w:tabs>
              <w:jc w:val="left"/>
              <w:rPr>
                <w:rFonts w:ascii="Arial Narrow" w:hAnsi="Arial Narrow"/>
                <w:sz w:val="20"/>
                <w:lang w:val="en-GB"/>
              </w:rPr>
            </w:pPr>
            <w:r w:rsidRPr="00CD0DEF">
              <w:rPr>
                <w:rFonts w:ascii="Arial Narrow" w:hAnsi="Arial Narrow"/>
                <w:sz w:val="20"/>
                <w:lang w:val="en-GB"/>
              </w:rPr>
              <w:t>Number treated</w:t>
            </w:r>
          </w:p>
          <w:p w:rsidR="00BC14E4" w:rsidRPr="00723134" w:rsidRDefault="00BC14E4" w:rsidP="003223D2">
            <w:pPr>
              <w:keepNext/>
              <w:widowControl/>
              <w:tabs>
                <w:tab w:val="left" w:pos="142"/>
              </w:tabs>
              <w:jc w:val="left"/>
              <w:rPr>
                <w:rFonts w:ascii="Arial Narrow" w:hAnsi="Arial Narrow"/>
                <w:sz w:val="20"/>
                <w:vertAlign w:val="superscript"/>
                <w:lang w:val="en-GB"/>
              </w:rPr>
            </w:pPr>
            <w:proofErr w:type="spellStart"/>
            <w:r>
              <w:rPr>
                <w:rFonts w:ascii="Arial Narrow" w:hAnsi="Arial Narrow"/>
                <w:sz w:val="20"/>
                <w:lang w:val="en-GB"/>
              </w:rPr>
              <w:t>Revised</w:t>
            </w:r>
            <w:r>
              <w:rPr>
                <w:rFonts w:ascii="Arial Narrow" w:hAnsi="Arial Narrow"/>
                <w:sz w:val="20"/>
                <w:vertAlign w:val="superscript"/>
                <w:lang w:val="en-GB"/>
              </w:rPr>
              <w:t>a</w:t>
            </w:r>
            <w:proofErr w:type="spellEnd"/>
          </w:p>
        </w:tc>
        <w:tc>
          <w:tcPr>
            <w:tcW w:w="809" w:type="pct"/>
            <w:shd w:val="clear" w:color="auto" w:fill="auto"/>
            <w:vAlign w:val="center"/>
          </w:tcPr>
          <w:p w:rsidR="00BC14E4" w:rsidRPr="002E58CD" w:rsidRDefault="002E58CD" w:rsidP="003223D2">
            <w:pPr>
              <w:keepNext/>
              <w:widowControl/>
              <w:jc w:val="center"/>
              <w:rPr>
                <w:rFonts w:ascii="Arial Narrow" w:hAnsi="Arial Narrow"/>
                <w:sz w:val="20"/>
                <w:highlight w:val="black"/>
              </w:rPr>
            </w:pPr>
            <w:r>
              <w:rPr>
                <w:rFonts w:ascii="Arial Narrow" w:hAnsi="Arial Narrow"/>
                <w:noProof/>
                <w:color w:val="000000"/>
                <w:sz w:val="20"/>
                <w:highlight w:val="black"/>
              </w:rPr>
              <w:t>''''''''''</w:t>
            </w:r>
          </w:p>
          <w:p w:rsidR="00BC14E4" w:rsidRPr="002E58CD" w:rsidRDefault="002E58CD" w:rsidP="003223D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718" w:type="pct"/>
            <w:shd w:val="clear" w:color="auto" w:fill="auto"/>
            <w:vAlign w:val="center"/>
          </w:tcPr>
          <w:p w:rsidR="00BC14E4" w:rsidRPr="002E58CD" w:rsidRDefault="002E58CD" w:rsidP="003223D2">
            <w:pPr>
              <w:keepNext/>
              <w:widowControl/>
              <w:jc w:val="center"/>
              <w:rPr>
                <w:rFonts w:ascii="Arial Narrow" w:hAnsi="Arial Narrow"/>
                <w:sz w:val="20"/>
                <w:highlight w:val="black"/>
              </w:rPr>
            </w:pPr>
            <w:r>
              <w:rPr>
                <w:rFonts w:ascii="Arial Narrow" w:hAnsi="Arial Narrow"/>
                <w:noProof/>
                <w:color w:val="000000"/>
                <w:sz w:val="20"/>
                <w:highlight w:val="black"/>
              </w:rPr>
              <w:t>''''''</w:t>
            </w:r>
          </w:p>
          <w:p w:rsidR="00BC14E4" w:rsidRPr="002E58CD" w:rsidRDefault="002E58CD" w:rsidP="003223D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718" w:type="pct"/>
            <w:shd w:val="clear" w:color="auto" w:fill="auto"/>
            <w:vAlign w:val="center"/>
          </w:tcPr>
          <w:p w:rsidR="00BC14E4" w:rsidRPr="002E58CD" w:rsidRDefault="002E58CD" w:rsidP="003223D2">
            <w:pPr>
              <w:keepNext/>
              <w:widowControl/>
              <w:jc w:val="center"/>
              <w:rPr>
                <w:rFonts w:ascii="Arial Narrow" w:hAnsi="Arial Narrow"/>
                <w:sz w:val="20"/>
                <w:highlight w:val="black"/>
              </w:rPr>
            </w:pPr>
            <w:r>
              <w:rPr>
                <w:rFonts w:ascii="Arial Narrow" w:hAnsi="Arial Narrow"/>
                <w:noProof/>
                <w:color w:val="000000"/>
                <w:sz w:val="20"/>
                <w:highlight w:val="black"/>
              </w:rPr>
              <w:t>'''''</w:t>
            </w:r>
          </w:p>
          <w:p w:rsidR="00BC14E4" w:rsidRPr="002E58CD" w:rsidRDefault="002E58CD" w:rsidP="003223D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718" w:type="pct"/>
            <w:shd w:val="clear" w:color="auto" w:fill="auto"/>
            <w:vAlign w:val="center"/>
          </w:tcPr>
          <w:p w:rsidR="00BC14E4" w:rsidRPr="002E58CD" w:rsidRDefault="002E58CD" w:rsidP="003223D2">
            <w:pPr>
              <w:keepNext/>
              <w:widowControl/>
              <w:jc w:val="center"/>
              <w:rPr>
                <w:rFonts w:ascii="Arial Narrow" w:hAnsi="Arial Narrow"/>
                <w:sz w:val="20"/>
                <w:highlight w:val="black"/>
              </w:rPr>
            </w:pPr>
            <w:r>
              <w:rPr>
                <w:rFonts w:ascii="Arial Narrow" w:hAnsi="Arial Narrow"/>
                <w:noProof/>
                <w:color w:val="000000"/>
                <w:sz w:val="20"/>
                <w:highlight w:val="black"/>
              </w:rPr>
              <w:t>'''''''</w:t>
            </w:r>
          </w:p>
          <w:p w:rsidR="00BC14E4" w:rsidRPr="002E58CD" w:rsidRDefault="002E58CD" w:rsidP="003223D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723" w:type="pct"/>
            <w:shd w:val="clear" w:color="auto" w:fill="auto"/>
            <w:vAlign w:val="center"/>
          </w:tcPr>
          <w:p w:rsidR="00BC14E4" w:rsidRPr="002E58CD" w:rsidRDefault="002E58CD" w:rsidP="003223D2">
            <w:pPr>
              <w:keepNext/>
              <w:widowControl/>
              <w:jc w:val="center"/>
              <w:rPr>
                <w:rFonts w:ascii="Arial Narrow" w:hAnsi="Arial Narrow"/>
                <w:sz w:val="20"/>
                <w:highlight w:val="black"/>
              </w:rPr>
            </w:pPr>
            <w:r>
              <w:rPr>
                <w:rFonts w:ascii="Arial Narrow" w:hAnsi="Arial Narrow"/>
                <w:noProof/>
                <w:color w:val="000000"/>
                <w:sz w:val="20"/>
                <w:highlight w:val="black"/>
              </w:rPr>
              <w:t>''''''</w:t>
            </w:r>
          </w:p>
          <w:p w:rsidR="00BC14E4" w:rsidRPr="002E58CD" w:rsidRDefault="002E58CD" w:rsidP="003223D2">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BC14E4" w:rsidRPr="00CD0DEF" w:rsidTr="00813FEF">
        <w:trPr>
          <w:cantSplit/>
        </w:trPr>
        <w:tc>
          <w:tcPr>
            <w:tcW w:w="1314" w:type="pct"/>
            <w:shd w:val="clear" w:color="auto" w:fill="auto"/>
            <w:vAlign w:val="center"/>
          </w:tcPr>
          <w:p w:rsidR="00BC14E4" w:rsidRPr="00CD0DEF" w:rsidRDefault="00BC14E4" w:rsidP="003223D2">
            <w:pPr>
              <w:keepNext/>
              <w:widowControl/>
              <w:tabs>
                <w:tab w:val="left" w:pos="142"/>
              </w:tabs>
              <w:jc w:val="left"/>
              <w:rPr>
                <w:rFonts w:ascii="Arial Narrow" w:hAnsi="Arial Narrow"/>
                <w:sz w:val="20"/>
                <w:lang w:val="en-GB"/>
              </w:rPr>
            </w:pPr>
            <w:r w:rsidRPr="00CD0DEF">
              <w:rPr>
                <w:rFonts w:ascii="Arial Narrow" w:hAnsi="Arial Narrow"/>
                <w:sz w:val="20"/>
                <w:lang w:val="en-GB"/>
              </w:rPr>
              <w:t>Market share</w:t>
            </w:r>
          </w:p>
        </w:tc>
        <w:tc>
          <w:tcPr>
            <w:tcW w:w="809" w:type="pct"/>
            <w:shd w:val="clear" w:color="auto" w:fill="auto"/>
            <w:vAlign w:val="center"/>
          </w:tcPr>
          <w:p w:rsidR="00BC14E4" w:rsidRPr="00CD0DEF" w:rsidRDefault="002E58CD" w:rsidP="003223D2">
            <w:pPr>
              <w:keepNext/>
              <w:widowControl/>
              <w:jc w:val="center"/>
              <w:rPr>
                <w:rFonts w:ascii="Arial Narrow" w:hAnsi="Arial Narrow"/>
                <w:bCs/>
                <w:color w:val="000000"/>
                <w:sz w:val="20"/>
                <w:lang w:val="en-GB"/>
              </w:rPr>
            </w:pPr>
            <w:r>
              <w:rPr>
                <w:rFonts w:ascii="Arial Narrow" w:hAnsi="Arial Narrow"/>
                <w:bCs/>
                <w:noProof/>
                <w:color w:val="000000"/>
                <w:sz w:val="20"/>
                <w:highlight w:val="black"/>
                <w:lang w:val="en-GB"/>
              </w:rPr>
              <w:t>'''''''''</w:t>
            </w:r>
            <w:r w:rsidR="00BC14E4">
              <w:rPr>
                <w:rFonts w:ascii="Arial Narrow" w:hAnsi="Arial Narrow"/>
                <w:bCs/>
                <w:color w:val="000000"/>
                <w:sz w:val="20"/>
                <w:lang w:val="en-GB"/>
              </w:rPr>
              <w:t>%</w:t>
            </w:r>
          </w:p>
        </w:tc>
        <w:tc>
          <w:tcPr>
            <w:tcW w:w="718" w:type="pct"/>
            <w:shd w:val="clear" w:color="auto" w:fill="auto"/>
          </w:tcPr>
          <w:p w:rsidR="00BC14E4" w:rsidRDefault="002E58CD" w:rsidP="003223D2">
            <w:pPr>
              <w:keepNext/>
              <w:widowControl/>
              <w:jc w:val="center"/>
            </w:pPr>
            <w:r>
              <w:rPr>
                <w:rFonts w:ascii="Arial Narrow" w:hAnsi="Arial Narrow"/>
                <w:bCs/>
                <w:noProof/>
                <w:color w:val="000000"/>
                <w:sz w:val="20"/>
                <w:highlight w:val="black"/>
                <w:lang w:val="en-GB"/>
              </w:rPr>
              <w:t>'''''''''</w:t>
            </w:r>
            <w:r w:rsidR="00BC14E4" w:rsidRPr="00C53807">
              <w:rPr>
                <w:rFonts w:ascii="Arial Narrow" w:hAnsi="Arial Narrow"/>
                <w:bCs/>
                <w:color w:val="000000"/>
                <w:sz w:val="20"/>
                <w:lang w:val="en-GB"/>
              </w:rPr>
              <w:t>%</w:t>
            </w:r>
          </w:p>
        </w:tc>
        <w:tc>
          <w:tcPr>
            <w:tcW w:w="718" w:type="pct"/>
            <w:shd w:val="clear" w:color="auto" w:fill="auto"/>
          </w:tcPr>
          <w:p w:rsidR="00BC14E4" w:rsidRDefault="002E58CD" w:rsidP="003223D2">
            <w:pPr>
              <w:keepNext/>
              <w:widowControl/>
              <w:jc w:val="center"/>
            </w:pPr>
            <w:r>
              <w:rPr>
                <w:rFonts w:ascii="Arial Narrow" w:hAnsi="Arial Narrow"/>
                <w:bCs/>
                <w:noProof/>
                <w:color w:val="000000"/>
                <w:sz w:val="20"/>
                <w:highlight w:val="black"/>
                <w:lang w:val="en-GB"/>
              </w:rPr>
              <w:t>''''''''''</w:t>
            </w:r>
            <w:r w:rsidR="00BC14E4" w:rsidRPr="00C53807">
              <w:rPr>
                <w:rFonts w:ascii="Arial Narrow" w:hAnsi="Arial Narrow"/>
                <w:bCs/>
                <w:color w:val="000000"/>
                <w:sz w:val="20"/>
                <w:lang w:val="en-GB"/>
              </w:rPr>
              <w:t>%</w:t>
            </w:r>
          </w:p>
        </w:tc>
        <w:tc>
          <w:tcPr>
            <w:tcW w:w="718" w:type="pct"/>
            <w:shd w:val="clear" w:color="auto" w:fill="auto"/>
          </w:tcPr>
          <w:p w:rsidR="00BC14E4" w:rsidRDefault="002E58CD" w:rsidP="003223D2">
            <w:pPr>
              <w:keepNext/>
              <w:widowControl/>
              <w:jc w:val="center"/>
            </w:pPr>
            <w:r>
              <w:rPr>
                <w:rFonts w:ascii="Arial Narrow" w:hAnsi="Arial Narrow"/>
                <w:bCs/>
                <w:noProof/>
                <w:color w:val="000000"/>
                <w:sz w:val="20"/>
                <w:highlight w:val="black"/>
                <w:lang w:val="en-GB"/>
              </w:rPr>
              <w:t>''''''''''</w:t>
            </w:r>
            <w:r w:rsidR="00BC14E4" w:rsidRPr="00C53807">
              <w:rPr>
                <w:rFonts w:ascii="Arial Narrow" w:hAnsi="Arial Narrow"/>
                <w:bCs/>
                <w:color w:val="000000"/>
                <w:sz w:val="20"/>
                <w:lang w:val="en-GB"/>
              </w:rPr>
              <w:t>%</w:t>
            </w:r>
          </w:p>
        </w:tc>
        <w:tc>
          <w:tcPr>
            <w:tcW w:w="723" w:type="pct"/>
            <w:shd w:val="clear" w:color="auto" w:fill="auto"/>
          </w:tcPr>
          <w:p w:rsidR="00BC14E4" w:rsidRDefault="002E58CD" w:rsidP="003223D2">
            <w:pPr>
              <w:keepNext/>
              <w:widowControl/>
              <w:jc w:val="center"/>
            </w:pPr>
            <w:r>
              <w:rPr>
                <w:rFonts w:ascii="Arial Narrow" w:hAnsi="Arial Narrow"/>
                <w:bCs/>
                <w:noProof/>
                <w:color w:val="000000"/>
                <w:sz w:val="20"/>
                <w:highlight w:val="black"/>
                <w:lang w:val="en-GB"/>
              </w:rPr>
              <w:t>''''''''''</w:t>
            </w:r>
            <w:r w:rsidR="00BC14E4" w:rsidRPr="00C53807">
              <w:rPr>
                <w:rFonts w:ascii="Arial Narrow" w:hAnsi="Arial Narrow"/>
                <w:bCs/>
                <w:color w:val="000000"/>
                <w:sz w:val="20"/>
                <w:lang w:val="en-GB"/>
              </w:rPr>
              <w:t>%</w:t>
            </w:r>
          </w:p>
        </w:tc>
      </w:tr>
      <w:tr w:rsidR="00BC14E4" w:rsidRPr="00CD0DEF" w:rsidTr="00813FEF">
        <w:trPr>
          <w:cantSplit/>
        </w:trPr>
        <w:tc>
          <w:tcPr>
            <w:tcW w:w="1314" w:type="pct"/>
            <w:shd w:val="clear" w:color="auto" w:fill="auto"/>
            <w:vAlign w:val="center"/>
          </w:tcPr>
          <w:p w:rsidR="00BC14E4" w:rsidRDefault="00BC14E4" w:rsidP="003223D2">
            <w:pPr>
              <w:keepNext/>
              <w:widowControl/>
              <w:tabs>
                <w:tab w:val="left" w:pos="142"/>
              </w:tabs>
              <w:jc w:val="left"/>
              <w:rPr>
                <w:rFonts w:ascii="Arial Narrow" w:hAnsi="Arial Narrow"/>
                <w:sz w:val="20"/>
                <w:vertAlign w:val="superscript"/>
                <w:lang w:val="en-GB"/>
              </w:rPr>
            </w:pPr>
            <w:r>
              <w:rPr>
                <w:rFonts w:ascii="Arial Narrow" w:hAnsi="Arial Narrow"/>
                <w:sz w:val="20"/>
                <w:lang w:val="en-GB"/>
              </w:rPr>
              <w:t>Vials</w:t>
            </w:r>
            <w:r>
              <w:rPr>
                <w:rFonts w:ascii="Arial Narrow" w:hAnsi="Arial Narrow"/>
                <w:sz w:val="20"/>
                <w:vertAlign w:val="superscript"/>
                <w:lang w:val="en-GB"/>
              </w:rPr>
              <w:t xml:space="preserve"> </w:t>
            </w:r>
            <w:r w:rsidRPr="0009262E">
              <w:rPr>
                <w:rFonts w:ascii="Arial Narrow" w:hAnsi="Arial Narrow"/>
                <w:sz w:val="20"/>
                <w:vertAlign w:val="superscript"/>
                <w:lang w:val="en-GB"/>
              </w:rPr>
              <w:t>b</w:t>
            </w:r>
          </w:p>
          <w:p w:rsidR="00BC14E4" w:rsidRPr="00CD0DEF" w:rsidRDefault="00BC14E4" w:rsidP="003223D2">
            <w:pPr>
              <w:keepNext/>
              <w:widowControl/>
              <w:tabs>
                <w:tab w:val="left" w:pos="142"/>
              </w:tabs>
              <w:jc w:val="left"/>
              <w:rPr>
                <w:rFonts w:ascii="Arial Narrow" w:hAnsi="Arial Narrow"/>
                <w:sz w:val="20"/>
                <w:lang w:val="en-GB"/>
              </w:rPr>
            </w:pPr>
            <w:proofErr w:type="spellStart"/>
            <w:r>
              <w:rPr>
                <w:rFonts w:ascii="Arial Narrow" w:hAnsi="Arial Narrow"/>
                <w:sz w:val="20"/>
                <w:lang w:val="en-GB"/>
              </w:rPr>
              <w:t>Revised</w:t>
            </w:r>
            <w:r>
              <w:rPr>
                <w:rFonts w:ascii="Arial Narrow" w:hAnsi="Arial Narrow"/>
                <w:sz w:val="20"/>
                <w:vertAlign w:val="superscript"/>
                <w:lang w:val="en-GB"/>
              </w:rPr>
              <w:t>a</w:t>
            </w:r>
            <w:proofErr w:type="spellEnd"/>
          </w:p>
        </w:tc>
        <w:tc>
          <w:tcPr>
            <w:tcW w:w="809" w:type="pct"/>
            <w:shd w:val="clear" w:color="auto" w:fill="auto"/>
            <w:vAlign w:val="bottom"/>
          </w:tcPr>
          <w:p w:rsidR="00BC14E4" w:rsidRPr="002E58CD" w:rsidRDefault="002E58CD" w:rsidP="003223D2">
            <w:pPr>
              <w:keepNext/>
              <w:widowControl/>
              <w:jc w:val="center"/>
              <w:rPr>
                <w:rFonts w:ascii="Arial Narrow" w:hAnsi="Arial Narrow"/>
                <w:sz w:val="20"/>
                <w:highlight w:val="black"/>
              </w:rPr>
            </w:pPr>
            <w:r>
              <w:rPr>
                <w:rFonts w:ascii="Arial Narrow" w:hAnsi="Arial Narrow"/>
                <w:noProof/>
                <w:color w:val="000000"/>
                <w:sz w:val="20"/>
                <w:highlight w:val="black"/>
              </w:rPr>
              <w:t>''''''''''''''</w:t>
            </w:r>
          </w:p>
          <w:p w:rsidR="00BC14E4" w:rsidRPr="002E58CD" w:rsidRDefault="002E58CD" w:rsidP="003223D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718" w:type="pct"/>
            <w:shd w:val="clear" w:color="auto" w:fill="auto"/>
            <w:vAlign w:val="bottom"/>
          </w:tcPr>
          <w:p w:rsidR="00BC14E4" w:rsidRPr="002E58CD" w:rsidRDefault="002E58CD" w:rsidP="003223D2">
            <w:pPr>
              <w:keepNext/>
              <w:widowControl/>
              <w:jc w:val="center"/>
              <w:rPr>
                <w:rFonts w:ascii="Arial Narrow" w:hAnsi="Arial Narrow"/>
                <w:sz w:val="20"/>
                <w:highlight w:val="black"/>
              </w:rPr>
            </w:pPr>
            <w:r>
              <w:rPr>
                <w:rFonts w:ascii="Arial Narrow" w:hAnsi="Arial Narrow"/>
                <w:noProof/>
                <w:color w:val="000000"/>
                <w:sz w:val="20"/>
                <w:highlight w:val="black"/>
              </w:rPr>
              <w:t>''''''''''''</w:t>
            </w:r>
          </w:p>
          <w:p w:rsidR="00BC14E4" w:rsidRPr="002E58CD" w:rsidRDefault="002E58CD" w:rsidP="003223D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718" w:type="pct"/>
            <w:shd w:val="clear" w:color="auto" w:fill="auto"/>
            <w:vAlign w:val="bottom"/>
          </w:tcPr>
          <w:p w:rsidR="00BC14E4" w:rsidRPr="002E58CD" w:rsidRDefault="002E58CD" w:rsidP="003223D2">
            <w:pPr>
              <w:keepNext/>
              <w:widowControl/>
              <w:jc w:val="center"/>
              <w:rPr>
                <w:rFonts w:ascii="Arial Narrow" w:hAnsi="Arial Narrow"/>
                <w:sz w:val="20"/>
                <w:highlight w:val="black"/>
              </w:rPr>
            </w:pPr>
            <w:r>
              <w:rPr>
                <w:rFonts w:ascii="Arial Narrow" w:hAnsi="Arial Narrow"/>
                <w:noProof/>
                <w:color w:val="000000"/>
                <w:sz w:val="20"/>
                <w:highlight w:val="black"/>
              </w:rPr>
              <w:t>''''''''''''''</w:t>
            </w:r>
          </w:p>
          <w:p w:rsidR="00BC14E4" w:rsidRPr="002E58CD" w:rsidRDefault="002E58CD" w:rsidP="003223D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718" w:type="pct"/>
            <w:shd w:val="clear" w:color="auto" w:fill="auto"/>
            <w:vAlign w:val="bottom"/>
          </w:tcPr>
          <w:p w:rsidR="00BC14E4" w:rsidRPr="002E58CD" w:rsidRDefault="002E58CD" w:rsidP="003223D2">
            <w:pPr>
              <w:keepNext/>
              <w:widowControl/>
              <w:jc w:val="center"/>
              <w:rPr>
                <w:rFonts w:ascii="Arial Narrow" w:hAnsi="Arial Narrow"/>
                <w:sz w:val="20"/>
                <w:highlight w:val="black"/>
              </w:rPr>
            </w:pPr>
            <w:r>
              <w:rPr>
                <w:rFonts w:ascii="Arial Narrow" w:hAnsi="Arial Narrow"/>
                <w:noProof/>
                <w:color w:val="000000"/>
                <w:sz w:val="20"/>
                <w:highlight w:val="black"/>
              </w:rPr>
              <w:t>''''''''''''''</w:t>
            </w:r>
          </w:p>
          <w:p w:rsidR="00BC14E4" w:rsidRPr="002E58CD" w:rsidRDefault="002E58CD" w:rsidP="003223D2">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723" w:type="pct"/>
            <w:shd w:val="clear" w:color="auto" w:fill="auto"/>
            <w:vAlign w:val="bottom"/>
          </w:tcPr>
          <w:p w:rsidR="00BC14E4" w:rsidRPr="002E58CD" w:rsidRDefault="002E58CD" w:rsidP="003223D2">
            <w:pPr>
              <w:keepNext/>
              <w:widowControl/>
              <w:jc w:val="center"/>
              <w:rPr>
                <w:rFonts w:ascii="Arial Narrow" w:hAnsi="Arial Narrow"/>
                <w:sz w:val="20"/>
                <w:highlight w:val="black"/>
              </w:rPr>
            </w:pPr>
            <w:r>
              <w:rPr>
                <w:rFonts w:ascii="Arial Narrow" w:hAnsi="Arial Narrow"/>
                <w:noProof/>
                <w:color w:val="000000"/>
                <w:sz w:val="20"/>
                <w:highlight w:val="black"/>
              </w:rPr>
              <w:t>'''''''''''''</w:t>
            </w:r>
          </w:p>
          <w:p w:rsidR="00BC14E4" w:rsidRPr="002E58CD" w:rsidRDefault="002E58CD" w:rsidP="003223D2">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BC14E4" w:rsidRPr="00CD0DEF" w:rsidTr="00813FEF">
        <w:trPr>
          <w:cantSplit/>
        </w:trPr>
        <w:tc>
          <w:tcPr>
            <w:tcW w:w="5000" w:type="pct"/>
            <w:gridSpan w:val="6"/>
            <w:shd w:val="clear" w:color="auto" w:fill="auto"/>
            <w:vAlign w:val="center"/>
          </w:tcPr>
          <w:p w:rsidR="00BC14E4" w:rsidRPr="00CD0DEF" w:rsidRDefault="00BC14E4" w:rsidP="003223D2">
            <w:pPr>
              <w:widowControl/>
              <w:jc w:val="left"/>
              <w:rPr>
                <w:rFonts w:ascii="Arial Narrow" w:hAnsi="Arial Narrow"/>
                <w:b/>
                <w:bCs/>
                <w:color w:val="000000"/>
                <w:sz w:val="20"/>
                <w:lang w:val="en-GB"/>
              </w:rPr>
            </w:pPr>
            <w:r w:rsidRPr="00CD0DEF">
              <w:rPr>
                <w:rFonts w:ascii="Arial Narrow" w:hAnsi="Arial Narrow"/>
                <w:b/>
                <w:bCs/>
                <w:color w:val="000000"/>
                <w:sz w:val="20"/>
                <w:lang w:val="en-GB"/>
              </w:rPr>
              <w:t>Estimated net cost to PBS/RPBS/MBS</w:t>
            </w:r>
          </w:p>
        </w:tc>
      </w:tr>
      <w:tr w:rsidR="00BC14E4" w:rsidRPr="00CD0DEF" w:rsidTr="00813FEF">
        <w:trPr>
          <w:cantSplit/>
        </w:trPr>
        <w:tc>
          <w:tcPr>
            <w:tcW w:w="1314" w:type="pct"/>
            <w:shd w:val="clear" w:color="auto" w:fill="auto"/>
            <w:vAlign w:val="center"/>
          </w:tcPr>
          <w:p w:rsidR="00BC14E4" w:rsidRPr="00CD0DEF" w:rsidRDefault="00BC14E4" w:rsidP="003223D2">
            <w:pPr>
              <w:widowControl/>
              <w:tabs>
                <w:tab w:val="left" w:pos="142"/>
              </w:tabs>
              <w:jc w:val="left"/>
              <w:rPr>
                <w:rFonts w:ascii="Arial Narrow" w:hAnsi="Arial Narrow"/>
                <w:sz w:val="20"/>
                <w:lang w:val="en-GB"/>
              </w:rPr>
            </w:pPr>
            <w:r w:rsidRPr="00CD0DEF">
              <w:rPr>
                <w:rFonts w:ascii="Arial Narrow" w:hAnsi="Arial Narrow"/>
                <w:sz w:val="19"/>
                <w:szCs w:val="19"/>
                <w:lang w:val="en-GB"/>
              </w:rPr>
              <w:t>Net cost to PBS/RPBS</w:t>
            </w:r>
          </w:p>
        </w:tc>
        <w:tc>
          <w:tcPr>
            <w:tcW w:w="809" w:type="pct"/>
            <w:shd w:val="clear" w:color="auto" w:fill="auto"/>
            <w:vAlign w:val="bottom"/>
          </w:tcPr>
          <w:p w:rsidR="00BC14E4" w:rsidRPr="00CC15C2" w:rsidRDefault="00BC14E4" w:rsidP="003223D2">
            <w:pPr>
              <w:pStyle w:val="Tabletext"/>
              <w:jc w:val="center"/>
            </w:pPr>
            <w:r w:rsidRPr="00CC15C2">
              <w:t>$</w:t>
            </w:r>
            <w:r w:rsidR="002E58CD">
              <w:rPr>
                <w:noProof/>
                <w:color w:val="000000"/>
                <w:highlight w:val="black"/>
              </w:rPr>
              <w:t>'''''''''''''''''''''''''</w:t>
            </w:r>
          </w:p>
        </w:tc>
        <w:tc>
          <w:tcPr>
            <w:tcW w:w="718" w:type="pct"/>
            <w:shd w:val="clear" w:color="auto" w:fill="auto"/>
            <w:vAlign w:val="bottom"/>
          </w:tcPr>
          <w:p w:rsidR="00BC14E4" w:rsidRPr="00CC15C2" w:rsidRDefault="00BC14E4" w:rsidP="003223D2">
            <w:pPr>
              <w:pStyle w:val="Tabletext"/>
              <w:jc w:val="center"/>
            </w:pPr>
            <w:r w:rsidRPr="00CC15C2">
              <w:t>$</w:t>
            </w:r>
            <w:r w:rsidR="002E58CD">
              <w:rPr>
                <w:noProof/>
                <w:color w:val="000000"/>
                <w:highlight w:val="black"/>
              </w:rPr>
              <w:t>'''''''''''''''''''</w:t>
            </w:r>
          </w:p>
        </w:tc>
        <w:tc>
          <w:tcPr>
            <w:tcW w:w="718" w:type="pct"/>
            <w:shd w:val="clear" w:color="auto" w:fill="auto"/>
            <w:vAlign w:val="bottom"/>
          </w:tcPr>
          <w:p w:rsidR="00BC14E4" w:rsidRPr="00CC15C2" w:rsidRDefault="00BC14E4" w:rsidP="003223D2">
            <w:pPr>
              <w:pStyle w:val="Tabletext"/>
              <w:jc w:val="center"/>
            </w:pPr>
            <w:r w:rsidRPr="00CC15C2">
              <w:t>$</w:t>
            </w:r>
            <w:r w:rsidR="002E58CD">
              <w:rPr>
                <w:noProof/>
                <w:color w:val="000000"/>
                <w:highlight w:val="black"/>
              </w:rPr>
              <w:t>''''''''''''''''''''</w:t>
            </w:r>
          </w:p>
        </w:tc>
        <w:tc>
          <w:tcPr>
            <w:tcW w:w="718" w:type="pct"/>
            <w:shd w:val="clear" w:color="auto" w:fill="auto"/>
            <w:vAlign w:val="bottom"/>
          </w:tcPr>
          <w:p w:rsidR="00BC14E4" w:rsidRPr="00CC15C2" w:rsidRDefault="00BC14E4" w:rsidP="003223D2">
            <w:pPr>
              <w:pStyle w:val="Tabletext"/>
              <w:jc w:val="center"/>
            </w:pPr>
            <w:r w:rsidRPr="00CC15C2">
              <w:t>$</w:t>
            </w:r>
            <w:r w:rsidR="002E58CD">
              <w:rPr>
                <w:noProof/>
                <w:color w:val="000000"/>
                <w:highlight w:val="black"/>
              </w:rPr>
              <w:t>'''''''''''''''''''</w:t>
            </w:r>
          </w:p>
        </w:tc>
        <w:tc>
          <w:tcPr>
            <w:tcW w:w="723" w:type="pct"/>
            <w:shd w:val="clear" w:color="auto" w:fill="auto"/>
            <w:vAlign w:val="bottom"/>
          </w:tcPr>
          <w:p w:rsidR="00BC14E4" w:rsidRPr="00CC15C2" w:rsidRDefault="00BC14E4" w:rsidP="003223D2">
            <w:pPr>
              <w:pStyle w:val="Tabletext"/>
              <w:jc w:val="center"/>
            </w:pPr>
            <w:r w:rsidRPr="00CC15C2">
              <w:t>$</w:t>
            </w:r>
            <w:r w:rsidR="002E58CD">
              <w:rPr>
                <w:noProof/>
                <w:color w:val="000000"/>
                <w:highlight w:val="black"/>
              </w:rPr>
              <w:t>'''''''''''''''''''</w:t>
            </w:r>
          </w:p>
        </w:tc>
      </w:tr>
      <w:tr w:rsidR="00BC14E4" w:rsidRPr="00CD0DEF" w:rsidTr="00813FEF">
        <w:trPr>
          <w:cantSplit/>
        </w:trPr>
        <w:tc>
          <w:tcPr>
            <w:tcW w:w="1314" w:type="pct"/>
            <w:shd w:val="clear" w:color="auto" w:fill="auto"/>
            <w:vAlign w:val="center"/>
          </w:tcPr>
          <w:p w:rsidR="00BC14E4" w:rsidRPr="00CD0DEF" w:rsidRDefault="00BC14E4" w:rsidP="003223D2">
            <w:pPr>
              <w:widowControl/>
              <w:tabs>
                <w:tab w:val="left" w:pos="142"/>
              </w:tabs>
              <w:jc w:val="left"/>
              <w:rPr>
                <w:rFonts w:ascii="Arial Narrow" w:hAnsi="Arial Narrow"/>
                <w:sz w:val="20"/>
                <w:lang w:val="en-GB"/>
              </w:rPr>
            </w:pPr>
            <w:r w:rsidRPr="00CD0DEF">
              <w:rPr>
                <w:rFonts w:ascii="Arial Narrow" w:hAnsi="Arial Narrow"/>
                <w:sz w:val="19"/>
                <w:szCs w:val="19"/>
                <w:lang w:val="en-GB"/>
              </w:rPr>
              <w:t>Net cost to MBS</w:t>
            </w:r>
          </w:p>
        </w:tc>
        <w:tc>
          <w:tcPr>
            <w:tcW w:w="809" w:type="pct"/>
            <w:shd w:val="clear" w:color="auto" w:fill="auto"/>
            <w:vAlign w:val="bottom"/>
          </w:tcPr>
          <w:p w:rsidR="00BC14E4" w:rsidRPr="00CC15C2" w:rsidRDefault="00BC14E4" w:rsidP="003223D2">
            <w:pPr>
              <w:pStyle w:val="Tabletext"/>
              <w:jc w:val="center"/>
              <w:rPr>
                <w:bCs/>
              </w:rPr>
            </w:pPr>
            <w:r w:rsidRPr="00CC15C2">
              <w:rPr>
                <w:bCs/>
              </w:rPr>
              <w:t>$</w:t>
            </w:r>
            <w:r w:rsidR="002E58CD">
              <w:rPr>
                <w:bCs/>
                <w:noProof/>
                <w:color w:val="000000"/>
                <w:highlight w:val="black"/>
              </w:rPr>
              <w:t>'''''''''''''''''''''</w:t>
            </w:r>
          </w:p>
        </w:tc>
        <w:tc>
          <w:tcPr>
            <w:tcW w:w="718" w:type="pct"/>
            <w:shd w:val="clear" w:color="auto" w:fill="auto"/>
            <w:vAlign w:val="bottom"/>
          </w:tcPr>
          <w:p w:rsidR="00BC14E4" w:rsidRPr="00CC15C2" w:rsidRDefault="00BC14E4" w:rsidP="003223D2">
            <w:pPr>
              <w:pStyle w:val="Tabletext"/>
              <w:jc w:val="center"/>
              <w:rPr>
                <w:bCs/>
              </w:rPr>
            </w:pPr>
            <w:r w:rsidRPr="00CC15C2">
              <w:rPr>
                <w:bCs/>
              </w:rPr>
              <w:t>$</w:t>
            </w:r>
            <w:r w:rsidR="002E58CD">
              <w:rPr>
                <w:bCs/>
                <w:noProof/>
                <w:color w:val="000000"/>
                <w:highlight w:val="black"/>
              </w:rPr>
              <w:t>''''''''''''''''''</w:t>
            </w:r>
          </w:p>
        </w:tc>
        <w:tc>
          <w:tcPr>
            <w:tcW w:w="718" w:type="pct"/>
            <w:shd w:val="clear" w:color="auto" w:fill="auto"/>
            <w:vAlign w:val="bottom"/>
          </w:tcPr>
          <w:p w:rsidR="00BC14E4" w:rsidRPr="00CC15C2" w:rsidRDefault="00BC14E4" w:rsidP="003223D2">
            <w:pPr>
              <w:pStyle w:val="Tabletext"/>
              <w:jc w:val="center"/>
              <w:rPr>
                <w:bCs/>
              </w:rPr>
            </w:pPr>
            <w:r w:rsidRPr="00CC15C2">
              <w:rPr>
                <w:bCs/>
              </w:rPr>
              <w:t>$</w:t>
            </w:r>
            <w:r w:rsidR="002E58CD">
              <w:rPr>
                <w:bCs/>
                <w:noProof/>
                <w:color w:val="000000"/>
                <w:highlight w:val="black"/>
              </w:rPr>
              <w:t>''''''''''''''''</w:t>
            </w:r>
          </w:p>
        </w:tc>
        <w:tc>
          <w:tcPr>
            <w:tcW w:w="718" w:type="pct"/>
            <w:shd w:val="clear" w:color="auto" w:fill="auto"/>
            <w:vAlign w:val="bottom"/>
          </w:tcPr>
          <w:p w:rsidR="00BC14E4" w:rsidRPr="00CC15C2" w:rsidRDefault="00BC14E4" w:rsidP="003223D2">
            <w:pPr>
              <w:pStyle w:val="Tabletext"/>
              <w:jc w:val="center"/>
              <w:rPr>
                <w:bCs/>
              </w:rPr>
            </w:pPr>
            <w:r w:rsidRPr="00CC15C2">
              <w:rPr>
                <w:bCs/>
              </w:rPr>
              <w:t>$</w:t>
            </w:r>
            <w:r w:rsidR="002E58CD">
              <w:rPr>
                <w:bCs/>
                <w:noProof/>
                <w:color w:val="000000"/>
                <w:highlight w:val="black"/>
              </w:rPr>
              <w:t>'''''''''''''''''</w:t>
            </w:r>
          </w:p>
        </w:tc>
        <w:tc>
          <w:tcPr>
            <w:tcW w:w="723" w:type="pct"/>
            <w:shd w:val="clear" w:color="auto" w:fill="auto"/>
            <w:vAlign w:val="bottom"/>
          </w:tcPr>
          <w:p w:rsidR="00BC14E4" w:rsidRPr="00CC15C2" w:rsidRDefault="00BC14E4" w:rsidP="003223D2">
            <w:pPr>
              <w:pStyle w:val="Tabletext"/>
              <w:jc w:val="center"/>
              <w:rPr>
                <w:bCs/>
              </w:rPr>
            </w:pPr>
            <w:r w:rsidRPr="00CC15C2">
              <w:rPr>
                <w:bCs/>
              </w:rPr>
              <w:t>$</w:t>
            </w:r>
            <w:r w:rsidR="002E58CD">
              <w:rPr>
                <w:bCs/>
                <w:noProof/>
                <w:color w:val="000000"/>
                <w:highlight w:val="black"/>
              </w:rPr>
              <w:t>'''''''''''''''</w:t>
            </w:r>
          </w:p>
        </w:tc>
      </w:tr>
      <w:tr w:rsidR="00BC14E4" w:rsidRPr="00CD0DEF" w:rsidTr="00813FEF">
        <w:trPr>
          <w:cantSplit/>
        </w:trPr>
        <w:tc>
          <w:tcPr>
            <w:tcW w:w="5000" w:type="pct"/>
            <w:gridSpan w:val="6"/>
            <w:shd w:val="clear" w:color="auto" w:fill="auto"/>
            <w:vAlign w:val="center"/>
          </w:tcPr>
          <w:p w:rsidR="00BC14E4" w:rsidRPr="00CD0DEF" w:rsidRDefault="00BC14E4" w:rsidP="003223D2">
            <w:pPr>
              <w:widowControl/>
              <w:jc w:val="left"/>
              <w:rPr>
                <w:rFonts w:ascii="Arial Narrow" w:hAnsi="Arial Narrow"/>
                <w:b/>
                <w:color w:val="000000"/>
                <w:sz w:val="20"/>
                <w:lang w:val="en-GB"/>
              </w:rPr>
            </w:pPr>
            <w:r w:rsidRPr="00CD0DEF">
              <w:rPr>
                <w:rFonts w:ascii="Arial Narrow" w:hAnsi="Arial Narrow"/>
                <w:b/>
                <w:color w:val="000000"/>
                <w:sz w:val="20"/>
                <w:lang w:val="en-GB"/>
              </w:rPr>
              <w:t>Estimated total net cost</w:t>
            </w:r>
          </w:p>
        </w:tc>
      </w:tr>
      <w:tr w:rsidR="00BC14E4" w:rsidRPr="00CD0DEF" w:rsidTr="00813FEF">
        <w:trPr>
          <w:cantSplit/>
        </w:trPr>
        <w:tc>
          <w:tcPr>
            <w:tcW w:w="1314" w:type="pct"/>
            <w:shd w:val="clear" w:color="auto" w:fill="auto"/>
            <w:vAlign w:val="center"/>
          </w:tcPr>
          <w:p w:rsidR="00BC14E4" w:rsidRPr="00D94EE2" w:rsidRDefault="00BC14E4" w:rsidP="003223D2">
            <w:pPr>
              <w:keepNext/>
              <w:widowControl/>
              <w:jc w:val="left"/>
              <w:rPr>
                <w:rFonts w:ascii="Arial Narrow" w:hAnsi="Arial Narrow"/>
                <w:b/>
                <w:sz w:val="20"/>
              </w:rPr>
            </w:pPr>
            <w:r w:rsidRPr="00D94EE2">
              <w:rPr>
                <w:rFonts w:ascii="Arial Narrow" w:hAnsi="Arial Narrow"/>
                <w:b/>
                <w:sz w:val="20"/>
              </w:rPr>
              <w:t xml:space="preserve">Net cost PBS/RPBS </w:t>
            </w:r>
            <w:r>
              <w:rPr>
                <w:rFonts w:ascii="Arial Narrow" w:hAnsi="Arial Narrow"/>
                <w:b/>
                <w:sz w:val="20"/>
              </w:rPr>
              <w:t>&amp;</w:t>
            </w:r>
            <w:r w:rsidRPr="00D94EE2">
              <w:rPr>
                <w:rFonts w:ascii="Arial Narrow" w:hAnsi="Arial Narrow"/>
                <w:b/>
                <w:sz w:val="20"/>
              </w:rPr>
              <w:t xml:space="preserve"> MBS</w:t>
            </w:r>
          </w:p>
          <w:p w:rsidR="00BC14E4" w:rsidRPr="008603AD" w:rsidRDefault="00BC14E4" w:rsidP="003223D2">
            <w:pPr>
              <w:keepNext/>
              <w:widowControl/>
              <w:jc w:val="left"/>
              <w:rPr>
                <w:rFonts w:ascii="Arial Narrow" w:hAnsi="Arial Narrow"/>
                <w:b/>
                <w:sz w:val="20"/>
              </w:rPr>
            </w:pPr>
            <w:proofErr w:type="spellStart"/>
            <w:r w:rsidRPr="008603AD">
              <w:rPr>
                <w:rFonts w:ascii="Arial Narrow" w:hAnsi="Arial Narrow"/>
                <w:b/>
                <w:sz w:val="20"/>
              </w:rPr>
              <w:t>Revised</w:t>
            </w:r>
            <w:r w:rsidRPr="008603AD">
              <w:rPr>
                <w:rFonts w:ascii="Arial Narrow" w:hAnsi="Arial Narrow"/>
                <w:b/>
                <w:sz w:val="20"/>
                <w:vertAlign w:val="superscript"/>
              </w:rPr>
              <w:t>a</w:t>
            </w:r>
            <w:proofErr w:type="spellEnd"/>
            <w:r w:rsidRPr="008603AD">
              <w:rPr>
                <w:rFonts w:ascii="Arial Narrow" w:hAnsi="Arial Narrow"/>
                <w:b/>
                <w:sz w:val="20"/>
              </w:rPr>
              <w:t xml:space="preserve"> patient numbers</w:t>
            </w:r>
          </w:p>
        </w:tc>
        <w:tc>
          <w:tcPr>
            <w:tcW w:w="809" w:type="pct"/>
            <w:shd w:val="clear" w:color="auto" w:fill="auto"/>
            <w:vAlign w:val="center"/>
          </w:tcPr>
          <w:p w:rsidR="00BC14E4" w:rsidRPr="00723134" w:rsidRDefault="00BC14E4" w:rsidP="003223D2">
            <w:pPr>
              <w:pStyle w:val="Tabletext"/>
              <w:jc w:val="center"/>
              <w:rPr>
                <w:b/>
              </w:rPr>
            </w:pPr>
            <w:r w:rsidRPr="00723134">
              <w:rPr>
                <w:b/>
              </w:rPr>
              <w:t>$</w:t>
            </w:r>
            <w:r w:rsidR="002E58CD">
              <w:rPr>
                <w:b/>
                <w:noProof/>
                <w:color w:val="000000"/>
                <w:highlight w:val="black"/>
              </w:rPr>
              <w:t>''''''''''''''''''</w:t>
            </w:r>
          </w:p>
          <w:p w:rsidR="00BC14E4" w:rsidRPr="00723134" w:rsidRDefault="00BC14E4" w:rsidP="003223D2">
            <w:pPr>
              <w:pStyle w:val="Tabletext"/>
              <w:jc w:val="center"/>
              <w:rPr>
                <w:b/>
              </w:rPr>
            </w:pPr>
            <w:r w:rsidRPr="00723134">
              <w:rPr>
                <w:b/>
              </w:rPr>
              <w:t>$</w:t>
            </w:r>
            <w:r w:rsidR="002E58CD">
              <w:rPr>
                <w:b/>
                <w:noProof/>
                <w:color w:val="000000"/>
                <w:highlight w:val="black"/>
              </w:rPr>
              <w:t>''''''''''''''''''</w:t>
            </w:r>
          </w:p>
        </w:tc>
        <w:tc>
          <w:tcPr>
            <w:tcW w:w="718" w:type="pct"/>
            <w:shd w:val="clear" w:color="auto" w:fill="auto"/>
            <w:vAlign w:val="center"/>
          </w:tcPr>
          <w:p w:rsidR="00BC14E4" w:rsidRPr="00723134" w:rsidRDefault="00BC14E4" w:rsidP="003223D2">
            <w:pPr>
              <w:pStyle w:val="Tabletext"/>
              <w:jc w:val="center"/>
              <w:rPr>
                <w:b/>
              </w:rPr>
            </w:pPr>
            <w:r w:rsidRPr="00723134">
              <w:rPr>
                <w:b/>
              </w:rPr>
              <w:t>$</w:t>
            </w:r>
            <w:r w:rsidR="002E58CD">
              <w:rPr>
                <w:b/>
                <w:noProof/>
                <w:color w:val="000000"/>
                <w:highlight w:val="black"/>
              </w:rPr>
              <w:t>''''''''''''''''</w:t>
            </w:r>
          </w:p>
          <w:p w:rsidR="00BC14E4" w:rsidRPr="00723134" w:rsidRDefault="00BC14E4" w:rsidP="003223D2">
            <w:pPr>
              <w:pStyle w:val="Tabletext"/>
              <w:jc w:val="center"/>
              <w:rPr>
                <w:b/>
              </w:rPr>
            </w:pPr>
            <w:r w:rsidRPr="00723134">
              <w:rPr>
                <w:b/>
              </w:rPr>
              <w:t>$</w:t>
            </w:r>
            <w:r w:rsidR="002E58CD">
              <w:rPr>
                <w:b/>
                <w:noProof/>
                <w:color w:val="000000"/>
                <w:highlight w:val="black"/>
              </w:rPr>
              <w:t>''''''''''''''''</w:t>
            </w:r>
          </w:p>
        </w:tc>
        <w:tc>
          <w:tcPr>
            <w:tcW w:w="718" w:type="pct"/>
            <w:shd w:val="clear" w:color="auto" w:fill="auto"/>
            <w:vAlign w:val="center"/>
          </w:tcPr>
          <w:p w:rsidR="00BC14E4" w:rsidRPr="00723134" w:rsidRDefault="00BC14E4" w:rsidP="003223D2">
            <w:pPr>
              <w:pStyle w:val="Tabletext"/>
              <w:jc w:val="center"/>
              <w:rPr>
                <w:b/>
              </w:rPr>
            </w:pPr>
            <w:r w:rsidRPr="00723134">
              <w:rPr>
                <w:b/>
              </w:rPr>
              <w:t>$</w:t>
            </w:r>
            <w:r w:rsidR="002E58CD">
              <w:rPr>
                <w:b/>
                <w:noProof/>
                <w:color w:val="000000"/>
                <w:highlight w:val="black"/>
              </w:rPr>
              <w:t>''''''''''''''</w:t>
            </w:r>
          </w:p>
          <w:p w:rsidR="00BC14E4" w:rsidRPr="00723134" w:rsidRDefault="00BC14E4" w:rsidP="003223D2">
            <w:pPr>
              <w:pStyle w:val="Tabletext"/>
              <w:jc w:val="center"/>
              <w:rPr>
                <w:b/>
              </w:rPr>
            </w:pPr>
            <w:r w:rsidRPr="00723134">
              <w:rPr>
                <w:b/>
              </w:rPr>
              <w:t>$</w:t>
            </w:r>
            <w:r w:rsidR="002E58CD">
              <w:rPr>
                <w:b/>
                <w:noProof/>
                <w:color w:val="000000"/>
                <w:highlight w:val="black"/>
              </w:rPr>
              <w:t>'''''''''''''''''</w:t>
            </w:r>
          </w:p>
        </w:tc>
        <w:tc>
          <w:tcPr>
            <w:tcW w:w="718" w:type="pct"/>
            <w:shd w:val="clear" w:color="auto" w:fill="auto"/>
            <w:vAlign w:val="center"/>
          </w:tcPr>
          <w:p w:rsidR="00BC14E4" w:rsidRPr="00723134" w:rsidRDefault="00BC14E4" w:rsidP="003223D2">
            <w:pPr>
              <w:pStyle w:val="Tabletext"/>
              <w:jc w:val="center"/>
              <w:rPr>
                <w:b/>
              </w:rPr>
            </w:pPr>
            <w:r w:rsidRPr="00723134">
              <w:rPr>
                <w:b/>
              </w:rPr>
              <w:t>$</w:t>
            </w:r>
            <w:r w:rsidR="002E58CD">
              <w:rPr>
                <w:b/>
                <w:noProof/>
                <w:color w:val="000000"/>
                <w:highlight w:val="black"/>
              </w:rPr>
              <w:t>''''''''''''''''</w:t>
            </w:r>
          </w:p>
          <w:p w:rsidR="00BC14E4" w:rsidRPr="00723134" w:rsidRDefault="00BC14E4" w:rsidP="003223D2">
            <w:pPr>
              <w:pStyle w:val="Tabletext"/>
              <w:jc w:val="center"/>
              <w:rPr>
                <w:b/>
              </w:rPr>
            </w:pPr>
            <w:r w:rsidRPr="00723134">
              <w:rPr>
                <w:b/>
              </w:rPr>
              <w:t>$</w:t>
            </w:r>
            <w:r w:rsidR="002E58CD">
              <w:rPr>
                <w:b/>
                <w:noProof/>
                <w:color w:val="000000"/>
                <w:highlight w:val="black"/>
              </w:rPr>
              <w:t>'''''''''''''''</w:t>
            </w:r>
          </w:p>
        </w:tc>
        <w:tc>
          <w:tcPr>
            <w:tcW w:w="723" w:type="pct"/>
            <w:shd w:val="clear" w:color="auto" w:fill="auto"/>
            <w:vAlign w:val="center"/>
          </w:tcPr>
          <w:p w:rsidR="00BC14E4" w:rsidRPr="00723134" w:rsidRDefault="00BC14E4" w:rsidP="003223D2">
            <w:pPr>
              <w:pStyle w:val="Tabletext"/>
              <w:jc w:val="center"/>
              <w:rPr>
                <w:b/>
              </w:rPr>
            </w:pPr>
            <w:r w:rsidRPr="00723134">
              <w:rPr>
                <w:b/>
              </w:rPr>
              <w:t>$</w:t>
            </w:r>
            <w:r w:rsidR="002E58CD">
              <w:rPr>
                <w:b/>
                <w:noProof/>
                <w:color w:val="000000"/>
                <w:highlight w:val="black"/>
              </w:rPr>
              <w:t>''''''''''''''''</w:t>
            </w:r>
          </w:p>
          <w:p w:rsidR="00BC14E4" w:rsidRPr="00723134" w:rsidRDefault="00BC14E4" w:rsidP="003223D2">
            <w:pPr>
              <w:pStyle w:val="Tabletext"/>
              <w:jc w:val="center"/>
              <w:rPr>
                <w:b/>
              </w:rPr>
            </w:pPr>
            <w:r w:rsidRPr="00723134">
              <w:rPr>
                <w:b/>
              </w:rPr>
              <w:t>$</w:t>
            </w:r>
            <w:r w:rsidR="002E58CD">
              <w:rPr>
                <w:b/>
                <w:noProof/>
                <w:color w:val="000000"/>
                <w:highlight w:val="black"/>
              </w:rPr>
              <w:t>'''''''''''''''''</w:t>
            </w:r>
          </w:p>
        </w:tc>
      </w:tr>
    </w:tbl>
    <w:p w:rsidR="0009262E" w:rsidRPr="00B010BF" w:rsidRDefault="0009262E" w:rsidP="00813FEF">
      <w:pPr>
        <w:widowControl/>
        <w:ind w:left="709"/>
        <w:rPr>
          <w:rFonts w:ascii="Arial Narrow" w:hAnsi="Arial Narrow"/>
          <w:sz w:val="18"/>
          <w:szCs w:val="18"/>
        </w:rPr>
      </w:pPr>
      <w:r w:rsidRPr="00B010BF">
        <w:rPr>
          <w:rFonts w:ascii="Arial Narrow" w:hAnsi="Arial Narrow"/>
          <w:sz w:val="18"/>
          <w:szCs w:val="18"/>
          <w:lang w:val="en-GB"/>
        </w:rPr>
        <w:t xml:space="preserve">Source: Tables E-3 to E-6, pp149-153 and Table E-9, p158 of the submission; and </w:t>
      </w:r>
      <w:proofErr w:type="spellStart"/>
      <w:r w:rsidRPr="00B010BF">
        <w:rPr>
          <w:rFonts w:ascii="Arial Narrow" w:hAnsi="Arial Narrow"/>
          <w:sz w:val="18"/>
          <w:szCs w:val="18"/>
        </w:rPr>
        <w:t>Eribulin</w:t>
      </w:r>
      <w:proofErr w:type="spellEnd"/>
      <w:r w:rsidRPr="00B010BF">
        <w:rPr>
          <w:rFonts w:ascii="Arial Narrow" w:hAnsi="Arial Narrow"/>
          <w:sz w:val="18"/>
          <w:szCs w:val="18"/>
        </w:rPr>
        <w:t xml:space="preserve"> </w:t>
      </w:r>
      <w:proofErr w:type="spellStart"/>
      <w:r w:rsidRPr="00B010BF">
        <w:rPr>
          <w:rFonts w:ascii="Arial Narrow" w:hAnsi="Arial Narrow"/>
          <w:sz w:val="18"/>
          <w:szCs w:val="18"/>
        </w:rPr>
        <w:t>Liposarcoma_Section</w:t>
      </w:r>
      <w:proofErr w:type="spellEnd"/>
      <w:r w:rsidRPr="00B010BF">
        <w:rPr>
          <w:rFonts w:ascii="Arial Narrow" w:hAnsi="Arial Narrow"/>
          <w:sz w:val="18"/>
          <w:szCs w:val="18"/>
        </w:rPr>
        <w:t xml:space="preserve"> E Workbook.xlsx</w:t>
      </w:r>
      <w:r w:rsidR="00E67AC2" w:rsidRPr="00B010BF">
        <w:rPr>
          <w:rFonts w:ascii="Arial Narrow" w:hAnsi="Arial Narrow"/>
          <w:sz w:val="18"/>
          <w:szCs w:val="18"/>
          <w:lang w:val="en-GB"/>
        </w:rPr>
        <w:t xml:space="preserve"> and calculated during evaluation</w:t>
      </w:r>
    </w:p>
    <w:p w:rsidR="0009262E" w:rsidRPr="00B010BF" w:rsidRDefault="0009262E" w:rsidP="00813FEF">
      <w:pPr>
        <w:widowControl/>
        <w:ind w:left="709"/>
        <w:rPr>
          <w:rFonts w:ascii="Arial Narrow" w:hAnsi="Arial Narrow"/>
          <w:sz w:val="18"/>
          <w:szCs w:val="18"/>
          <w:lang w:val="en-GB"/>
        </w:rPr>
      </w:pPr>
      <w:r w:rsidRPr="00B010BF">
        <w:rPr>
          <w:rFonts w:ascii="Arial Narrow" w:hAnsi="Arial Narrow"/>
          <w:sz w:val="18"/>
          <w:szCs w:val="18"/>
          <w:lang w:val="en-GB"/>
        </w:rPr>
        <w:t>MBS = Medicare Benefits Schedule; PBS = Pharmaceutical Benefits Scheme; RPBS = Repatriation Pharmaceutical Benefits Scheme</w:t>
      </w:r>
    </w:p>
    <w:p w:rsidR="0009262E" w:rsidRPr="00B010BF" w:rsidRDefault="00C25D9C" w:rsidP="00813FEF">
      <w:pPr>
        <w:pStyle w:val="TableFooter"/>
        <w:widowControl/>
        <w:ind w:left="709"/>
        <w:rPr>
          <w:lang w:val="en-GB"/>
        </w:rPr>
      </w:pPr>
      <w:proofErr w:type="spellStart"/>
      <w:proofErr w:type="gramStart"/>
      <w:r w:rsidRPr="00B010BF">
        <w:rPr>
          <w:vertAlign w:val="superscript"/>
          <w:lang w:val="en-GB"/>
        </w:rPr>
        <w:t>a</w:t>
      </w:r>
      <w:proofErr w:type="spellEnd"/>
      <w:proofErr w:type="gramEnd"/>
      <w:r w:rsidRPr="00B010BF">
        <w:rPr>
          <w:lang w:val="en-GB"/>
        </w:rPr>
        <w:t xml:space="preserve"> </w:t>
      </w:r>
      <w:r w:rsidR="00E9326A">
        <w:rPr>
          <w:lang w:val="en-GB"/>
        </w:rPr>
        <w:t xml:space="preserve">The estimated use and financial implications were revised during the evaluation. </w:t>
      </w:r>
      <w:r w:rsidR="0009262E" w:rsidRPr="00B010BF">
        <w:rPr>
          <w:lang w:val="en-GB"/>
        </w:rPr>
        <w:t xml:space="preserve">The following assumptions were included: 1) Incidence of soft tissue sarcoma is 3.56 in the adult population (AIHW 2016); </w:t>
      </w:r>
      <w:r w:rsidR="008A0E08" w:rsidRPr="00B010BF">
        <w:rPr>
          <w:lang w:val="en-GB"/>
        </w:rPr>
        <w:t>2</w:t>
      </w:r>
      <w:r w:rsidR="0009262E" w:rsidRPr="00B010BF">
        <w:rPr>
          <w:lang w:val="en-GB"/>
        </w:rPr>
        <w:t xml:space="preserve">) The 1-year prevalence of soft tissue sarcoma is 321 patients (based on AIHW 2014 and ABS population projections); </w:t>
      </w:r>
      <w:r w:rsidR="008A0E08" w:rsidRPr="00B010BF">
        <w:rPr>
          <w:lang w:val="en-GB"/>
        </w:rPr>
        <w:t xml:space="preserve">3) 17% of the soft tissue sarcomas are </w:t>
      </w:r>
      <w:proofErr w:type="spellStart"/>
      <w:r w:rsidR="008A0E08" w:rsidRPr="00B010BF">
        <w:rPr>
          <w:lang w:val="en-GB"/>
        </w:rPr>
        <w:t>liposarcomas</w:t>
      </w:r>
      <w:proofErr w:type="spellEnd"/>
      <w:r w:rsidR="008A0E08" w:rsidRPr="00B010BF">
        <w:rPr>
          <w:lang w:val="en-GB"/>
        </w:rPr>
        <w:t xml:space="preserve"> (submission, </w:t>
      </w:r>
      <w:proofErr w:type="spellStart"/>
      <w:r w:rsidR="008A0E08" w:rsidRPr="00B010BF">
        <w:rPr>
          <w:lang w:val="en-GB"/>
        </w:rPr>
        <w:t>Howlader</w:t>
      </w:r>
      <w:proofErr w:type="spellEnd"/>
      <w:r w:rsidR="008A0E08" w:rsidRPr="00B010BF">
        <w:rPr>
          <w:lang w:val="en-GB"/>
        </w:rPr>
        <w:t xml:space="preserve"> 2015); </w:t>
      </w:r>
      <w:r w:rsidR="008660D2" w:rsidRPr="00B010BF">
        <w:rPr>
          <w:lang w:val="en-GB"/>
        </w:rPr>
        <w:t xml:space="preserve">and </w:t>
      </w:r>
      <w:r w:rsidR="0009262E" w:rsidRPr="00B010BF">
        <w:rPr>
          <w:lang w:val="en-GB"/>
        </w:rPr>
        <w:t xml:space="preserve">4) </w:t>
      </w:r>
      <w:r w:rsidR="0009262E" w:rsidRPr="00B010BF">
        <w:rPr>
          <w:szCs w:val="22"/>
          <w:lang w:val="en-GB"/>
        </w:rPr>
        <w:t xml:space="preserve">80% of incident and prevalent patients with </w:t>
      </w:r>
      <w:proofErr w:type="spellStart"/>
      <w:r w:rsidR="0009262E" w:rsidRPr="00B010BF">
        <w:rPr>
          <w:szCs w:val="22"/>
          <w:lang w:val="en-GB"/>
        </w:rPr>
        <w:t>liposarcoma</w:t>
      </w:r>
      <w:proofErr w:type="spellEnd"/>
      <w:r w:rsidR="0009262E" w:rsidRPr="00B010BF">
        <w:rPr>
          <w:szCs w:val="22"/>
          <w:lang w:val="en-GB"/>
        </w:rPr>
        <w:t xml:space="preserve"> will have advanced/metastatic disease and received prior treatment</w:t>
      </w:r>
    </w:p>
    <w:p w:rsidR="00C25D9C" w:rsidRPr="00B010BF" w:rsidRDefault="0009262E" w:rsidP="00813FEF">
      <w:pPr>
        <w:pStyle w:val="TableFooter"/>
        <w:widowControl/>
        <w:ind w:left="709"/>
        <w:rPr>
          <w:sz w:val="16"/>
          <w:szCs w:val="18"/>
          <w:lang w:val="en-GB"/>
        </w:rPr>
      </w:pPr>
      <w:proofErr w:type="gramStart"/>
      <w:r w:rsidRPr="00B010BF">
        <w:rPr>
          <w:vertAlign w:val="superscript"/>
          <w:lang w:val="en-GB"/>
        </w:rPr>
        <w:t>b</w:t>
      </w:r>
      <w:proofErr w:type="gramEnd"/>
      <w:r w:rsidRPr="00B010BF">
        <w:rPr>
          <w:lang w:val="en-GB"/>
        </w:rPr>
        <w:t xml:space="preserve"> </w:t>
      </w:r>
      <w:r w:rsidR="00C25D9C" w:rsidRPr="00B010BF">
        <w:rPr>
          <w:lang w:val="en-GB"/>
        </w:rPr>
        <w:t xml:space="preserve">Assuming </w:t>
      </w:r>
      <w:r w:rsidR="00CC15C2" w:rsidRPr="00B010BF">
        <w:rPr>
          <w:lang w:val="en-GB"/>
        </w:rPr>
        <w:t>2.19 vials</w:t>
      </w:r>
      <w:r w:rsidR="00B07E99" w:rsidRPr="00B010BF">
        <w:rPr>
          <w:lang w:val="en-GB"/>
        </w:rPr>
        <w:t xml:space="preserve"> (2 mL)</w:t>
      </w:r>
      <w:r w:rsidR="00CC15C2" w:rsidRPr="00B010BF">
        <w:rPr>
          <w:lang w:val="en-GB"/>
        </w:rPr>
        <w:t xml:space="preserve"> per infusion and 10.62 infusions per patient</w:t>
      </w:r>
      <w:r w:rsidR="00C25D9C" w:rsidRPr="00B010BF">
        <w:rPr>
          <w:lang w:val="en-GB"/>
        </w:rPr>
        <w:t>.</w:t>
      </w:r>
    </w:p>
    <w:p w:rsidR="00C25D9C" w:rsidRPr="00B010BF" w:rsidRDefault="00C25D9C" w:rsidP="00903665">
      <w:pPr>
        <w:widowControl/>
        <w:rPr>
          <w:szCs w:val="22"/>
          <w:lang w:val="en-GB"/>
        </w:rPr>
      </w:pPr>
    </w:p>
    <w:p w:rsidR="00CC15C2" w:rsidRPr="00B010BF" w:rsidRDefault="00CC15C2" w:rsidP="00A728F8">
      <w:pPr>
        <w:pStyle w:val="ListParagraph"/>
        <w:widowControl/>
        <w:numPr>
          <w:ilvl w:val="1"/>
          <w:numId w:val="2"/>
        </w:numPr>
        <w:rPr>
          <w:szCs w:val="22"/>
          <w:lang w:val="en-GB"/>
        </w:rPr>
      </w:pPr>
      <w:r w:rsidRPr="00B010BF">
        <w:rPr>
          <w:lang w:val="en-GB"/>
        </w:rPr>
        <w:t xml:space="preserve">The submission estimated that in the first year of listing </w:t>
      </w:r>
      <w:r w:rsidR="00FD00FC">
        <w:rPr>
          <w:lang w:val="en-GB"/>
        </w:rPr>
        <w:t>less than 10,000</w:t>
      </w:r>
      <w:r w:rsidRPr="00B010BF">
        <w:rPr>
          <w:lang w:val="en-GB"/>
        </w:rPr>
        <w:t xml:space="preserve"> patients would be eligible and treated with </w:t>
      </w:r>
      <w:proofErr w:type="spellStart"/>
      <w:r w:rsidRPr="00B010BF">
        <w:rPr>
          <w:lang w:val="en-GB"/>
        </w:rPr>
        <w:t>eribulin</w:t>
      </w:r>
      <w:proofErr w:type="spellEnd"/>
      <w:r w:rsidRPr="00B010BF">
        <w:rPr>
          <w:lang w:val="en-GB"/>
        </w:rPr>
        <w:t xml:space="preserve">, decreasing to </w:t>
      </w:r>
      <w:r w:rsidR="00FD00FC">
        <w:rPr>
          <w:lang w:val="en-GB"/>
        </w:rPr>
        <w:t>less than 10,000</w:t>
      </w:r>
      <w:r w:rsidRPr="00B010BF">
        <w:rPr>
          <w:lang w:val="en-GB"/>
        </w:rPr>
        <w:t xml:space="preserve"> patients in Year 2 and then slowly increasing to </w:t>
      </w:r>
      <w:r w:rsidR="00FD00FC">
        <w:rPr>
          <w:lang w:val="en-GB"/>
        </w:rPr>
        <w:t>less than 10,000</w:t>
      </w:r>
      <w:r w:rsidRPr="00B010BF">
        <w:rPr>
          <w:lang w:val="en-GB"/>
        </w:rPr>
        <w:t xml:space="preserve"> patients in Year 5 of listing. </w:t>
      </w:r>
      <w:r w:rsidRPr="00B010BF">
        <w:rPr>
          <w:szCs w:val="24"/>
          <w:lang w:val="en-GB"/>
        </w:rPr>
        <w:t xml:space="preserve">There might be potential for the number of eligible patients to be </w:t>
      </w:r>
      <w:r w:rsidR="00124895" w:rsidRPr="00B010BF">
        <w:rPr>
          <w:szCs w:val="24"/>
          <w:lang w:val="en-GB"/>
        </w:rPr>
        <w:t xml:space="preserve">lower in the first year of listing and </w:t>
      </w:r>
      <w:r w:rsidRPr="00B010BF">
        <w:rPr>
          <w:szCs w:val="24"/>
          <w:lang w:val="en-GB"/>
        </w:rPr>
        <w:t xml:space="preserve">greater </w:t>
      </w:r>
      <w:r w:rsidR="00124895" w:rsidRPr="00B010BF">
        <w:rPr>
          <w:szCs w:val="24"/>
          <w:lang w:val="en-GB"/>
        </w:rPr>
        <w:t xml:space="preserve">from Year 2 onwards </w:t>
      </w:r>
      <w:r w:rsidRPr="00B010BF">
        <w:rPr>
          <w:szCs w:val="24"/>
          <w:lang w:val="en-GB"/>
        </w:rPr>
        <w:t>than the estimate in the submission, because</w:t>
      </w:r>
      <w:r w:rsidRPr="00B010BF">
        <w:rPr>
          <w:lang w:val="en-GB"/>
        </w:rPr>
        <w:t>:</w:t>
      </w:r>
    </w:p>
    <w:p w:rsidR="0054558B" w:rsidRPr="00B010BF" w:rsidRDefault="0054558B" w:rsidP="00A728F8">
      <w:pPr>
        <w:pStyle w:val="ListParagraph"/>
        <w:widowControl/>
        <w:numPr>
          <w:ilvl w:val="0"/>
          <w:numId w:val="7"/>
        </w:numPr>
        <w:ind w:left="1134" w:hanging="425"/>
        <w:rPr>
          <w:lang w:val="en-GB"/>
        </w:rPr>
      </w:pPr>
      <w:r w:rsidRPr="00B010BF">
        <w:rPr>
          <w:lang w:val="en-GB"/>
        </w:rPr>
        <w:t xml:space="preserve">The estimated incidence rate for soft tissue sarcoma (2.11 per 100,000 population) may have been underestimated, as rates reported more recently by the </w:t>
      </w:r>
      <w:r w:rsidR="00431672">
        <w:rPr>
          <w:lang w:val="en-GB"/>
        </w:rPr>
        <w:t>Australian Institute of Health and Welfare (</w:t>
      </w:r>
      <w:r w:rsidRPr="00B010BF">
        <w:rPr>
          <w:lang w:val="en-GB"/>
        </w:rPr>
        <w:t>AIHW</w:t>
      </w:r>
      <w:r w:rsidR="00431672">
        <w:rPr>
          <w:lang w:val="en-GB"/>
        </w:rPr>
        <w:t>)</w:t>
      </w:r>
      <w:r w:rsidRPr="00B010BF">
        <w:rPr>
          <w:lang w:val="en-GB"/>
        </w:rPr>
        <w:t xml:space="preserve"> for the adult population were higher (3.56 per 100,000 population).</w:t>
      </w:r>
    </w:p>
    <w:p w:rsidR="0054558B" w:rsidRPr="00B010BF" w:rsidRDefault="0054558B" w:rsidP="00A728F8">
      <w:pPr>
        <w:pStyle w:val="ListParagraph"/>
        <w:widowControl/>
        <w:numPr>
          <w:ilvl w:val="0"/>
          <w:numId w:val="7"/>
        </w:numPr>
        <w:ind w:left="1134" w:hanging="425"/>
        <w:rPr>
          <w:lang w:val="en-GB"/>
        </w:rPr>
      </w:pPr>
      <w:r w:rsidRPr="00B010BF">
        <w:rPr>
          <w:lang w:val="en-GB"/>
        </w:rPr>
        <w:t xml:space="preserve">The percentage of soft tissue sarcomas that were </w:t>
      </w:r>
      <w:proofErr w:type="spellStart"/>
      <w:r w:rsidRPr="00B010BF">
        <w:rPr>
          <w:lang w:val="en-GB"/>
        </w:rPr>
        <w:t>liposarcomas</w:t>
      </w:r>
      <w:proofErr w:type="spellEnd"/>
      <w:r w:rsidRPr="00B010BF">
        <w:rPr>
          <w:lang w:val="en-GB"/>
        </w:rPr>
        <w:t xml:space="preserve"> was unknown, as the submission used data from a US data set which might not be applicable to Australia.</w:t>
      </w:r>
    </w:p>
    <w:p w:rsidR="0054558B" w:rsidRPr="00B010BF" w:rsidRDefault="0054558B" w:rsidP="00A728F8">
      <w:pPr>
        <w:pStyle w:val="ListParagraph"/>
        <w:widowControl/>
        <w:numPr>
          <w:ilvl w:val="0"/>
          <w:numId w:val="7"/>
        </w:numPr>
        <w:ind w:left="1134" w:hanging="425"/>
        <w:rPr>
          <w:lang w:val="en-GB"/>
        </w:rPr>
      </w:pPr>
      <w:r w:rsidRPr="00B010BF">
        <w:rPr>
          <w:lang w:val="en-GB"/>
        </w:rPr>
        <w:t xml:space="preserve">The submission assumed that all patients with </w:t>
      </w:r>
      <w:proofErr w:type="spellStart"/>
      <w:r w:rsidRPr="00B010BF">
        <w:rPr>
          <w:lang w:val="en-GB"/>
        </w:rPr>
        <w:t>liposarcoma</w:t>
      </w:r>
      <w:proofErr w:type="spellEnd"/>
      <w:r w:rsidRPr="00B010BF">
        <w:rPr>
          <w:lang w:val="en-GB"/>
        </w:rPr>
        <w:t xml:space="preserve"> would be eligible and treated with </w:t>
      </w:r>
      <w:proofErr w:type="spellStart"/>
      <w:r w:rsidRPr="00B010BF">
        <w:rPr>
          <w:lang w:val="en-GB"/>
        </w:rPr>
        <w:t>eribulin</w:t>
      </w:r>
      <w:proofErr w:type="spellEnd"/>
      <w:r w:rsidRPr="00B010BF">
        <w:rPr>
          <w:lang w:val="en-GB"/>
        </w:rPr>
        <w:t xml:space="preserve">. The utilisation of </w:t>
      </w:r>
      <w:proofErr w:type="spellStart"/>
      <w:r w:rsidRPr="00B010BF">
        <w:rPr>
          <w:lang w:val="en-GB"/>
        </w:rPr>
        <w:t>eribulin</w:t>
      </w:r>
      <w:proofErr w:type="spellEnd"/>
      <w:r w:rsidRPr="00B010BF">
        <w:rPr>
          <w:lang w:val="en-GB"/>
        </w:rPr>
        <w:t xml:space="preserve"> may be overestimated, as some patients might not have advanced or metastatic disease and some may not have failed prior treatment.</w:t>
      </w:r>
    </w:p>
    <w:p w:rsidR="008660D2" w:rsidRPr="00B010BF" w:rsidRDefault="0054558B" w:rsidP="00A728F8">
      <w:pPr>
        <w:pStyle w:val="ListParagraph"/>
        <w:widowControl/>
        <w:numPr>
          <w:ilvl w:val="0"/>
          <w:numId w:val="6"/>
        </w:numPr>
        <w:ind w:left="1134" w:hanging="425"/>
        <w:rPr>
          <w:szCs w:val="22"/>
          <w:lang w:val="en-GB"/>
        </w:rPr>
      </w:pPr>
      <w:r w:rsidRPr="00B010BF">
        <w:rPr>
          <w:lang w:val="en-GB"/>
        </w:rPr>
        <w:lastRenderedPageBreak/>
        <w:t>The submission calculated the prevalent population based on outdated US data (1960-1999) and 5-year survival (US data 2008-2012) and the estimated incidence rates which might not be applicable to the Australian setting. It may have been more appropriate to use Australian 1-year prevalent population data for the basis of estimating the number of eligible patients.</w:t>
      </w:r>
    </w:p>
    <w:p w:rsidR="00CC15C2" w:rsidRPr="00B010BF" w:rsidRDefault="00CC15C2" w:rsidP="00903665">
      <w:pPr>
        <w:pStyle w:val="ListParagraph"/>
        <w:widowControl/>
        <w:ind w:left="1440"/>
        <w:rPr>
          <w:szCs w:val="22"/>
          <w:lang w:val="en-GB"/>
        </w:rPr>
      </w:pPr>
    </w:p>
    <w:p w:rsidR="00CC15C2" w:rsidRPr="00B010BF" w:rsidRDefault="00CC15C2" w:rsidP="00A728F8">
      <w:pPr>
        <w:pStyle w:val="ListParagraph"/>
        <w:widowControl/>
        <w:numPr>
          <w:ilvl w:val="1"/>
          <w:numId w:val="2"/>
        </w:numPr>
        <w:rPr>
          <w:szCs w:val="22"/>
          <w:lang w:val="en-GB"/>
        </w:rPr>
      </w:pPr>
      <w:r w:rsidRPr="00B010BF">
        <w:rPr>
          <w:lang w:val="en-GB"/>
        </w:rPr>
        <w:t>During evaluation, Australian data were applied to estimate the total eligible and treated population, using the following assumptions</w:t>
      </w:r>
      <w:r w:rsidR="0009262E" w:rsidRPr="00B010BF">
        <w:rPr>
          <w:lang w:val="en-GB"/>
        </w:rPr>
        <w:t>:</w:t>
      </w:r>
    </w:p>
    <w:p w:rsidR="008660D2" w:rsidRPr="00B010BF" w:rsidRDefault="008660D2" w:rsidP="00A728F8">
      <w:pPr>
        <w:pStyle w:val="ListParagraph"/>
        <w:widowControl/>
        <w:numPr>
          <w:ilvl w:val="0"/>
          <w:numId w:val="8"/>
        </w:numPr>
        <w:ind w:left="1134" w:hanging="425"/>
        <w:rPr>
          <w:szCs w:val="22"/>
          <w:lang w:val="en-GB"/>
        </w:rPr>
      </w:pPr>
      <w:r w:rsidRPr="00B010BF">
        <w:rPr>
          <w:szCs w:val="22"/>
          <w:lang w:val="en-GB"/>
        </w:rPr>
        <w:t>Incidence of soft tissue sarcoma was 3.56 per 100,000 in the adult population (AIHW 2016);</w:t>
      </w:r>
    </w:p>
    <w:p w:rsidR="005E325A" w:rsidRPr="00B010BF" w:rsidRDefault="008660D2" w:rsidP="00A728F8">
      <w:pPr>
        <w:pStyle w:val="ListParagraph"/>
        <w:widowControl/>
        <w:numPr>
          <w:ilvl w:val="0"/>
          <w:numId w:val="8"/>
        </w:numPr>
        <w:ind w:left="1134" w:hanging="425"/>
        <w:rPr>
          <w:szCs w:val="22"/>
          <w:lang w:val="en-GB"/>
        </w:rPr>
      </w:pPr>
      <w:r w:rsidRPr="00B010BF">
        <w:rPr>
          <w:szCs w:val="22"/>
          <w:lang w:val="en-GB"/>
        </w:rPr>
        <w:t xml:space="preserve">The 1-year prevalence of soft tissue sarcoma was 321 patients (based on AIHW 2014 and </w:t>
      </w:r>
      <w:r w:rsidR="00ED361A" w:rsidRPr="00B010BF">
        <w:rPr>
          <w:szCs w:val="22"/>
          <w:lang w:val="en-GB"/>
        </w:rPr>
        <w:t>Australian</w:t>
      </w:r>
      <w:r w:rsidR="00490663" w:rsidRPr="00B010BF">
        <w:rPr>
          <w:szCs w:val="22"/>
          <w:lang w:val="en-GB"/>
        </w:rPr>
        <w:t xml:space="preserve"> </w:t>
      </w:r>
      <w:r w:rsidRPr="00B010BF">
        <w:rPr>
          <w:szCs w:val="22"/>
          <w:lang w:val="en-GB"/>
        </w:rPr>
        <w:t>B</w:t>
      </w:r>
      <w:r w:rsidR="00490663" w:rsidRPr="00B010BF">
        <w:rPr>
          <w:szCs w:val="22"/>
          <w:lang w:val="en-GB"/>
        </w:rPr>
        <w:t xml:space="preserve">ureau of </w:t>
      </w:r>
      <w:r w:rsidRPr="00B010BF">
        <w:rPr>
          <w:szCs w:val="22"/>
          <w:lang w:val="en-GB"/>
        </w:rPr>
        <w:t>S</w:t>
      </w:r>
      <w:r w:rsidR="00490663" w:rsidRPr="00B010BF">
        <w:rPr>
          <w:szCs w:val="22"/>
          <w:lang w:val="en-GB"/>
        </w:rPr>
        <w:t>tatistics</w:t>
      </w:r>
      <w:r w:rsidR="004E2076">
        <w:rPr>
          <w:szCs w:val="22"/>
          <w:lang w:val="en-GB"/>
        </w:rPr>
        <w:t xml:space="preserve"> population projections);</w:t>
      </w:r>
    </w:p>
    <w:p w:rsidR="008660D2" w:rsidRPr="00B010BF" w:rsidRDefault="005E325A" w:rsidP="00A728F8">
      <w:pPr>
        <w:pStyle w:val="ListParagraph"/>
        <w:widowControl/>
        <w:numPr>
          <w:ilvl w:val="0"/>
          <w:numId w:val="8"/>
        </w:numPr>
        <w:ind w:left="1134" w:hanging="425"/>
        <w:rPr>
          <w:szCs w:val="22"/>
          <w:lang w:val="en-GB"/>
        </w:rPr>
      </w:pPr>
      <w:r w:rsidRPr="00B010BF">
        <w:rPr>
          <w:szCs w:val="22"/>
          <w:lang w:val="en-GB"/>
        </w:rPr>
        <w:t xml:space="preserve">17% of soft tissue sarcomas were </w:t>
      </w:r>
      <w:proofErr w:type="spellStart"/>
      <w:r w:rsidRPr="00B010BF">
        <w:rPr>
          <w:szCs w:val="22"/>
          <w:lang w:val="en-GB"/>
        </w:rPr>
        <w:t>liposarcomas</w:t>
      </w:r>
      <w:proofErr w:type="spellEnd"/>
      <w:r w:rsidRPr="00B010BF">
        <w:rPr>
          <w:szCs w:val="22"/>
          <w:lang w:val="en-GB"/>
        </w:rPr>
        <w:t xml:space="preserve"> (submission, </w:t>
      </w:r>
      <w:proofErr w:type="spellStart"/>
      <w:r w:rsidRPr="00B010BF">
        <w:rPr>
          <w:szCs w:val="22"/>
          <w:lang w:val="en-GB"/>
        </w:rPr>
        <w:t>Howlader</w:t>
      </w:r>
      <w:proofErr w:type="spellEnd"/>
      <w:r w:rsidRPr="00B010BF">
        <w:rPr>
          <w:szCs w:val="22"/>
          <w:lang w:val="en-GB"/>
        </w:rPr>
        <w:t xml:space="preserve"> 2015); </w:t>
      </w:r>
      <w:r w:rsidR="008660D2" w:rsidRPr="00B010BF">
        <w:rPr>
          <w:szCs w:val="22"/>
          <w:lang w:val="en-GB"/>
        </w:rPr>
        <w:t>and</w:t>
      </w:r>
    </w:p>
    <w:p w:rsidR="008660D2" w:rsidRPr="00B010BF" w:rsidRDefault="008660D2" w:rsidP="00A728F8">
      <w:pPr>
        <w:pStyle w:val="ListParagraph"/>
        <w:widowControl/>
        <w:numPr>
          <w:ilvl w:val="0"/>
          <w:numId w:val="8"/>
        </w:numPr>
        <w:ind w:left="1134" w:hanging="425"/>
        <w:rPr>
          <w:szCs w:val="22"/>
          <w:lang w:val="en-GB"/>
        </w:rPr>
      </w:pPr>
      <w:r w:rsidRPr="00B010BF">
        <w:rPr>
          <w:szCs w:val="22"/>
          <w:lang w:val="en-GB"/>
        </w:rPr>
        <w:t xml:space="preserve">80% of incident and prevalent patients with </w:t>
      </w:r>
      <w:proofErr w:type="spellStart"/>
      <w:r w:rsidRPr="00B010BF">
        <w:rPr>
          <w:szCs w:val="22"/>
          <w:lang w:val="en-GB"/>
        </w:rPr>
        <w:t>liposarcoma</w:t>
      </w:r>
      <w:proofErr w:type="spellEnd"/>
      <w:r w:rsidRPr="00B010BF">
        <w:rPr>
          <w:szCs w:val="22"/>
          <w:lang w:val="en-GB"/>
        </w:rPr>
        <w:t xml:space="preserve"> will have advanced or metastatic disease and will have received prior treatment.</w:t>
      </w:r>
    </w:p>
    <w:p w:rsidR="008660D2" w:rsidRPr="00B010BF" w:rsidRDefault="008660D2" w:rsidP="00903665">
      <w:pPr>
        <w:pStyle w:val="ListParagraph"/>
        <w:widowControl/>
        <w:ind w:left="1134"/>
        <w:rPr>
          <w:szCs w:val="22"/>
          <w:lang w:val="en-GB"/>
        </w:rPr>
      </w:pPr>
    </w:p>
    <w:p w:rsidR="0009262E" w:rsidRPr="00B010BF" w:rsidRDefault="0009262E" w:rsidP="00A728F8">
      <w:pPr>
        <w:pStyle w:val="ListParagraph"/>
        <w:widowControl/>
        <w:numPr>
          <w:ilvl w:val="1"/>
          <w:numId w:val="2"/>
        </w:numPr>
        <w:rPr>
          <w:szCs w:val="22"/>
          <w:lang w:val="en-GB"/>
        </w:rPr>
      </w:pPr>
      <w:r w:rsidRPr="00B010BF">
        <w:rPr>
          <w:lang w:val="en-GB"/>
        </w:rPr>
        <w:t xml:space="preserve">The submission estimated that in the first five years of listing the cost to the PBS/RPBS and MBS would be </w:t>
      </w:r>
      <w:r w:rsidR="00995E5C">
        <w:rPr>
          <w:lang w:val="en-GB"/>
        </w:rPr>
        <w:t>less than $10</w:t>
      </w:r>
      <w:r w:rsidR="008F0319" w:rsidRPr="00B010BF">
        <w:rPr>
          <w:lang w:val="en-GB"/>
        </w:rPr>
        <w:t> </w:t>
      </w:r>
      <w:r w:rsidRPr="00B010BF">
        <w:rPr>
          <w:lang w:val="en-GB"/>
        </w:rPr>
        <w:t xml:space="preserve">million. This cost was </w:t>
      </w:r>
      <w:r w:rsidR="000678AF" w:rsidRPr="00B010BF">
        <w:rPr>
          <w:lang w:val="en-GB"/>
        </w:rPr>
        <w:t>uncertain</w:t>
      </w:r>
      <w:r w:rsidRPr="00B010BF">
        <w:rPr>
          <w:lang w:val="en-GB"/>
        </w:rPr>
        <w:t xml:space="preserve"> as:</w:t>
      </w:r>
    </w:p>
    <w:p w:rsidR="008660D2" w:rsidRPr="00B010BF" w:rsidRDefault="008660D2" w:rsidP="00A728F8">
      <w:pPr>
        <w:pStyle w:val="ListParagraph"/>
        <w:widowControl/>
        <w:numPr>
          <w:ilvl w:val="0"/>
          <w:numId w:val="9"/>
        </w:numPr>
        <w:ind w:left="1134" w:hanging="425"/>
        <w:rPr>
          <w:snapToGrid/>
          <w:szCs w:val="22"/>
          <w:lang w:val="en-GB"/>
        </w:rPr>
      </w:pPr>
      <w:r w:rsidRPr="00B010BF">
        <w:rPr>
          <w:snapToGrid/>
          <w:szCs w:val="22"/>
          <w:lang w:val="en-GB"/>
        </w:rPr>
        <w:t xml:space="preserve">The </w:t>
      </w:r>
      <w:r w:rsidR="001E517F" w:rsidRPr="00B010BF">
        <w:rPr>
          <w:snapToGrid/>
          <w:szCs w:val="22"/>
          <w:lang w:val="en-GB"/>
        </w:rPr>
        <w:t>submission may have overestimated the number of patients</w:t>
      </w:r>
      <w:r w:rsidR="00124895" w:rsidRPr="00B010BF">
        <w:rPr>
          <w:snapToGrid/>
          <w:szCs w:val="22"/>
          <w:lang w:val="en-GB"/>
        </w:rPr>
        <w:t xml:space="preserve"> in Year 1 and</w:t>
      </w:r>
      <w:r w:rsidR="001E517F" w:rsidRPr="00B010BF">
        <w:rPr>
          <w:snapToGrid/>
          <w:szCs w:val="22"/>
          <w:lang w:val="en-GB"/>
        </w:rPr>
        <w:t xml:space="preserve"> underestimated the number of patients in Years 2-5</w:t>
      </w:r>
      <w:r w:rsidRPr="00B010BF">
        <w:rPr>
          <w:snapToGrid/>
          <w:szCs w:val="22"/>
          <w:lang w:val="en-GB"/>
        </w:rPr>
        <w:t>;</w:t>
      </w:r>
    </w:p>
    <w:p w:rsidR="00EF241F" w:rsidRPr="00B010BF" w:rsidRDefault="00EF241F" w:rsidP="00A728F8">
      <w:pPr>
        <w:pStyle w:val="ListParagraph"/>
        <w:widowControl/>
        <w:numPr>
          <w:ilvl w:val="0"/>
          <w:numId w:val="9"/>
        </w:numPr>
        <w:ind w:left="1134" w:hanging="425"/>
        <w:rPr>
          <w:snapToGrid/>
          <w:szCs w:val="22"/>
          <w:lang w:val="en-GB"/>
        </w:rPr>
      </w:pPr>
      <w:r w:rsidRPr="00B010BF">
        <w:rPr>
          <w:snapToGrid/>
          <w:szCs w:val="22"/>
          <w:lang w:val="en-GB"/>
        </w:rPr>
        <w:t>The submission did not consider potential wastage;</w:t>
      </w:r>
    </w:p>
    <w:p w:rsidR="008660D2" w:rsidRPr="00B010BF" w:rsidRDefault="001E517F" w:rsidP="00A728F8">
      <w:pPr>
        <w:pStyle w:val="ListParagraph"/>
        <w:widowControl/>
        <w:numPr>
          <w:ilvl w:val="0"/>
          <w:numId w:val="9"/>
        </w:numPr>
        <w:ind w:left="1134" w:hanging="425"/>
        <w:rPr>
          <w:snapToGrid/>
          <w:szCs w:val="22"/>
          <w:lang w:val="en-GB"/>
        </w:rPr>
      </w:pPr>
      <w:r w:rsidRPr="00B010BF">
        <w:rPr>
          <w:snapToGrid/>
          <w:szCs w:val="22"/>
          <w:lang w:val="en-GB"/>
        </w:rPr>
        <w:t>C</w:t>
      </w:r>
      <w:r w:rsidR="008660D2" w:rsidRPr="00B010BF">
        <w:rPr>
          <w:snapToGrid/>
          <w:szCs w:val="22"/>
          <w:lang w:val="en-GB"/>
        </w:rPr>
        <w:t>ost offsets</w:t>
      </w:r>
      <w:r w:rsidRPr="00B010BF">
        <w:rPr>
          <w:snapToGrid/>
          <w:szCs w:val="22"/>
          <w:lang w:val="en-GB"/>
        </w:rPr>
        <w:t xml:space="preserve"> may have been overestimated as the submission did not account for</w:t>
      </w:r>
      <w:r w:rsidR="008660D2" w:rsidRPr="00B010BF">
        <w:rPr>
          <w:snapToGrid/>
          <w:szCs w:val="22"/>
          <w:lang w:val="en-GB"/>
        </w:rPr>
        <w:t xml:space="preserve"> replacement of PBS/RPBS listed chemotherapy were excluded ;</w:t>
      </w:r>
    </w:p>
    <w:p w:rsidR="008660D2" w:rsidRPr="00B010BF" w:rsidRDefault="008660D2" w:rsidP="00A728F8">
      <w:pPr>
        <w:pStyle w:val="ListParagraph"/>
        <w:widowControl/>
        <w:numPr>
          <w:ilvl w:val="0"/>
          <w:numId w:val="9"/>
        </w:numPr>
        <w:ind w:left="1134" w:hanging="425"/>
        <w:rPr>
          <w:snapToGrid/>
          <w:szCs w:val="22"/>
          <w:lang w:val="en-GB"/>
        </w:rPr>
      </w:pPr>
      <w:r w:rsidRPr="00B010BF">
        <w:rPr>
          <w:snapToGrid/>
          <w:szCs w:val="22"/>
          <w:lang w:val="en-GB"/>
        </w:rPr>
        <w:t xml:space="preserve">The submission did not include additional costs </w:t>
      </w:r>
      <w:r w:rsidR="00184C71" w:rsidRPr="00B010BF">
        <w:rPr>
          <w:snapToGrid/>
          <w:szCs w:val="22"/>
          <w:lang w:val="en-GB"/>
        </w:rPr>
        <w:t>to the PBS/RPBS and MB</w:t>
      </w:r>
      <w:r w:rsidR="001E517F" w:rsidRPr="00B010BF">
        <w:rPr>
          <w:snapToGrid/>
          <w:szCs w:val="22"/>
          <w:lang w:val="en-GB"/>
        </w:rPr>
        <w:t>S</w:t>
      </w:r>
      <w:r w:rsidR="00184C71" w:rsidRPr="00B010BF">
        <w:rPr>
          <w:snapToGrid/>
          <w:szCs w:val="22"/>
          <w:lang w:val="en-GB"/>
        </w:rPr>
        <w:t xml:space="preserve"> </w:t>
      </w:r>
      <w:r w:rsidRPr="00B010BF">
        <w:rPr>
          <w:snapToGrid/>
          <w:szCs w:val="22"/>
          <w:lang w:val="en-GB"/>
        </w:rPr>
        <w:t xml:space="preserve">for the increased incidence of </w:t>
      </w:r>
      <w:r w:rsidR="00184C71" w:rsidRPr="00B010BF">
        <w:rPr>
          <w:snapToGrid/>
          <w:szCs w:val="22"/>
          <w:lang w:val="en-GB"/>
        </w:rPr>
        <w:t>certain adverse events</w:t>
      </w:r>
      <w:r w:rsidRPr="00B010BF">
        <w:rPr>
          <w:snapToGrid/>
          <w:szCs w:val="22"/>
          <w:lang w:val="en-GB"/>
        </w:rPr>
        <w:t xml:space="preserve"> (underestimate); and</w:t>
      </w:r>
    </w:p>
    <w:p w:rsidR="008603AD" w:rsidRPr="00B010BF" w:rsidRDefault="008660D2" w:rsidP="00A728F8">
      <w:pPr>
        <w:pStyle w:val="ListParagraph"/>
        <w:widowControl/>
        <w:numPr>
          <w:ilvl w:val="0"/>
          <w:numId w:val="9"/>
        </w:numPr>
        <w:ind w:left="1134" w:hanging="425"/>
        <w:rPr>
          <w:lang w:val="en-GB"/>
        </w:rPr>
      </w:pPr>
      <w:r w:rsidRPr="00B010BF">
        <w:rPr>
          <w:snapToGrid/>
          <w:szCs w:val="22"/>
          <w:lang w:val="en-GB"/>
        </w:rPr>
        <w:t>The submission applied the full MBS fee</w:t>
      </w:r>
      <w:r w:rsidR="001D61A4">
        <w:rPr>
          <w:snapToGrid/>
          <w:szCs w:val="22"/>
          <w:lang w:val="en-GB"/>
        </w:rPr>
        <w:t xml:space="preserve"> for the cost of administration – private patients (MBS 13915) and cost of monitoring – all patients (MBS 56801); it would have been more appropriate to use the 85% MBS fee</w:t>
      </w:r>
      <w:r w:rsidR="001E517F" w:rsidRPr="00B010BF">
        <w:rPr>
          <w:snapToGrid/>
          <w:szCs w:val="22"/>
          <w:lang w:val="en-GB"/>
        </w:rPr>
        <w:t>.</w:t>
      </w:r>
    </w:p>
    <w:p w:rsidR="008603AD" w:rsidRPr="00B010BF" w:rsidRDefault="008603AD" w:rsidP="00903665">
      <w:pPr>
        <w:widowControl/>
        <w:rPr>
          <w:lang w:val="en-GB"/>
        </w:rPr>
      </w:pPr>
    </w:p>
    <w:p w:rsidR="0009262E" w:rsidRPr="00CE1982" w:rsidRDefault="0009262E" w:rsidP="00A728F8">
      <w:pPr>
        <w:pStyle w:val="ListParagraph"/>
        <w:widowControl/>
        <w:numPr>
          <w:ilvl w:val="1"/>
          <w:numId w:val="2"/>
        </w:numPr>
        <w:rPr>
          <w:szCs w:val="22"/>
          <w:lang w:val="en-GB"/>
        </w:rPr>
      </w:pPr>
      <w:r w:rsidRPr="00B010BF">
        <w:rPr>
          <w:lang w:val="en-GB"/>
        </w:rPr>
        <w:t>Using updated patient numbers estimated during evaluation</w:t>
      </w:r>
      <w:r w:rsidR="00C002F3" w:rsidRPr="00B010BF">
        <w:rPr>
          <w:lang w:val="en-GB"/>
        </w:rPr>
        <w:t>,</w:t>
      </w:r>
      <w:r w:rsidRPr="00B010BF">
        <w:rPr>
          <w:lang w:val="en-GB"/>
        </w:rPr>
        <w:t xml:space="preserve"> the cost to the PBS/RPBS and MBS over the first five years of listing was estimated to be </w:t>
      </w:r>
      <w:r w:rsidR="00995E5C">
        <w:rPr>
          <w:lang w:val="en-GB"/>
        </w:rPr>
        <w:t>less than $10</w:t>
      </w:r>
      <w:r w:rsidR="008F0319" w:rsidRPr="00B010BF">
        <w:rPr>
          <w:lang w:val="en-GB"/>
        </w:rPr>
        <w:t> </w:t>
      </w:r>
      <w:r w:rsidRPr="00B010BF">
        <w:rPr>
          <w:lang w:val="en-GB"/>
        </w:rPr>
        <w:t>million.</w:t>
      </w:r>
    </w:p>
    <w:p w:rsidR="00CE1982" w:rsidRPr="00CE1982" w:rsidRDefault="00CE1982" w:rsidP="00CE1982">
      <w:pPr>
        <w:pStyle w:val="ListParagraph"/>
        <w:widowControl/>
        <w:rPr>
          <w:szCs w:val="22"/>
          <w:lang w:val="en-GB"/>
        </w:rPr>
      </w:pPr>
    </w:p>
    <w:p w:rsidR="00CE1982" w:rsidRPr="00B010BF" w:rsidRDefault="00CE1982" w:rsidP="00A728F8">
      <w:pPr>
        <w:pStyle w:val="ListParagraph"/>
        <w:widowControl/>
        <w:numPr>
          <w:ilvl w:val="1"/>
          <w:numId w:val="2"/>
        </w:numPr>
        <w:rPr>
          <w:szCs w:val="22"/>
          <w:lang w:val="en-GB"/>
        </w:rPr>
      </w:pPr>
      <w:r>
        <w:rPr>
          <w:szCs w:val="22"/>
          <w:lang w:val="en-GB"/>
        </w:rPr>
        <w:t>The PBAC accepted the revised estimated use and financia</w:t>
      </w:r>
      <w:r w:rsidR="000C1A3C">
        <w:rPr>
          <w:szCs w:val="22"/>
          <w:lang w:val="en-GB"/>
        </w:rPr>
        <w:t>l implicat</w:t>
      </w:r>
      <w:r w:rsidR="00431672">
        <w:rPr>
          <w:szCs w:val="22"/>
          <w:lang w:val="en-GB"/>
        </w:rPr>
        <w:t>ions presented by the evaluation</w:t>
      </w:r>
      <w:r w:rsidR="004E2076">
        <w:rPr>
          <w:szCs w:val="22"/>
          <w:lang w:val="en-GB"/>
        </w:rPr>
        <w:t>.</w:t>
      </w:r>
    </w:p>
    <w:p w:rsidR="00576972" w:rsidRPr="00B010BF" w:rsidRDefault="00576972" w:rsidP="00903665">
      <w:pPr>
        <w:widowControl/>
        <w:rPr>
          <w:szCs w:val="22"/>
          <w:lang w:val="en-GB"/>
        </w:rPr>
      </w:pPr>
    </w:p>
    <w:p w:rsidR="00576972" w:rsidRPr="00B010BF" w:rsidRDefault="00576972" w:rsidP="00903665">
      <w:pPr>
        <w:pStyle w:val="Heading3"/>
        <w:widowControl/>
        <w:rPr>
          <w:i w:val="0"/>
        </w:rPr>
      </w:pPr>
      <w:bookmarkStart w:id="16" w:name="_Toc461622512"/>
      <w:r w:rsidRPr="00B010BF">
        <w:rPr>
          <w:i w:val="0"/>
        </w:rPr>
        <w:t>Quality Use of Medicines</w:t>
      </w:r>
      <w:bookmarkEnd w:id="16"/>
    </w:p>
    <w:p w:rsidR="00576972" w:rsidRPr="00B010BF" w:rsidRDefault="00576972" w:rsidP="00903665">
      <w:pPr>
        <w:widowControl/>
        <w:rPr>
          <w:szCs w:val="22"/>
          <w:lang w:val="en-GB"/>
        </w:rPr>
      </w:pPr>
    </w:p>
    <w:p w:rsidR="00576972" w:rsidRPr="00B010BF" w:rsidRDefault="00E43AB9" w:rsidP="00A728F8">
      <w:pPr>
        <w:pStyle w:val="ListParagraph"/>
        <w:widowControl/>
        <w:numPr>
          <w:ilvl w:val="1"/>
          <w:numId w:val="2"/>
        </w:numPr>
        <w:rPr>
          <w:szCs w:val="22"/>
          <w:lang w:val="en-GB"/>
        </w:rPr>
      </w:pPr>
      <w:r w:rsidRPr="00B010BF">
        <w:rPr>
          <w:lang w:val="en-GB"/>
        </w:rPr>
        <w:t xml:space="preserve">The submission did not </w:t>
      </w:r>
      <w:r w:rsidR="004A2C9B" w:rsidRPr="00B010BF">
        <w:rPr>
          <w:lang w:val="en-GB"/>
        </w:rPr>
        <w:t xml:space="preserve">discuss </w:t>
      </w:r>
      <w:r w:rsidRPr="00B010BF">
        <w:rPr>
          <w:lang w:val="en-GB"/>
        </w:rPr>
        <w:t>quality use of medicines initiatives.</w:t>
      </w:r>
      <w:r w:rsidR="00B07E99" w:rsidRPr="00B010BF">
        <w:rPr>
          <w:lang w:val="en-GB"/>
        </w:rPr>
        <w:t xml:space="preserve"> </w:t>
      </w:r>
      <w:r w:rsidR="007209C9" w:rsidRPr="00B010BF">
        <w:rPr>
          <w:lang w:val="en-GB"/>
        </w:rPr>
        <w:t xml:space="preserve">The submission requested </w:t>
      </w:r>
      <w:r w:rsidR="00F21924">
        <w:rPr>
          <w:lang w:val="en-GB"/>
        </w:rPr>
        <w:t xml:space="preserve">listing of </w:t>
      </w:r>
      <w:r w:rsidR="007209C9" w:rsidRPr="00B010BF">
        <w:rPr>
          <w:lang w:val="en-GB"/>
        </w:rPr>
        <w:t>the 2 mL (1 mg) vial only</w:t>
      </w:r>
      <w:r w:rsidR="000A0186" w:rsidRPr="00B010BF">
        <w:rPr>
          <w:lang w:val="en-GB"/>
        </w:rPr>
        <w:t>;</w:t>
      </w:r>
      <w:r w:rsidR="007209C9" w:rsidRPr="00B010BF">
        <w:rPr>
          <w:lang w:val="en-GB"/>
        </w:rPr>
        <w:t xml:space="preserve"> however</w:t>
      </w:r>
      <w:r w:rsidR="000A0186" w:rsidRPr="00B010BF">
        <w:rPr>
          <w:lang w:val="en-GB"/>
        </w:rPr>
        <w:t>,</w:t>
      </w:r>
      <w:r w:rsidR="007209C9" w:rsidRPr="00B010BF">
        <w:rPr>
          <w:lang w:val="en-GB"/>
        </w:rPr>
        <w:t xml:space="preserve"> for the economic evaluation both the 2 mL (1 mg) and 3 mL (1.5 mg) vials were used to estimate the mean number of vials per infusion. Including the 3 mL vial would result in less wastage. Using the distribution of number of vials per infusion as used in the economic model, the use of the 2 mL and 3 mL vials would result in a mean </w:t>
      </w:r>
      <w:proofErr w:type="spellStart"/>
      <w:r w:rsidR="007209C9" w:rsidRPr="00B010BF">
        <w:rPr>
          <w:lang w:val="en-GB"/>
        </w:rPr>
        <w:t>eribulin</w:t>
      </w:r>
      <w:proofErr w:type="spellEnd"/>
      <w:r w:rsidR="007209C9" w:rsidRPr="00B010BF">
        <w:rPr>
          <w:lang w:val="en-GB"/>
        </w:rPr>
        <w:t xml:space="preserve"> dose of 2.38 mg compared with a mean dose of 2.73 mg if only the 2 mL vials would be used.</w:t>
      </w:r>
    </w:p>
    <w:p w:rsidR="00576972" w:rsidRPr="00B010BF" w:rsidRDefault="00576972" w:rsidP="00903665">
      <w:pPr>
        <w:widowControl/>
        <w:rPr>
          <w:szCs w:val="22"/>
          <w:lang w:val="en-GB"/>
        </w:rPr>
      </w:pPr>
    </w:p>
    <w:p w:rsidR="00995E5C" w:rsidRDefault="00995E5C">
      <w:pPr>
        <w:widowControl/>
        <w:jc w:val="left"/>
        <w:rPr>
          <w:b/>
        </w:rPr>
      </w:pPr>
      <w:bookmarkStart w:id="17" w:name="_Toc461622513"/>
      <w:r>
        <w:rPr>
          <w:i/>
        </w:rPr>
        <w:br w:type="page"/>
      </w:r>
    </w:p>
    <w:p w:rsidR="00576972" w:rsidRPr="00B010BF" w:rsidRDefault="00576972" w:rsidP="00903665">
      <w:pPr>
        <w:pStyle w:val="Heading3"/>
        <w:widowControl/>
        <w:rPr>
          <w:i w:val="0"/>
        </w:rPr>
      </w:pPr>
      <w:r w:rsidRPr="00B010BF">
        <w:rPr>
          <w:i w:val="0"/>
        </w:rPr>
        <w:lastRenderedPageBreak/>
        <w:t>Financial Management – Risk Sharing Arrangements</w:t>
      </w:r>
      <w:bookmarkEnd w:id="17"/>
    </w:p>
    <w:p w:rsidR="00C25D9C" w:rsidRPr="00B010BF" w:rsidRDefault="00C25D9C" w:rsidP="00903665">
      <w:pPr>
        <w:widowControl/>
        <w:rPr>
          <w:szCs w:val="22"/>
          <w:lang w:val="en-GB"/>
        </w:rPr>
      </w:pPr>
    </w:p>
    <w:p w:rsidR="00C25D9C" w:rsidRPr="00481A7C" w:rsidRDefault="00E43AB9" w:rsidP="00A728F8">
      <w:pPr>
        <w:pStyle w:val="ListParagraph"/>
        <w:widowControl/>
        <w:numPr>
          <w:ilvl w:val="1"/>
          <w:numId w:val="2"/>
        </w:numPr>
        <w:rPr>
          <w:szCs w:val="22"/>
          <w:lang w:val="en-GB"/>
        </w:rPr>
      </w:pPr>
      <w:r w:rsidRPr="00B010BF">
        <w:rPr>
          <w:lang w:val="en-GB"/>
        </w:rPr>
        <w:t xml:space="preserve">The submission proposed a special pricing arrangement similar to the current arrangement for use in patients with breast cancer. </w:t>
      </w:r>
      <w:r w:rsidR="006B7C5D" w:rsidRPr="00B010BF">
        <w:rPr>
          <w:lang w:val="en-GB"/>
        </w:rPr>
        <w:t>In the Pre-PBAC response, the sponsor indicated a willingness to negotiate a risk sharing arrangement to</w:t>
      </w:r>
      <w:r w:rsidR="00006049" w:rsidRPr="00B010BF">
        <w:rPr>
          <w:lang w:val="en-GB"/>
        </w:rPr>
        <w:t xml:space="preserve"> mitigate additional concerns raised by the PBAC.</w:t>
      </w:r>
    </w:p>
    <w:p w:rsidR="00B010BF" w:rsidRPr="00B010BF" w:rsidRDefault="00B010BF" w:rsidP="00481A7C">
      <w:pPr>
        <w:pStyle w:val="PBACHeading1"/>
        <w:numPr>
          <w:ilvl w:val="0"/>
          <w:numId w:val="0"/>
        </w:numPr>
        <w:rPr>
          <w:lang w:val="en-GB"/>
        </w:rPr>
      </w:pPr>
    </w:p>
    <w:p w:rsidR="00B010BF" w:rsidRPr="00B010BF" w:rsidRDefault="00B010BF" w:rsidP="00A728F8">
      <w:pPr>
        <w:pStyle w:val="ListParagraph"/>
        <w:widowControl/>
        <w:numPr>
          <w:ilvl w:val="1"/>
          <w:numId w:val="2"/>
        </w:numPr>
        <w:rPr>
          <w:szCs w:val="22"/>
          <w:lang w:val="en-GB"/>
        </w:rPr>
      </w:pPr>
      <w:r>
        <w:rPr>
          <w:lang w:val="en-GB"/>
        </w:rPr>
        <w:t xml:space="preserve">The PBAC considered that a risk sharing agreement with a </w:t>
      </w:r>
      <w:r w:rsidR="00CB310C">
        <w:rPr>
          <w:lang w:val="en-GB"/>
        </w:rPr>
        <w:t xml:space="preserve">financial </w:t>
      </w:r>
      <w:r>
        <w:rPr>
          <w:lang w:val="en-GB"/>
        </w:rPr>
        <w:t xml:space="preserve">cap </w:t>
      </w:r>
      <w:r w:rsidR="00CB310C">
        <w:rPr>
          <w:lang w:val="en-GB"/>
        </w:rPr>
        <w:t xml:space="preserve">based on the submission’s </w:t>
      </w:r>
      <w:r>
        <w:rPr>
          <w:lang w:val="en-GB"/>
        </w:rPr>
        <w:t>patient numbers may</w:t>
      </w:r>
      <w:r w:rsidR="00852A11">
        <w:rPr>
          <w:lang w:val="en-GB"/>
        </w:rPr>
        <w:t xml:space="preserve"> be</w:t>
      </w:r>
      <w:r>
        <w:rPr>
          <w:lang w:val="en-GB"/>
        </w:rPr>
        <w:t xml:space="preserve"> appropriate to address uncertainty in the utilisation and financial estimates</w:t>
      </w:r>
      <w:r w:rsidR="00362B02">
        <w:rPr>
          <w:lang w:val="en-GB"/>
        </w:rPr>
        <w:t>.</w:t>
      </w:r>
      <w:r w:rsidR="00CB310C">
        <w:rPr>
          <w:lang w:val="en-GB"/>
        </w:rPr>
        <w:t xml:space="preserve">  The financial estimates should be updated following the Committee’s recommendations.</w:t>
      </w:r>
    </w:p>
    <w:p w:rsidR="00576972" w:rsidRPr="00B010BF" w:rsidRDefault="00576972" w:rsidP="00903665">
      <w:pPr>
        <w:widowControl/>
        <w:rPr>
          <w:szCs w:val="22"/>
          <w:lang w:val="en-GB"/>
        </w:rPr>
      </w:pPr>
    </w:p>
    <w:p w:rsidR="0097289E" w:rsidRPr="00B010BF" w:rsidRDefault="0097289E" w:rsidP="0097289E">
      <w:pPr>
        <w:ind w:firstLine="720"/>
        <w:rPr>
          <w:bCs/>
          <w:szCs w:val="22"/>
        </w:rPr>
      </w:pPr>
      <w:r w:rsidRPr="00D12D72">
        <w:rPr>
          <w:bCs/>
          <w:i/>
          <w:szCs w:val="22"/>
        </w:rPr>
        <w:t>For more detail on PBAC’s view, see section 7 “PBAC outcome”</w:t>
      </w:r>
      <w:r w:rsidR="007E38B6">
        <w:rPr>
          <w:bCs/>
          <w:i/>
          <w:szCs w:val="22"/>
        </w:rPr>
        <w:t>.</w:t>
      </w:r>
    </w:p>
    <w:p w:rsidR="00C36CD9" w:rsidRPr="00B010BF" w:rsidRDefault="00C36CD9" w:rsidP="00C36CD9"/>
    <w:p w:rsidR="00A728F8" w:rsidRPr="00B010BF" w:rsidRDefault="00A728F8" w:rsidP="00C36CD9"/>
    <w:p w:rsidR="00A728F8" w:rsidRPr="00D12D72" w:rsidRDefault="00A728F8" w:rsidP="00A728F8">
      <w:pPr>
        <w:numPr>
          <w:ilvl w:val="0"/>
          <w:numId w:val="2"/>
        </w:numPr>
        <w:outlineLvl w:val="0"/>
        <w:rPr>
          <w:b/>
          <w:bCs/>
        </w:rPr>
      </w:pPr>
      <w:r w:rsidRPr="00D12D72">
        <w:rPr>
          <w:b/>
          <w:bCs/>
        </w:rPr>
        <w:t>PBAC Outcome</w:t>
      </w:r>
    </w:p>
    <w:p w:rsidR="00A728F8" w:rsidRPr="00D12D72" w:rsidRDefault="00A728F8" w:rsidP="00A728F8">
      <w:pPr>
        <w:rPr>
          <w:bCs/>
          <w:lang w:val="en-GB"/>
        </w:rPr>
      </w:pPr>
    </w:p>
    <w:p w:rsidR="00A728F8" w:rsidRPr="00D12D72" w:rsidRDefault="00A728F8" w:rsidP="00A728F8">
      <w:pPr>
        <w:numPr>
          <w:ilvl w:val="1"/>
          <w:numId w:val="2"/>
        </w:numPr>
        <w:rPr>
          <w:bCs/>
          <w:lang w:val="en-GB"/>
        </w:rPr>
      </w:pPr>
      <w:r w:rsidRPr="00D12D72">
        <w:rPr>
          <w:bCs/>
          <w:lang w:val="en-GB"/>
        </w:rPr>
        <w:t xml:space="preserve">The PBAC recommended the listing of </w:t>
      </w:r>
      <w:proofErr w:type="spellStart"/>
      <w:r w:rsidR="00B010BF">
        <w:rPr>
          <w:bCs/>
          <w:lang w:val="en-GB"/>
        </w:rPr>
        <w:t>eribulin</w:t>
      </w:r>
      <w:proofErr w:type="spellEnd"/>
      <w:r w:rsidRPr="00D12D72">
        <w:rPr>
          <w:bCs/>
          <w:lang w:val="en-GB"/>
        </w:rPr>
        <w:t>, on the basis that it should be available only under special arrangements under Section 100</w:t>
      </w:r>
      <w:r w:rsidR="00B010BF">
        <w:rPr>
          <w:bCs/>
          <w:lang w:val="en-GB"/>
        </w:rPr>
        <w:t xml:space="preserve"> </w:t>
      </w:r>
      <w:r w:rsidR="00852A11">
        <w:rPr>
          <w:bCs/>
          <w:lang w:val="en-GB"/>
        </w:rPr>
        <w:t>(</w:t>
      </w:r>
      <w:r w:rsidR="00EF06C2">
        <w:rPr>
          <w:bCs/>
          <w:lang w:val="en-GB"/>
        </w:rPr>
        <w:t>Efficient Funding of Chemotherapy – Public and Private Hospital</w:t>
      </w:r>
      <w:r w:rsidR="00852A11">
        <w:rPr>
          <w:bCs/>
          <w:lang w:val="en-GB"/>
        </w:rPr>
        <w:t>)</w:t>
      </w:r>
      <w:r w:rsidR="00EF06C2">
        <w:rPr>
          <w:bCs/>
          <w:lang w:val="en-GB"/>
        </w:rPr>
        <w:t>.</w:t>
      </w:r>
    </w:p>
    <w:p w:rsidR="00A728F8" w:rsidRPr="00D12D72" w:rsidRDefault="00A728F8" w:rsidP="00A728F8">
      <w:pPr>
        <w:rPr>
          <w:bCs/>
          <w:lang w:val="en-GB"/>
        </w:rPr>
      </w:pPr>
    </w:p>
    <w:p w:rsidR="00A728F8" w:rsidRDefault="00A728F8" w:rsidP="00A728F8">
      <w:pPr>
        <w:numPr>
          <w:ilvl w:val="1"/>
          <w:numId w:val="2"/>
        </w:numPr>
        <w:rPr>
          <w:bCs/>
          <w:lang w:val="en-GB"/>
        </w:rPr>
      </w:pPr>
      <w:r w:rsidRPr="00D12D72">
        <w:rPr>
          <w:bCs/>
          <w:lang w:val="en-GB"/>
        </w:rPr>
        <w:t xml:space="preserve">The PBAC is satisfied that </w:t>
      </w:r>
      <w:proofErr w:type="spellStart"/>
      <w:r w:rsidR="00B010BF">
        <w:rPr>
          <w:bCs/>
          <w:lang w:val="en-GB"/>
        </w:rPr>
        <w:t>eribulin</w:t>
      </w:r>
      <w:proofErr w:type="spellEnd"/>
      <w:r w:rsidR="00B010BF">
        <w:rPr>
          <w:bCs/>
          <w:lang w:val="en-GB"/>
        </w:rPr>
        <w:t xml:space="preserve"> </w:t>
      </w:r>
      <w:r w:rsidRPr="00D12D72">
        <w:rPr>
          <w:bCs/>
          <w:lang w:val="en-GB"/>
        </w:rPr>
        <w:t xml:space="preserve">provides, for some patients, a significant improvement in efficacy over </w:t>
      </w:r>
      <w:proofErr w:type="spellStart"/>
      <w:r w:rsidR="003C12A4">
        <w:rPr>
          <w:bCs/>
          <w:lang w:val="en-GB"/>
        </w:rPr>
        <w:t>dacarbazine</w:t>
      </w:r>
      <w:proofErr w:type="spellEnd"/>
      <w:r w:rsidR="0081568F">
        <w:rPr>
          <w:bCs/>
          <w:lang w:val="en-GB"/>
        </w:rPr>
        <w:t>.</w:t>
      </w:r>
    </w:p>
    <w:p w:rsidR="00EF06C2" w:rsidRDefault="00EF06C2" w:rsidP="00EF06C2">
      <w:pPr>
        <w:pStyle w:val="ListParagraph"/>
        <w:rPr>
          <w:bCs/>
          <w:lang w:val="en-GB"/>
        </w:rPr>
      </w:pPr>
    </w:p>
    <w:p w:rsidR="00EF06C2" w:rsidRDefault="00EF06C2" w:rsidP="00A728F8">
      <w:pPr>
        <w:numPr>
          <w:ilvl w:val="1"/>
          <w:numId w:val="2"/>
        </w:numPr>
        <w:rPr>
          <w:bCs/>
          <w:lang w:val="en-GB"/>
        </w:rPr>
      </w:pPr>
      <w:r>
        <w:rPr>
          <w:bCs/>
          <w:lang w:val="en-GB"/>
        </w:rPr>
        <w:t xml:space="preserve">The </w:t>
      </w:r>
      <w:r w:rsidR="00B46539">
        <w:rPr>
          <w:bCs/>
          <w:lang w:val="en-GB"/>
        </w:rPr>
        <w:t xml:space="preserve">PBAC </w:t>
      </w:r>
      <w:r w:rsidR="00405464">
        <w:rPr>
          <w:bCs/>
          <w:lang w:val="en-GB"/>
        </w:rPr>
        <w:t xml:space="preserve">acknowledged the high unmet clinical need for treatment options in </w:t>
      </w:r>
      <w:proofErr w:type="spellStart"/>
      <w:r w:rsidR="00405464">
        <w:rPr>
          <w:bCs/>
          <w:lang w:val="en-GB"/>
        </w:rPr>
        <w:t>liposarcoma</w:t>
      </w:r>
      <w:proofErr w:type="spellEnd"/>
      <w:r w:rsidR="00405464">
        <w:rPr>
          <w:bCs/>
          <w:lang w:val="en-GB"/>
        </w:rPr>
        <w:t xml:space="preserve"> patients. The PBAC </w:t>
      </w:r>
      <w:r w:rsidR="00B46539">
        <w:rPr>
          <w:bCs/>
          <w:lang w:val="en-GB"/>
        </w:rPr>
        <w:t>a</w:t>
      </w:r>
      <w:r w:rsidR="0097571F">
        <w:rPr>
          <w:bCs/>
          <w:lang w:val="en-GB"/>
        </w:rPr>
        <w:t>ccepted</w:t>
      </w:r>
      <w:r w:rsidR="00B46539">
        <w:rPr>
          <w:bCs/>
          <w:lang w:val="en-GB"/>
        </w:rPr>
        <w:t xml:space="preserve"> the submission’s proposal for </w:t>
      </w:r>
      <w:proofErr w:type="spellStart"/>
      <w:r w:rsidR="00B46539">
        <w:rPr>
          <w:bCs/>
          <w:lang w:val="en-GB"/>
        </w:rPr>
        <w:t>eribulin</w:t>
      </w:r>
      <w:proofErr w:type="spellEnd"/>
      <w:r w:rsidR="00B46539">
        <w:rPr>
          <w:bCs/>
          <w:lang w:val="en-GB"/>
        </w:rPr>
        <w:t xml:space="preserve"> to be used in the second-line setting for the treatment of </w:t>
      </w:r>
      <w:proofErr w:type="spellStart"/>
      <w:r w:rsidR="00B46539">
        <w:rPr>
          <w:bCs/>
          <w:lang w:val="en-GB"/>
        </w:rPr>
        <w:t>unresectable</w:t>
      </w:r>
      <w:proofErr w:type="spellEnd"/>
      <w:r w:rsidR="00B46539">
        <w:rPr>
          <w:bCs/>
          <w:lang w:val="en-GB"/>
        </w:rPr>
        <w:t xml:space="preserve"> or metastatic </w:t>
      </w:r>
      <w:proofErr w:type="spellStart"/>
      <w:r w:rsidR="00B46539">
        <w:rPr>
          <w:bCs/>
          <w:lang w:val="en-GB"/>
        </w:rPr>
        <w:t>liposarcoma</w:t>
      </w:r>
      <w:proofErr w:type="spellEnd"/>
      <w:r w:rsidR="00B46539">
        <w:rPr>
          <w:bCs/>
          <w:lang w:val="en-GB"/>
        </w:rPr>
        <w:t xml:space="preserve">, after prior treatment with an </w:t>
      </w:r>
      <w:proofErr w:type="spellStart"/>
      <w:r w:rsidR="00B46539">
        <w:rPr>
          <w:bCs/>
          <w:lang w:val="en-GB"/>
        </w:rPr>
        <w:t>anthracycline</w:t>
      </w:r>
      <w:proofErr w:type="spellEnd"/>
      <w:r w:rsidR="00B46539">
        <w:rPr>
          <w:bCs/>
          <w:lang w:val="en-GB"/>
        </w:rPr>
        <w:t xml:space="preserve"> and </w:t>
      </w:r>
      <w:proofErr w:type="spellStart"/>
      <w:r w:rsidR="00B46539">
        <w:rPr>
          <w:bCs/>
          <w:lang w:val="en-GB"/>
        </w:rPr>
        <w:t>ifosfamide</w:t>
      </w:r>
      <w:proofErr w:type="spellEnd"/>
      <w:r w:rsidR="00B46539">
        <w:rPr>
          <w:bCs/>
          <w:lang w:val="en-GB"/>
        </w:rPr>
        <w:t xml:space="preserve"> (unless contraindicated). However, the PBAC was concerned that given the limited treatment options available for sarcoma patients, that there was a risk of leakage of using PBS-subsidised </w:t>
      </w:r>
      <w:proofErr w:type="spellStart"/>
      <w:r w:rsidR="00B46539">
        <w:rPr>
          <w:bCs/>
          <w:lang w:val="en-GB"/>
        </w:rPr>
        <w:t>eribulin</w:t>
      </w:r>
      <w:proofErr w:type="spellEnd"/>
      <w:r w:rsidR="00B46539">
        <w:rPr>
          <w:bCs/>
          <w:lang w:val="en-GB"/>
        </w:rPr>
        <w:t xml:space="preserve"> for subtypes of </w:t>
      </w:r>
      <w:r w:rsidR="004E2076">
        <w:rPr>
          <w:bCs/>
          <w:lang w:val="en-GB"/>
        </w:rPr>
        <w:t xml:space="preserve">sarcoma other than </w:t>
      </w:r>
      <w:proofErr w:type="spellStart"/>
      <w:r w:rsidR="004E2076">
        <w:rPr>
          <w:bCs/>
          <w:lang w:val="en-GB"/>
        </w:rPr>
        <w:t>liposarcoma</w:t>
      </w:r>
      <w:proofErr w:type="spellEnd"/>
      <w:r w:rsidR="004E2076">
        <w:rPr>
          <w:bCs/>
          <w:lang w:val="en-GB"/>
        </w:rPr>
        <w:t>.</w:t>
      </w:r>
    </w:p>
    <w:p w:rsidR="0097571F" w:rsidRDefault="0097571F" w:rsidP="0097571F">
      <w:pPr>
        <w:pStyle w:val="ListParagraph"/>
        <w:rPr>
          <w:bCs/>
          <w:lang w:val="en-GB"/>
        </w:rPr>
      </w:pPr>
    </w:p>
    <w:p w:rsidR="0097571F" w:rsidRDefault="0097571F" w:rsidP="0097571F">
      <w:pPr>
        <w:numPr>
          <w:ilvl w:val="1"/>
          <w:numId w:val="2"/>
        </w:numPr>
        <w:rPr>
          <w:bCs/>
          <w:lang w:val="en-GB"/>
        </w:rPr>
      </w:pPr>
      <w:r>
        <w:rPr>
          <w:bCs/>
          <w:lang w:val="en-GB"/>
        </w:rPr>
        <w:t xml:space="preserve">The PBAC accepted </w:t>
      </w:r>
      <w:proofErr w:type="spellStart"/>
      <w:r>
        <w:rPr>
          <w:bCs/>
          <w:lang w:val="en-GB"/>
        </w:rPr>
        <w:t>dacarbazine</w:t>
      </w:r>
      <w:proofErr w:type="spellEnd"/>
      <w:r>
        <w:rPr>
          <w:bCs/>
          <w:lang w:val="en-GB"/>
        </w:rPr>
        <w:t xml:space="preserve"> as the primary comparator, and </w:t>
      </w:r>
      <w:proofErr w:type="spellStart"/>
      <w:r>
        <w:rPr>
          <w:bCs/>
          <w:lang w:val="en-GB"/>
        </w:rPr>
        <w:t>ifosfamide</w:t>
      </w:r>
      <w:proofErr w:type="spellEnd"/>
      <w:r>
        <w:rPr>
          <w:bCs/>
          <w:lang w:val="en-GB"/>
        </w:rPr>
        <w:t xml:space="preserve"> as a supplementary comparator, and noted that </w:t>
      </w:r>
      <w:proofErr w:type="spellStart"/>
      <w:r>
        <w:rPr>
          <w:bCs/>
          <w:lang w:val="en-GB"/>
        </w:rPr>
        <w:t>dacarbazine</w:t>
      </w:r>
      <w:proofErr w:type="spellEnd"/>
      <w:r>
        <w:rPr>
          <w:bCs/>
          <w:lang w:val="en-GB"/>
        </w:rPr>
        <w:t xml:space="preserve"> is not listed on the PBS.</w:t>
      </w:r>
    </w:p>
    <w:p w:rsidR="0097571F" w:rsidRDefault="0097571F" w:rsidP="0097571F">
      <w:pPr>
        <w:pStyle w:val="ListParagraph"/>
        <w:rPr>
          <w:bCs/>
          <w:lang w:val="en-GB"/>
        </w:rPr>
      </w:pPr>
    </w:p>
    <w:p w:rsidR="0097571F" w:rsidRDefault="0097571F" w:rsidP="0097571F">
      <w:pPr>
        <w:numPr>
          <w:ilvl w:val="1"/>
          <w:numId w:val="2"/>
        </w:numPr>
        <w:rPr>
          <w:bCs/>
          <w:lang w:val="en-GB"/>
        </w:rPr>
      </w:pPr>
      <w:r>
        <w:rPr>
          <w:bCs/>
          <w:lang w:val="en-GB"/>
        </w:rPr>
        <w:t xml:space="preserve">The PBAC accepted the submission’s claim that </w:t>
      </w:r>
      <w:proofErr w:type="spellStart"/>
      <w:r>
        <w:rPr>
          <w:bCs/>
          <w:lang w:val="en-GB"/>
        </w:rPr>
        <w:t>eribulin</w:t>
      </w:r>
      <w:proofErr w:type="spellEnd"/>
      <w:r>
        <w:rPr>
          <w:bCs/>
          <w:lang w:val="en-GB"/>
        </w:rPr>
        <w:t xml:space="preserve"> was of superior comparative effectiveness over </w:t>
      </w:r>
      <w:proofErr w:type="spellStart"/>
      <w:r>
        <w:rPr>
          <w:bCs/>
          <w:lang w:val="en-GB"/>
        </w:rPr>
        <w:t>dacarbazine</w:t>
      </w:r>
      <w:proofErr w:type="spellEnd"/>
      <w:r>
        <w:rPr>
          <w:bCs/>
          <w:lang w:val="en-GB"/>
        </w:rPr>
        <w:t>. However, the PBAC did not accept</w:t>
      </w:r>
      <w:r w:rsidR="00E9326A">
        <w:rPr>
          <w:bCs/>
          <w:lang w:val="en-GB"/>
        </w:rPr>
        <w:t xml:space="preserve"> the results of the </w:t>
      </w:r>
      <w:proofErr w:type="spellStart"/>
      <w:r w:rsidR="00E9326A">
        <w:rPr>
          <w:bCs/>
          <w:lang w:val="en-GB"/>
        </w:rPr>
        <w:t>liposarcoma</w:t>
      </w:r>
      <w:proofErr w:type="spellEnd"/>
      <w:r w:rsidR="00E9326A">
        <w:rPr>
          <w:bCs/>
          <w:lang w:val="en-GB"/>
        </w:rPr>
        <w:t xml:space="preserve"> subgroup analysis</w:t>
      </w:r>
      <w:r w:rsidR="005B717F">
        <w:rPr>
          <w:bCs/>
          <w:lang w:val="en-GB"/>
        </w:rPr>
        <w:t xml:space="preserve"> as being representative of </w:t>
      </w:r>
      <w:proofErr w:type="spellStart"/>
      <w:r w:rsidR="005B717F">
        <w:rPr>
          <w:bCs/>
          <w:lang w:val="en-GB"/>
        </w:rPr>
        <w:t>eribulin’s</w:t>
      </w:r>
      <w:proofErr w:type="spellEnd"/>
      <w:r w:rsidR="005B717F">
        <w:rPr>
          <w:bCs/>
          <w:lang w:val="en-GB"/>
        </w:rPr>
        <w:t xml:space="preserve"> true extent of </w:t>
      </w:r>
      <w:r w:rsidR="00C715B7">
        <w:rPr>
          <w:bCs/>
          <w:lang w:val="en-GB"/>
        </w:rPr>
        <w:t xml:space="preserve">clinical </w:t>
      </w:r>
      <w:r w:rsidR="005B717F">
        <w:rPr>
          <w:bCs/>
          <w:lang w:val="en-GB"/>
        </w:rPr>
        <w:t xml:space="preserve">benefit, </w:t>
      </w:r>
      <w:r w:rsidR="00985F88">
        <w:rPr>
          <w:bCs/>
          <w:lang w:val="en-GB"/>
        </w:rPr>
        <w:t>on the basis that:</w:t>
      </w:r>
    </w:p>
    <w:p w:rsidR="00985F88" w:rsidRPr="009F1872" w:rsidRDefault="00985F88" w:rsidP="00985F88">
      <w:pPr>
        <w:pStyle w:val="ListParagraph"/>
        <w:numPr>
          <w:ilvl w:val="0"/>
          <w:numId w:val="15"/>
        </w:numPr>
        <w:rPr>
          <w:bCs/>
          <w:lang w:val="en-GB"/>
        </w:rPr>
      </w:pPr>
      <w:r>
        <w:rPr>
          <w:bCs/>
          <w:lang w:val="en-GB"/>
        </w:rPr>
        <w:t xml:space="preserve">although the </w:t>
      </w:r>
      <w:proofErr w:type="spellStart"/>
      <w:r>
        <w:rPr>
          <w:bCs/>
          <w:lang w:val="en-GB"/>
        </w:rPr>
        <w:t>liposarcoma</w:t>
      </w:r>
      <w:proofErr w:type="spellEnd"/>
      <w:r>
        <w:rPr>
          <w:bCs/>
          <w:lang w:val="en-GB"/>
        </w:rPr>
        <w:t xml:space="preserve"> subgroup was a pre-specified </w:t>
      </w:r>
      <w:r w:rsidR="005B717F">
        <w:rPr>
          <w:bCs/>
          <w:lang w:val="en-GB"/>
        </w:rPr>
        <w:t xml:space="preserve">subgroup in Study 309, </w:t>
      </w:r>
      <w:r w:rsidR="006E146D" w:rsidRPr="009F1872">
        <w:rPr>
          <w:bCs/>
          <w:lang w:val="en-GB"/>
        </w:rPr>
        <w:t xml:space="preserve">the trial was not statistically powered to detect a difference in survival between the </w:t>
      </w:r>
      <w:proofErr w:type="spellStart"/>
      <w:r w:rsidR="006E146D" w:rsidRPr="009F1872">
        <w:rPr>
          <w:bCs/>
          <w:lang w:val="en-GB"/>
        </w:rPr>
        <w:t>eribulin</w:t>
      </w:r>
      <w:proofErr w:type="spellEnd"/>
      <w:r w:rsidR="006E146D" w:rsidRPr="009F1872">
        <w:rPr>
          <w:bCs/>
          <w:lang w:val="en-GB"/>
        </w:rPr>
        <w:t xml:space="preserve"> and </w:t>
      </w:r>
      <w:proofErr w:type="spellStart"/>
      <w:r w:rsidR="006E146D" w:rsidRPr="009F1872">
        <w:rPr>
          <w:bCs/>
          <w:lang w:val="en-GB"/>
        </w:rPr>
        <w:t>dacarbazine</w:t>
      </w:r>
      <w:proofErr w:type="spellEnd"/>
      <w:r w:rsidR="006E146D" w:rsidRPr="009F1872">
        <w:rPr>
          <w:bCs/>
          <w:lang w:val="en-GB"/>
        </w:rPr>
        <w:t xml:space="preserve"> treatment arms in the </w:t>
      </w:r>
      <w:proofErr w:type="spellStart"/>
      <w:r w:rsidR="006E146D" w:rsidRPr="009F1872">
        <w:rPr>
          <w:bCs/>
          <w:lang w:val="en-GB"/>
        </w:rPr>
        <w:t>liposarcma</w:t>
      </w:r>
      <w:proofErr w:type="spellEnd"/>
      <w:r w:rsidR="006E146D" w:rsidRPr="009F1872">
        <w:rPr>
          <w:bCs/>
          <w:lang w:val="en-GB"/>
        </w:rPr>
        <w:t xml:space="preserve"> subgroup</w:t>
      </w:r>
      <w:r w:rsidRPr="009F1872">
        <w:rPr>
          <w:bCs/>
          <w:lang w:val="en-GB"/>
        </w:rPr>
        <w:t>;</w:t>
      </w:r>
    </w:p>
    <w:p w:rsidR="00D472F0" w:rsidRDefault="005B717F" w:rsidP="00D472F0">
      <w:pPr>
        <w:pStyle w:val="ListParagraph"/>
        <w:numPr>
          <w:ilvl w:val="0"/>
          <w:numId w:val="15"/>
        </w:numPr>
        <w:rPr>
          <w:bCs/>
          <w:lang w:val="en-GB"/>
        </w:rPr>
      </w:pPr>
      <w:r>
        <w:rPr>
          <w:bCs/>
          <w:lang w:val="en-GB"/>
        </w:rPr>
        <w:t xml:space="preserve">the ITT population, which was statistically powered to compare overall survival in patients treated with </w:t>
      </w:r>
      <w:proofErr w:type="spellStart"/>
      <w:r>
        <w:rPr>
          <w:bCs/>
          <w:lang w:val="en-GB"/>
        </w:rPr>
        <w:t>eribulin</w:t>
      </w:r>
      <w:proofErr w:type="spellEnd"/>
      <w:r>
        <w:rPr>
          <w:bCs/>
          <w:lang w:val="en-GB"/>
        </w:rPr>
        <w:t xml:space="preserve"> versus </w:t>
      </w:r>
      <w:proofErr w:type="spellStart"/>
      <w:r>
        <w:rPr>
          <w:bCs/>
          <w:lang w:val="en-GB"/>
        </w:rPr>
        <w:t>dacarbazine</w:t>
      </w:r>
      <w:proofErr w:type="spellEnd"/>
      <w:r>
        <w:rPr>
          <w:bCs/>
          <w:lang w:val="en-GB"/>
        </w:rPr>
        <w:t xml:space="preserve">, showed a median overall </w:t>
      </w:r>
      <w:r w:rsidR="004E2076">
        <w:rPr>
          <w:bCs/>
          <w:lang w:val="en-GB"/>
        </w:rPr>
        <w:t>survival benefit of 2.0 months;</w:t>
      </w:r>
    </w:p>
    <w:p w:rsidR="00D472F0" w:rsidRDefault="00D472F0" w:rsidP="00D472F0">
      <w:pPr>
        <w:pStyle w:val="ListParagraph"/>
        <w:numPr>
          <w:ilvl w:val="0"/>
          <w:numId w:val="15"/>
        </w:numPr>
        <w:rPr>
          <w:bCs/>
          <w:lang w:val="en-GB"/>
        </w:rPr>
      </w:pPr>
      <w:r>
        <w:rPr>
          <w:bCs/>
          <w:lang w:val="en-GB"/>
        </w:rPr>
        <w:t xml:space="preserve">the results of the </w:t>
      </w:r>
      <w:proofErr w:type="spellStart"/>
      <w:r>
        <w:rPr>
          <w:bCs/>
          <w:lang w:val="en-GB"/>
        </w:rPr>
        <w:t>liposarcoma</w:t>
      </w:r>
      <w:proofErr w:type="spellEnd"/>
      <w:r>
        <w:rPr>
          <w:bCs/>
          <w:lang w:val="en-GB"/>
        </w:rPr>
        <w:t xml:space="preserve"> subgroup showed a median progression free survival gain of 1.2 months and a median overall survival gain of 7.2 months: the PBAC considered that </w:t>
      </w:r>
      <w:r w:rsidR="00474960">
        <w:rPr>
          <w:bCs/>
          <w:lang w:val="en-GB"/>
        </w:rPr>
        <w:t>6</w:t>
      </w:r>
      <w:r w:rsidR="00474960" w:rsidRPr="001A2020">
        <w:rPr>
          <w:bCs/>
          <w:lang w:val="en-GB"/>
        </w:rPr>
        <w:t xml:space="preserve"> </w:t>
      </w:r>
      <w:r w:rsidRPr="001A2020">
        <w:rPr>
          <w:bCs/>
          <w:lang w:val="en-GB"/>
        </w:rPr>
        <w:t>months</w:t>
      </w:r>
      <w:r>
        <w:rPr>
          <w:bCs/>
          <w:lang w:val="en-GB"/>
        </w:rPr>
        <w:t xml:space="preserve"> of post-progression survival gain was not biologically plausible;</w:t>
      </w:r>
    </w:p>
    <w:p w:rsidR="00AC4D75" w:rsidRPr="00D472F0" w:rsidRDefault="006E146D" w:rsidP="00D472F0">
      <w:pPr>
        <w:pStyle w:val="ListParagraph"/>
        <w:numPr>
          <w:ilvl w:val="0"/>
          <w:numId w:val="15"/>
        </w:numPr>
        <w:rPr>
          <w:bCs/>
          <w:lang w:val="en-GB"/>
        </w:rPr>
      </w:pPr>
      <w:r>
        <w:rPr>
          <w:bCs/>
          <w:lang w:val="en-GB"/>
        </w:rPr>
        <w:t>differences in post-trial</w:t>
      </w:r>
      <w:r w:rsidR="00AC4D75">
        <w:rPr>
          <w:bCs/>
          <w:lang w:val="en-GB"/>
        </w:rPr>
        <w:t xml:space="preserve"> treatments may have accounted for the marked </w:t>
      </w:r>
      <w:r w:rsidR="00AC4D75">
        <w:rPr>
          <w:bCs/>
          <w:lang w:val="en-GB"/>
        </w:rPr>
        <w:lastRenderedPageBreak/>
        <w:t>differences in post-progression survival between the treatment arms;</w:t>
      </w:r>
    </w:p>
    <w:p w:rsidR="00985F88" w:rsidRDefault="00985F88" w:rsidP="00985F88">
      <w:pPr>
        <w:pStyle w:val="ListParagraph"/>
        <w:numPr>
          <w:ilvl w:val="0"/>
          <w:numId w:val="15"/>
        </w:numPr>
        <w:rPr>
          <w:bCs/>
          <w:lang w:val="en-GB"/>
        </w:rPr>
      </w:pPr>
      <w:r>
        <w:rPr>
          <w:bCs/>
          <w:lang w:val="en-GB"/>
        </w:rPr>
        <w:t xml:space="preserve">the </w:t>
      </w:r>
      <w:proofErr w:type="spellStart"/>
      <w:r>
        <w:rPr>
          <w:bCs/>
          <w:lang w:val="en-GB"/>
        </w:rPr>
        <w:t>submisison’s</w:t>
      </w:r>
      <w:proofErr w:type="spellEnd"/>
      <w:r>
        <w:rPr>
          <w:bCs/>
          <w:lang w:val="en-GB"/>
        </w:rPr>
        <w:t xml:space="preserve"> proposal that the difference in prognosis between </w:t>
      </w:r>
      <w:proofErr w:type="spellStart"/>
      <w:r>
        <w:rPr>
          <w:bCs/>
          <w:lang w:val="en-GB"/>
        </w:rPr>
        <w:t>liposarcoma</w:t>
      </w:r>
      <w:proofErr w:type="spellEnd"/>
      <w:r>
        <w:rPr>
          <w:bCs/>
          <w:lang w:val="en-GB"/>
        </w:rPr>
        <w:t xml:space="preserve"> and </w:t>
      </w:r>
      <w:proofErr w:type="spellStart"/>
      <w:r>
        <w:rPr>
          <w:bCs/>
          <w:lang w:val="en-GB"/>
        </w:rPr>
        <w:t>leiomyosarcoma</w:t>
      </w:r>
      <w:proofErr w:type="spellEnd"/>
      <w:r>
        <w:rPr>
          <w:bCs/>
          <w:lang w:val="en-GB"/>
        </w:rPr>
        <w:t xml:space="preserve"> might explain for the difference in efficacy of </w:t>
      </w:r>
      <w:proofErr w:type="spellStart"/>
      <w:r>
        <w:rPr>
          <w:bCs/>
          <w:lang w:val="en-GB"/>
        </w:rPr>
        <w:t>eribulin</w:t>
      </w:r>
      <w:proofErr w:type="spellEnd"/>
      <w:r>
        <w:rPr>
          <w:bCs/>
          <w:lang w:val="en-GB"/>
        </w:rPr>
        <w:t xml:space="preserve"> by subgroup was not sufficient justification and was of limited biological plausibility;</w:t>
      </w:r>
    </w:p>
    <w:p w:rsidR="00985F88" w:rsidRDefault="00985F88" w:rsidP="00985F88">
      <w:pPr>
        <w:pStyle w:val="ListParagraph"/>
        <w:numPr>
          <w:ilvl w:val="0"/>
          <w:numId w:val="15"/>
        </w:numPr>
        <w:rPr>
          <w:bCs/>
          <w:lang w:val="en-GB"/>
        </w:rPr>
      </w:pPr>
      <w:r>
        <w:rPr>
          <w:bCs/>
          <w:lang w:val="en-GB"/>
        </w:rPr>
        <w:t>the subgroup results were not</w:t>
      </w:r>
      <w:r w:rsidR="00D472F0">
        <w:rPr>
          <w:bCs/>
          <w:lang w:val="en-GB"/>
        </w:rPr>
        <w:t xml:space="preserve"> adjusted for multiplicity; and</w:t>
      </w:r>
    </w:p>
    <w:p w:rsidR="00D472F0" w:rsidRPr="00D472F0" w:rsidRDefault="00985F88" w:rsidP="00D472F0">
      <w:pPr>
        <w:pStyle w:val="ListParagraph"/>
        <w:numPr>
          <w:ilvl w:val="0"/>
          <w:numId w:val="15"/>
        </w:numPr>
        <w:rPr>
          <w:bCs/>
          <w:lang w:val="en-GB"/>
        </w:rPr>
      </w:pPr>
      <w:proofErr w:type="gramStart"/>
      <w:r>
        <w:rPr>
          <w:bCs/>
          <w:lang w:val="en-GB"/>
        </w:rPr>
        <w:t>a</w:t>
      </w:r>
      <w:proofErr w:type="gramEnd"/>
      <w:r>
        <w:rPr>
          <w:bCs/>
          <w:lang w:val="en-GB"/>
        </w:rPr>
        <w:t xml:space="preserve"> formal test of interaction for subg</w:t>
      </w:r>
      <w:r w:rsidR="004E2076">
        <w:rPr>
          <w:bCs/>
          <w:lang w:val="en-GB"/>
        </w:rPr>
        <w:t>roup effects was not presented.</w:t>
      </w:r>
    </w:p>
    <w:p w:rsidR="00B32726" w:rsidRDefault="00B32726" w:rsidP="00D472F0">
      <w:pPr>
        <w:ind w:left="720"/>
        <w:rPr>
          <w:bCs/>
          <w:lang w:val="en-GB"/>
        </w:rPr>
      </w:pPr>
    </w:p>
    <w:p w:rsidR="00A728F8" w:rsidRDefault="008D0360" w:rsidP="00A728F8">
      <w:pPr>
        <w:numPr>
          <w:ilvl w:val="1"/>
          <w:numId w:val="2"/>
        </w:numPr>
        <w:rPr>
          <w:bCs/>
          <w:lang w:val="en-GB"/>
        </w:rPr>
      </w:pPr>
      <w:r w:rsidRPr="00B32726">
        <w:rPr>
          <w:bCs/>
          <w:lang w:val="en-GB"/>
        </w:rPr>
        <w:t xml:space="preserve">The PBAC considered that </w:t>
      </w:r>
      <w:proofErr w:type="spellStart"/>
      <w:r w:rsidRPr="00B32726">
        <w:rPr>
          <w:bCs/>
          <w:lang w:val="en-GB"/>
        </w:rPr>
        <w:t>eribulin</w:t>
      </w:r>
      <w:proofErr w:type="spellEnd"/>
      <w:r w:rsidRPr="00B32726">
        <w:rPr>
          <w:bCs/>
          <w:lang w:val="en-GB"/>
        </w:rPr>
        <w:t xml:space="preserve"> was</w:t>
      </w:r>
      <w:r w:rsidR="00B32726" w:rsidRPr="00B32726">
        <w:rPr>
          <w:bCs/>
          <w:lang w:val="en-GB"/>
        </w:rPr>
        <w:t xml:space="preserve"> of inferior safety compared to </w:t>
      </w:r>
      <w:proofErr w:type="spellStart"/>
      <w:r w:rsidR="00B32726" w:rsidRPr="00B32726">
        <w:rPr>
          <w:bCs/>
          <w:lang w:val="en-GB"/>
        </w:rPr>
        <w:t>dacarbazine</w:t>
      </w:r>
      <w:proofErr w:type="spellEnd"/>
      <w:r w:rsidR="00B32726" w:rsidRPr="00B32726">
        <w:rPr>
          <w:bCs/>
          <w:lang w:val="en-GB"/>
        </w:rPr>
        <w:t xml:space="preserve">. The PBAC noted </w:t>
      </w:r>
      <w:r w:rsidRPr="00B32726">
        <w:rPr>
          <w:bCs/>
          <w:lang w:val="en-GB"/>
        </w:rPr>
        <w:t>that additional patients would experience treatment related adverse events including pyrexia, peripheral sensory neuropathy, alopecia, neutropenia or leukopenia, and that fewer patients would experience thrombocytopenia</w:t>
      </w:r>
      <w:r w:rsidR="00B32726">
        <w:rPr>
          <w:bCs/>
          <w:lang w:val="en-GB"/>
        </w:rPr>
        <w:t xml:space="preserve">, when treated with </w:t>
      </w:r>
      <w:proofErr w:type="spellStart"/>
      <w:r w:rsidR="00B32726">
        <w:rPr>
          <w:bCs/>
          <w:lang w:val="en-GB"/>
        </w:rPr>
        <w:t>eri</w:t>
      </w:r>
      <w:r w:rsidR="004E2076">
        <w:rPr>
          <w:bCs/>
          <w:lang w:val="en-GB"/>
        </w:rPr>
        <w:t>bulin</w:t>
      </w:r>
      <w:proofErr w:type="spellEnd"/>
      <w:r w:rsidR="004E2076">
        <w:rPr>
          <w:bCs/>
          <w:lang w:val="en-GB"/>
        </w:rPr>
        <w:t xml:space="preserve">, compared to </w:t>
      </w:r>
      <w:proofErr w:type="spellStart"/>
      <w:r w:rsidR="004E2076">
        <w:rPr>
          <w:bCs/>
          <w:lang w:val="en-GB"/>
        </w:rPr>
        <w:t>darcabazine</w:t>
      </w:r>
      <w:proofErr w:type="spellEnd"/>
      <w:r w:rsidR="004E2076">
        <w:rPr>
          <w:bCs/>
          <w:lang w:val="en-GB"/>
        </w:rPr>
        <w:t>.</w:t>
      </w:r>
    </w:p>
    <w:p w:rsidR="00B32726" w:rsidRDefault="00B32726" w:rsidP="00B32726">
      <w:pPr>
        <w:ind w:left="720"/>
        <w:rPr>
          <w:bCs/>
          <w:lang w:val="en-GB"/>
        </w:rPr>
      </w:pPr>
    </w:p>
    <w:p w:rsidR="00B32726" w:rsidRDefault="00B32726" w:rsidP="00A728F8">
      <w:pPr>
        <w:numPr>
          <w:ilvl w:val="1"/>
          <w:numId w:val="2"/>
        </w:numPr>
        <w:rPr>
          <w:bCs/>
          <w:lang w:val="en-GB"/>
        </w:rPr>
      </w:pPr>
      <w:r w:rsidRPr="00D324EA">
        <w:rPr>
          <w:bCs/>
          <w:lang w:val="en-GB"/>
        </w:rPr>
        <w:t xml:space="preserve">The PBAC considered that the structure of the submission’s economic model was reasonable, however, noted that the </w:t>
      </w:r>
      <w:r w:rsidR="00D324EA" w:rsidRPr="00D324EA">
        <w:rPr>
          <w:bCs/>
          <w:lang w:val="en-GB"/>
        </w:rPr>
        <w:t>model</w:t>
      </w:r>
      <w:r w:rsidRPr="00D324EA">
        <w:rPr>
          <w:bCs/>
          <w:lang w:val="en-GB"/>
        </w:rPr>
        <w:t xml:space="preserve"> was driven by the overall survival results from the </w:t>
      </w:r>
      <w:proofErr w:type="spellStart"/>
      <w:r w:rsidRPr="00D324EA">
        <w:rPr>
          <w:bCs/>
          <w:lang w:val="en-GB"/>
        </w:rPr>
        <w:t>liposarcoma</w:t>
      </w:r>
      <w:proofErr w:type="spellEnd"/>
      <w:r w:rsidRPr="00D324EA">
        <w:rPr>
          <w:bCs/>
          <w:lang w:val="en-GB"/>
        </w:rPr>
        <w:t xml:space="preserve"> subgroup. </w:t>
      </w:r>
      <w:r w:rsidR="00D324EA">
        <w:rPr>
          <w:bCs/>
          <w:lang w:val="en-GB"/>
        </w:rPr>
        <w:t>A</w:t>
      </w:r>
      <w:r w:rsidRPr="00D324EA">
        <w:rPr>
          <w:bCs/>
          <w:lang w:val="en-GB"/>
        </w:rPr>
        <w:t>s the PBAC did not accept the claim of a 7.2 month</w:t>
      </w:r>
      <w:r w:rsidR="00D324EA">
        <w:rPr>
          <w:bCs/>
          <w:lang w:val="en-GB"/>
        </w:rPr>
        <w:t xml:space="preserve"> survival gain for patients in the </w:t>
      </w:r>
      <w:proofErr w:type="spellStart"/>
      <w:r w:rsidR="00D324EA">
        <w:rPr>
          <w:bCs/>
          <w:lang w:val="en-GB"/>
        </w:rPr>
        <w:t>eribulin</w:t>
      </w:r>
      <w:proofErr w:type="spellEnd"/>
      <w:r w:rsidR="00D324EA">
        <w:rPr>
          <w:bCs/>
          <w:lang w:val="en-GB"/>
        </w:rPr>
        <w:t xml:space="preserve"> arm, the PBAC did not accept the submission’s base case ICER of </w:t>
      </w:r>
      <w:r w:rsidR="00995E5C">
        <w:rPr>
          <w:bCs/>
          <w:lang w:val="en-GB"/>
        </w:rPr>
        <w:t>$15,000 - $45,000</w:t>
      </w:r>
      <w:r w:rsidR="00D324EA">
        <w:rPr>
          <w:bCs/>
          <w:lang w:val="en-GB"/>
        </w:rPr>
        <w:t xml:space="preserve"> per QALY gained. The PBAC considered that a more conservative and clinically plausible approach would have been to use the overall survival results from the ITT population of Study 309 (2 months). The PBAC noted that changing this input would substantial</w:t>
      </w:r>
      <w:r w:rsidR="004E2076">
        <w:rPr>
          <w:bCs/>
          <w:lang w:val="en-GB"/>
        </w:rPr>
        <w:t>ly increase the base case ICER.</w:t>
      </w:r>
    </w:p>
    <w:p w:rsidR="00A728F8" w:rsidRPr="00A676DC" w:rsidRDefault="00A728F8" w:rsidP="00A728F8">
      <w:pPr>
        <w:rPr>
          <w:bCs/>
          <w:lang w:val="en-GB"/>
        </w:rPr>
      </w:pPr>
    </w:p>
    <w:p w:rsidR="00A728F8" w:rsidRDefault="00DF1597" w:rsidP="00A728F8">
      <w:pPr>
        <w:numPr>
          <w:ilvl w:val="1"/>
          <w:numId w:val="2"/>
        </w:numPr>
        <w:rPr>
          <w:bCs/>
          <w:lang w:val="en-GB"/>
        </w:rPr>
      </w:pPr>
      <w:r>
        <w:rPr>
          <w:bCs/>
          <w:lang w:val="en-GB"/>
        </w:rPr>
        <w:t xml:space="preserve">The PBAC considered that the submission underestimated the incidence of sarcomas and </w:t>
      </w:r>
      <w:proofErr w:type="spellStart"/>
      <w:r>
        <w:rPr>
          <w:bCs/>
          <w:lang w:val="en-GB"/>
        </w:rPr>
        <w:t>liposarcoma</w:t>
      </w:r>
      <w:proofErr w:type="spellEnd"/>
      <w:r>
        <w:rPr>
          <w:bCs/>
          <w:lang w:val="en-GB"/>
        </w:rPr>
        <w:t xml:space="preserve"> in Australia, and accepted the </w:t>
      </w:r>
      <w:r w:rsidR="00D324EA">
        <w:rPr>
          <w:bCs/>
          <w:lang w:val="en-GB"/>
        </w:rPr>
        <w:t>revised estimates presented in the commentary.</w:t>
      </w:r>
      <w:r w:rsidR="0079160F">
        <w:rPr>
          <w:bCs/>
          <w:lang w:val="en-GB"/>
        </w:rPr>
        <w:t xml:space="preserve"> The PBAC </w:t>
      </w:r>
      <w:r>
        <w:rPr>
          <w:bCs/>
          <w:lang w:val="en-GB"/>
        </w:rPr>
        <w:t xml:space="preserve">noted </w:t>
      </w:r>
      <w:proofErr w:type="gramStart"/>
      <w:r>
        <w:rPr>
          <w:bCs/>
          <w:lang w:val="en-GB"/>
        </w:rPr>
        <w:t xml:space="preserve">that </w:t>
      </w:r>
      <w:r w:rsidR="0079160F">
        <w:rPr>
          <w:bCs/>
          <w:lang w:val="en-GB"/>
        </w:rPr>
        <w:t xml:space="preserve"> the</w:t>
      </w:r>
      <w:proofErr w:type="gramEnd"/>
      <w:r w:rsidR="0079160F">
        <w:rPr>
          <w:bCs/>
          <w:lang w:val="en-GB"/>
        </w:rPr>
        <w:t xml:space="preserve"> revised esti</w:t>
      </w:r>
      <w:r>
        <w:rPr>
          <w:bCs/>
          <w:lang w:val="en-GB"/>
        </w:rPr>
        <w:t xml:space="preserve">mates </w:t>
      </w:r>
      <w:r w:rsidR="00C715B7">
        <w:rPr>
          <w:bCs/>
          <w:lang w:val="en-GB"/>
        </w:rPr>
        <w:t>had a minor impact on the five-year financial implications</w:t>
      </w:r>
      <w:r>
        <w:rPr>
          <w:bCs/>
          <w:lang w:val="en-GB"/>
        </w:rPr>
        <w:t>.</w:t>
      </w:r>
    </w:p>
    <w:p w:rsidR="00DF0A5E" w:rsidRDefault="00DF0A5E" w:rsidP="00405464">
      <w:pPr>
        <w:pStyle w:val="ListParagraph"/>
        <w:rPr>
          <w:bCs/>
          <w:lang w:val="en-GB"/>
        </w:rPr>
      </w:pPr>
    </w:p>
    <w:p w:rsidR="00DF0A5E" w:rsidRDefault="00DF0A5E" w:rsidP="00A728F8">
      <w:pPr>
        <w:numPr>
          <w:ilvl w:val="1"/>
          <w:numId w:val="2"/>
        </w:numPr>
        <w:rPr>
          <w:bCs/>
          <w:lang w:val="en-GB"/>
        </w:rPr>
      </w:pPr>
      <w:r w:rsidRPr="0079160F">
        <w:rPr>
          <w:bCs/>
          <w:lang w:val="en-GB"/>
        </w:rPr>
        <w:t>The PBAC considered that, on the basis of uncertain extent of clinical benefit</w:t>
      </w:r>
      <w:r w:rsidR="0079160F" w:rsidRPr="0079160F">
        <w:rPr>
          <w:bCs/>
          <w:lang w:val="en-GB"/>
        </w:rPr>
        <w:t xml:space="preserve"> and</w:t>
      </w:r>
      <w:r w:rsidRPr="0079160F">
        <w:rPr>
          <w:bCs/>
          <w:lang w:val="en-GB"/>
        </w:rPr>
        <w:t xml:space="preserve"> inferior safety </w:t>
      </w:r>
      <w:r w:rsidR="0079160F" w:rsidRPr="0079160F">
        <w:rPr>
          <w:bCs/>
          <w:lang w:val="en-GB"/>
        </w:rPr>
        <w:t xml:space="preserve">of </w:t>
      </w:r>
      <w:proofErr w:type="spellStart"/>
      <w:r w:rsidR="0079160F" w:rsidRPr="0079160F">
        <w:rPr>
          <w:bCs/>
          <w:lang w:val="en-GB"/>
        </w:rPr>
        <w:t>eribulin</w:t>
      </w:r>
      <w:proofErr w:type="spellEnd"/>
      <w:r w:rsidR="0079160F" w:rsidRPr="0079160F">
        <w:rPr>
          <w:bCs/>
          <w:lang w:val="en-GB"/>
        </w:rPr>
        <w:t xml:space="preserve"> </w:t>
      </w:r>
      <w:r w:rsidRPr="0079160F">
        <w:rPr>
          <w:bCs/>
          <w:lang w:val="en-GB"/>
        </w:rPr>
        <w:t xml:space="preserve">versus </w:t>
      </w:r>
      <w:proofErr w:type="spellStart"/>
      <w:r w:rsidRPr="0079160F">
        <w:rPr>
          <w:bCs/>
          <w:lang w:val="en-GB"/>
        </w:rPr>
        <w:t>dacarbazine</w:t>
      </w:r>
      <w:proofErr w:type="spellEnd"/>
      <w:r w:rsidRPr="0079160F">
        <w:rPr>
          <w:bCs/>
          <w:lang w:val="en-GB"/>
        </w:rPr>
        <w:t xml:space="preserve"> and </w:t>
      </w:r>
      <w:r w:rsidR="0079160F" w:rsidRPr="0079160F">
        <w:rPr>
          <w:bCs/>
          <w:lang w:val="en-GB"/>
        </w:rPr>
        <w:t xml:space="preserve">risk of leakage of </w:t>
      </w:r>
      <w:proofErr w:type="spellStart"/>
      <w:r w:rsidR="0079160F" w:rsidRPr="0079160F">
        <w:rPr>
          <w:bCs/>
          <w:lang w:val="en-GB"/>
        </w:rPr>
        <w:t>eribulin</w:t>
      </w:r>
      <w:proofErr w:type="spellEnd"/>
      <w:r w:rsidR="0079160F" w:rsidRPr="0079160F">
        <w:rPr>
          <w:bCs/>
          <w:lang w:val="en-GB"/>
        </w:rPr>
        <w:t xml:space="preserve"> use in sarcomas subtypes other than </w:t>
      </w:r>
      <w:proofErr w:type="spellStart"/>
      <w:r w:rsidR="0079160F" w:rsidRPr="0079160F">
        <w:rPr>
          <w:bCs/>
          <w:lang w:val="en-GB"/>
        </w:rPr>
        <w:t>liposarcoma</w:t>
      </w:r>
      <w:proofErr w:type="spellEnd"/>
      <w:r w:rsidR="0079160F" w:rsidRPr="0079160F">
        <w:rPr>
          <w:bCs/>
          <w:lang w:val="en-GB"/>
        </w:rPr>
        <w:t xml:space="preserve">, </w:t>
      </w:r>
      <w:r w:rsidRPr="0079160F">
        <w:rPr>
          <w:bCs/>
          <w:lang w:val="en-GB"/>
        </w:rPr>
        <w:t xml:space="preserve">that further </w:t>
      </w:r>
      <w:r w:rsidR="0079160F">
        <w:rPr>
          <w:bCs/>
          <w:lang w:val="en-GB"/>
        </w:rPr>
        <w:t>discussions</w:t>
      </w:r>
      <w:r w:rsidRPr="0079160F">
        <w:rPr>
          <w:bCs/>
          <w:lang w:val="en-GB"/>
        </w:rPr>
        <w:t xml:space="preserve"> with the sponsor would be required to achieve a </w:t>
      </w:r>
      <w:r w:rsidR="0079160F">
        <w:rPr>
          <w:bCs/>
          <w:lang w:val="en-GB"/>
        </w:rPr>
        <w:t xml:space="preserve">cost effective PBS </w:t>
      </w:r>
      <w:r w:rsidRPr="0079160F">
        <w:rPr>
          <w:bCs/>
          <w:lang w:val="en-GB"/>
        </w:rPr>
        <w:t xml:space="preserve">listing for </w:t>
      </w:r>
      <w:proofErr w:type="spellStart"/>
      <w:r w:rsidRPr="0079160F">
        <w:rPr>
          <w:bCs/>
          <w:lang w:val="en-GB"/>
        </w:rPr>
        <w:t>eribulin</w:t>
      </w:r>
      <w:proofErr w:type="spellEnd"/>
      <w:r w:rsidRPr="0079160F">
        <w:rPr>
          <w:bCs/>
          <w:lang w:val="en-GB"/>
        </w:rPr>
        <w:t xml:space="preserve"> for </w:t>
      </w:r>
      <w:proofErr w:type="spellStart"/>
      <w:r w:rsidRPr="0079160F">
        <w:rPr>
          <w:bCs/>
          <w:lang w:val="en-GB"/>
        </w:rPr>
        <w:t>liposarcoma</w:t>
      </w:r>
      <w:proofErr w:type="spellEnd"/>
      <w:r w:rsidRPr="0079160F">
        <w:rPr>
          <w:bCs/>
          <w:lang w:val="en-GB"/>
        </w:rPr>
        <w:t>.</w:t>
      </w:r>
      <w:r w:rsidR="0079160F">
        <w:rPr>
          <w:bCs/>
          <w:lang w:val="en-GB"/>
        </w:rPr>
        <w:t xml:space="preserve"> </w:t>
      </w:r>
      <w:r w:rsidR="0079160F" w:rsidRPr="001A2020">
        <w:rPr>
          <w:bCs/>
          <w:lang w:val="en-GB"/>
        </w:rPr>
        <w:t xml:space="preserve">The PBAC considered that a price reduction </w:t>
      </w:r>
      <w:r w:rsidR="00CB310C" w:rsidRPr="001A2020">
        <w:rPr>
          <w:bCs/>
          <w:lang w:val="en-GB"/>
        </w:rPr>
        <w:t>will be</w:t>
      </w:r>
      <w:r w:rsidR="0079160F" w:rsidRPr="001A2020">
        <w:rPr>
          <w:bCs/>
          <w:lang w:val="en-GB"/>
        </w:rPr>
        <w:t xml:space="preserve"> required to ensure the cost effective </w:t>
      </w:r>
      <w:r w:rsidR="00CB310C" w:rsidRPr="001A2020">
        <w:rPr>
          <w:bCs/>
          <w:lang w:val="en-GB"/>
        </w:rPr>
        <w:t xml:space="preserve">PBS listing </w:t>
      </w:r>
      <w:r w:rsidR="0079160F" w:rsidRPr="001A2020">
        <w:rPr>
          <w:bCs/>
          <w:lang w:val="en-GB"/>
        </w:rPr>
        <w:t xml:space="preserve">of </w:t>
      </w:r>
      <w:proofErr w:type="spellStart"/>
      <w:r w:rsidR="0079160F" w:rsidRPr="001A2020">
        <w:rPr>
          <w:bCs/>
          <w:lang w:val="en-GB"/>
        </w:rPr>
        <w:t>eribulin</w:t>
      </w:r>
      <w:proofErr w:type="spellEnd"/>
      <w:r w:rsidR="004E2076">
        <w:rPr>
          <w:bCs/>
          <w:lang w:val="en-GB"/>
        </w:rPr>
        <w:t>.</w:t>
      </w:r>
    </w:p>
    <w:p w:rsidR="00481A7C" w:rsidRDefault="00481A7C" w:rsidP="001A2020">
      <w:pPr>
        <w:pStyle w:val="ListParagraph"/>
        <w:rPr>
          <w:bCs/>
          <w:lang w:val="en-GB"/>
        </w:rPr>
      </w:pPr>
    </w:p>
    <w:p w:rsidR="00481A7C" w:rsidRPr="0079160F" w:rsidRDefault="00481A7C" w:rsidP="00A728F8">
      <w:pPr>
        <w:numPr>
          <w:ilvl w:val="1"/>
          <w:numId w:val="2"/>
        </w:numPr>
        <w:rPr>
          <w:bCs/>
          <w:lang w:val="en-GB"/>
        </w:rPr>
      </w:pPr>
      <w:r w:rsidRPr="00481A7C">
        <w:rPr>
          <w:bCs/>
        </w:rPr>
        <w:t>The PBAC noted that grandfathering of patients rec</w:t>
      </w:r>
      <w:r>
        <w:rPr>
          <w:bCs/>
        </w:rPr>
        <w:t xml:space="preserve">eiving non-PBS subsidised </w:t>
      </w:r>
      <w:proofErr w:type="spellStart"/>
      <w:r>
        <w:rPr>
          <w:bCs/>
        </w:rPr>
        <w:t>eribulin</w:t>
      </w:r>
      <w:proofErr w:type="spellEnd"/>
      <w:r>
        <w:rPr>
          <w:bCs/>
        </w:rPr>
        <w:t xml:space="preserve"> for </w:t>
      </w:r>
      <w:proofErr w:type="spellStart"/>
      <w:r>
        <w:rPr>
          <w:bCs/>
        </w:rPr>
        <w:t>liposarcoma</w:t>
      </w:r>
      <w:proofErr w:type="spellEnd"/>
      <w:r w:rsidRPr="00481A7C">
        <w:rPr>
          <w:bCs/>
        </w:rPr>
        <w:t xml:space="preserve"> onto PBS subsidised treatment was not requested by the sponsor.</w:t>
      </w:r>
    </w:p>
    <w:p w:rsidR="00A728F8" w:rsidRPr="00A676DC" w:rsidRDefault="00A728F8" w:rsidP="00A728F8">
      <w:pPr>
        <w:rPr>
          <w:bCs/>
          <w:lang w:val="en-GB"/>
        </w:rPr>
      </w:pPr>
    </w:p>
    <w:p w:rsidR="00A728F8" w:rsidRPr="00A676DC" w:rsidRDefault="00A728F8" w:rsidP="00A728F8">
      <w:pPr>
        <w:numPr>
          <w:ilvl w:val="1"/>
          <w:numId w:val="2"/>
        </w:numPr>
        <w:rPr>
          <w:bCs/>
          <w:lang w:val="en-GB"/>
        </w:rPr>
      </w:pPr>
      <w:r w:rsidRPr="00A676DC">
        <w:rPr>
          <w:bCs/>
          <w:lang w:val="en-GB"/>
        </w:rPr>
        <w:t xml:space="preserve">The PBAC advised that </w:t>
      </w:r>
      <w:proofErr w:type="spellStart"/>
      <w:r w:rsidR="00DF1597">
        <w:rPr>
          <w:bCs/>
          <w:lang w:val="en-GB"/>
        </w:rPr>
        <w:t>eribulin</w:t>
      </w:r>
      <w:proofErr w:type="spellEnd"/>
      <w:r w:rsidRPr="00A676DC">
        <w:rPr>
          <w:bCs/>
          <w:lang w:val="en-GB"/>
        </w:rPr>
        <w:t xml:space="preserve"> </w:t>
      </w:r>
      <w:r w:rsidR="0097571F">
        <w:rPr>
          <w:bCs/>
          <w:lang w:val="en-GB"/>
        </w:rPr>
        <w:t>i</w:t>
      </w:r>
      <w:r w:rsidR="00DF1597">
        <w:rPr>
          <w:bCs/>
          <w:lang w:val="en-GB"/>
        </w:rPr>
        <w:t xml:space="preserve">s </w:t>
      </w:r>
      <w:r w:rsidRPr="00A676DC">
        <w:rPr>
          <w:bCs/>
          <w:lang w:val="en-GB"/>
        </w:rPr>
        <w:t>not suitable for prescribing by nurse practitioners.</w:t>
      </w:r>
    </w:p>
    <w:p w:rsidR="00A728F8" w:rsidRPr="00A676DC" w:rsidRDefault="00A728F8" w:rsidP="00A728F8">
      <w:pPr>
        <w:rPr>
          <w:bCs/>
          <w:lang w:val="en-GB"/>
        </w:rPr>
      </w:pPr>
    </w:p>
    <w:p w:rsidR="00A728F8" w:rsidRPr="00A676DC" w:rsidRDefault="00A728F8" w:rsidP="00A728F8">
      <w:pPr>
        <w:numPr>
          <w:ilvl w:val="1"/>
          <w:numId w:val="2"/>
        </w:numPr>
        <w:rPr>
          <w:bCs/>
          <w:lang w:val="en-GB"/>
        </w:rPr>
      </w:pPr>
      <w:r w:rsidRPr="00A676DC">
        <w:rPr>
          <w:bCs/>
          <w:lang w:val="en-GB"/>
        </w:rPr>
        <w:t xml:space="preserve">The PBAC </w:t>
      </w:r>
      <w:r w:rsidR="00E419CB">
        <w:rPr>
          <w:bCs/>
          <w:lang w:val="en-GB"/>
        </w:rPr>
        <w:t>noted the Early Supply Rule cannot be applied to Section 100</w:t>
      </w:r>
      <w:r w:rsidR="0097571F">
        <w:rPr>
          <w:bCs/>
          <w:lang w:val="en-GB"/>
        </w:rPr>
        <w:t xml:space="preserve"> drugs</w:t>
      </w:r>
      <w:r w:rsidR="00E419CB">
        <w:rPr>
          <w:bCs/>
          <w:lang w:val="en-GB"/>
        </w:rPr>
        <w:t>.</w:t>
      </w:r>
    </w:p>
    <w:p w:rsidR="00A728F8" w:rsidRPr="00A676DC" w:rsidRDefault="00A728F8" w:rsidP="00A728F8">
      <w:pPr>
        <w:rPr>
          <w:bCs/>
          <w:lang w:val="en-GB"/>
        </w:rPr>
      </w:pPr>
    </w:p>
    <w:p w:rsidR="00A728F8" w:rsidRPr="0097571F" w:rsidRDefault="00A728F8" w:rsidP="00A728F8">
      <w:pPr>
        <w:numPr>
          <w:ilvl w:val="1"/>
          <w:numId w:val="2"/>
        </w:numPr>
        <w:rPr>
          <w:bCs/>
          <w:lang w:val="en-GB"/>
        </w:rPr>
      </w:pPr>
      <w:r w:rsidRPr="00A676DC">
        <w:rPr>
          <w:bCs/>
          <w:lang w:val="en-GB"/>
        </w:rPr>
        <w:t>The PBAC noted that this submission is not eligible for an Independent Review</w:t>
      </w:r>
      <w:r w:rsidR="00E419CB">
        <w:rPr>
          <w:bCs/>
          <w:lang w:val="en-GB"/>
        </w:rPr>
        <w:t xml:space="preserve"> as it received a positive recommendation</w:t>
      </w:r>
      <w:r w:rsidRPr="00A676DC">
        <w:rPr>
          <w:bCs/>
          <w:lang w:val="en-GB"/>
        </w:rPr>
        <w:t>.</w:t>
      </w:r>
    </w:p>
    <w:p w:rsidR="00A728F8" w:rsidRPr="0097571F" w:rsidRDefault="00A728F8" w:rsidP="00A728F8">
      <w:pPr>
        <w:rPr>
          <w:bCs/>
          <w:lang w:val="en-GB"/>
        </w:rPr>
      </w:pPr>
    </w:p>
    <w:p w:rsidR="00A728F8" w:rsidRPr="0097571F" w:rsidRDefault="00A728F8" w:rsidP="00A728F8">
      <w:pPr>
        <w:rPr>
          <w:b/>
          <w:bCs/>
          <w:lang w:val="en-GB"/>
        </w:rPr>
      </w:pPr>
    </w:p>
    <w:p w:rsidR="00A728F8" w:rsidRPr="0097571F" w:rsidRDefault="00A728F8" w:rsidP="00A728F8">
      <w:pPr>
        <w:rPr>
          <w:b/>
          <w:bCs/>
          <w:lang w:val="en-GB"/>
        </w:rPr>
      </w:pPr>
      <w:r w:rsidRPr="0097571F">
        <w:rPr>
          <w:b/>
          <w:bCs/>
          <w:lang w:val="en-GB"/>
        </w:rPr>
        <w:t>Outcome:</w:t>
      </w:r>
    </w:p>
    <w:p w:rsidR="00A728F8" w:rsidRPr="0097571F" w:rsidRDefault="00A728F8" w:rsidP="00A728F8">
      <w:pPr>
        <w:rPr>
          <w:bCs/>
          <w:lang w:val="en-GB"/>
        </w:rPr>
      </w:pPr>
      <w:r w:rsidRPr="0097571F">
        <w:rPr>
          <w:bCs/>
          <w:lang w:val="en-GB"/>
        </w:rPr>
        <w:t>Recommended</w:t>
      </w:r>
      <w:bookmarkStart w:id="18" w:name="_GoBack"/>
    </w:p>
    <w:p w:rsidR="00A728F8" w:rsidRPr="0097571F" w:rsidRDefault="00A728F8" w:rsidP="00A728F8">
      <w:pPr>
        <w:rPr>
          <w:bCs/>
          <w:lang w:val="en-GB"/>
        </w:rPr>
      </w:pPr>
    </w:p>
    <w:p w:rsidR="00FC0F09" w:rsidRDefault="00FC0F09">
      <w:pPr>
        <w:widowControl/>
        <w:jc w:val="left"/>
        <w:rPr>
          <w:bCs/>
        </w:rPr>
      </w:pPr>
    </w:p>
    <w:p w:rsidR="00A728F8" w:rsidRPr="001E1AAB" w:rsidRDefault="00A728F8" w:rsidP="00A728F8">
      <w:pPr>
        <w:rPr>
          <w:bCs/>
        </w:rPr>
      </w:pPr>
    </w:p>
    <w:bookmarkEnd w:id="18"/>
    <w:p w:rsidR="00A728F8" w:rsidRPr="001E1AAB" w:rsidRDefault="00A728F8" w:rsidP="00A728F8">
      <w:pPr>
        <w:numPr>
          <w:ilvl w:val="0"/>
          <w:numId w:val="2"/>
        </w:numPr>
        <w:outlineLvl w:val="0"/>
        <w:rPr>
          <w:b/>
          <w:bCs/>
          <w:i/>
          <w:lang w:val="en-GB"/>
        </w:rPr>
      </w:pPr>
      <w:r w:rsidRPr="001E1AAB">
        <w:rPr>
          <w:b/>
          <w:bCs/>
          <w:lang w:val="en-GB"/>
        </w:rPr>
        <w:t>Recommended listing</w:t>
      </w:r>
    </w:p>
    <w:p w:rsidR="00A728F8" w:rsidRPr="001E1AAB" w:rsidRDefault="00A728F8" w:rsidP="00A728F8">
      <w:pPr>
        <w:rPr>
          <w:b/>
          <w:bCs/>
          <w:i/>
          <w:lang w:val="en-GB"/>
        </w:rPr>
      </w:pPr>
    </w:p>
    <w:p w:rsidR="00A728F8" w:rsidRPr="001E1AAB" w:rsidRDefault="00410FA3" w:rsidP="00CA1B33">
      <w:pPr>
        <w:numPr>
          <w:ilvl w:val="1"/>
          <w:numId w:val="2"/>
        </w:numPr>
        <w:rPr>
          <w:bCs/>
        </w:rPr>
      </w:pPr>
      <w:r>
        <w:rPr>
          <w:bCs/>
        </w:rPr>
        <w:t>Amend existing</w:t>
      </w:r>
      <w:r w:rsidR="00A728F8" w:rsidRPr="001E1AAB">
        <w:rPr>
          <w:bCs/>
        </w:rPr>
        <w:t xml:space="preserve"> listing as follows:</w:t>
      </w:r>
    </w:p>
    <w:p w:rsidR="00A728F8" w:rsidRPr="001E1AAB" w:rsidRDefault="00A728F8" w:rsidP="00A728F8">
      <w:pPr>
        <w:rPr>
          <w:b/>
          <w:bCs/>
        </w:rPr>
      </w:pPr>
    </w:p>
    <w:tbl>
      <w:tblPr>
        <w:tblW w:w="8505" w:type="dxa"/>
        <w:tblInd w:w="817" w:type="dxa"/>
        <w:tblLayout w:type="fixed"/>
        <w:tblLook w:val="0000" w:firstRow="0" w:lastRow="0" w:firstColumn="0" w:lastColumn="0" w:noHBand="0" w:noVBand="0"/>
      </w:tblPr>
      <w:tblGrid>
        <w:gridCol w:w="2268"/>
        <w:gridCol w:w="567"/>
        <w:gridCol w:w="851"/>
        <w:gridCol w:w="850"/>
        <w:gridCol w:w="1843"/>
        <w:gridCol w:w="2126"/>
      </w:tblGrid>
      <w:tr w:rsidR="008F5D59" w:rsidRPr="00B010BF" w:rsidTr="008726F4">
        <w:trPr>
          <w:cantSplit/>
          <w:trHeight w:val="471"/>
        </w:trPr>
        <w:tc>
          <w:tcPr>
            <w:tcW w:w="2835" w:type="dxa"/>
            <w:gridSpan w:val="2"/>
            <w:tcBorders>
              <w:bottom w:val="single" w:sz="4" w:space="0" w:color="auto"/>
            </w:tcBorders>
          </w:tcPr>
          <w:p w:rsidR="008F5D59" w:rsidRPr="00B010BF" w:rsidRDefault="007B5D0E" w:rsidP="00675339">
            <w:pPr>
              <w:keepNext/>
              <w:ind w:left="-108"/>
              <w:rPr>
                <w:rFonts w:ascii="Arial Narrow" w:hAnsi="Arial Narrow"/>
                <w:sz w:val="20"/>
              </w:rPr>
            </w:pPr>
            <w:r>
              <w:rPr>
                <w:bCs/>
              </w:rPr>
              <w:br w:type="page"/>
            </w:r>
            <w:r w:rsidR="008F5D59" w:rsidRPr="00B010BF">
              <w:rPr>
                <w:rFonts w:ascii="Arial Narrow" w:hAnsi="Arial Narrow"/>
                <w:sz w:val="20"/>
              </w:rPr>
              <w:t>Name, Restriction,</w:t>
            </w:r>
          </w:p>
          <w:p w:rsidR="008F5D59" w:rsidRPr="00A34F98" w:rsidRDefault="008F5D59" w:rsidP="00675339">
            <w:pPr>
              <w:keepNext/>
              <w:ind w:left="-108"/>
              <w:rPr>
                <w:rFonts w:ascii="Arial Narrow" w:hAnsi="Arial Narrow"/>
                <w:sz w:val="20"/>
              </w:rPr>
            </w:pPr>
            <w:r w:rsidRPr="00A34F98">
              <w:rPr>
                <w:rFonts w:ascii="Arial Narrow" w:hAnsi="Arial Narrow"/>
                <w:sz w:val="20"/>
              </w:rPr>
              <w:t>Manner of administration and form</w:t>
            </w:r>
          </w:p>
        </w:tc>
        <w:tc>
          <w:tcPr>
            <w:tcW w:w="851" w:type="dxa"/>
            <w:tcBorders>
              <w:bottom w:val="single" w:sz="4" w:space="0" w:color="auto"/>
            </w:tcBorders>
          </w:tcPr>
          <w:p w:rsidR="008F5D59" w:rsidRPr="00B010BF" w:rsidRDefault="008F5D59" w:rsidP="00675339">
            <w:pPr>
              <w:keepNext/>
              <w:ind w:left="-108"/>
              <w:rPr>
                <w:rFonts w:ascii="Arial Narrow" w:hAnsi="Arial Narrow"/>
                <w:sz w:val="20"/>
              </w:rPr>
            </w:pPr>
            <w:r w:rsidRPr="00B010BF">
              <w:rPr>
                <w:rFonts w:ascii="Arial Narrow" w:hAnsi="Arial Narrow"/>
                <w:sz w:val="20"/>
              </w:rPr>
              <w:t>Max.</w:t>
            </w:r>
          </w:p>
          <w:p w:rsidR="008F5D59" w:rsidRPr="001E1AAB" w:rsidRDefault="008F5D59" w:rsidP="00675339">
            <w:pPr>
              <w:keepNext/>
              <w:ind w:left="-108"/>
              <w:rPr>
                <w:rFonts w:ascii="Arial Narrow" w:hAnsi="Arial Narrow"/>
                <w:sz w:val="20"/>
              </w:rPr>
            </w:pPr>
            <w:proofErr w:type="spellStart"/>
            <w:r w:rsidRPr="00B010BF">
              <w:rPr>
                <w:rFonts w:ascii="Arial Narrow" w:hAnsi="Arial Narrow"/>
                <w:sz w:val="20"/>
              </w:rPr>
              <w:t>Amt</w:t>
            </w:r>
            <w:proofErr w:type="spellEnd"/>
          </w:p>
        </w:tc>
        <w:tc>
          <w:tcPr>
            <w:tcW w:w="850" w:type="dxa"/>
            <w:tcBorders>
              <w:bottom w:val="single" w:sz="4" w:space="0" w:color="auto"/>
            </w:tcBorders>
          </w:tcPr>
          <w:p w:rsidR="008F5D59" w:rsidRPr="00B010BF" w:rsidRDefault="008F5D59" w:rsidP="00675339">
            <w:pPr>
              <w:keepNext/>
              <w:ind w:left="-108"/>
              <w:rPr>
                <w:rFonts w:ascii="Arial Narrow" w:hAnsi="Arial Narrow"/>
                <w:sz w:val="20"/>
              </w:rPr>
            </w:pPr>
            <w:r w:rsidRPr="00B010BF">
              <w:rPr>
                <w:rFonts w:ascii="Arial Narrow" w:hAnsi="Arial Narrow"/>
                <w:sz w:val="20"/>
              </w:rPr>
              <w:t>№.of</w:t>
            </w:r>
          </w:p>
          <w:p w:rsidR="008F5D59" w:rsidRPr="001E1AAB" w:rsidRDefault="008F5D59" w:rsidP="00675339">
            <w:pPr>
              <w:keepNext/>
              <w:ind w:left="-108"/>
              <w:rPr>
                <w:rFonts w:ascii="Arial Narrow" w:hAnsi="Arial Narrow"/>
                <w:sz w:val="20"/>
              </w:rPr>
            </w:pPr>
            <w:proofErr w:type="spellStart"/>
            <w:r w:rsidRPr="00B010BF">
              <w:rPr>
                <w:rFonts w:ascii="Arial Narrow" w:hAnsi="Arial Narrow"/>
                <w:sz w:val="20"/>
              </w:rPr>
              <w:t>Rpts</w:t>
            </w:r>
            <w:proofErr w:type="spellEnd"/>
          </w:p>
        </w:tc>
        <w:tc>
          <w:tcPr>
            <w:tcW w:w="3969" w:type="dxa"/>
            <w:gridSpan w:val="2"/>
            <w:tcBorders>
              <w:bottom w:val="single" w:sz="4" w:space="0" w:color="auto"/>
            </w:tcBorders>
          </w:tcPr>
          <w:p w:rsidR="008F5D59" w:rsidRPr="00B010BF" w:rsidRDefault="008F5D59" w:rsidP="00675339">
            <w:pPr>
              <w:keepNext/>
              <w:rPr>
                <w:rFonts w:ascii="Arial Narrow" w:hAnsi="Arial Narrow"/>
                <w:sz w:val="20"/>
                <w:lang w:val="fr-FR"/>
              </w:rPr>
            </w:pPr>
            <w:r w:rsidRPr="00B010BF">
              <w:rPr>
                <w:rFonts w:ascii="Arial Narrow" w:hAnsi="Arial Narrow"/>
                <w:sz w:val="20"/>
              </w:rPr>
              <w:t>Proprietary Name and Manufacturer</w:t>
            </w:r>
          </w:p>
        </w:tc>
      </w:tr>
      <w:tr w:rsidR="008F5D59" w:rsidRPr="00B010BF" w:rsidTr="008726F4">
        <w:trPr>
          <w:cantSplit/>
          <w:trHeight w:val="577"/>
        </w:trPr>
        <w:tc>
          <w:tcPr>
            <w:tcW w:w="2835" w:type="dxa"/>
            <w:gridSpan w:val="2"/>
          </w:tcPr>
          <w:p w:rsidR="008F5D59" w:rsidRPr="001E1AAB" w:rsidRDefault="008F5D59" w:rsidP="00675339">
            <w:pPr>
              <w:keepNext/>
              <w:ind w:left="-108"/>
              <w:rPr>
                <w:rFonts w:ascii="Arial Narrow" w:hAnsi="Arial Narrow"/>
                <w:sz w:val="20"/>
              </w:rPr>
            </w:pPr>
            <w:proofErr w:type="spellStart"/>
            <w:r w:rsidRPr="00B010BF">
              <w:rPr>
                <w:rFonts w:ascii="Arial Narrow" w:hAnsi="Arial Narrow"/>
                <w:smallCaps/>
                <w:sz w:val="20"/>
              </w:rPr>
              <w:t>eribulin</w:t>
            </w:r>
            <w:proofErr w:type="spellEnd"/>
          </w:p>
          <w:p w:rsidR="008F5D59" w:rsidRPr="001E1AAB" w:rsidRDefault="008F5D59" w:rsidP="00675339">
            <w:pPr>
              <w:keepNext/>
              <w:ind w:left="-108"/>
              <w:rPr>
                <w:rFonts w:ascii="Arial Narrow" w:hAnsi="Arial Narrow"/>
                <w:sz w:val="20"/>
              </w:rPr>
            </w:pPr>
            <w:r w:rsidRPr="00B010BF">
              <w:rPr>
                <w:rFonts w:ascii="Arial Narrow" w:hAnsi="Arial Narrow"/>
                <w:sz w:val="20"/>
              </w:rPr>
              <w:t xml:space="preserve">1 mg/2 mL (as </w:t>
            </w:r>
            <w:proofErr w:type="spellStart"/>
            <w:r w:rsidRPr="00B010BF">
              <w:rPr>
                <w:rFonts w:ascii="Arial Narrow" w:hAnsi="Arial Narrow"/>
                <w:sz w:val="20"/>
              </w:rPr>
              <w:t>mesilate</w:t>
            </w:r>
            <w:proofErr w:type="spellEnd"/>
            <w:r w:rsidRPr="00B010BF">
              <w:rPr>
                <w:rFonts w:ascii="Arial Narrow" w:hAnsi="Arial Narrow"/>
                <w:sz w:val="20"/>
              </w:rPr>
              <w:t>) injection, 1 x 2 mL vial</w:t>
            </w:r>
          </w:p>
        </w:tc>
        <w:tc>
          <w:tcPr>
            <w:tcW w:w="851" w:type="dxa"/>
          </w:tcPr>
          <w:p w:rsidR="008F5D59" w:rsidRPr="001E1AAB" w:rsidRDefault="008F5D59" w:rsidP="00675339">
            <w:pPr>
              <w:keepNext/>
              <w:ind w:left="-108"/>
              <w:rPr>
                <w:rFonts w:ascii="Arial Narrow" w:hAnsi="Arial Narrow"/>
                <w:sz w:val="20"/>
              </w:rPr>
            </w:pPr>
          </w:p>
          <w:p w:rsidR="008F5D59" w:rsidRPr="001E1AAB" w:rsidRDefault="008F5D59" w:rsidP="00675339">
            <w:pPr>
              <w:keepNext/>
              <w:ind w:left="-108"/>
              <w:rPr>
                <w:rFonts w:ascii="Arial Narrow" w:hAnsi="Arial Narrow"/>
                <w:sz w:val="20"/>
              </w:rPr>
            </w:pPr>
            <w:r w:rsidRPr="00B010BF">
              <w:rPr>
                <w:rFonts w:ascii="Arial Narrow" w:hAnsi="Arial Narrow"/>
                <w:sz w:val="20"/>
              </w:rPr>
              <w:t>3 mg</w:t>
            </w:r>
          </w:p>
        </w:tc>
        <w:tc>
          <w:tcPr>
            <w:tcW w:w="850" w:type="dxa"/>
          </w:tcPr>
          <w:p w:rsidR="008F5D59" w:rsidRPr="001E1AAB" w:rsidRDefault="008F5D59" w:rsidP="00675339">
            <w:pPr>
              <w:keepNext/>
              <w:ind w:left="-108"/>
              <w:rPr>
                <w:rFonts w:ascii="Arial Narrow" w:hAnsi="Arial Narrow"/>
                <w:sz w:val="20"/>
              </w:rPr>
            </w:pPr>
          </w:p>
          <w:p w:rsidR="008F5D59" w:rsidRPr="001E1AAB" w:rsidRDefault="008F5D59" w:rsidP="00675339">
            <w:pPr>
              <w:keepNext/>
              <w:ind w:left="-108"/>
              <w:rPr>
                <w:rFonts w:ascii="Arial Narrow" w:hAnsi="Arial Narrow"/>
                <w:sz w:val="20"/>
              </w:rPr>
            </w:pPr>
            <w:r w:rsidRPr="00B010BF">
              <w:rPr>
                <w:rFonts w:ascii="Arial Narrow" w:hAnsi="Arial Narrow"/>
                <w:sz w:val="20"/>
              </w:rPr>
              <w:t>13</w:t>
            </w:r>
          </w:p>
        </w:tc>
        <w:tc>
          <w:tcPr>
            <w:tcW w:w="1843" w:type="dxa"/>
            <w:vAlign w:val="center"/>
          </w:tcPr>
          <w:p w:rsidR="008F5D59" w:rsidRPr="001E1AAB" w:rsidRDefault="008F5D59" w:rsidP="00675339">
            <w:pPr>
              <w:keepNext/>
              <w:spacing w:before="60" w:after="60"/>
              <w:ind w:left="170"/>
              <w:jc w:val="center"/>
              <w:rPr>
                <w:rFonts w:ascii="Arial Narrow" w:hAnsi="Arial Narrow"/>
                <w:sz w:val="20"/>
              </w:rPr>
            </w:pPr>
            <w:proofErr w:type="spellStart"/>
            <w:r w:rsidRPr="00B010BF">
              <w:rPr>
                <w:rFonts w:ascii="Arial Narrow" w:hAnsi="Arial Narrow"/>
                <w:sz w:val="20"/>
              </w:rPr>
              <w:t>Halaven</w:t>
            </w:r>
            <w:proofErr w:type="spellEnd"/>
            <w:r w:rsidRPr="00B010BF">
              <w:rPr>
                <w:rFonts w:ascii="Arial Narrow" w:hAnsi="Arial Narrow"/>
                <w:sz w:val="20"/>
                <w:vertAlign w:val="superscript"/>
              </w:rPr>
              <w:t>®</w:t>
            </w:r>
          </w:p>
        </w:tc>
        <w:tc>
          <w:tcPr>
            <w:tcW w:w="2126" w:type="dxa"/>
            <w:vAlign w:val="center"/>
          </w:tcPr>
          <w:p w:rsidR="008F5D59" w:rsidRPr="001E1AAB" w:rsidRDefault="008F5D59" w:rsidP="00675339">
            <w:pPr>
              <w:keepNext/>
              <w:spacing w:before="60" w:after="60"/>
              <w:ind w:left="170"/>
              <w:jc w:val="center"/>
              <w:rPr>
                <w:rFonts w:ascii="Arial Narrow" w:hAnsi="Arial Narrow"/>
                <w:sz w:val="20"/>
              </w:rPr>
            </w:pPr>
            <w:r w:rsidRPr="00B010BF">
              <w:rPr>
                <w:rFonts w:ascii="Arial Narrow" w:hAnsi="Arial Narrow"/>
                <w:sz w:val="20"/>
              </w:rPr>
              <w:t>Eisai Australia Pty Ltd</w:t>
            </w:r>
          </w:p>
        </w:tc>
      </w:tr>
      <w:tr w:rsidR="008F5D59" w:rsidRPr="00B010BF" w:rsidTr="008726F4">
        <w:trPr>
          <w:cantSplit/>
          <w:trHeight w:val="360"/>
        </w:trPr>
        <w:tc>
          <w:tcPr>
            <w:tcW w:w="2268" w:type="dxa"/>
            <w:tcBorders>
              <w:top w:val="single" w:sz="4" w:space="0" w:color="auto"/>
              <w:left w:val="single" w:sz="4" w:space="0" w:color="auto"/>
              <w:bottom w:val="single" w:sz="4" w:space="0" w:color="auto"/>
              <w:right w:val="single" w:sz="4" w:space="0" w:color="auto"/>
            </w:tcBorders>
          </w:tcPr>
          <w:p w:rsidR="008F5D59" w:rsidRPr="001E1AAB" w:rsidRDefault="008F5D59" w:rsidP="001E1AAB">
            <w:pPr>
              <w:spacing w:before="60" w:after="60"/>
              <w:rPr>
                <w:rFonts w:ascii="Arial Narrow" w:hAnsi="Arial Narrow"/>
                <w:b/>
                <w:sz w:val="20"/>
              </w:rPr>
            </w:pPr>
            <w:r w:rsidRPr="00B010BF">
              <w:rPr>
                <w:rFonts w:ascii="Arial Narrow" w:hAnsi="Arial Narrow"/>
                <w:b/>
                <w:sz w:val="20"/>
              </w:rPr>
              <w:t>Category / Program</w:t>
            </w:r>
          </w:p>
        </w:tc>
        <w:tc>
          <w:tcPr>
            <w:tcW w:w="6237" w:type="dxa"/>
            <w:gridSpan w:val="5"/>
            <w:tcBorders>
              <w:top w:val="single" w:sz="4" w:space="0" w:color="auto"/>
              <w:left w:val="single" w:sz="4" w:space="0" w:color="auto"/>
              <w:bottom w:val="single" w:sz="4" w:space="0" w:color="auto"/>
              <w:right w:val="single" w:sz="4" w:space="0" w:color="auto"/>
            </w:tcBorders>
          </w:tcPr>
          <w:p w:rsidR="008F5D59" w:rsidRPr="001E1AAB" w:rsidRDefault="008F5D59" w:rsidP="001E1AAB">
            <w:pPr>
              <w:spacing w:before="60" w:after="60"/>
              <w:rPr>
                <w:rFonts w:ascii="Arial Narrow" w:hAnsi="Arial Narrow"/>
                <w:sz w:val="20"/>
              </w:rPr>
            </w:pPr>
            <w:r w:rsidRPr="00B010BF">
              <w:rPr>
                <w:rFonts w:ascii="Arial Narrow" w:hAnsi="Arial Narrow"/>
                <w:sz w:val="20"/>
              </w:rPr>
              <w:t>Section 100 – Efficient funding of Chemotherapy</w:t>
            </w:r>
          </w:p>
        </w:tc>
      </w:tr>
      <w:tr w:rsidR="008F5D59" w:rsidRPr="00B010BF" w:rsidTr="008726F4">
        <w:trPr>
          <w:cantSplit/>
          <w:trHeight w:val="360"/>
        </w:trPr>
        <w:tc>
          <w:tcPr>
            <w:tcW w:w="2268" w:type="dxa"/>
            <w:tcBorders>
              <w:top w:val="single" w:sz="4" w:space="0" w:color="auto"/>
              <w:left w:val="single" w:sz="4" w:space="0" w:color="auto"/>
              <w:bottom w:val="single" w:sz="4" w:space="0" w:color="auto"/>
              <w:right w:val="single" w:sz="4" w:space="0" w:color="auto"/>
            </w:tcBorders>
          </w:tcPr>
          <w:p w:rsidR="008F5D59" w:rsidRPr="001E1AAB" w:rsidRDefault="008F5D59" w:rsidP="001E1AAB">
            <w:pPr>
              <w:spacing w:before="60" w:after="60"/>
              <w:rPr>
                <w:rFonts w:ascii="Arial Narrow" w:hAnsi="Arial Narrow"/>
                <w:b/>
                <w:sz w:val="20"/>
              </w:rPr>
            </w:pPr>
            <w:r w:rsidRPr="00B010BF">
              <w:rPr>
                <w:rFonts w:ascii="Arial Narrow" w:hAnsi="Arial Narrow"/>
                <w:b/>
                <w:sz w:val="20"/>
              </w:rPr>
              <w:t>Prescriber type:</w:t>
            </w:r>
          </w:p>
        </w:tc>
        <w:tc>
          <w:tcPr>
            <w:tcW w:w="6237" w:type="dxa"/>
            <w:gridSpan w:val="5"/>
            <w:tcBorders>
              <w:top w:val="single" w:sz="4" w:space="0" w:color="auto"/>
              <w:left w:val="single" w:sz="4" w:space="0" w:color="auto"/>
              <w:bottom w:val="single" w:sz="4" w:space="0" w:color="auto"/>
              <w:right w:val="single" w:sz="4" w:space="0" w:color="auto"/>
            </w:tcBorders>
          </w:tcPr>
          <w:p w:rsidR="008F5D59" w:rsidRPr="00B010BF" w:rsidRDefault="008F5D59" w:rsidP="001E1AAB">
            <w:pPr>
              <w:rPr>
                <w:rFonts w:ascii="Arial Narrow" w:hAnsi="Arial Narrow"/>
                <w:sz w:val="20"/>
              </w:rPr>
            </w:pPr>
            <w:r w:rsidRPr="007B5D0E">
              <w:rPr>
                <w:rFonts w:ascii="Arial Narrow" w:hAnsi="Arial Narrow"/>
                <w:sz w:val="20"/>
              </w:rPr>
              <w:fldChar w:fldCharType="begin">
                <w:ffData>
                  <w:name w:val="Check1"/>
                  <w:enabled/>
                  <w:calcOnExit w:val="0"/>
                  <w:checkBox>
                    <w:sizeAuto/>
                    <w:default w:val="0"/>
                  </w:checkBox>
                </w:ffData>
              </w:fldChar>
            </w:r>
            <w:r w:rsidRPr="00B010BF">
              <w:rPr>
                <w:rFonts w:ascii="Arial Narrow" w:hAnsi="Arial Narrow"/>
                <w:sz w:val="20"/>
              </w:rPr>
              <w:instrText xml:space="preserve"> FORMCHECKBOX </w:instrText>
            </w:r>
            <w:r w:rsidR="004E2076">
              <w:rPr>
                <w:rFonts w:ascii="Arial Narrow" w:hAnsi="Arial Narrow"/>
                <w:sz w:val="20"/>
              </w:rPr>
            </w:r>
            <w:r w:rsidR="004E2076">
              <w:rPr>
                <w:rFonts w:ascii="Arial Narrow" w:hAnsi="Arial Narrow"/>
                <w:sz w:val="20"/>
              </w:rPr>
              <w:fldChar w:fldCharType="separate"/>
            </w:r>
            <w:r w:rsidRPr="007B5D0E">
              <w:rPr>
                <w:rFonts w:ascii="Arial Narrow" w:hAnsi="Arial Narrow"/>
                <w:sz w:val="20"/>
              </w:rPr>
              <w:fldChar w:fldCharType="end"/>
            </w:r>
            <w:r w:rsidRPr="00B010BF">
              <w:rPr>
                <w:rFonts w:ascii="Arial Narrow" w:hAnsi="Arial Narrow"/>
                <w:sz w:val="20"/>
              </w:rPr>
              <w:t xml:space="preserve">Dental  </w:t>
            </w:r>
            <w:r w:rsidRPr="007B5D0E">
              <w:rPr>
                <w:rFonts w:ascii="Arial Narrow" w:hAnsi="Arial Narrow"/>
                <w:sz w:val="20"/>
              </w:rPr>
              <w:fldChar w:fldCharType="begin">
                <w:ffData>
                  <w:name w:val=""/>
                  <w:enabled/>
                  <w:calcOnExit w:val="0"/>
                  <w:checkBox>
                    <w:sizeAuto/>
                    <w:default w:val="1"/>
                  </w:checkBox>
                </w:ffData>
              </w:fldChar>
            </w:r>
            <w:r w:rsidRPr="00B010BF">
              <w:rPr>
                <w:rFonts w:ascii="Arial Narrow" w:hAnsi="Arial Narrow"/>
                <w:sz w:val="20"/>
              </w:rPr>
              <w:instrText xml:space="preserve"> FORMCHECKBOX </w:instrText>
            </w:r>
            <w:r w:rsidR="004E2076">
              <w:rPr>
                <w:rFonts w:ascii="Arial Narrow" w:hAnsi="Arial Narrow"/>
                <w:sz w:val="20"/>
              </w:rPr>
            </w:r>
            <w:r w:rsidR="004E2076">
              <w:rPr>
                <w:rFonts w:ascii="Arial Narrow" w:hAnsi="Arial Narrow"/>
                <w:sz w:val="20"/>
              </w:rPr>
              <w:fldChar w:fldCharType="separate"/>
            </w:r>
            <w:r w:rsidRPr="007B5D0E">
              <w:rPr>
                <w:rFonts w:ascii="Arial Narrow" w:hAnsi="Arial Narrow"/>
                <w:sz w:val="20"/>
              </w:rPr>
              <w:fldChar w:fldCharType="end"/>
            </w:r>
            <w:r w:rsidRPr="00B010BF">
              <w:rPr>
                <w:rFonts w:ascii="Arial Narrow" w:hAnsi="Arial Narrow"/>
                <w:sz w:val="20"/>
              </w:rPr>
              <w:t xml:space="preserve">Medical Practitioners  </w:t>
            </w:r>
            <w:r w:rsidRPr="007B5D0E">
              <w:rPr>
                <w:rFonts w:ascii="Arial Narrow" w:hAnsi="Arial Narrow"/>
                <w:sz w:val="20"/>
              </w:rPr>
              <w:fldChar w:fldCharType="begin">
                <w:ffData>
                  <w:name w:val="Check3"/>
                  <w:enabled/>
                  <w:calcOnExit w:val="0"/>
                  <w:checkBox>
                    <w:sizeAuto/>
                    <w:default w:val="0"/>
                  </w:checkBox>
                </w:ffData>
              </w:fldChar>
            </w:r>
            <w:r w:rsidRPr="00B010BF">
              <w:rPr>
                <w:rFonts w:ascii="Arial Narrow" w:hAnsi="Arial Narrow"/>
                <w:sz w:val="20"/>
              </w:rPr>
              <w:instrText xml:space="preserve"> FORMCHECKBOX </w:instrText>
            </w:r>
            <w:r w:rsidR="004E2076">
              <w:rPr>
                <w:rFonts w:ascii="Arial Narrow" w:hAnsi="Arial Narrow"/>
                <w:sz w:val="20"/>
              </w:rPr>
            </w:r>
            <w:r w:rsidR="004E2076">
              <w:rPr>
                <w:rFonts w:ascii="Arial Narrow" w:hAnsi="Arial Narrow"/>
                <w:sz w:val="20"/>
              </w:rPr>
              <w:fldChar w:fldCharType="separate"/>
            </w:r>
            <w:r w:rsidRPr="007B5D0E">
              <w:rPr>
                <w:rFonts w:ascii="Arial Narrow" w:hAnsi="Arial Narrow"/>
                <w:sz w:val="20"/>
              </w:rPr>
              <w:fldChar w:fldCharType="end"/>
            </w:r>
            <w:r w:rsidRPr="00B010BF">
              <w:rPr>
                <w:rFonts w:ascii="Arial Narrow" w:hAnsi="Arial Narrow"/>
                <w:sz w:val="20"/>
              </w:rPr>
              <w:t xml:space="preserve">Nurse practitioners  </w:t>
            </w:r>
            <w:r w:rsidRPr="007B5D0E">
              <w:rPr>
                <w:rFonts w:ascii="Arial Narrow" w:hAnsi="Arial Narrow"/>
                <w:sz w:val="20"/>
              </w:rPr>
              <w:fldChar w:fldCharType="begin">
                <w:ffData>
                  <w:name w:val=""/>
                  <w:enabled/>
                  <w:calcOnExit w:val="0"/>
                  <w:checkBox>
                    <w:sizeAuto/>
                    <w:default w:val="0"/>
                  </w:checkBox>
                </w:ffData>
              </w:fldChar>
            </w:r>
            <w:r w:rsidRPr="00B010BF">
              <w:rPr>
                <w:rFonts w:ascii="Arial Narrow" w:hAnsi="Arial Narrow"/>
                <w:sz w:val="20"/>
              </w:rPr>
              <w:instrText xml:space="preserve"> FORMCHECKBOX </w:instrText>
            </w:r>
            <w:r w:rsidR="004E2076">
              <w:rPr>
                <w:rFonts w:ascii="Arial Narrow" w:hAnsi="Arial Narrow"/>
                <w:sz w:val="20"/>
              </w:rPr>
            </w:r>
            <w:r w:rsidR="004E2076">
              <w:rPr>
                <w:rFonts w:ascii="Arial Narrow" w:hAnsi="Arial Narrow"/>
                <w:sz w:val="20"/>
              </w:rPr>
              <w:fldChar w:fldCharType="separate"/>
            </w:r>
            <w:r w:rsidRPr="007B5D0E">
              <w:rPr>
                <w:rFonts w:ascii="Arial Narrow" w:hAnsi="Arial Narrow"/>
                <w:sz w:val="20"/>
              </w:rPr>
              <w:fldChar w:fldCharType="end"/>
            </w:r>
            <w:r w:rsidRPr="00B010BF">
              <w:rPr>
                <w:rFonts w:ascii="Arial Narrow" w:hAnsi="Arial Narrow"/>
                <w:sz w:val="20"/>
              </w:rPr>
              <w:t>Optometrists</w:t>
            </w:r>
            <w:r w:rsidR="001E1AAB">
              <w:rPr>
                <w:rFonts w:ascii="Arial Narrow" w:hAnsi="Arial Narrow"/>
                <w:sz w:val="20"/>
              </w:rPr>
              <w:t xml:space="preserve"> </w:t>
            </w:r>
            <w:r w:rsidRPr="007B5D0E">
              <w:rPr>
                <w:rFonts w:ascii="Arial Narrow" w:hAnsi="Arial Narrow"/>
                <w:sz w:val="20"/>
              </w:rPr>
              <w:fldChar w:fldCharType="begin">
                <w:ffData>
                  <w:name w:val="Check5"/>
                  <w:enabled/>
                  <w:calcOnExit w:val="0"/>
                  <w:checkBox>
                    <w:sizeAuto/>
                    <w:default w:val="0"/>
                  </w:checkBox>
                </w:ffData>
              </w:fldChar>
            </w:r>
            <w:r w:rsidRPr="00B010BF">
              <w:rPr>
                <w:rFonts w:ascii="Arial Narrow" w:hAnsi="Arial Narrow"/>
                <w:sz w:val="20"/>
              </w:rPr>
              <w:instrText xml:space="preserve"> FORMCHECKBOX </w:instrText>
            </w:r>
            <w:r w:rsidR="004E2076">
              <w:rPr>
                <w:rFonts w:ascii="Arial Narrow" w:hAnsi="Arial Narrow"/>
                <w:sz w:val="20"/>
              </w:rPr>
            </w:r>
            <w:r w:rsidR="004E2076">
              <w:rPr>
                <w:rFonts w:ascii="Arial Narrow" w:hAnsi="Arial Narrow"/>
                <w:sz w:val="20"/>
              </w:rPr>
              <w:fldChar w:fldCharType="separate"/>
            </w:r>
            <w:r w:rsidRPr="007B5D0E">
              <w:rPr>
                <w:rFonts w:ascii="Arial Narrow" w:hAnsi="Arial Narrow"/>
                <w:sz w:val="20"/>
              </w:rPr>
              <w:fldChar w:fldCharType="end"/>
            </w:r>
            <w:r w:rsidRPr="00B010BF">
              <w:rPr>
                <w:rFonts w:ascii="Arial Narrow" w:hAnsi="Arial Narrow"/>
                <w:sz w:val="20"/>
              </w:rPr>
              <w:t>Midwives</w:t>
            </w:r>
          </w:p>
        </w:tc>
      </w:tr>
      <w:tr w:rsidR="008F5D59" w:rsidRPr="00B010BF" w:rsidTr="008726F4">
        <w:trPr>
          <w:cantSplit/>
          <w:trHeight w:val="360"/>
        </w:trPr>
        <w:tc>
          <w:tcPr>
            <w:tcW w:w="2268" w:type="dxa"/>
            <w:tcBorders>
              <w:top w:val="single" w:sz="4" w:space="0" w:color="auto"/>
              <w:left w:val="single" w:sz="4" w:space="0" w:color="auto"/>
              <w:bottom w:val="single" w:sz="4" w:space="0" w:color="auto"/>
              <w:right w:val="single" w:sz="4" w:space="0" w:color="auto"/>
            </w:tcBorders>
          </w:tcPr>
          <w:p w:rsidR="008F5D59" w:rsidRPr="001E1AAB" w:rsidRDefault="008F5D59" w:rsidP="001E1AAB">
            <w:pPr>
              <w:spacing w:before="60" w:after="60"/>
              <w:rPr>
                <w:rFonts w:ascii="Arial Narrow" w:hAnsi="Arial Narrow"/>
                <w:b/>
                <w:sz w:val="20"/>
              </w:rPr>
            </w:pPr>
            <w:r w:rsidRPr="00B010BF">
              <w:rPr>
                <w:rFonts w:ascii="Arial Narrow" w:hAnsi="Arial Narrow"/>
                <w:b/>
                <w:sz w:val="20"/>
              </w:rPr>
              <w:t>Severity:</w:t>
            </w:r>
          </w:p>
        </w:tc>
        <w:tc>
          <w:tcPr>
            <w:tcW w:w="6237" w:type="dxa"/>
            <w:gridSpan w:val="5"/>
            <w:tcBorders>
              <w:top w:val="single" w:sz="4" w:space="0" w:color="auto"/>
              <w:left w:val="single" w:sz="4" w:space="0" w:color="auto"/>
              <w:bottom w:val="single" w:sz="4" w:space="0" w:color="auto"/>
              <w:right w:val="single" w:sz="4" w:space="0" w:color="auto"/>
            </w:tcBorders>
          </w:tcPr>
          <w:p w:rsidR="008F5D59" w:rsidRPr="001E1AAB" w:rsidRDefault="008F5D59" w:rsidP="001E1AAB">
            <w:pPr>
              <w:spacing w:before="60" w:after="60"/>
              <w:rPr>
                <w:rFonts w:ascii="Arial Narrow" w:hAnsi="Arial Narrow"/>
                <w:sz w:val="20"/>
              </w:rPr>
            </w:pPr>
            <w:r w:rsidRPr="00B010BF">
              <w:rPr>
                <w:rFonts w:ascii="Arial Narrow" w:hAnsi="Arial Narrow"/>
                <w:i/>
                <w:sz w:val="20"/>
              </w:rPr>
              <w:t>Advanced (</w:t>
            </w:r>
            <w:proofErr w:type="spellStart"/>
            <w:r w:rsidRPr="00B010BF">
              <w:rPr>
                <w:rFonts w:ascii="Arial Narrow" w:hAnsi="Arial Narrow"/>
                <w:i/>
                <w:sz w:val="20"/>
              </w:rPr>
              <w:t>unresectable</w:t>
            </w:r>
            <w:proofErr w:type="spellEnd"/>
            <w:r w:rsidRPr="00B010BF">
              <w:rPr>
                <w:rFonts w:ascii="Arial Narrow" w:hAnsi="Arial Narrow"/>
                <w:i/>
                <w:sz w:val="20"/>
              </w:rPr>
              <w:t xml:space="preserve"> and/or metastatic)</w:t>
            </w:r>
          </w:p>
          <w:p w:rsidR="008F5D59" w:rsidRPr="001E1AAB" w:rsidRDefault="008F5D59" w:rsidP="001E1AAB">
            <w:pPr>
              <w:spacing w:before="60" w:after="60"/>
              <w:rPr>
                <w:rFonts w:ascii="Arial Narrow" w:hAnsi="Arial Narrow"/>
                <w:strike/>
                <w:sz w:val="20"/>
              </w:rPr>
            </w:pPr>
            <w:r w:rsidRPr="00B010BF">
              <w:rPr>
                <w:rFonts w:ascii="Arial Narrow" w:hAnsi="Arial Narrow"/>
                <w:strike/>
                <w:sz w:val="20"/>
              </w:rPr>
              <w:t>Advanced, defined as locally recurrent, locally advanced or metastatic</w:t>
            </w:r>
          </w:p>
        </w:tc>
      </w:tr>
      <w:tr w:rsidR="008F5D59" w:rsidRPr="00B010BF" w:rsidTr="008726F4">
        <w:trPr>
          <w:cantSplit/>
          <w:trHeight w:val="360"/>
        </w:trPr>
        <w:tc>
          <w:tcPr>
            <w:tcW w:w="2268" w:type="dxa"/>
            <w:tcBorders>
              <w:top w:val="single" w:sz="4" w:space="0" w:color="auto"/>
              <w:left w:val="single" w:sz="4" w:space="0" w:color="auto"/>
              <w:bottom w:val="single" w:sz="4" w:space="0" w:color="auto"/>
              <w:right w:val="single" w:sz="4" w:space="0" w:color="auto"/>
            </w:tcBorders>
          </w:tcPr>
          <w:p w:rsidR="008F5D59" w:rsidRPr="001E1AAB" w:rsidRDefault="008F5D59" w:rsidP="001E1AAB">
            <w:pPr>
              <w:spacing w:before="60" w:after="60"/>
              <w:rPr>
                <w:rFonts w:ascii="Arial Narrow" w:hAnsi="Arial Narrow"/>
                <w:b/>
                <w:sz w:val="20"/>
              </w:rPr>
            </w:pPr>
            <w:r w:rsidRPr="00B010BF">
              <w:rPr>
                <w:rFonts w:ascii="Arial Narrow" w:hAnsi="Arial Narrow"/>
                <w:b/>
                <w:sz w:val="20"/>
              </w:rPr>
              <w:t>Condition:</w:t>
            </w:r>
          </w:p>
        </w:tc>
        <w:tc>
          <w:tcPr>
            <w:tcW w:w="6237" w:type="dxa"/>
            <w:gridSpan w:val="5"/>
            <w:tcBorders>
              <w:top w:val="single" w:sz="4" w:space="0" w:color="auto"/>
              <w:left w:val="single" w:sz="4" w:space="0" w:color="auto"/>
              <w:bottom w:val="single" w:sz="4" w:space="0" w:color="auto"/>
              <w:right w:val="single" w:sz="4" w:space="0" w:color="auto"/>
            </w:tcBorders>
          </w:tcPr>
          <w:p w:rsidR="008F5D59" w:rsidRPr="001E1AAB" w:rsidRDefault="008F5D59" w:rsidP="001E1AAB">
            <w:pPr>
              <w:spacing w:before="60" w:after="60"/>
              <w:rPr>
                <w:rFonts w:ascii="Arial Narrow" w:hAnsi="Arial Narrow"/>
                <w:sz w:val="20"/>
              </w:rPr>
            </w:pPr>
            <w:r w:rsidRPr="00B010BF">
              <w:rPr>
                <w:rFonts w:ascii="Arial Narrow" w:hAnsi="Arial Narrow"/>
                <w:strike/>
                <w:sz w:val="20"/>
              </w:rPr>
              <w:t xml:space="preserve">Soft tissue sarcoma (STS) </w:t>
            </w:r>
            <w:proofErr w:type="spellStart"/>
            <w:r w:rsidRPr="00B010BF">
              <w:rPr>
                <w:rFonts w:ascii="Arial Narrow" w:hAnsi="Arial Narrow"/>
                <w:i/>
                <w:sz w:val="20"/>
              </w:rPr>
              <w:t>liposarcoma</w:t>
            </w:r>
            <w:proofErr w:type="spellEnd"/>
          </w:p>
        </w:tc>
      </w:tr>
      <w:tr w:rsidR="008F5D59" w:rsidRPr="00B010BF" w:rsidTr="008726F4">
        <w:trPr>
          <w:cantSplit/>
          <w:trHeight w:val="360"/>
        </w:trPr>
        <w:tc>
          <w:tcPr>
            <w:tcW w:w="2268" w:type="dxa"/>
            <w:tcBorders>
              <w:top w:val="single" w:sz="4" w:space="0" w:color="auto"/>
              <w:left w:val="single" w:sz="4" w:space="0" w:color="auto"/>
              <w:bottom w:val="single" w:sz="4" w:space="0" w:color="auto"/>
              <w:right w:val="single" w:sz="4" w:space="0" w:color="auto"/>
            </w:tcBorders>
          </w:tcPr>
          <w:p w:rsidR="008F5D59" w:rsidRPr="001E1AAB" w:rsidRDefault="008F5D59" w:rsidP="001E1AAB">
            <w:pPr>
              <w:spacing w:before="60" w:after="60"/>
              <w:rPr>
                <w:rFonts w:ascii="Arial Narrow" w:hAnsi="Arial Narrow"/>
                <w:b/>
                <w:sz w:val="20"/>
              </w:rPr>
            </w:pPr>
            <w:r w:rsidRPr="00B010BF">
              <w:rPr>
                <w:rFonts w:ascii="Arial Narrow" w:hAnsi="Arial Narrow"/>
                <w:b/>
                <w:sz w:val="20"/>
              </w:rPr>
              <w:t>PBS Indication:</w:t>
            </w:r>
          </w:p>
        </w:tc>
        <w:tc>
          <w:tcPr>
            <w:tcW w:w="6237" w:type="dxa"/>
            <w:gridSpan w:val="5"/>
            <w:tcBorders>
              <w:top w:val="single" w:sz="4" w:space="0" w:color="auto"/>
              <w:left w:val="single" w:sz="4" w:space="0" w:color="auto"/>
              <w:bottom w:val="single" w:sz="4" w:space="0" w:color="auto"/>
              <w:right w:val="single" w:sz="4" w:space="0" w:color="auto"/>
            </w:tcBorders>
          </w:tcPr>
          <w:p w:rsidR="008F5D59" w:rsidRPr="001E1AAB" w:rsidRDefault="008F5D59" w:rsidP="001E1AAB">
            <w:pPr>
              <w:spacing w:before="60" w:after="60"/>
              <w:rPr>
                <w:rFonts w:ascii="Arial Narrow" w:hAnsi="Arial Narrow"/>
                <w:i/>
                <w:sz w:val="20"/>
              </w:rPr>
            </w:pPr>
            <w:r w:rsidRPr="00B010BF">
              <w:rPr>
                <w:rFonts w:ascii="Arial Narrow" w:hAnsi="Arial Narrow"/>
                <w:i/>
                <w:sz w:val="20"/>
              </w:rPr>
              <w:t>Advanced (</w:t>
            </w:r>
            <w:proofErr w:type="spellStart"/>
            <w:r w:rsidRPr="00B010BF">
              <w:rPr>
                <w:rFonts w:ascii="Arial Narrow" w:hAnsi="Arial Narrow"/>
                <w:i/>
                <w:sz w:val="20"/>
              </w:rPr>
              <w:t>unresectable</w:t>
            </w:r>
            <w:proofErr w:type="spellEnd"/>
            <w:r w:rsidRPr="00B010BF">
              <w:rPr>
                <w:rFonts w:ascii="Arial Narrow" w:hAnsi="Arial Narrow"/>
                <w:i/>
                <w:sz w:val="20"/>
              </w:rPr>
              <w:t xml:space="preserve"> and/or metastatic) </w:t>
            </w:r>
            <w:proofErr w:type="spellStart"/>
            <w:r w:rsidRPr="00B010BF">
              <w:rPr>
                <w:rFonts w:ascii="Arial Narrow" w:hAnsi="Arial Narrow"/>
                <w:i/>
                <w:sz w:val="20"/>
              </w:rPr>
              <w:t>liposarcoma</w:t>
            </w:r>
            <w:proofErr w:type="spellEnd"/>
          </w:p>
        </w:tc>
      </w:tr>
      <w:tr w:rsidR="008F5D59" w:rsidRPr="00B010BF" w:rsidTr="008726F4">
        <w:trPr>
          <w:cantSplit/>
          <w:trHeight w:val="360"/>
        </w:trPr>
        <w:tc>
          <w:tcPr>
            <w:tcW w:w="2268" w:type="dxa"/>
            <w:tcBorders>
              <w:top w:val="single" w:sz="4" w:space="0" w:color="auto"/>
              <w:left w:val="single" w:sz="4" w:space="0" w:color="auto"/>
              <w:bottom w:val="single" w:sz="4" w:space="0" w:color="auto"/>
              <w:right w:val="single" w:sz="4" w:space="0" w:color="auto"/>
            </w:tcBorders>
          </w:tcPr>
          <w:p w:rsidR="008F5D59" w:rsidRPr="001E1AAB" w:rsidRDefault="008F5D59" w:rsidP="001E1AAB">
            <w:pPr>
              <w:spacing w:before="60" w:after="60"/>
              <w:rPr>
                <w:rFonts w:ascii="Arial Narrow" w:hAnsi="Arial Narrow"/>
                <w:b/>
                <w:sz w:val="20"/>
              </w:rPr>
            </w:pPr>
            <w:r w:rsidRPr="00B010BF">
              <w:rPr>
                <w:rFonts w:ascii="Arial Narrow" w:hAnsi="Arial Narrow"/>
                <w:b/>
                <w:sz w:val="20"/>
              </w:rPr>
              <w:t>Treatment phase:</w:t>
            </w:r>
          </w:p>
        </w:tc>
        <w:tc>
          <w:tcPr>
            <w:tcW w:w="6237" w:type="dxa"/>
            <w:gridSpan w:val="5"/>
            <w:tcBorders>
              <w:top w:val="single" w:sz="4" w:space="0" w:color="auto"/>
              <w:left w:val="single" w:sz="4" w:space="0" w:color="auto"/>
              <w:bottom w:val="single" w:sz="4" w:space="0" w:color="auto"/>
              <w:right w:val="single" w:sz="4" w:space="0" w:color="auto"/>
            </w:tcBorders>
          </w:tcPr>
          <w:p w:rsidR="008F5D59" w:rsidRPr="001E1AAB" w:rsidRDefault="008F5D59" w:rsidP="001E1AAB">
            <w:pPr>
              <w:spacing w:before="60" w:after="60"/>
              <w:rPr>
                <w:rFonts w:ascii="Arial Narrow" w:hAnsi="Arial Narrow"/>
                <w:strike/>
                <w:sz w:val="20"/>
              </w:rPr>
            </w:pPr>
            <w:r w:rsidRPr="00B010BF">
              <w:rPr>
                <w:rFonts w:ascii="Arial Narrow" w:hAnsi="Arial Narrow"/>
                <w:strike/>
                <w:sz w:val="20"/>
              </w:rPr>
              <w:t>initial</w:t>
            </w:r>
          </w:p>
        </w:tc>
      </w:tr>
      <w:tr w:rsidR="008F5D59" w:rsidRPr="00B010BF" w:rsidTr="008726F4">
        <w:trPr>
          <w:cantSplit/>
          <w:trHeight w:val="360"/>
        </w:trPr>
        <w:tc>
          <w:tcPr>
            <w:tcW w:w="2268" w:type="dxa"/>
            <w:tcBorders>
              <w:top w:val="single" w:sz="4" w:space="0" w:color="auto"/>
              <w:left w:val="single" w:sz="4" w:space="0" w:color="auto"/>
              <w:bottom w:val="single" w:sz="4" w:space="0" w:color="auto"/>
              <w:right w:val="single" w:sz="4" w:space="0" w:color="auto"/>
            </w:tcBorders>
          </w:tcPr>
          <w:p w:rsidR="008F5D59" w:rsidRPr="001E1AAB" w:rsidRDefault="008F5D59" w:rsidP="001E1AAB">
            <w:pPr>
              <w:spacing w:before="60" w:after="60"/>
              <w:rPr>
                <w:rFonts w:ascii="Arial Narrow" w:hAnsi="Arial Narrow"/>
                <w:b/>
                <w:sz w:val="20"/>
              </w:rPr>
            </w:pPr>
            <w:r w:rsidRPr="00B010BF">
              <w:rPr>
                <w:rFonts w:ascii="Arial Narrow" w:hAnsi="Arial Narrow"/>
                <w:b/>
                <w:sz w:val="20"/>
              </w:rPr>
              <w:t>Restriction Level / Method:</w:t>
            </w:r>
          </w:p>
          <w:p w:rsidR="008F5D59" w:rsidRPr="001E1AAB" w:rsidRDefault="008F5D59" w:rsidP="00675339">
            <w:pPr>
              <w:rPr>
                <w:rFonts w:ascii="Arial Narrow" w:hAnsi="Arial Narrow"/>
                <w:i/>
                <w:sz w:val="20"/>
              </w:rPr>
            </w:pPr>
          </w:p>
        </w:tc>
        <w:tc>
          <w:tcPr>
            <w:tcW w:w="6237" w:type="dxa"/>
            <w:gridSpan w:val="5"/>
            <w:tcBorders>
              <w:top w:val="single" w:sz="4" w:space="0" w:color="auto"/>
              <w:left w:val="single" w:sz="4" w:space="0" w:color="auto"/>
              <w:bottom w:val="single" w:sz="4" w:space="0" w:color="auto"/>
              <w:right w:val="single" w:sz="4" w:space="0" w:color="auto"/>
            </w:tcBorders>
          </w:tcPr>
          <w:p w:rsidR="008F5D59" w:rsidRPr="00B010BF" w:rsidRDefault="008F5D59" w:rsidP="00675339">
            <w:pPr>
              <w:rPr>
                <w:rFonts w:ascii="Arial Narrow" w:hAnsi="Arial Narrow"/>
                <w:sz w:val="20"/>
              </w:rPr>
            </w:pPr>
            <w:r w:rsidRPr="007B5D0E">
              <w:rPr>
                <w:rFonts w:ascii="Arial Narrow" w:hAnsi="Arial Narrow"/>
                <w:sz w:val="20"/>
              </w:rPr>
              <w:fldChar w:fldCharType="begin">
                <w:ffData>
                  <w:name w:val="Check1"/>
                  <w:enabled/>
                  <w:calcOnExit w:val="0"/>
                  <w:checkBox>
                    <w:sizeAuto/>
                    <w:default w:val="0"/>
                  </w:checkBox>
                </w:ffData>
              </w:fldChar>
            </w:r>
            <w:r w:rsidRPr="00B010BF">
              <w:rPr>
                <w:rFonts w:ascii="Arial Narrow" w:hAnsi="Arial Narrow"/>
                <w:sz w:val="20"/>
              </w:rPr>
              <w:instrText xml:space="preserve"> FORMCHECKBOX </w:instrText>
            </w:r>
            <w:r w:rsidR="004E2076">
              <w:rPr>
                <w:rFonts w:ascii="Arial Narrow" w:hAnsi="Arial Narrow"/>
                <w:sz w:val="20"/>
              </w:rPr>
            </w:r>
            <w:r w:rsidR="004E2076">
              <w:rPr>
                <w:rFonts w:ascii="Arial Narrow" w:hAnsi="Arial Narrow"/>
                <w:sz w:val="20"/>
              </w:rPr>
              <w:fldChar w:fldCharType="separate"/>
            </w:r>
            <w:r w:rsidRPr="007B5D0E">
              <w:rPr>
                <w:rFonts w:ascii="Arial Narrow" w:hAnsi="Arial Narrow"/>
                <w:sz w:val="20"/>
              </w:rPr>
              <w:fldChar w:fldCharType="end"/>
            </w:r>
            <w:r w:rsidRPr="00B010BF">
              <w:rPr>
                <w:rFonts w:ascii="Arial Narrow" w:hAnsi="Arial Narrow"/>
                <w:sz w:val="20"/>
              </w:rPr>
              <w:t>Restricted benefit</w:t>
            </w:r>
          </w:p>
          <w:p w:rsidR="008F5D59" w:rsidRPr="00B010BF" w:rsidRDefault="008F5D59" w:rsidP="00675339">
            <w:pPr>
              <w:rPr>
                <w:rFonts w:ascii="Arial Narrow" w:hAnsi="Arial Narrow"/>
                <w:sz w:val="20"/>
              </w:rPr>
            </w:pPr>
            <w:r w:rsidRPr="007B5D0E">
              <w:rPr>
                <w:rFonts w:ascii="Arial Narrow" w:hAnsi="Arial Narrow"/>
                <w:sz w:val="20"/>
              </w:rPr>
              <w:fldChar w:fldCharType="begin">
                <w:ffData>
                  <w:name w:val=""/>
                  <w:enabled/>
                  <w:calcOnExit w:val="0"/>
                  <w:checkBox>
                    <w:sizeAuto/>
                    <w:default w:val="0"/>
                  </w:checkBox>
                </w:ffData>
              </w:fldChar>
            </w:r>
            <w:r w:rsidRPr="00B010BF">
              <w:rPr>
                <w:rFonts w:ascii="Arial Narrow" w:hAnsi="Arial Narrow"/>
                <w:sz w:val="20"/>
              </w:rPr>
              <w:instrText xml:space="preserve"> FORMCHECKBOX </w:instrText>
            </w:r>
            <w:r w:rsidR="004E2076">
              <w:rPr>
                <w:rFonts w:ascii="Arial Narrow" w:hAnsi="Arial Narrow"/>
                <w:sz w:val="20"/>
              </w:rPr>
            </w:r>
            <w:r w:rsidR="004E2076">
              <w:rPr>
                <w:rFonts w:ascii="Arial Narrow" w:hAnsi="Arial Narrow"/>
                <w:sz w:val="20"/>
              </w:rPr>
              <w:fldChar w:fldCharType="separate"/>
            </w:r>
            <w:r w:rsidRPr="007B5D0E">
              <w:rPr>
                <w:rFonts w:ascii="Arial Narrow" w:hAnsi="Arial Narrow"/>
                <w:sz w:val="20"/>
              </w:rPr>
              <w:fldChar w:fldCharType="end"/>
            </w:r>
            <w:r w:rsidRPr="00B010BF">
              <w:rPr>
                <w:rFonts w:ascii="Arial Narrow" w:hAnsi="Arial Narrow"/>
                <w:sz w:val="20"/>
              </w:rPr>
              <w:t>Authority Required - In Writing</w:t>
            </w:r>
          </w:p>
          <w:p w:rsidR="008F5D59" w:rsidRPr="00B010BF" w:rsidRDefault="008F5D59" w:rsidP="00675339">
            <w:pPr>
              <w:rPr>
                <w:rFonts w:ascii="Arial Narrow" w:hAnsi="Arial Narrow"/>
                <w:sz w:val="20"/>
              </w:rPr>
            </w:pPr>
            <w:r w:rsidRPr="007B5D0E">
              <w:rPr>
                <w:rFonts w:ascii="Arial Narrow" w:hAnsi="Arial Narrow"/>
                <w:sz w:val="20"/>
              </w:rPr>
              <w:fldChar w:fldCharType="begin">
                <w:ffData>
                  <w:name w:val="Check3"/>
                  <w:enabled/>
                  <w:calcOnExit w:val="0"/>
                  <w:checkBox>
                    <w:sizeAuto/>
                    <w:default w:val="0"/>
                  </w:checkBox>
                </w:ffData>
              </w:fldChar>
            </w:r>
            <w:r w:rsidRPr="00B010BF">
              <w:rPr>
                <w:rFonts w:ascii="Arial Narrow" w:hAnsi="Arial Narrow"/>
                <w:sz w:val="20"/>
              </w:rPr>
              <w:instrText xml:space="preserve"> FORMCHECKBOX </w:instrText>
            </w:r>
            <w:r w:rsidR="004E2076">
              <w:rPr>
                <w:rFonts w:ascii="Arial Narrow" w:hAnsi="Arial Narrow"/>
                <w:sz w:val="20"/>
              </w:rPr>
            </w:r>
            <w:r w:rsidR="004E2076">
              <w:rPr>
                <w:rFonts w:ascii="Arial Narrow" w:hAnsi="Arial Narrow"/>
                <w:sz w:val="20"/>
              </w:rPr>
              <w:fldChar w:fldCharType="separate"/>
            </w:r>
            <w:r w:rsidRPr="007B5D0E">
              <w:rPr>
                <w:rFonts w:ascii="Arial Narrow" w:hAnsi="Arial Narrow"/>
                <w:sz w:val="20"/>
              </w:rPr>
              <w:fldChar w:fldCharType="end"/>
            </w:r>
            <w:r w:rsidRPr="00B010BF">
              <w:rPr>
                <w:rFonts w:ascii="Arial Narrow" w:hAnsi="Arial Narrow"/>
                <w:sz w:val="20"/>
              </w:rPr>
              <w:t>Authority Required - Telephone</w:t>
            </w:r>
          </w:p>
          <w:p w:rsidR="008F5D59" w:rsidRPr="00B010BF" w:rsidRDefault="008F5D59" w:rsidP="00675339">
            <w:pPr>
              <w:rPr>
                <w:rFonts w:ascii="Arial Narrow" w:hAnsi="Arial Narrow"/>
                <w:sz w:val="20"/>
              </w:rPr>
            </w:pPr>
            <w:r w:rsidRPr="007B5D0E">
              <w:rPr>
                <w:rFonts w:ascii="Arial Narrow" w:hAnsi="Arial Narrow"/>
                <w:sz w:val="20"/>
              </w:rPr>
              <w:fldChar w:fldCharType="begin">
                <w:ffData>
                  <w:name w:val=""/>
                  <w:enabled/>
                  <w:calcOnExit w:val="0"/>
                  <w:checkBox>
                    <w:sizeAuto/>
                    <w:default w:val="0"/>
                  </w:checkBox>
                </w:ffData>
              </w:fldChar>
            </w:r>
            <w:r w:rsidRPr="00B010BF">
              <w:rPr>
                <w:rFonts w:ascii="Arial Narrow" w:hAnsi="Arial Narrow"/>
                <w:sz w:val="20"/>
              </w:rPr>
              <w:instrText xml:space="preserve"> FORMCHECKBOX </w:instrText>
            </w:r>
            <w:r w:rsidR="004E2076">
              <w:rPr>
                <w:rFonts w:ascii="Arial Narrow" w:hAnsi="Arial Narrow"/>
                <w:sz w:val="20"/>
              </w:rPr>
            </w:r>
            <w:r w:rsidR="004E2076">
              <w:rPr>
                <w:rFonts w:ascii="Arial Narrow" w:hAnsi="Arial Narrow"/>
                <w:sz w:val="20"/>
              </w:rPr>
              <w:fldChar w:fldCharType="separate"/>
            </w:r>
            <w:r w:rsidRPr="007B5D0E">
              <w:rPr>
                <w:rFonts w:ascii="Arial Narrow" w:hAnsi="Arial Narrow"/>
                <w:sz w:val="20"/>
              </w:rPr>
              <w:fldChar w:fldCharType="end"/>
            </w:r>
            <w:r w:rsidRPr="00B010BF">
              <w:rPr>
                <w:rFonts w:ascii="Arial Narrow" w:hAnsi="Arial Narrow"/>
                <w:sz w:val="20"/>
              </w:rPr>
              <w:t>Authority Required - Emergency</w:t>
            </w:r>
          </w:p>
          <w:p w:rsidR="008F5D59" w:rsidRPr="00B010BF" w:rsidRDefault="008F5D59" w:rsidP="00675339">
            <w:pPr>
              <w:rPr>
                <w:rFonts w:ascii="Arial Narrow" w:hAnsi="Arial Narrow"/>
                <w:sz w:val="20"/>
              </w:rPr>
            </w:pPr>
            <w:r w:rsidRPr="007B5D0E">
              <w:rPr>
                <w:rFonts w:ascii="Arial Narrow" w:hAnsi="Arial Narrow"/>
                <w:sz w:val="20"/>
              </w:rPr>
              <w:fldChar w:fldCharType="begin">
                <w:ffData>
                  <w:name w:val="Check5"/>
                  <w:enabled/>
                  <w:calcOnExit w:val="0"/>
                  <w:checkBox>
                    <w:sizeAuto/>
                    <w:default w:val="0"/>
                  </w:checkBox>
                </w:ffData>
              </w:fldChar>
            </w:r>
            <w:r w:rsidRPr="00B010BF">
              <w:rPr>
                <w:rFonts w:ascii="Arial Narrow" w:hAnsi="Arial Narrow"/>
                <w:sz w:val="20"/>
              </w:rPr>
              <w:instrText xml:space="preserve"> FORMCHECKBOX </w:instrText>
            </w:r>
            <w:r w:rsidR="004E2076">
              <w:rPr>
                <w:rFonts w:ascii="Arial Narrow" w:hAnsi="Arial Narrow"/>
                <w:sz w:val="20"/>
              </w:rPr>
            </w:r>
            <w:r w:rsidR="004E2076">
              <w:rPr>
                <w:rFonts w:ascii="Arial Narrow" w:hAnsi="Arial Narrow"/>
                <w:sz w:val="20"/>
              </w:rPr>
              <w:fldChar w:fldCharType="separate"/>
            </w:r>
            <w:r w:rsidRPr="007B5D0E">
              <w:rPr>
                <w:rFonts w:ascii="Arial Narrow" w:hAnsi="Arial Narrow"/>
                <w:sz w:val="20"/>
              </w:rPr>
              <w:fldChar w:fldCharType="end"/>
            </w:r>
            <w:r w:rsidRPr="00B010BF">
              <w:rPr>
                <w:rFonts w:ascii="Arial Narrow" w:hAnsi="Arial Narrow"/>
                <w:sz w:val="20"/>
              </w:rPr>
              <w:t>Authority Required - Electronic</w:t>
            </w:r>
          </w:p>
          <w:p w:rsidR="008F5D59" w:rsidRPr="00B010BF" w:rsidRDefault="008F5D59" w:rsidP="00675339">
            <w:pPr>
              <w:rPr>
                <w:rFonts w:ascii="Arial Narrow" w:hAnsi="Arial Narrow"/>
                <w:sz w:val="20"/>
              </w:rPr>
            </w:pPr>
            <w:r w:rsidRPr="007B5D0E">
              <w:rPr>
                <w:rFonts w:ascii="Arial Narrow" w:hAnsi="Arial Narrow"/>
                <w:sz w:val="20"/>
              </w:rPr>
              <w:fldChar w:fldCharType="begin">
                <w:ffData>
                  <w:name w:val="Check5"/>
                  <w:enabled/>
                  <w:calcOnExit w:val="0"/>
                  <w:checkBox>
                    <w:sizeAuto/>
                    <w:default w:val="1"/>
                  </w:checkBox>
                </w:ffData>
              </w:fldChar>
            </w:r>
            <w:r w:rsidRPr="00B010BF">
              <w:rPr>
                <w:rFonts w:ascii="Arial Narrow" w:hAnsi="Arial Narrow"/>
                <w:sz w:val="20"/>
              </w:rPr>
              <w:instrText xml:space="preserve"> FORMCHECKBOX </w:instrText>
            </w:r>
            <w:r w:rsidR="004E2076">
              <w:rPr>
                <w:rFonts w:ascii="Arial Narrow" w:hAnsi="Arial Narrow"/>
                <w:sz w:val="20"/>
              </w:rPr>
            </w:r>
            <w:r w:rsidR="004E2076">
              <w:rPr>
                <w:rFonts w:ascii="Arial Narrow" w:hAnsi="Arial Narrow"/>
                <w:sz w:val="20"/>
              </w:rPr>
              <w:fldChar w:fldCharType="separate"/>
            </w:r>
            <w:r w:rsidRPr="007B5D0E">
              <w:rPr>
                <w:rFonts w:ascii="Arial Narrow" w:hAnsi="Arial Narrow"/>
                <w:sz w:val="20"/>
              </w:rPr>
              <w:fldChar w:fldCharType="end"/>
            </w:r>
            <w:r w:rsidRPr="00B010BF">
              <w:rPr>
                <w:rFonts w:ascii="Arial Narrow" w:hAnsi="Arial Narrow"/>
                <w:sz w:val="20"/>
              </w:rPr>
              <w:t>Streamlined</w:t>
            </w:r>
          </w:p>
        </w:tc>
      </w:tr>
      <w:tr w:rsidR="008F5D59" w:rsidRPr="00B010BF" w:rsidTr="008726F4">
        <w:trPr>
          <w:cantSplit/>
          <w:trHeight w:val="360"/>
        </w:trPr>
        <w:tc>
          <w:tcPr>
            <w:tcW w:w="2268" w:type="dxa"/>
            <w:tcBorders>
              <w:top w:val="single" w:sz="4" w:space="0" w:color="auto"/>
              <w:left w:val="single" w:sz="4" w:space="0" w:color="auto"/>
              <w:bottom w:val="single" w:sz="4" w:space="0" w:color="auto"/>
              <w:right w:val="single" w:sz="4" w:space="0" w:color="auto"/>
            </w:tcBorders>
          </w:tcPr>
          <w:p w:rsidR="008F5D59" w:rsidRPr="001E1AAB" w:rsidRDefault="008F5D59" w:rsidP="001E1AAB">
            <w:pPr>
              <w:spacing w:before="60" w:after="60"/>
              <w:rPr>
                <w:rFonts w:ascii="Arial Narrow" w:hAnsi="Arial Narrow"/>
                <w:b/>
                <w:sz w:val="20"/>
              </w:rPr>
            </w:pPr>
            <w:r w:rsidRPr="00B010BF">
              <w:rPr>
                <w:rFonts w:ascii="Arial Narrow" w:hAnsi="Arial Narrow"/>
                <w:b/>
                <w:sz w:val="20"/>
              </w:rPr>
              <w:t>Treatment criteria:</w:t>
            </w:r>
          </w:p>
        </w:tc>
        <w:tc>
          <w:tcPr>
            <w:tcW w:w="6237" w:type="dxa"/>
            <w:gridSpan w:val="5"/>
            <w:tcBorders>
              <w:top w:val="single" w:sz="4" w:space="0" w:color="auto"/>
              <w:left w:val="single" w:sz="4" w:space="0" w:color="auto"/>
              <w:bottom w:val="single" w:sz="4" w:space="0" w:color="auto"/>
              <w:right w:val="single" w:sz="4" w:space="0" w:color="auto"/>
            </w:tcBorders>
          </w:tcPr>
          <w:p w:rsidR="008F5D59" w:rsidRPr="001E1AAB" w:rsidRDefault="008F5D59" w:rsidP="001E1AAB">
            <w:pPr>
              <w:spacing w:before="60" w:after="60"/>
              <w:rPr>
                <w:rFonts w:ascii="Arial Narrow" w:hAnsi="Arial Narrow"/>
                <w:sz w:val="20"/>
              </w:rPr>
            </w:pPr>
            <w:r w:rsidRPr="00B010BF">
              <w:rPr>
                <w:rFonts w:ascii="Arial Narrow" w:hAnsi="Arial Narrow"/>
                <w:sz w:val="20"/>
              </w:rPr>
              <w:t>Must be treated by an oncologist.</w:t>
            </w:r>
          </w:p>
        </w:tc>
      </w:tr>
      <w:tr w:rsidR="008F5D59" w:rsidRPr="00B010BF" w:rsidTr="008726F4">
        <w:trPr>
          <w:cantSplit/>
          <w:trHeight w:val="360"/>
        </w:trPr>
        <w:tc>
          <w:tcPr>
            <w:tcW w:w="2268" w:type="dxa"/>
            <w:tcBorders>
              <w:top w:val="single" w:sz="4" w:space="0" w:color="auto"/>
              <w:left w:val="single" w:sz="4" w:space="0" w:color="auto"/>
              <w:bottom w:val="single" w:sz="4" w:space="0" w:color="auto"/>
              <w:right w:val="single" w:sz="4" w:space="0" w:color="auto"/>
            </w:tcBorders>
          </w:tcPr>
          <w:p w:rsidR="008F5D59" w:rsidRPr="001E1AAB" w:rsidRDefault="008F5D59" w:rsidP="001E1AAB">
            <w:pPr>
              <w:spacing w:before="60" w:after="60"/>
              <w:rPr>
                <w:rFonts w:ascii="Arial Narrow" w:hAnsi="Arial Narrow"/>
                <w:b/>
                <w:sz w:val="20"/>
              </w:rPr>
            </w:pPr>
            <w:r w:rsidRPr="00B010BF">
              <w:rPr>
                <w:rFonts w:ascii="Arial Narrow" w:hAnsi="Arial Narrow"/>
                <w:b/>
                <w:sz w:val="20"/>
              </w:rPr>
              <w:t>Clinical criteria:</w:t>
            </w:r>
          </w:p>
          <w:p w:rsidR="008F5D59" w:rsidRPr="001E1AAB" w:rsidRDefault="008F5D59" w:rsidP="00675339">
            <w:pPr>
              <w:rPr>
                <w:rFonts w:ascii="Arial Narrow" w:hAnsi="Arial Narrow"/>
                <w:sz w:val="20"/>
              </w:rPr>
            </w:pPr>
          </w:p>
        </w:tc>
        <w:tc>
          <w:tcPr>
            <w:tcW w:w="6237" w:type="dxa"/>
            <w:gridSpan w:val="5"/>
            <w:tcBorders>
              <w:top w:val="single" w:sz="4" w:space="0" w:color="auto"/>
              <w:left w:val="single" w:sz="4" w:space="0" w:color="auto"/>
              <w:bottom w:val="single" w:sz="4" w:space="0" w:color="auto"/>
              <w:right w:val="single" w:sz="4" w:space="0" w:color="auto"/>
            </w:tcBorders>
          </w:tcPr>
          <w:p w:rsidR="008F5D59" w:rsidRPr="001E1AAB" w:rsidRDefault="008F5D59" w:rsidP="001E1AAB">
            <w:pPr>
              <w:spacing w:before="60" w:after="60"/>
              <w:rPr>
                <w:rFonts w:ascii="Arial Narrow" w:hAnsi="Arial Narrow"/>
                <w:sz w:val="20"/>
              </w:rPr>
            </w:pPr>
            <w:r w:rsidRPr="00B010BF">
              <w:rPr>
                <w:rFonts w:ascii="Arial Narrow" w:hAnsi="Arial Narrow"/>
                <w:sz w:val="20"/>
              </w:rPr>
              <w:t>Patient must have a</w:t>
            </w:r>
            <w:r w:rsidR="00CA1B33">
              <w:rPr>
                <w:rFonts w:ascii="Arial Narrow" w:hAnsi="Arial Narrow"/>
                <w:sz w:val="20"/>
              </w:rPr>
              <w:t>n</w:t>
            </w:r>
            <w:r w:rsidR="0084191E">
              <w:rPr>
                <w:rFonts w:ascii="Arial Narrow" w:hAnsi="Arial Narrow"/>
                <w:sz w:val="20"/>
              </w:rPr>
              <w:t xml:space="preserve"> </w:t>
            </w:r>
            <w:r w:rsidRPr="006E146D">
              <w:rPr>
                <w:rFonts w:ascii="Arial Narrow" w:hAnsi="Arial Narrow"/>
                <w:sz w:val="20"/>
              </w:rPr>
              <w:t xml:space="preserve"> ECOG </w:t>
            </w:r>
            <w:r w:rsidRPr="00B010BF">
              <w:rPr>
                <w:rFonts w:ascii="Arial Narrow" w:hAnsi="Arial Narrow"/>
                <w:sz w:val="20"/>
              </w:rPr>
              <w:t>performance status of 2 or less,</w:t>
            </w:r>
          </w:p>
          <w:p w:rsidR="008F5D59" w:rsidRPr="001E1AAB" w:rsidRDefault="008F5D59" w:rsidP="00675339">
            <w:pPr>
              <w:rPr>
                <w:rFonts w:ascii="Arial Narrow" w:hAnsi="Arial Narrow"/>
                <w:sz w:val="20"/>
              </w:rPr>
            </w:pPr>
          </w:p>
          <w:p w:rsidR="008F5D59" w:rsidRPr="001E1AAB" w:rsidRDefault="008F5D59" w:rsidP="00675339">
            <w:pPr>
              <w:rPr>
                <w:rFonts w:ascii="Arial Narrow" w:hAnsi="Arial Narrow"/>
                <w:sz w:val="20"/>
              </w:rPr>
            </w:pPr>
            <w:r w:rsidRPr="00B010BF">
              <w:rPr>
                <w:rFonts w:ascii="Arial Narrow" w:hAnsi="Arial Narrow"/>
                <w:sz w:val="20"/>
              </w:rPr>
              <w:t>AND</w:t>
            </w:r>
          </w:p>
          <w:p w:rsidR="008F5D59" w:rsidRPr="001E1AAB" w:rsidRDefault="008F5D59" w:rsidP="00675339">
            <w:pPr>
              <w:rPr>
                <w:rFonts w:ascii="Arial Narrow" w:hAnsi="Arial Narrow"/>
                <w:sz w:val="20"/>
              </w:rPr>
            </w:pPr>
          </w:p>
          <w:p w:rsidR="008F5D59" w:rsidRPr="001E1AAB" w:rsidRDefault="008F5D59" w:rsidP="00675339">
            <w:pPr>
              <w:rPr>
                <w:rFonts w:ascii="Arial Narrow" w:hAnsi="Arial Narrow"/>
                <w:sz w:val="20"/>
              </w:rPr>
            </w:pPr>
            <w:r w:rsidRPr="00B010BF">
              <w:rPr>
                <w:rFonts w:ascii="Arial Narrow" w:hAnsi="Arial Narrow"/>
                <w:sz w:val="20"/>
              </w:rPr>
              <w:t xml:space="preserve">Patient must have received prior chemotherapy treatment including an </w:t>
            </w:r>
            <w:proofErr w:type="spellStart"/>
            <w:r w:rsidRPr="00B010BF">
              <w:rPr>
                <w:rFonts w:ascii="Arial Narrow" w:hAnsi="Arial Narrow"/>
                <w:sz w:val="20"/>
              </w:rPr>
              <w:t>anthracycline</w:t>
            </w:r>
            <w:proofErr w:type="spellEnd"/>
            <w:r w:rsidRPr="00B010BF">
              <w:rPr>
                <w:rFonts w:ascii="Arial Narrow" w:hAnsi="Arial Narrow"/>
                <w:sz w:val="20"/>
              </w:rPr>
              <w:t xml:space="preserve"> and </w:t>
            </w:r>
            <w:proofErr w:type="spellStart"/>
            <w:r w:rsidRPr="00B010BF">
              <w:rPr>
                <w:rFonts w:ascii="Arial Narrow" w:hAnsi="Arial Narrow"/>
                <w:sz w:val="20"/>
              </w:rPr>
              <w:t>ifosfamide</w:t>
            </w:r>
            <w:proofErr w:type="spellEnd"/>
            <w:r w:rsidRPr="00B010BF">
              <w:rPr>
                <w:rFonts w:ascii="Arial Narrow" w:hAnsi="Arial Narrow"/>
                <w:sz w:val="20"/>
              </w:rPr>
              <w:t xml:space="preserve"> (unless contraindicated),</w:t>
            </w:r>
          </w:p>
          <w:p w:rsidR="008F5D59" w:rsidRPr="001E1AAB" w:rsidRDefault="008F5D59" w:rsidP="00675339">
            <w:pPr>
              <w:rPr>
                <w:rFonts w:ascii="Arial Narrow" w:hAnsi="Arial Narrow"/>
                <w:sz w:val="20"/>
              </w:rPr>
            </w:pPr>
          </w:p>
          <w:p w:rsidR="008F5D59" w:rsidRPr="001E1AAB" w:rsidRDefault="008F5D59" w:rsidP="00675339">
            <w:pPr>
              <w:rPr>
                <w:rFonts w:ascii="Arial Narrow" w:hAnsi="Arial Narrow"/>
                <w:sz w:val="20"/>
              </w:rPr>
            </w:pPr>
            <w:r w:rsidRPr="00B010BF">
              <w:rPr>
                <w:rFonts w:ascii="Arial Narrow" w:hAnsi="Arial Narrow"/>
                <w:sz w:val="20"/>
              </w:rPr>
              <w:t>AND</w:t>
            </w:r>
          </w:p>
          <w:p w:rsidR="008F5D59" w:rsidRPr="001E1AAB" w:rsidRDefault="008F5D59" w:rsidP="00675339">
            <w:pPr>
              <w:rPr>
                <w:rFonts w:ascii="Arial Narrow" w:hAnsi="Arial Narrow"/>
                <w:sz w:val="20"/>
              </w:rPr>
            </w:pPr>
          </w:p>
          <w:p w:rsidR="008F5D59" w:rsidRPr="001E1AAB" w:rsidRDefault="008F5D59" w:rsidP="00675339">
            <w:pPr>
              <w:rPr>
                <w:rFonts w:ascii="Arial Narrow" w:hAnsi="Arial Narrow"/>
                <w:sz w:val="20"/>
              </w:rPr>
            </w:pPr>
            <w:r w:rsidRPr="00B010BF">
              <w:rPr>
                <w:rFonts w:ascii="Arial Narrow" w:hAnsi="Arial Narrow"/>
                <w:sz w:val="20"/>
              </w:rPr>
              <w:t>The treatment must be the sole PBS-subsidised therapy for this condition.</w:t>
            </w:r>
          </w:p>
        </w:tc>
      </w:tr>
      <w:tr w:rsidR="00F7797F" w:rsidRPr="00B010BF" w:rsidTr="008726F4">
        <w:trPr>
          <w:cantSplit/>
          <w:trHeight w:val="360"/>
        </w:trPr>
        <w:tc>
          <w:tcPr>
            <w:tcW w:w="2268" w:type="dxa"/>
            <w:tcBorders>
              <w:top w:val="single" w:sz="4" w:space="0" w:color="auto"/>
              <w:left w:val="single" w:sz="4" w:space="0" w:color="auto"/>
              <w:bottom w:val="single" w:sz="4" w:space="0" w:color="auto"/>
              <w:right w:val="single" w:sz="4" w:space="0" w:color="auto"/>
            </w:tcBorders>
          </w:tcPr>
          <w:p w:rsidR="00F7797F" w:rsidRPr="001E1AAB" w:rsidRDefault="00F7797F" w:rsidP="001E1AAB">
            <w:pPr>
              <w:spacing w:before="60" w:after="60"/>
              <w:rPr>
                <w:rFonts w:ascii="Arial Narrow" w:hAnsi="Arial Narrow"/>
                <w:b/>
                <w:sz w:val="20"/>
              </w:rPr>
            </w:pPr>
            <w:r>
              <w:rPr>
                <w:rFonts w:ascii="Arial Narrow" w:hAnsi="Arial Narrow"/>
                <w:b/>
                <w:sz w:val="20"/>
              </w:rPr>
              <w:t>Prescriber Instructions</w:t>
            </w:r>
          </w:p>
        </w:tc>
        <w:tc>
          <w:tcPr>
            <w:tcW w:w="6237" w:type="dxa"/>
            <w:gridSpan w:val="5"/>
            <w:tcBorders>
              <w:top w:val="single" w:sz="4" w:space="0" w:color="auto"/>
              <w:left w:val="single" w:sz="4" w:space="0" w:color="auto"/>
              <w:bottom w:val="single" w:sz="4" w:space="0" w:color="auto"/>
              <w:right w:val="single" w:sz="4" w:space="0" w:color="auto"/>
            </w:tcBorders>
          </w:tcPr>
          <w:p w:rsidR="00F7797F" w:rsidRDefault="006355F6" w:rsidP="001E1AAB">
            <w:pPr>
              <w:spacing w:before="60" w:after="60"/>
              <w:rPr>
                <w:rFonts w:ascii="Arial Narrow" w:hAnsi="Arial Narrow"/>
                <w:sz w:val="20"/>
              </w:rPr>
            </w:pPr>
            <w:r>
              <w:rPr>
                <w:rFonts w:ascii="Arial Narrow" w:hAnsi="Arial Narrow"/>
                <w:sz w:val="20"/>
              </w:rPr>
              <w:t>Patient must have the following conditions:</w:t>
            </w:r>
          </w:p>
          <w:p w:rsidR="006355F6" w:rsidRPr="00B010BF" w:rsidRDefault="006355F6" w:rsidP="006E146D">
            <w:pPr>
              <w:spacing w:before="60" w:after="60"/>
              <w:rPr>
                <w:rFonts w:ascii="Arial Narrow" w:hAnsi="Arial Narrow"/>
                <w:sz w:val="20"/>
              </w:rPr>
            </w:pPr>
            <w:proofErr w:type="spellStart"/>
            <w:r>
              <w:rPr>
                <w:rFonts w:ascii="Arial Narrow" w:hAnsi="Arial Narrow"/>
                <w:sz w:val="20"/>
              </w:rPr>
              <w:t>Liposarcoma</w:t>
            </w:r>
            <w:proofErr w:type="spellEnd"/>
            <w:r w:rsidR="006E146D">
              <w:rPr>
                <w:rFonts w:ascii="Arial Narrow" w:hAnsi="Arial Narrow"/>
                <w:sz w:val="20"/>
              </w:rPr>
              <w:t xml:space="preserve"> (dediff</w:t>
            </w:r>
            <w:r w:rsidR="006E146D" w:rsidRPr="006E146D">
              <w:rPr>
                <w:rFonts w:ascii="Arial Narrow" w:hAnsi="Arial Narrow"/>
                <w:sz w:val="20"/>
              </w:rPr>
              <w:t>erentiated,</w:t>
            </w:r>
            <w:r w:rsidR="006E146D">
              <w:rPr>
                <w:rFonts w:ascii="Arial Narrow" w:hAnsi="Arial Narrow"/>
                <w:sz w:val="20"/>
              </w:rPr>
              <w:t xml:space="preserve"> </w:t>
            </w:r>
            <w:proofErr w:type="spellStart"/>
            <w:r w:rsidR="006E146D">
              <w:rPr>
                <w:rFonts w:ascii="Arial Narrow" w:hAnsi="Arial Narrow"/>
                <w:sz w:val="20"/>
              </w:rPr>
              <w:t>myxoid</w:t>
            </w:r>
            <w:proofErr w:type="spellEnd"/>
            <w:r w:rsidR="006E146D">
              <w:rPr>
                <w:rFonts w:ascii="Arial Narrow" w:hAnsi="Arial Narrow"/>
                <w:sz w:val="20"/>
              </w:rPr>
              <w:t>,</w:t>
            </w:r>
            <w:r w:rsidR="006E146D" w:rsidRPr="006E146D">
              <w:rPr>
                <w:rFonts w:ascii="Arial Narrow" w:hAnsi="Arial Narrow"/>
                <w:sz w:val="20"/>
              </w:rPr>
              <w:t xml:space="preserve"> round-cell, or pleomorphic subtype</w:t>
            </w:r>
            <w:r w:rsidR="006E146D">
              <w:rPr>
                <w:rFonts w:ascii="Arial Narrow" w:hAnsi="Arial Narrow"/>
                <w:sz w:val="20"/>
              </w:rPr>
              <w:t>s).</w:t>
            </w:r>
          </w:p>
        </w:tc>
      </w:tr>
      <w:tr w:rsidR="008F5D59" w:rsidRPr="00B010BF" w:rsidTr="008726F4">
        <w:trPr>
          <w:cantSplit/>
          <w:trHeight w:val="360"/>
        </w:trPr>
        <w:tc>
          <w:tcPr>
            <w:tcW w:w="2268" w:type="dxa"/>
            <w:tcBorders>
              <w:top w:val="single" w:sz="4" w:space="0" w:color="auto"/>
              <w:left w:val="single" w:sz="4" w:space="0" w:color="auto"/>
              <w:bottom w:val="single" w:sz="4" w:space="0" w:color="auto"/>
              <w:right w:val="single" w:sz="4" w:space="0" w:color="auto"/>
            </w:tcBorders>
          </w:tcPr>
          <w:p w:rsidR="008F5D59" w:rsidRPr="001E1AAB" w:rsidRDefault="008F5D59" w:rsidP="001E1AAB">
            <w:pPr>
              <w:spacing w:before="60" w:after="60"/>
              <w:rPr>
                <w:rFonts w:ascii="Arial Narrow" w:hAnsi="Arial Narrow"/>
                <w:b/>
                <w:sz w:val="20"/>
              </w:rPr>
            </w:pPr>
            <w:r w:rsidRPr="00B010BF">
              <w:rPr>
                <w:rFonts w:ascii="Arial Narrow" w:hAnsi="Arial Narrow"/>
                <w:b/>
                <w:sz w:val="20"/>
              </w:rPr>
              <w:t>Population criteria:</w:t>
            </w:r>
          </w:p>
        </w:tc>
        <w:tc>
          <w:tcPr>
            <w:tcW w:w="6237" w:type="dxa"/>
            <w:gridSpan w:val="5"/>
            <w:tcBorders>
              <w:top w:val="single" w:sz="4" w:space="0" w:color="auto"/>
              <w:left w:val="single" w:sz="4" w:space="0" w:color="auto"/>
              <w:bottom w:val="single" w:sz="4" w:space="0" w:color="auto"/>
              <w:right w:val="single" w:sz="4" w:space="0" w:color="auto"/>
            </w:tcBorders>
          </w:tcPr>
          <w:p w:rsidR="008F5D59" w:rsidRPr="001E1AAB" w:rsidRDefault="008F5D59" w:rsidP="001E1AAB">
            <w:pPr>
              <w:spacing w:before="60" w:after="60"/>
              <w:rPr>
                <w:rFonts w:ascii="Arial Narrow" w:hAnsi="Arial Narrow"/>
                <w:sz w:val="20"/>
              </w:rPr>
            </w:pPr>
            <w:r w:rsidRPr="00B010BF">
              <w:rPr>
                <w:rFonts w:ascii="Arial Narrow" w:hAnsi="Arial Narrow"/>
                <w:sz w:val="20"/>
              </w:rPr>
              <w:t>Patient must be aged 18 years or older.</w:t>
            </w:r>
          </w:p>
        </w:tc>
      </w:tr>
      <w:tr w:rsidR="008F5D59" w:rsidRPr="00B010BF" w:rsidTr="008726F4">
        <w:trPr>
          <w:cantSplit/>
          <w:trHeight w:val="360"/>
        </w:trPr>
        <w:tc>
          <w:tcPr>
            <w:tcW w:w="2268" w:type="dxa"/>
            <w:tcBorders>
              <w:top w:val="single" w:sz="4" w:space="0" w:color="auto"/>
              <w:left w:val="single" w:sz="4" w:space="0" w:color="auto"/>
              <w:bottom w:val="single" w:sz="4" w:space="0" w:color="auto"/>
              <w:right w:val="single" w:sz="4" w:space="0" w:color="auto"/>
            </w:tcBorders>
          </w:tcPr>
          <w:p w:rsidR="008F5D59" w:rsidRPr="001E1AAB" w:rsidRDefault="008F5D59" w:rsidP="001E1AAB">
            <w:pPr>
              <w:spacing w:before="60" w:after="60"/>
              <w:rPr>
                <w:rFonts w:ascii="Arial Narrow" w:hAnsi="Arial Narrow"/>
                <w:b/>
                <w:sz w:val="20"/>
              </w:rPr>
            </w:pPr>
            <w:r w:rsidRPr="00B010BF">
              <w:rPr>
                <w:rFonts w:ascii="Arial Narrow" w:hAnsi="Arial Narrow"/>
                <w:b/>
                <w:sz w:val="20"/>
              </w:rPr>
              <w:t>Administrative Advice</w:t>
            </w:r>
          </w:p>
        </w:tc>
        <w:tc>
          <w:tcPr>
            <w:tcW w:w="6237" w:type="dxa"/>
            <w:gridSpan w:val="5"/>
            <w:tcBorders>
              <w:top w:val="single" w:sz="4" w:space="0" w:color="auto"/>
              <w:left w:val="single" w:sz="4" w:space="0" w:color="auto"/>
              <w:bottom w:val="single" w:sz="4" w:space="0" w:color="auto"/>
              <w:right w:val="single" w:sz="4" w:space="0" w:color="auto"/>
            </w:tcBorders>
          </w:tcPr>
          <w:p w:rsidR="008F5D59" w:rsidRPr="001E1AAB" w:rsidRDefault="008F5D59" w:rsidP="001E1AAB">
            <w:pPr>
              <w:spacing w:before="60" w:after="60"/>
              <w:rPr>
                <w:rFonts w:ascii="Arial Narrow" w:hAnsi="Arial Narrow"/>
                <w:i/>
                <w:sz w:val="20"/>
              </w:rPr>
            </w:pPr>
            <w:r w:rsidRPr="00B010BF">
              <w:rPr>
                <w:rFonts w:ascii="Arial Narrow" w:hAnsi="Arial Narrow"/>
                <w:i/>
                <w:sz w:val="20"/>
              </w:rPr>
              <w:t>No increase in the maximum number of repeats may be authorised.</w:t>
            </w:r>
          </w:p>
          <w:p w:rsidR="008F5D59" w:rsidRPr="001E1AAB" w:rsidRDefault="008F5D59" w:rsidP="00675339">
            <w:pPr>
              <w:rPr>
                <w:rFonts w:ascii="Arial Narrow" w:hAnsi="Arial Narrow"/>
                <w:i/>
                <w:sz w:val="20"/>
              </w:rPr>
            </w:pPr>
          </w:p>
          <w:p w:rsidR="008F5D59" w:rsidRPr="001E1AAB" w:rsidRDefault="008F5D59" w:rsidP="00675339">
            <w:pPr>
              <w:rPr>
                <w:rFonts w:ascii="Arial Narrow" w:hAnsi="Arial Narrow"/>
                <w:i/>
                <w:sz w:val="20"/>
              </w:rPr>
            </w:pPr>
            <w:r w:rsidRPr="00B010BF">
              <w:rPr>
                <w:rFonts w:ascii="Arial Narrow" w:hAnsi="Arial Narrow"/>
                <w:i/>
                <w:sz w:val="20"/>
              </w:rPr>
              <w:t>Special Pricing Arrangements apply.</w:t>
            </w:r>
          </w:p>
        </w:tc>
      </w:tr>
    </w:tbl>
    <w:p w:rsidR="00A728F8" w:rsidRPr="00B010BF" w:rsidRDefault="00A728F8" w:rsidP="00A728F8"/>
    <w:p w:rsidR="00A728F8" w:rsidRDefault="00A728F8" w:rsidP="00C36CD9">
      <w:pPr>
        <w:rPr>
          <w:sz w:val="24"/>
        </w:rPr>
      </w:pPr>
    </w:p>
    <w:p w:rsidR="004B55F6" w:rsidRPr="00570D4E" w:rsidRDefault="004B55F6" w:rsidP="004B55F6">
      <w:pPr>
        <w:pStyle w:val="PBACHeading1"/>
        <w:keepNext/>
        <w:outlineLvl w:val="0"/>
      </w:pPr>
      <w:r w:rsidRPr="00485DD3">
        <w:t>Context for Decision</w:t>
      </w:r>
    </w:p>
    <w:p w:rsidR="004B55F6" w:rsidRDefault="004B55F6" w:rsidP="004B55F6">
      <w:pPr>
        <w:ind w:left="426"/>
      </w:pPr>
    </w:p>
    <w:p w:rsidR="004B55F6" w:rsidRDefault="004B55F6" w:rsidP="004B55F6">
      <w:pPr>
        <w:ind w:left="709"/>
      </w:pPr>
      <w:r w:rsidRPr="004304F6">
        <w:t xml:space="preserve">The PBAC helps decide whether and, if so, how medicines should be subsidised in Australia. It considers submissions in this context. A PBAC decision not to recommend listing or not to recommend changing a listing does not represent a final </w:t>
      </w:r>
      <w:r w:rsidRPr="004304F6">
        <w:lastRenderedPageBreak/>
        <w:t>PBAC view about the merits of the medicine. A company can resubmit to the PBAC or seek independent review of the PBAC decision.</w:t>
      </w:r>
    </w:p>
    <w:p w:rsidR="004B55F6" w:rsidRDefault="004B55F6" w:rsidP="004B55F6">
      <w:pPr>
        <w:ind w:left="709"/>
      </w:pPr>
    </w:p>
    <w:p w:rsidR="004B55F6" w:rsidRPr="00570D4E" w:rsidRDefault="004B55F6" w:rsidP="004B55F6">
      <w:pPr>
        <w:pStyle w:val="PBACHeading1"/>
        <w:keepNext/>
        <w:outlineLvl w:val="0"/>
      </w:pPr>
      <w:r w:rsidRPr="00485DD3">
        <w:t>Sponsor’s Comment</w:t>
      </w:r>
    </w:p>
    <w:p w:rsidR="004B55F6" w:rsidRDefault="004B55F6" w:rsidP="004B55F6">
      <w:pPr>
        <w:ind w:left="426"/>
        <w:rPr>
          <w:bCs/>
          <w:highlight w:val="yellow"/>
          <w:lang w:val="en-GB"/>
        </w:rPr>
      </w:pPr>
    </w:p>
    <w:p w:rsidR="004B55F6" w:rsidRPr="004B55F6" w:rsidRDefault="004B55F6" w:rsidP="004B55F6">
      <w:pPr>
        <w:spacing w:after="120"/>
        <w:ind w:left="709"/>
        <w:rPr>
          <w:bCs/>
        </w:rPr>
      </w:pPr>
      <w:r w:rsidRPr="003035CC">
        <w:rPr>
          <w:bCs/>
        </w:rPr>
        <w:t>The sponsor had no comment.</w:t>
      </w:r>
    </w:p>
    <w:sectPr w:rsidR="004B55F6" w:rsidRPr="004B55F6" w:rsidSect="00B843F6">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8CD" w:rsidRDefault="002E58CD" w:rsidP="00124A51">
      <w:r>
        <w:separator/>
      </w:r>
    </w:p>
  </w:endnote>
  <w:endnote w:type="continuationSeparator" w:id="0">
    <w:p w:rsidR="002E58CD" w:rsidRDefault="002E58CD"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8CD" w:rsidRDefault="002E58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822427"/>
      <w:docPartObj>
        <w:docPartGallery w:val="Page Numbers (Bottom of Page)"/>
        <w:docPartUnique/>
      </w:docPartObj>
    </w:sdtPr>
    <w:sdtEndPr>
      <w:rPr>
        <w:noProof/>
      </w:rPr>
    </w:sdtEndPr>
    <w:sdtContent>
      <w:p w:rsidR="00A40D49" w:rsidRDefault="00A40D49" w:rsidP="00A40D49">
        <w:pPr>
          <w:pStyle w:val="Footer"/>
          <w:jc w:val="center"/>
        </w:pPr>
      </w:p>
      <w:p w:rsidR="00A40D49" w:rsidRDefault="00A40D49" w:rsidP="00A40D49">
        <w:pPr>
          <w:pStyle w:val="Footer"/>
          <w:jc w:val="center"/>
        </w:pPr>
        <w:r>
          <w:fldChar w:fldCharType="begin"/>
        </w:r>
        <w:r>
          <w:instrText xml:space="preserve"> PAGE   \* MERGEFORMAT </w:instrText>
        </w:r>
        <w:r>
          <w:fldChar w:fldCharType="separate"/>
        </w:r>
        <w:r w:rsidR="004E2076">
          <w:rPr>
            <w:noProof/>
          </w:rPr>
          <w:t>20</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8CD" w:rsidRDefault="002E58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8CD" w:rsidRDefault="002E58CD" w:rsidP="00124A51">
      <w:r>
        <w:separator/>
      </w:r>
    </w:p>
  </w:footnote>
  <w:footnote w:type="continuationSeparator" w:id="0">
    <w:p w:rsidR="002E58CD" w:rsidRDefault="002E58CD"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8CD" w:rsidRDefault="002E58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D49" w:rsidRPr="00DF217D" w:rsidRDefault="00A40D49" w:rsidP="0097289E">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November 2016 </w:t>
    </w:r>
    <w:r w:rsidRPr="00DF217D">
      <w:rPr>
        <w:i/>
        <w:color w:val="808080"/>
      </w:rPr>
      <w:t>PBAC</w:t>
    </w:r>
    <w:r>
      <w:rPr>
        <w:i/>
        <w:color w:val="808080"/>
      </w:rPr>
      <w:t xml:space="preserve"> </w:t>
    </w:r>
    <w:r w:rsidRPr="00DF217D">
      <w:rPr>
        <w:i/>
        <w:color w:val="808080"/>
      </w:rPr>
      <w:t>Meeting</w:t>
    </w:r>
  </w:p>
  <w:p w:rsidR="00A40D49" w:rsidRDefault="00A40D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8CD" w:rsidRDefault="002E58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A445323"/>
    <w:multiLevelType w:val="hybridMultilevel"/>
    <w:tmpl w:val="4A8A12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ADA49D7"/>
    <w:multiLevelType w:val="hybridMultilevel"/>
    <w:tmpl w:val="F6ACE2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DDB7937"/>
    <w:multiLevelType w:val="hybridMultilevel"/>
    <w:tmpl w:val="147E8B30"/>
    <w:lvl w:ilvl="0" w:tplc="8CD41C6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18A2579"/>
    <w:multiLevelType w:val="hybridMultilevel"/>
    <w:tmpl w:val="961AE7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497C52BC"/>
    <w:multiLevelType w:val="hybridMultilevel"/>
    <w:tmpl w:val="8F88E3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4A7A6FA8"/>
    <w:multiLevelType w:val="hybridMultilevel"/>
    <w:tmpl w:val="83503B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4C730B74"/>
    <w:multiLevelType w:val="hybridMultilevel"/>
    <w:tmpl w:val="25127ADC"/>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11">
    <w:nsid w:val="52F672FC"/>
    <w:multiLevelType w:val="hybridMultilevel"/>
    <w:tmpl w:val="E62CD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1664E38"/>
    <w:multiLevelType w:val="hybridMultilevel"/>
    <w:tmpl w:val="E548B994"/>
    <w:lvl w:ilvl="0" w:tplc="3404D898">
      <w:start w:val="2000"/>
      <w:numFmt w:val="bullet"/>
      <w:pStyle w:val="bulletpointstyle"/>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752437F7"/>
    <w:multiLevelType w:val="hybridMultilevel"/>
    <w:tmpl w:val="66207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84D033C"/>
    <w:multiLevelType w:val="multilevel"/>
    <w:tmpl w:val="126633F6"/>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5"/>
  </w:num>
  <w:num w:numId="3">
    <w:abstractNumId w:val="13"/>
  </w:num>
  <w:num w:numId="4">
    <w:abstractNumId w:val="3"/>
  </w:num>
  <w:num w:numId="5">
    <w:abstractNumId w:val="7"/>
  </w:num>
  <w:num w:numId="6">
    <w:abstractNumId w:val="9"/>
  </w:num>
  <w:num w:numId="7">
    <w:abstractNumId w:val="14"/>
  </w:num>
  <w:num w:numId="8">
    <w:abstractNumId w:val="4"/>
  </w:num>
  <w:num w:numId="9">
    <w:abstractNumId w:val="10"/>
  </w:num>
  <w:num w:numId="10">
    <w:abstractNumId w:val="12"/>
  </w:num>
  <w:num w:numId="11">
    <w:abstractNumId w:val="2"/>
  </w:num>
  <w:num w:numId="12">
    <w:abstractNumId w:val="0"/>
  </w:num>
  <w:num w:numId="13">
    <w:abstractNumId w:val="5"/>
  </w:num>
  <w:num w:numId="14">
    <w:abstractNumId w:val="11"/>
  </w:num>
  <w:num w:numId="15">
    <w:abstractNumId w:val="8"/>
  </w:num>
  <w:num w:numId="1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788"/>
    <w:rsid w:val="00000790"/>
    <w:rsid w:val="0000110B"/>
    <w:rsid w:val="00002338"/>
    <w:rsid w:val="0000247D"/>
    <w:rsid w:val="00002730"/>
    <w:rsid w:val="00003499"/>
    <w:rsid w:val="00006049"/>
    <w:rsid w:val="00011940"/>
    <w:rsid w:val="00013247"/>
    <w:rsid w:val="00015886"/>
    <w:rsid w:val="000162EF"/>
    <w:rsid w:val="0002225F"/>
    <w:rsid w:val="00022A49"/>
    <w:rsid w:val="00023512"/>
    <w:rsid w:val="00023763"/>
    <w:rsid w:val="00024749"/>
    <w:rsid w:val="00031855"/>
    <w:rsid w:val="00033325"/>
    <w:rsid w:val="0003424F"/>
    <w:rsid w:val="00034531"/>
    <w:rsid w:val="00035C20"/>
    <w:rsid w:val="00040895"/>
    <w:rsid w:val="00043C37"/>
    <w:rsid w:val="00047312"/>
    <w:rsid w:val="00050304"/>
    <w:rsid w:val="000532B0"/>
    <w:rsid w:val="000546D7"/>
    <w:rsid w:val="00055A3B"/>
    <w:rsid w:val="00060D81"/>
    <w:rsid w:val="00061432"/>
    <w:rsid w:val="00062AF5"/>
    <w:rsid w:val="0006486A"/>
    <w:rsid w:val="0006620F"/>
    <w:rsid w:val="000678AF"/>
    <w:rsid w:val="000706D1"/>
    <w:rsid w:val="00070A2F"/>
    <w:rsid w:val="00071248"/>
    <w:rsid w:val="000720B9"/>
    <w:rsid w:val="000812CA"/>
    <w:rsid w:val="00090600"/>
    <w:rsid w:val="00090C7E"/>
    <w:rsid w:val="0009262E"/>
    <w:rsid w:val="000943CB"/>
    <w:rsid w:val="000977E1"/>
    <w:rsid w:val="000A0186"/>
    <w:rsid w:val="000A0966"/>
    <w:rsid w:val="000A16A4"/>
    <w:rsid w:val="000A2BA6"/>
    <w:rsid w:val="000A4A6F"/>
    <w:rsid w:val="000B1DA5"/>
    <w:rsid w:val="000B3DB5"/>
    <w:rsid w:val="000C1A3C"/>
    <w:rsid w:val="000C3A2A"/>
    <w:rsid w:val="000C47DD"/>
    <w:rsid w:val="000C68BB"/>
    <w:rsid w:val="000C6C9F"/>
    <w:rsid w:val="000D1BFC"/>
    <w:rsid w:val="000D2069"/>
    <w:rsid w:val="000D21DD"/>
    <w:rsid w:val="000D2830"/>
    <w:rsid w:val="000D634C"/>
    <w:rsid w:val="000D6C76"/>
    <w:rsid w:val="000D7464"/>
    <w:rsid w:val="000E00C9"/>
    <w:rsid w:val="000E010D"/>
    <w:rsid w:val="000E3957"/>
    <w:rsid w:val="000E7063"/>
    <w:rsid w:val="000F123F"/>
    <w:rsid w:val="000F21C2"/>
    <w:rsid w:val="000F48A5"/>
    <w:rsid w:val="000F4BB8"/>
    <w:rsid w:val="000F7127"/>
    <w:rsid w:val="000F7818"/>
    <w:rsid w:val="00100F8A"/>
    <w:rsid w:val="001015E5"/>
    <w:rsid w:val="00102399"/>
    <w:rsid w:val="001028CA"/>
    <w:rsid w:val="001064F1"/>
    <w:rsid w:val="0011032E"/>
    <w:rsid w:val="001117AD"/>
    <w:rsid w:val="00112DC1"/>
    <w:rsid w:val="0011348B"/>
    <w:rsid w:val="00113CFD"/>
    <w:rsid w:val="0011495F"/>
    <w:rsid w:val="001153B6"/>
    <w:rsid w:val="00115569"/>
    <w:rsid w:val="00121799"/>
    <w:rsid w:val="001222FC"/>
    <w:rsid w:val="00124895"/>
    <w:rsid w:val="00124A51"/>
    <w:rsid w:val="00126621"/>
    <w:rsid w:val="00126F46"/>
    <w:rsid w:val="00127939"/>
    <w:rsid w:val="001301E9"/>
    <w:rsid w:val="00130BB0"/>
    <w:rsid w:val="00134A74"/>
    <w:rsid w:val="00137645"/>
    <w:rsid w:val="0014015A"/>
    <w:rsid w:val="00140E99"/>
    <w:rsid w:val="001452BA"/>
    <w:rsid w:val="00145540"/>
    <w:rsid w:val="001456B0"/>
    <w:rsid w:val="00152B1C"/>
    <w:rsid w:val="00157130"/>
    <w:rsid w:val="00160FB1"/>
    <w:rsid w:val="001618A9"/>
    <w:rsid w:val="00162913"/>
    <w:rsid w:val="00163EFF"/>
    <w:rsid w:val="001655BF"/>
    <w:rsid w:val="001661FB"/>
    <w:rsid w:val="00166DE4"/>
    <w:rsid w:val="00176EEF"/>
    <w:rsid w:val="00176F60"/>
    <w:rsid w:val="00177D68"/>
    <w:rsid w:val="0018345C"/>
    <w:rsid w:val="00184C71"/>
    <w:rsid w:val="0018752F"/>
    <w:rsid w:val="00194F13"/>
    <w:rsid w:val="00195222"/>
    <w:rsid w:val="0019712E"/>
    <w:rsid w:val="001975D8"/>
    <w:rsid w:val="001A1021"/>
    <w:rsid w:val="001A2020"/>
    <w:rsid w:val="001A23AA"/>
    <w:rsid w:val="001A2837"/>
    <w:rsid w:val="001A2E0E"/>
    <w:rsid w:val="001B0727"/>
    <w:rsid w:val="001B25CD"/>
    <w:rsid w:val="001B3443"/>
    <w:rsid w:val="001B4D1F"/>
    <w:rsid w:val="001C1F29"/>
    <w:rsid w:val="001C6E66"/>
    <w:rsid w:val="001D45F8"/>
    <w:rsid w:val="001D569B"/>
    <w:rsid w:val="001D61A4"/>
    <w:rsid w:val="001D7DEB"/>
    <w:rsid w:val="001E0DE2"/>
    <w:rsid w:val="001E1AAB"/>
    <w:rsid w:val="001E20DC"/>
    <w:rsid w:val="001E238E"/>
    <w:rsid w:val="001E2B1E"/>
    <w:rsid w:val="001E45FF"/>
    <w:rsid w:val="001E517F"/>
    <w:rsid w:val="001E52EB"/>
    <w:rsid w:val="001E6223"/>
    <w:rsid w:val="001E740C"/>
    <w:rsid w:val="001F1235"/>
    <w:rsid w:val="001F1CB3"/>
    <w:rsid w:val="001F44DF"/>
    <w:rsid w:val="001F7361"/>
    <w:rsid w:val="001F7D6C"/>
    <w:rsid w:val="0020027B"/>
    <w:rsid w:val="00200EAD"/>
    <w:rsid w:val="0020385F"/>
    <w:rsid w:val="00207021"/>
    <w:rsid w:val="00207D00"/>
    <w:rsid w:val="002105C1"/>
    <w:rsid w:val="002138F6"/>
    <w:rsid w:val="0021469E"/>
    <w:rsid w:val="0021749F"/>
    <w:rsid w:val="0022099E"/>
    <w:rsid w:val="002209D7"/>
    <w:rsid w:val="00221CDB"/>
    <w:rsid w:val="00223B49"/>
    <w:rsid w:val="00224B61"/>
    <w:rsid w:val="00224DD4"/>
    <w:rsid w:val="00224E2C"/>
    <w:rsid w:val="002309CC"/>
    <w:rsid w:val="00231E14"/>
    <w:rsid w:val="00232B54"/>
    <w:rsid w:val="00233427"/>
    <w:rsid w:val="0023426E"/>
    <w:rsid w:val="0023430D"/>
    <w:rsid w:val="002437AB"/>
    <w:rsid w:val="00244CB4"/>
    <w:rsid w:val="0024601D"/>
    <w:rsid w:val="00247A76"/>
    <w:rsid w:val="002502C6"/>
    <w:rsid w:val="00251179"/>
    <w:rsid w:val="00254DCF"/>
    <w:rsid w:val="0025534B"/>
    <w:rsid w:val="00255A12"/>
    <w:rsid w:val="00255BB7"/>
    <w:rsid w:val="002560D1"/>
    <w:rsid w:val="00262A87"/>
    <w:rsid w:val="0026385F"/>
    <w:rsid w:val="0026412F"/>
    <w:rsid w:val="00264A7D"/>
    <w:rsid w:val="00267F40"/>
    <w:rsid w:val="00272A6A"/>
    <w:rsid w:val="00273DFF"/>
    <w:rsid w:val="00275C5A"/>
    <w:rsid w:val="00276137"/>
    <w:rsid w:val="00276FD2"/>
    <w:rsid w:val="00281014"/>
    <w:rsid w:val="00281CAC"/>
    <w:rsid w:val="00282DA2"/>
    <w:rsid w:val="002919F8"/>
    <w:rsid w:val="00292ED0"/>
    <w:rsid w:val="002933B6"/>
    <w:rsid w:val="00294B38"/>
    <w:rsid w:val="002956F7"/>
    <w:rsid w:val="002A14AB"/>
    <w:rsid w:val="002A256C"/>
    <w:rsid w:val="002A36A0"/>
    <w:rsid w:val="002A4D59"/>
    <w:rsid w:val="002A6377"/>
    <w:rsid w:val="002A6C8C"/>
    <w:rsid w:val="002B1C1F"/>
    <w:rsid w:val="002B2DD2"/>
    <w:rsid w:val="002B432F"/>
    <w:rsid w:val="002B4B26"/>
    <w:rsid w:val="002B5355"/>
    <w:rsid w:val="002B65A9"/>
    <w:rsid w:val="002B6CCE"/>
    <w:rsid w:val="002C2775"/>
    <w:rsid w:val="002C27C1"/>
    <w:rsid w:val="002C30B9"/>
    <w:rsid w:val="002D1C03"/>
    <w:rsid w:val="002D3E86"/>
    <w:rsid w:val="002D45B8"/>
    <w:rsid w:val="002D5101"/>
    <w:rsid w:val="002D59A4"/>
    <w:rsid w:val="002D6BBD"/>
    <w:rsid w:val="002E0649"/>
    <w:rsid w:val="002E58CD"/>
    <w:rsid w:val="002E60B4"/>
    <w:rsid w:val="002F6287"/>
    <w:rsid w:val="00300177"/>
    <w:rsid w:val="00301017"/>
    <w:rsid w:val="00301125"/>
    <w:rsid w:val="00301DC8"/>
    <w:rsid w:val="003024D0"/>
    <w:rsid w:val="003046E6"/>
    <w:rsid w:val="00306D23"/>
    <w:rsid w:val="0030786C"/>
    <w:rsid w:val="0031031A"/>
    <w:rsid w:val="00310981"/>
    <w:rsid w:val="00315173"/>
    <w:rsid w:val="00315498"/>
    <w:rsid w:val="003176B2"/>
    <w:rsid w:val="00321E2C"/>
    <w:rsid w:val="003223D2"/>
    <w:rsid w:val="00322804"/>
    <w:rsid w:val="00326F70"/>
    <w:rsid w:val="003366C9"/>
    <w:rsid w:val="003371B0"/>
    <w:rsid w:val="00345597"/>
    <w:rsid w:val="00346A29"/>
    <w:rsid w:val="00347FDB"/>
    <w:rsid w:val="0035493A"/>
    <w:rsid w:val="00355E99"/>
    <w:rsid w:val="0035620E"/>
    <w:rsid w:val="00362B02"/>
    <w:rsid w:val="003642E1"/>
    <w:rsid w:val="00364D1A"/>
    <w:rsid w:val="0037468B"/>
    <w:rsid w:val="00375D15"/>
    <w:rsid w:val="0038365C"/>
    <w:rsid w:val="003845F4"/>
    <w:rsid w:val="003940C2"/>
    <w:rsid w:val="00396FD0"/>
    <w:rsid w:val="003A077B"/>
    <w:rsid w:val="003A1A7A"/>
    <w:rsid w:val="003A1FCD"/>
    <w:rsid w:val="003A2D35"/>
    <w:rsid w:val="003A319F"/>
    <w:rsid w:val="003A468F"/>
    <w:rsid w:val="003B08F7"/>
    <w:rsid w:val="003B5CFF"/>
    <w:rsid w:val="003B5DB0"/>
    <w:rsid w:val="003C12A4"/>
    <w:rsid w:val="003C3E66"/>
    <w:rsid w:val="003C6F8A"/>
    <w:rsid w:val="003C729F"/>
    <w:rsid w:val="003D17D7"/>
    <w:rsid w:val="003D1828"/>
    <w:rsid w:val="003D2422"/>
    <w:rsid w:val="003E209B"/>
    <w:rsid w:val="003E4424"/>
    <w:rsid w:val="003E47D2"/>
    <w:rsid w:val="003F36B1"/>
    <w:rsid w:val="003F4156"/>
    <w:rsid w:val="003F6B0E"/>
    <w:rsid w:val="00404B97"/>
    <w:rsid w:val="00405464"/>
    <w:rsid w:val="004062A5"/>
    <w:rsid w:val="00410708"/>
    <w:rsid w:val="00410EC7"/>
    <w:rsid w:val="00410FA3"/>
    <w:rsid w:val="00413CE0"/>
    <w:rsid w:val="004140E4"/>
    <w:rsid w:val="00414476"/>
    <w:rsid w:val="00417181"/>
    <w:rsid w:val="00417816"/>
    <w:rsid w:val="004200B3"/>
    <w:rsid w:val="0042048C"/>
    <w:rsid w:val="00420B9F"/>
    <w:rsid w:val="00420FE3"/>
    <w:rsid w:val="00426588"/>
    <w:rsid w:val="00431672"/>
    <w:rsid w:val="004319F8"/>
    <w:rsid w:val="00433044"/>
    <w:rsid w:val="00437345"/>
    <w:rsid w:val="00443855"/>
    <w:rsid w:val="004443A7"/>
    <w:rsid w:val="00444878"/>
    <w:rsid w:val="004464EB"/>
    <w:rsid w:val="00455D45"/>
    <w:rsid w:val="004570DF"/>
    <w:rsid w:val="004612AF"/>
    <w:rsid w:val="00461B59"/>
    <w:rsid w:val="004623D7"/>
    <w:rsid w:val="00462CB5"/>
    <w:rsid w:val="00463B9E"/>
    <w:rsid w:val="00464595"/>
    <w:rsid w:val="00466F66"/>
    <w:rsid w:val="00470CBE"/>
    <w:rsid w:val="004714D7"/>
    <w:rsid w:val="00474203"/>
    <w:rsid w:val="00474960"/>
    <w:rsid w:val="00477406"/>
    <w:rsid w:val="00481110"/>
    <w:rsid w:val="00481A7C"/>
    <w:rsid w:val="00482237"/>
    <w:rsid w:val="00483CE7"/>
    <w:rsid w:val="00484282"/>
    <w:rsid w:val="0048428F"/>
    <w:rsid w:val="00484C8B"/>
    <w:rsid w:val="004867E2"/>
    <w:rsid w:val="004879B0"/>
    <w:rsid w:val="00490663"/>
    <w:rsid w:val="00491B3A"/>
    <w:rsid w:val="004926B6"/>
    <w:rsid w:val="00492CFD"/>
    <w:rsid w:val="00494647"/>
    <w:rsid w:val="004962D2"/>
    <w:rsid w:val="00496788"/>
    <w:rsid w:val="004A0DA1"/>
    <w:rsid w:val="004A20E5"/>
    <w:rsid w:val="004A2C9B"/>
    <w:rsid w:val="004A4FF1"/>
    <w:rsid w:val="004A54C9"/>
    <w:rsid w:val="004A6597"/>
    <w:rsid w:val="004B1CB4"/>
    <w:rsid w:val="004B2F18"/>
    <w:rsid w:val="004B3DDB"/>
    <w:rsid w:val="004B44FD"/>
    <w:rsid w:val="004B4C4F"/>
    <w:rsid w:val="004B55F6"/>
    <w:rsid w:val="004B5CFC"/>
    <w:rsid w:val="004C1331"/>
    <w:rsid w:val="004C4AED"/>
    <w:rsid w:val="004C7E16"/>
    <w:rsid w:val="004D0EAD"/>
    <w:rsid w:val="004D1662"/>
    <w:rsid w:val="004E0580"/>
    <w:rsid w:val="004E0EB8"/>
    <w:rsid w:val="004E2076"/>
    <w:rsid w:val="004E2ADC"/>
    <w:rsid w:val="004E43B2"/>
    <w:rsid w:val="004E71BE"/>
    <w:rsid w:val="004F1D02"/>
    <w:rsid w:val="004F2679"/>
    <w:rsid w:val="004F2EFB"/>
    <w:rsid w:val="004F497F"/>
    <w:rsid w:val="004F52B9"/>
    <w:rsid w:val="004F66B3"/>
    <w:rsid w:val="004F75CC"/>
    <w:rsid w:val="004F7865"/>
    <w:rsid w:val="00503244"/>
    <w:rsid w:val="00506115"/>
    <w:rsid w:val="00506928"/>
    <w:rsid w:val="00510F80"/>
    <w:rsid w:val="005152B5"/>
    <w:rsid w:val="005155CD"/>
    <w:rsid w:val="00520B54"/>
    <w:rsid w:val="00521319"/>
    <w:rsid w:val="00521AAB"/>
    <w:rsid w:val="00521D14"/>
    <w:rsid w:val="00523C28"/>
    <w:rsid w:val="00523C45"/>
    <w:rsid w:val="005252A7"/>
    <w:rsid w:val="005258B5"/>
    <w:rsid w:val="00527B8F"/>
    <w:rsid w:val="005309CA"/>
    <w:rsid w:val="00531DDF"/>
    <w:rsid w:val="005342C3"/>
    <w:rsid w:val="00540A20"/>
    <w:rsid w:val="00540B92"/>
    <w:rsid w:val="00540F5E"/>
    <w:rsid w:val="00542136"/>
    <w:rsid w:val="00542C77"/>
    <w:rsid w:val="0054558B"/>
    <w:rsid w:val="00545A16"/>
    <w:rsid w:val="00552BD3"/>
    <w:rsid w:val="00552F72"/>
    <w:rsid w:val="005548F4"/>
    <w:rsid w:val="00555109"/>
    <w:rsid w:val="00556B92"/>
    <w:rsid w:val="005572A6"/>
    <w:rsid w:val="00560209"/>
    <w:rsid w:val="00561AE7"/>
    <w:rsid w:val="0056410D"/>
    <w:rsid w:val="00564CA0"/>
    <w:rsid w:val="0056696F"/>
    <w:rsid w:val="00572301"/>
    <w:rsid w:val="00572675"/>
    <w:rsid w:val="005740AE"/>
    <w:rsid w:val="00575D8D"/>
    <w:rsid w:val="00576972"/>
    <w:rsid w:val="00581D86"/>
    <w:rsid w:val="00582E57"/>
    <w:rsid w:val="00583699"/>
    <w:rsid w:val="0058591B"/>
    <w:rsid w:val="00590A51"/>
    <w:rsid w:val="0059291C"/>
    <w:rsid w:val="00596539"/>
    <w:rsid w:val="00596C4B"/>
    <w:rsid w:val="0059704F"/>
    <w:rsid w:val="005976C8"/>
    <w:rsid w:val="005A0A2B"/>
    <w:rsid w:val="005A3F5E"/>
    <w:rsid w:val="005B0C39"/>
    <w:rsid w:val="005B232B"/>
    <w:rsid w:val="005B2587"/>
    <w:rsid w:val="005B5857"/>
    <w:rsid w:val="005B6370"/>
    <w:rsid w:val="005B717F"/>
    <w:rsid w:val="005C1B83"/>
    <w:rsid w:val="005C346B"/>
    <w:rsid w:val="005D044D"/>
    <w:rsid w:val="005D18AD"/>
    <w:rsid w:val="005D7601"/>
    <w:rsid w:val="005E325A"/>
    <w:rsid w:val="005E73C0"/>
    <w:rsid w:val="005F1534"/>
    <w:rsid w:val="005F2706"/>
    <w:rsid w:val="005F2FB2"/>
    <w:rsid w:val="005F58BA"/>
    <w:rsid w:val="005F6A8F"/>
    <w:rsid w:val="005F795F"/>
    <w:rsid w:val="006004B0"/>
    <w:rsid w:val="006005E7"/>
    <w:rsid w:val="00602EC8"/>
    <w:rsid w:val="006038DC"/>
    <w:rsid w:val="00607669"/>
    <w:rsid w:val="00612F97"/>
    <w:rsid w:val="0061593E"/>
    <w:rsid w:val="00616802"/>
    <w:rsid w:val="00617E12"/>
    <w:rsid w:val="006212FB"/>
    <w:rsid w:val="00621477"/>
    <w:rsid w:val="00622D70"/>
    <w:rsid w:val="00630061"/>
    <w:rsid w:val="00631D6B"/>
    <w:rsid w:val="00632148"/>
    <w:rsid w:val="00633031"/>
    <w:rsid w:val="0063479F"/>
    <w:rsid w:val="006348F5"/>
    <w:rsid w:val="006355F6"/>
    <w:rsid w:val="006364A1"/>
    <w:rsid w:val="00637BFD"/>
    <w:rsid w:val="00642CA4"/>
    <w:rsid w:val="006471CC"/>
    <w:rsid w:val="00647DD5"/>
    <w:rsid w:val="0065079F"/>
    <w:rsid w:val="00650D0C"/>
    <w:rsid w:val="006519EE"/>
    <w:rsid w:val="00653B2B"/>
    <w:rsid w:val="006563B6"/>
    <w:rsid w:val="0066332D"/>
    <w:rsid w:val="0066382A"/>
    <w:rsid w:val="00663ED2"/>
    <w:rsid w:val="0066559D"/>
    <w:rsid w:val="00673130"/>
    <w:rsid w:val="006736E5"/>
    <w:rsid w:val="00674E42"/>
    <w:rsid w:val="00675339"/>
    <w:rsid w:val="00675349"/>
    <w:rsid w:val="00676EFC"/>
    <w:rsid w:val="00682112"/>
    <w:rsid w:val="006872BA"/>
    <w:rsid w:val="00690B60"/>
    <w:rsid w:val="006917D7"/>
    <w:rsid w:val="006932B3"/>
    <w:rsid w:val="00693C21"/>
    <w:rsid w:val="00694F44"/>
    <w:rsid w:val="006A1B87"/>
    <w:rsid w:val="006A3E45"/>
    <w:rsid w:val="006A6BF8"/>
    <w:rsid w:val="006B38E7"/>
    <w:rsid w:val="006B7B51"/>
    <w:rsid w:val="006B7C5D"/>
    <w:rsid w:val="006C089E"/>
    <w:rsid w:val="006C2A8E"/>
    <w:rsid w:val="006C506D"/>
    <w:rsid w:val="006C5844"/>
    <w:rsid w:val="006D3C7D"/>
    <w:rsid w:val="006D5D5F"/>
    <w:rsid w:val="006D6442"/>
    <w:rsid w:val="006E146D"/>
    <w:rsid w:val="006E2FD2"/>
    <w:rsid w:val="006E3B66"/>
    <w:rsid w:val="006E7748"/>
    <w:rsid w:val="006F3703"/>
    <w:rsid w:val="006F4CD2"/>
    <w:rsid w:val="006F63A5"/>
    <w:rsid w:val="006F74E3"/>
    <w:rsid w:val="00700FD5"/>
    <w:rsid w:val="0070143A"/>
    <w:rsid w:val="0070276E"/>
    <w:rsid w:val="00702F8F"/>
    <w:rsid w:val="00704485"/>
    <w:rsid w:val="007065A4"/>
    <w:rsid w:val="00711A36"/>
    <w:rsid w:val="007124E7"/>
    <w:rsid w:val="007164AE"/>
    <w:rsid w:val="007172AD"/>
    <w:rsid w:val="007209C9"/>
    <w:rsid w:val="0072311E"/>
    <w:rsid w:val="00723134"/>
    <w:rsid w:val="0072416F"/>
    <w:rsid w:val="007255FB"/>
    <w:rsid w:val="00734A47"/>
    <w:rsid w:val="0073530D"/>
    <w:rsid w:val="00735328"/>
    <w:rsid w:val="0073685B"/>
    <w:rsid w:val="00736930"/>
    <w:rsid w:val="00741412"/>
    <w:rsid w:val="007523F8"/>
    <w:rsid w:val="0076094A"/>
    <w:rsid w:val="00760DF1"/>
    <w:rsid w:val="007739AB"/>
    <w:rsid w:val="00775208"/>
    <w:rsid w:val="00781767"/>
    <w:rsid w:val="007829E2"/>
    <w:rsid w:val="00783C7A"/>
    <w:rsid w:val="0079160F"/>
    <w:rsid w:val="0079236F"/>
    <w:rsid w:val="00794ED6"/>
    <w:rsid w:val="007A0A12"/>
    <w:rsid w:val="007A4BD9"/>
    <w:rsid w:val="007A5AF3"/>
    <w:rsid w:val="007B0A32"/>
    <w:rsid w:val="007B251D"/>
    <w:rsid w:val="007B26AB"/>
    <w:rsid w:val="007B2898"/>
    <w:rsid w:val="007B5D0E"/>
    <w:rsid w:val="007B77D1"/>
    <w:rsid w:val="007B7A39"/>
    <w:rsid w:val="007C0C39"/>
    <w:rsid w:val="007C13B9"/>
    <w:rsid w:val="007C361D"/>
    <w:rsid w:val="007C56E4"/>
    <w:rsid w:val="007C5C75"/>
    <w:rsid w:val="007C622C"/>
    <w:rsid w:val="007D0B38"/>
    <w:rsid w:val="007D6E2F"/>
    <w:rsid w:val="007D6F85"/>
    <w:rsid w:val="007E38B6"/>
    <w:rsid w:val="007E3E20"/>
    <w:rsid w:val="007E5567"/>
    <w:rsid w:val="007F1017"/>
    <w:rsid w:val="007F2D0F"/>
    <w:rsid w:val="007F4A3F"/>
    <w:rsid w:val="008016ED"/>
    <w:rsid w:val="00801C26"/>
    <w:rsid w:val="008048C0"/>
    <w:rsid w:val="00805142"/>
    <w:rsid w:val="00807A8B"/>
    <w:rsid w:val="00810035"/>
    <w:rsid w:val="00810C55"/>
    <w:rsid w:val="00812149"/>
    <w:rsid w:val="00813FEF"/>
    <w:rsid w:val="008142AC"/>
    <w:rsid w:val="0081503A"/>
    <w:rsid w:val="0081568F"/>
    <w:rsid w:val="008164CB"/>
    <w:rsid w:val="008166EF"/>
    <w:rsid w:val="00817136"/>
    <w:rsid w:val="0082262C"/>
    <w:rsid w:val="008264EB"/>
    <w:rsid w:val="00827BF7"/>
    <w:rsid w:val="008336B5"/>
    <w:rsid w:val="00833B05"/>
    <w:rsid w:val="00833E3A"/>
    <w:rsid w:val="00840CA2"/>
    <w:rsid w:val="0084191E"/>
    <w:rsid w:val="008476CE"/>
    <w:rsid w:val="00850335"/>
    <w:rsid w:val="00852A11"/>
    <w:rsid w:val="00856384"/>
    <w:rsid w:val="00856E9A"/>
    <w:rsid w:val="008577BC"/>
    <w:rsid w:val="008603AD"/>
    <w:rsid w:val="00862502"/>
    <w:rsid w:val="0086285B"/>
    <w:rsid w:val="0086387D"/>
    <w:rsid w:val="008642D4"/>
    <w:rsid w:val="008660D2"/>
    <w:rsid w:val="00867512"/>
    <w:rsid w:val="008726F4"/>
    <w:rsid w:val="0087297B"/>
    <w:rsid w:val="00872BCD"/>
    <w:rsid w:val="00873D17"/>
    <w:rsid w:val="008813D4"/>
    <w:rsid w:val="00882874"/>
    <w:rsid w:val="0088345B"/>
    <w:rsid w:val="00883787"/>
    <w:rsid w:val="00884669"/>
    <w:rsid w:val="0088676B"/>
    <w:rsid w:val="0088770C"/>
    <w:rsid w:val="00891208"/>
    <w:rsid w:val="0089132B"/>
    <w:rsid w:val="00891CD3"/>
    <w:rsid w:val="00892621"/>
    <w:rsid w:val="00892A89"/>
    <w:rsid w:val="00894489"/>
    <w:rsid w:val="008963A5"/>
    <w:rsid w:val="00897854"/>
    <w:rsid w:val="008A0E08"/>
    <w:rsid w:val="008A2F2A"/>
    <w:rsid w:val="008A3C3E"/>
    <w:rsid w:val="008A49E0"/>
    <w:rsid w:val="008A79DE"/>
    <w:rsid w:val="008B142F"/>
    <w:rsid w:val="008B5BF6"/>
    <w:rsid w:val="008B6C78"/>
    <w:rsid w:val="008B7D7E"/>
    <w:rsid w:val="008C49B7"/>
    <w:rsid w:val="008C665C"/>
    <w:rsid w:val="008C6D7F"/>
    <w:rsid w:val="008C7ECB"/>
    <w:rsid w:val="008D0360"/>
    <w:rsid w:val="008D3D92"/>
    <w:rsid w:val="008D4A93"/>
    <w:rsid w:val="008D5391"/>
    <w:rsid w:val="008D68FC"/>
    <w:rsid w:val="008E1B9E"/>
    <w:rsid w:val="008E4449"/>
    <w:rsid w:val="008E529B"/>
    <w:rsid w:val="008E596B"/>
    <w:rsid w:val="008E68AB"/>
    <w:rsid w:val="008F0319"/>
    <w:rsid w:val="008F120A"/>
    <w:rsid w:val="008F1D5F"/>
    <w:rsid w:val="008F289F"/>
    <w:rsid w:val="008F37F0"/>
    <w:rsid w:val="008F48EB"/>
    <w:rsid w:val="008F4F0B"/>
    <w:rsid w:val="008F5D59"/>
    <w:rsid w:val="0090086E"/>
    <w:rsid w:val="00903665"/>
    <w:rsid w:val="0090581E"/>
    <w:rsid w:val="009062A5"/>
    <w:rsid w:val="00911272"/>
    <w:rsid w:val="00911318"/>
    <w:rsid w:val="0091354F"/>
    <w:rsid w:val="0091455A"/>
    <w:rsid w:val="00921A39"/>
    <w:rsid w:val="0093236F"/>
    <w:rsid w:val="00932D90"/>
    <w:rsid w:val="00934B86"/>
    <w:rsid w:val="00936EE6"/>
    <w:rsid w:val="00940824"/>
    <w:rsid w:val="009439FC"/>
    <w:rsid w:val="00946063"/>
    <w:rsid w:val="0095148F"/>
    <w:rsid w:val="00951B3A"/>
    <w:rsid w:val="00954553"/>
    <w:rsid w:val="00955ADA"/>
    <w:rsid w:val="00962CB9"/>
    <w:rsid w:val="00963778"/>
    <w:rsid w:val="00964312"/>
    <w:rsid w:val="00964C95"/>
    <w:rsid w:val="0096693C"/>
    <w:rsid w:val="00966E06"/>
    <w:rsid w:val="009675B2"/>
    <w:rsid w:val="0097289E"/>
    <w:rsid w:val="0097571F"/>
    <w:rsid w:val="00983E57"/>
    <w:rsid w:val="00985F31"/>
    <w:rsid w:val="00985F88"/>
    <w:rsid w:val="00986CCE"/>
    <w:rsid w:val="00990833"/>
    <w:rsid w:val="00993BA6"/>
    <w:rsid w:val="00995E5C"/>
    <w:rsid w:val="0099620C"/>
    <w:rsid w:val="0099672A"/>
    <w:rsid w:val="00996B1A"/>
    <w:rsid w:val="009A0C9F"/>
    <w:rsid w:val="009A3237"/>
    <w:rsid w:val="009A36EE"/>
    <w:rsid w:val="009B1EA3"/>
    <w:rsid w:val="009B26BE"/>
    <w:rsid w:val="009B3E26"/>
    <w:rsid w:val="009B3E8F"/>
    <w:rsid w:val="009B4852"/>
    <w:rsid w:val="009B6859"/>
    <w:rsid w:val="009C2898"/>
    <w:rsid w:val="009C395A"/>
    <w:rsid w:val="009C3CBE"/>
    <w:rsid w:val="009C53F3"/>
    <w:rsid w:val="009D0480"/>
    <w:rsid w:val="009D081E"/>
    <w:rsid w:val="009D5B91"/>
    <w:rsid w:val="009E2A17"/>
    <w:rsid w:val="009E2F34"/>
    <w:rsid w:val="009E4C07"/>
    <w:rsid w:val="009F1872"/>
    <w:rsid w:val="009F4739"/>
    <w:rsid w:val="00A006E6"/>
    <w:rsid w:val="00A013FC"/>
    <w:rsid w:val="00A03D43"/>
    <w:rsid w:val="00A04380"/>
    <w:rsid w:val="00A1128B"/>
    <w:rsid w:val="00A1129F"/>
    <w:rsid w:val="00A13948"/>
    <w:rsid w:val="00A15873"/>
    <w:rsid w:val="00A206B6"/>
    <w:rsid w:val="00A20B03"/>
    <w:rsid w:val="00A218DE"/>
    <w:rsid w:val="00A21D00"/>
    <w:rsid w:val="00A21D93"/>
    <w:rsid w:val="00A227EA"/>
    <w:rsid w:val="00A2742D"/>
    <w:rsid w:val="00A27AEC"/>
    <w:rsid w:val="00A31B91"/>
    <w:rsid w:val="00A34DE8"/>
    <w:rsid w:val="00A34F98"/>
    <w:rsid w:val="00A352E6"/>
    <w:rsid w:val="00A3531C"/>
    <w:rsid w:val="00A35D16"/>
    <w:rsid w:val="00A37746"/>
    <w:rsid w:val="00A37A80"/>
    <w:rsid w:val="00A40622"/>
    <w:rsid w:val="00A40D49"/>
    <w:rsid w:val="00A41F06"/>
    <w:rsid w:val="00A428AB"/>
    <w:rsid w:val="00A43C59"/>
    <w:rsid w:val="00A43DF5"/>
    <w:rsid w:val="00A43FAA"/>
    <w:rsid w:val="00A47DB5"/>
    <w:rsid w:val="00A50ECD"/>
    <w:rsid w:val="00A51E23"/>
    <w:rsid w:val="00A52729"/>
    <w:rsid w:val="00A528F3"/>
    <w:rsid w:val="00A53675"/>
    <w:rsid w:val="00A536D7"/>
    <w:rsid w:val="00A53CC0"/>
    <w:rsid w:val="00A558AC"/>
    <w:rsid w:val="00A55DDC"/>
    <w:rsid w:val="00A56B6A"/>
    <w:rsid w:val="00A578DC"/>
    <w:rsid w:val="00A61126"/>
    <w:rsid w:val="00A6230E"/>
    <w:rsid w:val="00A6292C"/>
    <w:rsid w:val="00A645C4"/>
    <w:rsid w:val="00A6725B"/>
    <w:rsid w:val="00A676DC"/>
    <w:rsid w:val="00A67772"/>
    <w:rsid w:val="00A70816"/>
    <w:rsid w:val="00A71411"/>
    <w:rsid w:val="00A7274E"/>
    <w:rsid w:val="00A728F8"/>
    <w:rsid w:val="00A746C1"/>
    <w:rsid w:val="00A768AA"/>
    <w:rsid w:val="00A814F3"/>
    <w:rsid w:val="00A8270D"/>
    <w:rsid w:val="00A84708"/>
    <w:rsid w:val="00A850BF"/>
    <w:rsid w:val="00A852DF"/>
    <w:rsid w:val="00A86E8B"/>
    <w:rsid w:val="00A874E1"/>
    <w:rsid w:val="00A90A52"/>
    <w:rsid w:val="00A92AE0"/>
    <w:rsid w:val="00A92D2B"/>
    <w:rsid w:val="00A93072"/>
    <w:rsid w:val="00A959D8"/>
    <w:rsid w:val="00A97BD6"/>
    <w:rsid w:val="00AA0AE8"/>
    <w:rsid w:val="00AA2D6F"/>
    <w:rsid w:val="00AA3AD6"/>
    <w:rsid w:val="00AA450E"/>
    <w:rsid w:val="00AB042A"/>
    <w:rsid w:val="00AB0821"/>
    <w:rsid w:val="00AB21CB"/>
    <w:rsid w:val="00AB2D34"/>
    <w:rsid w:val="00AB3430"/>
    <w:rsid w:val="00AB7CFA"/>
    <w:rsid w:val="00AC2BF0"/>
    <w:rsid w:val="00AC4B65"/>
    <w:rsid w:val="00AC4D75"/>
    <w:rsid w:val="00AD1484"/>
    <w:rsid w:val="00AD432C"/>
    <w:rsid w:val="00AD6949"/>
    <w:rsid w:val="00AE02F9"/>
    <w:rsid w:val="00AE2A6C"/>
    <w:rsid w:val="00AE5336"/>
    <w:rsid w:val="00AF0FF2"/>
    <w:rsid w:val="00AF4018"/>
    <w:rsid w:val="00AF429E"/>
    <w:rsid w:val="00B010BF"/>
    <w:rsid w:val="00B07E99"/>
    <w:rsid w:val="00B166ED"/>
    <w:rsid w:val="00B17203"/>
    <w:rsid w:val="00B20E23"/>
    <w:rsid w:val="00B26420"/>
    <w:rsid w:val="00B32726"/>
    <w:rsid w:val="00B40491"/>
    <w:rsid w:val="00B42851"/>
    <w:rsid w:val="00B4463B"/>
    <w:rsid w:val="00B46539"/>
    <w:rsid w:val="00B50DB8"/>
    <w:rsid w:val="00B5313A"/>
    <w:rsid w:val="00B53905"/>
    <w:rsid w:val="00B54B5B"/>
    <w:rsid w:val="00B5562E"/>
    <w:rsid w:val="00B57000"/>
    <w:rsid w:val="00B60939"/>
    <w:rsid w:val="00B60AFD"/>
    <w:rsid w:val="00B62715"/>
    <w:rsid w:val="00B62DF2"/>
    <w:rsid w:val="00B62EFA"/>
    <w:rsid w:val="00B6369F"/>
    <w:rsid w:val="00B72D86"/>
    <w:rsid w:val="00B73797"/>
    <w:rsid w:val="00B80402"/>
    <w:rsid w:val="00B818A4"/>
    <w:rsid w:val="00B843F6"/>
    <w:rsid w:val="00B8649C"/>
    <w:rsid w:val="00B87EC6"/>
    <w:rsid w:val="00B90B19"/>
    <w:rsid w:val="00B92D0B"/>
    <w:rsid w:val="00B94945"/>
    <w:rsid w:val="00B94BC4"/>
    <w:rsid w:val="00B953C0"/>
    <w:rsid w:val="00B9583A"/>
    <w:rsid w:val="00B965AF"/>
    <w:rsid w:val="00B96CA2"/>
    <w:rsid w:val="00BB0C33"/>
    <w:rsid w:val="00BB292A"/>
    <w:rsid w:val="00BB29E5"/>
    <w:rsid w:val="00BB3D20"/>
    <w:rsid w:val="00BB7405"/>
    <w:rsid w:val="00BC02A5"/>
    <w:rsid w:val="00BC14E4"/>
    <w:rsid w:val="00BC182B"/>
    <w:rsid w:val="00BC2AEF"/>
    <w:rsid w:val="00BC3BCB"/>
    <w:rsid w:val="00BC3CD6"/>
    <w:rsid w:val="00BC6466"/>
    <w:rsid w:val="00BD6CF3"/>
    <w:rsid w:val="00BD6FED"/>
    <w:rsid w:val="00BE2180"/>
    <w:rsid w:val="00BE3B96"/>
    <w:rsid w:val="00BE3BA3"/>
    <w:rsid w:val="00BE4275"/>
    <w:rsid w:val="00BE6278"/>
    <w:rsid w:val="00BE725D"/>
    <w:rsid w:val="00BF2433"/>
    <w:rsid w:val="00BF2C5A"/>
    <w:rsid w:val="00BF606C"/>
    <w:rsid w:val="00BF61C9"/>
    <w:rsid w:val="00C002F3"/>
    <w:rsid w:val="00C0486A"/>
    <w:rsid w:val="00C05BA0"/>
    <w:rsid w:val="00C0669D"/>
    <w:rsid w:val="00C21F1E"/>
    <w:rsid w:val="00C25418"/>
    <w:rsid w:val="00C25D9C"/>
    <w:rsid w:val="00C31649"/>
    <w:rsid w:val="00C36CD9"/>
    <w:rsid w:val="00C40385"/>
    <w:rsid w:val="00C425EC"/>
    <w:rsid w:val="00C46409"/>
    <w:rsid w:val="00C50FDF"/>
    <w:rsid w:val="00C54E95"/>
    <w:rsid w:val="00C62A3A"/>
    <w:rsid w:val="00C65576"/>
    <w:rsid w:val="00C66165"/>
    <w:rsid w:val="00C67453"/>
    <w:rsid w:val="00C715B7"/>
    <w:rsid w:val="00C720A5"/>
    <w:rsid w:val="00C7229C"/>
    <w:rsid w:val="00C750C8"/>
    <w:rsid w:val="00C75914"/>
    <w:rsid w:val="00C7614A"/>
    <w:rsid w:val="00C80683"/>
    <w:rsid w:val="00C810C8"/>
    <w:rsid w:val="00C8213F"/>
    <w:rsid w:val="00C8797A"/>
    <w:rsid w:val="00C9200A"/>
    <w:rsid w:val="00C938CF"/>
    <w:rsid w:val="00C96DC6"/>
    <w:rsid w:val="00C976D3"/>
    <w:rsid w:val="00CA1B33"/>
    <w:rsid w:val="00CA4D0D"/>
    <w:rsid w:val="00CA5245"/>
    <w:rsid w:val="00CA53CA"/>
    <w:rsid w:val="00CA7B09"/>
    <w:rsid w:val="00CB310C"/>
    <w:rsid w:val="00CB5B1A"/>
    <w:rsid w:val="00CB753E"/>
    <w:rsid w:val="00CC15C2"/>
    <w:rsid w:val="00CC2D72"/>
    <w:rsid w:val="00CC4375"/>
    <w:rsid w:val="00CD0DEF"/>
    <w:rsid w:val="00CD4A7C"/>
    <w:rsid w:val="00CD67F6"/>
    <w:rsid w:val="00CD6ADC"/>
    <w:rsid w:val="00CE1982"/>
    <w:rsid w:val="00CE2209"/>
    <w:rsid w:val="00CE6274"/>
    <w:rsid w:val="00CF456B"/>
    <w:rsid w:val="00CF4B1F"/>
    <w:rsid w:val="00CF5A22"/>
    <w:rsid w:val="00CF6280"/>
    <w:rsid w:val="00CF64BB"/>
    <w:rsid w:val="00D0262E"/>
    <w:rsid w:val="00D06902"/>
    <w:rsid w:val="00D110BD"/>
    <w:rsid w:val="00D115C0"/>
    <w:rsid w:val="00D11E19"/>
    <w:rsid w:val="00D12D72"/>
    <w:rsid w:val="00D146AD"/>
    <w:rsid w:val="00D17CC2"/>
    <w:rsid w:val="00D17D6C"/>
    <w:rsid w:val="00D17F6D"/>
    <w:rsid w:val="00D2272A"/>
    <w:rsid w:val="00D22ED0"/>
    <w:rsid w:val="00D25FC6"/>
    <w:rsid w:val="00D27D91"/>
    <w:rsid w:val="00D3127C"/>
    <w:rsid w:val="00D31F29"/>
    <w:rsid w:val="00D324EA"/>
    <w:rsid w:val="00D3317A"/>
    <w:rsid w:val="00D335BF"/>
    <w:rsid w:val="00D357FF"/>
    <w:rsid w:val="00D359E9"/>
    <w:rsid w:val="00D37C7C"/>
    <w:rsid w:val="00D404E1"/>
    <w:rsid w:val="00D41EA8"/>
    <w:rsid w:val="00D449B9"/>
    <w:rsid w:val="00D45A0C"/>
    <w:rsid w:val="00D472F0"/>
    <w:rsid w:val="00D54BAA"/>
    <w:rsid w:val="00D572CD"/>
    <w:rsid w:val="00D633EF"/>
    <w:rsid w:val="00D65674"/>
    <w:rsid w:val="00D65981"/>
    <w:rsid w:val="00D74102"/>
    <w:rsid w:val="00D742CB"/>
    <w:rsid w:val="00D75BF6"/>
    <w:rsid w:val="00D76A44"/>
    <w:rsid w:val="00D7726B"/>
    <w:rsid w:val="00D82D5C"/>
    <w:rsid w:val="00D855E5"/>
    <w:rsid w:val="00D920DB"/>
    <w:rsid w:val="00D93753"/>
    <w:rsid w:val="00D94200"/>
    <w:rsid w:val="00D94EE2"/>
    <w:rsid w:val="00D95D20"/>
    <w:rsid w:val="00DA07D9"/>
    <w:rsid w:val="00DA0E1A"/>
    <w:rsid w:val="00DA18F9"/>
    <w:rsid w:val="00DA4E68"/>
    <w:rsid w:val="00DA5DE6"/>
    <w:rsid w:val="00DA77A5"/>
    <w:rsid w:val="00DB00B6"/>
    <w:rsid w:val="00DB6AE3"/>
    <w:rsid w:val="00DB6E4E"/>
    <w:rsid w:val="00DC0FF4"/>
    <w:rsid w:val="00DC22A2"/>
    <w:rsid w:val="00DC5501"/>
    <w:rsid w:val="00DC6951"/>
    <w:rsid w:val="00DD3F28"/>
    <w:rsid w:val="00DD4537"/>
    <w:rsid w:val="00DD477E"/>
    <w:rsid w:val="00DD4E15"/>
    <w:rsid w:val="00DE4A78"/>
    <w:rsid w:val="00DE4FCB"/>
    <w:rsid w:val="00DE7620"/>
    <w:rsid w:val="00DF0A5E"/>
    <w:rsid w:val="00DF1597"/>
    <w:rsid w:val="00DF39FF"/>
    <w:rsid w:val="00DF5D2B"/>
    <w:rsid w:val="00DF70A3"/>
    <w:rsid w:val="00E0040F"/>
    <w:rsid w:val="00E03A54"/>
    <w:rsid w:val="00E0735D"/>
    <w:rsid w:val="00E10149"/>
    <w:rsid w:val="00E13BFE"/>
    <w:rsid w:val="00E14E6E"/>
    <w:rsid w:val="00E16372"/>
    <w:rsid w:val="00E174ED"/>
    <w:rsid w:val="00E20ED6"/>
    <w:rsid w:val="00E21358"/>
    <w:rsid w:val="00E21B41"/>
    <w:rsid w:val="00E2246C"/>
    <w:rsid w:val="00E2249B"/>
    <w:rsid w:val="00E22A0D"/>
    <w:rsid w:val="00E22AE7"/>
    <w:rsid w:val="00E24D38"/>
    <w:rsid w:val="00E25048"/>
    <w:rsid w:val="00E25871"/>
    <w:rsid w:val="00E26926"/>
    <w:rsid w:val="00E271B6"/>
    <w:rsid w:val="00E2771E"/>
    <w:rsid w:val="00E33194"/>
    <w:rsid w:val="00E37569"/>
    <w:rsid w:val="00E40451"/>
    <w:rsid w:val="00E40BE6"/>
    <w:rsid w:val="00E419CB"/>
    <w:rsid w:val="00E41E30"/>
    <w:rsid w:val="00E4290B"/>
    <w:rsid w:val="00E43AB9"/>
    <w:rsid w:val="00E43D70"/>
    <w:rsid w:val="00E45FAD"/>
    <w:rsid w:val="00E476F4"/>
    <w:rsid w:val="00E47B2C"/>
    <w:rsid w:val="00E47EAD"/>
    <w:rsid w:val="00E51560"/>
    <w:rsid w:val="00E55424"/>
    <w:rsid w:val="00E55BB5"/>
    <w:rsid w:val="00E6044C"/>
    <w:rsid w:val="00E62CFF"/>
    <w:rsid w:val="00E64BC5"/>
    <w:rsid w:val="00E65E79"/>
    <w:rsid w:val="00E65F81"/>
    <w:rsid w:val="00E66339"/>
    <w:rsid w:val="00E67416"/>
    <w:rsid w:val="00E67AC2"/>
    <w:rsid w:val="00E716DD"/>
    <w:rsid w:val="00E718B6"/>
    <w:rsid w:val="00E73581"/>
    <w:rsid w:val="00E73D1A"/>
    <w:rsid w:val="00E74DD4"/>
    <w:rsid w:val="00E771D1"/>
    <w:rsid w:val="00E81394"/>
    <w:rsid w:val="00E82430"/>
    <w:rsid w:val="00E83BDF"/>
    <w:rsid w:val="00E87B32"/>
    <w:rsid w:val="00E91BA4"/>
    <w:rsid w:val="00E9326A"/>
    <w:rsid w:val="00E95CB9"/>
    <w:rsid w:val="00EA01C0"/>
    <w:rsid w:val="00EA08E7"/>
    <w:rsid w:val="00EA3864"/>
    <w:rsid w:val="00EA3BCF"/>
    <w:rsid w:val="00EA473B"/>
    <w:rsid w:val="00EA7B64"/>
    <w:rsid w:val="00EB15B6"/>
    <w:rsid w:val="00EB1E67"/>
    <w:rsid w:val="00EB4916"/>
    <w:rsid w:val="00EB515D"/>
    <w:rsid w:val="00EC00C9"/>
    <w:rsid w:val="00EC2DF3"/>
    <w:rsid w:val="00EC380E"/>
    <w:rsid w:val="00EC654F"/>
    <w:rsid w:val="00EC6FA9"/>
    <w:rsid w:val="00ED27DB"/>
    <w:rsid w:val="00ED2CA1"/>
    <w:rsid w:val="00ED361A"/>
    <w:rsid w:val="00ED3E8A"/>
    <w:rsid w:val="00EE07D3"/>
    <w:rsid w:val="00EE11DA"/>
    <w:rsid w:val="00EE1506"/>
    <w:rsid w:val="00EE1D0C"/>
    <w:rsid w:val="00EE2428"/>
    <w:rsid w:val="00EE3C1A"/>
    <w:rsid w:val="00EE53AB"/>
    <w:rsid w:val="00EF06C2"/>
    <w:rsid w:val="00EF19DC"/>
    <w:rsid w:val="00EF19EB"/>
    <w:rsid w:val="00EF241F"/>
    <w:rsid w:val="00EF33B1"/>
    <w:rsid w:val="00EF78B6"/>
    <w:rsid w:val="00F03DC2"/>
    <w:rsid w:val="00F03EB3"/>
    <w:rsid w:val="00F067A2"/>
    <w:rsid w:val="00F11C4E"/>
    <w:rsid w:val="00F12C61"/>
    <w:rsid w:val="00F14CD9"/>
    <w:rsid w:val="00F17FF7"/>
    <w:rsid w:val="00F21924"/>
    <w:rsid w:val="00F23930"/>
    <w:rsid w:val="00F239B7"/>
    <w:rsid w:val="00F24837"/>
    <w:rsid w:val="00F24A5F"/>
    <w:rsid w:val="00F2575F"/>
    <w:rsid w:val="00F271E3"/>
    <w:rsid w:val="00F33DE9"/>
    <w:rsid w:val="00F342A2"/>
    <w:rsid w:val="00F34398"/>
    <w:rsid w:val="00F3619A"/>
    <w:rsid w:val="00F41FDC"/>
    <w:rsid w:val="00F44B73"/>
    <w:rsid w:val="00F46CB6"/>
    <w:rsid w:val="00F50BE9"/>
    <w:rsid w:val="00F50E60"/>
    <w:rsid w:val="00F54375"/>
    <w:rsid w:val="00F55E73"/>
    <w:rsid w:val="00F56788"/>
    <w:rsid w:val="00F60092"/>
    <w:rsid w:val="00F6449C"/>
    <w:rsid w:val="00F644CC"/>
    <w:rsid w:val="00F64D71"/>
    <w:rsid w:val="00F65232"/>
    <w:rsid w:val="00F66D21"/>
    <w:rsid w:val="00F66D2F"/>
    <w:rsid w:val="00F72392"/>
    <w:rsid w:val="00F76598"/>
    <w:rsid w:val="00F7694F"/>
    <w:rsid w:val="00F7797F"/>
    <w:rsid w:val="00F8058E"/>
    <w:rsid w:val="00F80E5D"/>
    <w:rsid w:val="00F826BC"/>
    <w:rsid w:val="00F82A89"/>
    <w:rsid w:val="00F845A4"/>
    <w:rsid w:val="00F851CE"/>
    <w:rsid w:val="00F855C2"/>
    <w:rsid w:val="00F86AC2"/>
    <w:rsid w:val="00F871BD"/>
    <w:rsid w:val="00F95F87"/>
    <w:rsid w:val="00F97A78"/>
    <w:rsid w:val="00FA24E7"/>
    <w:rsid w:val="00FA2632"/>
    <w:rsid w:val="00FA431A"/>
    <w:rsid w:val="00FA643D"/>
    <w:rsid w:val="00FA6D83"/>
    <w:rsid w:val="00FB0007"/>
    <w:rsid w:val="00FB2011"/>
    <w:rsid w:val="00FB2FCB"/>
    <w:rsid w:val="00FB4BCD"/>
    <w:rsid w:val="00FB6EA6"/>
    <w:rsid w:val="00FB7D96"/>
    <w:rsid w:val="00FB7F79"/>
    <w:rsid w:val="00FC069E"/>
    <w:rsid w:val="00FC0F09"/>
    <w:rsid w:val="00FC1074"/>
    <w:rsid w:val="00FC1884"/>
    <w:rsid w:val="00FC2550"/>
    <w:rsid w:val="00FC489D"/>
    <w:rsid w:val="00FC5D8B"/>
    <w:rsid w:val="00FC5F45"/>
    <w:rsid w:val="00FC6703"/>
    <w:rsid w:val="00FC73DA"/>
    <w:rsid w:val="00FD00FC"/>
    <w:rsid w:val="00FD2100"/>
    <w:rsid w:val="00FD2806"/>
    <w:rsid w:val="00FD3303"/>
    <w:rsid w:val="00FD446D"/>
    <w:rsid w:val="00FD628E"/>
    <w:rsid w:val="00FE1C8A"/>
    <w:rsid w:val="00FE533E"/>
    <w:rsid w:val="00FE5821"/>
    <w:rsid w:val="00FE5863"/>
    <w:rsid w:val="00FE6183"/>
    <w:rsid w:val="00FF146C"/>
    <w:rsid w:val="00FF314A"/>
    <w:rsid w:val="00FF3DCF"/>
    <w:rsid w:val="00FF4577"/>
    <w:rsid w:val="00FF5AA3"/>
    <w:rsid w:val="00FF6981"/>
    <w:rsid w:val="00FF7AC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uiPriority w:val="1"/>
    <w:qFormat/>
    <w:rsid w:val="000943CB"/>
    <w:pPr>
      <w:ind w:left="720" w:hanging="720"/>
      <w:jc w:val="left"/>
      <w:outlineLvl w:val="0"/>
    </w:pPr>
    <w:rPr>
      <w:rFonts w:ascii="Arial Bold" w:hAnsi="Arial Bold"/>
      <w:b/>
      <w:sz w:val="28"/>
    </w:rPr>
  </w:style>
  <w:style w:type="paragraph" w:styleId="Heading2">
    <w:name w:val="heading 2"/>
    <w:basedOn w:val="PBACHeading1"/>
    <w:next w:val="Normal"/>
    <w:link w:val="Heading2Char"/>
    <w:uiPriority w:val="9"/>
    <w:qFormat/>
    <w:rsid w:val="00272A6A"/>
    <w:pPr>
      <w:keepNext/>
      <w:outlineLvl w:val="1"/>
    </w:pPr>
    <w:rPr>
      <w:lang w:val="en-GB"/>
    </w:rPr>
  </w:style>
  <w:style w:type="paragraph" w:styleId="Heading3">
    <w:name w:val="heading 3"/>
    <w:basedOn w:val="Normal"/>
    <w:next w:val="Normal"/>
    <w:link w:val="Heading3Char"/>
    <w:uiPriority w:val="9"/>
    <w:qFormat/>
    <w:rsid w:val="00272A6A"/>
    <w:pPr>
      <w:outlineLvl w:val="2"/>
    </w:pPr>
    <w:rPr>
      <w:b/>
      <w:i/>
    </w:rPr>
  </w:style>
  <w:style w:type="paragraph" w:styleId="Heading4">
    <w:name w:val="heading 4"/>
    <w:basedOn w:val="Normal"/>
    <w:next w:val="Normal"/>
    <w:qFormat/>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qFormat/>
    <w:rsid w:val="00124A51"/>
    <w:pPr>
      <w:spacing w:before="240" w:after="60"/>
      <w:outlineLvl w:val="5"/>
    </w:pPr>
    <w:rPr>
      <w:b/>
      <w:bCs/>
      <w:i/>
      <w:szCs w:val="22"/>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uiPriority w:val="99"/>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272A6A"/>
    <w:rPr>
      <w:rFonts w:ascii="Arial" w:hAnsi="Arial" w:cs="Arial"/>
      <w:b/>
      <w:snapToGrid w:val="0"/>
      <w:sz w:val="22"/>
      <w:szCs w:val="22"/>
      <w:lang w:val="en-GB"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028CA"/>
    <w:rPr>
      <w:rFonts w:ascii="Arial Narrow" w:hAnsi="Arial Narrow"/>
      <w:b/>
      <w:bCs/>
      <w:color w:val="000000" w:themeColor="text1"/>
      <w:sz w:val="20"/>
      <w:szCs w:val="18"/>
    </w:rPr>
  </w:style>
  <w:style w:type="character" w:customStyle="1" w:styleId="CaptionChar">
    <w:name w:val="Caption Char"/>
    <w:link w:val="Caption"/>
    <w:rsid w:val="001028CA"/>
    <w:rPr>
      <w:rFonts w:ascii="Arial Narrow" w:hAnsi="Arial Narrow" w:cs="Arial"/>
      <w:b/>
      <w:bCs/>
      <w:snapToGrid w:val="0"/>
      <w:color w:val="000000" w:themeColor="text1"/>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outlineLvl w:val="9"/>
    </w:pPr>
    <w:rPr>
      <w:rFonts w:asciiTheme="majorHAnsi" w:eastAsiaTheme="majorEastAsia" w:hAnsiTheme="majorHAnsi" w:cstheme="majorBidi"/>
      <w:bCs/>
      <w:snapToGrid/>
      <w:color w:val="365F91" w:themeColor="accent1" w:themeShade="BF"/>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character" w:customStyle="1" w:styleId="jrnl">
    <w:name w:val="jrnl"/>
    <w:basedOn w:val="DefaultParagraphFont"/>
    <w:rsid w:val="00DF70A3"/>
  </w:style>
  <w:style w:type="paragraph" w:customStyle="1" w:styleId="bulletpointstyle">
    <w:name w:val="bullet point style"/>
    <w:basedOn w:val="Normal"/>
    <w:link w:val="bulletpointstyleChar"/>
    <w:qFormat/>
    <w:rsid w:val="00794ED6"/>
    <w:pPr>
      <w:widowControl/>
      <w:numPr>
        <w:numId w:val="3"/>
      </w:numPr>
    </w:pPr>
    <w:rPr>
      <w:rFonts w:ascii="Times New Roman" w:hAnsi="Times New Roman" w:cs="Times New Roman"/>
      <w:snapToGrid/>
      <w:sz w:val="24"/>
      <w:szCs w:val="24"/>
    </w:rPr>
  </w:style>
  <w:style w:type="character" w:customStyle="1" w:styleId="bulletpointstyleChar">
    <w:name w:val="bullet point style Char"/>
    <w:basedOn w:val="DefaultParagraphFont"/>
    <w:link w:val="bulletpointstyle"/>
    <w:rsid w:val="00794ED6"/>
    <w:rPr>
      <w:sz w:val="24"/>
      <w:szCs w:val="24"/>
      <w:lang w:eastAsia="en-US"/>
    </w:rPr>
  </w:style>
  <w:style w:type="paragraph" w:customStyle="1" w:styleId="TableText1">
    <w:name w:val="Table Text"/>
    <w:basedOn w:val="Normal"/>
    <w:qFormat/>
    <w:rsid w:val="00794ED6"/>
    <w:pPr>
      <w:widowControl/>
      <w:jc w:val="left"/>
    </w:pPr>
    <w:rPr>
      <w:rFonts w:cs="Times New Roman"/>
      <w:snapToGrid/>
      <w:sz w:val="20"/>
      <w:szCs w:val="22"/>
      <w:lang w:eastAsia="en-AU"/>
    </w:rPr>
  </w:style>
  <w:style w:type="paragraph" w:customStyle="1" w:styleId="tabletext2">
    <w:name w:val="table text"/>
    <w:basedOn w:val="TableText1"/>
    <w:qFormat/>
    <w:rsid w:val="00D404E1"/>
    <w:pPr>
      <w:keepNext/>
    </w:pPr>
    <w:rPr>
      <w:rFonts w:cs="Arial"/>
      <w:color w:val="000000"/>
      <w:szCs w:val="20"/>
    </w:rPr>
  </w:style>
  <w:style w:type="paragraph" w:customStyle="1" w:styleId="Tabletextindent">
    <w:name w:val="Table text indent"/>
    <w:basedOn w:val="Tabletext"/>
    <w:qFormat/>
    <w:rsid w:val="002A256C"/>
    <w:pPr>
      <w:spacing w:before="60" w:after="60"/>
      <w:ind w:left="170"/>
    </w:pPr>
    <w:rPr>
      <w:rFonts w:ascii="Verdana" w:hAnsi="Verdana"/>
      <w:sz w:val="18"/>
      <w:lang w:val="en-US"/>
    </w:rPr>
  </w:style>
  <w:style w:type="paragraph" w:customStyle="1" w:styleId="Tablebold">
    <w:name w:val="Table bold"/>
    <w:basedOn w:val="Tabletext"/>
    <w:qFormat/>
    <w:rsid w:val="00AF0FF2"/>
    <w:pPr>
      <w:spacing w:before="60" w:after="60"/>
    </w:pPr>
    <w:rPr>
      <w:rFonts w:ascii="Verdana" w:hAnsi="Verdana"/>
      <w:b/>
      <w:sz w:val="18"/>
      <w:lang w:val="en-US"/>
    </w:rPr>
  </w:style>
  <w:style w:type="character" w:customStyle="1" w:styleId="ListParagraphChar">
    <w:name w:val="List Paragraph Char"/>
    <w:aliases w:val="BulletPoints Char"/>
    <w:basedOn w:val="DefaultParagraphFont"/>
    <w:link w:val="ListParagraph"/>
    <w:uiPriority w:val="72"/>
    <w:rsid w:val="00127939"/>
    <w:rPr>
      <w:rFonts w:ascii="Arial" w:hAnsi="Arial" w:cs="Arial"/>
      <w:snapToGrid w:val="0"/>
      <w:sz w:val="22"/>
      <w:lang w:eastAsia="en-US"/>
    </w:rPr>
  </w:style>
  <w:style w:type="paragraph" w:customStyle="1" w:styleId="Tablenote">
    <w:name w:val="Table note"/>
    <w:basedOn w:val="Normal"/>
    <w:next w:val="Normal"/>
    <w:qFormat/>
    <w:rsid w:val="002933B6"/>
    <w:pPr>
      <w:widowControl/>
      <w:spacing w:after="240"/>
    </w:pPr>
    <w:rPr>
      <w:rFonts w:ascii="Verdana" w:hAnsi="Verdana" w:cs="Times New Roman"/>
      <w:snapToGrid/>
      <w:sz w:val="18"/>
      <w:lang w:val="en-US"/>
    </w:rPr>
  </w:style>
  <w:style w:type="character" w:customStyle="1" w:styleId="Heading3Char">
    <w:name w:val="Heading 3 Char"/>
    <w:basedOn w:val="DefaultParagraphFont"/>
    <w:link w:val="Heading3"/>
    <w:uiPriority w:val="9"/>
    <w:rsid w:val="00272A6A"/>
    <w:rPr>
      <w:rFonts w:ascii="Arial" w:hAnsi="Arial" w:cs="Arial"/>
      <w:b/>
      <w:i/>
      <w:snapToGrid w:val="0"/>
      <w:sz w:val="22"/>
      <w:lang w:eastAsia="en-US"/>
    </w:rPr>
  </w:style>
  <w:style w:type="paragraph" w:customStyle="1" w:styleId="PBACheading10">
    <w:name w:val="PBAC heading 1"/>
    <w:qFormat/>
    <w:rsid w:val="004F75CC"/>
    <w:pPr>
      <w:snapToGrid w:val="0"/>
      <w:ind w:left="720" w:hanging="720"/>
    </w:pPr>
    <w:rPr>
      <w:rFonts w:ascii="Arial" w:hAnsi="Arial" w:cs="Arial"/>
      <w:sz w:val="22"/>
      <w:szCs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E3C1A"/>
    <w:pPr>
      <w:widowControl/>
      <w:spacing w:after="160" w:line="240" w:lineRule="exact"/>
      <w:jc w:val="left"/>
    </w:pPr>
    <w:rPr>
      <w:rFonts w:ascii="Verdana" w:eastAsia="MS Mincho" w:hAnsi="Verdana" w:cs="Verdana"/>
      <w:snapToGrid/>
      <w:sz w:val="20"/>
      <w:lang w:val="en-US"/>
    </w:rPr>
  </w:style>
  <w:style w:type="paragraph" w:styleId="FootnoteText">
    <w:name w:val="footnote text"/>
    <w:basedOn w:val="Normal"/>
    <w:link w:val="FootnoteTextChar"/>
    <w:semiHidden/>
    <w:unhideWhenUsed/>
    <w:rsid w:val="0066382A"/>
    <w:rPr>
      <w:sz w:val="20"/>
    </w:rPr>
  </w:style>
  <w:style w:type="character" w:customStyle="1" w:styleId="FootnoteTextChar">
    <w:name w:val="Footnote Text Char"/>
    <w:basedOn w:val="DefaultParagraphFont"/>
    <w:link w:val="FootnoteText"/>
    <w:semiHidden/>
    <w:rsid w:val="0066382A"/>
    <w:rPr>
      <w:rFonts w:ascii="Arial" w:hAnsi="Arial" w:cs="Arial"/>
      <w:snapToGrid w:val="0"/>
      <w:lang w:eastAsia="en-US"/>
    </w:rPr>
  </w:style>
  <w:style w:type="character" w:styleId="FootnoteReference">
    <w:name w:val="footnote reference"/>
    <w:basedOn w:val="DefaultParagraphFont"/>
    <w:semiHidden/>
    <w:unhideWhenUsed/>
    <w:rsid w:val="0066382A"/>
    <w:rPr>
      <w:vertAlign w:val="superscript"/>
    </w:rPr>
  </w:style>
  <w:style w:type="character" w:styleId="IntenseReference">
    <w:name w:val="Intense Reference"/>
    <w:basedOn w:val="DefaultParagraphFont"/>
    <w:uiPriority w:val="32"/>
    <w:rsid w:val="00A728F8"/>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uiPriority w:val="1"/>
    <w:qFormat/>
    <w:rsid w:val="000943CB"/>
    <w:pPr>
      <w:ind w:left="720" w:hanging="720"/>
      <w:jc w:val="left"/>
      <w:outlineLvl w:val="0"/>
    </w:pPr>
    <w:rPr>
      <w:rFonts w:ascii="Arial Bold" w:hAnsi="Arial Bold"/>
      <w:b/>
      <w:sz w:val="28"/>
    </w:rPr>
  </w:style>
  <w:style w:type="paragraph" w:styleId="Heading2">
    <w:name w:val="heading 2"/>
    <w:basedOn w:val="PBACHeading1"/>
    <w:next w:val="Normal"/>
    <w:link w:val="Heading2Char"/>
    <w:uiPriority w:val="9"/>
    <w:qFormat/>
    <w:rsid w:val="00272A6A"/>
    <w:pPr>
      <w:keepNext/>
      <w:outlineLvl w:val="1"/>
    </w:pPr>
    <w:rPr>
      <w:lang w:val="en-GB"/>
    </w:rPr>
  </w:style>
  <w:style w:type="paragraph" w:styleId="Heading3">
    <w:name w:val="heading 3"/>
    <w:basedOn w:val="Normal"/>
    <w:next w:val="Normal"/>
    <w:link w:val="Heading3Char"/>
    <w:uiPriority w:val="9"/>
    <w:qFormat/>
    <w:rsid w:val="00272A6A"/>
    <w:pPr>
      <w:outlineLvl w:val="2"/>
    </w:pPr>
    <w:rPr>
      <w:b/>
      <w:i/>
    </w:rPr>
  </w:style>
  <w:style w:type="paragraph" w:styleId="Heading4">
    <w:name w:val="heading 4"/>
    <w:basedOn w:val="Normal"/>
    <w:next w:val="Normal"/>
    <w:qFormat/>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qFormat/>
    <w:rsid w:val="00124A51"/>
    <w:pPr>
      <w:spacing w:before="240" w:after="60"/>
      <w:outlineLvl w:val="5"/>
    </w:pPr>
    <w:rPr>
      <w:b/>
      <w:bCs/>
      <w:i/>
      <w:szCs w:val="22"/>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uiPriority w:val="99"/>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272A6A"/>
    <w:rPr>
      <w:rFonts w:ascii="Arial" w:hAnsi="Arial" w:cs="Arial"/>
      <w:b/>
      <w:snapToGrid w:val="0"/>
      <w:sz w:val="22"/>
      <w:szCs w:val="22"/>
      <w:lang w:val="en-GB"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028CA"/>
    <w:rPr>
      <w:rFonts w:ascii="Arial Narrow" w:hAnsi="Arial Narrow"/>
      <w:b/>
      <w:bCs/>
      <w:color w:val="000000" w:themeColor="text1"/>
      <w:sz w:val="20"/>
      <w:szCs w:val="18"/>
    </w:rPr>
  </w:style>
  <w:style w:type="character" w:customStyle="1" w:styleId="CaptionChar">
    <w:name w:val="Caption Char"/>
    <w:link w:val="Caption"/>
    <w:rsid w:val="001028CA"/>
    <w:rPr>
      <w:rFonts w:ascii="Arial Narrow" w:hAnsi="Arial Narrow" w:cs="Arial"/>
      <w:b/>
      <w:bCs/>
      <w:snapToGrid w:val="0"/>
      <w:color w:val="000000" w:themeColor="text1"/>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outlineLvl w:val="9"/>
    </w:pPr>
    <w:rPr>
      <w:rFonts w:asciiTheme="majorHAnsi" w:eastAsiaTheme="majorEastAsia" w:hAnsiTheme="majorHAnsi" w:cstheme="majorBidi"/>
      <w:bCs/>
      <w:snapToGrid/>
      <w:color w:val="365F91" w:themeColor="accent1" w:themeShade="BF"/>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character" w:customStyle="1" w:styleId="jrnl">
    <w:name w:val="jrnl"/>
    <w:basedOn w:val="DefaultParagraphFont"/>
    <w:rsid w:val="00DF70A3"/>
  </w:style>
  <w:style w:type="paragraph" w:customStyle="1" w:styleId="bulletpointstyle">
    <w:name w:val="bullet point style"/>
    <w:basedOn w:val="Normal"/>
    <w:link w:val="bulletpointstyleChar"/>
    <w:qFormat/>
    <w:rsid w:val="00794ED6"/>
    <w:pPr>
      <w:widowControl/>
      <w:numPr>
        <w:numId w:val="3"/>
      </w:numPr>
    </w:pPr>
    <w:rPr>
      <w:rFonts w:ascii="Times New Roman" w:hAnsi="Times New Roman" w:cs="Times New Roman"/>
      <w:snapToGrid/>
      <w:sz w:val="24"/>
      <w:szCs w:val="24"/>
    </w:rPr>
  </w:style>
  <w:style w:type="character" w:customStyle="1" w:styleId="bulletpointstyleChar">
    <w:name w:val="bullet point style Char"/>
    <w:basedOn w:val="DefaultParagraphFont"/>
    <w:link w:val="bulletpointstyle"/>
    <w:rsid w:val="00794ED6"/>
    <w:rPr>
      <w:sz w:val="24"/>
      <w:szCs w:val="24"/>
      <w:lang w:eastAsia="en-US"/>
    </w:rPr>
  </w:style>
  <w:style w:type="paragraph" w:customStyle="1" w:styleId="TableText1">
    <w:name w:val="Table Text"/>
    <w:basedOn w:val="Normal"/>
    <w:qFormat/>
    <w:rsid w:val="00794ED6"/>
    <w:pPr>
      <w:widowControl/>
      <w:jc w:val="left"/>
    </w:pPr>
    <w:rPr>
      <w:rFonts w:cs="Times New Roman"/>
      <w:snapToGrid/>
      <w:sz w:val="20"/>
      <w:szCs w:val="22"/>
      <w:lang w:eastAsia="en-AU"/>
    </w:rPr>
  </w:style>
  <w:style w:type="paragraph" w:customStyle="1" w:styleId="tabletext2">
    <w:name w:val="table text"/>
    <w:basedOn w:val="TableText1"/>
    <w:qFormat/>
    <w:rsid w:val="00D404E1"/>
    <w:pPr>
      <w:keepNext/>
    </w:pPr>
    <w:rPr>
      <w:rFonts w:cs="Arial"/>
      <w:color w:val="000000"/>
      <w:szCs w:val="20"/>
    </w:rPr>
  </w:style>
  <w:style w:type="paragraph" w:customStyle="1" w:styleId="Tabletextindent">
    <w:name w:val="Table text indent"/>
    <w:basedOn w:val="Tabletext"/>
    <w:qFormat/>
    <w:rsid w:val="002A256C"/>
    <w:pPr>
      <w:spacing w:before="60" w:after="60"/>
      <w:ind w:left="170"/>
    </w:pPr>
    <w:rPr>
      <w:rFonts w:ascii="Verdana" w:hAnsi="Verdana"/>
      <w:sz w:val="18"/>
      <w:lang w:val="en-US"/>
    </w:rPr>
  </w:style>
  <w:style w:type="paragraph" w:customStyle="1" w:styleId="Tablebold">
    <w:name w:val="Table bold"/>
    <w:basedOn w:val="Tabletext"/>
    <w:qFormat/>
    <w:rsid w:val="00AF0FF2"/>
    <w:pPr>
      <w:spacing w:before="60" w:after="60"/>
    </w:pPr>
    <w:rPr>
      <w:rFonts w:ascii="Verdana" w:hAnsi="Verdana"/>
      <w:b/>
      <w:sz w:val="18"/>
      <w:lang w:val="en-US"/>
    </w:rPr>
  </w:style>
  <w:style w:type="character" w:customStyle="1" w:styleId="ListParagraphChar">
    <w:name w:val="List Paragraph Char"/>
    <w:aliases w:val="BulletPoints Char"/>
    <w:basedOn w:val="DefaultParagraphFont"/>
    <w:link w:val="ListParagraph"/>
    <w:uiPriority w:val="72"/>
    <w:rsid w:val="00127939"/>
    <w:rPr>
      <w:rFonts w:ascii="Arial" w:hAnsi="Arial" w:cs="Arial"/>
      <w:snapToGrid w:val="0"/>
      <w:sz w:val="22"/>
      <w:lang w:eastAsia="en-US"/>
    </w:rPr>
  </w:style>
  <w:style w:type="paragraph" w:customStyle="1" w:styleId="Tablenote">
    <w:name w:val="Table note"/>
    <w:basedOn w:val="Normal"/>
    <w:next w:val="Normal"/>
    <w:qFormat/>
    <w:rsid w:val="002933B6"/>
    <w:pPr>
      <w:widowControl/>
      <w:spacing w:after="240"/>
    </w:pPr>
    <w:rPr>
      <w:rFonts w:ascii="Verdana" w:hAnsi="Verdana" w:cs="Times New Roman"/>
      <w:snapToGrid/>
      <w:sz w:val="18"/>
      <w:lang w:val="en-US"/>
    </w:rPr>
  </w:style>
  <w:style w:type="character" w:customStyle="1" w:styleId="Heading3Char">
    <w:name w:val="Heading 3 Char"/>
    <w:basedOn w:val="DefaultParagraphFont"/>
    <w:link w:val="Heading3"/>
    <w:uiPriority w:val="9"/>
    <w:rsid w:val="00272A6A"/>
    <w:rPr>
      <w:rFonts w:ascii="Arial" w:hAnsi="Arial" w:cs="Arial"/>
      <w:b/>
      <w:i/>
      <w:snapToGrid w:val="0"/>
      <w:sz w:val="22"/>
      <w:lang w:eastAsia="en-US"/>
    </w:rPr>
  </w:style>
  <w:style w:type="paragraph" w:customStyle="1" w:styleId="PBACheading10">
    <w:name w:val="PBAC heading 1"/>
    <w:qFormat/>
    <w:rsid w:val="004F75CC"/>
    <w:pPr>
      <w:snapToGrid w:val="0"/>
      <w:ind w:left="720" w:hanging="720"/>
    </w:pPr>
    <w:rPr>
      <w:rFonts w:ascii="Arial" w:hAnsi="Arial" w:cs="Arial"/>
      <w:sz w:val="22"/>
      <w:szCs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E3C1A"/>
    <w:pPr>
      <w:widowControl/>
      <w:spacing w:after="160" w:line="240" w:lineRule="exact"/>
      <w:jc w:val="left"/>
    </w:pPr>
    <w:rPr>
      <w:rFonts w:ascii="Verdana" w:eastAsia="MS Mincho" w:hAnsi="Verdana" w:cs="Verdana"/>
      <w:snapToGrid/>
      <w:sz w:val="20"/>
      <w:lang w:val="en-US"/>
    </w:rPr>
  </w:style>
  <w:style w:type="paragraph" w:styleId="FootnoteText">
    <w:name w:val="footnote text"/>
    <w:basedOn w:val="Normal"/>
    <w:link w:val="FootnoteTextChar"/>
    <w:semiHidden/>
    <w:unhideWhenUsed/>
    <w:rsid w:val="0066382A"/>
    <w:rPr>
      <w:sz w:val="20"/>
    </w:rPr>
  </w:style>
  <w:style w:type="character" w:customStyle="1" w:styleId="FootnoteTextChar">
    <w:name w:val="Footnote Text Char"/>
    <w:basedOn w:val="DefaultParagraphFont"/>
    <w:link w:val="FootnoteText"/>
    <w:semiHidden/>
    <w:rsid w:val="0066382A"/>
    <w:rPr>
      <w:rFonts w:ascii="Arial" w:hAnsi="Arial" w:cs="Arial"/>
      <w:snapToGrid w:val="0"/>
      <w:lang w:eastAsia="en-US"/>
    </w:rPr>
  </w:style>
  <w:style w:type="character" w:styleId="FootnoteReference">
    <w:name w:val="footnote reference"/>
    <w:basedOn w:val="DefaultParagraphFont"/>
    <w:semiHidden/>
    <w:unhideWhenUsed/>
    <w:rsid w:val="0066382A"/>
    <w:rPr>
      <w:vertAlign w:val="superscript"/>
    </w:rPr>
  </w:style>
  <w:style w:type="character" w:styleId="IntenseReference">
    <w:name w:val="Intense Reference"/>
    <w:basedOn w:val="DefaultParagraphFont"/>
    <w:uiPriority w:val="32"/>
    <w:rsid w:val="00A728F8"/>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88619">
      <w:bodyDiv w:val="1"/>
      <w:marLeft w:val="0"/>
      <w:marRight w:val="0"/>
      <w:marTop w:val="0"/>
      <w:marBottom w:val="0"/>
      <w:divBdr>
        <w:top w:val="none" w:sz="0" w:space="0" w:color="auto"/>
        <w:left w:val="none" w:sz="0" w:space="0" w:color="auto"/>
        <w:bottom w:val="none" w:sz="0" w:space="0" w:color="auto"/>
        <w:right w:val="none" w:sz="0" w:space="0" w:color="auto"/>
      </w:divBdr>
    </w:div>
    <w:div w:id="216400171">
      <w:bodyDiv w:val="1"/>
      <w:marLeft w:val="0"/>
      <w:marRight w:val="0"/>
      <w:marTop w:val="0"/>
      <w:marBottom w:val="0"/>
      <w:divBdr>
        <w:top w:val="none" w:sz="0" w:space="0" w:color="auto"/>
        <w:left w:val="none" w:sz="0" w:space="0" w:color="auto"/>
        <w:bottom w:val="none" w:sz="0" w:space="0" w:color="auto"/>
        <w:right w:val="none" w:sz="0" w:space="0" w:color="auto"/>
      </w:divBdr>
    </w:div>
    <w:div w:id="244805950">
      <w:bodyDiv w:val="1"/>
      <w:marLeft w:val="0"/>
      <w:marRight w:val="0"/>
      <w:marTop w:val="0"/>
      <w:marBottom w:val="0"/>
      <w:divBdr>
        <w:top w:val="none" w:sz="0" w:space="0" w:color="auto"/>
        <w:left w:val="none" w:sz="0" w:space="0" w:color="auto"/>
        <w:bottom w:val="none" w:sz="0" w:space="0" w:color="auto"/>
        <w:right w:val="none" w:sz="0" w:space="0" w:color="auto"/>
      </w:divBdr>
    </w:div>
    <w:div w:id="282464186">
      <w:bodyDiv w:val="1"/>
      <w:marLeft w:val="0"/>
      <w:marRight w:val="0"/>
      <w:marTop w:val="0"/>
      <w:marBottom w:val="0"/>
      <w:divBdr>
        <w:top w:val="none" w:sz="0" w:space="0" w:color="auto"/>
        <w:left w:val="none" w:sz="0" w:space="0" w:color="auto"/>
        <w:bottom w:val="none" w:sz="0" w:space="0" w:color="auto"/>
        <w:right w:val="none" w:sz="0" w:space="0" w:color="auto"/>
      </w:divBdr>
    </w:div>
    <w:div w:id="591280174">
      <w:bodyDiv w:val="1"/>
      <w:marLeft w:val="0"/>
      <w:marRight w:val="0"/>
      <w:marTop w:val="0"/>
      <w:marBottom w:val="0"/>
      <w:divBdr>
        <w:top w:val="none" w:sz="0" w:space="0" w:color="auto"/>
        <w:left w:val="none" w:sz="0" w:space="0" w:color="auto"/>
        <w:bottom w:val="none" w:sz="0" w:space="0" w:color="auto"/>
        <w:right w:val="none" w:sz="0" w:space="0" w:color="auto"/>
      </w:divBdr>
    </w:div>
    <w:div w:id="646475414">
      <w:bodyDiv w:val="1"/>
      <w:marLeft w:val="0"/>
      <w:marRight w:val="0"/>
      <w:marTop w:val="0"/>
      <w:marBottom w:val="0"/>
      <w:divBdr>
        <w:top w:val="none" w:sz="0" w:space="0" w:color="auto"/>
        <w:left w:val="none" w:sz="0" w:space="0" w:color="auto"/>
        <w:bottom w:val="none" w:sz="0" w:space="0" w:color="auto"/>
        <w:right w:val="none" w:sz="0" w:space="0" w:color="auto"/>
      </w:divBdr>
    </w:div>
    <w:div w:id="653067917">
      <w:bodyDiv w:val="1"/>
      <w:marLeft w:val="0"/>
      <w:marRight w:val="0"/>
      <w:marTop w:val="0"/>
      <w:marBottom w:val="0"/>
      <w:divBdr>
        <w:top w:val="none" w:sz="0" w:space="0" w:color="auto"/>
        <w:left w:val="none" w:sz="0" w:space="0" w:color="auto"/>
        <w:bottom w:val="none" w:sz="0" w:space="0" w:color="auto"/>
        <w:right w:val="none" w:sz="0" w:space="0" w:color="auto"/>
      </w:divBdr>
    </w:div>
    <w:div w:id="720054398">
      <w:bodyDiv w:val="1"/>
      <w:marLeft w:val="0"/>
      <w:marRight w:val="0"/>
      <w:marTop w:val="0"/>
      <w:marBottom w:val="0"/>
      <w:divBdr>
        <w:top w:val="none" w:sz="0" w:space="0" w:color="auto"/>
        <w:left w:val="none" w:sz="0" w:space="0" w:color="auto"/>
        <w:bottom w:val="none" w:sz="0" w:space="0" w:color="auto"/>
        <w:right w:val="none" w:sz="0" w:space="0" w:color="auto"/>
      </w:divBdr>
    </w:div>
    <w:div w:id="737821750">
      <w:bodyDiv w:val="1"/>
      <w:marLeft w:val="0"/>
      <w:marRight w:val="0"/>
      <w:marTop w:val="0"/>
      <w:marBottom w:val="0"/>
      <w:divBdr>
        <w:top w:val="none" w:sz="0" w:space="0" w:color="auto"/>
        <w:left w:val="none" w:sz="0" w:space="0" w:color="auto"/>
        <w:bottom w:val="none" w:sz="0" w:space="0" w:color="auto"/>
        <w:right w:val="none" w:sz="0" w:space="0" w:color="auto"/>
      </w:divBdr>
    </w:div>
    <w:div w:id="843596585">
      <w:bodyDiv w:val="1"/>
      <w:marLeft w:val="0"/>
      <w:marRight w:val="0"/>
      <w:marTop w:val="0"/>
      <w:marBottom w:val="0"/>
      <w:divBdr>
        <w:top w:val="none" w:sz="0" w:space="0" w:color="auto"/>
        <w:left w:val="none" w:sz="0" w:space="0" w:color="auto"/>
        <w:bottom w:val="none" w:sz="0" w:space="0" w:color="auto"/>
        <w:right w:val="none" w:sz="0" w:space="0" w:color="auto"/>
      </w:divBdr>
    </w:div>
    <w:div w:id="925309626">
      <w:bodyDiv w:val="1"/>
      <w:marLeft w:val="0"/>
      <w:marRight w:val="0"/>
      <w:marTop w:val="0"/>
      <w:marBottom w:val="0"/>
      <w:divBdr>
        <w:top w:val="none" w:sz="0" w:space="0" w:color="auto"/>
        <w:left w:val="none" w:sz="0" w:space="0" w:color="auto"/>
        <w:bottom w:val="none" w:sz="0" w:space="0" w:color="auto"/>
        <w:right w:val="none" w:sz="0" w:space="0" w:color="auto"/>
      </w:divBdr>
    </w:div>
    <w:div w:id="977877272">
      <w:bodyDiv w:val="1"/>
      <w:marLeft w:val="0"/>
      <w:marRight w:val="0"/>
      <w:marTop w:val="0"/>
      <w:marBottom w:val="0"/>
      <w:divBdr>
        <w:top w:val="none" w:sz="0" w:space="0" w:color="auto"/>
        <w:left w:val="none" w:sz="0" w:space="0" w:color="auto"/>
        <w:bottom w:val="none" w:sz="0" w:space="0" w:color="auto"/>
        <w:right w:val="none" w:sz="0" w:space="0" w:color="auto"/>
      </w:divBdr>
    </w:div>
    <w:div w:id="1109280876">
      <w:bodyDiv w:val="1"/>
      <w:marLeft w:val="0"/>
      <w:marRight w:val="0"/>
      <w:marTop w:val="0"/>
      <w:marBottom w:val="0"/>
      <w:divBdr>
        <w:top w:val="none" w:sz="0" w:space="0" w:color="auto"/>
        <w:left w:val="none" w:sz="0" w:space="0" w:color="auto"/>
        <w:bottom w:val="none" w:sz="0" w:space="0" w:color="auto"/>
        <w:right w:val="none" w:sz="0" w:space="0" w:color="auto"/>
      </w:divBdr>
    </w:div>
    <w:div w:id="1132020867">
      <w:bodyDiv w:val="1"/>
      <w:marLeft w:val="0"/>
      <w:marRight w:val="0"/>
      <w:marTop w:val="0"/>
      <w:marBottom w:val="0"/>
      <w:divBdr>
        <w:top w:val="none" w:sz="0" w:space="0" w:color="auto"/>
        <w:left w:val="none" w:sz="0" w:space="0" w:color="auto"/>
        <w:bottom w:val="none" w:sz="0" w:space="0" w:color="auto"/>
        <w:right w:val="none" w:sz="0" w:space="0" w:color="auto"/>
      </w:divBdr>
    </w:div>
    <w:div w:id="1158184300">
      <w:bodyDiv w:val="1"/>
      <w:marLeft w:val="0"/>
      <w:marRight w:val="0"/>
      <w:marTop w:val="0"/>
      <w:marBottom w:val="0"/>
      <w:divBdr>
        <w:top w:val="none" w:sz="0" w:space="0" w:color="auto"/>
        <w:left w:val="none" w:sz="0" w:space="0" w:color="auto"/>
        <w:bottom w:val="none" w:sz="0" w:space="0" w:color="auto"/>
        <w:right w:val="none" w:sz="0" w:space="0" w:color="auto"/>
      </w:divBdr>
    </w:div>
    <w:div w:id="1230119512">
      <w:bodyDiv w:val="1"/>
      <w:marLeft w:val="0"/>
      <w:marRight w:val="0"/>
      <w:marTop w:val="0"/>
      <w:marBottom w:val="0"/>
      <w:divBdr>
        <w:top w:val="none" w:sz="0" w:space="0" w:color="auto"/>
        <w:left w:val="none" w:sz="0" w:space="0" w:color="auto"/>
        <w:bottom w:val="none" w:sz="0" w:space="0" w:color="auto"/>
        <w:right w:val="none" w:sz="0" w:space="0" w:color="auto"/>
      </w:divBdr>
    </w:div>
    <w:div w:id="1269850450">
      <w:bodyDiv w:val="1"/>
      <w:marLeft w:val="0"/>
      <w:marRight w:val="0"/>
      <w:marTop w:val="0"/>
      <w:marBottom w:val="0"/>
      <w:divBdr>
        <w:top w:val="none" w:sz="0" w:space="0" w:color="auto"/>
        <w:left w:val="none" w:sz="0" w:space="0" w:color="auto"/>
        <w:bottom w:val="none" w:sz="0" w:space="0" w:color="auto"/>
        <w:right w:val="none" w:sz="0" w:space="0" w:color="auto"/>
      </w:divBdr>
    </w:div>
    <w:div w:id="1281035934">
      <w:bodyDiv w:val="1"/>
      <w:marLeft w:val="0"/>
      <w:marRight w:val="0"/>
      <w:marTop w:val="0"/>
      <w:marBottom w:val="0"/>
      <w:divBdr>
        <w:top w:val="none" w:sz="0" w:space="0" w:color="auto"/>
        <w:left w:val="none" w:sz="0" w:space="0" w:color="auto"/>
        <w:bottom w:val="none" w:sz="0" w:space="0" w:color="auto"/>
        <w:right w:val="none" w:sz="0" w:space="0" w:color="auto"/>
      </w:divBdr>
    </w:div>
    <w:div w:id="1290285616">
      <w:bodyDiv w:val="1"/>
      <w:marLeft w:val="0"/>
      <w:marRight w:val="0"/>
      <w:marTop w:val="0"/>
      <w:marBottom w:val="0"/>
      <w:divBdr>
        <w:top w:val="none" w:sz="0" w:space="0" w:color="auto"/>
        <w:left w:val="none" w:sz="0" w:space="0" w:color="auto"/>
        <w:bottom w:val="none" w:sz="0" w:space="0" w:color="auto"/>
        <w:right w:val="none" w:sz="0" w:space="0" w:color="auto"/>
      </w:divBdr>
    </w:div>
    <w:div w:id="1322386397">
      <w:bodyDiv w:val="1"/>
      <w:marLeft w:val="0"/>
      <w:marRight w:val="0"/>
      <w:marTop w:val="0"/>
      <w:marBottom w:val="0"/>
      <w:divBdr>
        <w:top w:val="none" w:sz="0" w:space="0" w:color="auto"/>
        <w:left w:val="none" w:sz="0" w:space="0" w:color="auto"/>
        <w:bottom w:val="none" w:sz="0" w:space="0" w:color="auto"/>
        <w:right w:val="none" w:sz="0" w:space="0" w:color="auto"/>
      </w:divBdr>
    </w:div>
    <w:div w:id="1365205204">
      <w:bodyDiv w:val="1"/>
      <w:marLeft w:val="0"/>
      <w:marRight w:val="0"/>
      <w:marTop w:val="0"/>
      <w:marBottom w:val="0"/>
      <w:divBdr>
        <w:top w:val="none" w:sz="0" w:space="0" w:color="auto"/>
        <w:left w:val="none" w:sz="0" w:space="0" w:color="auto"/>
        <w:bottom w:val="none" w:sz="0" w:space="0" w:color="auto"/>
        <w:right w:val="none" w:sz="0" w:space="0" w:color="auto"/>
      </w:divBdr>
    </w:div>
    <w:div w:id="1655377844">
      <w:bodyDiv w:val="1"/>
      <w:marLeft w:val="0"/>
      <w:marRight w:val="0"/>
      <w:marTop w:val="0"/>
      <w:marBottom w:val="0"/>
      <w:divBdr>
        <w:top w:val="none" w:sz="0" w:space="0" w:color="auto"/>
        <w:left w:val="none" w:sz="0" w:space="0" w:color="auto"/>
        <w:bottom w:val="none" w:sz="0" w:space="0" w:color="auto"/>
        <w:right w:val="none" w:sz="0" w:space="0" w:color="auto"/>
      </w:divBdr>
    </w:div>
    <w:div w:id="1806697521">
      <w:bodyDiv w:val="1"/>
      <w:marLeft w:val="0"/>
      <w:marRight w:val="0"/>
      <w:marTop w:val="0"/>
      <w:marBottom w:val="0"/>
      <w:divBdr>
        <w:top w:val="none" w:sz="0" w:space="0" w:color="auto"/>
        <w:left w:val="none" w:sz="0" w:space="0" w:color="auto"/>
        <w:bottom w:val="none" w:sz="0" w:space="0" w:color="auto"/>
        <w:right w:val="none" w:sz="0" w:space="0" w:color="auto"/>
      </w:divBdr>
    </w:div>
    <w:div w:id="1808205542">
      <w:bodyDiv w:val="1"/>
      <w:marLeft w:val="0"/>
      <w:marRight w:val="0"/>
      <w:marTop w:val="0"/>
      <w:marBottom w:val="0"/>
      <w:divBdr>
        <w:top w:val="none" w:sz="0" w:space="0" w:color="auto"/>
        <w:left w:val="none" w:sz="0" w:space="0" w:color="auto"/>
        <w:bottom w:val="none" w:sz="0" w:space="0" w:color="auto"/>
        <w:right w:val="none" w:sz="0" w:space="0" w:color="auto"/>
      </w:divBdr>
    </w:div>
    <w:div w:id="1831827571">
      <w:bodyDiv w:val="1"/>
      <w:marLeft w:val="0"/>
      <w:marRight w:val="0"/>
      <w:marTop w:val="0"/>
      <w:marBottom w:val="0"/>
      <w:divBdr>
        <w:top w:val="none" w:sz="0" w:space="0" w:color="auto"/>
        <w:left w:val="none" w:sz="0" w:space="0" w:color="auto"/>
        <w:bottom w:val="none" w:sz="0" w:space="0" w:color="auto"/>
        <w:right w:val="none" w:sz="0" w:space="0" w:color="auto"/>
      </w:divBdr>
    </w:div>
    <w:div w:id="1900243743">
      <w:bodyDiv w:val="1"/>
      <w:marLeft w:val="0"/>
      <w:marRight w:val="0"/>
      <w:marTop w:val="0"/>
      <w:marBottom w:val="0"/>
      <w:divBdr>
        <w:top w:val="none" w:sz="0" w:space="0" w:color="auto"/>
        <w:left w:val="none" w:sz="0" w:space="0" w:color="auto"/>
        <w:bottom w:val="none" w:sz="0" w:space="0" w:color="auto"/>
        <w:right w:val="none" w:sz="0" w:space="0" w:color="auto"/>
      </w:divBdr>
    </w:div>
    <w:div w:id="207253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B2E3E-DFE5-4FDF-881B-BB8DEA8B3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7990</Words>
  <Characters>45798</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2017-02-06T23:12:00Z</dcterms:created>
  <dcterms:modified xsi:type="dcterms:W3CDTF">2017-02-16T23:29:00Z</dcterms:modified>
</cp:coreProperties>
</file>