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E2" w:rsidRPr="00FA4DD8" w:rsidRDefault="006608E2" w:rsidP="00B96ED7">
      <w:pPr>
        <w:pStyle w:val="Title"/>
        <w:spacing w:after="0"/>
        <w:ind w:left="720" w:hanging="720"/>
        <w:contextualSpacing w:val="0"/>
        <w:rPr>
          <w:rFonts w:ascii="Arial" w:hAnsi="Arial" w:cs="Arial"/>
          <w:sz w:val="24"/>
          <w:szCs w:val="24"/>
        </w:rPr>
      </w:pPr>
      <w:bookmarkStart w:id="0" w:name="_GoBack"/>
      <w:bookmarkEnd w:id="0"/>
      <w:r>
        <w:rPr>
          <w:szCs w:val="28"/>
        </w:rPr>
        <w:t>7.13</w:t>
      </w:r>
      <w:r w:rsidRPr="006D6EC7">
        <w:rPr>
          <w:szCs w:val="28"/>
        </w:rPr>
        <w:tab/>
      </w:r>
      <w:r w:rsidR="00333233">
        <w:rPr>
          <w:szCs w:val="28"/>
        </w:rPr>
        <w:t>CETUXIMAB</w:t>
      </w:r>
      <w:r w:rsidRPr="0099542A">
        <w:rPr>
          <w:szCs w:val="28"/>
        </w:rPr>
        <w:t xml:space="preserve"> </w:t>
      </w:r>
      <w:r w:rsidR="00B96ED7">
        <w:rPr>
          <w:szCs w:val="28"/>
        </w:rPr>
        <w:br/>
      </w:r>
      <w:r>
        <w:rPr>
          <w:szCs w:val="28"/>
        </w:rPr>
        <w:t>S</w:t>
      </w:r>
      <w:r w:rsidRPr="0099542A">
        <w:rPr>
          <w:szCs w:val="28"/>
        </w:rPr>
        <w:t xml:space="preserve">olution for intravenous (IV) infusion, </w:t>
      </w:r>
      <w:r w:rsidR="00B96ED7">
        <w:rPr>
          <w:szCs w:val="28"/>
        </w:rPr>
        <w:br/>
      </w:r>
      <w:r w:rsidRPr="0099542A">
        <w:rPr>
          <w:szCs w:val="28"/>
        </w:rPr>
        <w:t xml:space="preserve">100 mg in 20 mL </w:t>
      </w:r>
      <w:r>
        <w:rPr>
          <w:szCs w:val="28"/>
        </w:rPr>
        <w:t>and</w:t>
      </w:r>
      <w:r w:rsidRPr="0099542A">
        <w:rPr>
          <w:szCs w:val="28"/>
        </w:rPr>
        <w:t xml:space="preserve"> 500 mg in 100 mL, </w:t>
      </w:r>
      <w:r w:rsidR="00B96ED7">
        <w:rPr>
          <w:szCs w:val="28"/>
        </w:rPr>
        <w:br/>
      </w:r>
      <w:r w:rsidRPr="0099542A">
        <w:rPr>
          <w:szCs w:val="28"/>
        </w:rPr>
        <w:t>Erbitux</w:t>
      </w:r>
      <w:r w:rsidRPr="00F7167E">
        <w:rPr>
          <w:szCs w:val="28"/>
          <w:vertAlign w:val="superscript"/>
        </w:rPr>
        <w:t>®</w:t>
      </w:r>
      <w:r w:rsidRPr="0099542A">
        <w:rPr>
          <w:szCs w:val="28"/>
        </w:rPr>
        <w:t xml:space="preserve">, </w:t>
      </w:r>
      <w:r w:rsidR="00F7167E">
        <w:rPr>
          <w:szCs w:val="28"/>
        </w:rPr>
        <w:br/>
      </w:r>
      <w:r w:rsidRPr="0099542A">
        <w:rPr>
          <w:szCs w:val="28"/>
          <w:lang w:val="it-IT"/>
        </w:rPr>
        <w:t>Merck Serono Australia Pty Ltd</w:t>
      </w:r>
      <w:r w:rsidR="00F7167E">
        <w:rPr>
          <w:szCs w:val="28"/>
          <w:lang w:val="it-IT"/>
        </w:rPr>
        <w:t>.</w:t>
      </w:r>
      <w:r w:rsidR="00B96ED7">
        <w:rPr>
          <w:szCs w:val="28"/>
          <w:lang w:val="it-IT"/>
        </w:rPr>
        <w:br/>
      </w:r>
      <w:r w:rsidR="00B96ED7" w:rsidRPr="00FA4DD8">
        <w:rPr>
          <w:rFonts w:ascii="Arial" w:hAnsi="Arial" w:cs="Arial"/>
          <w:sz w:val="24"/>
          <w:szCs w:val="24"/>
          <w:lang w:val="it-IT"/>
        </w:rPr>
        <w:br/>
      </w:r>
    </w:p>
    <w:p w:rsidR="006608E2" w:rsidRDefault="006608E2" w:rsidP="006608E2">
      <w:pPr>
        <w:pStyle w:val="PBACHeading1"/>
        <w:numPr>
          <w:ilvl w:val="0"/>
          <w:numId w:val="5"/>
        </w:numPr>
      </w:pPr>
      <w:r w:rsidRPr="00C603D4">
        <w:t>Purpose of Application</w:t>
      </w:r>
    </w:p>
    <w:p w:rsidR="006608E2" w:rsidRPr="00E15627" w:rsidRDefault="006608E2" w:rsidP="006608E2"/>
    <w:p w:rsidR="006608E2" w:rsidRPr="00F9629A" w:rsidRDefault="006608E2" w:rsidP="006608E2">
      <w:pPr>
        <w:pStyle w:val="ListParagraph"/>
        <w:numPr>
          <w:ilvl w:val="1"/>
          <w:numId w:val="5"/>
        </w:numPr>
      </w:pPr>
      <w:r>
        <w:rPr>
          <w:szCs w:val="22"/>
        </w:rPr>
        <w:t xml:space="preserve">The minor resubmission requested a </w:t>
      </w:r>
      <w:r w:rsidRPr="009635E0">
        <w:t>Section 100</w:t>
      </w:r>
      <w:r>
        <w:t xml:space="preserve"> (Efficient Funding of Chemotherapy) </w:t>
      </w:r>
      <w:r w:rsidRPr="009635E0">
        <w:t xml:space="preserve">listing for </w:t>
      </w:r>
      <w:r>
        <w:t xml:space="preserve">cetuximab, in combination with platinum-based chemotherapy, </w:t>
      </w:r>
      <w:r w:rsidRPr="009635E0">
        <w:t xml:space="preserve">for </w:t>
      </w:r>
      <w:r>
        <w:t xml:space="preserve">the </w:t>
      </w:r>
      <w:r w:rsidRPr="009635E0">
        <w:t xml:space="preserve">treatment of </w:t>
      </w:r>
      <w:r>
        <w:t xml:space="preserve">patients </w:t>
      </w:r>
      <w:r w:rsidRPr="009635E0">
        <w:t xml:space="preserve">with previously untreated metastatic and/or recurrent squamous cell carcinoma </w:t>
      </w:r>
      <w:r>
        <w:t>of the head and neck</w:t>
      </w:r>
      <w:r w:rsidR="00A10416">
        <w:t xml:space="preserve"> (RM SCCHN)</w:t>
      </w:r>
      <w:r>
        <w:t>.</w:t>
      </w:r>
    </w:p>
    <w:p w:rsidR="006608E2" w:rsidRDefault="006608E2" w:rsidP="006608E2">
      <w:pPr>
        <w:pStyle w:val="NoSpacing"/>
      </w:pPr>
    </w:p>
    <w:p w:rsidR="004F158B" w:rsidRPr="00C27B58" w:rsidRDefault="004F158B" w:rsidP="006608E2">
      <w:pPr>
        <w:pStyle w:val="NoSpacing"/>
      </w:pPr>
    </w:p>
    <w:p w:rsidR="006608E2" w:rsidRPr="00962223" w:rsidRDefault="006608E2" w:rsidP="006608E2">
      <w:pPr>
        <w:pStyle w:val="PBACHeading1"/>
        <w:numPr>
          <w:ilvl w:val="0"/>
          <w:numId w:val="5"/>
        </w:numPr>
      </w:pPr>
      <w:r w:rsidRPr="004A2484">
        <w:t>Requested listing</w:t>
      </w:r>
    </w:p>
    <w:p w:rsidR="006608E2" w:rsidRPr="00882085" w:rsidRDefault="006608E2" w:rsidP="006608E2">
      <w:pPr>
        <w:jc w:val="both"/>
        <w:rPr>
          <w:rFonts w:ascii="Arial" w:hAnsi="Arial"/>
          <w:b/>
          <w:sz w:val="22"/>
          <w:szCs w:val="22"/>
        </w:rPr>
      </w:pPr>
    </w:p>
    <w:p w:rsidR="006608E2" w:rsidRPr="00834382" w:rsidRDefault="006608E2" w:rsidP="006608E2">
      <w:pPr>
        <w:pStyle w:val="ListParagraph"/>
        <w:numPr>
          <w:ilvl w:val="1"/>
          <w:numId w:val="5"/>
        </w:numPr>
        <w:rPr>
          <w:szCs w:val="22"/>
        </w:rPr>
      </w:pPr>
      <w:r w:rsidRPr="00077143">
        <w:rPr>
          <w:szCs w:val="22"/>
        </w:rPr>
        <w:t xml:space="preserve">The </w:t>
      </w:r>
      <w:r>
        <w:rPr>
          <w:szCs w:val="22"/>
        </w:rPr>
        <w:t xml:space="preserve">minor resubmission </w:t>
      </w:r>
      <w:r w:rsidR="00717D18">
        <w:rPr>
          <w:szCs w:val="22"/>
        </w:rPr>
        <w:t xml:space="preserve">requested listing for the treatment of </w:t>
      </w:r>
      <w:r w:rsidR="00CF1421">
        <w:rPr>
          <w:szCs w:val="22"/>
        </w:rPr>
        <w:t xml:space="preserve">all patients with </w:t>
      </w:r>
      <w:r w:rsidR="00717D18">
        <w:rPr>
          <w:szCs w:val="22"/>
        </w:rPr>
        <w:t>RM SCCHN</w:t>
      </w:r>
      <w:r w:rsidRPr="007F5C29">
        <w:rPr>
          <w:szCs w:val="22"/>
        </w:rPr>
        <w:t>.</w:t>
      </w:r>
      <w:r w:rsidR="00717D18" w:rsidRPr="007F5C29">
        <w:rPr>
          <w:szCs w:val="22"/>
        </w:rPr>
        <w:t xml:space="preserve"> </w:t>
      </w:r>
      <w:r w:rsidR="00CF1421">
        <w:rPr>
          <w:szCs w:val="22"/>
        </w:rPr>
        <w:t xml:space="preserve">This listing was </w:t>
      </w:r>
      <w:r w:rsidR="000D2865">
        <w:rPr>
          <w:szCs w:val="22"/>
        </w:rPr>
        <w:t xml:space="preserve">broader than that requested in </w:t>
      </w:r>
      <w:r w:rsidR="000D2865">
        <w:rPr>
          <w:iCs/>
          <w:szCs w:val="22"/>
        </w:rPr>
        <w:t>t</w:t>
      </w:r>
      <w:r w:rsidR="00717D18" w:rsidRPr="007F5C29">
        <w:rPr>
          <w:iCs/>
          <w:szCs w:val="22"/>
        </w:rPr>
        <w:t>he March 2016 submission</w:t>
      </w:r>
      <w:r w:rsidR="000D2865">
        <w:rPr>
          <w:iCs/>
          <w:szCs w:val="22"/>
        </w:rPr>
        <w:t>, which</w:t>
      </w:r>
      <w:r w:rsidR="00717D18" w:rsidRPr="007F5C29">
        <w:rPr>
          <w:iCs/>
          <w:szCs w:val="22"/>
        </w:rPr>
        <w:t xml:space="preserve"> requested a listing for the subgroup of patients with </w:t>
      </w:r>
      <w:r w:rsidR="00A10416">
        <w:rPr>
          <w:lang w:val="en-GB"/>
        </w:rPr>
        <w:t>RM SCCHN</w:t>
      </w:r>
      <w:r w:rsidR="00717D18" w:rsidRPr="007F5C29">
        <w:rPr>
          <w:iCs/>
          <w:szCs w:val="22"/>
        </w:rPr>
        <w:t xml:space="preserve">. </w:t>
      </w:r>
      <w:r w:rsidR="00717D18" w:rsidRPr="007F5C29">
        <w:rPr>
          <w:szCs w:val="22"/>
        </w:rPr>
        <w:t>Proposed wording for the requested listing was not presented</w:t>
      </w:r>
      <w:r w:rsidR="004C4448">
        <w:rPr>
          <w:szCs w:val="22"/>
        </w:rPr>
        <w:t xml:space="preserve"> in the minor submission</w:t>
      </w:r>
      <w:r w:rsidR="00717D18" w:rsidRPr="007F5C29">
        <w:rPr>
          <w:szCs w:val="22"/>
        </w:rPr>
        <w:t>.</w:t>
      </w:r>
    </w:p>
    <w:p w:rsidR="006608E2" w:rsidRPr="00834382" w:rsidRDefault="006608E2" w:rsidP="006608E2">
      <w:pPr>
        <w:pStyle w:val="ListParagraph"/>
        <w:rPr>
          <w:szCs w:val="22"/>
        </w:rPr>
      </w:pPr>
    </w:p>
    <w:p w:rsidR="006608E2" w:rsidRPr="00834382" w:rsidDel="00831FB0" w:rsidRDefault="006608E2" w:rsidP="00BF1718">
      <w:pPr>
        <w:pStyle w:val="ListParagraph"/>
        <w:numPr>
          <w:ilvl w:val="1"/>
          <w:numId w:val="5"/>
        </w:numPr>
        <w:rPr>
          <w:szCs w:val="22"/>
        </w:rPr>
      </w:pPr>
      <w:r>
        <w:rPr>
          <w:szCs w:val="22"/>
        </w:rPr>
        <w:t xml:space="preserve">The minor resubmission </w:t>
      </w:r>
      <w:r w:rsidRPr="00834382">
        <w:rPr>
          <w:szCs w:val="22"/>
        </w:rPr>
        <w:t>propos</w:t>
      </w:r>
      <w:r>
        <w:rPr>
          <w:szCs w:val="22"/>
        </w:rPr>
        <w:t>ed</w:t>
      </w:r>
      <w:r w:rsidRPr="00834382">
        <w:rPr>
          <w:szCs w:val="22"/>
        </w:rPr>
        <w:t xml:space="preserve"> a</w:t>
      </w:r>
      <w:r>
        <w:rPr>
          <w:szCs w:val="22"/>
        </w:rPr>
        <w:t>n</w:t>
      </w:r>
      <w:r w:rsidRPr="00834382">
        <w:rPr>
          <w:szCs w:val="22"/>
        </w:rPr>
        <w:t xml:space="preserve"> effective price </w:t>
      </w:r>
      <w:r>
        <w:rPr>
          <w:szCs w:val="22"/>
        </w:rPr>
        <w:t>of</w:t>
      </w:r>
      <w:r w:rsidRPr="00834382">
        <w:rPr>
          <w:szCs w:val="22"/>
        </w:rPr>
        <w:t xml:space="preserve"> $</w:t>
      </w:r>
      <w:r w:rsidR="00CC1076">
        <w:rPr>
          <w:noProof/>
          <w:color w:val="000000"/>
          <w:szCs w:val="22"/>
          <w:highlight w:val="black"/>
        </w:rPr>
        <w:t>'''''''''''''''</w:t>
      </w:r>
      <w:r w:rsidRPr="00834382">
        <w:rPr>
          <w:szCs w:val="22"/>
        </w:rPr>
        <w:t>/100</w:t>
      </w:r>
      <w:r>
        <w:rPr>
          <w:szCs w:val="22"/>
        </w:rPr>
        <w:t xml:space="preserve"> </w:t>
      </w:r>
      <w:r w:rsidRPr="00834382">
        <w:rPr>
          <w:szCs w:val="22"/>
        </w:rPr>
        <w:t xml:space="preserve">mg </w:t>
      </w:r>
      <w:r>
        <w:rPr>
          <w:szCs w:val="22"/>
        </w:rPr>
        <w:t>(</w:t>
      </w:r>
      <w:r w:rsidR="00CC1076">
        <w:rPr>
          <w:noProof/>
          <w:color w:val="000000"/>
          <w:szCs w:val="22"/>
          <w:highlight w:val="black"/>
        </w:rPr>
        <w:t>''''''</w:t>
      </w:r>
      <w:r>
        <w:rPr>
          <w:szCs w:val="22"/>
        </w:rPr>
        <w:t xml:space="preserve">% reduction from the </w:t>
      </w:r>
      <w:r w:rsidRPr="00834382">
        <w:rPr>
          <w:szCs w:val="22"/>
        </w:rPr>
        <w:t>effective price of $</w:t>
      </w:r>
      <w:r w:rsidR="00CC1076">
        <w:rPr>
          <w:noProof/>
          <w:color w:val="000000"/>
          <w:szCs w:val="22"/>
          <w:highlight w:val="black"/>
        </w:rPr>
        <w:t>''''''''''''''''''</w:t>
      </w:r>
      <w:r w:rsidRPr="00834382">
        <w:rPr>
          <w:szCs w:val="22"/>
        </w:rPr>
        <w:t xml:space="preserve">/100 mg proposed in the </w:t>
      </w:r>
      <w:r>
        <w:rPr>
          <w:szCs w:val="22"/>
        </w:rPr>
        <w:t>March 2016</w:t>
      </w:r>
      <w:r w:rsidRPr="00834382">
        <w:rPr>
          <w:szCs w:val="22"/>
        </w:rPr>
        <w:t xml:space="preserve"> submission</w:t>
      </w:r>
      <w:r w:rsidR="004C4448">
        <w:rPr>
          <w:szCs w:val="22"/>
        </w:rPr>
        <w:t>;</w:t>
      </w:r>
      <w:r>
        <w:rPr>
          <w:szCs w:val="22"/>
        </w:rPr>
        <w:t xml:space="preserve"> </w:t>
      </w:r>
      <w:r w:rsidR="00CC1076">
        <w:rPr>
          <w:noProof/>
          <w:color w:val="000000"/>
          <w:szCs w:val="22"/>
          <w:highlight w:val="black"/>
        </w:rPr>
        <w:t>''''''</w:t>
      </w:r>
      <w:r>
        <w:rPr>
          <w:szCs w:val="22"/>
        </w:rPr>
        <w:t xml:space="preserve">% reduction </w:t>
      </w:r>
      <w:r w:rsidRPr="00BF1718">
        <w:rPr>
          <w:lang w:val="en-GB"/>
        </w:rPr>
        <w:t>from</w:t>
      </w:r>
      <w:r>
        <w:rPr>
          <w:szCs w:val="22"/>
        </w:rPr>
        <w:t xml:space="preserve"> the proposed published ex-manufacturer price</w:t>
      </w:r>
      <w:r w:rsidR="00060B7E">
        <w:rPr>
          <w:szCs w:val="22"/>
        </w:rPr>
        <w:t xml:space="preserve"> in the current resubmission</w:t>
      </w:r>
      <w:r>
        <w:rPr>
          <w:szCs w:val="22"/>
        </w:rPr>
        <w:t>). The effective price proposed in the minor resubmission was the same as t</w:t>
      </w:r>
      <w:r w:rsidRPr="00834382">
        <w:rPr>
          <w:szCs w:val="22"/>
        </w:rPr>
        <w:t>h</w:t>
      </w:r>
      <w:r>
        <w:rPr>
          <w:szCs w:val="22"/>
        </w:rPr>
        <w:t>e</w:t>
      </w:r>
      <w:r w:rsidRPr="00834382">
        <w:rPr>
          <w:szCs w:val="22"/>
        </w:rPr>
        <w:t xml:space="preserve"> current effective </w:t>
      </w:r>
      <w:r>
        <w:rPr>
          <w:szCs w:val="22"/>
        </w:rPr>
        <w:t xml:space="preserve">price of cetuximab </w:t>
      </w:r>
      <w:r w:rsidR="004C4448">
        <w:rPr>
          <w:szCs w:val="22"/>
        </w:rPr>
        <w:t>for</w:t>
      </w:r>
      <w:r w:rsidR="004C4448" w:rsidRPr="00834382">
        <w:rPr>
          <w:szCs w:val="22"/>
        </w:rPr>
        <w:t xml:space="preserve"> </w:t>
      </w:r>
      <w:r w:rsidRPr="00834382">
        <w:rPr>
          <w:szCs w:val="22"/>
        </w:rPr>
        <w:t>the first line treatment of metastatic colorectal cancer (mCRC)</w:t>
      </w:r>
      <w:r>
        <w:rPr>
          <w:szCs w:val="22"/>
        </w:rPr>
        <w:t>.</w:t>
      </w:r>
      <w:r w:rsidR="004C4448">
        <w:rPr>
          <w:szCs w:val="22"/>
        </w:rPr>
        <w:t xml:space="preserve"> </w:t>
      </w:r>
      <w:r w:rsidDel="00831FB0">
        <w:rPr>
          <w:szCs w:val="22"/>
        </w:rPr>
        <w:t xml:space="preserve">The minor resubmission also proposed a risk </w:t>
      </w:r>
      <w:r w:rsidR="00490664" w:rsidDel="00831FB0">
        <w:rPr>
          <w:szCs w:val="22"/>
        </w:rPr>
        <w:t>sharing arrangement</w:t>
      </w:r>
      <w:r w:rsidR="00490664">
        <w:rPr>
          <w:szCs w:val="22"/>
        </w:rPr>
        <w:t xml:space="preserve"> </w:t>
      </w:r>
      <w:r>
        <w:rPr>
          <w:szCs w:val="22"/>
        </w:rPr>
        <w:t>with a</w:t>
      </w:r>
      <w:r w:rsidRPr="00834382">
        <w:rPr>
          <w:szCs w:val="22"/>
        </w:rPr>
        <w:t xml:space="preserve"> rebate of </w:t>
      </w:r>
      <w:r w:rsidR="00CC1076">
        <w:rPr>
          <w:noProof/>
          <w:color w:val="000000"/>
          <w:szCs w:val="22"/>
          <w:highlight w:val="black"/>
        </w:rPr>
        <w:t>''''''</w:t>
      </w:r>
      <w:r w:rsidRPr="00834382">
        <w:rPr>
          <w:szCs w:val="22"/>
        </w:rPr>
        <w:t>% beyond agreed thresholds</w:t>
      </w:r>
      <w:r w:rsidRPr="00834382" w:rsidDel="00831FB0">
        <w:rPr>
          <w:szCs w:val="22"/>
        </w:rPr>
        <w:t>, as already applies to cetuximab for its current listings for locally advanced SCCHN and for mCRC</w:t>
      </w:r>
      <w:r w:rsidDel="00831FB0">
        <w:rPr>
          <w:szCs w:val="22"/>
        </w:rPr>
        <w:t>.</w:t>
      </w:r>
    </w:p>
    <w:p w:rsidR="005C3E28" w:rsidRDefault="005C3E28" w:rsidP="005C3E28">
      <w:pPr>
        <w:rPr>
          <w:highlight w:val="yellow"/>
        </w:rPr>
      </w:pPr>
    </w:p>
    <w:p w:rsidR="00D41726" w:rsidRDefault="00D41726" w:rsidP="005C3E28">
      <w:pPr>
        <w:rPr>
          <w:highlight w:val="yellow"/>
        </w:rPr>
      </w:pPr>
    </w:p>
    <w:p w:rsidR="006608E2" w:rsidRPr="00C603D4" w:rsidRDefault="006608E2" w:rsidP="006608E2">
      <w:pPr>
        <w:pStyle w:val="PBACHeading1"/>
        <w:numPr>
          <w:ilvl w:val="0"/>
          <w:numId w:val="5"/>
        </w:numPr>
      </w:pPr>
      <w:r w:rsidRPr="00C603D4">
        <w:t>Background</w:t>
      </w:r>
    </w:p>
    <w:p w:rsidR="006608E2" w:rsidRPr="00C603D4" w:rsidRDefault="006608E2" w:rsidP="006608E2">
      <w:pPr>
        <w:pStyle w:val="ListParagraph"/>
        <w:rPr>
          <w:i/>
          <w:szCs w:val="22"/>
        </w:rPr>
      </w:pPr>
    </w:p>
    <w:p w:rsidR="00B96ED7" w:rsidRPr="00B96ED7" w:rsidRDefault="006608E2" w:rsidP="00B96ED7">
      <w:pPr>
        <w:pStyle w:val="ListParagraph"/>
        <w:numPr>
          <w:ilvl w:val="1"/>
          <w:numId w:val="5"/>
        </w:numPr>
        <w:rPr>
          <w:i/>
          <w:szCs w:val="22"/>
        </w:rPr>
      </w:pPr>
      <w:r>
        <w:rPr>
          <w:szCs w:val="22"/>
        </w:rPr>
        <w:t>Cetuximab is TGA registered</w:t>
      </w:r>
      <w:r w:rsidR="00F06615">
        <w:rPr>
          <w:szCs w:val="22"/>
        </w:rPr>
        <w:t xml:space="preserve"> for</w:t>
      </w:r>
      <w:r>
        <w:rPr>
          <w:szCs w:val="22"/>
        </w:rPr>
        <w:t>:</w:t>
      </w:r>
    </w:p>
    <w:p w:rsidR="006608E2" w:rsidRPr="00B96ED7" w:rsidRDefault="000D2865" w:rsidP="00B96ED7">
      <w:pPr>
        <w:pStyle w:val="ListParagraph"/>
        <w:numPr>
          <w:ilvl w:val="0"/>
          <w:numId w:val="28"/>
        </w:numPr>
        <w:rPr>
          <w:i/>
          <w:szCs w:val="22"/>
        </w:rPr>
      </w:pPr>
      <w:r>
        <w:rPr>
          <w:szCs w:val="22"/>
        </w:rPr>
        <w:t>T</w:t>
      </w:r>
      <w:r w:rsidR="006608E2" w:rsidRPr="00B96ED7">
        <w:rPr>
          <w:szCs w:val="22"/>
        </w:rPr>
        <w:t>reatment of patients with squamous cell cancer of the head and neck:</w:t>
      </w:r>
    </w:p>
    <w:p w:rsidR="006608E2" w:rsidRPr="006F02F5" w:rsidRDefault="006608E2" w:rsidP="00FA4DD8">
      <w:pPr>
        <w:pStyle w:val="ListParagraph"/>
        <w:numPr>
          <w:ilvl w:val="0"/>
          <w:numId w:val="24"/>
        </w:numPr>
        <w:ind w:left="1418" w:hanging="284"/>
        <w:rPr>
          <w:szCs w:val="22"/>
        </w:rPr>
      </w:pPr>
      <w:r w:rsidRPr="006F02F5">
        <w:rPr>
          <w:szCs w:val="22"/>
        </w:rPr>
        <w:t>in combination with radiation therapy for locally advanced disease</w:t>
      </w:r>
      <w:r w:rsidR="00FA4DD8">
        <w:rPr>
          <w:szCs w:val="22"/>
        </w:rPr>
        <w:t>; and</w:t>
      </w:r>
    </w:p>
    <w:p w:rsidR="006608E2" w:rsidRPr="00F37FDC" w:rsidRDefault="006608E2" w:rsidP="00FA4DD8">
      <w:pPr>
        <w:pStyle w:val="ListParagraph"/>
        <w:numPr>
          <w:ilvl w:val="0"/>
          <w:numId w:val="24"/>
        </w:numPr>
        <w:ind w:left="1418" w:hanging="284"/>
        <w:rPr>
          <w:szCs w:val="22"/>
        </w:rPr>
      </w:pPr>
      <w:r w:rsidRPr="006F02F5">
        <w:rPr>
          <w:szCs w:val="22"/>
        </w:rPr>
        <w:t xml:space="preserve">in combination with platinum-based chemotherapy for recurrent and/or metastatic disease. </w:t>
      </w:r>
    </w:p>
    <w:p w:rsidR="006608E2" w:rsidRPr="00B96ED7" w:rsidRDefault="000D2865" w:rsidP="00B96ED7">
      <w:pPr>
        <w:pStyle w:val="ListParagraph"/>
        <w:numPr>
          <w:ilvl w:val="0"/>
          <w:numId w:val="28"/>
        </w:numPr>
        <w:rPr>
          <w:szCs w:val="22"/>
        </w:rPr>
      </w:pPr>
      <w:r>
        <w:rPr>
          <w:szCs w:val="22"/>
        </w:rPr>
        <w:t>T</w:t>
      </w:r>
      <w:r w:rsidR="006608E2" w:rsidRPr="00B96ED7">
        <w:rPr>
          <w:szCs w:val="22"/>
        </w:rPr>
        <w:t>reatment of patients with epidermal growth factor receptor (EGFR)</w:t>
      </w:r>
      <w:r w:rsidR="006608E2" w:rsidRPr="00B96ED7">
        <w:rPr>
          <w:szCs w:val="22"/>
        </w:rPr>
        <w:noBreakHyphen/>
        <w:t>expressing tumour, RAS wild-type mCRC:</w:t>
      </w:r>
    </w:p>
    <w:p w:rsidR="006608E2" w:rsidRPr="006F02F5" w:rsidRDefault="006608E2" w:rsidP="00FA4DD8">
      <w:pPr>
        <w:pStyle w:val="ListParagraph"/>
        <w:numPr>
          <w:ilvl w:val="0"/>
          <w:numId w:val="24"/>
        </w:numPr>
        <w:ind w:left="1418" w:hanging="284"/>
        <w:rPr>
          <w:szCs w:val="22"/>
        </w:rPr>
      </w:pPr>
      <w:r w:rsidRPr="006F02F5">
        <w:rPr>
          <w:szCs w:val="22"/>
        </w:rPr>
        <w:t>in combination with infusional 5-fluorouracil/folinic acid plus irinotecan</w:t>
      </w:r>
      <w:r w:rsidR="00FA4DD8">
        <w:rPr>
          <w:szCs w:val="22"/>
        </w:rPr>
        <w:t>;</w:t>
      </w:r>
    </w:p>
    <w:p w:rsidR="006608E2" w:rsidRPr="006F02F5" w:rsidRDefault="006608E2" w:rsidP="00FA4DD8">
      <w:pPr>
        <w:pStyle w:val="ListParagraph"/>
        <w:numPr>
          <w:ilvl w:val="0"/>
          <w:numId w:val="24"/>
        </w:numPr>
        <w:ind w:left="1418" w:hanging="284"/>
        <w:rPr>
          <w:szCs w:val="22"/>
        </w:rPr>
      </w:pPr>
      <w:r w:rsidRPr="006F02F5">
        <w:rPr>
          <w:szCs w:val="22"/>
        </w:rPr>
        <w:t>in combination with irinotecan in patients who are refractory to first-line chemotherapy</w:t>
      </w:r>
      <w:r w:rsidR="00FA4DD8">
        <w:rPr>
          <w:szCs w:val="22"/>
        </w:rPr>
        <w:t>;</w:t>
      </w:r>
    </w:p>
    <w:p w:rsidR="006608E2" w:rsidRPr="006F02F5" w:rsidRDefault="006608E2" w:rsidP="00FA4DD8">
      <w:pPr>
        <w:pStyle w:val="ListParagraph"/>
        <w:numPr>
          <w:ilvl w:val="0"/>
          <w:numId w:val="24"/>
        </w:numPr>
        <w:ind w:left="1418" w:hanging="284"/>
        <w:rPr>
          <w:szCs w:val="22"/>
        </w:rPr>
      </w:pPr>
      <w:r w:rsidRPr="006F02F5">
        <w:rPr>
          <w:szCs w:val="22"/>
        </w:rPr>
        <w:t>in first-line in combination with FOLFOX</w:t>
      </w:r>
      <w:r w:rsidR="00FA4DD8">
        <w:rPr>
          <w:szCs w:val="22"/>
        </w:rPr>
        <w:t>; and</w:t>
      </w:r>
    </w:p>
    <w:p w:rsidR="006608E2" w:rsidRPr="006F02F5" w:rsidRDefault="006608E2" w:rsidP="00FA4DD8">
      <w:pPr>
        <w:pStyle w:val="ListParagraph"/>
        <w:numPr>
          <w:ilvl w:val="0"/>
          <w:numId w:val="24"/>
        </w:numPr>
        <w:ind w:left="1418" w:hanging="284"/>
        <w:rPr>
          <w:szCs w:val="22"/>
        </w:rPr>
      </w:pPr>
      <w:r w:rsidRPr="006F02F5">
        <w:rPr>
          <w:szCs w:val="22"/>
        </w:rPr>
        <w:t>as a single agent in patients who have failed or are intolerant to oxaliplatin</w:t>
      </w:r>
      <w:r w:rsidR="00A10416">
        <w:rPr>
          <w:szCs w:val="22"/>
        </w:rPr>
        <w:noBreakHyphen/>
      </w:r>
      <w:r w:rsidRPr="006F02F5">
        <w:rPr>
          <w:szCs w:val="22"/>
        </w:rPr>
        <w:t>based therapy and irinotecan-based therapy.</w:t>
      </w:r>
    </w:p>
    <w:p w:rsidR="00F06615" w:rsidRDefault="00F06615" w:rsidP="006608E2">
      <w:pPr>
        <w:ind w:left="1134" w:hanging="283"/>
        <w:rPr>
          <w:rFonts w:ascii="Arial" w:hAnsi="Arial" w:cs="Arial"/>
          <w:sz w:val="22"/>
          <w:szCs w:val="22"/>
        </w:rPr>
      </w:pPr>
    </w:p>
    <w:p w:rsidR="006608E2" w:rsidRDefault="006608E2" w:rsidP="006608E2">
      <w:pPr>
        <w:pStyle w:val="ListParagraph"/>
        <w:numPr>
          <w:ilvl w:val="1"/>
          <w:numId w:val="5"/>
        </w:numPr>
        <w:rPr>
          <w:szCs w:val="22"/>
        </w:rPr>
      </w:pPr>
      <w:r w:rsidRPr="009635E0">
        <w:lastRenderedPageBreak/>
        <w:t xml:space="preserve">Cetuximab, in combination with radiotherapy, is currently PBS-listed for the treatment of patients with Stage III, IVa or IVb </w:t>
      </w:r>
      <w:r>
        <w:t>SCC</w:t>
      </w:r>
      <w:r w:rsidRPr="009635E0">
        <w:t xml:space="preserve"> of the larynx, oropharynx or hypopharynx, who are unable to tolerate or have a contraindication to cisplatin. Cetuximab is also PBS-listed for the treatment of </w:t>
      </w:r>
      <w:r>
        <w:t>mCRC</w:t>
      </w:r>
      <w:r w:rsidRPr="009635E0">
        <w:t xml:space="preserve"> in patients who meet certain criteria.</w:t>
      </w:r>
    </w:p>
    <w:p w:rsidR="006608E2" w:rsidRDefault="006608E2" w:rsidP="006608E2">
      <w:pPr>
        <w:pStyle w:val="ListParagraph"/>
        <w:rPr>
          <w:szCs w:val="22"/>
        </w:rPr>
      </w:pPr>
    </w:p>
    <w:p w:rsidR="006608E2" w:rsidRPr="00DF24BE" w:rsidRDefault="006608E2" w:rsidP="00FE2486">
      <w:pPr>
        <w:pStyle w:val="ListParagraph"/>
        <w:numPr>
          <w:ilvl w:val="1"/>
          <w:numId w:val="5"/>
        </w:numPr>
        <w:rPr>
          <w:szCs w:val="22"/>
        </w:rPr>
      </w:pPr>
      <w:r>
        <w:rPr>
          <w:szCs w:val="22"/>
        </w:rPr>
        <w:t>In M</w:t>
      </w:r>
      <w:r w:rsidRPr="004E3A4C">
        <w:rPr>
          <w:szCs w:val="22"/>
        </w:rPr>
        <w:t>arch 2016</w:t>
      </w:r>
      <w:r>
        <w:rPr>
          <w:szCs w:val="22"/>
        </w:rPr>
        <w:t>,</w:t>
      </w:r>
      <w:r w:rsidRPr="004E3A4C">
        <w:rPr>
          <w:szCs w:val="22"/>
        </w:rPr>
        <w:t xml:space="preserve"> the PBAC considered a submission for cetuximab,</w:t>
      </w:r>
      <w:r w:rsidRPr="004E3A4C">
        <w:rPr>
          <w:szCs w:val="22"/>
          <w:lang w:val="en-GB"/>
        </w:rPr>
        <w:t xml:space="preserve"> in combination with platinum-based chemotherapy,</w:t>
      </w:r>
      <w:r w:rsidRPr="004E3A4C">
        <w:rPr>
          <w:szCs w:val="22"/>
        </w:rPr>
        <w:t xml:space="preserve"> for the treatment of RM SCCHN, specifically </w:t>
      </w:r>
      <w:r w:rsidR="00717D18">
        <w:rPr>
          <w:szCs w:val="22"/>
        </w:rPr>
        <w:t>for patients</w:t>
      </w:r>
      <w:r w:rsidRPr="004E3A4C">
        <w:rPr>
          <w:szCs w:val="22"/>
        </w:rPr>
        <w:t xml:space="preserve"> with carcinoma of the oral cavity.</w:t>
      </w:r>
      <w:r w:rsidRPr="004E3A4C">
        <w:rPr>
          <w:lang w:val="en-GB"/>
        </w:rPr>
        <w:t xml:space="preserve"> The PBAC did not recommend the listing of cetuximab</w:t>
      </w:r>
      <w:r w:rsidRPr="004E3A4C">
        <w:rPr>
          <w:szCs w:val="22"/>
          <w:lang w:val="en-GB"/>
        </w:rPr>
        <w:t xml:space="preserve"> for this indication on the basis of uncertain magnitude of clinical benefit and likely high and unacceptable cost-effectiveness. </w:t>
      </w:r>
      <w:r w:rsidRPr="009358A8">
        <w:rPr>
          <w:szCs w:val="22"/>
          <w:lang w:val="en-GB"/>
        </w:rPr>
        <w:t xml:space="preserve">The PBAC considered that there </w:t>
      </w:r>
      <w:r>
        <w:rPr>
          <w:szCs w:val="22"/>
          <w:lang w:val="en-GB"/>
        </w:rPr>
        <w:t>wa</w:t>
      </w:r>
      <w:r w:rsidRPr="009358A8">
        <w:rPr>
          <w:szCs w:val="22"/>
          <w:lang w:val="en-GB"/>
        </w:rPr>
        <w:t>s a clinical need for treatments</w:t>
      </w:r>
      <w:r>
        <w:rPr>
          <w:szCs w:val="22"/>
          <w:lang w:val="en-GB"/>
        </w:rPr>
        <w:t xml:space="preserve"> for</w:t>
      </w:r>
      <w:r w:rsidRPr="009358A8">
        <w:rPr>
          <w:szCs w:val="22"/>
          <w:lang w:val="en-GB"/>
        </w:rPr>
        <w:t xml:space="preserve"> </w:t>
      </w:r>
      <w:r w:rsidR="00F34CEA">
        <w:rPr>
          <w:szCs w:val="22"/>
          <w:lang w:val="en-GB"/>
        </w:rPr>
        <w:t xml:space="preserve">all </w:t>
      </w:r>
      <w:r w:rsidRPr="00BF22B3">
        <w:rPr>
          <w:szCs w:val="22"/>
          <w:lang w:val="en-GB"/>
        </w:rPr>
        <w:t xml:space="preserve">patients with </w:t>
      </w:r>
      <w:r>
        <w:rPr>
          <w:szCs w:val="22"/>
          <w:lang w:val="en-GB"/>
        </w:rPr>
        <w:t>RM</w:t>
      </w:r>
      <w:r w:rsidRPr="00BF22B3">
        <w:rPr>
          <w:szCs w:val="22"/>
          <w:lang w:val="en-GB"/>
        </w:rPr>
        <w:t xml:space="preserve"> </w:t>
      </w:r>
      <w:r>
        <w:rPr>
          <w:szCs w:val="22"/>
          <w:lang w:val="en-GB"/>
        </w:rPr>
        <w:t>SCCHN</w:t>
      </w:r>
      <w:r w:rsidR="00F34CEA">
        <w:rPr>
          <w:szCs w:val="22"/>
          <w:lang w:val="en-GB"/>
        </w:rPr>
        <w:t>. Furthermore</w:t>
      </w:r>
      <w:r w:rsidR="00FA2E1A">
        <w:rPr>
          <w:szCs w:val="22"/>
          <w:lang w:val="en-GB"/>
        </w:rPr>
        <w:t>,</w:t>
      </w:r>
      <w:r w:rsidR="00F34CEA">
        <w:rPr>
          <w:szCs w:val="22"/>
          <w:lang w:val="en-GB"/>
        </w:rPr>
        <w:t xml:space="preserve"> the</w:t>
      </w:r>
      <w:r w:rsidR="00FA2E1A">
        <w:rPr>
          <w:szCs w:val="22"/>
          <w:lang w:val="en-GB"/>
        </w:rPr>
        <w:t xml:space="preserve"> </w:t>
      </w:r>
      <w:r w:rsidR="00F34CEA">
        <w:rPr>
          <w:szCs w:val="22"/>
          <w:lang w:val="en-GB"/>
        </w:rPr>
        <w:t>PBAC</w:t>
      </w:r>
      <w:r w:rsidRPr="009358A8">
        <w:rPr>
          <w:szCs w:val="22"/>
          <w:lang w:val="en-GB"/>
        </w:rPr>
        <w:t xml:space="preserve"> noted that the restriction was based on </w:t>
      </w:r>
      <w:r>
        <w:t xml:space="preserve">the </w:t>
      </w:r>
      <w:r w:rsidRPr="00AB44F8">
        <w:rPr>
          <w:i/>
        </w:rPr>
        <w:t>post hoc</w:t>
      </w:r>
      <w:r w:rsidRPr="001F0A7F">
        <w:t xml:space="preserve"> subgroup of patients</w:t>
      </w:r>
      <w:r>
        <w:t xml:space="preserve"> with this disease</w:t>
      </w:r>
      <w:r w:rsidRPr="001F0A7F">
        <w:t xml:space="preserve"> for whom</w:t>
      </w:r>
      <w:r w:rsidR="00AE4A8A" w:rsidRPr="00AE4A8A">
        <w:t xml:space="preserve"> </w:t>
      </w:r>
      <w:r w:rsidR="00AE4A8A" w:rsidRPr="001F0A7F">
        <w:t>the oral cavity</w:t>
      </w:r>
      <w:r w:rsidRPr="001F0A7F">
        <w:t xml:space="preserve"> </w:t>
      </w:r>
      <w:r w:rsidR="00AE4A8A">
        <w:t xml:space="preserve">was </w:t>
      </w:r>
      <w:r w:rsidRPr="001F0A7F">
        <w:t xml:space="preserve">the primary tumour site of origin and with a </w:t>
      </w:r>
      <w:r>
        <w:t xml:space="preserve">WHO performance status 0-1 [equivalent to </w:t>
      </w:r>
      <w:r w:rsidRPr="001F0A7F">
        <w:t>Karnofsky Performance Status</w:t>
      </w:r>
      <w:r>
        <w:t xml:space="preserve"> (KPS)</w:t>
      </w:r>
      <w:r w:rsidRPr="001F0A7F">
        <w:t xml:space="preserve"> ≥80</w:t>
      </w:r>
      <w:r>
        <w:t xml:space="preserve">]. The PBAC noted that </w:t>
      </w:r>
      <w:r>
        <w:rPr>
          <w:szCs w:val="22"/>
          <w:lang w:val="en-GB"/>
        </w:rPr>
        <w:t>the TGA-registered indication for cetuximab</w:t>
      </w:r>
      <w:r>
        <w:t xml:space="preserve"> </w:t>
      </w:r>
      <w:r w:rsidR="00F34CEA">
        <w:t>was broader and included</w:t>
      </w:r>
      <w:r>
        <w:t xml:space="preserve"> all </w:t>
      </w:r>
      <w:r w:rsidRPr="00BF22B3">
        <w:rPr>
          <w:szCs w:val="22"/>
          <w:lang w:val="en-GB"/>
        </w:rPr>
        <w:t xml:space="preserve">patients with </w:t>
      </w:r>
      <w:r w:rsidR="00FE2486" w:rsidRPr="00FE2486">
        <w:rPr>
          <w:szCs w:val="22"/>
          <w:lang w:val="en-GB"/>
        </w:rPr>
        <w:t>RM SCCHN</w:t>
      </w:r>
      <w:r>
        <w:rPr>
          <w:szCs w:val="22"/>
          <w:lang w:val="en-GB"/>
        </w:rPr>
        <w:t>. The PBAC considered there was a high risk of leakage</w:t>
      </w:r>
      <w:r w:rsidR="00F34CEA">
        <w:rPr>
          <w:szCs w:val="22"/>
          <w:lang w:val="en-GB"/>
        </w:rPr>
        <w:t xml:space="preserve"> outside </w:t>
      </w:r>
      <w:r>
        <w:rPr>
          <w:szCs w:val="22"/>
          <w:lang w:val="en-GB"/>
        </w:rPr>
        <w:t xml:space="preserve">the restriction proposed by the sponsor, into the broader </w:t>
      </w:r>
      <w:r w:rsidR="00717D18">
        <w:rPr>
          <w:szCs w:val="22"/>
          <w:lang w:val="en-GB"/>
        </w:rPr>
        <w:t>RM SCCHN</w:t>
      </w:r>
      <w:r>
        <w:rPr>
          <w:szCs w:val="22"/>
          <w:lang w:val="en-GB"/>
        </w:rPr>
        <w:t xml:space="preserve"> population.</w:t>
      </w:r>
      <w:r w:rsidR="00FA2E1A">
        <w:rPr>
          <w:szCs w:val="22"/>
          <w:lang w:val="en-GB"/>
        </w:rPr>
        <w:t xml:space="preserve"> The PBAC recalled that at the March 2016 meeting, </w:t>
      </w:r>
      <w:r w:rsidR="00FE2486">
        <w:rPr>
          <w:szCs w:val="22"/>
          <w:lang w:val="en-GB"/>
        </w:rPr>
        <w:t xml:space="preserve">it </w:t>
      </w:r>
      <w:r w:rsidR="00FA2E1A">
        <w:rPr>
          <w:szCs w:val="22"/>
          <w:lang w:val="en-GB"/>
        </w:rPr>
        <w:t xml:space="preserve">requested that </w:t>
      </w:r>
      <w:r w:rsidR="00FE2486">
        <w:rPr>
          <w:szCs w:val="22"/>
          <w:lang w:val="en-GB"/>
        </w:rPr>
        <w:t>a</w:t>
      </w:r>
      <w:r w:rsidR="004C4448">
        <w:rPr>
          <w:szCs w:val="22"/>
          <w:lang w:val="en-GB"/>
        </w:rPr>
        <w:t>ny</w:t>
      </w:r>
      <w:r w:rsidR="00FA2E1A">
        <w:rPr>
          <w:szCs w:val="22"/>
          <w:lang w:val="en-GB"/>
        </w:rPr>
        <w:t xml:space="preserve"> subsequent resubmission should be made as a major submission.</w:t>
      </w:r>
    </w:p>
    <w:p w:rsidR="006608E2" w:rsidRPr="00875AC4" w:rsidRDefault="006608E2" w:rsidP="006608E2">
      <w:pPr>
        <w:pStyle w:val="ListParagraph"/>
      </w:pPr>
    </w:p>
    <w:p w:rsidR="006608E2" w:rsidRPr="00875AC4" w:rsidRDefault="006608E2" w:rsidP="006608E2">
      <w:pPr>
        <w:pStyle w:val="ListParagraph"/>
        <w:numPr>
          <w:ilvl w:val="1"/>
          <w:numId w:val="5"/>
        </w:numPr>
      </w:pPr>
      <w:r w:rsidRPr="005B5BFD">
        <w:t>The following table summarises the issues raised by the PBAC at the March meeting, and how the sponsor has addressed these.</w:t>
      </w:r>
    </w:p>
    <w:p w:rsidR="00D13FF9" w:rsidRDefault="00D13FF9">
      <w:pPr>
        <w:rPr>
          <w:rFonts w:ascii="Arial Narrow" w:hAnsi="Arial Narrow" w:cs="Arial"/>
          <w:b/>
          <w:bCs/>
          <w:snapToGrid w:val="0"/>
          <w:sz w:val="20"/>
          <w:szCs w:val="20"/>
          <w:lang w:eastAsia="en-US"/>
        </w:rPr>
      </w:pPr>
    </w:p>
    <w:p w:rsidR="006608E2" w:rsidRPr="00875AC4" w:rsidRDefault="006608E2" w:rsidP="00E71F07">
      <w:pPr>
        <w:ind w:firstLine="709"/>
      </w:pPr>
      <w:r w:rsidRPr="00E71F07">
        <w:rPr>
          <w:rFonts w:ascii="Arial Narrow" w:hAnsi="Arial Narrow"/>
          <w:b/>
          <w:bCs/>
          <w:sz w:val="20"/>
          <w:szCs w:val="20"/>
        </w:rPr>
        <w:t xml:space="preserve">Table 1: Summary comparison between the March 2016 major submission and the current </w:t>
      </w:r>
      <w:r w:rsidR="00FE2486" w:rsidRPr="00E71F07">
        <w:rPr>
          <w:rFonts w:ascii="Arial Narrow" w:hAnsi="Arial Narrow"/>
          <w:b/>
          <w:bCs/>
          <w:sz w:val="20"/>
          <w:szCs w:val="20"/>
        </w:rPr>
        <w:t>resubmission</w:t>
      </w:r>
    </w:p>
    <w:tbl>
      <w:tblPr>
        <w:tblStyle w:val="TableGrid"/>
        <w:tblW w:w="8363" w:type="dxa"/>
        <w:tblInd w:w="737" w:type="dxa"/>
        <w:tblCellMar>
          <w:left w:w="28" w:type="dxa"/>
          <w:right w:w="28" w:type="dxa"/>
        </w:tblCellMar>
        <w:tblLook w:val="04A0" w:firstRow="1" w:lastRow="0" w:firstColumn="1" w:lastColumn="0" w:noHBand="0" w:noVBand="1"/>
        <w:tblCaption w:val="Summary comparison between the March 2016 major submission and the current resubmission"/>
      </w:tblPr>
      <w:tblGrid>
        <w:gridCol w:w="1980"/>
        <w:gridCol w:w="3518"/>
        <w:gridCol w:w="2865"/>
      </w:tblGrid>
      <w:tr w:rsidR="006608E2" w:rsidRPr="00211576" w:rsidTr="00333233">
        <w:trPr>
          <w:cantSplit/>
          <w:tblHeader/>
        </w:trPr>
        <w:tc>
          <w:tcPr>
            <w:tcW w:w="1980" w:type="dxa"/>
          </w:tcPr>
          <w:p w:rsidR="006608E2" w:rsidRPr="00211576" w:rsidRDefault="006608E2" w:rsidP="00717D18">
            <w:pPr>
              <w:rPr>
                <w:rFonts w:ascii="Arial Narrow" w:hAnsi="Arial Narrow"/>
                <w:b/>
                <w:bCs/>
                <w:sz w:val="20"/>
                <w:szCs w:val="20"/>
              </w:rPr>
            </w:pPr>
            <w:r w:rsidRPr="00211576">
              <w:rPr>
                <w:rFonts w:ascii="Arial Narrow" w:hAnsi="Arial Narrow"/>
                <w:b/>
                <w:bCs/>
                <w:sz w:val="20"/>
                <w:szCs w:val="20"/>
              </w:rPr>
              <w:t>Issue</w:t>
            </w:r>
          </w:p>
        </w:tc>
        <w:tc>
          <w:tcPr>
            <w:tcW w:w="3518" w:type="dxa"/>
          </w:tcPr>
          <w:p w:rsidR="006608E2" w:rsidRPr="00211576" w:rsidRDefault="006608E2" w:rsidP="00717D18">
            <w:pPr>
              <w:jc w:val="center"/>
              <w:rPr>
                <w:rFonts w:ascii="Arial Narrow" w:hAnsi="Arial Narrow"/>
                <w:b/>
                <w:bCs/>
                <w:sz w:val="20"/>
                <w:szCs w:val="20"/>
              </w:rPr>
            </w:pPr>
            <w:r w:rsidRPr="00211576">
              <w:rPr>
                <w:rFonts w:ascii="Arial Narrow" w:hAnsi="Arial Narrow"/>
                <w:b/>
                <w:bCs/>
                <w:sz w:val="20"/>
                <w:szCs w:val="20"/>
              </w:rPr>
              <w:t xml:space="preserve">Previous </w:t>
            </w:r>
            <w:r>
              <w:rPr>
                <w:rFonts w:ascii="Arial Narrow" w:hAnsi="Arial Narrow"/>
                <w:b/>
                <w:bCs/>
                <w:sz w:val="20"/>
                <w:szCs w:val="20"/>
              </w:rPr>
              <w:t>s</w:t>
            </w:r>
            <w:r w:rsidRPr="00211576">
              <w:rPr>
                <w:rFonts w:ascii="Arial Narrow" w:hAnsi="Arial Narrow"/>
                <w:b/>
                <w:bCs/>
                <w:sz w:val="20"/>
                <w:szCs w:val="20"/>
              </w:rPr>
              <w:t>ubmission</w:t>
            </w:r>
            <w:r>
              <w:rPr>
                <w:rFonts w:ascii="Arial Narrow" w:hAnsi="Arial Narrow"/>
                <w:b/>
                <w:bCs/>
                <w:sz w:val="20"/>
                <w:szCs w:val="20"/>
              </w:rPr>
              <w:t xml:space="preserve"> (March 2016)</w:t>
            </w:r>
          </w:p>
        </w:tc>
        <w:tc>
          <w:tcPr>
            <w:tcW w:w="2865" w:type="dxa"/>
          </w:tcPr>
          <w:p w:rsidR="006608E2" w:rsidRPr="00211576" w:rsidRDefault="006608E2" w:rsidP="00717D18">
            <w:pPr>
              <w:jc w:val="center"/>
              <w:rPr>
                <w:rFonts w:ascii="Arial Narrow" w:hAnsi="Arial Narrow"/>
                <w:b/>
                <w:bCs/>
                <w:sz w:val="20"/>
                <w:szCs w:val="20"/>
              </w:rPr>
            </w:pPr>
            <w:r>
              <w:rPr>
                <w:rFonts w:ascii="Arial Narrow" w:hAnsi="Arial Narrow"/>
                <w:b/>
                <w:bCs/>
                <w:sz w:val="20"/>
                <w:szCs w:val="20"/>
              </w:rPr>
              <w:t>Current minor r</w:t>
            </w:r>
            <w:r w:rsidRPr="00211576">
              <w:rPr>
                <w:rFonts w:ascii="Arial Narrow" w:hAnsi="Arial Narrow"/>
                <w:b/>
                <w:bCs/>
                <w:sz w:val="20"/>
                <w:szCs w:val="20"/>
              </w:rPr>
              <w:t>e</w:t>
            </w:r>
            <w:r>
              <w:rPr>
                <w:rFonts w:ascii="Arial Narrow" w:hAnsi="Arial Narrow"/>
                <w:b/>
                <w:bCs/>
                <w:sz w:val="20"/>
                <w:szCs w:val="20"/>
              </w:rPr>
              <w:t>-</w:t>
            </w:r>
            <w:r w:rsidRPr="00211576">
              <w:rPr>
                <w:rFonts w:ascii="Arial Narrow" w:hAnsi="Arial Narrow"/>
                <w:b/>
                <w:bCs/>
                <w:sz w:val="20"/>
                <w:szCs w:val="20"/>
              </w:rPr>
              <w:t>submission</w:t>
            </w:r>
          </w:p>
        </w:tc>
      </w:tr>
      <w:tr w:rsidR="006608E2" w:rsidRPr="00211576" w:rsidTr="00333233">
        <w:trPr>
          <w:cantSplit/>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Requested population</w:t>
            </w:r>
          </w:p>
        </w:tc>
        <w:tc>
          <w:tcPr>
            <w:tcW w:w="3518"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Restricted to oral cavity only</w:t>
            </w:r>
          </w:p>
        </w:tc>
        <w:tc>
          <w:tcPr>
            <w:tcW w:w="2865" w:type="dxa"/>
          </w:tcPr>
          <w:p w:rsidR="006608E2" w:rsidRPr="00211576" w:rsidRDefault="006608E2" w:rsidP="007F5C29">
            <w:pPr>
              <w:rPr>
                <w:rFonts w:ascii="Arial Narrow" w:hAnsi="Arial Narrow"/>
                <w:i/>
                <w:iCs/>
                <w:sz w:val="20"/>
                <w:szCs w:val="20"/>
              </w:rPr>
            </w:pPr>
            <w:r w:rsidRPr="00211576">
              <w:rPr>
                <w:rFonts w:ascii="Arial Narrow" w:hAnsi="Arial Narrow"/>
                <w:sz w:val="20"/>
                <w:szCs w:val="20"/>
              </w:rPr>
              <w:t>All patients with RM SCCHN</w:t>
            </w:r>
            <w:r>
              <w:rPr>
                <w:rFonts w:ascii="Arial Narrow" w:hAnsi="Arial Narrow"/>
                <w:sz w:val="20"/>
                <w:szCs w:val="20"/>
              </w:rPr>
              <w:t xml:space="preserve">. </w:t>
            </w:r>
            <w:r w:rsidRPr="002F5DF8">
              <w:rPr>
                <w:rFonts w:ascii="Arial Narrow" w:hAnsi="Arial Narrow"/>
                <w:iCs/>
                <w:sz w:val="20"/>
                <w:szCs w:val="20"/>
              </w:rPr>
              <w:t>The submission claim</w:t>
            </w:r>
            <w:r w:rsidR="007F5C29" w:rsidRPr="002F5DF8">
              <w:rPr>
                <w:rFonts w:ascii="Arial Narrow" w:hAnsi="Arial Narrow"/>
                <w:iCs/>
                <w:sz w:val="20"/>
                <w:szCs w:val="20"/>
              </w:rPr>
              <w:t>ed</w:t>
            </w:r>
            <w:r w:rsidRPr="002F5DF8">
              <w:rPr>
                <w:rFonts w:ascii="Arial Narrow" w:hAnsi="Arial Narrow"/>
                <w:iCs/>
                <w:sz w:val="20"/>
                <w:szCs w:val="20"/>
              </w:rPr>
              <w:t xml:space="preserve"> that those with cancer of </w:t>
            </w:r>
            <w:r w:rsidR="00FE2486">
              <w:rPr>
                <w:rFonts w:ascii="Arial Narrow" w:hAnsi="Arial Narrow"/>
                <w:iCs/>
                <w:sz w:val="20"/>
                <w:szCs w:val="20"/>
              </w:rPr>
              <w:t xml:space="preserve">the </w:t>
            </w:r>
            <w:r w:rsidRPr="002F5DF8">
              <w:rPr>
                <w:rFonts w:ascii="Arial Narrow" w:hAnsi="Arial Narrow"/>
                <w:iCs/>
                <w:sz w:val="20"/>
                <w:szCs w:val="20"/>
              </w:rPr>
              <w:t>oral cavity have the greatest unmet clinical need.</w:t>
            </w:r>
          </w:p>
        </w:tc>
      </w:tr>
      <w:tr w:rsidR="006608E2" w:rsidRPr="00211576" w:rsidTr="00333233">
        <w:trPr>
          <w:cantSplit/>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Population chosen for primary economic evaluation</w:t>
            </w:r>
          </w:p>
        </w:tc>
        <w:tc>
          <w:tcPr>
            <w:tcW w:w="3518" w:type="dxa"/>
          </w:tcPr>
          <w:p w:rsidR="006608E2" w:rsidRPr="00211576" w:rsidRDefault="006608E2" w:rsidP="00717D18">
            <w:pPr>
              <w:rPr>
                <w:rFonts w:ascii="Arial Narrow" w:hAnsi="Arial Narrow"/>
                <w:sz w:val="20"/>
                <w:szCs w:val="20"/>
              </w:rPr>
            </w:pPr>
            <w:r w:rsidRPr="00211576">
              <w:rPr>
                <w:rFonts w:ascii="Arial Narrow" w:hAnsi="Arial Narrow"/>
                <w:i/>
                <w:iCs/>
                <w:sz w:val="20"/>
                <w:szCs w:val="20"/>
              </w:rPr>
              <w:t>Post hoc</w:t>
            </w:r>
            <w:r w:rsidRPr="00211576">
              <w:rPr>
                <w:rFonts w:ascii="Arial Narrow" w:hAnsi="Arial Narrow"/>
                <w:sz w:val="20"/>
                <w:szCs w:val="20"/>
              </w:rPr>
              <w:t xml:space="preserve"> subgroup of patients with cancer in oral cavity and KPS ≥80 in EXTREME trial (n=78)</w:t>
            </w:r>
          </w:p>
        </w:tc>
        <w:tc>
          <w:tcPr>
            <w:tcW w:w="2865" w:type="dxa"/>
          </w:tcPr>
          <w:p w:rsidR="006608E2" w:rsidRPr="00211576" w:rsidRDefault="006608E2" w:rsidP="00787D37">
            <w:pPr>
              <w:rPr>
                <w:rFonts w:ascii="Arial Narrow" w:hAnsi="Arial Narrow"/>
                <w:sz w:val="20"/>
                <w:szCs w:val="20"/>
              </w:rPr>
            </w:pPr>
            <w:r w:rsidRPr="00211576">
              <w:rPr>
                <w:rFonts w:ascii="Arial Narrow" w:hAnsi="Arial Narrow"/>
                <w:sz w:val="20"/>
                <w:szCs w:val="20"/>
              </w:rPr>
              <w:t>ITT population in EXTREME trial (n=442)</w:t>
            </w:r>
          </w:p>
        </w:tc>
      </w:tr>
      <w:tr w:rsidR="006608E2" w:rsidRPr="00211576" w:rsidTr="00333233">
        <w:trPr>
          <w:cantSplit/>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Nominated price for cetuximab</w:t>
            </w:r>
          </w:p>
        </w:tc>
        <w:tc>
          <w:tcPr>
            <w:tcW w:w="3518" w:type="dxa"/>
          </w:tcPr>
          <w:p w:rsidR="006608E2" w:rsidRPr="00211576" w:rsidRDefault="00F34CEA" w:rsidP="00717D18">
            <w:pPr>
              <w:rPr>
                <w:rFonts w:ascii="Arial Narrow" w:hAnsi="Arial Narrow"/>
                <w:sz w:val="20"/>
                <w:szCs w:val="20"/>
              </w:rPr>
            </w:pPr>
            <w:r>
              <w:rPr>
                <w:rFonts w:ascii="Arial Narrow" w:hAnsi="Arial Narrow"/>
                <w:sz w:val="20"/>
                <w:szCs w:val="20"/>
              </w:rPr>
              <w:t>AEMP</w:t>
            </w:r>
            <w:r w:rsidR="006608E2" w:rsidRPr="00211576">
              <w:rPr>
                <w:rFonts w:ascii="Arial Narrow" w:hAnsi="Arial Narrow"/>
                <w:sz w:val="20"/>
                <w:szCs w:val="20"/>
              </w:rPr>
              <w:t>: $</w:t>
            </w:r>
            <w:r w:rsidR="00CC1076">
              <w:rPr>
                <w:rFonts w:ascii="Arial Narrow" w:hAnsi="Arial Narrow"/>
                <w:noProof/>
                <w:color w:val="000000"/>
                <w:sz w:val="20"/>
                <w:szCs w:val="20"/>
                <w:highlight w:val="black"/>
              </w:rPr>
              <w:t>''''''''''''''''</w:t>
            </w:r>
            <w:r w:rsidR="006608E2" w:rsidRPr="00211576">
              <w:rPr>
                <w:rFonts w:ascii="Arial Narrow" w:hAnsi="Arial Narrow"/>
                <w:sz w:val="20"/>
                <w:szCs w:val="20"/>
              </w:rPr>
              <w:t xml:space="preserve">/100 mg, representing a </w:t>
            </w:r>
            <w:r w:rsidR="00CC1076">
              <w:rPr>
                <w:rFonts w:ascii="Arial Narrow" w:hAnsi="Arial Narrow"/>
                <w:noProof/>
                <w:color w:val="000000"/>
                <w:sz w:val="20"/>
                <w:szCs w:val="20"/>
                <w:highlight w:val="black"/>
              </w:rPr>
              <w:t>''''''''''</w:t>
            </w:r>
            <w:r w:rsidR="006608E2" w:rsidRPr="00211576">
              <w:rPr>
                <w:rFonts w:ascii="Arial Narrow" w:hAnsi="Arial Narrow"/>
                <w:sz w:val="20"/>
                <w:szCs w:val="20"/>
              </w:rPr>
              <w:t>% rebate from</w:t>
            </w:r>
            <w:r w:rsidR="006608E2">
              <w:rPr>
                <w:rFonts w:ascii="Arial Narrow" w:hAnsi="Arial Narrow"/>
                <w:sz w:val="20"/>
                <w:szCs w:val="20"/>
              </w:rPr>
              <w:t xml:space="preserve"> p</w:t>
            </w:r>
            <w:r w:rsidR="006608E2" w:rsidRPr="00B44CB4">
              <w:rPr>
                <w:rFonts w:ascii="Arial Narrow" w:hAnsi="Arial Narrow"/>
                <w:sz w:val="20"/>
                <w:szCs w:val="20"/>
              </w:rPr>
              <w:t>roposed</w:t>
            </w:r>
            <w:r w:rsidR="006608E2" w:rsidRPr="00211576">
              <w:rPr>
                <w:rFonts w:ascii="Arial Narrow" w:hAnsi="Arial Narrow"/>
                <w:sz w:val="20"/>
                <w:szCs w:val="20"/>
              </w:rPr>
              <w:t xml:space="preserve"> </w:t>
            </w:r>
            <w:r w:rsidR="00717D18">
              <w:rPr>
                <w:rFonts w:ascii="Arial Narrow" w:hAnsi="Arial Narrow"/>
                <w:sz w:val="20"/>
                <w:szCs w:val="20"/>
              </w:rPr>
              <w:t>published</w:t>
            </w:r>
            <w:r w:rsidR="006608E2">
              <w:rPr>
                <w:rFonts w:ascii="Arial Narrow" w:hAnsi="Arial Narrow"/>
                <w:sz w:val="20"/>
                <w:szCs w:val="20"/>
              </w:rPr>
              <w:t xml:space="preserve"> </w:t>
            </w:r>
            <w:r w:rsidR="006608E2" w:rsidRPr="00211576">
              <w:rPr>
                <w:rFonts w:ascii="Arial Narrow" w:hAnsi="Arial Narrow"/>
                <w:sz w:val="20"/>
                <w:szCs w:val="20"/>
              </w:rPr>
              <w:t>price of $</w:t>
            </w:r>
            <w:r w:rsidR="00CC1076">
              <w:rPr>
                <w:rFonts w:ascii="Arial Narrow" w:hAnsi="Arial Narrow"/>
                <w:noProof/>
                <w:color w:val="000000"/>
                <w:sz w:val="20"/>
                <w:szCs w:val="20"/>
                <w:highlight w:val="black"/>
              </w:rPr>
              <w:t>'''''''''''''''</w:t>
            </w:r>
            <w:r w:rsidR="006608E2" w:rsidRPr="00211576">
              <w:rPr>
                <w:rFonts w:ascii="Arial Narrow" w:hAnsi="Arial Narrow"/>
                <w:sz w:val="20"/>
                <w:szCs w:val="20"/>
              </w:rPr>
              <w:t>/100</w:t>
            </w:r>
            <w:r w:rsidR="006608E2">
              <w:rPr>
                <w:rFonts w:ascii="Arial Narrow" w:hAnsi="Arial Narrow"/>
                <w:sz w:val="20"/>
                <w:szCs w:val="20"/>
              </w:rPr>
              <w:t> </w:t>
            </w:r>
            <w:r w:rsidR="006608E2" w:rsidRPr="00211576">
              <w:rPr>
                <w:rFonts w:ascii="Arial Narrow" w:hAnsi="Arial Narrow"/>
                <w:sz w:val="20"/>
                <w:szCs w:val="20"/>
              </w:rPr>
              <w:t xml:space="preserve">mg </w:t>
            </w:r>
          </w:p>
        </w:tc>
        <w:tc>
          <w:tcPr>
            <w:tcW w:w="2865" w:type="dxa"/>
          </w:tcPr>
          <w:p w:rsidR="006608E2" w:rsidRPr="00211576" w:rsidRDefault="00F34CEA" w:rsidP="00717D18">
            <w:pPr>
              <w:rPr>
                <w:rFonts w:ascii="Arial Narrow" w:hAnsi="Arial Narrow"/>
                <w:i/>
                <w:iCs/>
                <w:sz w:val="20"/>
                <w:szCs w:val="20"/>
              </w:rPr>
            </w:pPr>
            <w:r>
              <w:rPr>
                <w:rFonts w:ascii="Arial Narrow" w:hAnsi="Arial Narrow"/>
                <w:sz w:val="20"/>
                <w:szCs w:val="20"/>
              </w:rPr>
              <w:t>AEMP</w:t>
            </w:r>
            <w:r w:rsidR="006608E2" w:rsidRPr="00211576">
              <w:rPr>
                <w:rFonts w:ascii="Arial Narrow" w:hAnsi="Arial Narrow"/>
                <w:sz w:val="20"/>
                <w:szCs w:val="20"/>
              </w:rPr>
              <w:t>: $</w:t>
            </w:r>
            <w:r w:rsidR="00CC1076">
              <w:rPr>
                <w:rFonts w:ascii="Arial Narrow" w:hAnsi="Arial Narrow"/>
                <w:noProof/>
                <w:color w:val="000000"/>
                <w:sz w:val="20"/>
                <w:szCs w:val="20"/>
                <w:highlight w:val="black"/>
              </w:rPr>
              <w:t>'''''''''''''''''</w:t>
            </w:r>
            <w:r w:rsidR="006608E2" w:rsidRPr="00211576">
              <w:rPr>
                <w:rFonts w:ascii="Arial Narrow" w:hAnsi="Arial Narrow"/>
                <w:sz w:val="20"/>
                <w:szCs w:val="20"/>
              </w:rPr>
              <w:t xml:space="preserve">/100 mg. </w:t>
            </w:r>
            <w:r w:rsidR="006608E2" w:rsidRPr="002F5DF8">
              <w:rPr>
                <w:rFonts w:ascii="Arial Narrow" w:hAnsi="Arial Narrow"/>
                <w:iCs/>
                <w:sz w:val="20"/>
                <w:szCs w:val="20"/>
              </w:rPr>
              <w:t xml:space="preserve">This is the same effective price for cetuximab </w:t>
            </w:r>
            <w:r w:rsidR="00717D18" w:rsidRPr="002F5DF8">
              <w:rPr>
                <w:rFonts w:ascii="Arial Narrow" w:hAnsi="Arial Narrow"/>
                <w:iCs/>
                <w:sz w:val="20"/>
                <w:szCs w:val="20"/>
              </w:rPr>
              <w:t xml:space="preserve">as </w:t>
            </w:r>
            <w:r w:rsidR="006608E2" w:rsidRPr="002F5DF8">
              <w:rPr>
                <w:rFonts w:ascii="Arial Narrow" w:hAnsi="Arial Narrow"/>
                <w:iCs/>
                <w:sz w:val="20"/>
                <w:szCs w:val="20"/>
              </w:rPr>
              <w:t>in mCRC</w:t>
            </w:r>
            <w:r w:rsidR="007F5C29" w:rsidRPr="002F5DF8">
              <w:rPr>
                <w:rFonts w:ascii="Arial Narrow" w:hAnsi="Arial Narrow"/>
                <w:iCs/>
                <w:sz w:val="20"/>
                <w:szCs w:val="20"/>
              </w:rPr>
              <w:t>.</w:t>
            </w:r>
            <w:r w:rsidR="006608E2" w:rsidRPr="00211576">
              <w:rPr>
                <w:rFonts w:ascii="Arial Narrow" w:hAnsi="Arial Narrow"/>
                <w:i/>
                <w:iCs/>
                <w:sz w:val="20"/>
                <w:szCs w:val="20"/>
              </w:rPr>
              <w:t xml:space="preserve"> </w:t>
            </w:r>
          </w:p>
        </w:tc>
      </w:tr>
      <w:tr w:rsidR="006608E2" w:rsidRPr="00211576" w:rsidTr="00333233">
        <w:trPr>
          <w:cantSplit/>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Nominated cost for infusion</w:t>
            </w:r>
          </w:p>
        </w:tc>
        <w:tc>
          <w:tcPr>
            <w:tcW w:w="3518" w:type="dxa"/>
          </w:tcPr>
          <w:p w:rsidR="006608E2" w:rsidRPr="00211576" w:rsidRDefault="006608E2" w:rsidP="004C4448">
            <w:pPr>
              <w:rPr>
                <w:rFonts w:ascii="Arial Narrow" w:hAnsi="Arial Narrow"/>
                <w:sz w:val="20"/>
                <w:szCs w:val="20"/>
              </w:rPr>
            </w:pPr>
            <w:r w:rsidRPr="00211576">
              <w:rPr>
                <w:rFonts w:ascii="Arial Narrow" w:hAnsi="Arial Narrow"/>
                <w:sz w:val="20"/>
                <w:szCs w:val="20"/>
              </w:rPr>
              <w:t>$</w:t>
            </w:r>
            <w:r w:rsidR="00CC1076">
              <w:rPr>
                <w:rFonts w:ascii="Arial Narrow" w:hAnsi="Arial Narrow"/>
                <w:noProof/>
                <w:color w:val="000000"/>
                <w:sz w:val="20"/>
                <w:szCs w:val="20"/>
                <w:highlight w:val="black"/>
              </w:rPr>
              <w:t>''''''''''''''''''</w:t>
            </w:r>
            <w:r w:rsidRPr="00D170DE">
              <w:rPr>
                <w:rFonts w:ascii="Arial Narrow" w:hAnsi="Arial Narrow"/>
                <w:sz w:val="20"/>
                <w:szCs w:val="20"/>
              </w:rPr>
              <w:t xml:space="preserve"> </w:t>
            </w:r>
            <w:r w:rsidRPr="00211576">
              <w:rPr>
                <w:rFonts w:ascii="Arial Narrow" w:hAnsi="Arial Narrow"/>
                <w:sz w:val="20"/>
                <w:szCs w:val="20"/>
              </w:rPr>
              <w:t>per infusion</w:t>
            </w:r>
          </w:p>
        </w:tc>
        <w:tc>
          <w:tcPr>
            <w:tcW w:w="2865" w:type="dxa"/>
          </w:tcPr>
          <w:p w:rsidR="006608E2" w:rsidRPr="00211576" w:rsidRDefault="006608E2" w:rsidP="00F83781">
            <w:pPr>
              <w:rPr>
                <w:rFonts w:ascii="Arial Narrow" w:hAnsi="Arial Narrow"/>
                <w:sz w:val="20"/>
                <w:szCs w:val="20"/>
              </w:rPr>
            </w:pPr>
            <w:r w:rsidRPr="00211576">
              <w:rPr>
                <w:rFonts w:ascii="Arial Narrow" w:hAnsi="Arial Narrow"/>
                <w:sz w:val="20"/>
                <w:szCs w:val="20"/>
              </w:rPr>
              <w:t>$</w:t>
            </w:r>
            <w:r w:rsidR="00CC1076">
              <w:rPr>
                <w:rFonts w:ascii="Arial Narrow" w:hAnsi="Arial Narrow"/>
                <w:noProof/>
                <w:color w:val="000000"/>
                <w:sz w:val="20"/>
                <w:szCs w:val="20"/>
                <w:highlight w:val="black"/>
              </w:rPr>
              <w:t>''''''''''''''''</w:t>
            </w:r>
            <w:r w:rsidRPr="00D170DE">
              <w:rPr>
                <w:rFonts w:ascii="Arial Narrow" w:hAnsi="Arial Narrow"/>
                <w:sz w:val="20"/>
                <w:szCs w:val="20"/>
              </w:rPr>
              <w:t xml:space="preserve"> </w:t>
            </w:r>
            <w:r w:rsidRPr="00211576">
              <w:rPr>
                <w:rFonts w:ascii="Arial Narrow" w:hAnsi="Arial Narrow"/>
                <w:sz w:val="20"/>
                <w:szCs w:val="20"/>
              </w:rPr>
              <w:t>per infusion, based on November 2014 submission for cetuximab in mCRC</w:t>
            </w:r>
          </w:p>
        </w:tc>
      </w:tr>
      <w:tr w:rsidR="006608E2" w:rsidRPr="00211576" w:rsidTr="00333233">
        <w:trPr>
          <w:cantSplit/>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Risk sharing arrangement</w:t>
            </w:r>
          </w:p>
        </w:tc>
        <w:tc>
          <w:tcPr>
            <w:tcW w:w="3518"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 xml:space="preserve">A confidential </w:t>
            </w:r>
            <w:r w:rsidR="00CC1076">
              <w:rPr>
                <w:rFonts w:ascii="Arial Narrow" w:hAnsi="Arial Narrow"/>
                <w:noProof/>
                <w:color w:val="000000"/>
                <w:sz w:val="20"/>
                <w:szCs w:val="20"/>
                <w:highlight w:val="black"/>
              </w:rPr>
              <w:t>'''''''''''</w:t>
            </w:r>
            <w:r w:rsidRPr="00211576">
              <w:rPr>
                <w:rFonts w:ascii="Arial Narrow" w:hAnsi="Arial Narrow"/>
                <w:sz w:val="20"/>
                <w:szCs w:val="20"/>
              </w:rPr>
              <w:t>% rebate on published ex-man price</w:t>
            </w:r>
          </w:p>
        </w:tc>
        <w:tc>
          <w:tcPr>
            <w:tcW w:w="2865" w:type="dxa"/>
          </w:tcPr>
          <w:p w:rsidR="006608E2" w:rsidRPr="00211576" w:rsidRDefault="006608E2">
            <w:pPr>
              <w:rPr>
                <w:rFonts w:ascii="Arial Narrow" w:hAnsi="Arial Narrow"/>
                <w:sz w:val="20"/>
                <w:szCs w:val="20"/>
              </w:rPr>
            </w:pPr>
            <w:r w:rsidRPr="00211576">
              <w:rPr>
                <w:rFonts w:ascii="Arial Narrow" w:hAnsi="Arial Narrow"/>
                <w:sz w:val="20"/>
                <w:szCs w:val="20"/>
              </w:rPr>
              <w:t xml:space="preserve">A confidential </w:t>
            </w:r>
            <w:r w:rsidR="00CC1076">
              <w:rPr>
                <w:rFonts w:ascii="Arial Narrow" w:hAnsi="Arial Narrow"/>
                <w:noProof/>
                <w:color w:val="000000"/>
                <w:sz w:val="20"/>
                <w:szCs w:val="20"/>
                <w:highlight w:val="black"/>
              </w:rPr>
              <w:t>''''''''''</w:t>
            </w:r>
            <w:r w:rsidRPr="00211576">
              <w:rPr>
                <w:rFonts w:ascii="Arial Narrow" w:hAnsi="Arial Narrow"/>
                <w:sz w:val="20"/>
                <w:szCs w:val="20"/>
              </w:rPr>
              <w:t xml:space="preserve">% rebate on published ex-man price, and a rebate of </w:t>
            </w:r>
            <w:r w:rsidR="00CC1076">
              <w:rPr>
                <w:rFonts w:ascii="Arial Narrow" w:hAnsi="Arial Narrow"/>
                <w:noProof/>
                <w:color w:val="000000"/>
                <w:sz w:val="20"/>
                <w:szCs w:val="20"/>
                <w:highlight w:val="black"/>
              </w:rPr>
              <w:t>'''''''</w:t>
            </w:r>
            <w:r w:rsidRPr="00211576">
              <w:rPr>
                <w:rFonts w:ascii="Arial Narrow" w:hAnsi="Arial Narrow"/>
                <w:sz w:val="20"/>
                <w:szCs w:val="20"/>
              </w:rPr>
              <w:t xml:space="preserve">% beyond agreed thresholds as </w:t>
            </w:r>
            <w:r w:rsidR="00DE1F48">
              <w:rPr>
                <w:rFonts w:ascii="Arial Narrow" w:hAnsi="Arial Narrow"/>
                <w:sz w:val="20"/>
                <w:szCs w:val="20"/>
              </w:rPr>
              <w:t xml:space="preserve">for </w:t>
            </w:r>
            <w:r w:rsidRPr="00211576">
              <w:rPr>
                <w:rFonts w:ascii="Arial Narrow" w:hAnsi="Arial Narrow"/>
                <w:sz w:val="20"/>
                <w:szCs w:val="20"/>
              </w:rPr>
              <w:t xml:space="preserve">cetuximab </w:t>
            </w:r>
            <w:r w:rsidR="00DE1F48">
              <w:rPr>
                <w:rFonts w:ascii="Arial Narrow" w:hAnsi="Arial Narrow"/>
                <w:sz w:val="20"/>
                <w:szCs w:val="20"/>
              </w:rPr>
              <w:t>in</w:t>
            </w:r>
            <w:r w:rsidRPr="00211576">
              <w:rPr>
                <w:rFonts w:ascii="Arial Narrow" w:hAnsi="Arial Narrow"/>
                <w:sz w:val="20"/>
                <w:szCs w:val="20"/>
              </w:rPr>
              <w:t xml:space="preserve"> locally advanced SCCHN and for mCRC</w:t>
            </w:r>
          </w:p>
        </w:tc>
      </w:tr>
      <w:tr w:rsidR="006608E2" w:rsidRPr="00211576" w:rsidTr="00333233">
        <w:trPr>
          <w:cantSplit/>
          <w:trHeight w:val="1244"/>
          <w:tblHeader/>
        </w:trPr>
        <w:tc>
          <w:tcPr>
            <w:tcW w:w="1980" w:type="dxa"/>
          </w:tcPr>
          <w:p w:rsidR="006608E2" w:rsidRPr="00211576" w:rsidRDefault="006608E2" w:rsidP="00717D18">
            <w:pPr>
              <w:rPr>
                <w:rFonts w:ascii="Arial Narrow" w:hAnsi="Arial Narrow"/>
                <w:sz w:val="20"/>
                <w:szCs w:val="20"/>
              </w:rPr>
            </w:pPr>
            <w:r w:rsidRPr="00211576">
              <w:rPr>
                <w:rFonts w:ascii="Arial Narrow" w:hAnsi="Arial Narrow"/>
                <w:sz w:val="20"/>
                <w:szCs w:val="20"/>
              </w:rPr>
              <w:t>Clinical claim for cetuximab relative to other drugs targeting EGFR in the treatment of RM SCCHN</w:t>
            </w:r>
          </w:p>
        </w:tc>
        <w:tc>
          <w:tcPr>
            <w:tcW w:w="3518" w:type="dxa"/>
          </w:tcPr>
          <w:p w:rsidR="006608E2" w:rsidRPr="00211576" w:rsidRDefault="00FA2E1A" w:rsidP="004D3BCB">
            <w:pPr>
              <w:rPr>
                <w:rFonts w:ascii="Arial Narrow" w:hAnsi="Arial Narrow"/>
                <w:sz w:val="20"/>
                <w:szCs w:val="20"/>
              </w:rPr>
            </w:pPr>
            <w:r>
              <w:rPr>
                <w:rFonts w:ascii="Arial Narrow" w:hAnsi="Arial Narrow"/>
                <w:sz w:val="20"/>
                <w:szCs w:val="20"/>
              </w:rPr>
              <w:t>Not evaluated</w:t>
            </w:r>
          </w:p>
        </w:tc>
        <w:tc>
          <w:tcPr>
            <w:tcW w:w="2865" w:type="dxa"/>
          </w:tcPr>
          <w:p w:rsidR="005C6D02" w:rsidRPr="00211576" w:rsidRDefault="006608E2" w:rsidP="00E01706">
            <w:pPr>
              <w:rPr>
                <w:rFonts w:ascii="Arial Narrow" w:hAnsi="Arial Narrow"/>
                <w:sz w:val="20"/>
                <w:szCs w:val="20"/>
              </w:rPr>
            </w:pPr>
            <w:r w:rsidRPr="00211576">
              <w:rPr>
                <w:rFonts w:ascii="Arial Narrow" w:hAnsi="Arial Narrow"/>
                <w:sz w:val="20"/>
                <w:szCs w:val="20"/>
              </w:rPr>
              <w:t xml:space="preserve">Clinical claim that cetuximab is the only anti-EGFR agent to demonstrate clinical efficacy in the treatment of RM SCCHN and </w:t>
            </w:r>
            <w:r w:rsidR="00717D18">
              <w:rPr>
                <w:rFonts w:ascii="Arial Narrow" w:hAnsi="Arial Narrow"/>
                <w:sz w:val="20"/>
                <w:szCs w:val="20"/>
              </w:rPr>
              <w:t xml:space="preserve">that </w:t>
            </w:r>
            <w:r w:rsidRPr="00211576">
              <w:rPr>
                <w:rFonts w:ascii="Arial Narrow" w:hAnsi="Arial Narrow"/>
                <w:sz w:val="20"/>
                <w:szCs w:val="20"/>
              </w:rPr>
              <w:t xml:space="preserve">efficacy in RM SCCHN is not a class effect. </w:t>
            </w:r>
          </w:p>
        </w:tc>
      </w:tr>
    </w:tbl>
    <w:p w:rsidR="006608E2" w:rsidRPr="00803BAB" w:rsidRDefault="00D13FF9" w:rsidP="00D13FF9">
      <w:pPr>
        <w:ind w:firstLine="709"/>
        <w:rPr>
          <w:rFonts w:ascii="Arial Narrow" w:hAnsi="Arial Narrow"/>
          <w:sz w:val="18"/>
          <w:szCs w:val="20"/>
        </w:rPr>
      </w:pPr>
      <w:r w:rsidRPr="00803BAB">
        <w:rPr>
          <w:rFonts w:ascii="Arial Narrow" w:hAnsi="Arial Narrow"/>
          <w:sz w:val="18"/>
          <w:szCs w:val="20"/>
        </w:rPr>
        <w:t>Source: Compiled during the minor overview.</w:t>
      </w:r>
    </w:p>
    <w:p w:rsidR="006608E2" w:rsidRDefault="006608E2" w:rsidP="006608E2">
      <w:pPr>
        <w:pStyle w:val="Header"/>
        <w:tabs>
          <w:tab w:val="clear" w:pos="4153"/>
          <w:tab w:val="clear" w:pos="8306"/>
        </w:tabs>
        <w:jc w:val="both"/>
        <w:rPr>
          <w:rFonts w:ascii="Arial" w:hAnsi="Arial"/>
          <w:sz w:val="22"/>
          <w:szCs w:val="22"/>
        </w:rPr>
      </w:pPr>
    </w:p>
    <w:p w:rsidR="00D41726" w:rsidRPr="0005234D" w:rsidRDefault="00D41726" w:rsidP="00D41726">
      <w:pPr>
        <w:ind w:firstLine="720"/>
        <w:rPr>
          <w:rFonts w:ascii="Arial" w:hAnsi="Arial" w:cs="Arial"/>
          <w:bCs/>
          <w:snapToGrid w:val="0"/>
          <w:sz w:val="22"/>
          <w:szCs w:val="22"/>
        </w:rPr>
      </w:pPr>
      <w:r w:rsidRPr="00D41726">
        <w:rPr>
          <w:rFonts w:ascii="Arial" w:hAnsi="Arial" w:cs="Arial"/>
          <w:bCs/>
          <w:i/>
          <w:snapToGrid w:val="0"/>
          <w:sz w:val="22"/>
          <w:szCs w:val="22"/>
        </w:rPr>
        <w:t>For more detail on PBAC’s view, see section 6 “PBAC outcome”</w:t>
      </w:r>
    </w:p>
    <w:p w:rsidR="00D41726" w:rsidRDefault="00D41726" w:rsidP="006608E2">
      <w:pPr>
        <w:pStyle w:val="Header"/>
        <w:tabs>
          <w:tab w:val="clear" w:pos="4153"/>
          <w:tab w:val="clear" w:pos="8306"/>
        </w:tabs>
        <w:jc w:val="both"/>
        <w:rPr>
          <w:rFonts w:ascii="Arial" w:hAnsi="Arial"/>
          <w:sz w:val="22"/>
          <w:szCs w:val="22"/>
        </w:rPr>
      </w:pPr>
    </w:p>
    <w:p w:rsidR="00D170DE" w:rsidRDefault="00D170DE">
      <w:pPr>
        <w:rPr>
          <w:rFonts w:ascii="Arial" w:hAnsi="Arial"/>
          <w:sz w:val="22"/>
          <w:szCs w:val="22"/>
        </w:rPr>
      </w:pPr>
      <w:r>
        <w:rPr>
          <w:rFonts w:ascii="Arial" w:hAnsi="Arial"/>
          <w:sz w:val="22"/>
          <w:szCs w:val="22"/>
        </w:rPr>
        <w:br w:type="page"/>
      </w:r>
    </w:p>
    <w:p w:rsidR="006608E2" w:rsidRPr="00882085" w:rsidRDefault="006608E2" w:rsidP="006608E2">
      <w:pPr>
        <w:pStyle w:val="PBACHeading1"/>
        <w:numPr>
          <w:ilvl w:val="0"/>
          <w:numId w:val="5"/>
        </w:numPr>
      </w:pPr>
      <w:r w:rsidRPr="00882085">
        <w:lastRenderedPageBreak/>
        <w:t>Comparator</w:t>
      </w:r>
    </w:p>
    <w:p w:rsidR="006608E2" w:rsidRPr="00882085" w:rsidRDefault="006608E2" w:rsidP="006608E2">
      <w:pPr>
        <w:pStyle w:val="Header"/>
        <w:tabs>
          <w:tab w:val="clear" w:pos="4153"/>
          <w:tab w:val="clear" w:pos="8306"/>
        </w:tabs>
        <w:jc w:val="both"/>
        <w:rPr>
          <w:rFonts w:ascii="Arial" w:hAnsi="Arial"/>
          <w:b/>
          <w:sz w:val="22"/>
          <w:szCs w:val="22"/>
        </w:rPr>
      </w:pPr>
    </w:p>
    <w:p w:rsidR="006608E2" w:rsidRPr="00882085" w:rsidRDefault="006608E2" w:rsidP="006608E2">
      <w:pPr>
        <w:pStyle w:val="ListParagraph"/>
        <w:numPr>
          <w:ilvl w:val="1"/>
          <w:numId w:val="5"/>
        </w:numPr>
        <w:rPr>
          <w:szCs w:val="22"/>
        </w:rPr>
      </w:pPr>
      <w:r>
        <w:rPr>
          <w:szCs w:val="22"/>
        </w:rPr>
        <w:t>This was unchanged in the minor resubmission. In March 2016, t</w:t>
      </w:r>
      <w:r w:rsidRPr="00F64D34">
        <w:rPr>
          <w:szCs w:val="22"/>
          <w:lang w:val="en-GB"/>
        </w:rPr>
        <w:t xml:space="preserve">he PBAC agreed that </w:t>
      </w:r>
      <w:r w:rsidRPr="00F64D34">
        <w:t xml:space="preserve">platinum-based chemotherapy </w:t>
      </w:r>
      <w:r w:rsidRPr="00F64D34">
        <w:rPr>
          <w:szCs w:val="22"/>
          <w:lang w:val="en-GB"/>
        </w:rPr>
        <w:t>was the appropriate comparator</w:t>
      </w:r>
      <w:r>
        <w:rPr>
          <w:szCs w:val="22"/>
          <w:lang w:val="en-GB"/>
        </w:rPr>
        <w:t>.</w:t>
      </w:r>
    </w:p>
    <w:p w:rsidR="005C3E28" w:rsidRDefault="005C3E28" w:rsidP="005C3E28">
      <w:pPr>
        <w:ind w:firstLine="720"/>
        <w:rPr>
          <w:rFonts w:ascii="Arial" w:hAnsi="Arial" w:cs="Arial"/>
          <w:i/>
          <w:sz w:val="22"/>
          <w:highlight w:val="yellow"/>
        </w:rPr>
      </w:pPr>
    </w:p>
    <w:p w:rsidR="00D41726" w:rsidRDefault="00D41726" w:rsidP="005C3E28">
      <w:pPr>
        <w:ind w:firstLine="720"/>
        <w:rPr>
          <w:rFonts w:ascii="Arial" w:hAnsi="Arial" w:cs="Arial"/>
          <w:i/>
          <w:sz w:val="22"/>
          <w:highlight w:val="yellow"/>
        </w:rPr>
      </w:pPr>
    </w:p>
    <w:p w:rsidR="006608E2" w:rsidRPr="00882085" w:rsidRDefault="006608E2" w:rsidP="00DF24BE">
      <w:pPr>
        <w:pStyle w:val="PBACHeading1"/>
        <w:keepNext/>
        <w:numPr>
          <w:ilvl w:val="0"/>
          <w:numId w:val="5"/>
        </w:numPr>
      </w:pPr>
      <w:r>
        <w:t>Consideration of the evidence</w:t>
      </w:r>
    </w:p>
    <w:p w:rsidR="006608E2" w:rsidRDefault="006608E2" w:rsidP="00DF24BE">
      <w:pPr>
        <w:keepNext/>
        <w:jc w:val="both"/>
        <w:rPr>
          <w:rFonts w:ascii="Arial" w:hAnsi="Arial"/>
          <w:sz w:val="22"/>
          <w:szCs w:val="22"/>
        </w:rPr>
      </w:pPr>
    </w:p>
    <w:p w:rsidR="008D15B5" w:rsidRDefault="008D15B5">
      <w:pPr>
        <w:pStyle w:val="Heading2"/>
        <w:rPr>
          <w:iCs/>
        </w:rPr>
      </w:pPr>
      <w:r w:rsidRPr="00F0397B">
        <w:rPr>
          <w:iCs/>
        </w:rPr>
        <w:t>Sponsor hearing</w:t>
      </w:r>
    </w:p>
    <w:p w:rsidR="005C3E28" w:rsidRPr="005C3E28" w:rsidRDefault="005C3E28" w:rsidP="005C3E28"/>
    <w:p w:rsidR="008D15B5" w:rsidRPr="00DF24BE" w:rsidRDefault="008D15B5" w:rsidP="008D15B5">
      <w:pPr>
        <w:pStyle w:val="ListParagraph"/>
        <w:numPr>
          <w:ilvl w:val="1"/>
          <w:numId w:val="5"/>
        </w:numPr>
        <w:rPr>
          <w:bCs/>
        </w:rPr>
      </w:pPr>
      <w:r w:rsidRPr="00DF24BE">
        <w:rPr>
          <w:bCs/>
        </w:rPr>
        <w:t>There was no hearing for this item as it was a minor submission.</w:t>
      </w:r>
    </w:p>
    <w:p w:rsidR="008D15B5" w:rsidRPr="003A49F2" w:rsidRDefault="008D15B5" w:rsidP="008D15B5">
      <w:pPr>
        <w:rPr>
          <w:bCs/>
          <w:szCs w:val="22"/>
          <w:highlight w:val="yellow"/>
        </w:rPr>
      </w:pPr>
    </w:p>
    <w:p w:rsidR="008D15B5" w:rsidRPr="00F0397B" w:rsidRDefault="008D15B5" w:rsidP="008D15B5">
      <w:pPr>
        <w:pStyle w:val="Heading2"/>
        <w:rPr>
          <w:i w:val="0"/>
          <w:iCs/>
        </w:rPr>
      </w:pPr>
      <w:r w:rsidRPr="00F0397B">
        <w:rPr>
          <w:iCs/>
        </w:rPr>
        <w:t>Consumer comments</w:t>
      </w:r>
    </w:p>
    <w:p w:rsidR="005C3E28" w:rsidRDefault="005C3E28" w:rsidP="005C3E28">
      <w:pPr>
        <w:pStyle w:val="ListParagraph"/>
        <w:rPr>
          <w:bCs/>
          <w:highlight w:val="yellow"/>
        </w:rPr>
      </w:pPr>
    </w:p>
    <w:p w:rsidR="008D15B5" w:rsidRPr="002B699C" w:rsidRDefault="008D15B5" w:rsidP="008D15B5">
      <w:pPr>
        <w:pStyle w:val="ListParagraph"/>
        <w:numPr>
          <w:ilvl w:val="1"/>
          <w:numId w:val="5"/>
        </w:numPr>
        <w:rPr>
          <w:bCs/>
        </w:rPr>
      </w:pPr>
      <w:r w:rsidRPr="00DF24BE">
        <w:rPr>
          <w:bCs/>
        </w:rPr>
        <w:t>The PBAC noted</w:t>
      </w:r>
      <w:r w:rsidR="00460199" w:rsidRPr="00DF24BE">
        <w:rPr>
          <w:bCs/>
        </w:rPr>
        <w:t xml:space="preserve"> and welcomed the input from one individual and one organisation </w:t>
      </w:r>
      <w:r w:rsidR="00580FF4" w:rsidRPr="00DF24BE">
        <w:rPr>
          <w:bCs/>
        </w:rPr>
        <w:t>via the Consumer Comments facility on the PBS website. The PBAC noted</w:t>
      </w:r>
      <w:r w:rsidR="00BC73DA">
        <w:rPr>
          <w:bCs/>
        </w:rPr>
        <w:t xml:space="preserve"> that</w:t>
      </w:r>
      <w:r w:rsidR="00460199" w:rsidRPr="00DF24BE">
        <w:rPr>
          <w:bCs/>
        </w:rPr>
        <w:t xml:space="preserve"> the extent of disability associated with head and neck cancers</w:t>
      </w:r>
      <w:r w:rsidR="00BC73DA">
        <w:rPr>
          <w:bCs/>
        </w:rPr>
        <w:t xml:space="preserve"> was an important issue for patients</w:t>
      </w:r>
      <w:r w:rsidR="00460199" w:rsidRPr="00DF24BE">
        <w:rPr>
          <w:bCs/>
        </w:rPr>
        <w:t xml:space="preserve">. The PBAC </w:t>
      </w:r>
      <w:r w:rsidR="00580FF4" w:rsidRPr="00DF24BE">
        <w:rPr>
          <w:bCs/>
        </w:rPr>
        <w:t>also noted the advice from Rare Cancers Australia</w:t>
      </w:r>
      <w:r w:rsidR="00BC73DA">
        <w:rPr>
          <w:bCs/>
        </w:rPr>
        <w:t>,</w:t>
      </w:r>
      <w:r w:rsidR="00580FF4" w:rsidRPr="002B699C">
        <w:rPr>
          <w:bCs/>
        </w:rPr>
        <w:t xml:space="preserve"> which highlighted the stress and trauma associated with currently available treatment options</w:t>
      </w:r>
      <w:r w:rsidR="005C0345">
        <w:rPr>
          <w:bCs/>
        </w:rPr>
        <w:t>,</w:t>
      </w:r>
      <w:r w:rsidR="00580FF4" w:rsidRPr="002B699C">
        <w:rPr>
          <w:bCs/>
        </w:rPr>
        <w:t xml:space="preserve"> and referred to trial </w:t>
      </w:r>
      <w:r w:rsidR="00F34CEA">
        <w:rPr>
          <w:bCs/>
        </w:rPr>
        <w:t>data</w:t>
      </w:r>
      <w:r w:rsidR="00580FF4" w:rsidRPr="002B699C">
        <w:rPr>
          <w:bCs/>
        </w:rPr>
        <w:t xml:space="preserve"> indicating the efficacy of cetuximab for head and neck cancers.</w:t>
      </w:r>
    </w:p>
    <w:p w:rsidR="005C3E28" w:rsidRPr="00F34CEA" w:rsidRDefault="005C3E28" w:rsidP="005C3E28">
      <w:pPr>
        <w:rPr>
          <w:bCs/>
          <w:highlight w:val="yellow"/>
        </w:rPr>
      </w:pPr>
    </w:p>
    <w:p w:rsidR="006608E2" w:rsidRPr="00882085" w:rsidRDefault="006608E2" w:rsidP="006608E2">
      <w:pPr>
        <w:pStyle w:val="Heading2"/>
      </w:pPr>
      <w:r>
        <w:t>Clinical trials</w:t>
      </w:r>
    </w:p>
    <w:p w:rsidR="006608E2" w:rsidRDefault="006608E2" w:rsidP="006608E2">
      <w:pPr>
        <w:pStyle w:val="ListParagraph"/>
        <w:ind w:left="709"/>
        <w:rPr>
          <w:szCs w:val="22"/>
        </w:rPr>
      </w:pPr>
    </w:p>
    <w:p w:rsidR="006608E2" w:rsidRDefault="006608E2" w:rsidP="006608E2">
      <w:pPr>
        <w:pStyle w:val="ListParagraph"/>
        <w:numPr>
          <w:ilvl w:val="1"/>
          <w:numId w:val="5"/>
        </w:numPr>
        <w:rPr>
          <w:szCs w:val="22"/>
        </w:rPr>
      </w:pPr>
      <w:r w:rsidRPr="0076420C">
        <w:rPr>
          <w:szCs w:val="22"/>
        </w:rPr>
        <w:t xml:space="preserve">The </w:t>
      </w:r>
      <w:r>
        <w:rPr>
          <w:szCs w:val="22"/>
        </w:rPr>
        <w:t xml:space="preserve">key evidence presented </w:t>
      </w:r>
      <w:r w:rsidR="005C0345">
        <w:rPr>
          <w:szCs w:val="22"/>
        </w:rPr>
        <w:t xml:space="preserve">(EXTREME) </w:t>
      </w:r>
      <w:r>
        <w:rPr>
          <w:szCs w:val="22"/>
        </w:rPr>
        <w:t xml:space="preserve">was </w:t>
      </w:r>
      <w:r w:rsidR="005C0345">
        <w:rPr>
          <w:szCs w:val="22"/>
        </w:rPr>
        <w:t xml:space="preserve">unchanged from the March 2016 submission. EXTREME was </w:t>
      </w:r>
      <w:r>
        <w:rPr>
          <w:szCs w:val="22"/>
        </w:rPr>
        <w:t>an</w:t>
      </w:r>
      <w:r w:rsidRPr="001F0A7F">
        <w:t xml:space="preserve"> open-label head-to-head randomised trial comparing cetuximab in addition to cisplatin or carboplatin and 5-flurouracil versus cisplatin or carboplatin and 5-flurouracil</w:t>
      </w:r>
      <w:r>
        <w:t xml:space="preserve"> in </w:t>
      </w:r>
      <w:r w:rsidR="005C0345">
        <w:t xml:space="preserve">442 </w:t>
      </w:r>
      <w:r>
        <w:t>patients with RM SCCHN</w:t>
      </w:r>
      <w:r w:rsidRPr="001F0A7F">
        <w:t>.</w:t>
      </w:r>
      <w:r>
        <w:rPr>
          <w:szCs w:val="22"/>
        </w:rPr>
        <w:t xml:space="preserve"> </w:t>
      </w:r>
    </w:p>
    <w:p w:rsidR="006608E2" w:rsidRDefault="006608E2" w:rsidP="006608E2">
      <w:pPr>
        <w:pStyle w:val="ListParagraph"/>
        <w:rPr>
          <w:szCs w:val="22"/>
        </w:rPr>
      </w:pPr>
    </w:p>
    <w:p w:rsidR="006608E2" w:rsidRPr="00226D81" w:rsidRDefault="006608E2" w:rsidP="006608E2">
      <w:pPr>
        <w:pStyle w:val="ListParagraph"/>
        <w:numPr>
          <w:ilvl w:val="1"/>
          <w:numId w:val="5"/>
        </w:numPr>
        <w:rPr>
          <w:iCs/>
          <w:szCs w:val="22"/>
        </w:rPr>
      </w:pPr>
      <w:r>
        <w:rPr>
          <w:iCs/>
          <w:szCs w:val="22"/>
        </w:rPr>
        <w:t xml:space="preserve">The minor resubmission also presented </w:t>
      </w:r>
      <w:r w:rsidRPr="00226D81">
        <w:rPr>
          <w:iCs/>
          <w:szCs w:val="22"/>
        </w:rPr>
        <w:t xml:space="preserve">a summary of clinical trials for </w:t>
      </w:r>
      <w:r w:rsidR="00AF0182">
        <w:rPr>
          <w:iCs/>
          <w:szCs w:val="22"/>
        </w:rPr>
        <w:t xml:space="preserve">other agents </w:t>
      </w:r>
      <w:r w:rsidR="001C7035">
        <w:rPr>
          <w:iCs/>
          <w:szCs w:val="22"/>
        </w:rPr>
        <w:t>which, like cetuximab,</w:t>
      </w:r>
      <w:r w:rsidR="00AF0182">
        <w:rPr>
          <w:iCs/>
          <w:szCs w:val="22"/>
        </w:rPr>
        <w:t xml:space="preserve"> </w:t>
      </w:r>
      <w:r w:rsidRPr="00226D81">
        <w:rPr>
          <w:iCs/>
          <w:szCs w:val="22"/>
        </w:rPr>
        <w:t>target</w:t>
      </w:r>
      <w:r w:rsidR="001C7035">
        <w:rPr>
          <w:iCs/>
          <w:szCs w:val="22"/>
        </w:rPr>
        <w:t xml:space="preserve"> the</w:t>
      </w:r>
      <w:r w:rsidRPr="00226D81">
        <w:rPr>
          <w:iCs/>
          <w:szCs w:val="22"/>
        </w:rPr>
        <w:t xml:space="preserve"> EGFR</w:t>
      </w:r>
      <w:r w:rsidR="00AF0182">
        <w:rPr>
          <w:iCs/>
          <w:szCs w:val="22"/>
        </w:rPr>
        <w:t xml:space="preserve"> </w:t>
      </w:r>
      <w:r w:rsidR="001C7035">
        <w:rPr>
          <w:iCs/>
          <w:szCs w:val="22"/>
        </w:rPr>
        <w:t>and</w:t>
      </w:r>
      <w:r w:rsidR="00AF0182">
        <w:rPr>
          <w:iCs/>
          <w:szCs w:val="22"/>
        </w:rPr>
        <w:t xml:space="preserve"> have been assessed </w:t>
      </w:r>
      <w:r w:rsidRPr="00226D81">
        <w:rPr>
          <w:iCs/>
          <w:szCs w:val="22"/>
        </w:rPr>
        <w:t xml:space="preserve">in the treatment of RM SCCHN. </w:t>
      </w:r>
      <w:r w:rsidRPr="00F53D02">
        <w:rPr>
          <w:iCs/>
          <w:szCs w:val="22"/>
        </w:rPr>
        <w:t xml:space="preserve">As a minor submission, the data presented </w:t>
      </w:r>
      <w:r w:rsidR="005C0345">
        <w:rPr>
          <w:iCs/>
          <w:szCs w:val="22"/>
        </w:rPr>
        <w:t>were not</w:t>
      </w:r>
      <w:r w:rsidRPr="00F53D02">
        <w:rPr>
          <w:iCs/>
          <w:szCs w:val="22"/>
        </w:rPr>
        <w:t xml:space="preserve"> evaluated and it </w:t>
      </w:r>
      <w:r w:rsidR="00E01706">
        <w:rPr>
          <w:iCs/>
          <w:szCs w:val="22"/>
        </w:rPr>
        <w:t>is</w:t>
      </w:r>
      <w:r w:rsidRPr="00F53D02">
        <w:rPr>
          <w:iCs/>
          <w:szCs w:val="22"/>
        </w:rPr>
        <w:t xml:space="preserve"> therefore unknown whether (i) all relevant literature </w:t>
      </w:r>
      <w:r w:rsidR="00AF0182">
        <w:rPr>
          <w:iCs/>
          <w:szCs w:val="22"/>
        </w:rPr>
        <w:t>was</w:t>
      </w:r>
      <w:r w:rsidRPr="00F53D02">
        <w:rPr>
          <w:iCs/>
          <w:szCs w:val="22"/>
        </w:rPr>
        <w:t xml:space="preserve"> included in the review </w:t>
      </w:r>
      <w:r w:rsidR="00AF0182">
        <w:rPr>
          <w:iCs/>
          <w:szCs w:val="22"/>
        </w:rPr>
        <w:t>and</w:t>
      </w:r>
      <w:r w:rsidRPr="00F53D02">
        <w:rPr>
          <w:iCs/>
          <w:szCs w:val="22"/>
        </w:rPr>
        <w:t xml:space="preserve"> (ii) the interpretation of the results of the trials was</w:t>
      </w:r>
      <w:r w:rsidR="00B91843" w:rsidRPr="00F53D02">
        <w:rPr>
          <w:iCs/>
          <w:szCs w:val="22"/>
        </w:rPr>
        <w:t xml:space="preserve"> reasonable</w:t>
      </w:r>
      <w:r w:rsidRPr="00F53D02">
        <w:rPr>
          <w:iCs/>
          <w:szCs w:val="22"/>
        </w:rPr>
        <w:t>.</w:t>
      </w:r>
      <w:r w:rsidRPr="00226D81">
        <w:rPr>
          <w:iCs/>
          <w:szCs w:val="22"/>
        </w:rPr>
        <w:t xml:space="preserve"> </w:t>
      </w:r>
    </w:p>
    <w:p w:rsidR="006608E2" w:rsidRPr="00226D81" w:rsidRDefault="006608E2" w:rsidP="006608E2">
      <w:pPr>
        <w:pStyle w:val="ListParagraph"/>
        <w:rPr>
          <w:iCs/>
          <w:szCs w:val="22"/>
        </w:rPr>
      </w:pPr>
    </w:p>
    <w:p w:rsidR="006608E2" w:rsidRPr="00226D81" w:rsidRDefault="00AF0182" w:rsidP="006608E2">
      <w:pPr>
        <w:pStyle w:val="ListParagraph"/>
        <w:numPr>
          <w:ilvl w:val="1"/>
          <w:numId w:val="5"/>
        </w:numPr>
        <w:rPr>
          <w:iCs/>
          <w:szCs w:val="22"/>
        </w:rPr>
      </w:pPr>
      <w:r>
        <w:rPr>
          <w:iCs/>
          <w:szCs w:val="22"/>
        </w:rPr>
        <w:t>T</w:t>
      </w:r>
      <w:r w:rsidR="006608E2" w:rsidRPr="00226D81">
        <w:rPr>
          <w:iCs/>
          <w:szCs w:val="22"/>
        </w:rPr>
        <w:t xml:space="preserve">he minor </w:t>
      </w:r>
      <w:r w:rsidR="006608E2">
        <w:rPr>
          <w:iCs/>
          <w:szCs w:val="22"/>
        </w:rPr>
        <w:t>re</w:t>
      </w:r>
      <w:r w:rsidR="006608E2" w:rsidRPr="00226D81">
        <w:rPr>
          <w:iCs/>
          <w:szCs w:val="22"/>
        </w:rPr>
        <w:t xml:space="preserve">submission identified 52 phase II trials and 7 phase III trials which evaluated the efficacy of 13 </w:t>
      </w:r>
      <w:r>
        <w:rPr>
          <w:iCs/>
          <w:szCs w:val="22"/>
        </w:rPr>
        <w:t>anti-</w:t>
      </w:r>
      <w:r w:rsidR="006608E2" w:rsidRPr="00226D81">
        <w:rPr>
          <w:iCs/>
          <w:szCs w:val="22"/>
        </w:rPr>
        <w:t xml:space="preserve">EGFR </w:t>
      </w:r>
      <w:r>
        <w:rPr>
          <w:iCs/>
          <w:szCs w:val="22"/>
        </w:rPr>
        <w:t>agents</w:t>
      </w:r>
      <w:r w:rsidR="006608E2" w:rsidRPr="00226D81">
        <w:rPr>
          <w:iCs/>
          <w:szCs w:val="22"/>
        </w:rPr>
        <w:t xml:space="preserve"> in the treatment of RM SCCHN.  The following conclusions </w:t>
      </w:r>
      <w:r w:rsidR="006608E2">
        <w:rPr>
          <w:iCs/>
          <w:szCs w:val="22"/>
        </w:rPr>
        <w:t>we</w:t>
      </w:r>
      <w:r w:rsidR="006608E2" w:rsidRPr="00226D81">
        <w:rPr>
          <w:iCs/>
          <w:szCs w:val="22"/>
        </w:rPr>
        <w:t xml:space="preserve">re </w:t>
      </w:r>
      <w:r>
        <w:rPr>
          <w:iCs/>
          <w:szCs w:val="22"/>
        </w:rPr>
        <w:t>stated in</w:t>
      </w:r>
      <w:r w:rsidR="006608E2" w:rsidRPr="00226D81">
        <w:rPr>
          <w:iCs/>
          <w:szCs w:val="22"/>
        </w:rPr>
        <w:t xml:space="preserve"> the minor submission :</w:t>
      </w:r>
    </w:p>
    <w:p w:rsidR="006608E2" w:rsidRPr="00F37FDC" w:rsidRDefault="006608E2" w:rsidP="00F37FDC">
      <w:pPr>
        <w:pStyle w:val="ListParagraph"/>
        <w:numPr>
          <w:ilvl w:val="0"/>
          <w:numId w:val="24"/>
        </w:numPr>
        <w:ind w:left="1276" w:hanging="425"/>
        <w:rPr>
          <w:szCs w:val="22"/>
        </w:rPr>
      </w:pPr>
      <w:r w:rsidRPr="00F37FDC">
        <w:rPr>
          <w:szCs w:val="22"/>
        </w:rPr>
        <w:t>Erlotinib, gefitinib, lapatinib, panitumumab, sorafenib and vandetanib have no demonstrated efficacy in the treatment of RM SCCHN;</w:t>
      </w:r>
    </w:p>
    <w:p w:rsidR="006608E2" w:rsidRPr="00F37FDC" w:rsidRDefault="006608E2" w:rsidP="00F37FDC">
      <w:pPr>
        <w:pStyle w:val="ListParagraph"/>
        <w:numPr>
          <w:ilvl w:val="0"/>
          <w:numId w:val="24"/>
        </w:numPr>
        <w:ind w:left="1276" w:hanging="425"/>
        <w:rPr>
          <w:szCs w:val="22"/>
        </w:rPr>
      </w:pPr>
      <w:r w:rsidRPr="00F37FDC">
        <w:rPr>
          <w:szCs w:val="22"/>
        </w:rPr>
        <w:t>Afatinib, figitumumab, sunitinib, Sym004 and zalutumumab are not efficacious and are associated with significant toxicities;</w:t>
      </w:r>
    </w:p>
    <w:p w:rsidR="006608E2" w:rsidRPr="00F37FDC" w:rsidRDefault="006608E2" w:rsidP="00F37FDC">
      <w:pPr>
        <w:pStyle w:val="ListParagraph"/>
        <w:numPr>
          <w:ilvl w:val="0"/>
          <w:numId w:val="24"/>
        </w:numPr>
        <w:ind w:left="1276" w:hanging="425"/>
        <w:rPr>
          <w:szCs w:val="22"/>
        </w:rPr>
      </w:pPr>
      <w:r w:rsidRPr="00F37FDC">
        <w:rPr>
          <w:szCs w:val="22"/>
        </w:rPr>
        <w:t>Dacomtinib demonstrated efficacy in a single arm phase II trial but has not been evaluated in any phase II or III comparative trials; and</w:t>
      </w:r>
    </w:p>
    <w:p w:rsidR="006608E2" w:rsidRDefault="006608E2" w:rsidP="00F37FDC">
      <w:pPr>
        <w:pStyle w:val="ListParagraph"/>
        <w:numPr>
          <w:ilvl w:val="0"/>
          <w:numId w:val="24"/>
        </w:numPr>
        <w:ind w:left="1276" w:hanging="425"/>
        <w:rPr>
          <w:szCs w:val="22"/>
        </w:rPr>
      </w:pPr>
      <w:r w:rsidRPr="00F37FDC">
        <w:rPr>
          <w:szCs w:val="22"/>
        </w:rPr>
        <w:t xml:space="preserve">The addition of bevacizumab did not increase the efficacy of cetuximab or erlotinib. </w:t>
      </w:r>
    </w:p>
    <w:p w:rsidR="006608E2" w:rsidRPr="00226D81" w:rsidRDefault="006608E2" w:rsidP="006608E2">
      <w:pPr>
        <w:pStyle w:val="ListParagraph"/>
        <w:rPr>
          <w:iCs/>
          <w:szCs w:val="22"/>
        </w:rPr>
      </w:pPr>
    </w:p>
    <w:p w:rsidR="006608E2" w:rsidRPr="00F53751" w:rsidRDefault="006608E2" w:rsidP="006608E2">
      <w:pPr>
        <w:pStyle w:val="ListParagraph"/>
        <w:numPr>
          <w:ilvl w:val="1"/>
          <w:numId w:val="5"/>
        </w:numPr>
      </w:pPr>
      <w:r w:rsidRPr="00226D81">
        <w:rPr>
          <w:iCs/>
          <w:szCs w:val="22"/>
        </w:rPr>
        <w:t xml:space="preserve">The minor </w:t>
      </w:r>
      <w:r>
        <w:rPr>
          <w:iCs/>
          <w:szCs w:val="22"/>
        </w:rPr>
        <w:t>re</w:t>
      </w:r>
      <w:r w:rsidRPr="00226D81">
        <w:rPr>
          <w:iCs/>
          <w:szCs w:val="22"/>
        </w:rPr>
        <w:t>submission further claim</w:t>
      </w:r>
      <w:r>
        <w:rPr>
          <w:iCs/>
          <w:szCs w:val="22"/>
        </w:rPr>
        <w:t>ed</w:t>
      </w:r>
      <w:r w:rsidRPr="00226D81">
        <w:rPr>
          <w:iCs/>
          <w:szCs w:val="22"/>
        </w:rPr>
        <w:t xml:space="preserve"> that a significant overall survival </w:t>
      </w:r>
      <w:r w:rsidR="000A2603">
        <w:rPr>
          <w:iCs/>
          <w:szCs w:val="22"/>
        </w:rPr>
        <w:t xml:space="preserve">(OS) </w:t>
      </w:r>
      <w:r w:rsidRPr="00226D81">
        <w:rPr>
          <w:iCs/>
          <w:szCs w:val="22"/>
        </w:rPr>
        <w:t xml:space="preserve">benefit was not demonstrated for any agent other than cetuximab in any of the identified phase II </w:t>
      </w:r>
      <w:r>
        <w:rPr>
          <w:iCs/>
          <w:szCs w:val="22"/>
        </w:rPr>
        <w:t xml:space="preserve">comparative </w:t>
      </w:r>
      <w:r w:rsidRPr="00226D81">
        <w:rPr>
          <w:iCs/>
          <w:szCs w:val="22"/>
        </w:rPr>
        <w:t xml:space="preserve">trials, and that cetuximab is the only EGFR inhibitor that is </w:t>
      </w:r>
      <w:r w:rsidRPr="00226D81">
        <w:rPr>
          <w:iCs/>
          <w:szCs w:val="22"/>
        </w:rPr>
        <w:lastRenderedPageBreak/>
        <w:t>approved by the FDA, EMA and TGA for treatment of RM SCCHN.</w:t>
      </w:r>
      <w:r w:rsidR="009521E0">
        <w:rPr>
          <w:iCs/>
          <w:szCs w:val="22"/>
        </w:rPr>
        <w:t xml:space="preserve"> </w:t>
      </w:r>
    </w:p>
    <w:p w:rsidR="009521E0" w:rsidRPr="0000003D" w:rsidRDefault="009521E0" w:rsidP="00D17B93">
      <w:pPr>
        <w:pStyle w:val="ListParagraph"/>
      </w:pPr>
    </w:p>
    <w:p w:rsidR="00950B51" w:rsidRPr="00330FC6" w:rsidRDefault="00950B51" w:rsidP="00330FC6">
      <w:pPr>
        <w:pStyle w:val="ListParagraph"/>
        <w:numPr>
          <w:ilvl w:val="1"/>
          <w:numId w:val="5"/>
        </w:numPr>
        <w:rPr>
          <w:szCs w:val="22"/>
        </w:rPr>
      </w:pPr>
      <w:r w:rsidRPr="00330FC6">
        <w:rPr>
          <w:szCs w:val="22"/>
        </w:rPr>
        <w:t>The PBAC noted the comprehensive summary of the data available, and that these data suggested that anti-EGFR agents had limited meaningful clinical benefit in the treatment of metastatic head and neck cancer. The PBAC specifically noted t</w:t>
      </w:r>
      <w:r w:rsidRPr="001D14FC">
        <w:rPr>
          <w:szCs w:val="22"/>
        </w:rPr>
        <w:t xml:space="preserve">hat other anti-EGFR antibodies, including panitumumab, were not shown to </w:t>
      </w:r>
      <w:r w:rsidR="00C205B7" w:rsidRPr="001D14FC">
        <w:rPr>
          <w:szCs w:val="22"/>
        </w:rPr>
        <w:t>increase survival</w:t>
      </w:r>
      <w:r w:rsidR="008A3663" w:rsidRPr="001D14FC">
        <w:rPr>
          <w:szCs w:val="22"/>
        </w:rPr>
        <w:t xml:space="preserve"> and that this was at odds with cetuximab and panitumumab</w:t>
      </w:r>
      <w:r w:rsidR="00330FC6">
        <w:rPr>
          <w:szCs w:val="22"/>
        </w:rPr>
        <w:t xml:space="preserve"> being similarly effective</w:t>
      </w:r>
      <w:r w:rsidR="008A3663" w:rsidRPr="00330FC6">
        <w:rPr>
          <w:szCs w:val="22"/>
        </w:rPr>
        <w:t xml:space="preserve"> in the treatment of mCRC</w:t>
      </w:r>
      <w:r w:rsidRPr="00330FC6">
        <w:rPr>
          <w:szCs w:val="22"/>
        </w:rPr>
        <w:t xml:space="preserve">. </w:t>
      </w:r>
      <w:r w:rsidR="00330FC6">
        <w:rPr>
          <w:szCs w:val="22"/>
        </w:rPr>
        <w:t>This is discussed further below.</w:t>
      </w:r>
    </w:p>
    <w:p w:rsidR="006608E2" w:rsidRPr="00D17B93" w:rsidRDefault="006608E2" w:rsidP="00D17B93">
      <w:pPr>
        <w:rPr>
          <w:szCs w:val="22"/>
        </w:rPr>
      </w:pPr>
    </w:p>
    <w:p w:rsidR="006608E2" w:rsidRPr="00882085" w:rsidRDefault="006608E2" w:rsidP="006608E2">
      <w:pPr>
        <w:pStyle w:val="Heading2"/>
      </w:pPr>
      <w:r w:rsidRPr="00882085">
        <w:t>Comparative effectiveness</w:t>
      </w:r>
    </w:p>
    <w:p w:rsidR="006608E2" w:rsidRPr="00882085" w:rsidRDefault="006608E2" w:rsidP="006608E2">
      <w:pPr>
        <w:jc w:val="both"/>
        <w:rPr>
          <w:rFonts w:ascii="Arial" w:hAnsi="Arial"/>
          <w:sz w:val="22"/>
          <w:szCs w:val="22"/>
        </w:rPr>
      </w:pPr>
    </w:p>
    <w:p w:rsidR="006608E2" w:rsidRDefault="006608E2" w:rsidP="006608E2">
      <w:pPr>
        <w:pStyle w:val="ListParagraph"/>
        <w:numPr>
          <w:ilvl w:val="1"/>
          <w:numId w:val="5"/>
        </w:numPr>
        <w:rPr>
          <w:szCs w:val="22"/>
        </w:rPr>
      </w:pPr>
      <w:r>
        <w:rPr>
          <w:szCs w:val="22"/>
        </w:rPr>
        <w:t xml:space="preserve"> The results for the ITT population of the EXTREME trial are presented in Table 2.</w:t>
      </w:r>
      <w:r w:rsidR="005C05F6">
        <w:rPr>
          <w:szCs w:val="22"/>
        </w:rPr>
        <w:t xml:space="preserve"> These are unchanged from the March 2016 submission.</w:t>
      </w:r>
    </w:p>
    <w:p w:rsidR="006608E2" w:rsidRDefault="006608E2" w:rsidP="00E71F07"/>
    <w:p w:rsidR="006608E2" w:rsidRPr="006559D2" w:rsidRDefault="006608E2" w:rsidP="006608E2">
      <w:pPr>
        <w:ind w:firstLine="709"/>
        <w:rPr>
          <w:rFonts w:ascii="Arial Narrow" w:hAnsi="Arial Narrow"/>
          <w:b/>
          <w:bCs/>
          <w:sz w:val="20"/>
          <w:szCs w:val="20"/>
        </w:rPr>
      </w:pPr>
      <w:r w:rsidRPr="006559D2">
        <w:rPr>
          <w:rFonts w:ascii="Arial Narrow" w:hAnsi="Arial Narrow"/>
          <w:b/>
          <w:bCs/>
          <w:sz w:val="20"/>
          <w:szCs w:val="20"/>
        </w:rPr>
        <w:t xml:space="preserve">Table </w:t>
      </w:r>
      <w:r>
        <w:rPr>
          <w:rFonts w:ascii="Arial Narrow" w:hAnsi="Arial Narrow"/>
          <w:b/>
          <w:bCs/>
          <w:sz w:val="20"/>
          <w:szCs w:val="20"/>
        </w:rPr>
        <w:t>2:</w:t>
      </w:r>
      <w:r w:rsidRPr="006559D2">
        <w:rPr>
          <w:rFonts w:ascii="Arial Narrow" w:hAnsi="Arial Narrow"/>
          <w:b/>
          <w:bCs/>
          <w:sz w:val="20"/>
          <w:szCs w:val="20"/>
        </w:rPr>
        <w:t xml:space="preserve"> Efficacy outcomes in the EXTREME trial in the ITT population</w:t>
      </w:r>
    </w:p>
    <w:tbl>
      <w:tblPr>
        <w:tblStyle w:val="TableGrid"/>
        <w:tblW w:w="0" w:type="auto"/>
        <w:tblInd w:w="737" w:type="dxa"/>
        <w:tblCellMar>
          <w:left w:w="28" w:type="dxa"/>
          <w:right w:w="28" w:type="dxa"/>
        </w:tblCellMar>
        <w:tblLook w:val="04A0" w:firstRow="1" w:lastRow="0" w:firstColumn="1" w:lastColumn="0" w:noHBand="0" w:noVBand="1"/>
        <w:tblCaption w:val="Efficacy outcomes in the EXTREME trial in the ITT population"/>
      </w:tblPr>
      <w:tblGrid>
        <w:gridCol w:w="2693"/>
        <w:gridCol w:w="2197"/>
        <w:gridCol w:w="2198"/>
        <w:gridCol w:w="1257"/>
      </w:tblGrid>
      <w:tr w:rsidR="006608E2" w:rsidRPr="006559D2" w:rsidTr="00333233">
        <w:trPr>
          <w:tblHeader/>
        </w:trPr>
        <w:tc>
          <w:tcPr>
            <w:tcW w:w="2693" w:type="dxa"/>
          </w:tcPr>
          <w:p w:rsidR="006608E2" w:rsidRPr="006559D2" w:rsidRDefault="006608E2" w:rsidP="00717D18">
            <w:pPr>
              <w:rPr>
                <w:rFonts w:ascii="Arial Narrow" w:hAnsi="Arial Narrow"/>
                <w:b/>
                <w:bCs/>
                <w:sz w:val="20"/>
                <w:szCs w:val="20"/>
              </w:rPr>
            </w:pPr>
            <w:r w:rsidRPr="006559D2">
              <w:rPr>
                <w:rFonts w:ascii="Arial Narrow" w:hAnsi="Arial Narrow"/>
                <w:b/>
                <w:bCs/>
                <w:sz w:val="20"/>
                <w:szCs w:val="20"/>
              </w:rPr>
              <w:t>Outcome</w:t>
            </w:r>
          </w:p>
        </w:tc>
        <w:tc>
          <w:tcPr>
            <w:tcW w:w="2197" w:type="dxa"/>
            <w:vAlign w:val="center"/>
          </w:tcPr>
          <w:p w:rsidR="006608E2" w:rsidRPr="006559D2" w:rsidRDefault="006608E2" w:rsidP="00BF1718">
            <w:pPr>
              <w:jc w:val="center"/>
              <w:rPr>
                <w:rFonts w:ascii="Arial Narrow" w:hAnsi="Arial Narrow"/>
                <w:b/>
                <w:bCs/>
                <w:sz w:val="20"/>
                <w:szCs w:val="20"/>
              </w:rPr>
            </w:pPr>
            <w:r w:rsidRPr="006559D2">
              <w:rPr>
                <w:rFonts w:ascii="Arial Narrow" w:hAnsi="Arial Narrow"/>
                <w:b/>
                <w:bCs/>
                <w:sz w:val="20"/>
                <w:szCs w:val="20"/>
              </w:rPr>
              <w:t>Cetuximab+</w:t>
            </w:r>
            <w:r w:rsidR="00852C64" w:rsidRPr="006559D2">
              <w:rPr>
                <w:rFonts w:ascii="Arial Narrow" w:hAnsi="Arial Narrow"/>
                <w:b/>
                <w:bCs/>
                <w:sz w:val="20"/>
                <w:szCs w:val="20"/>
              </w:rPr>
              <w:t>C</w:t>
            </w:r>
            <w:r w:rsidR="00852C64">
              <w:rPr>
                <w:rFonts w:ascii="Arial Narrow" w:hAnsi="Arial Narrow"/>
                <w:b/>
                <w:bCs/>
                <w:sz w:val="20"/>
                <w:szCs w:val="20"/>
              </w:rPr>
              <w:t>arboplatin or cisplatin and 5FU</w:t>
            </w:r>
            <w:r w:rsidR="00852C64" w:rsidRPr="006559D2">
              <w:rPr>
                <w:rFonts w:ascii="Arial Narrow" w:hAnsi="Arial Narrow"/>
                <w:b/>
                <w:bCs/>
                <w:sz w:val="20"/>
                <w:szCs w:val="20"/>
              </w:rPr>
              <w:t xml:space="preserve"> </w:t>
            </w:r>
            <w:r w:rsidRPr="006559D2">
              <w:rPr>
                <w:rFonts w:ascii="Arial Narrow" w:hAnsi="Arial Narrow"/>
                <w:b/>
                <w:bCs/>
                <w:sz w:val="20"/>
                <w:szCs w:val="20"/>
              </w:rPr>
              <w:t>(n=222)</w:t>
            </w:r>
          </w:p>
        </w:tc>
        <w:tc>
          <w:tcPr>
            <w:tcW w:w="2198" w:type="dxa"/>
            <w:vAlign w:val="center"/>
          </w:tcPr>
          <w:p w:rsidR="006608E2" w:rsidRPr="006559D2" w:rsidRDefault="00852C64" w:rsidP="00BF1718">
            <w:pPr>
              <w:jc w:val="center"/>
              <w:rPr>
                <w:rFonts w:ascii="Arial Narrow" w:hAnsi="Arial Narrow"/>
                <w:b/>
                <w:bCs/>
                <w:sz w:val="20"/>
                <w:szCs w:val="20"/>
              </w:rPr>
            </w:pPr>
            <w:r w:rsidRPr="006559D2">
              <w:rPr>
                <w:rFonts w:ascii="Arial Narrow" w:hAnsi="Arial Narrow"/>
                <w:b/>
                <w:bCs/>
                <w:sz w:val="20"/>
                <w:szCs w:val="20"/>
              </w:rPr>
              <w:t>C</w:t>
            </w:r>
            <w:r>
              <w:rPr>
                <w:rFonts w:ascii="Arial Narrow" w:hAnsi="Arial Narrow"/>
                <w:b/>
                <w:bCs/>
                <w:sz w:val="20"/>
                <w:szCs w:val="20"/>
              </w:rPr>
              <w:t>arboplatin or cisplatin and 5FU</w:t>
            </w:r>
            <w:r w:rsidR="006608E2" w:rsidRPr="006559D2">
              <w:rPr>
                <w:rFonts w:ascii="Arial Narrow" w:hAnsi="Arial Narrow"/>
                <w:b/>
                <w:bCs/>
                <w:sz w:val="20"/>
                <w:szCs w:val="20"/>
              </w:rPr>
              <w:t xml:space="preserve"> only (n=220)</w:t>
            </w:r>
          </w:p>
        </w:tc>
        <w:tc>
          <w:tcPr>
            <w:tcW w:w="1257" w:type="dxa"/>
            <w:vAlign w:val="center"/>
          </w:tcPr>
          <w:p w:rsidR="006608E2" w:rsidRPr="006559D2" w:rsidRDefault="006608E2" w:rsidP="00717D18">
            <w:pPr>
              <w:jc w:val="center"/>
              <w:rPr>
                <w:rFonts w:ascii="Arial Narrow" w:hAnsi="Arial Narrow"/>
                <w:b/>
                <w:bCs/>
                <w:sz w:val="20"/>
                <w:szCs w:val="20"/>
              </w:rPr>
            </w:pPr>
            <w:r>
              <w:rPr>
                <w:rFonts w:ascii="Arial Narrow" w:hAnsi="Arial Narrow"/>
                <w:b/>
                <w:bCs/>
                <w:sz w:val="20"/>
                <w:szCs w:val="20"/>
              </w:rPr>
              <w:t>p</w:t>
            </w:r>
            <w:r w:rsidRPr="006559D2">
              <w:rPr>
                <w:rFonts w:ascii="Arial Narrow" w:hAnsi="Arial Narrow"/>
                <w:b/>
                <w:bCs/>
                <w:sz w:val="20"/>
                <w:szCs w:val="20"/>
              </w:rPr>
              <w:t xml:space="preserve"> value</w:t>
            </w:r>
          </w:p>
        </w:tc>
      </w:tr>
      <w:tr w:rsidR="006608E2" w:rsidRPr="006559D2" w:rsidTr="00333233">
        <w:trPr>
          <w:tblHeader/>
        </w:trPr>
        <w:tc>
          <w:tcPr>
            <w:tcW w:w="2693"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Overall Response Rate (ORR)</w:t>
            </w:r>
          </w:p>
        </w:tc>
        <w:tc>
          <w:tcPr>
            <w:tcW w:w="219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35.6%</w:t>
            </w:r>
          </w:p>
        </w:tc>
        <w:tc>
          <w:tcPr>
            <w:tcW w:w="2198"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19.5%</w:t>
            </w:r>
          </w:p>
        </w:tc>
        <w:tc>
          <w:tcPr>
            <w:tcW w:w="125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0.0001</w:t>
            </w:r>
          </w:p>
        </w:tc>
      </w:tr>
      <w:tr w:rsidR="006608E2" w:rsidRPr="006559D2" w:rsidTr="00333233">
        <w:trPr>
          <w:tblHeader/>
        </w:trPr>
        <w:tc>
          <w:tcPr>
            <w:tcW w:w="2693"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Progression Free Survival (PFS)</w:t>
            </w:r>
          </w:p>
        </w:tc>
        <w:tc>
          <w:tcPr>
            <w:tcW w:w="219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5.6 months</w:t>
            </w:r>
          </w:p>
        </w:tc>
        <w:tc>
          <w:tcPr>
            <w:tcW w:w="2198"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3.3 months</w:t>
            </w:r>
          </w:p>
        </w:tc>
        <w:tc>
          <w:tcPr>
            <w:tcW w:w="125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&lt;0.001</w:t>
            </w:r>
          </w:p>
        </w:tc>
      </w:tr>
      <w:tr w:rsidR="006608E2" w:rsidRPr="006559D2" w:rsidTr="00333233">
        <w:trPr>
          <w:tblHeader/>
        </w:trPr>
        <w:tc>
          <w:tcPr>
            <w:tcW w:w="2693"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Overall Survival (OS)</w:t>
            </w:r>
          </w:p>
        </w:tc>
        <w:tc>
          <w:tcPr>
            <w:tcW w:w="219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10.1 months</w:t>
            </w:r>
          </w:p>
        </w:tc>
        <w:tc>
          <w:tcPr>
            <w:tcW w:w="2198"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7.4 months</w:t>
            </w:r>
          </w:p>
        </w:tc>
        <w:tc>
          <w:tcPr>
            <w:tcW w:w="125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0.036</w:t>
            </w:r>
          </w:p>
        </w:tc>
      </w:tr>
    </w:tbl>
    <w:p w:rsidR="006608E2" w:rsidRPr="00803BAB" w:rsidRDefault="006608E2" w:rsidP="006608E2">
      <w:pPr>
        <w:ind w:firstLine="709"/>
        <w:rPr>
          <w:rFonts w:ascii="Arial Narrow" w:hAnsi="Arial Narrow"/>
          <w:sz w:val="18"/>
          <w:szCs w:val="20"/>
        </w:rPr>
      </w:pPr>
      <w:r w:rsidRPr="00803BAB">
        <w:rPr>
          <w:rFonts w:ascii="Arial Narrow" w:hAnsi="Arial Narrow"/>
          <w:sz w:val="18"/>
          <w:szCs w:val="20"/>
        </w:rPr>
        <w:t>Source: p29 of the minor submission</w:t>
      </w:r>
    </w:p>
    <w:p w:rsidR="00297811" w:rsidRDefault="00297811" w:rsidP="00297811">
      <w:pPr>
        <w:pStyle w:val="ListParagraph"/>
        <w:rPr>
          <w:szCs w:val="22"/>
        </w:rPr>
      </w:pPr>
    </w:p>
    <w:p w:rsidR="00297811" w:rsidRDefault="00297811" w:rsidP="00297811">
      <w:pPr>
        <w:pStyle w:val="ListParagraph"/>
        <w:numPr>
          <w:ilvl w:val="1"/>
          <w:numId w:val="5"/>
        </w:numPr>
        <w:rPr>
          <w:szCs w:val="22"/>
        </w:rPr>
      </w:pPr>
      <w:r>
        <w:rPr>
          <w:szCs w:val="22"/>
        </w:rPr>
        <w:t xml:space="preserve">The comparison provided </w:t>
      </w:r>
      <w:r w:rsidR="005C05F6">
        <w:rPr>
          <w:szCs w:val="22"/>
        </w:rPr>
        <w:t>in the minor resubmission</w:t>
      </w:r>
      <w:r>
        <w:rPr>
          <w:szCs w:val="22"/>
        </w:rPr>
        <w:t xml:space="preserve"> </w:t>
      </w:r>
      <w:r w:rsidR="005C05F6">
        <w:rPr>
          <w:szCs w:val="22"/>
        </w:rPr>
        <w:t xml:space="preserve">of </w:t>
      </w:r>
      <w:r>
        <w:rPr>
          <w:szCs w:val="22"/>
        </w:rPr>
        <w:t xml:space="preserve">the </w:t>
      </w:r>
      <w:r w:rsidR="005C05F6">
        <w:rPr>
          <w:szCs w:val="22"/>
        </w:rPr>
        <w:t xml:space="preserve">cetuximab </w:t>
      </w:r>
      <w:r>
        <w:rPr>
          <w:szCs w:val="22"/>
        </w:rPr>
        <w:t xml:space="preserve">EXTREME and </w:t>
      </w:r>
      <w:r w:rsidR="005C05F6">
        <w:rPr>
          <w:szCs w:val="22"/>
        </w:rPr>
        <w:t xml:space="preserve">panitumumab </w:t>
      </w:r>
      <w:r>
        <w:rPr>
          <w:szCs w:val="22"/>
        </w:rPr>
        <w:t>SPECTRUM studies</w:t>
      </w:r>
      <w:r w:rsidR="001C7035">
        <w:rPr>
          <w:szCs w:val="22"/>
        </w:rPr>
        <w:t xml:space="preserve"> is</w:t>
      </w:r>
      <w:r>
        <w:rPr>
          <w:szCs w:val="22"/>
        </w:rPr>
        <w:t xml:space="preserve"> summarised in </w:t>
      </w:r>
      <w:r w:rsidR="00BF1718">
        <w:rPr>
          <w:szCs w:val="22"/>
        </w:rPr>
        <w:t>Table </w:t>
      </w:r>
      <w:r w:rsidR="00470016" w:rsidRPr="00470016">
        <w:rPr>
          <w:szCs w:val="22"/>
        </w:rPr>
        <w:t>3</w:t>
      </w:r>
      <w:r w:rsidRPr="00470016">
        <w:rPr>
          <w:szCs w:val="22"/>
        </w:rPr>
        <w:t>.</w:t>
      </w:r>
    </w:p>
    <w:p w:rsidR="00297811" w:rsidRDefault="00297811" w:rsidP="00297811">
      <w:pPr>
        <w:pStyle w:val="ListParagraph"/>
        <w:rPr>
          <w:szCs w:val="22"/>
        </w:rPr>
      </w:pPr>
    </w:p>
    <w:p w:rsidR="00297811" w:rsidRPr="00297811" w:rsidRDefault="00297811" w:rsidP="00BF1718">
      <w:pPr>
        <w:pStyle w:val="ListParagraph"/>
        <w:keepNext/>
        <w:rPr>
          <w:rFonts w:ascii="Arial Narrow" w:hAnsi="Arial Narrow"/>
          <w:b/>
          <w:sz w:val="20"/>
        </w:rPr>
      </w:pPr>
      <w:r w:rsidRPr="00297811">
        <w:rPr>
          <w:rFonts w:ascii="Arial Narrow" w:hAnsi="Arial Narrow"/>
          <w:b/>
          <w:sz w:val="20"/>
        </w:rPr>
        <w:t xml:space="preserve">Table </w:t>
      </w:r>
      <w:r w:rsidR="00A352AD">
        <w:rPr>
          <w:rFonts w:ascii="Arial Narrow" w:hAnsi="Arial Narrow"/>
          <w:b/>
          <w:sz w:val="20"/>
        </w:rPr>
        <w:t>3</w:t>
      </w:r>
      <w:r w:rsidRPr="00297811">
        <w:rPr>
          <w:rFonts w:ascii="Arial Narrow" w:hAnsi="Arial Narrow"/>
          <w:b/>
          <w:sz w:val="20"/>
        </w:rPr>
        <w:t>. Comparison of EXTREME and SPECTRUM studies</w:t>
      </w:r>
    </w:p>
    <w:tbl>
      <w:tblPr>
        <w:tblStyle w:val="TableGrid"/>
        <w:tblW w:w="8363" w:type="dxa"/>
        <w:tblInd w:w="817" w:type="dxa"/>
        <w:tblLook w:val="04A0" w:firstRow="1" w:lastRow="0" w:firstColumn="1" w:lastColumn="0" w:noHBand="0" w:noVBand="1"/>
        <w:tblCaption w:val="Comparison of EXTREME and SPECTRUM studies"/>
      </w:tblPr>
      <w:tblGrid>
        <w:gridCol w:w="2693"/>
        <w:gridCol w:w="2835"/>
        <w:gridCol w:w="2835"/>
      </w:tblGrid>
      <w:tr w:rsidR="00995730" w:rsidRPr="00297811" w:rsidTr="00333233">
        <w:trPr>
          <w:tblHeader/>
        </w:trPr>
        <w:tc>
          <w:tcPr>
            <w:tcW w:w="2693" w:type="dxa"/>
            <w:shd w:val="clear" w:color="auto" w:fill="auto"/>
          </w:tcPr>
          <w:p w:rsidR="00297811" w:rsidRPr="00297811" w:rsidRDefault="00297811" w:rsidP="00AF0182">
            <w:pPr>
              <w:keepNext/>
              <w:rPr>
                <w:rFonts w:ascii="Arial Narrow" w:hAnsi="Arial Narrow"/>
                <w:sz w:val="20"/>
                <w:szCs w:val="20"/>
              </w:rPr>
            </w:pPr>
          </w:p>
        </w:tc>
        <w:tc>
          <w:tcPr>
            <w:tcW w:w="2835" w:type="dxa"/>
            <w:shd w:val="clear" w:color="auto" w:fill="auto"/>
          </w:tcPr>
          <w:p w:rsidR="00297811" w:rsidRPr="00297811" w:rsidRDefault="00297811" w:rsidP="006F637D">
            <w:pPr>
              <w:keepNext/>
              <w:jc w:val="center"/>
              <w:rPr>
                <w:rFonts w:ascii="Arial Narrow" w:hAnsi="Arial Narrow"/>
                <w:b/>
                <w:sz w:val="20"/>
                <w:szCs w:val="20"/>
              </w:rPr>
            </w:pPr>
            <w:r w:rsidRPr="00297811">
              <w:rPr>
                <w:rFonts w:ascii="Arial Narrow" w:hAnsi="Arial Narrow"/>
                <w:b/>
                <w:sz w:val="20"/>
                <w:szCs w:val="20"/>
              </w:rPr>
              <w:t>EXTREME</w:t>
            </w:r>
            <w:r w:rsidR="00995730">
              <w:rPr>
                <w:rFonts w:ascii="Arial Narrow" w:hAnsi="Arial Narrow"/>
                <w:b/>
                <w:sz w:val="20"/>
                <w:szCs w:val="20"/>
              </w:rPr>
              <w:t xml:space="preserve"> - </w:t>
            </w:r>
            <w:r w:rsidRPr="00297811">
              <w:rPr>
                <w:rFonts w:ascii="Arial Narrow" w:hAnsi="Arial Narrow"/>
                <w:b/>
                <w:sz w:val="20"/>
                <w:szCs w:val="20"/>
              </w:rPr>
              <w:t>cetuximab</w:t>
            </w:r>
          </w:p>
        </w:tc>
        <w:tc>
          <w:tcPr>
            <w:tcW w:w="2835" w:type="dxa"/>
            <w:shd w:val="clear" w:color="auto" w:fill="auto"/>
          </w:tcPr>
          <w:p w:rsidR="00297811" w:rsidRPr="00297811" w:rsidRDefault="00297811" w:rsidP="00D80C39">
            <w:pPr>
              <w:keepNext/>
              <w:jc w:val="center"/>
              <w:rPr>
                <w:rFonts w:ascii="Arial Narrow" w:hAnsi="Arial Narrow"/>
                <w:b/>
                <w:sz w:val="20"/>
                <w:szCs w:val="20"/>
              </w:rPr>
            </w:pPr>
            <w:r w:rsidRPr="00297811">
              <w:rPr>
                <w:rFonts w:ascii="Arial Narrow" w:hAnsi="Arial Narrow"/>
                <w:b/>
                <w:sz w:val="20"/>
                <w:szCs w:val="20"/>
              </w:rPr>
              <w:t>SPECTRUM</w:t>
            </w:r>
            <w:r w:rsidR="00995730">
              <w:rPr>
                <w:rFonts w:ascii="Arial Narrow" w:hAnsi="Arial Narrow"/>
                <w:b/>
                <w:sz w:val="20"/>
                <w:szCs w:val="20"/>
              </w:rPr>
              <w:t xml:space="preserve"> </w:t>
            </w:r>
            <w:r w:rsidR="00715289">
              <w:rPr>
                <w:rFonts w:ascii="Arial Narrow" w:hAnsi="Arial Narrow"/>
                <w:b/>
                <w:sz w:val="20"/>
                <w:szCs w:val="20"/>
              </w:rPr>
              <w:t>–</w:t>
            </w:r>
            <w:r w:rsidR="00995730">
              <w:rPr>
                <w:rFonts w:ascii="Arial Narrow" w:hAnsi="Arial Narrow"/>
                <w:b/>
                <w:sz w:val="20"/>
                <w:szCs w:val="20"/>
              </w:rPr>
              <w:t xml:space="preserve"> </w:t>
            </w:r>
            <w:r w:rsidRPr="00297811">
              <w:rPr>
                <w:rFonts w:ascii="Arial Narrow" w:hAnsi="Arial Narrow"/>
                <w:b/>
                <w:sz w:val="20"/>
                <w:szCs w:val="20"/>
              </w:rPr>
              <w:t>panitumumab</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Number of trial participants</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442</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657</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Baseline demographics</w:t>
            </w:r>
          </w:p>
          <w:p w:rsidR="00297811" w:rsidRPr="00297811" w:rsidRDefault="00297811" w:rsidP="00AF0182">
            <w:pPr>
              <w:keepNext/>
              <w:rPr>
                <w:rFonts w:ascii="Arial Narrow" w:hAnsi="Arial Narrow"/>
                <w:sz w:val="20"/>
                <w:szCs w:val="20"/>
              </w:rPr>
            </w:pPr>
            <w:r w:rsidRPr="00297811">
              <w:rPr>
                <w:rFonts w:ascii="Arial Narrow" w:hAnsi="Arial Narrow"/>
                <w:sz w:val="20"/>
                <w:szCs w:val="20"/>
              </w:rPr>
              <w:t xml:space="preserve">Median </w:t>
            </w:r>
            <w:r w:rsidR="00803BAB">
              <w:rPr>
                <w:rFonts w:ascii="Arial Narrow" w:hAnsi="Arial Narrow"/>
                <w:sz w:val="20"/>
                <w:szCs w:val="20"/>
              </w:rPr>
              <w:t>a</w:t>
            </w:r>
            <w:r w:rsidRPr="00297811">
              <w:rPr>
                <w:rFonts w:ascii="Arial Narrow" w:hAnsi="Arial Narrow"/>
                <w:sz w:val="20"/>
                <w:szCs w:val="20"/>
              </w:rPr>
              <w:t>ge (years)</w:t>
            </w:r>
          </w:p>
          <w:p w:rsidR="00297811" w:rsidRPr="00297811" w:rsidRDefault="00297811" w:rsidP="00AF0182">
            <w:pPr>
              <w:keepNext/>
              <w:rPr>
                <w:rFonts w:ascii="Arial Narrow" w:hAnsi="Arial Narrow"/>
                <w:sz w:val="20"/>
                <w:szCs w:val="20"/>
              </w:rPr>
            </w:pPr>
            <w:r w:rsidRPr="00297811">
              <w:rPr>
                <w:rFonts w:ascii="Arial Narrow" w:hAnsi="Arial Narrow"/>
                <w:sz w:val="20"/>
                <w:szCs w:val="20"/>
              </w:rPr>
              <w:t>Male (%)</w:t>
            </w:r>
          </w:p>
          <w:p w:rsidR="00297811" w:rsidRPr="00297811" w:rsidRDefault="00297811" w:rsidP="00AF0182">
            <w:pPr>
              <w:keepNext/>
              <w:rPr>
                <w:rFonts w:ascii="Arial Narrow" w:hAnsi="Arial Narrow"/>
                <w:sz w:val="20"/>
                <w:szCs w:val="20"/>
              </w:rPr>
            </w:pPr>
            <w:r w:rsidRPr="00297811">
              <w:rPr>
                <w:rFonts w:ascii="Arial Narrow" w:hAnsi="Arial Narrow"/>
                <w:sz w:val="20"/>
                <w:szCs w:val="20"/>
              </w:rPr>
              <w:t>Locoregional recurrence only (%)</w:t>
            </w:r>
          </w:p>
          <w:p w:rsidR="00297811" w:rsidRPr="00297811" w:rsidRDefault="00297811" w:rsidP="00AF0182">
            <w:pPr>
              <w:keepNext/>
              <w:rPr>
                <w:rFonts w:ascii="Arial Narrow" w:hAnsi="Arial Narrow"/>
                <w:sz w:val="20"/>
                <w:szCs w:val="20"/>
              </w:rPr>
            </w:pPr>
            <w:r w:rsidRPr="00297811">
              <w:rPr>
                <w:rFonts w:ascii="Arial Narrow" w:hAnsi="Arial Narrow"/>
                <w:sz w:val="20"/>
                <w:szCs w:val="20"/>
              </w:rPr>
              <w:t>WHO 0 or 1</w:t>
            </w:r>
          </w:p>
          <w:p w:rsidR="00297811" w:rsidRPr="00297811" w:rsidRDefault="00297811" w:rsidP="00AF0182">
            <w:pPr>
              <w:keepNext/>
              <w:rPr>
                <w:rFonts w:ascii="Arial Narrow" w:hAnsi="Arial Narrow"/>
                <w:sz w:val="20"/>
                <w:szCs w:val="20"/>
              </w:rPr>
            </w:pPr>
            <w:r w:rsidRPr="00297811">
              <w:rPr>
                <w:rFonts w:ascii="Arial Narrow" w:hAnsi="Arial Narrow"/>
                <w:sz w:val="20"/>
                <w:szCs w:val="20"/>
              </w:rPr>
              <w:t>Median duration of disease (months)</w:t>
            </w:r>
          </w:p>
        </w:tc>
        <w:tc>
          <w:tcPr>
            <w:tcW w:w="2835" w:type="dxa"/>
          </w:tcPr>
          <w:p w:rsidR="00297811" w:rsidRPr="00297811" w:rsidRDefault="00297811" w:rsidP="00AF0182">
            <w:pPr>
              <w:keepNext/>
              <w:jc w:val="center"/>
              <w:rPr>
                <w:rFonts w:ascii="Arial Narrow" w:hAnsi="Arial Narrow"/>
                <w:sz w:val="20"/>
                <w:szCs w:val="20"/>
              </w:rPr>
            </w:pP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57</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90%</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53%</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88%</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 xml:space="preserve">16 </w:t>
            </w:r>
          </w:p>
        </w:tc>
        <w:tc>
          <w:tcPr>
            <w:tcW w:w="2835" w:type="dxa"/>
          </w:tcPr>
          <w:p w:rsidR="00297811" w:rsidRPr="00297811" w:rsidRDefault="00297811" w:rsidP="00AF0182">
            <w:pPr>
              <w:keepNext/>
              <w:jc w:val="center"/>
              <w:rPr>
                <w:rFonts w:ascii="Arial Narrow" w:hAnsi="Arial Narrow"/>
                <w:sz w:val="20"/>
                <w:szCs w:val="20"/>
              </w:rPr>
            </w:pP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59</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87%</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41%</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99%</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 xml:space="preserve">16 </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Comparator</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Cisplatin 100mg/m</w:t>
            </w:r>
            <w:r w:rsidRPr="00297811">
              <w:rPr>
                <w:rFonts w:ascii="Arial Narrow" w:hAnsi="Arial Narrow"/>
                <w:sz w:val="20"/>
                <w:szCs w:val="20"/>
                <w:vertAlign w:val="superscript"/>
              </w:rPr>
              <w:t>2</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Carboplatin AUC 300 mg</w:t>
            </w:r>
          </w:p>
          <w:p w:rsidR="00297811" w:rsidRPr="00297811" w:rsidRDefault="00297811" w:rsidP="00AF0182">
            <w:pPr>
              <w:keepNext/>
              <w:jc w:val="center"/>
              <w:rPr>
                <w:rFonts w:ascii="Arial Narrow" w:hAnsi="Arial Narrow"/>
                <w:sz w:val="20"/>
                <w:szCs w:val="20"/>
                <w:vertAlign w:val="superscript"/>
              </w:rPr>
            </w:pPr>
            <w:r w:rsidRPr="00297811">
              <w:rPr>
                <w:rFonts w:ascii="Arial Narrow" w:hAnsi="Arial Narrow"/>
                <w:sz w:val="20"/>
                <w:szCs w:val="20"/>
              </w:rPr>
              <w:t>5FU 4,000 mg/m</w:t>
            </w:r>
            <w:r w:rsidRPr="00297811">
              <w:rPr>
                <w:rFonts w:ascii="Arial Narrow" w:hAnsi="Arial Narrow"/>
                <w:sz w:val="20"/>
                <w:szCs w:val="20"/>
                <w:vertAlign w:val="superscript"/>
              </w:rPr>
              <w:t>2</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≤6 cycles</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Cisplatin 100mg/m</w:t>
            </w:r>
            <w:r w:rsidRPr="00297811">
              <w:rPr>
                <w:rFonts w:ascii="Arial Narrow" w:hAnsi="Arial Narrow"/>
                <w:sz w:val="20"/>
                <w:szCs w:val="20"/>
                <w:vertAlign w:val="superscript"/>
              </w:rPr>
              <w:t>2</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w:t>
            </w:r>
          </w:p>
          <w:p w:rsidR="00297811" w:rsidRPr="00297811" w:rsidRDefault="00297811" w:rsidP="00AF0182">
            <w:pPr>
              <w:keepNext/>
              <w:jc w:val="center"/>
              <w:rPr>
                <w:rFonts w:ascii="Arial Narrow" w:hAnsi="Arial Narrow"/>
                <w:sz w:val="20"/>
                <w:szCs w:val="20"/>
                <w:vertAlign w:val="superscript"/>
              </w:rPr>
            </w:pPr>
            <w:r w:rsidRPr="00297811">
              <w:rPr>
                <w:rFonts w:ascii="Arial Narrow" w:hAnsi="Arial Narrow"/>
                <w:sz w:val="20"/>
                <w:szCs w:val="20"/>
              </w:rPr>
              <w:t>5FU 4,000 mg/m</w:t>
            </w:r>
            <w:r w:rsidRPr="00297811">
              <w:rPr>
                <w:rFonts w:ascii="Arial Narrow" w:hAnsi="Arial Narrow"/>
                <w:sz w:val="20"/>
                <w:szCs w:val="20"/>
                <w:vertAlign w:val="superscript"/>
              </w:rPr>
              <w:t>2</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≤6 cycles</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 cisplatin</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64%</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100%</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Overall Survival</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10.1 v 7.4 months</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HR 0.80 [0.64, 0.99]</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P=0.04</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11.1 v 9.0 months</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HR 0.87 [0.73, 1.05]</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P=0.1403</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Progression Free Survival</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5.6 v 3.3 months</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HR 0.54 [0.43, 0.67]</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46% reduction in risk of progression</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P&lt;0.001</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5.8 v 4.6 months</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HR 0.78 [0.66, 0.92]</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22% reduction in risk of progression</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P=0.0036</w:t>
            </w:r>
          </w:p>
        </w:tc>
      </w:tr>
      <w:tr w:rsidR="00995730" w:rsidRPr="00297811" w:rsidTr="00333233">
        <w:trPr>
          <w:tblHeader/>
        </w:trPr>
        <w:tc>
          <w:tcPr>
            <w:tcW w:w="2693" w:type="dxa"/>
          </w:tcPr>
          <w:p w:rsidR="00297811" w:rsidRPr="00297811" w:rsidRDefault="00297811" w:rsidP="00AF0182">
            <w:pPr>
              <w:keepNext/>
              <w:rPr>
                <w:rFonts w:ascii="Arial Narrow" w:hAnsi="Arial Narrow"/>
                <w:sz w:val="20"/>
                <w:szCs w:val="20"/>
              </w:rPr>
            </w:pPr>
            <w:r w:rsidRPr="00297811">
              <w:rPr>
                <w:rFonts w:ascii="Arial Narrow" w:hAnsi="Arial Narrow"/>
                <w:sz w:val="20"/>
                <w:szCs w:val="20"/>
              </w:rPr>
              <w:t>Overall Response Rate</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36% v 20%</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OR 2.33 [1.50, 3.60]</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P&lt;0.001</w:t>
            </w:r>
          </w:p>
        </w:tc>
        <w:tc>
          <w:tcPr>
            <w:tcW w:w="2835" w:type="dxa"/>
          </w:tcPr>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36% v 25%</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OR 1.69 [1.15, 2.44]</w:t>
            </w:r>
          </w:p>
          <w:p w:rsidR="00297811" w:rsidRPr="00297811" w:rsidRDefault="00297811" w:rsidP="00AF0182">
            <w:pPr>
              <w:keepNext/>
              <w:jc w:val="center"/>
              <w:rPr>
                <w:rFonts w:ascii="Arial Narrow" w:hAnsi="Arial Narrow"/>
                <w:sz w:val="20"/>
                <w:szCs w:val="20"/>
              </w:rPr>
            </w:pPr>
            <w:r w:rsidRPr="00297811">
              <w:rPr>
                <w:rFonts w:ascii="Arial Narrow" w:hAnsi="Arial Narrow"/>
                <w:sz w:val="20"/>
                <w:szCs w:val="20"/>
              </w:rPr>
              <w:t>P=0.0065</w:t>
            </w:r>
          </w:p>
        </w:tc>
      </w:tr>
    </w:tbl>
    <w:p w:rsidR="00803BAB" w:rsidRDefault="00803BAB" w:rsidP="00297811">
      <w:pPr>
        <w:pStyle w:val="ListParagraph"/>
        <w:rPr>
          <w:rFonts w:ascii="Arial Narrow" w:hAnsi="Arial Narrow"/>
          <w:sz w:val="18"/>
        </w:rPr>
      </w:pPr>
      <w:r>
        <w:rPr>
          <w:rFonts w:ascii="Arial Narrow" w:hAnsi="Arial Narrow"/>
          <w:sz w:val="18"/>
        </w:rPr>
        <w:t xml:space="preserve">5FU = </w:t>
      </w:r>
      <w:r w:rsidRPr="00803BAB">
        <w:rPr>
          <w:rFonts w:ascii="Arial Narrow" w:hAnsi="Arial Narrow"/>
          <w:sz w:val="18"/>
        </w:rPr>
        <w:t>5-flurouracil</w:t>
      </w:r>
      <w:r>
        <w:rPr>
          <w:rFonts w:ascii="Arial Narrow" w:hAnsi="Arial Narrow"/>
          <w:sz w:val="18"/>
        </w:rPr>
        <w:t>, AUC = area under the curve</w:t>
      </w:r>
    </w:p>
    <w:p w:rsidR="00297811" w:rsidRPr="00297811" w:rsidRDefault="00297811" w:rsidP="00297811">
      <w:pPr>
        <w:pStyle w:val="ListParagraph"/>
        <w:rPr>
          <w:rFonts w:ascii="Arial Narrow" w:hAnsi="Arial Narrow"/>
          <w:sz w:val="20"/>
        </w:rPr>
      </w:pPr>
      <w:r w:rsidRPr="00297811">
        <w:rPr>
          <w:rFonts w:ascii="Arial Narrow" w:hAnsi="Arial Narrow"/>
          <w:sz w:val="18"/>
        </w:rPr>
        <w:t>Source: adapted from Table 3 of the submission (p 13)</w:t>
      </w:r>
    </w:p>
    <w:p w:rsidR="00297811" w:rsidRDefault="00297811" w:rsidP="00297811">
      <w:pPr>
        <w:pStyle w:val="ListParagraph"/>
        <w:rPr>
          <w:szCs w:val="22"/>
        </w:rPr>
      </w:pPr>
    </w:p>
    <w:p w:rsidR="00330FC6" w:rsidRPr="00BE6AD2" w:rsidRDefault="00297811" w:rsidP="00BE6AD2">
      <w:pPr>
        <w:pStyle w:val="ListParagraph"/>
        <w:numPr>
          <w:ilvl w:val="1"/>
          <w:numId w:val="5"/>
        </w:numPr>
        <w:rPr>
          <w:szCs w:val="22"/>
        </w:rPr>
      </w:pPr>
      <w:r w:rsidRPr="00BE6AD2">
        <w:rPr>
          <w:szCs w:val="22"/>
        </w:rPr>
        <w:t xml:space="preserve">The PBAC noted </w:t>
      </w:r>
      <w:r w:rsidR="00330FC6" w:rsidRPr="00BE6AD2">
        <w:rPr>
          <w:szCs w:val="22"/>
        </w:rPr>
        <w:t>a</w:t>
      </w:r>
      <w:r w:rsidRPr="00BE6AD2">
        <w:rPr>
          <w:szCs w:val="22"/>
        </w:rPr>
        <w:t xml:space="preserve"> </w:t>
      </w:r>
      <w:r w:rsidR="00852C64">
        <w:rPr>
          <w:szCs w:val="22"/>
        </w:rPr>
        <w:t xml:space="preserve">statistically </w:t>
      </w:r>
      <w:r w:rsidRPr="00BE6AD2">
        <w:rPr>
          <w:szCs w:val="22"/>
        </w:rPr>
        <w:t xml:space="preserve">significant </w:t>
      </w:r>
      <w:r w:rsidR="00330FC6" w:rsidRPr="00BE6AD2">
        <w:rPr>
          <w:szCs w:val="22"/>
        </w:rPr>
        <w:t xml:space="preserve">increase in </w:t>
      </w:r>
      <w:r w:rsidR="000A2603">
        <w:rPr>
          <w:szCs w:val="22"/>
        </w:rPr>
        <w:t>OS</w:t>
      </w:r>
      <w:r w:rsidR="001C7035" w:rsidRPr="00BE6AD2">
        <w:rPr>
          <w:szCs w:val="22"/>
        </w:rPr>
        <w:t xml:space="preserve"> </w:t>
      </w:r>
      <w:r w:rsidR="00330FC6" w:rsidRPr="00BE6AD2">
        <w:rPr>
          <w:szCs w:val="22"/>
        </w:rPr>
        <w:t xml:space="preserve">was demonstrated with </w:t>
      </w:r>
      <w:r w:rsidR="00330FC6" w:rsidRPr="00BE6AD2">
        <w:rPr>
          <w:szCs w:val="22"/>
        </w:rPr>
        <w:lastRenderedPageBreak/>
        <w:t xml:space="preserve">cetuximab but not </w:t>
      </w:r>
      <w:r w:rsidRPr="00BE6AD2">
        <w:rPr>
          <w:szCs w:val="22"/>
        </w:rPr>
        <w:t>panitumumab</w:t>
      </w:r>
      <w:r w:rsidRPr="001D14FC">
        <w:rPr>
          <w:szCs w:val="22"/>
        </w:rPr>
        <w:t xml:space="preserve">. </w:t>
      </w:r>
      <w:r w:rsidR="00330FC6" w:rsidRPr="001D14FC">
        <w:rPr>
          <w:szCs w:val="22"/>
        </w:rPr>
        <w:t xml:space="preserve">The minor resubmission suggested this may be due to differences in the activity of cetuximab and panitumumab at the molecular level. The PBAC considered there may be other reasons related to differences in the trial designs. For example, carboplatin was used in a proportion of patients in the EXTREME cetuximab trial but not in the SPECTRUM panitumumab trial, and carboplatin is generally considered less effective than cisplatin in the treatment of </w:t>
      </w:r>
      <w:r w:rsidR="00BE6AD2" w:rsidRPr="001D14FC">
        <w:rPr>
          <w:szCs w:val="22"/>
        </w:rPr>
        <w:t xml:space="preserve">SCCHN. </w:t>
      </w:r>
      <w:r w:rsidR="00330FC6" w:rsidRPr="001D14FC">
        <w:rPr>
          <w:szCs w:val="22"/>
        </w:rPr>
        <w:t xml:space="preserve"> </w:t>
      </w:r>
      <w:r w:rsidR="00BE6AD2" w:rsidRPr="001D14FC">
        <w:rPr>
          <w:szCs w:val="22"/>
        </w:rPr>
        <w:t xml:space="preserve">Further, there were differences across the trials in the median </w:t>
      </w:r>
      <w:r w:rsidR="000A2603">
        <w:rPr>
          <w:szCs w:val="22"/>
        </w:rPr>
        <w:t>OS</w:t>
      </w:r>
      <w:r w:rsidR="00BE6AD2" w:rsidRPr="00F12DEE">
        <w:rPr>
          <w:szCs w:val="22"/>
        </w:rPr>
        <w:t xml:space="preserve"> in the control groups (7.4 months in EXTREME versus 9.0 months in SPECTRUM), and this may have </w:t>
      </w:r>
      <w:r w:rsidR="00F12DEE">
        <w:rPr>
          <w:szCs w:val="22"/>
        </w:rPr>
        <w:t xml:space="preserve">impacted on the </w:t>
      </w:r>
      <w:r w:rsidR="001C7035">
        <w:rPr>
          <w:szCs w:val="22"/>
        </w:rPr>
        <w:t>relative efficacy observed for the two anti-EGFR antibodies</w:t>
      </w:r>
      <w:r w:rsidR="00BE6AD2" w:rsidRPr="00F12DEE">
        <w:rPr>
          <w:szCs w:val="22"/>
        </w:rPr>
        <w:t>.</w:t>
      </w:r>
      <w:r w:rsidR="00BE6AD2">
        <w:rPr>
          <w:szCs w:val="22"/>
        </w:rPr>
        <w:t xml:space="preserve"> </w:t>
      </w:r>
      <w:r w:rsidR="00F12DEE">
        <w:rPr>
          <w:szCs w:val="22"/>
        </w:rPr>
        <w:t xml:space="preserve">The PBAC noted </w:t>
      </w:r>
      <w:r w:rsidR="00BF1718">
        <w:rPr>
          <w:szCs w:val="22"/>
        </w:rPr>
        <w:t>that</w:t>
      </w:r>
      <w:r w:rsidR="00852C64">
        <w:rPr>
          <w:szCs w:val="22"/>
        </w:rPr>
        <w:t xml:space="preserve"> </w:t>
      </w:r>
      <w:r w:rsidR="00F12DEE">
        <w:rPr>
          <w:szCs w:val="22"/>
        </w:rPr>
        <w:t>for the treatment of mCRC</w:t>
      </w:r>
      <w:r w:rsidR="001C7035">
        <w:rPr>
          <w:szCs w:val="22"/>
        </w:rPr>
        <w:t>,</w:t>
      </w:r>
      <w:r w:rsidR="00F12DEE">
        <w:rPr>
          <w:szCs w:val="22"/>
        </w:rPr>
        <w:t xml:space="preserve"> cetuximab and panitumumab are considered equally effective, and </w:t>
      </w:r>
      <w:r w:rsidR="00BF1718">
        <w:rPr>
          <w:szCs w:val="22"/>
        </w:rPr>
        <w:t xml:space="preserve">considered </w:t>
      </w:r>
      <w:r w:rsidR="00F12DEE">
        <w:rPr>
          <w:szCs w:val="22"/>
        </w:rPr>
        <w:t xml:space="preserve">that </w:t>
      </w:r>
      <w:r w:rsidR="00330FC6" w:rsidRPr="00BE6AD2">
        <w:rPr>
          <w:szCs w:val="22"/>
        </w:rPr>
        <w:t xml:space="preserve">the lack of </w:t>
      </w:r>
      <w:r w:rsidR="005804CF">
        <w:rPr>
          <w:szCs w:val="22"/>
        </w:rPr>
        <w:t xml:space="preserve">an </w:t>
      </w:r>
      <w:r w:rsidR="00330FC6" w:rsidRPr="00BE6AD2">
        <w:rPr>
          <w:szCs w:val="22"/>
        </w:rPr>
        <w:t xml:space="preserve">effect of panitumumab </w:t>
      </w:r>
      <w:r w:rsidR="00BE6AD2">
        <w:rPr>
          <w:szCs w:val="22"/>
        </w:rPr>
        <w:t xml:space="preserve">on </w:t>
      </w:r>
      <w:r w:rsidR="000A2603">
        <w:rPr>
          <w:szCs w:val="22"/>
        </w:rPr>
        <w:t>OS</w:t>
      </w:r>
      <w:r w:rsidR="00BE6AD2">
        <w:rPr>
          <w:szCs w:val="22"/>
        </w:rPr>
        <w:t xml:space="preserve"> in the SPECTRUM trial </w:t>
      </w:r>
      <w:r w:rsidR="00330FC6" w:rsidRPr="00BE6AD2">
        <w:rPr>
          <w:szCs w:val="22"/>
        </w:rPr>
        <w:t xml:space="preserve">increased the uncertainty regarding the magnitude of the </w:t>
      </w:r>
      <w:r w:rsidR="005804CF">
        <w:rPr>
          <w:szCs w:val="22"/>
        </w:rPr>
        <w:t>survival benefit with</w:t>
      </w:r>
      <w:r w:rsidR="00330FC6" w:rsidRPr="00BE6AD2">
        <w:rPr>
          <w:szCs w:val="22"/>
        </w:rPr>
        <w:t xml:space="preserve"> cetuximab.</w:t>
      </w:r>
    </w:p>
    <w:p w:rsidR="00297811" w:rsidRDefault="00297811" w:rsidP="00D17B93">
      <w:pPr>
        <w:rPr>
          <w:szCs w:val="22"/>
        </w:rPr>
      </w:pPr>
    </w:p>
    <w:p w:rsidR="006608E2" w:rsidRPr="00882085" w:rsidRDefault="006608E2" w:rsidP="006608E2">
      <w:pPr>
        <w:pStyle w:val="Heading2"/>
      </w:pPr>
      <w:r w:rsidRPr="00882085">
        <w:t>Comparative harms</w:t>
      </w:r>
    </w:p>
    <w:p w:rsidR="006608E2" w:rsidRPr="00882085" w:rsidRDefault="006608E2" w:rsidP="006608E2">
      <w:pPr>
        <w:ind w:left="720" w:hanging="720"/>
        <w:jc w:val="both"/>
        <w:rPr>
          <w:rFonts w:ascii="Arial" w:hAnsi="Arial"/>
          <w:sz w:val="22"/>
          <w:szCs w:val="22"/>
        </w:rPr>
      </w:pPr>
    </w:p>
    <w:p w:rsidR="006608E2" w:rsidRPr="00CA7252" w:rsidRDefault="006608E2" w:rsidP="006608E2">
      <w:pPr>
        <w:pStyle w:val="ListParagraph"/>
        <w:numPr>
          <w:ilvl w:val="1"/>
          <w:numId w:val="5"/>
        </w:numPr>
        <w:rPr>
          <w:szCs w:val="22"/>
        </w:rPr>
      </w:pPr>
      <w:r>
        <w:rPr>
          <w:szCs w:val="22"/>
        </w:rPr>
        <w:t xml:space="preserve">The </w:t>
      </w:r>
      <w:r w:rsidRPr="00C04487">
        <w:rPr>
          <w:rFonts w:asciiTheme="minorBidi" w:hAnsiTheme="minorBidi"/>
        </w:rPr>
        <w:t>adverse events</w:t>
      </w:r>
      <w:r w:rsidR="00B354A5">
        <w:rPr>
          <w:rFonts w:asciiTheme="minorBidi" w:hAnsiTheme="minorBidi"/>
        </w:rPr>
        <w:t xml:space="preserve"> </w:t>
      </w:r>
      <w:r w:rsidR="00852C64">
        <w:rPr>
          <w:rFonts w:asciiTheme="minorBidi" w:hAnsiTheme="minorBidi"/>
        </w:rPr>
        <w:t>that</w:t>
      </w:r>
      <w:r w:rsidR="00B354A5">
        <w:rPr>
          <w:rFonts w:asciiTheme="minorBidi" w:hAnsiTheme="minorBidi"/>
        </w:rPr>
        <w:t xml:space="preserve"> were reported </w:t>
      </w:r>
      <w:r w:rsidR="00F55D98">
        <w:rPr>
          <w:rFonts w:asciiTheme="minorBidi" w:hAnsiTheme="minorBidi"/>
        </w:rPr>
        <w:t>in a statistically significant</w:t>
      </w:r>
      <w:r w:rsidR="00BF1718">
        <w:rPr>
          <w:rFonts w:asciiTheme="minorBidi" w:hAnsiTheme="minorBidi"/>
        </w:rPr>
        <w:t>ly</w:t>
      </w:r>
      <w:r w:rsidR="00F55D98">
        <w:rPr>
          <w:rFonts w:asciiTheme="minorBidi" w:hAnsiTheme="minorBidi"/>
        </w:rPr>
        <w:t xml:space="preserve"> higher proportion of patients in</w:t>
      </w:r>
      <w:r>
        <w:rPr>
          <w:szCs w:val="22"/>
        </w:rPr>
        <w:t xml:space="preserve"> the ITT population of the EXTREME trial are presented in Table </w:t>
      </w:r>
      <w:r w:rsidR="00A352AD">
        <w:rPr>
          <w:szCs w:val="22"/>
        </w:rPr>
        <w:t>4</w:t>
      </w:r>
      <w:r>
        <w:rPr>
          <w:szCs w:val="22"/>
        </w:rPr>
        <w:t xml:space="preserve">. </w:t>
      </w:r>
      <w:r w:rsidRPr="00CA7252">
        <w:rPr>
          <w:rFonts w:asciiTheme="minorBidi" w:hAnsiTheme="minorBidi"/>
        </w:rPr>
        <w:t>These data were not presented or discussed in the minor resubmission.</w:t>
      </w:r>
    </w:p>
    <w:p w:rsidR="006608E2" w:rsidRDefault="006608E2" w:rsidP="006608E2">
      <w:pPr>
        <w:ind w:firstLine="709"/>
        <w:rPr>
          <w:rFonts w:ascii="Arial Narrow" w:hAnsi="Arial Narrow"/>
          <w:b/>
          <w:bCs/>
          <w:sz w:val="20"/>
          <w:szCs w:val="20"/>
        </w:rPr>
      </w:pPr>
    </w:p>
    <w:p w:rsidR="006608E2" w:rsidRPr="006559D2" w:rsidRDefault="006608E2" w:rsidP="006608E2">
      <w:pPr>
        <w:ind w:firstLine="709"/>
        <w:rPr>
          <w:rFonts w:ascii="Arial Narrow" w:hAnsi="Arial Narrow"/>
          <w:b/>
          <w:bCs/>
          <w:sz w:val="20"/>
          <w:szCs w:val="20"/>
        </w:rPr>
      </w:pPr>
      <w:r w:rsidRPr="006559D2">
        <w:rPr>
          <w:rFonts w:ascii="Arial Narrow" w:hAnsi="Arial Narrow"/>
          <w:b/>
          <w:bCs/>
          <w:sz w:val="20"/>
          <w:szCs w:val="20"/>
        </w:rPr>
        <w:t xml:space="preserve">Table </w:t>
      </w:r>
      <w:r w:rsidR="00A352AD">
        <w:rPr>
          <w:rFonts w:ascii="Arial Narrow" w:hAnsi="Arial Narrow"/>
          <w:b/>
          <w:bCs/>
          <w:sz w:val="20"/>
          <w:szCs w:val="20"/>
        </w:rPr>
        <w:t>4</w:t>
      </w:r>
      <w:r w:rsidRPr="006559D2">
        <w:rPr>
          <w:rFonts w:ascii="Arial Narrow" w:hAnsi="Arial Narrow"/>
          <w:b/>
          <w:bCs/>
          <w:sz w:val="20"/>
          <w:szCs w:val="20"/>
        </w:rPr>
        <w:t>: Statistically significant adverse events reported in the EXTREME trial in the ITT population</w:t>
      </w:r>
    </w:p>
    <w:tbl>
      <w:tblPr>
        <w:tblStyle w:val="TableGrid"/>
        <w:tblW w:w="0" w:type="auto"/>
        <w:tblInd w:w="737" w:type="dxa"/>
        <w:tblCellMar>
          <w:left w:w="28" w:type="dxa"/>
          <w:right w:w="28" w:type="dxa"/>
        </w:tblCellMar>
        <w:tblLook w:val="04A0" w:firstRow="1" w:lastRow="0" w:firstColumn="1" w:lastColumn="0" w:noHBand="0" w:noVBand="1"/>
        <w:tblCaption w:val="Statistically significant adverse events reported in the EXTREME trial in the ITT population"/>
      </w:tblPr>
      <w:tblGrid>
        <w:gridCol w:w="1418"/>
        <w:gridCol w:w="992"/>
        <w:gridCol w:w="992"/>
        <w:gridCol w:w="1276"/>
        <w:gridCol w:w="1236"/>
        <w:gridCol w:w="1174"/>
        <w:gridCol w:w="1257"/>
      </w:tblGrid>
      <w:tr w:rsidR="006608E2" w:rsidRPr="006559D2" w:rsidTr="00333233">
        <w:trPr>
          <w:tblHeader/>
        </w:trPr>
        <w:tc>
          <w:tcPr>
            <w:tcW w:w="1418" w:type="dxa"/>
            <w:vMerge w:val="restart"/>
            <w:vAlign w:val="center"/>
          </w:tcPr>
          <w:p w:rsidR="006608E2" w:rsidRPr="006559D2" w:rsidRDefault="006608E2" w:rsidP="00717D18">
            <w:pPr>
              <w:rPr>
                <w:rFonts w:ascii="Arial Narrow" w:hAnsi="Arial Narrow"/>
                <w:b/>
                <w:bCs/>
                <w:sz w:val="20"/>
                <w:szCs w:val="20"/>
              </w:rPr>
            </w:pPr>
            <w:r w:rsidRPr="006559D2">
              <w:rPr>
                <w:rFonts w:ascii="Arial Narrow" w:hAnsi="Arial Narrow"/>
                <w:b/>
                <w:bCs/>
                <w:sz w:val="20"/>
                <w:szCs w:val="20"/>
              </w:rPr>
              <w:t>Event</w:t>
            </w:r>
          </w:p>
        </w:tc>
        <w:tc>
          <w:tcPr>
            <w:tcW w:w="992" w:type="dxa"/>
            <w:vMerge w:val="restart"/>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Cetuximab + chemo (n=219)</w:t>
            </w:r>
          </w:p>
        </w:tc>
        <w:tc>
          <w:tcPr>
            <w:tcW w:w="992" w:type="dxa"/>
            <w:vMerge w:val="restart"/>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Chemo only (n=215)</w:t>
            </w:r>
          </w:p>
        </w:tc>
        <w:tc>
          <w:tcPr>
            <w:tcW w:w="1276" w:type="dxa"/>
            <w:vMerge w:val="restart"/>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RR (95%CI)</w:t>
            </w:r>
          </w:p>
        </w:tc>
        <w:tc>
          <w:tcPr>
            <w:tcW w:w="2410" w:type="dxa"/>
            <w:gridSpan w:val="2"/>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Event rates per 100 patients</w:t>
            </w:r>
          </w:p>
        </w:tc>
        <w:tc>
          <w:tcPr>
            <w:tcW w:w="1257" w:type="dxa"/>
            <w:vMerge w:val="restart"/>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RD (95%CI)</w:t>
            </w:r>
          </w:p>
        </w:tc>
      </w:tr>
      <w:tr w:rsidR="006608E2" w:rsidRPr="006559D2" w:rsidTr="00333233">
        <w:trPr>
          <w:tblHeader/>
        </w:trPr>
        <w:tc>
          <w:tcPr>
            <w:tcW w:w="1418" w:type="dxa"/>
            <w:vMerge/>
          </w:tcPr>
          <w:p w:rsidR="006608E2" w:rsidRPr="006559D2" w:rsidRDefault="006608E2" w:rsidP="00717D18">
            <w:pPr>
              <w:rPr>
                <w:rFonts w:ascii="Arial Narrow" w:hAnsi="Arial Narrow"/>
                <w:sz w:val="20"/>
                <w:szCs w:val="20"/>
              </w:rPr>
            </w:pPr>
          </w:p>
        </w:tc>
        <w:tc>
          <w:tcPr>
            <w:tcW w:w="992" w:type="dxa"/>
            <w:vMerge/>
            <w:vAlign w:val="center"/>
          </w:tcPr>
          <w:p w:rsidR="006608E2" w:rsidRPr="006559D2" w:rsidRDefault="006608E2" w:rsidP="00717D18">
            <w:pPr>
              <w:jc w:val="center"/>
              <w:rPr>
                <w:rFonts w:ascii="Arial Narrow" w:hAnsi="Arial Narrow"/>
                <w:sz w:val="20"/>
                <w:szCs w:val="20"/>
              </w:rPr>
            </w:pPr>
          </w:p>
        </w:tc>
        <w:tc>
          <w:tcPr>
            <w:tcW w:w="992" w:type="dxa"/>
            <w:vMerge/>
            <w:vAlign w:val="center"/>
          </w:tcPr>
          <w:p w:rsidR="006608E2" w:rsidRPr="006559D2" w:rsidRDefault="006608E2" w:rsidP="00717D18">
            <w:pPr>
              <w:jc w:val="center"/>
              <w:rPr>
                <w:rFonts w:ascii="Arial Narrow" w:hAnsi="Arial Narrow"/>
                <w:sz w:val="20"/>
                <w:szCs w:val="20"/>
              </w:rPr>
            </w:pPr>
          </w:p>
        </w:tc>
        <w:tc>
          <w:tcPr>
            <w:tcW w:w="1276" w:type="dxa"/>
            <w:vMerge/>
            <w:vAlign w:val="center"/>
          </w:tcPr>
          <w:p w:rsidR="006608E2" w:rsidRPr="006559D2" w:rsidRDefault="006608E2" w:rsidP="00717D18">
            <w:pPr>
              <w:jc w:val="center"/>
              <w:rPr>
                <w:rFonts w:ascii="Arial Narrow" w:hAnsi="Arial Narrow"/>
                <w:sz w:val="20"/>
                <w:szCs w:val="20"/>
              </w:rPr>
            </w:pPr>
          </w:p>
        </w:tc>
        <w:tc>
          <w:tcPr>
            <w:tcW w:w="1236"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Cetuximab + chemo</w:t>
            </w:r>
          </w:p>
        </w:tc>
        <w:tc>
          <w:tcPr>
            <w:tcW w:w="1174"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Chemo only</w:t>
            </w:r>
          </w:p>
        </w:tc>
        <w:tc>
          <w:tcPr>
            <w:tcW w:w="1257" w:type="dxa"/>
            <w:vMerge/>
            <w:vAlign w:val="center"/>
          </w:tcPr>
          <w:p w:rsidR="006608E2" w:rsidRPr="006559D2" w:rsidRDefault="006608E2" w:rsidP="00717D18">
            <w:pPr>
              <w:jc w:val="center"/>
              <w:rPr>
                <w:rFonts w:ascii="Arial Narrow" w:hAnsi="Arial Narrow"/>
                <w:b/>
                <w:bCs/>
                <w:sz w:val="20"/>
                <w:szCs w:val="20"/>
              </w:rPr>
            </w:pPr>
          </w:p>
        </w:tc>
      </w:tr>
      <w:tr w:rsidR="006608E2" w:rsidRPr="006559D2" w:rsidTr="00333233">
        <w:trPr>
          <w:tblHeader/>
        </w:trPr>
        <w:tc>
          <w:tcPr>
            <w:tcW w:w="1418"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All Skin Reactions, n</w:t>
            </w:r>
            <w:r>
              <w:rPr>
                <w:rFonts w:ascii="Arial Narrow" w:hAnsi="Arial Narrow"/>
                <w:sz w:val="20"/>
                <w:szCs w:val="20"/>
              </w:rPr>
              <w:t xml:space="preserve"> </w:t>
            </w:r>
            <w:r w:rsidRPr="006559D2">
              <w:rPr>
                <w:rFonts w:ascii="Arial Narrow" w:hAnsi="Arial Narrow"/>
                <w:sz w:val="20"/>
                <w:szCs w:val="20"/>
              </w:rPr>
              <w:t>(%)</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148 (67.6)</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12 (5.6)</w:t>
            </w:r>
          </w:p>
        </w:tc>
        <w:tc>
          <w:tcPr>
            <w:tcW w:w="1276" w:type="dxa"/>
            <w:vAlign w:val="center"/>
          </w:tcPr>
          <w:p w:rsidR="006608E2" w:rsidRDefault="006608E2" w:rsidP="00717D18">
            <w:pPr>
              <w:jc w:val="center"/>
              <w:rPr>
                <w:rFonts w:ascii="Arial Narrow" w:hAnsi="Arial Narrow"/>
                <w:b/>
                <w:bCs/>
                <w:sz w:val="20"/>
                <w:szCs w:val="20"/>
              </w:rPr>
            </w:pPr>
            <w:r w:rsidRPr="006559D2">
              <w:rPr>
                <w:rFonts w:ascii="Arial Narrow" w:hAnsi="Arial Narrow"/>
                <w:b/>
                <w:bCs/>
                <w:sz w:val="20"/>
                <w:szCs w:val="20"/>
              </w:rPr>
              <w:t xml:space="preserve">12.11 </w:t>
            </w:r>
          </w:p>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(7.06, 21.13)</w:t>
            </w:r>
          </w:p>
        </w:tc>
        <w:tc>
          <w:tcPr>
            <w:tcW w:w="1236"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67.6</w:t>
            </w:r>
          </w:p>
        </w:tc>
        <w:tc>
          <w:tcPr>
            <w:tcW w:w="1174"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5.6</w:t>
            </w:r>
          </w:p>
        </w:tc>
        <w:tc>
          <w:tcPr>
            <w:tcW w:w="1257" w:type="dxa"/>
            <w:vAlign w:val="center"/>
          </w:tcPr>
          <w:p w:rsidR="006608E2" w:rsidRDefault="006608E2" w:rsidP="00717D18">
            <w:pPr>
              <w:jc w:val="center"/>
              <w:rPr>
                <w:rFonts w:ascii="Arial Narrow" w:hAnsi="Arial Narrow"/>
                <w:b/>
                <w:bCs/>
                <w:sz w:val="20"/>
                <w:szCs w:val="20"/>
              </w:rPr>
            </w:pPr>
            <w:r w:rsidRPr="006559D2">
              <w:rPr>
                <w:rFonts w:ascii="Arial Narrow" w:hAnsi="Arial Narrow"/>
                <w:b/>
                <w:bCs/>
                <w:sz w:val="20"/>
                <w:szCs w:val="20"/>
              </w:rPr>
              <w:t xml:space="preserve">0.62 </w:t>
            </w:r>
          </w:p>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(0.55,0.69)</w:t>
            </w:r>
          </w:p>
        </w:tc>
      </w:tr>
      <w:tr w:rsidR="006608E2" w:rsidRPr="006559D2" w:rsidTr="00333233">
        <w:trPr>
          <w:tblHeader/>
        </w:trPr>
        <w:tc>
          <w:tcPr>
            <w:tcW w:w="1418"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Grade 3 or 4 skin reactions, n</w:t>
            </w:r>
            <w:r>
              <w:rPr>
                <w:rFonts w:ascii="Arial Narrow" w:hAnsi="Arial Narrow"/>
                <w:sz w:val="20"/>
                <w:szCs w:val="20"/>
              </w:rPr>
              <w:t xml:space="preserve"> </w:t>
            </w:r>
            <w:r w:rsidRPr="006559D2">
              <w:rPr>
                <w:rFonts w:ascii="Arial Narrow" w:hAnsi="Arial Narrow"/>
                <w:sz w:val="20"/>
                <w:szCs w:val="20"/>
              </w:rPr>
              <w:t>(%)</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20 (9.1)</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 (0.5)</w:t>
            </w:r>
          </w:p>
        </w:tc>
        <w:tc>
          <w:tcPr>
            <w:tcW w:w="1276" w:type="dxa"/>
            <w:vAlign w:val="center"/>
          </w:tcPr>
          <w:p w:rsidR="006608E2" w:rsidRDefault="006608E2" w:rsidP="00717D18">
            <w:pPr>
              <w:jc w:val="center"/>
              <w:rPr>
                <w:rFonts w:ascii="Arial Narrow" w:hAnsi="Arial Narrow"/>
                <w:b/>
                <w:bCs/>
                <w:sz w:val="20"/>
                <w:szCs w:val="20"/>
              </w:rPr>
            </w:pPr>
            <w:r w:rsidRPr="006559D2">
              <w:rPr>
                <w:rFonts w:ascii="Arial Narrow" w:hAnsi="Arial Narrow"/>
                <w:b/>
                <w:bCs/>
                <w:sz w:val="20"/>
                <w:szCs w:val="20"/>
              </w:rPr>
              <w:t>19.63</w:t>
            </w:r>
          </w:p>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 xml:space="preserve"> (3.41, 114.69)</w:t>
            </w:r>
          </w:p>
        </w:tc>
        <w:tc>
          <w:tcPr>
            <w:tcW w:w="1236"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9.1</w:t>
            </w:r>
          </w:p>
        </w:tc>
        <w:tc>
          <w:tcPr>
            <w:tcW w:w="1174"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0.5</w:t>
            </w:r>
          </w:p>
        </w:tc>
        <w:tc>
          <w:tcPr>
            <w:tcW w:w="1257" w:type="dxa"/>
            <w:vAlign w:val="center"/>
          </w:tcPr>
          <w:p w:rsidR="006608E2" w:rsidRDefault="006608E2" w:rsidP="00717D18">
            <w:pPr>
              <w:jc w:val="center"/>
              <w:rPr>
                <w:rFonts w:ascii="Arial Narrow" w:hAnsi="Arial Narrow"/>
                <w:b/>
                <w:bCs/>
                <w:sz w:val="20"/>
                <w:szCs w:val="20"/>
              </w:rPr>
            </w:pPr>
            <w:r w:rsidRPr="006559D2">
              <w:rPr>
                <w:rFonts w:ascii="Arial Narrow" w:hAnsi="Arial Narrow"/>
                <w:b/>
                <w:bCs/>
                <w:sz w:val="20"/>
                <w:szCs w:val="20"/>
              </w:rPr>
              <w:t xml:space="preserve">0.09 </w:t>
            </w:r>
          </w:p>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(0.05, 0.13)</w:t>
            </w:r>
          </w:p>
        </w:tc>
      </w:tr>
      <w:tr w:rsidR="006608E2" w:rsidRPr="006559D2" w:rsidTr="00333233">
        <w:trPr>
          <w:tblHeader/>
        </w:trPr>
        <w:tc>
          <w:tcPr>
            <w:tcW w:w="1418"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Sepsis, n</w:t>
            </w:r>
            <w:r>
              <w:rPr>
                <w:rFonts w:ascii="Arial Narrow" w:hAnsi="Arial Narrow"/>
                <w:sz w:val="20"/>
                <w:szCs w:val="20"/>
              </w:rPr>
              <w:t xml:space="preserve"> </w:t>
            </w:r>
            <w:r w:rsidRPr="006559D2">
              <w:rPr>
                <w:rFonts w:ascii="Arial Narrow" w:hAnsi="Arial Narrow"/>
                <w:sz w:val="20"/>
                <w:szCs w:val="20"/>
              </w:rPr>
              <w:t>(%)</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9 (4.1)</w:t>
            </w:r>
          </w:p>
        </w:tc>
        <w:tc>
          <w:tcPr>
            <w:tcW w:w="992"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1 (0.5)</w:t>
            </w:r>
          </w:p>
        </w:tc>
        <w:tc>
          <w:tcPr>
            <w:tcW w:w="1276" w:type="dxa"/>
            <w:vAlign w:val="center"/>
          </w:tcPr>
          <w:p w:rsidR="006608E2" w:rsidRDefault="006608E2" w:rsidP="00717D18">
            <w:pPr>
              <w:jc w:val="center"/>
              <w:rPr>
                <w:rFonts w:ascii="Arial Narrow" w:hAnsi="Arial Narrow"/>
                <w:b/>
                <w:bCs/>
                <w:sz w:val="20"/>
                <w:szCs w:val="20"/>
              </w:rPr>
            </w:pPr>
            <w:r w:rsidRPr="006559D2">
              <w:rPr>
                <w:rFonts w:ascii="Arial Narrow" w:hAnsi="Arial Narrow"/>
                <w:b/>
                <w:bCs/>
                <w:sz w:val="20"/>
                <w:szCs w:val="20"/>
              </w:rPr>
              <w:t xml:space="preserve">8.84 </w:t>
            </w:r>
          </w:p>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(1.47, 53.73)</w:t>
            </w:r>
          </w:p>
        </w:tc>
        <w:tc>
          <w:tcPr>
            <w:tcW w:w="1236"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4.1</w:t>
            </w:r>
          </w:p>
        </w:tc>
        <w:tc>
          <w:tcPr>
            <w:tcW w:w="1174"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0.5</w:t>
            </w:r>
          </w:p>
        </w:tc>
        <w:tc>
          <w:tcPr>
            <w:tcW w:w="1257"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0.04 (0.01,.0.07)</w:t>
            </w:r>
          </w:p>
        </w:tc>
      </w:tr>
    </w:tbl>
    <w:p w:rsidR="006608E2" w:rsidRPr="00803BAB" w:rsidRDefault="006608E2" w:rsidP="006608E2">
      <w:pPr>
        <w:ind w:firstLine="709"/>
        <w:rPr>
          <w:rFonts w:ascii="Arial Narrow" w:hAnsi="Arial Narrow"/>
          <w:sz w:val="18"/>
          <w:szCs w:val="20"/>
        </w:rPr>
      </w:pPr>
      <w:r w:rsidRPr="00803BAB">
        <w:rPr>
          <w:rFonts w:ascii="Arial Narrow" w:hAnsi="Arial Narrow"/>
          <w:sz w:val="18"/>
          <w:szCs w:val="20"/>
        </w:rPr>
        <w:t xml:space="preserve">Source: Table 5, p12 March 2016 PBAC </w:t>
      </w:r>
      <w:r w:rsidR="001724CD">
        <w:rPr>
          <w:rFonts w:ascii="Arial Narrow" w:hAnsi="Arial Narrow"/>
          <w:sz w:val="18"/>
          <w:szCs w:val="20"/>
        </w:rPr>
        <w:t>PSD</w:t>
      </w:r>
      <w:r w:rsidRPr="00803BAB">
        <w:rPr>
          <w:rFonts w:ascii="Arial Narrow" w:hAnsi="Arial Narrow"/>
          <w:sz w:val="18"/>
          <w:szCs w:val="20"/>
        </w:rPr>
        <w:t xml:space="preserve"> for cetuximab</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rPr>
        <w:t>Bold typography indicates statistically significant differences</w:t>
      </w:r>
    </w:p>
    <w:p w:rsidR="00F939C4" w:rsidRDefault="00F939C4" w:rsidP="006608E2">
      <w:pPr>
        <w:jc w:val="both"/>
        <w:rPr>
          <w:rFonts w:ascii="Arial" w:hAnsi="Arial"/>
          <w:sz w:val="22"/>
          <w:szCs w:val="22"/>
        </w:rPr>
      </w:pPr>
    </w:p>
    <w:p w:rsidR="006608E2" w:rsidRPr="00882085" w:rsidRDefault="006608E2" w:rsidP="006608E2">
      <w:pPr>
        <w:pStyle w:val="Heading2"/>
      </w:pPr>
      <w:r w:rsidRPr="00882085">
        <w:t>Clinical claim</w:t>
      </w:r>
    </w:p>
    <w:p w:rsidR="006608E2" w:rsidRPr="00882085" w:rsidRDefault="006608E2" w:rsidP="006608E2">
      <w:pPr>
        <w:ind w:left="720" w:hanging="720"/>
        <w:jc w:val="both"/>
        <w:rPr>
          <w:rFonts w:ascii="Arial" w:hAnsi="Arial"/>
          <w:sz w:val="22"/>
          <w:szCs w:val="22"/>
        </w:rPr>
      </w:pPr>
    </w:p>
    <w:p w:rsidR="006608E2" w:rsidRPr="008D15B5" w:rsidRDefault="006608E2" w:rsidP="006608E2">
      <w:pPr>
        <w:pStyle w:val="ListParagraph"/>
        <w:numPr>
          <w:ilvl w:val="1"/>
          <w:numId w:val="5"/>
        </w:numPr>
        <w:rPr>
          <w:szCs w:val="22"/>
        </w:rPr>
      </w:pPr>
      <w:r>
        <w:rPr>
          <w:rFonts w:asciiTheme="minorBidi" w:hAnsiTheme="minorBidi"/>
        </w:rPr>
        <w:t>T</w:t>
      </w:r>
      <w:r w:rsidRPr="00C04487">
        <w:rPr>
          <w:rFonts w:asciiTheme="minorBidi" w:hAnsiTheme="minorBidi"/>
        </w:rPr>
        <w:t xml:space="preserve">he </w:t>
      </w:r>
      <w:r>
        <w:rPr>
          <w:rFonts w:asciiTheme="minorBidi" w:hAnsiTheme="minorBidi"/>
        </w:rPr>
        <w:t xml:space="preserve">minor </w:t>
      </w:r>
      <w:r w:rsidRPr="00C04487">
        <w:rPr>
          <w:rFonts w:asciiTheme="minorBidi" w:hAnsiTheme="minorBidi"/>
        </w:rPr>
        <w:t>submission claim</w:t>
      </w:r>
      <w:r>
        <w:rPr>
          <w:rFonts w:asciiTheme="minorBidi" w:hAnsiTheme="minorBidi"/>
        </w:rPr>
        <w:t>ed</w:t>
      </w:r>
      <w:r w:rsidRPr="00C04487">
        <w:rPr>
          <w:rFonts w:asciiTheme="minorBidi" w:hAnsiTheme="minorBidi"/>
        </w:rPr>
        <w:t xml:space="preserve"> that the addition of cetuximab to platinum</w:t>
      </w:r>
      <w:r>
        <w:rPr>
          <w:rFonts w:asciiTheme="minorBidi" w:hAnsiTheme="minorBidi"/>
        </w:rPr>
        <w:noBreakHyphen/>
      </w:r>
      <w:r w:rsidRPr="00C04487">
        <w:rPr>
          <w:rFonts w:asciiTheme="minorBidi" w:hAnsiTheme="minorBidi"/>
        </w:rPr>
        <w:t xml:space="preserve">based </w:t>
      </w:r>
      <w:r w:rsidRPr="00F938D8">
        <w:rPr>
          <w:szCs w:val="22"/>
        </w:rPr>
        <w:t>chemotherapy</w:t>
      </w:r>
      <w:r w:rsidRPr="00C04487">
        <w:rPr>
          <w:rFonts w:asciiTheme="minorBidi" w:hAnsiTheme="minorBidi"/>
        </w:rPr>
        <w:t xml:space="preserve"> result</w:t>
      </w:r>
      <w:r>
        <w:rPr>
          <w:rFonts w:asciiTheme="minorBidi" w:hAnsiTheme="minorBidi"/>
        </w:rPr>
        <w:t>s</w:t>
      </w:r>
      <w:r w:rsidRPr="00C04487">
        <w:rPr>
          <w:rFonts w:asciiTheme="minorBidi" w:hAnsiTheme="minorBidi"/>
        </w:rPr>
        <w:t xml:space="preserve"> in superior efficacy, with an inferior but manageable safety profile compared to chemotherapy alone. </w:t>
      </w:r>
      <w:r w:rsidR="00102B2F">
        <w:rPr>
          <w:rFonts w:asciiTheme="minorBidi" w:hAnsiTheme="minorBidi"/>
        </w:rPr>
        <w:t>This was consistent with</w:t>
      </w:r>
      <w:r w:rsidR="00B55568">
        <w:rPr>
          <w:rFonts w:asciiTheme="minorBidi" w:hAnsiTheme="minorBidi"/>
        </w:rPr>
        <w:t xml:space="preserve"> the </w:t>
      </w:r>
      <w:r w:rsidR="00250A24">
        <w:rPr>
          <w:rFonts w:asciiTheme="minorBidi" w:hAnsiTheme="minorBidi"/>
        </w:rPr>
        <w:t>clinical claim in the</w:t>
      </w:r>
      <w:r w:rsidR="00102B2F">
        <w:rPr>
          <w:rFonts w:asciiTheme="minorBidi" w:hAnsiTheme="minorBidi"/>
        </w:rPr>
        <w:t xml:space="preserve"> March 2016 </w:t>
      </w:r>
      <w:r w:rsidR="00250A24">
        <w:rPr>
          <w:rFonts w:asciiTheme="minorBidi" w:hAnsiTheme="minorBidi"/>
        </w:rPr>
        <w:t>submission.</w:t>
      </w:r>
      <w:r w:rsidR="00102B2F">
        <w:rPr>
          <w:rFonts w:asciiTheme="minorBidi" w:hAnsiTheme="minorBidi"/>
        </w:rPr>
        <w:t xml:space="preserve"> </w:t>
      </w:r>
    </w:p>
    <w:p w:rsidR="00250A24" w:rsidRDefault="00250A24" w:rsidP="005911C0"/>
    <w:p w:rsidR="00250A24" w:rsidRPr="00250A24" w:rsidRDefault="00250A24" w:rsidP="008D15B5">
      <w:pPr>
        <w:pStyle w:val="ListParagraph"/>
        <w:widowControl/>
        <w:numPr>
          <w:ilvl w:val="1"/>
          <w:numId w:val="5"/>
        </w:numPr>
        <w:pBdr>
          <w:top w:val="nil"/>
          <w:left w:val="nil"/>
          <w:bottom w:val="nil"/>
          <w:right w:val="nil"/>
          <w:between w:val="nil"/>
          <w:bar w:val="nil"/>
        </w:pBdr>
        <w:contextualSpacing w:val="0"/>
        <w:rPr>
          <w:bCs/>
        </w:rPr>
      </w:pPr>
      <w:r w:rsidRPr="0001468D">
        <w:rPr>
          <w:bCs/>
          <w:szCs w:val="22"/>
        </w:rPr>
        <w:t xml:space="preserve">The PBAC </w:t>
      </w:r>
      <w:r>
        <w:rPr>
          <w:bCs/>
          <w:szCs w:val="22"/>
        </w:rPr>
        <w:t xml:space="preserve">recalled that </w:t>
      </w:r>
      <w:r w:rsidR="00CB5CB9">
        <w:rPr>
          <w:bCs/>
          <w:szCs w:val="22"/>
        </w:rPr>
        <w:t xml:space="preserve">in March 2016 </w:t>
      </w:r>
      <w:r>
        <w:rPr>
          <w:bCs/>
          <w:szCs w:val="22"/>
        </w:rPr>
        <w:t xml:space="preserve">it </w:t>
      </w:r>
      <w:r w:rsidRPr="0001468D">
        <w:rPr>
          <w:bCs/>
          <w:szCs w:val="22"/>
        </w:rPr>
        <w:t xml:space="preserve">considered that the claim </w:t>
      </w:r>
      <w:r w:rsidR="00831FB0">
        <w:rPr>
          <w:bCs/>
          <w:szCs w:val="22"/>
        </w:rPr>
        <w:t xml:space="preserve">of </w:t>
      </w:r>
      <w:r w:rsidRPr="0001468D">
        <w:rPr>
          <w:bCs/>
          <w:szCs w:val="22"/>
        </w:rPr>
        <w:t xml:space="preserve">superior comparative effectiveness was demonstrated </w:t>
      </w:r>
      <w:r w:rsidRPr="0001468D">
        <w:rPr>
          <w:iCs/>
        </w:rPr>
        <w:t xml:space="preserve">for the overall ITT population with respect to </w:t>
      </w:r>
      <w:r w:rsidR="000A2603">
        <w:rPr>
          <w:iCs/>
        </w:rPr>
        <w:t>OS</w:t>
      </w:r>
      <w:r w:rsidRPr="0001468D">
        <w:rPr>
          <w:iCs/>
        </w:rPr>
        <w:t>, progression-free survival and response rates</w:t>
      </w:r>
      <w:r w:rsidRPr="0001468D">
        <w:rPr>
          <w:bCs/>
          <w:szCs w:val="22"/>
        </w:rPr>
        <w:t xml:space="preserve">, </w:t>
      </w:r>
      <w:r w:rsidR="008F4F3A">
        <w:rPr>
          <w:bCs/>
          <w:szCs w:val="22"/>
        </w:rPr>
        <w:t>but</w:t>
      </w:r>
      <w:r w:rsidR="008F4F3A" w:rsidRPr="0001468D">
        <w:rPr>
          <w:bCs/>
          <w:szCs w:val="22"/>
        </w:rPr>
        <w:t xml:space="preserve"> </w:t>
      </w:r>
      <w:r w:rsidRPr="0001468D">
        <w:rPr>
          <w:bCs/>
          <w:szCs w:val="22"/>
        </w:rPr>
        <w:t>the magnitude of the benefit was small.</w:t>
      </w:r>
    </w:p>
    <w:p w:rsidR="00250A24" w:rsidRDefault="00250A24" w:rsidP="00250A24">
      <w:pPr>
        <w:pStyle w:val="ListParagraph"/>
        <w:widowControl/>
        <w:pBdr>
          <w:top w:val="nil"/>
          <w:left w:val="nil"/>
          <w:bottom w:val="nil"/>
          <w:right w:val="nil"/>
          <w:between w:val="nil"/>
          <w:bar w:val="nil"/>
        </w:pBdr>
        <w:contextualSpacing w:val="0"/>
        <w:rPr>
          <w:bCs/>
        </w:rPr>
      </w:pPr>
    </w:p>
    <w:p w:rsidR="00250A24" w:rsidRDefault="00250A24" w:rsidP="008D15B5">
      <w:pPr>
        <w:pStyle w:val="ListParagraph"/>
        <w:widowControl/>
        <w:numPr>
          <w:ilvl w:val="1"/>
          <w:numId w:val="5"/>
        </w:numPr>
        <w:pBdr>
          <w:top w:val="nil"/>
          <w:left w:val="nil"/>
          <w:bottom w:val="nil"/>
          <w:right w:val="nil"/>
          <w:between w:val="nil"/>
          <w:bar w:val="nil"/>
        </w:pBdr>
        <w:contextualSpacing w:val="0"/>
        <w:rPr>
          <w:bCs/>
        </w:rPr>
      </w:pPr>
      <w:r w:rsidRPr="0001468D">
        <w:t xml:space="preserve">The PBAC </w:t>
      </w:r>
      <w:r>
        <w:t xml:space="preserve">recalled that </w:t>
      </w:r>
      <w:r w:rsidR="008F4F3A">
        <w:t xml:space="preserve">in March 2016 </w:t>
      </w:r>
      <w:r>
        <w:t xml:space="preserve">it </w:t>
      </w:r>
      <w:r w:rsidRPr="0001468D">
        <w:t>considered that the addition of cetuximab to platinum-based chemotherapy is inferior to platinum-based chemotherapy alone in terms of comparative safety for the ITT population.</w:t>
      </w:r>
    </w:p>
    <w:p w:rsidR="008D15B5" w:rsidRPr="005C37B3" w:rsidRDefault="008D15B5" w:rsidP="008D15B5">
      <w:pPr>
        <w:pStyle w:val="ListParagraph"/>
        <w:rPr>
          <w:bCs/>
          <w:highlight w:val="yellow"/>
        </w:rPr>
      </w:pPr>
    </w:p>
    <w:p w:rsidR="006608E2" w:rsidRPr="00882085" w:rsidRDefault="006608E2" w:rsidP="006608E2">
      <w:pPr>
        <w:pStyle w:val="Heading2"/>
      </w:pPr>
      <w:r w:rsidRPr="00882085">
        <w:t>Economic analysis</w:t>
      </w:r>
    </w:p>
    <w:p w:rsidR="006608E2" w:rsidRPr="00882085" w:rsidRDefault="006608E2" w:rsidP="006608E2">
      <w:pPr>
        <w:pStyle w:val="NoSpacing"/>
      </w:pPr>
    </w:p>
    <w:p w:rsidR="006608E2" w:rsidRDefault="00060B7E" w:rsidP="006608E2">
      <w:pPr>
        <w:pStyle w:val="ListParagraph"/>
        <w:numPr>
          <w:ilvl w:val="1"/>
          <w:numId w:val="5"/>
        </w:numPr>
        <w:rPr>
          <w:szCs w:val="22"/>
        </w:rPr>
      </w:pPr>
      <w:r>
        <w:rPr>
          <w:szCs w:val="22"/>
        </w:rPr>
        <w:t>T</w:t>
      </w:r>
      <w:r w:rsidR="006608E2">
        <w:rPr>
          <w:szCs w:val="22"/>
        </w:rPr>
        <w:t xml:space="preserve">he March 2016 submission presented a cost-utility analysis </w:t>
      </w:r>
      <w:r w:rsidR="008F4F3A">
        <w:rPr>
          <w:szCs w:val="22"/>
        </w:rPr>
        <w:t xml:space="preserve">based on </w:t>
      </w:r>
      <w:r w:rsidR="006608E2">
        <w:rPr>
          <w:szCs w:val="22"/>
        </w:rPr>
        <w:t xml:space="preserve">the oral cavity </w:t>
      </w:r>
      <w:r w:rsidR="006608E2">
        <w:rPr>
          <w:szCs w:val="22"/>
        </w:rPr>
        <w:lastRenderedPageBreak/>
        <w:t xml:space="preserve">subgroup of the EXTREME trial. The minor resubmission did not alter the </w:t>
      </w:r>
      <w:r w:rsidR="00BF1718">
        <w:rPr>
          <w:szCs w:val="22"/>
        </w:rPr>
        <w:t>structure of the economic model</w:t>
      </w:r>
      <w:r w:rsidR="006608E2">
        <w:rPr>
          <w:szCs w:val="22"/>
        </w:rPr>
        <w:t xml:space="preserve"> but populated </w:t>
      </w:r>
      <w:r w:rsidR="008F4F3A">
        <w:rPr>
          <w:szCs w:val="22"/>
        </w:rPr>
        <w:t>it</w:t>
      </w:r>
      <w:r w:rsidR="006608E2">
        <w:rPr>
          <w:szCs w:val="22"/>
        </w:rPr>
        <w:t xml:space="preserve"> using the ITT population of the EXTREME trial. </w:t>
      </w:r>
      <w:r w:rsidR="006608E2" w:rsidRPr="00F91BE5">
        <w:rPr>
          <w:szCs w:val="22"/>
        </w:rPr>
        <w:t>The respecified base case incremental</w:t>
      </w:r>
      <w:r w:rsidR="006608E2" w:rsidRPr="00F91BE5">
        <w:rPr>
          <w:shd w:val="clear" w:color="auto" w:fill="FFFFFF"/>
        </w:rPr>
        <w:t xml:space="preserve"> cost-effectiveness ratio</w:t>
      </w:r>
      <w:r w:rsidR="006608E2" w:rsidRPr="00F91BE5">
        <w:rPr>
          <w:szCs w:val="22"/>
        </w:rPr>
        <w:t xml:space="preserve"> (ICER) </w:t>
      </w:r>
      <w:r w:rsidR="00B91843" w:rsidRPr="00F91BE5">
        <w:rPr>
          <w:szCs w:val="22"/>
        </w:rPr>
        <w:t xml:space="preserve">(as presented in the resubmission) </w:t>
      </w:r>
      <w:r w:rsidR="006608E2" w:rsidRPr="00F91BE5">
        <w:rPr>
          <w:szCs w:val="22"/>
        </w:rPr>
        <w:t xml:space="preserve">was verified by the </w:t>
      </w:r>
      <w:r w:rsidR="00297811">
        <w:rPr>
          <w:szCs w:val="22"/>
        </w:rPr>
        <w:t>Secretariat</w:t>
      </w:r>
      <w:r w:rsidR="006608E2" w:rsidRPr="00F91BE5">
        <w:rPr>
          <w:szCs w:val="22"/>
        </w:rPr>
        <w:t>.</w:t>
      </w:r>
      <w:r w:rsidR="006608E2" w:rsidRPr="00247156">
        <w:rPr>
          <w:rFonts w:asciiTheme="minorBidi" w:hAnsiTheme="minorBidi"/>
          <w:i/>
        </w:rPr>
        <w:t xml:space="preserve"> </w:t>
      </w:r>
      <w:r w:rsidR="00F939C4">
        <w:rPr>
          <w:rFonts w:asciiTheme="minorBidi" w:hAnsiTheme="minorBidi"/>
        </w:rPr>
        <w:t>However, as a minor submission, the economic model was not evaluated.</w:t>
      </w:r>
    </w:p>
    <w:p w:rsidR="006608E2" w:rsidRDefault="006608E2" w:rsidP="006608E2">
      <w:pPr>
        <w:pStyle w:val="ListParagraph"/>
        <w:rPr>
          <w:szCs w:val="22"/>
        </w:rPr>
      </w:pPr>
    </w:p>
    <w:p w:rsidR="006608E2" w:rsidRPr="00C04487" w:rsidRDefault="006608E2" w:rsidP="006608E2">
      <w:pPr>
        <w:pStyle w:val="ListParagraph"/>
        <w:numPr>
          <w:ilvl w:val="1"/>
          <w:numId w:val="5"/>
        </w:numPr>
        <w:rPr>
          <w:rFonts w:asciiTheme="minorBidi" w:hAnsiTheme="minorBidi"/>
        </w:rPr>
      </w:pPr>
      <w:r w:rsidRPr="00C04487">
        <w:rPr>
          <w:rFonts w:asciiTheme="minorBidi" w:hAnsiTheme="minorBidi"/>
        </w:rPr>
        <w:t xml:space="preserve">The </w:t>
      </w:r>
      <w:r>
        <w:rPr>
          <w:rFonts w:asciiTheme="minorBidi" w:hAnsiTheme="minorBidi"/>
        </w:rPr>
        <w:t xml:space="preserve">following model inputs were revised </w:t>
      </w:r>
      <w:r w:rsidR="00906ED9">
        <w:rPr>
          <w:rFonts w:asciiTheme="minorBidi" w:hAnsiTheme="minorBidi"/>
        </w:rPr>
        <w:t xml:space="preserve">compared with </w:t>
      </w:r>
      <w:r>
        <w:rPr>
          <w:rFonts w:asciiTheme="minorBidi" w:hAnsiTheme="minorBidi"/>
        </w:rPr>
        <w:t>the March 2016 model</w:t>
      </w:r>
      <w:r w:rsidRPr="00C04487">
        <w:rPr>
          <w:rFonts w:asciiTheme="minorBidi" w:hAnsiTheme="minorBidi"/>
        </w:rPr>
        <w:t>:</w:t>
      </w:r>
    </w:p>
    <w:p w:rsidR="006608E2" w:rsidRPr="00E71F07" w:rsidRDefault="006608E2" w:rsidP="00CA7252">
      <w:pPr>
        <w:pStyle w:val="ListParagraph"/>
        <w:numPr>
          <w:ilvl w:val="0"/>
          <w:numId w:val="29"/>
        </w:numPr>
        <w:ind w:left="1134" w:hanging="425"/>
        <w:rPr>
          <w:b/>
        </w:rPr>
      </w:pPr>
      <w:r>
        <w:t>Efficacy inputs</w:t>
      </w:r>
      <w:r w:rsidRPr="001A46B9">
        <w:t xml:space="preserve"> </w:t>
      </w:r>
      <w:r w:rsidR="00906ED9">
        <w:t xml:space="preserve">were </w:t>
      </w:r>
      <w:r w:rsidRPr="001A46B9">
        <w:t>based on the ITT population of</w:t>
      </w:r>
      <w:r w:rsidR="00E71F07">
        <w:t xml:space="preserve"> the EXTREME trial instead of a </w:t>
      </w:r>
      <w:r w:rsidRPr="001A46B9">
        <w:t xml:space="preserve">subset of patients with RM SCCHN in the oral cavity only. </w:t>
      </w:r>
    </w:p>
    <w:p w:rsidR="006608E2" w:rsidRPr="00E71F07" w:rsidRDefault="006608E2" w:rsidP="00CA7252">
      <w:pPr>
        <w:pStyle w:val="ListParagraph"/>
        <w:numPr>
          <w:ilvl w:val="0"/>
          <w:numId w:val="29"/>
        </w:numPr>
        <w:ind w:left="1134" w:hanging="425"/>
      </w:pPr>
      <w:r w:rsidRPr="001A46B9">
        <w:t>Price reduc</w:t>
      </w:r>
      <w:r w:rsidR="00906ED9">
        <w:t>ed</w:t>
      </w:r>
      <w:r w:rsidRPr="001A46B9">
        <w:t xml:space="preserve"> from $</w:t>
      </w:r>
      <w:r w:rsidR="00CC1076">
        <w:rPr>
          <w:noProof/>
          <w:color w:val="000000"/>
          <w:highlight w:val="black"/>
        </w:rPr>
        <w:t>''''''''''''''''''</w:t>
      </w:r>
      <w:r w:rsidRPr="001A46B9">
        <w:t>/100</w:t>
      </w:r>
      <w:r>
        <w:t> </w:t>
      </w:r>
      <w:r w:rsidRPr="001A46B9">
        <w:t>mg vial to $</w:t>
      </w:r>
      <w:r w:rsidR="00CC1076">
        <w:rPr>
          <w:noProof/>
          <w:color w:val="000000"/>
          <w:highlight w:val="black"/>
        </w:rPr>
        <w:t>'''''''''''''''''</w:t>
      </w:r>
      <w:r w:rsidRPr="001A46B9">
        <w:t>/100</w:t>
      </w:r>
      <w:r>
        <w:t> </w:t>
      </w:r>
      <w:r w:rsidRPr="001A46B9">
        <w:t>mg vial.</w:t>
      </w:r>
    </w:p>
    <w:p w:rsidR="006608E2" w:rsidRDefault="006608E2" w:rsidP="00CA7252">
      <w:pPr>
        <w:pStyle w:val="ListParagraph"/>
        <w:numPr>
          <w:ilvl w:val="0"/>
          <w:numId w:val="29"/>
        </w:numPr>
        <w:ind w:left="1134" w:hanging="425"/>
      </w:pPr>
      <w:r w:rsidRPr="00E71F07">
        <w:t>Cost of intravenous administration increased from $</w:t>
      </w:r>
      <w:r w:rsidR="00CC1076">
        <w:rPr>
          <w:noProof/>
          <w:color w:val="000000"/>
          <w:highlight w:val="black"/>
        </w:rPr>
        <w:t>'''''''''''''''</w:t>
      </w:r>
      <w:r w:rsidRPr="00E71F07">
        <w:t xml:space="preserve"> per </w:t>
      </w:r>
      <w:r w:rsidR="00906ED9">
        <w:t>infusion</w:t>
      </w:r>
      <w:r w:rsidR="00906ED9" w:rsidRPr="00E71F07">
        <w:t xml:space="preserve"> </w:t>
      </w:r>
      <w:r w:rsidRPr="00E71F07">
        <w:t>to $</w:t>
      </w:r>
      <w:r w:rsidR="00CC1076">
        <w:rPr>
          <w:noProof/>
          <w:color w:val="000000"/>
          <w:highlight w:val="black"/>
        </w:rPr>
        <w:t>'''''''''''''''</w:t>
      </w:r>
      <w:r w:rsidRPr="00E71F07">
        <w:t xml:space="preserve"> (consistent with</w:t>
      </w:r>
      <w:r w:rsidR="00906ED9">
        <w:t xml:space="preserve"> that used in the</w:t>
      </w:r>
      <w:r w:rsidRPr="00E71F07">
        <w:t xml:space="preserve"> November 2014 submission for </w:t>
      </w:r>
      <w:r w:rsidR="00906ED9">
        <w:t xml:space="preserve">cetuximab for </w:t>
      </w:r>
      <w:r w:rsidRPr="00E71F07">
        <w:t>mCRC).</w:t>
      </w:r>
    </w:p>
    <w:p w:rsidR="00DD089D" w:rsidRDefault="00DD089D" w:rsidP="005911C0">
      <w:pPr>
        <w:pStyle w:val="ListParagraph"/>
        <w:ind w:left="1134"/>
      </w:pPr>
    </w:p>
    <w:p w:rsidR="006608E2" w:rsidRPr="00CC1076" w:rsidRDefault="006608E2" w:rsidP="00E956B4">
      <w:pPr>
        <w:pStyle w:val="ListParagraph"/>
        <w:numPr>
          <w:ilvl w:val="1"/>
          <w:numId w:val="5"/>
        </w:numPr>
        <w:rPr>
          <w:bCs/>
          <w:szCs w:val="22"/>
        </w:rPr>
      </w:pPr>
      <w:r w:rsidRPr="00C04487">
        <w:rPr>
          <w:rFonts w:asciiTheme="minorBidi" w:hAnsiTheme="minorBidi"/>
        </w:rPr>
        <w:t xml:space="preserve">The estimated </w:t>
      </w:r>
      <w:r w:rsidR="001D14FC">
        <w:rPr>
          <w:rFonts w:asciiTheme="minorBidi" w:hAnsiTheme="minorBidi"/>
        </w:rPr>
        <w:t>cost</w:t>
      </w:r>
      <w:r w:rsidR="00852C64">
        <w:rPr>
          <w:rFonts w:asciiTheme="minorBidi" w:hAnsiTheme="minorBidi"/>
        </w:rPr>
        <w:t xml:space="preserve"> per Life-year Gained (</w:t>
      </w:r>
      <w:r w:rsidR="001D14FC">
        <w:rPr>
          <w:rFonts w:asciiTheme="minorBidi" w:hAnsiTheme="minorBidi"/>
        </w:rPr>
        <w:t>LYG</w:t>
      </w:r>
      <w:r w:rsidR="00852C64">
        <w:rPr>
          <w:rFonts w:asciiTheme="minorBidi" w:hAnsiTheme="minorBidi"/>
        </w:rPr>
        <w:t>)</w:t>
      </w:r>
      <w:r w:rsidR="001D14FC">
        <w:rPr>
          <w:rFonts w:asciiTheme="minorBidi" w:hAnsiTheme="minorBidi"/>
        </w:rPr>
        <w:t xml:space="preserve"> and </w:t>
      </w:r>
      <w:r w:rsidR="00906ED9">
        <w:rPr>
          <w:rFonts w:asciiTheme="minorBidi" w:hAnsiTheme="minorBidi"/>
        </w:rPr>
        <w:t>cost</w:t>
      </w:r>
      <w:r w:rsidR="001C7035">
        <w:rPr>
          <w:rFonts w:asciiTheme="minorBidi" w:hAnsiTheme="minorBidi"/>
        </w:rPr>
        <w:t xml:space="preserve"> per</w:t>
      </w:r>
      <w:r w:rsidR="00852C64">
        <w:rPr>
          <w:rFonts w:asciiTheme="minorBidi" w:hAnsiTheme="minorBidi"/>
        </w:rPr>
        <w:t xml:space="preserve"> Quality Adjusted Life</w:t>
      </w:r>
      <w:r w:rsidR="00A10416">
        <w:rPr>
          <w:rFonts w:asciiTheme="minorBidi" w:hAnsiTheme="minorBidi"/>
        </w:rPr>
        <w:noBreakHyphen/>
      </w:r>
      <w:r w:rsidR="00852C64">
        <w:rPr>
          <w:rFonts w:asciiTheme="minorBidi" w:hAnsiTheme="minorBidi"/>
        </w:rPr>
        <w:t>year (</w:t>
      </w:r>
      <w:r w:rsidR="00906ED9">
        <w:rPr>
          <w:rFonts w:asciiTheme="minorBidi" w:hAnsiTheme="minorBidi"/>
        </w:rPr>
        <w:t>QALY</w:t>
      </w:r>
      <w:r w:rsidR="00852C64">
        <w:rPr>
          <w:rFonts w:asciiTheme="minorBidi" w:hAnsiTheme="minorBidi"/>
        </w:rPr>
        <w:t>)</w:t>
      </w:r>
      <w:r w:rsidR="00906ED9">
        <w:rPr>
          <w:rFonts w:asciiTheme="minorBidi" w:hAnsiTheme="minorBidi"/>
        </w:rPr>
        <w:t xml:space="preserve"> gained as presented in the March 2016 submission and the minor resubmission </w:t>
      </w:r>
      <w:r w:rsidR="001D14FC">
        <w:rPr>
          <w:rFonts w:asciiTheme="minorBidi" w:hAnsiTheme="minorBidi"/>
        </w:rPr>
        <w:t xml:space="preserve">for the ITT population </w:t>
      </w:r>
      <w:r w:rsidR="00906ED9">
        <w:rPr>
          <w:rFonts w:asciiTheme="minorBidi" w:hAnsiTheme="minorBidi"/>
        </w:rPr>
        <w:t>are</w:t>
      </w:r>
      <w:r w:rsidRPr="00C04487">
        <w:rPr>
          <w:rFonts w:asciiTheme="minorBidi" w:hAnsiTheme="minorBidi"/>
        </w:rPr>
        <w:t xml:space="preserve"> summarised in </w:t>
      </w:r>
      <w:r>
        <w:rPr>
          <w:rFonts w:asciiTheme="minorBidi" w:hAnsiTheme="minorBidi"/>
        </w:rPr>
        <w:t>T</w:t>
      </w:r>
      <w:r w:rsidRPr="00C04487">
        <w:rPr>
          <w:rFonts w:asciiTheme="minorBidi" w:hAnsiTheme="minorBidi"/>
        </w:rPr>
        <w:t xml:space="preserve">able </w:t>
      </w:r>
      <w:r w:rsidR="00A352AD">
        <w:rPr>
          <w:rFonts w:asciiTheme="minorBidi" w:hAnsiTheme="minorBidi"/>
        </w:rPr>
        <w:t>5</w:t>
      </w:r>
      <w:r w:rsidRPr="00C04487">
        <w:rPr>
          <w:rFonts w:asciiTheme="minorBidi" w:hAnsiTheme="minorBidi"/>
        </w:rPr>
        <w:t>.</w:t>
      </w:r>
      <w:r w:rsidR="00470DAA">
        <w:rPr>
          <w:rFonts w:asciiTheme="minorBidi" w:hAnsiTheme="minorBidi"/>
        </w:rPr>
        <w:t xml:space="preserve"> </w:t>
      </w:r>
      <w:r w:rsidR="00BE7F2A">
        <w:rPr>
          <w:rFonts w:asciiTheme="minorBidi" w:hAnsiTheme="minorBidi"/>
        </w:rPr>
        <w:t>The redacted table below shows that for the ITT population, the ICER in the March 2016 su</w:t>
      </w:r>
      <w:r w:rsidR="00E956B4">
        <w:rPr>
          <w:rFonts w:asciiTheme="minorBidi" w:hAnsiTheme="minorBidi"/>
        </w:rPr>
        <w:t>bmission was $105,000</w:t>
      </w:r>
      <w:r w:rsidR="00380F97">
        <w:rPr>
          <w:rFonts w:asciiTheme="minorBidi" w:hAnsiTheme="minorBidi"/>
        </w:rPr>
        <w:t xml:space="preserve"> - $200,000 per QALY</w:t>
      </w:r>
      <w:r w:rsidR="00E956B4">
        <w:rPr>
          <w:rFonts w:asciiTheme="minorBidi" w:hAnsiTheme="minorBidi"/>
        </w:rPr>
        <w:t>, t</w:t>
      </w:r>
      <w:r w:rsidR="00BE7F2A">
        <w:rPr>
          <w:rFonts w:asciiTheme="minorBidi" w:hAnsiTheme="minorBidi"/>
        </w:rPr>
        <w:t xml:space="preserve">he ICER </w:t>
      </w:r>
      <w:r w:rsidR="00E956B4">
        <w:rPr>
          <w:rFonts w:asciiTheme="minorBidi" w:hAnsiTheme="minorBidi"/>
        </w:rPr>
        <w:t xml:space="preserve">for the minor resubmission with an infusion cost of </w:t>
      </w:r>
      <w:r w:rsidR="00E956B4" w:rsidRPr="00E956B4">
        <w:rPr>
          <w:rFonts w:asciiTheme="minorBidi" w:hAnsiTheme="minorBidi"/>
        </w:rPr>
        <w:t>$</w:t>
      </w:r>
      <w:r w:rsidR="00CC1076">
        <w:rPr>
          <w:rFonts w:asciiTheme="minorBidi" w:hAnsiTheme="minorBidi"/>
          <w:noProof/>
          <w:color w:val="000000"/>
          <w:highlight w:val="black"/>
        </w:rPr>
        <w:t>''''''''''''''''</w:t>
      </w:r>
      <w:r w:rsidR="00E956B4">
        <w:rPr>
          <w:rFonts w:asciiTheme="minorBidi" w:hAnsiTheme="minorBidi"/>
        </w:rPr>
        <w:t xml:space="preserve"> was $75,000</w:t>
      </w:r>
      <w:r w:rsidR="00380F97">
        <w:rPr>
          <w:rFonts w:asciiTheme="minorBidi" w:hAnsiTheme="minorBidi"/>
        </w:rPr>
        <w:t xml:space="preserve"> - $105,000 per QALY</w:t>
      </w:r>
      <w:r w:rsidR="00E956B4">
        <w:rPr>
          <w:rFonts w:asciiTheme="minorBidi" w:hAnsiTheme="minorBidi"/>
        </w:rPr>
        <w:t xml:space="preserve">, the ICER for the minor resubmission with an infusion cost of </w:t>
      </w:r>
      <w:r w:rsidR="00E956B4" w:rsidRPr="00E956B4">
        <w:rPr>
          <w:rFonts w:asciiTheme="minorBidi" w:hAnsiTheme="minorBidi"/>
        </w:rPr>
        <w:t>$</w:t>
      </w:r>
      <w:r w:rsidR="00CC1076">
        <w:rPr>
          <w:rFonts w:asciiTheme="minorBidi" w:hAnsiTheme="minorBidi"/>
          <w:noProof/>
          <w:color w:val="000000"/>
          <w:highlight w:val="black"/>
        </w:rPr>
        <w:t>'''''''''''''''</w:t>
      </w:r>
      <w:r w:rsidR="00E956B4" w:rsidRPr="00E956B4">
        <w:rPr>
          <w:rFonts w:asciiTheme="minorBidi" w:hAnsiTheme="minorBidi"/>
        </w:rPr>
        <w:t xml:space="preserve"> </w:t>
      </w:r>
      <w:r w:rsidR="00E956B4">
        <w:rPr>
          <w:rFonts w:asciiTheme="minorBidi" w:hAnsiTheme="minorBidi"/>
        </w:rPr>
        <w:t>was $75,000</w:t>
      </w:r>
      <w:r w:rsidR="00380F97">
        <w:rPr>
          <w:rFonts w:asciiTheme="minorBidi" w:hAnsiTheme="minorBidi"/>
        </w:rPr>
        <w:t xml:space="preserve"> - $105,000</w:t>
      </w:r>
      <w:r w:rsidR="00E956B4">
        <w:rPr>
          <w:rFonts w:asciiTheme="minorBidi" w:hAnsiTheme="minorBidi"/>
        </w:rPr>
        <w:t xml:space="preserve"> and the ICER using calculations from the March 2016 submission was </w:t>
      </w:r>
      <w:r w:rsidR="00380F97">
        <w:rPr>
          <w:rFonts w:asciiTheme="minorBidi" w:hAnsiTheme="minorBidi"/>
        </w:rPr>
        <w:t>$75,000 - $105,000</w:t>
      </w:r>
      <w:r w:rsidR="00E956B4">
        <w:rPr>
          <w:rFonts w:asciiTheme="minorBidi" w:hAnsiTheme="minorBidi"/>
        </w:rPr>
        <w:t>.</w:t>
      </w:r>
    </w:p>
    <w:p w:rsidR="006608E2" w:rsidRDefault="006608E2" w:rsidP="006608E2">
      <w:pPr>
        <w:jc w:val="both"/>
        <w:rPr>
          <w:rFonts w:ascii="Arial" w:hAnsi="Arial"/>
          <w:sz w:val="22"/>
          <w:szCs w:val="22"/>
        </w:rPr>
      </w:pPr>
    </w:p>
    <w:p w:rsidR="006608E2" w:rsidRPr="006559D2" w:rsidRDefault="006608E2" w:rsidP="006608E2">
      <w:pPr>
        <w:ind w:firstLine="709"/>
        <w:rPr>
          <w:rFonts w:ascii="Arial Narrow" w:hAnsi="Arial Narrow"/>
          <w:b/>
          <w:bCs/>
          <w:sz w:val="20"/>
          <w:szCs w:val="20"/>
        </w:rPr>
      </w:pPr>
      <w:r w:rsidRPr="006559D2">
        <w:rPr>
          <w:rFonts w:ascii="Arial Narrow" w:hAnsi="Arial Narrow"/>
          <w:b/>
          <w:bCs/>
          <w:sz w:val="20"/>
          <w:szCs w:val="20"/>
        </w:rPr>
        <w:t xml:space="preserve">Table </w:t>
      </w:r>
      <w:r w:rsidR="00A352AD">
        <w:rPr>
          <w:rFonts w:ascii="Arial Narrow" w:hAnsi="Arial Narrow"/>
          <w:b/>
          <w:bCs/>
          <w:sz w:val="20"/>
          <w:szCs w:val="20"/>
        </w:rPr>
        <w:t>5</w:t>
      </w:r>
      <w:r w:rsidRPr="006559D2">
        <w:rPr>
          <w:rFonts w:ascii="Arial Narrow" w:hAnsi="Arial Narrow"/>
          <w:b/>
          <w:bCs/>
          <w:sz w:val="20"/>
          <w:szCs w:val="20"/>
        </w:rPr>
        <w:t xml:space="preserve">: </w:t>
      </w:r>
      <w:r>
        <w:rPr>
          <w:rFonts w:ascii="Arial Narrow" w:hAnsi="Arial Narrow"/>
          <w:b/>
          <w:bCs/>
          <w:sz w:val="20"/>
          <w:szCs w:val="20"/>
        </w:rPr>
        <w:t>E</w:t>
      </w:r>
      <w:r w:rsidRPr="006559D2">
        <w:rPr>
          <w:rFonts w:ascii="Arial Narrow" w:hAnsi="Arial Narrow"/>
          <w:b/>
          <w:bCs/>
          <w:sz w:val="20"/>
          <w:szCs w:val="20"/>
        </w:rPr>
        <w:t>stimated cost effectiveness in</w:t>
      </w:r>
      <w:r>
        <w:rPr>
          <w:rFonts w:ascii="Arial Narrow" w:hAnsi="Arial Narrow"/>
          <w:b/>
          <w:bCs/>
          <w:sz w:val="20"/>
          <w:szCs w:val="20"/>
        </w:rPr>
        <w:t xml:space="preserve"> the</w:t>
      </w:r>
      <w:r w:rsidR="00333233">
        <w:rPr>
          <w:rFonts w:ascii="Arial Narrow" w:hAnsi="Arial Narrow"/>
          <w:b/>
          <w:bCs/>
          <w:sz w:val="20"/>
          <w:szCs w:val="20"/>
        </w:rPr>
        <w:t xml:space="preserve"> ITT population</w:t>
      </w:r>
    </w:p>
    <w:tbl>
      <w:tblPr>
        <w:tblStyle w:val="TableGrid"/>
        <w:tblW w:w="0" w:type="auto"/>
        <w:tblInd w:w="737" w:type="dxa"/>
        <w:tblCellMar>
          <w:left w:w="28" w:type="dxa"/>
          <w:right w:w="28" w:type="dxa"/>
        </w:tblCellMar>
        <w:tblLook w:val="04A0" w:firstRow="1" w:lastRow="0" w:firstColumn="1" w:lastColumn="0" w:noHBand="0" w:noVBand="1"/>
        <w:tblCaption w:val="Estimated cost effectiveness in the ITT population"/>
      </w:tblPr>
      <w:tblGrid>
        <w:gridCol w:w="6037"/>
        <w:gridCol w:w="1154"/>
        <w:gridCol w:w="1154"/>
      </w:tblGrid>
      <w:tr w:rsidR="006608E2" w:rsidRPr="006559D2" w:rsidTr="00333233">
        <w:trPr>
          <w:tblHeader/>
        </w:trPr>
        <w:tc>
          <w:tcPr>
            <w:tcW w:w="6037" w:type="dxa"/>
            <w:vAlign w:val="center"/>
          </w:tcPr>
          <w:p w:rsidR="006608E2" w:rsidRPr="006559D2" w:rsidRDefault="00906ED9" w:rsidP="00717D18">
            <w:pPr>
              <w:rPr>
                <w:rFonts w:ascii="Arial Narrow" w:hAnsi="Arial Narrow"/>
                <w:b/>
                <w:bCs/>
                <w:sz w:val="20"/>
                <w:szCs w:val="20"/>
              </w:rPr>
            </w:pPr>
            <w:r>
              <w:rPr>
                <w:rFonts w:ascii="Arial Narrow" w:hAnsi="Arial Narrow"/>
                <w:b/>
                <w:bCs/>
                <w:sz w:val="20"/>
                <w:szCs w:val="20"/>
              </w:rPr>
              <w:t>Model inputs</w:t>
            </w:r>
          </w:p>
        </w:tc>
        <w:tc>
          <w:tcPr>
            <w:tcW w:w="1154"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Cost per QALY</w:t>
            </w:r>
            <w:r w:rsidR="00906ED9">
              <w:rPr>
                <w:rFonts w:ascii="Arial Narrow" w:hAnsi="Arial Narrow"/>
                <w:b/>
                <w:bCs/>
                <w:sz w:val="20"/>
                <w:szCs w:val="20"/>
              </w:rPr>
              <w:t xml:space="preserve"> gained</w:t>
            </w:r>
          </w:p>
        </w:tc>
        <w:tc>
          <w:tcPr>
            <w:tcW w:w="1154"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Cost per LYG</w:t>
            </w:r>
          </w:p>
        </w:tc>
      </w:tr>
      <w:tr w:rsidR="006608E2" w:rsidRPr="002862FF" w:rsidTr="00333233">
        <w:trPr>
          <w:tblHeader/>
        </w:trPr>
        <w:tc>
          <w:tcPr>
            <w:tcW w:w="6037" w:type="dxa"/>
          </w:tcPr>
          <w:p w:rsidR="00E475C2" w:rsidRPr="00470DAA" w:rsidRDefault="00E475C2" w:rsidP="00E475C2">
            <w:pPr>
              <w:rPr>
                <w:rFonts w:ascii="Arial Narrow" w:hAnsi="Arial Narrow"/>
                <w:sz w:val="20"/>
                <w:szCs w:val="20"/>
              </w:rPr>
            </w:pPr>
            <w:r w:rsidRPr="00470DAA">
              <w:rPr>
                <w:rFonts w:ascii="Arial Narrow" w:hAnsi="Arial Narrow"/>
                <w:b/>
                <w:sz w:val="20"/>
                <w:szCs w:val="20"/>
              </w:rPr>
              <w:t>March 2016 submission base case for ITT population</w:t>
            </w:r>
            <w:r w:rsidRPr="00470DAA">
              <w:rPr>
                <w:rFonts w:ascii="Arial Narrow" w:hAnsi="Arial Narrow"/>
                <w:sz w:val="20"/>
                <w:szCs w:val="20"/>
              </w:rPr>
              <w:t xml:space="preserve"> </w:t>
            </w:r>
          </w:p>
          <w:p w:rsidR="00E475C2" w:rsidRPr="00470DAA" w:rsidRDefault="00E475C2" w:rsidP="00E475C2">
            <w:pPr>
              <w:pStyle w:val="ListParagraph"/>
              <w:numPr>
                <w:ilvl w:val="0"/>
                <w:numId w:val="37"/>
              </w:numPr>
              <w:rPr>
                <w:rFonts w:ascii="Arial Narrow" w:hAnsi="Arial Narrow"/>
                <w:sz w:val="20"/>
              </w:rPr>
            </w:pPr>
            <w:r w:rsidRPr="00470DAA">
              <w:rPr>
                <w:rFonts w:ascii="Arial Narrow" w:hAnsi="Arial Narrow"/>
                <w:sz w:val="20"/>
              </w:rPr>
              <w:t>Cetuximab cost: $</w:t>
            </w:r>
            <w:r w:rsidR="00CC1076">
              <w:rPr>
                <w:rFonts w:ascii="Arial Narrow" w:hAnsi="Arial Narrow"/>
                <w:noProof/>
                <w:color w:val="000000"/>
                <w:sz w:val="20"/>
                <w:highlight w:val="black"/>
              </w:rPr>
              <w:t>'''''''''''''''</w:t>
            </w:r>
            <w:r w:rsidRPr="00470DAA">
              <w:rPr>
                <w:rFonts w:ascii="Arial Narrow" w:hAnsi="Arial Narrow"/>
                <w:sz w:val="20"/>
              </w:rPr>
              <w:t xml:space="preserve"> per 100 mg vial </w:t>
            </w:r>
          </w:p>
          <w:p w:rsidR="001D14FC" w:rsidRPr="00470DAA" w:rsidRDefault="00E475C2" w:rsidP="00BF1718">
            <w:pPr>
              <w:pStyle w:val="ListParagraph"/>
              <w:numPr>
                <w:ilvl w:val="0"/>
                <w:numId w:val="37"/>
              </w:numPr>
              <w:rPr>
                <w:rFonts w:ascii="Arial Narrow" w:hAnsi="Arial Narrow"/>
                <w:sz w:val="20"/>
              </w:rPr>
            </w:pPr>
            <w:r w:rsidRPr="00470DAA">
              <w:rPr>
                <w:rFonts w:ascii="Arial Narrow" w:hAnsi="Arial Narrow"/>
                <w:sz w:val="20"/>
              </w:rPr>
              <w:t>Cetuximab dose:</w:t>
            </w:r>
            <w:r w:rsidRPr="00470DAA">
              <w:rPr>
                <w:rFonts w:ascii="Arial Narrow" w:hAnsi="Arial Narrow"/>
                <w:iCs/>
                <w:sz w:val="20"/>
              </w:rPr>
              <w:t xml:space="preserve"> 500 mg weekly dose for continuing treatment</w:t>
            </w:r>
          </w:p>
          <w:p w:rsidR="006608E2" w:rsidRPr="00470DAA" w:rsidRDefault="001D14FC" w:rsidP="00CB0D5A">
            <w:pPr>
              <w:pStyle w:val="ListParagraph"/>
              <w:numPr>
                <w:ilvl w:val="0"/>
                <w:numId w:val="37"/>
              </w:numPr>
              <w:rPr>
                <w:rFonts w:ascii="Arial Narrow" w:hAnsi="Arial Narrow"/>
                <w:sz w:val="20"/>
              </w:rPr>
            </w:pPr>
            <w:r w:rsidRPr="00470DAA">
              <w:rPr>
                <w:rFonts w:ascii="Arial Narrow" w:hAnsi="Arial Narrow"/>
                <w:iCs/>
                <w:sz w:val="20"/>
              </w:rPr>
              <w:t xml:space="preserve">Infusion cost: </w:t>
            </w:r>
            <w:r w:rsidRPr="00470DAA">
              <w:rPr>
                <w:rFonts w:ascii="Arial Narrow" w:hAnsi="Arial Narrow"/>
                <w:sz w:val="20"/>
              </w:rPr>
              <w:t>$</w:t>
            </w:r>
            <w:r w:rsidR="00CC1076">
              <w:rPr>
                <w:rFonts w:ascii="Arial Narrow" w:hAnsi="Arial Narrow"/>
                <w:noProof/>
                <w:color w:val="000000"/>
                <w:sz w:val="20"/>
                <w:highlight w:val="black"/>
              </w:rPr>
              <w:t>'''''''''''''''''</w:t>
            </w:r>
            <w:r w:rsidRPr="00470DAA">
              <w:rPr>
                <w:rFonts w:ascii="Arial Narrow" w:hAnsi="Arial Narrow"/>
                <w:sz w:val="20"/>
              </w:rPr>
              <w:t xml:space="preserve"> per infusion</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2862FF" w:rsidTr="00333233">
        <w:trPr>
          <w:tblHeader/>
        </w:trPr>
        <w:tc>
          <w:tcPr>
            <w:tcW w:w="6037" w:type="dxa"/>
          </w:tcPr>
          <w:p w:rsidR="00E475C2" w:rsidRPr="00470DAA" w:rsidRDefault="00E475C2">
            <w:pPr>
              <w:rPr>
                <w:rFonts w:ascii="Arial Narrow" w:hAnsi="Arial Narrow"/>
                <w:b/>
                <w:sz w:val="20"/>
                <w:szCs w:val="20"/>
              </w:rPr>
            </w:pPr>
            <w:r w:rsidRPr="00470DAA">
              <w:rPr>
                <w:rFonts w:ascii="Arial Narrow" w:hAnsi="Arial Narrow"/>
                <w:b/>
                <w:sz w:val="20"/>
                <w:szCs w:val="20"/>
              </w:rPr>
              <w:t>Minor resubmission for ITT population</w:t>
            </w:r>
          </w:p>
          <w:p w:rsidR="00E475C2" w:rsidRPr="00470DAA" w:rsidRDefault="00E475C2" w:rsidP="00E475C2">
            <w:pPr>
              <w:pStyle w:val="ListParagraph"/>
              <w:numPr>
                <w:ilvl w:val="0"/>
                <w:numId w:val="37"/>
              </w:numPr>
              <w:rPr>
                <w:rFonts w:ascii="Arial Narrow" w:hAnsi="Arial Narrow"/>
                <w:sz w:val="20"/>
              </w:rPr>
            </w:pPr>
            <w:r w:rsidRPr="00470DAA">
              <w:rPr>
                <w:rFonts w:ascii="Arial Narrow" w:hAnsi="Arial Narrow"/>
                <w:sz w:val="20"/>
              </w:rPr>
              <w:t>Cetuximab cost: $</w:t>
            </w:r>
            <w:r w:rsidR="00CC1076">
              <w:rPr>
                <w:rFonts w:ascii="Arial Narrow" w:hAnsi="Arial Narrow"/>
                <w:noProof/>
                <w:color w:val="000000"/>
                <w:sz w:val="20"/>
                <w:highlight w:val="black"/>
              </w:rPr>
              <w:t>''''''''''''''''</w:t>
            </w:r>
            <w:r w:rsidRPr="00470DAA">
              <w:rPr>
                <w:rFonts w:ascii="Arial Narrow" w:hAnsi="Arial Narrow"/>
                <w:sz w:val="20"/>
              </w:rPr>
              <w:t xml:space="preserve"> per 100 mg vial </w:t>
            </w:r>
          </w:p>
          <w:p w:rsidR="00E475C2" w:rsidRPr="00470DAA" w:rsidRDefault="00E475C2" w:rsidP="00BF1718">
            <w:pPr>
              <w:pStyle w:val="ListParagraph"/>
              <w:numPr>
                <w:ilvl w:val="0"/>
                <w:numId w:val="37"/>
              </w:numPr>
              <w:rPr>
                <w:rFonts w:ascii="Arial Narrow" w:hAnsi="Arial Narrow"/>
                <w:b/>
                <w:sz w:val="20"/>
              </w:rPr>
            </w:pPr>
            <w:r w:rsidRPr="00470DAA">
              <w:rPr>
                <w:rFonts w:ascii="Arial Narrow" w:hAnsi="Arial Narrow"/>
                <w:sz w:val="20"/>
              </w:rPr>
              <w:t>Cetuximab dose:</w:t>
            </w:r>
            <w:r w:rsidRPr="00470DAA">
              <w:rPr>
                <w:rFonts w:ascii="Arial Narrow" w:hAnsi="Arial Narrow"/>
                <w:iCs/>
                <w:sz w:val="20"/>
              </w:rPr>
              <w:t xml:space="preserve"> 400* mg weekly dose for continuing treatment</w:t>
            </w:r>
          </w:p>
          <w:p w:rsidR="006608E2" w:rsidRPr="00470DAA" w:rsidRDefault="00E475C2" w:rsidP="00CB0D5A">
            <w:pPr>
              <w:pStyle w:val="ListParagraph"/>
              <w:numPr>
                <w:ilvl w:val="0"/>
                <w:numId w:val="37"/>
              </w:numPr>
              <w:rPr>
                <w:rFonts w:ascii="Arial Narrow" w:hAnsi="Arial Narrow"/>
                <w:iCs/>
                <w:sz w:val="20"/>
              </w:rPr>
            </w:pPr>
            <w:r w:rsidRPr="00470DAA">
              <w:rPr>
                <w:rFonts w:ascii="Arial Narrow" w:hAnsi="Arial Narrow"/>
                <w:iCs/>
                <w:sz w:val="20"/>
              </w:rPr>
              <w:t xml:space="preserve">Infusion cost: </w:t>
            </w:r>
            <w:r w:rsidRPr="00470DAA">
              <w:rPr>
                <w:rFonts w:ascii="Arial Narrow" w:hAnsi="Arial Narrow"/>
                <w:sz w:val="20"/>
              </w:rPr>
              <w:t>$</w:t>
            </w:r>
            <w:r w:rsidR="00CC1076">
              <w:rPr>
                <w:rFonts w:ascii="Arial Narrow" w:hAnsi="Arial Narrow"/>
                <w:noProof/>
                <w:color w:val="000000"/>
                <w:sz w:val="20"/>
                <w:highlight w:val="black"/>
              </w:rPr>
              <w:t xml:space="preserve">'''''''''''''''' </w:t>
            </w:r>
            <w:r w:rsidRPr="00470DAA">
              <w:rPr>
                <w:rFonts w:ascii="Arial Narrow" w:hAnsi="Arial Narrow"/>
                <w:sz w:val="20"/>
              </w:rPr>
              <w:t>per infusion</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2862FF" w:rsidTr="00333233">
        <w:trPr>
          <w:tblHeader/>
        </w:trPr>
        <w:tc>
          <w:tcPr>
            <w:tcW w:w="6037" w:type="dxa"/>
          </w:tcPr>
          <w:p w:rsidR="001D14FC" w:rsidRPr="00470DAA" w:rsidRDefault="001D14FC" w:rsidP="001D14FC">
            <w:pPr>
              <w:rPr>
                <w:rFonts w:ascii="Arial Narrow" w:hAnsi="Arial Narrow"/>
                <w:b/>
                <w:sz w:val="20"/>
                <w:szCs w:val="20"/>
              </w:rPr>
            </w:pPr>
            <w:r w:rsidRPr="00470DAA">
              <w:rPr>
                <w:rFonts w:ascii="Arial Narrow" w:hAnsi="Arial Narrow"/>
                <w:b/>
                <w:sz w:val="20"/>
                <w:szCs w:val="20"/>
              </w:rPr>
              <w:t>Minor resubmission for ITT population</w:t>
            </w:r>
          </w:p>
          <w:p w:rsidR="001D14FC" w:rsidRPr="00470DAA" w:rsidRDefault="001D14FC" w:rsidP="001D14FC">
            <w:pPr>
              <w:pStyle w:val="ListParagraph"/>
              <w:numPr>
                <w:ilvl w:val="0"/>
                <w:numId w:val="37"/>
              </w:numPr>
              <w:rPr>
                <w:rFonts w:ascii="Arial Narrow" w:hAnsi="Arial Narrow"/>
                <w:sz w:val="20"/>
              </w:rPr>
            </w:pPr>
            <w:r w:rsidRPr="00470DAA">
              <w:rPr>
                <w:rFonts w:ascii="Arial Narrow" w:hAnsi="Arial Narrow"/>
                <w:sz w:val="20"/>
              </w:rPr>
              <w:t>Cetuximab cost: $</w:t>
            </w:r>
            <w:r w:rsidR="00CC1076">
              <w:rPr>
                <w:rFonts w:ascii="Arial Narrow" w:hAnsi="Arial Narrow"/>
                <w:noProof/>
                <w:color w:val="000000"/>
                <w:sz w:val="20"/>
                <w:highlight w:val="black"/>
              </w:rPr>
              <w:t>''''''''''''''''''</w:t>
            </w:r>
            <w:r w:rsidRPr="00470DAA">
              <w:rPr>
                <w:rFonts w:ascii="Arial Narrow" w:hAnsi="Arial Narrow"/>
                <w:sz w:val="20"/>
              </w:rPr>
              <w:t xml:space="preserve"> per 100 mg vial </w:t>
            </w:r>
          </w:p>
          <w:p w:rsidR="001D14FC" w:rsidRPr="00470DAA" w:rsidRDefault="001D14FC" w:rsidP="001D14FC">
            <w:pPr>
              <w:pStyle w:val="ListParagraph"/>
              <w:numPr>
                <w:ilvl w:val="0"/>
                <w:numId w:val="37"/>
              </w:numPr>
              <w:rPr>
                <w:rFonts w:ascii="Arial Narrow" w:hAnsi="Arial Narrow"/>
                <w:b/>
                <w:sz w:val="20"/>
              </w:rPr>
            </w:pPr>
            <w:r w:rsidRPr="00470DAA">
              <w:rPr>
                <w:rFonts w:ascii="Arial Narrow" w:hAnsi="Arial Narrow"/>
                <w:sz w:val="20"/>
              </w:rPr>
              <w:t>Cetuximab dose:</w:t>
            </w:r>
            <w:r w:rsidRPr="00470DAA">
              <w:rPr>
                <w:rFonts w:ascii="Arial Narrow" w:hAnsi="Arial Narrow"/>
                <w:iCs/>
                <w:sz w:val="20"/>
              </w:rPr>
              <w:t xml:space="preserve"> 400* mg weekly dose for continuing treatment</w:t>
            </w:r>
          </w:p>
          <w:p w:rsidR="006608E2" w:rsidRPr="00470DAA" w:rsidRDefault="001D14FC" w:rsidP="00CB0D5A">
            <w:pPr>
              <w:pStyle w:val="ListParagraph"/>
              <w:numPr>
                <w:ilvl w:val="0"/>
                <w:numId w:val="37"/>
              </w:numPr>
              <w:rPr>
                <w:rFonts w:ascii="Arial Narrow" w:hAnsi="Arial Narrow"/>
                <w:sz w:val="20"/>
              </w:rPr>
            </w:pPr>
            <w:r w:rsidRPr="00470DAA">
              <w:rPr>
                <w:rFonts w:ascii="Arial Narrow" w:hAnsi="Arial Narrow"/>
                <w:iCs/>
                <w:sz w:val="20"/>
              </w:rPr>
              <w:t xml:space="preserve">Infusion cost: </w:t>
            </w:r>
            <w:r w:rsidRPr="00470DAA">
              <w:rPr>
                <w:rFonts w:ascii="Arial Narrow" w:hAnsi="Arial Narrow"/>
                <w:sz w:val="20"/>
              </w:rPr>
              <w:t>$</w:t>
            </w:r>
            <w:r w:rsidR="00CC1076">
              <w:rPr>
                <w:rFonts w:ascii="Arial Narrow" w:hAnsi="Arial Narrow"/>
                <w:noProof/>
                <w:color w:val="000000"/>
                <w:sz w:val="20"/>
                <w:highlight w:val="black"/>
              </w:rPr>
              <w:t>''''''''''''''''</w:t>
            </w:r>
            <w:r w:rsidRPr="00470DAA">
              <w:rPr>
                <w:rFonts w:ascii="Arial Narrow" w:hAnsi="Arial Narrow"/>
                <w:sz w:val="20"/>
              </w:rPr>
              <w:t xml:space="preserve"> per infusion</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c>
          <w:tcPr>
            <w:tcW w:w="1154" w:type="dxa"/>
            <w:vAlign w:val="center"/>
          </w:tcPr>
          <w:p w:rsidR="006608E2" w:rsidRPr="00470DAA" w:rsidRDefault="006608E2" w:rsidP="00717D18">
            <w:pPr>
              <w:jc w:val="center"/>
              <w:rPr>
                <w:rFonts w:ascii="Arial Narrow" w:hAnsi="Arial Narrow"/>
                <w:sz w:val="20"/>
                <w:szCs w:val="20"/>
              </w:rPr>
            </w:pPr>
            <w:r w:rsidRPr="00470DAA">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2862FF" w:rsidTr="00333233">
        <w:trPr>
          <w:tblHeader/>
        </w:trPr>
        <w:tc>
          <w:tcPr>
            <w:tcW w:w="6037" w:type="dxa"/>
          </w:tcPr>
          <w:p w:rsidR="001D14FC" w:rsidRPr="00470DAA" w:rsidRDefault="001D14FC" w:rsidP="001D14FC">
            <w:pPr>
              <w:rPr>
                <w:rFonts w:ascii="Arial Narrow" w:hAnsi="Arial Narrow"/>
                <w:b/>
                <w:sz w:val="20"/>
                <w:szCs w:val="20"/>
              </w:rPr>
            </w:pPr>
            <w:r w:rsidRPr="00470DAA">
              <w:rPr>
                <w:rFonts w:ascii="Arial Narrow" w:hAnsi="Arial Narrow"/>
                <w:b/>
                <w:sz w:val="20"/>
                <w:szCs w:val="20"/>
              </w:rPr>
              <w:t>ITT population</w:t>
            </w:r>
            <w:r w:rsidR="00705E23" w:rsidRPr="00470DAA">
              <w:rPr>
                <w:rFonts w:ascii="Arial Narrow" w:hAnsi="Arial Narrow"/>
                <w:b/>
                <w:sz w:val="20"/>
                <w:szCs w:val="20"/>
              </w:rPr>
              <w:t xml:space="preserve"> using calculations from March 2016 submission</w:t>
            </w:r>
          </w:p>
          <w:p w:rsidR="001D14FC" w:rsidRPr="00470DAA" w:rsidRDefault="001D14FC" w:rsidP="001D14FC">
            <w:pPr>
              <w:pStyle w:val="ListParagraph"/>
              <w:numPr>
                <w:ilvl w:val="0"/>
                <w:numId w:val="37"/>
              </w:numPr>
              <w:rPr>
                <w:rFonts w:ascii="Arial Narrow" w:hAnsi="Arial Narrow"/>
                <w:sz w:val="20"/>
              </w:rPr>
            </w:pPr>
            <w:r w:rsidRPr="00470DAA">
              <w:rPr>
                <w:rFonts w:ascii="Arial Narrow" w:hAnsi="Arial Narrow"/>
                <w:sz w:val="20"/>
              </w:rPr>
              <w:t>Cetuximab cost: $</w:t>
            </w:r>
            <w:r w:rsidR="00CC1076">
              <w:rPr>
                <w:rFonts w:ascii="Arial Narrow" w:hAnsi="Arial Narrow"/>
                <w:noProof/>
                <w:color w:val="000000"/>
                <w:sz w:val="20"/>
                <w:highlight w:val="black"/>
              </w:rPr>
              <w:t>'''''''''''''''</w:t>
            </w:r>
            <w:r w:rsidRPr="00470DAA">
              <w:rPr>
                <w:rFonts w:ascii="Arial Narrow" w:hAnsi="Arial Narrow"/>
                <w:sz w:val="20"/>
              </w:rPr>
              <w:t xml:space="preserve"> per 100 mg vial </w:t>
            </w:r>
          </w:p>
          <w:p w:rsidR="001D14FC" w:rsidRPr="00470DAA" w:rsidRDefault="001D14FC" w:rsidP="001D14FC">
            <w:pPr>
              <w:pStyle w:val="ListParagraph"/>
              <w:numPr>
                <w:ilvl w:val="0"/>
                <w:numId w:val="37"/>
              </w:numPr>
              <w:rPr>
                <w:rFonts w:ascii="Arial Narrow" w:hAnsi="Arial Narrow"/>
                <w:b/>
                <w:sz w:val="20"/>
              </w:rPr>
            </w:pPr>
            <w:r w:rsidRPr="00470DAA">
              <w:rPr>
                <w:rFonts w:ascii="Arial Narrow" w:hAnsi="Arial Narrow"/>
                <w:sz w:val="20"/>
              </w:rPr>
              <w:t>Cetuximab dose:</w:t>
            </w:r>
            <w:r w:rsidRPr="00470DAA">
              <w:rPr>
                <w:rFonts w:ascii="Arial Narrow" w:hAnsi="Arial Narrow"/>
                <w:iCs/>
                <w:sz w:val="20"/>
              </w:rPr>
              <w:t xml:space="preserve"> </w:t>
            </w:r>
            <w:r w:rsidR="00ED09E4" w:rsidRPr="00470DAA">
              <w:rPr>
                <w:rFonts w:ascii="Arial Narrow" w:hAnsi="Arial Narrow"/>
                <w:iCs/>
                <w:sz w:val="20"/>
              </w:rPr>
              <w:t>5</w:t>
            </w:r>
            <w:r w:rsidRPr="00470DAA">
              <w:rPr>
                <w:rFonts w:ascii="Arial Narrow" w:hAnsi="Arial Narrow"/>
                <w:iCs/>
                <w:sz w:val="20"/>
              </w:rPr>
              <w:t>00 mg weekly dose for continuing treatment</w:t>
            </w:r>
          </w:p>
          <w:p w:rsidR="006608E2" w:rsidRPr="00470DAA" w:rsidRDefault="001D14FC" w:rsidP="00CB0D5A">
            <w:pPr>
              <w:pStyle w:val="ListParagraph"/>
              <w:numPr>
                <w:ilvl w:val="0"/>
                <w:numId w:val="37"/>
              </w:numPr>
              <w:rPr>
                <w:rFonts w:ascii="Arial Narrow" w:hAnsi="Arial Narrow"/>
                <w:iCs/>
                <w:sz w:val="20"/>
              </w:rPr>
            </w:pPr>
            <w:r w:rsidRPr="00470DAA">
              <w:rPr>
                <w:rFonts w:ascii="Arial Narrow" w:hAnsi="Arial Narrow"/>
                <w:iCs/>
                <w:sz w:val="20"/>
              </w:rPr>
              <w:t xml:space="preserve">Infusion </w:t>
            </w:r>
            <w:r w:rsidRPr="00470DAA">
              <w:rPr>
                <w:rFonts w:ascii="Arial Narrow" w:hAnsi="Arial Narrow"/>
                <w:sz w:val="20"/>
              </w:rPr>
              <w:t>cost</w:t>
            </w:r>
            <w:r w:rsidRPr="00470DAA">
              <w:rPr>
                <w:rFonts w:ascii="Arial Narrow" w:hAnsi="Arial Narrow"/>
                <w:iCs/>
                <w:sz w:val="20"/>
              </w:rPr>
              <w:t xml:space="preserve">: </w:t>
            </w:r>
            <w:r w:rsidRPr="00470DAA">
              <w:rPr>
                <w:rFonts w:ascii="Arial Narrow" w:hAnsi="Arial Narrow"/>
                <w:sz w:val="20"/>
              </w:rPr>
              <w:t>$</w:t>
            </w:r>
            <w:r w:rsidR="00CC1076">
              <w:rPr>
                <w:rFonts w:ascii="Arial Narrow" w:hAnsi="Arial Narrow"/>
                <w:noProof/>
                <w:color w:val="000000"/>
                <w:sz w:val="20"/>
                <w:highlight w:val="black"/>
              </w:rPr>
              <w:t>'''''''''''''''</w:t>
            </w:r>
            <w:r w:rsidRPr="00470DAA">
              <w:rPr>
                <w:rFonts w:ascii="Arial Narrow" w:hAnsi="Arial Narrow"/>
                <w:sz w:val="20"/>
              </w:rPr>
              <w:t xml:space="preserve"> per infusion</w:t>
            </w:r>
          </w:p>
        </w:tc>
        <w:tc>
          <w:tcPr>
            <w:tcW w:w="1154" w:type="dxa"/>
            <w:vAlign w:val="center"/>
          </w:tcPr>
          <w:p w:rsidR="006608E2" w:rsidRPr="00470DAA" w:rsidRDefault="006608E2" w:rsidP="00717D18">
            <w:pPr>
              <w:jc w:val="center"/>
              <w:rPr>
                <w:rFonts w:ascii="Arial Narrow" w:hAnsi="Arial Narrow"/>
                <w:iCs/>
                <w:sz w:val="20"/>
                <w:szCs w:val="20"/>
              </w:rPr>
            </w:pPr>
            <w:r w:rsidRPr="00470DAA">
              <w:rPr>
                <w:rFonts w:ascii="Arial Narrow" w:hAnsi="Arial Narrow"/>
                <w:iCs/>
                <w:sz w:val="20"/>
                <w:szCs w:val="20"/>
              </w:rPr>
              <w:t>$</w:t>
            </w:r>
            <w:r w:rsidR="00CC1076">
              <w:rPr>
                <w:rFonts w:ascii="Arial Narrow" w:hAnsi="Arial Narrow"/>
                <w:iCs/>
                <w:noProof/>
                <w:color w:val="000000"/>
                <w:sz w:val="20"/>
                <w:szCs w:val="20"/>
                <w:highlight w:val="black"/>
              </w:rPr>
              <w:t>'''''''''''''''''''''</w:t>
            </w:r>
          </w:p>
        </w:tc>
        <w:tc>
          <w:tcPr>
            <w:tcW w:w="1154" w:type="dxa"/>
            <w:vAlign w:val="center"/>
          </w:tcPr>
          <w:p w:rsidR="006608E2" w:rsidRPr="00470DAA" w:rsidRDefault="006608E2" w:rsidP="00717D18">
            <w:pPr>
              <w:jc w:val="center"/>
              <w:rPr>
                <w:rFonts w:ascii="Arial Narrow" w:hAnsi="Arial Narrow"/>
                <w:iCs/>
                <w:sz w:val="20"/>
                <w:szCs w:val="20"/>
              </w:rPr>
            </w:pPr>
            <w:r w:rsidRPr="00470DAA">
              <w:rPr>
                <w:rFonts w:ascii="Arial Narrow" w:hAnsi="Arial Narrow"/>
                <w:iCs/>
                <w:sz w:val="20"/>
                <w:szCs w:val="20"/>
              </w:rPr>
              <w:t>$</w:t>
            </w:r>
            <w:r w:rsidR="00CC1076">
              <w:rPr>
                <w:rFonts w:ascii="Arial Narrow" w:hAnsi="Arial Narrow"/>
                <w:iCs/>
                <w:noProof/>
                <w:color w:val="000000"/>
                <w:sz w:val="20"/>
                <w:szCs w:val="20"/>
                <w:highlight w:val="black"/>
              </w:rPr>
              <w:t>''''''''''''''''''</w:t>
            </w:r>
          </w:p>
        </w:tc>
      </w:tr>
    </w:tbl>
    <w:p w:rsidR="006608E2" w:rsidRPr="00803BAB" w:rsidRDefault="006608E2" w:rsidP="006608E2">
      <w:pPr>
        <w:ind w:left="851" w:hanging="142"/>
        <w:jc w:val="both"/>
        <w:rPr>
          <w:rFonts w:ascii="Arial Narrow" w:hAnsi="Arial Narrow"/>
          <w:sz w:val="18"/>
          <w:szCs w:val="20"/>
        </w:rPr>
      </w:pPr>
      <w:r w:rsidRPr="00803BAB">
        <w:rPr>
          <w:rFonts w:ascii="Arial Narrow" w:hAnsi="Arial Narrow"/>
          <w:sz w:val="18"/>
          <w:szCs w:val="20"/>
        </w:rPr>
        <w:t>Source: Table 5, p3</w:t>
      </w:r>
      <w:r w:rsidR="00D46090" w:rsidRPr="00803BAB">
        <w:rPr>
          <w:rFonts w:ascii="Arial Narrow" w:hAnsi="Arial Narrow"/>
          <w:sz w:val="18"/>
          <w:szCs w:val="20"/>
        </w:rPr>
        <w:t>5</w:t>
      </w:r>
      <w:r w:rsidRPr="00803BAB">
        <w:rPr>
          <w:rFonts w:ascii="Arial Narrow" w:hAnsi="Arial Narrow"/>
          <w:sz w:val="18"/>
          <w:szCs w:val="20"/>
        </w:rPr>
        <w:t xml:space="preserve"> of the minor resubmission </w:t>
      </w:r>
    </w:p>
    <w:p w:rsidR="00DD089D" w:rsidRPr="00803BAB" w:rsidRDefault="00DD089D" w:rsidP="006608E2">
      <w:pPr>
        <w:ind w:left="851" w:hanging="142"/>
        <w:jc w:val="both"/>
        <w:rPr>
          <w:rFonts w:ascii="Arial Narrow" w:hAnsi="Arial Narrow"/>
          <w:sz w:val="18"/>
          <w:szCs w:val="20"/>
        </w:rPr>
      </w:pPr>
      <w:r w:rsidRPr="00803BAB">
        <w:rPr>
          <w:rFonts w:ascii="Arial Narrow" w:hAnsi="Arial Narrow"/>
          <w:sz w:val="18"/>
          <w:szCs w:val="20"/>
        </w:rPr>
        <w:t>*corrected as noted in pre-PBAC response</w:t>
      </w:r>
    </w:p>
    <w:p w:rsidR="006608E2" w:rsidRPr="00C04487" w:rsidRDefault="006608E2" w:rsidP="006608E2">
      <w:pPr>
        <w:rPr>
          <w:rFonts w:asciiTheme="minorBidi" w:hAnsiTheme="minorBidi"/>
        </w:rPr>
      </w:pPr>
    </w:p>
    <w:p w:rsidR="006608E2" w:rsidRPr="00F91BE5" w:rsidRDefault="006608E2" w:rsidP="006608E2">
      <w:pPr>
        <w:pStyle w:val="ListParagraph"/>
        <w:numPr>
          <w:ilvl w:val="1"/>
          <w:numId w:val="5"/>
        </w:numPr>
        <w:rPr>
          <w:rFonts w:asciiTheme="minorBidi" w:hAnsiTheme="minorBidi"/>
        </w:rPr>
      </w:pPr>
      <w:r w:rsidRPr="00F91BE5">
        <w:rPr>
          <w:rFonts w:asciiTheme="minorBidi" w:hAnsiTheme="minorBidi"/>
        </w:rPr>
        <w:t xml:space="preserve">The minor resubmission’s </w:t>
      </w:r>
      <w:r w:rsidR="001D14FC">
        <w:rPr>
          <w:rFonts w:asciiTheme="minorBidi" w:hAnsiTheme="minorBidi"/>
        </w:rPr>
        <w:t>ICERs</w:t>
      </w:r>
      <w:r w:rsidR="001D14FC" w:rsidRPr="00F91BE5">
        <w:rPr>
          <w:rFonts w:asciiTheme="minorBidi" w:hAnsiTheme="minorBidi"/>
        </w:rPr>
        <w:t xml:space="preserve"> </w:t>
      </w:r>
      <w:r w:rsidR="001D14FC">
        <w:rPr>
          <w:rFonts w:asciiTheme="minorBidi" w:hAnsiTheme="minorBidi"/>
        </w:rPr>
        <w:t>could</w:t>
      </w:r>
      <w:r w:rsidR="001D14FC" w:rsidRPr="00F91BE5">
        <w:rPr>
          <w:rFonts w:asciiTheme="minorBidi" w:hAnsiTheme="minorBidi"/>
        </w:rPr>
        <w:t xml:space="preserve"> </w:t>
      </w:r>
      <w:r w:rsidRPr="00F91BE5">
        <w:rPr>
          <w:rFonts w:asciiTheme="minorBidi" w:hAnsiTheme="minorBidi"/>
        </w:rPr>
        <w:t xml:space="preserve">not </w:t>
      </w:r>
      <w:r w:rsidR="001D14FC">
        <w:rPr>
          <w:rFonts w:asciiTheme="minorBidi" w:hAnsiTheme="minorBidi"/>
        </w:rPr>
        <w:t xml:space="preserve">be </w:t>
      </w:r>
      <w:r w:rsidRPr="00F91BE5">
        <w:rPr>
          <w:rFonts w:asciiTheme="minorBidi" w:hAnsiTheme="minorBidi"/>
        </w:rPr>
        <w:t>reproduc</w:t>
      </w:r>
      <w:r w:rsidR="001D14FC">
        <w:rPr>
          <w:rFonts w:asciiTheme="minorBidi" w:hAnsiTheme="minorBidi"/>
        </w:rPr>
        <w:t>ed</w:t>
      </w:r>
      <w:r w:rsidRPr="00F91BE5">
        <w:rPr>
          <w:rFonts w:asciiTheme="minorBidi" w:hAnsiTheme="minorBidi"/>
        </w:rPr>
        <w:t xml:space="preserve"> </w:t>
      </w:r>
      <w:r w:rsidR="001D14FC">
        <w:rPr>
          <w:rFonts w:asciiTheme="minorBidi" w:hAnsiTheme="minorBidi"/>
        </w:rPr>
        <w:t>using</w:t>
      </w:r>
      <w:r w:rsidR="001D14FC" w:rsidRPr="00F91BE5">
        <w:rPr>
          <w:rFonts w:asciiTheme="minorBidi" w:hAnsiTheme="minorBidi"/>
        </w:rPr>
        <w:t xml:space="preserve"> </w:t>
      </w:r>
      <w:r w:rsidRPr="00F91BE5">
        <w:rPr>
          <w:rFonts w:asciiTheme="minorBidi" w:hAnsiTheme="minorBidi"/>
        </w:rPr>
        <w:t xml:space="preserve">the model provided with the March 2016 submission. This was due to the minor submission assuming a 400 mg dose of cetuximab weekly </w:t>
      </w:r>
      <w:r w:rsidR="001D14FC">
        <w:rPr>
          <w:rFonts w:asciiTheme="minorBidi" w:hAnsiTheme="minorBidi"/>
        </w:rPr>
        <w:t>for</w:t>
      </w:r>
      <w:r w:rsidR="001D14FC" w:rsidRPr="00F91BE5">
        <w:rPr>
          <w:rFonts w:asciiTheme="minorBidi" w:hAnsiTheme="minorBidi"/>
        </w:rPr>
        <w:t xml:space="preserve"> </w:t>
      </w:r>
      <w:r w:rsidRPr="00F91BE5">
        <w:rPr>
          <w:rFonts w:asciiTheme="minorBidi" w:hAnsiTheme="minorBidi"/>
        </w:rPr>
        <w:t>maintenance instead of 441 mg weekly (rounded up to 500 mg in accordance with Efficient Funding of Chemotherapy (EFC) measures</w:t>
      </w:r>
      <w:r w:rsidR="001D14FC">
        <w:rPr>
          <w:rFonts w:asciiTheme="minorBidi" w:hAnsiTheme="minorBidi"/>
        </w:rPr>
        <w:t>)</w:t>
      </w:r>
      <w:r w:rsidRPr="00F91BE5">
        <w:rPr>
          <w:rFonts w:asciiTheme="minorBidi" w:hAnsiTheme="minorBidi"/>
        </w:rPr>
        <w:t xml:space="preserve">. This change was not documented nor justified in the minor resubmission. </w:t>
      </w:r>
      <w:r w:rsidR="004F158B">
        <w:rPr>
          <w:rFonts w:asciiTheme="minorBidi" w:hAnsiTheme="minorBidi"/>
        </w:rPr>
        <w:t xml:space="preserve">The pre-PBAC response (p1) clarified that the </w:t>
      </w:r>
      <w:r w:rsidR="004F158B">
        <w:t xml:space="preserve">minor resubmission assumed a maintenance dose of 394 mg (rounded up to 400 mg in accordance with </w:t>
      </w:r>
      <w:r w:rsidR="001D14FC">
        <w:t>EFC</w:t>
      </w:r>
      <w:r w:rsidR="004F158B">
        <w:t xml:space="preserve"> </w:t>
      </w:r>
      <w:r w:rsidR="004F158B">
        <w:lastRenderedPageBreak/>
        <w:t>measures) and that the</w:t>
      </w:r>
      <w:r w:rsidR="004F158B">
        <w:rPr>
          <w:rFonts w:asciiTheme="minorBidi" w:hAnsiTheme="minorBidi"/>
        </w:rPr>
        <w:t xml:space="preserve"> </w:t>
      </w:r>
      <w:r w:rsidR="004F158B">
        <w:t>lower maintenance dose reflects the lower dose intensity for maintenance infusions in the ITT population</w:t>
      </w:r>
      <w:r w:rsidRPr="00F91BE5">
        <w:rPr>
          <w:rFonts w:asciiTheme="minorBidi" w:hAnsiTheme="minorBidi"/>
        </w:rPr>
        <w:t xml:space="preserve"> </w:t>
      </w:r>
      <w:r w:rsidR="001D14FC">
        <w:rPr>
          <w:rFonts w:asciiTheme="minorBidi" w:hAnsiTheme="minorBidi"/>
        </w:rPr>
        <w:t>compared with the oral cavity subgroup</w:t>
      </w:r>
      <w:r w:rsidR="004F158B">
        <w:rPr>
          <w:rFonts w:asciiTheme="minorBidi" w:hAnsiTheme="minorBidi"/>
        </w:rPr>
        <w:t>.</w:t>
      </w:r>
    </w:p>
    <w:p w:rsidR="006608E2" w:rsidRPr="00F91BE5" w:rsidRDefault="006608E2" w:rsidP="006608E2">
      <w:pPr>
        <w:pStyle w:val="ListParagraph"/>
        <w:rPr>
          <w:rFonts w:asciiTheme="minorBidi" w:hAnsiTheme="minorBidi"/>
        </w:rPr>
      </w:pPr>
    </w:p>
    <w:p w:rsidR="006608E2" w:rsidRPr="00F91BE5" w:rsidRDefault="006608E2" w:rsidP="006608E2">
      <w:pPr>
        <w:pStyle w:val="ListParagraph"/>
        <w:numPr>
          <w:ilvl w:val="1"/>
          <w:numId w:val="5"/>
        </w:numPr>
        <w:rPr>
          <w:rFonts w:asciiTheme="minorBidi" w:hAnsiTheme="minorBidi"/>
        </w:rPr>
      </w:pPr>
      <w:r w:rsidRPr="00F91BE5">
        <w:rPr>
          <w:rFonts w:asciiTheme="minorBidi" w:hAnsiTheme="minorBidi"/>
        </w:rPr>
        <w:t>Additionally, the minor resubmission altered the compos</w:t>
      </w:r>
      <w:r w:rsidR="00BF1718">
        <w:rPr>
          <w:rFonts w:asciiTheme="minorBidi" w:hAnsiTheme="minorBidi"/>
        </w:rPr>
        <w:t>ition of cisplatin vials from 4 </w:t>
      </w:r>
      <w:r w:rsidRPr="00F91BE5">
        <w:rPr>
          <w:rFonts w:asciiTheme="minorBidi" w:hAnsiTheme="minorBidi"/>
        </w:rPr>
        <w:t xml:space="preserve">x 50 mg vials in the March 2016 submission to 2 x 100 mg vials, </w:t>
      </w:r>
      <w:r w:rsidR="001D14FC">
        <w:rPr>
          <w:rFonts w:asciiTheme="minorBidi" w:hAnsiTheme="minorBidi"/>
        </w:rPr>
        <w:t>resulting in</w:t>
      </w:r>
      <w:r w:rsidRPr="00F91BE5">
        <w:rPr>
          <w:rFonts w:asciiTheme="minorBidi" w:hAnsiTheme="minorBidi"/>
        </w:rPr>
        <w:t xml:space="preserve"> a slight increase in the cost per dose of cisplatin from $140.41 to $143.41. This change was not documented in the resubmission but has negligible impact on the ICER.</w:t>
      </w:r>
    </w:p>
    <w:p w:rsidR="006608E2" w:rsidRPr="00022DCB" w:rsidRDefault="006608E2" w:rsidP="006608E2">
      <w:pPr>
        <w:pStyle w:val="ListParagraph"/>
        <w:rPr>
          <w:rFonts w:asciiTheme="minorBidi" w:hAnsiTheme="minorBidi"/>
          <w:i/>
        </w:rPr>
      </w:pPr>
    </w:p>
    <w:p w:rsidR="006608E2" w:rsidRPr="00F91BE5" w:rsidRDefault="006608E2" w:rsidP="006608E2">
      <w:pPr>
        <w:pStyle w:val="ListParagraph"/>
        <w:numPr>
          <w:ilvl w:val="1"/>
          <w:numId w:val="5"/>
        </w:numPr>
        <w:rPr>
          <w:rFonts w:asciiTheme="minorBidi" w:hAnsiTheme="minorBidi"/>
        </w:rPr>
      </w:pPr>
      <w:r w:rsidRPr="00C04487">
        <w:rPr>
          <w:rFonts w:asciiTheme="minorBidi" w:hAnsiTheme="minorBidi"/>
        </w:rPr>
        <w:t xml:space="preserve">The </w:t>
      </w:r>
      <w:r>
        <w:rPr>
          <w:rFonts w:asciiTheme="minorBidi" w:hAnsiTheme="minorBidi"/>
        </w:rPr>
        <w:t>minor resubmission also presented</w:t>
      </w:r>
      <w:r w:rsidRPr="00C04487">
        <w:rPr>
          <w:rFonts w:asciiTheme="minorBidi" w:hAnsiTheme="minorBidi"/>
        </w:rPr>
        <w:t xml:space="preserve"> an updated analysis </w:t>
      </w:r>
      <w:r>
        <w:rPr>
          <w:rFonts w:asciiTheme="minorBidi" w:hAnsiTheme="minorBidi"/>
        </w:rPr>
        <w:t xml:space="preserve">for </w:t>
      </w:r>
      <w:r w:rsidR="001D14FC">
        <w:rPr>
          <w:rFonts w:asciiTheme="minorBidi" w:hAnsiTheme="minorBidi"/>
        </w:rPr>
        <w:t>the subgroup of patients</w:t>
      </w:r>
      <w:r w:rsidRPr="00C04487">
        <w:rPr>
          <w:rFonts w:asciiTheme="minorBidi" w:hAnsiTheme="minorBidi"/>
        </w:rPr>
        <w:t xml:space="preserve"> with RM SCCHN in the oral cavity only</w:t>
      </w:r>
      <w:r w:rsidR="001D14FC">
        <w:rPr>
          <w:rFonts w:asciiTheme="minorBidi" w:hAnsiTheme="minorBidi"/>
        </w:rPr>
        <w:t xml:space="preserve"> </w:t>
      </w:r>
      <w:r w:rsidR="001D14FC" w:rsidRPr="00C04487">
        <w:rPr>
          <w:rFonts w:asciiTheme="minorBidi" w:hAnsiTheme="minorBidi"/>
        </w:rPr>
        <w:t xml:space="preserve">and a </w:t>
      </w:r>
      <w:r w:rsidR="001D14FC">
        <w:rPr>
          <w:rFonts w:asciiTheme="minorBidi" w:hAnsiTheme="minorBidi"/>
        </w:rPr>
        <w:t>KPS</w:t>
      </w:r>
      <w:r w:rsidR="001D14FC" w:rsidRPr="00C04487">
        <w:rPr>
          <w:rFonts w:asciiTheme="minorBidi" w:hAnsiTheme="minorBidi"/>
        </w:rPr>
        <w:t xml:space="preserve"> ≥80</w:t>
      </w:r>
      <w:r w:rsidR="001D14FC">
        <w:rPr>
          <w:rFonts w:asciiTheme="minorBidi" w:hAnsiTheme="minorBidi"/>
        </w:rPr>
        <w:t xml:space="preserve"> </w:t>
      </w:r>
      <w:r w:rsidR="001D14FC" w:rsidRPr="00C04487">
        <w:rPr>
          <w:rFonts w:asciiTheme="minorBidi" w:hAnsiTheme="minorBidi"/>
        </w:rPr>
        <w:t>/</w:t>
      </w:r>
      <w:r w:rsidR="001D14FC">
        <w:rPr>
          <w:rFonts w:asciiTheme="minorBidi" w:hAnsiTheme="minorBidi"/>
        </w:rPr>
        <w:t xml:space="preserve"> </w:t>
      </w:r>
      <w:r w:rsidR="001D14FC" w:rsidRPr="00C04487">
        <w:rPr>
          <w:rFonts w:asciiTheme="minorBidi" w:hAnsiTheme="minorBidi"/>
        </w:rPr>
        <w:t>WHO 0 or 1</w:t>
      </w:r>
      <w:r w:rsidRPr="00C04487">
        <w:rPr>
          <w:rFonts w:asciiTheme="minorBidi" w:hAnsiTheme="minorBidi"/>
        </w:rPr>
        <w:t xml:space="preserve">. The </w:t>
      </w:r>
      <w:r>
        <w:rPr>
          <w:rFonts w:asciiTheme="minorBidi" w:hAnsiTheme="minorBidi"/>
        </w:rPr>
        <w:t xml:space="preserve">minor resubmission </w:t>
      </w:r>
      <w:r w:rsidRPr="00C04487">
        <w:rPr>
          <w:rFonts w:asciiTheme="minorBidi" w:hAnsiTheme="minorBidi"/>
        </w:rPr>
        <w:t>claim</w:t>
      </w:r>
      <w:r>
        <w:rPr>
          <w:rFonts w:asciiTheme="minorBidi" w:hAnsiTheme="minorBidi"/>
        </w:rPr>
        <w:t>ed</w:t>
      </w:r>
      <w:r w:rsidRPr="00C04487">
        <w:rPr>
          <w:rFonts w:asciiTheme="minorBidi" w:hAnsiTheme="minorBidi"/>
        </w:rPr>
        <w:t xml:space="preserve"> that cetuximab is more effective in</w:t>
      </w:r>
      <w:r w:rsidR="001D14FC">
        <w:rPr>
          <w:rFonts w:asciiTheme="minorBidi" w:hAnsiTheme="minorBidi"/>
        </w:rPr>
        <w:t xml:space="preserve"> these</w:t>
      </w:r>
      <w:r w:rsidRPr="00C04487">
        <w:rPr>
          <w:rFonts w:asciiTheme="minorBidi" w:hAnsiTheme="minorBidi"/>
        </w:rPr>
        <w:t xml:space="preserve"> patients (additional 7.1 months vs 2.7 months</w:t>
      </w:r>
      <w:r w:rsidR="00852C64">
        <w:rPr>
          <w:rFonts w:asciiTheme="minorBidi" w:hAnsiTheme="minorBidi"/>
        </w:rPr>
        <w:t xml:space="preserve"> </w:t>
      </w:r>
      <w:r w:rsidR="000A2603">
        <w:rPr>
          <w:rFonts w:asciiTheme="minorBidi" w:hAnsiTheme="minorBidi"/>
        </w:rPr>
        <w:t>OS</w:t>
      </w:r>
      <w:r w:rsidRPr="00C04487">
        <w:rPr>
          <w:rFonts w:asciiTheme="minorBidi" w:hAnsiTheme="minorBidi"/>
        </w:rPr>
        <w:t xml:space="preserve">). </w:t>
      </w:r>
      <w:r w:rsidR="00DD089D">
        <w:rPr>
          <w:rFonts w:asciiTheme="minorBidi" w:hAnsiTheme="minorBidi"/>
        </w:rPr>
        <w:t xml:space="preserve">The PBAC noted that </w:t>
      </w:r>
      <w:r w:rsidR="00B87D27">
        <w:rPr>
          <w:rFonts w:asciiTheme="minorBidi" w:hAnsiTheme="minorBidi"/>
        </w:rPr>
        <w:t>it</w:t>
      </w:r>
      <w:r w:rsidR="00DD089D">
        <w:rPr>
          <w:rFonts w:asciiTheme="minorBidi" w:hAnsiTheme="minorBidi"/>
        </w:rPr>
        <w:t xml:space="preserve"> previously considered</w:t>
      </w:r>
      <w:r w:rsidRPr="00F91BE5">
        <w:rPr>
          <w:rFonts w:asciiTheme="minorBidi" w:hAnsiTheme="minorBidi"/>
        </w:rPr>
        <w:t xml:space="preserve"> </w:t>
      </w:r>
      <w:r w:rsidR="00B91843" w:rsidRPr="00F91BE5">
        <w:rPr>
          <w:rFonts w:asciiTheme="minorBidi" w:hAnsiTheme="minorBidi"/>
        </w:rPr>
        <w:t xml:space="preserve">that </w:t>
      </w:r>
      <w:r w:rsidRPr="00F91BE5">
        <w:rPr>
          <w:rFonts w:asciiTheme="minorBidi" w:hAnsiTheme="minorBidi"/>
        </w:rPr>
        <w:t xml:space="preserve">the evidence to support this claim is unclear, as the oral cavity subgroup was conducted as a </w:t>
      </w:r>
      <w:r w:rsidRPr="005911C0">
        <w:rPr>
          <w:rFonts w:asciiTheme="minorBidi" w:hAnsiTheme="minorBidi"/>
          <w:i/>
        </w:rPr>
        <w:t>post hoc</w:t>
      </w:r>
      <w:r w:rsidRPr="00F91BE5">
        <w:rPr>
          <w:rFonts w:asciiTheme="minorBidi" w:hAnsiTheme="minorBidi"/>
        </w:rPr>
        <w:t xml:space="preserve"> analysis and that the difference observed may be driven by the poor survival in the small number of patients in the control arm</w:t>
      </w:r>
      <w:r w:rsidR="005911C0">
        <w:rPr>
          <w:rFonts w:asciiTheme="minorBidi" w:hAnsiTheme="minorBidi"/>
        </w:rPr>
        <w:t xml:space="preserve"> </w:t>
      </w:r>
      <w:r w:rsidR="00DD089D">
        <w:rPr>
          <w:rFonts w:asciiTheme="minorBidi" w:hAnsiTheme="minorBidi"/>
        </w:rPr>
        <w:t>(</w:t>
      </w:r>
      <w:r w:rsidR="00DD089D" w:rsidRPr="00F91BE5">
        <w:rPr>
          <w:rFonts w:asciiTheme="minorBidi" w:hAnsiTheme="minorBidi"/>
        </w:rPr>
        <w:t xml:space="preserve">March 2016 PBAC </w:t>
      </w:r>
      <w:r w:rsidR="00F7167E">
        <w:rPr>
          <w:rFonts w:asciiTheme="minorBidi" w:hAnsiTheme="minorBidi"/>
        </w:rPr>
        <w:t>Public Summary Document (</w:t>
      </w:r>
      <w:r w:rsidR="002953FD">
        <w:rPr>
          <w:rFonts w:asciiTheme="minorBidi" w:hAnsiTheme="minorBidi"/>
        </w:rPr>
        <w:t>PSD</w:t>
      </w:r>
      <w:r w:rsidR="00F7167E">
        <w:rPr>
          <w:rFonts w:asciiTheme="minorBidi" w:hAnsiTheme="minorBidi"/>
        </w:rPr>
        <w:t>)</w:t>
      </w:r>
      <w:r w:rsidR="00B87D27">
        <w:rPr>
          <w:rFonts w:asciiTheme="minorBidi" w:hAnsiTheme="minorBidi"/>
        </w:rPr>
        <w:t>,</w:t>
      </w:r>
      <w:r w:rsidR="00DD089D" w:rsidRPr="00F91BE5">
        <w:rPr>
          <w:rFonts w:asciiTheme="minorBidi" w:hAnsiTheme="minorBidi"/>
        </w:rPr>
        <w:t xml:space="preserve"> paragraph 7.4)</w:t>
      </w:r>
      <w:r w:rsidRPr="00F91BE5">
        <w:rPr>
          <w:rFonts w:asciiTheme="minorBidi" w:hAnsiTheme="minorBidi"/>
        </w:rPr>
        <w:t xml:space="preserve">. </w:t>
      </w:r>
    </w:p>
    <w:p w:rsidR="006608E2" w:rsidRPr="00F91BE5" w:rsidRDefault="006608E2" w:rsidP="006608E2">
      <w:pPr>
        <w:rPr>
          <w:rFonts w:asciiTheme="minorBidi" w:hAnsiTheme="minorBidi"/>
        </w:rPr>
      </w:pPr>
    </w:p>
    <w:p w:rsidR="006608E2" w:rsidRDefault="0086232E" w:rsidP="006608E2">
      <w:pPr>
        <w:pStyle w:val="ListParagraph"/>
        <w:numPr>
          <w:ilvl w:val="1"/>
          <w:numId w:val="5"/>
        </w:numPr>
        <w:rPr>
          <w:rFonts w:asciiTheme="minorBidi" w:hAnsiTheme="minorBidi"/>
        </w:rPr>
      </w:pPr>
      <w:r>
        <w:rPr>
          <w:rFonts w:asciiTheme="minorBidi" w:hAnsiTheme="minorBidi"/>
        </w:rPr>
        <w:t xml:space="preserve">The PBAC further recalled </w:t>
      </w:r>
      <w:r w:rsidR="006608E2" w:rsidRPr="00F91BE5">
        <w:rPr>
          <w:rFonts w:asciiTheme="minorBidi" w:hAnsiTheme="minorBidi"/>
        </w:rPr>
        <w:t xml:space="preserve">in the main publication of the </w:t>
      </w:r>
      <w:r>
        <w:rPr>
          <w:rFonts w:asciiTheme="minorBidi" w:hAnsiTheme="minorBidi"/>
        </w:rPr>
        <w:t xml:space="preserve">EXTREME </w:t>
      </w:r>
      <w:r w:rsidR="006608E2" w:rsidRPr="00F91BE5">
        <w:rPr>
          <w:rFonts w:asciiTheme="minorBidi" w:hAnsiTheme="minorBidi"/>
        </w:rPr>
        <w:t>trial it was stated that “[t]here was a significant interaction with the primary tumo[u]r site, but because of repeated testing, this result could be due to chance. Such subgroup analyses must be interpreted cautiously; the results do not allow us to state with certainty that some groups did not benefit or to speculate on the degree of benefit”</w:t>
      </w:r>
      <w:r>
        <w:rPr>
          <w:rFonts w:asciiTheme="minorBidi" w:hAnsiTheme="minorBidi"/>
        </w:rPr>
        <w:t xml:space="preserve"> (</w:t>
      </w:r>
      <w:r w:rsidRPr="00F91BE5">
        <w:rPr>
          <w:rFonts w:asciiTheme="minorBidi" w:hAnsiTheme="minorBidi"/>
        </w:rPr>
        <w:t xml:space="preserve">March 2016 PBAC </w:t>
      </w:r>
      <w:r w:rsidR="002953FD">
        <w:rPr>
          <w:rFonts w:asciiTheme="minorBidi" w:hAnsiTheme="minorBidi"/>
        </w:rPr>
        <w:t>PSD</w:t>
      </w:r>
      <w:r>
        <w:rPr>
          <w:rFonts w:asciiTheme="minorBidi" w:hAnsiTheme="minorBidi"/>
        </w:rPr>
        <w:t xml:space="preserve">, </w:t>
      </w:r>
      <w:r w:rsidRPr="00F91BE5">
        <w:rPr>
          <w:rFonts w:asciiTheme="minorBidi" w:hAnsiTheme="minorBidi"/>
        </w:rPr>
        <w:t>paragraph 6.18)</w:t>
      </w:r>
      <w:r w:rsidR="006608E2" w:rsidRPr="00F91BE5">
        <w:rPr>
          <w:rFonts w:asciiTheme="minorBidi" w:hAnsiTheme="minorBidi"/>
        </w:rPr>
        <w:t xml:space="preserve">. </w:t>
      </w:r>
      <w:r w:rsidR="00630746">
        <w:rPr>
          <w:rFonts w:asciiTheme="minorBidi" w:hAnsiTheme="minorBidi"/>
        </w:rPr>
        <w:t xml:space="preserve">The PBAC considered that </w:t>
      </w:r>
      <w:r w:rsidR="006608E2" w:rsidRPr="00F91BE5">
        <w:rPr>
          <w:rFonts w:asciiTheme="minorBidi" w:hAnsiTheme="minorBidi"/>
        </w:rPr>
        <w:t xml:space="preserve">the results of the </w:t>
      </w:r>
      <w:r w:rsidR="006608E2" w:rsidRPr="005911C0">
        <w:rPr>
          <w:rFonts w:asciiTheme="minorBidi" w:hAnsiTheme="minorBidi"/>
          <w:i/>
          <w:iCs/>
        </w:rPr>
        <w:t>post hoc</w:t>
      </w:r>
      <w:r w:rsidR="006608E2" w:rsidRPr="00F91BE5">
        <w:rPr>
          <w:rFonts w:asciiTheme="minorBidi" w:hAnsiTheme="minorBidi"/>
        </w:rPr>
        <w:t xml:space="preserve"> subgroup analyses were not robust and should be interpreted with caution.</w:t>
      </w:r>
    </w:p>
    <w:p w:rsidR="006608E2" w:rsidRPr="00C04487" w:rsidRDefault="006608E2" w:rsidP="006608E2">
      <w:pPr>
        <w:rPr>
          <w:rFonts w:asciiTheme="minorBidi" w:hAnsiTheme="minorBidi"/>
        </w:rPr>
      </w:pPr>
    </w:p>
    <w:p w:rsidR="006608E2" w:rsidRDefault="006608E2" w:rsidP="00E956B4">
      <w:pPr>
        <w:pStyle w:val="ListParagraph"/>
        <w:numPr>
          <w:ilvl w:val="1"/>
          <w:numId w:val="5"/>
        </w:numPr>
        <w:rPr>
          <w:rFonts w:asciiTheme="minorBidi" w:hAnsiTheme="minorBidi"/>
        </w:rPr>
      </w:pPr>
      <w:r w:rsidRPr="00C04487">
        <w:rPr>
          <w:rFonts w:asciiTheme="minorBidi" w:hAnsiTheme="minorBidi"/>
        </w:rPr>
        <w:t xml:space="preserve">The estimated </w:t>
      </w:r>
      <w:r w:rsidR="0086232E">
        <w:rPr>
          <w:rFonts w:asciiTheme="minorBidi" w:hAnsiTheme="minorBidi"/>
        </w:rPr>
        <w:t>cost/LYG and cost/QALY gained</w:t>
      </w:r>
      <w:r w:rsidRPr="00C04487">
        <w:rPr>
          <w:rFonts w:asciiTheme="minorBidi" w:hAnsiTheme="minorBidi"/>
        </w:rPr>
        <w:t xml:space="preserve"> in the oral cavity subgroup </w:t>
      </w:r>
      <w:r w:rsidR="0086232E">
        <w:rPr>
          <w:rFonts w:asciiTheme="minorBidi" w:hAnsiTheme="minorBidi"/>
        </w:rPr>
        <w:t xml:space="preserve">are </w:t>
      </w:r>
      <w:r w:rsidRPr="00C04487">
        <w:rPr>
          <w:rFonts w:asciiTheme="minorBidi" w:hAnsiTheme="minorBidi"/>
        </w:rPr>
        <w:t xml:space="preserve">summarised in </w:t>
      </w:r>
      <w:r>
        <w:rPr>
          <w:rFonts w:asciiTheme="minorBidi" w:hAnsiTheme="minorBidi"/>
        </w:rPr>
        <w:t>T</w:t>
      </w:r>
      <w:r w:rsidRPr="00C04487">
        <w:rPr>
          <w:rFonts w:asciiTheme="minorBidi" w:hAnsiTheme="minorBidi"/>
        </w:rPr>
        <w:t>able</w:t>
      </w:r>
      <w:r w:rsidR="00F91BE5">
        <w:rPr>
          <w:rFonts w:asciiTheme="minorBidi" w:hAnsiTheme="minorBidi"/>
        </w:rPr>
        <w:t> </w:t>
      </w:r>
      <w:r w:rsidR="00A352AD">
        <w:rPr>
          <w:rFonts w:asciiTheme="minorBidi" w:hAnsiTheme="minorBidi"/>
        </w:rPr>
        <w:t>6</w:t>
      </w:r>
      <w:r w:rsidRPr="00C04487">
        <w:rPr>
          <w:rFonts w:asciiTheme="minorBidi" w:hAnsiTheme="minorBidi"/>
        </w:rPr>
        <w:t xml:space="preserve">. </w:t>
      </w:r>
      <w:r w:rsidR="00E956B4">
        <w:rPr>
          <w:rFonts w:asciiTheme="minorBidi" w:hAnsiTheme="minorBidi"/>
        </w:rPr>
        <w:t xml:space="preserve">The redacted table below shows that for the oral cavity subgroup, the ICER in the March 2016 submission was $45,000 - $74,000 per QALY, the ICER for the minor resubmission with an infusion cost of </w:t>
      </w:r>
      <w:r w:rsidR="00E956B4" w:rsidRPr="00E956B4">
        <w:rPr>
          <w:rFonts w:asciiTheme="minorBidi" w:hAnsiTheme="minorBidi"/>
        </w:rPr>
        <w:t>$</w:t>
      </w:r>
      <w:r w:rsidR="00CC1076">
        <w:rPr>
          <w:rFonts w:asciiTheme="minorBidi" w:hAnsiTheme="minorBidi"/>
          <w:noProof/>
          <w:color w:val="000000"/>
          <w:highlight w:val="black"/>
        </w:rPr>
        <w:t>''''''''''''''''</w:t>
      </w:r>
      <w:r w:rsidR="00E956B4" w:rsidRPr="00E956B4">
        <w:rPr>
          <w:rFonts w:asciiTheme="minorBidi" w:hAnsiTheme="minorBidi"/>
        </w:rPr>
        <w:t xml:space="preserve"> </w:t>
      </w:r>
      <w:r w:rsidR="00E956B4">
        <w:rPr>
          <w:rFonts w:asciiTheme="minorBidi" w:hAnsiTheme="minorBidi"/>
        </w:rPr>
        <w:t xml:space="preserve">was $15,000 - $45,000 per QALY and the ICER for the minor resubmission with an infusion cost of </w:t>
      </w:r>
      <w:r w:rsidR="00E956B4" w:rsidRPr="00E956B4">
        <w:rPr>
          <w:rFonts w:asciiTheme="minorBidi" w:hAnsiTheme="minorBidi"/>
        </w:rPr>
        <w:t>$</w:t>
      </w:r>
      <w:r w:rsidR="00CC1076">
        <w:rPr>
          <w:rFonts w:asciiTheme="minorBidi" w:hAnsiTheme="minorBidi"/>
          <w:noProof/>
          <w:color w:val="000000"/>
          <w:highlight w:val="black"/>
        </w:rPr>
        <w:t>''''''''''''''''</w:t>
      </w:r>
      <w:r w:rsidR="00E956B4" w:rsidRPr="00E956B4">
        <w:rPr>
          <w:rFonts w:asciiTheme="minorBidi" w:hAnsiTheme="minorBidi"/>
        </w:rPr>
        <w:t xml:space="preserve"> </w:t>
      </w:r>
      <w:r w:rsidR="00E956B4">
        <w:rPr>
          <w:rFonts w:asciiTheme="minorBidi" w:hAnsiTheme="minorBidi"/>
        </w:rPr>
        <w:t>was $45,000 - $75,000 per QALY.</w:t>
      </w:r>
    </w:p>
    <w:p w:rsidR="006608E2" w:rsidRDefault="006608E2" w:rsidP="0011658F">
      <w:pPr>
        <w:jc w:val="both"/>
        <w:rPr>
          <w:rFonts w:ascii="Arial" w:hAnsi="Arial"/>
          <w:sz w:val="22"/>
          <w:szCs w:val="22"/>
        </w:rPr>
      </w:pPr>
    </w:p>
    <w:p w:rsidR="006608E2" w:rsidRPr="006559D2" w:rsidRDefault="006608E2" w:rsidP="006608E2">
      <w:pPr>
        <w:ind w:left="720"/>
        <w:rPr>
          <w:rFonts w:ascii="Arial Narrow" w:hAnsi="Arial Narrow"/>
          <w:b/>
          <w:bCs/>
          <w:sz w:val="20"/>
          <w:szCs w:val="20"/>
        </w:rPr>
      </w:pPr>
      <w:r w:rsidRPr="006559D2">
        <w:rPr>
          <w:rFonts w:ascii="Arial Narrow" w:hAnsi="Arial Narrow"/>
          <w:b/>
          <w:bCs/>
          <w:sz w:val="20"/>
          <w:szCs w:val="20"/>
        </w:rPr>
        <w:t xml:space="preserve">Table </w:t>
      </w:r>
      <w:r w:rsidR="00A352AD">
        <w:rPr>
          <w:rFonts w:ascii="Arial Narrow" w:hAnsi="Arial Narrow"/>
          <w:b/>
          <w:bCs/>
          <w:sz w:val="20"/>
          <w:szCs w:val="20"/>
        </w:rPr>
        <w:t>6</w:t>
      </w:r>
      <w:r>
        <w:rPr>
          <w:rFonts w:ascii="Arial Narrow" w:hAnsi="Arial Narrow"/>
          <w:b/>
          <w:bCs/>
          <w:sz w:val="20"/>
          <w:szCs w:val="20"/>
        </w:rPr>
        <w:t>:</w:t>
      </w:r>
      <w:r w:rsidRPr="006559D2">
        <w:rPr>
          <w:rFonts w:ascii="Arial Narrow" w:hAnsi="Arial Narrow"/>
          <w:b/>
          <w:bCs/>
          <w:sz w:val="20"/>
          <w:szCs w:val="20"/>
        </w:rPr>
        <w:t xml:space="preserve"> Results of estimated cost effectiveness in oral cavity subgroup</w:t>
      </w:r>
    </w:p>
    <w:tbl>
      <w:tblPr>
        <w:tblStyle w:val="TableGrid"/>
        <w:tblW w:w="0" w:type="auto"/>
        <w:tblInd w:w="737" w:type="dxa"/>
        <w:tblCellMar>
          <w:left w:w="28" w:type="dxa"/>
          <w:right w:w="28" w:type="dxa"/>
        </w:tblCellMar>
        <w:tblLook w:val="04A0" w:firstRow="1" w:lastRow="0" w:firstColumn="1" w:lastColumn="0" w:noHBand="0" w:noVBand="1"/>
        <w:tblCaption w:val="Results of estimated cost effectiveness in oral cavity subgroup"/>
      </w:tblPr>
      <w:tblGrid>
        <w:gridCol w:w="6039"/>
        <w:gridCol w:w="1153"/>
        <w:gridCol w:w="1153"/>
      </w:tblGrid>
      <w:tr w:rsidR="006608E2" w:rsidRPr="006559D2" w:rsidTr="00333233">
        <w:trPr>
          <w:tblHeader/>
        </w:trPr>
        <w:tc>
          <w:tcPr>
            <w:tcW w:w="6039" w:type="dxa"/>
            <w:vAlign w:val="center"/>
          </w:tcPr>
          <w:p w:rsidR="006608E2" w:rsidRPr="006559D2" w:rsidRDefault="0086232E" w:rsidP="00717D18">
            <w:pPr>
              <w:rPr>
                <w:rFonts w:ascii="Arial Narrow" w:hAnsi="Arial Narrow"/>
                <w:b/>
                <w:bCs/>
                <w:sz w:val="20"/>
                <w:szCs w:val="20"/>
              </w:rPr>
            </w:pPr>
            <w:r>
              <w:rPr>
                <w:rFonts w:ascii="Arial Narrow" w:hAnsi="Arial Narrow"/>
                <w:b/>
                <w:bCs/>
                <w:sz w:val="20"/>
                <w:szCs w:val="20"/>
              </w:rPr>
              <w:t>Model inputs</w:t>
            </w:r>
          </w:p>
        </w:tc>
        <w:tc>
          <w:tcPr>
            <w:tcW w:w="1153"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Cost per QALY</w:t>
            </w:r>
          </w:p>
        </w:tc>
        <w:tc>
          <w:tcPr>
            <w:tcW w:w="1153" w:type="dxa"/>
            <w:vAlign w:val="center"/>
          </w:tcPr>
          <w:p w:rsidR="006608E2" w:rsidRPr="006559D2" w:rsidRDefault="006608E2" w:rsidP="00717D18">
            <w:pPr>
              <w:jc w:val="center"/>
              <w:rPr>
                <w:rFonts w:ascii="Arial Narrow" w:hAnsi="Arial Narrow"/>
                <w:b/>
                <w:bCs/>
                <w:sz w:val="20"/>
                <w:szCs w:val="20"/>
              </w:rPr>
            </w:pPr>
            <w:r w:rsidRPr="006559D2">
              <w:rPr>
                <w:rFonts w:ascii="Arial Narrow" w:hAnsi="Arial Narrow"/>
                <w:b/>
                <w:bCs/>
                <w:sz w:val="20"/>
                <w:szCs w:val="20"/>
              </w:rPr>
              <w:t>Cost per LYG</w:t>
            </w:r>
          </w:p>
        </w:tc>
      </w:tr>
      <w:tr w:rsidR="006608E2" w:rsidRPr="006559D2" w:rsidTr="00333233">
        <w:trPr>
          <w:tblHeader/>
        </w:trPr>
        <w:tc>
          <w:tcPr>
            <w:tcW w:w="6039" w:type="dxa"/>
          </w:tcPr>
          <w:p w:rsidR="0086232E" w:rsidRDefault="0086232E" w:rsidP="0086232E">
            <w:pPr>
              <w:rPr>
                <w:rFonts w:ascii="Arial Narrow" w:hAnsi="Arial Narrow"/>
                <w:sz w:val="20"/>
                <w:szCs w:val="20"/>
              </w:rPr>
            </w:pPr>
            <w:r>
              <w:rPr>
                <w:rFonts w:ascii="Arial Narrow" w:hAnsi="Arial Narrow"/>
                <w:b/>
                <w:sz w:val="20"/>
                <w:szCs w:val="20"/>
              </w:rPr>
              <w:t xml:space="preserve">March 2016 submission </w:t>
            </w:r>
            <w:r w:rsidRPr="00D727DB">
              <w:rPr>
                <w:rFonts w:ascii="Arial Narrow" w:hAnsi="Arial Narrow"/>
                <w:b/>
                <w:sz w:val="20"/>
                <w:szCs w:val="20"/>
              </w:rPr>
              <w:t>base case for oral cavity population</w:t>
            </w:r>
          </w:p>
          <w:p w:rsidR="0086232E" w:rsidRDefault="0086232E" w:rsidP="0086232E">
            <w:pPr>
              <w:pStyle w:val="ListParagraph"/>
              <w:numPr>
                <w:ilvl w:val="0"/>
                <w:numId w:val="37"/>
              </w:numPr>
              <w:rPr>
                <w:rFonts w:ascii="Arial Narrow" w:hAnsi="Arial Narrow"/>
                <w:sz w:val="20"/>
              </w:rPr>
            </w:pPr>
            <w:r>
              <w:rPr>
                <w:rFonts w:ascii="Arial Narrow" w:hAnsi="Arial Narrow"/>
                <w:sz w:val="20"/>
              </w:rPr>
              <w:t xml:space="preserve">Cetuximab cost: </w:t>
            </w:r>
            <w:r w:rsidRPr="00D727DB">
              <w:rPr>
                <w:rFonts w:ascii="Arial Narrow" w:hAnsi="Arial Narrow"/>
                <w:sz w:val="20"/>
              </w:rPr>
              <w:t>$</w:t>
            </w:r>
            <w:r w:rsidR="00CC1076">
              <w:rPr>
                <w:rFonts w:ascii="Arial Narrow" w:hAnsi="Arial Narrow"/>
                <w:noProof/>
                <w:color w:val="000000"/>
                <w:sz w:val="20"/>
                <w:highlight w:val="black"/>
              </w:rPr>
              <w:t>'''''''''''''''</w:t>
            </w:r>
            <w:r w:rsidRPr="00D727DB">
              <w:rPr>
                <w:rFonts w:ascii="Arial Narrow" w:hAnsi="Arial Narrow"/>
                <w:sz w:val="20"/>
              </w:rPr>
              <w:t xml:space="preserve"> per 100 mg vial </w:t>
            </w:r>
          </w:p>
          <w:p w:rsidR="0086232E" w:rsidRPr="001D14FC" w:rsidRDefault="0086232E" w:rsidP="0086232E">
            <w:pPr>
              <w:pStyle w:val="ListParagraph"/>
              <w:numPr>
                <w:ilvl w:val="0"/>
                <w:numId w:val="37"/>
              </w:numPr>
              <w:rPr>
                <w:rFonts w:ascii="Arial Narrow" w:hAnsi="Arial Narrow"/>
                <w:sz w:val="20"/>
              </w:rPr>
            </w:pPr>
            <w:r>
              <w:rPr>
                <w:rFonts w:ascii="Arial Narrow" w:hAnsi="Arial Narrow"/>
                <w:sz w:val="20"/>
              </w:rPr>
              <w:t>Cetuximab dose:</w:t>
            </w:r>
            <w:r w:rsidRPr="00D727DB">
              <w:rPr>
                <w:rFonts w:ascii="Arial Narrow" w:hAnsi="Arial Narrow"/>
                <w:iCs/>
                <w:sz w:val="20"/>
              </w:rPr>
              <w:t xml:space="preserve"> 500</w:t>
            </w:r>
            <w:r>
              <w:rPr>
                <w:rFonts w:ascii="Arial Narrow" w:hAnsi="Arial Narrow"/>
                <w:iCs/>
                <w:sz w:val="20"/>
              </w:rPr>
              <w:t xml:space="preserve"> </w:t>
            </w:r>
            <w:r w:rsidRPr="00D727DB">
              <w:rPr>
                <w:rFonts w:ascii="Arial Narrow" w:hAnsi="Arial Narrow"/>
                <w:iCs/>
                <w:sz w:val="20"/>
              </w:rPr>
              <w:t>mg weekly dose for continuing treatment</w:t>
            </w:r>
          </w:p>
          <w:p w:rsidR="006608E2" w:rsidRPr="006559D2" w:rsidRDefault="0086232E" w:rsidP="00CB0D5A">
            <w:pPr>
              <w:pStyle w:val="ListParagraph"/>
              <w:numPr>
                <w:ilvl w:val="0"/>
                <w:numId w:val="37"/>
              </w:numPr>
              <w:rPr>
                <w:rFonts w:ascii="Arial Narrow" w:hAnsi="Arial Narrow"/>
                <w:sz w:val="20"/>
              </w:rPr>
            </w:pPr>
            <w:r>
              <w:rPr>
                <w:rFonts w:ascii="Arial Narrow" w:hAnsi="Arial Narrow"/>
                <w:iCs/>
                <w:sz w:val="20"/>
              </w:rPr>
              <w:t xml:space="preserve">Infusion cost: </w:t>
            </w:r>
            <w:r w:rsidRPr="006D56E5">
              <w:rPr>
                <w:rFonts w:ascii="Arial Narrow" w:hAnsi="Arial Narrow"/>
                <w:sz w:val="20"/>
              </w:rPr>
              <w:t>$</w:t>
            </w:r>
            <w:r w:rsidR="00CC1076">
              <w:rPr>
                <w:rFonts w:ascii="Arial Narrow" w:hAnsi="Arial Narrow"/>
                <w:noProof/>
                <w:color w:val="000000"/>
                <w:sz w:val="20"/>
                <w:highlight w:val="black"/>
              </w:rPr>
              <w:t>'''''''''''''''</w:t>
            </w:r>
            <w:r w:rsidRPr="006D56E5">
              <w:rPr>
                <w:rFonts w:ascii="Arial Narrow" w:hAnsi="Arial Narrow"/>
                <w:sz w:val="20"/>
              </w:rPr>
              <w:t xml:space="preserve"> </w:t>
            </w:r>
            <w:r>
              <w:rPr>
                <w:rFonts w:ascii="Arial Narrow" w:hAnsi="Arial Narrow"/>
                <w:sz w:val="20"/>
              </w:rPr>
              <w:t>per infusion</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6039" w:type="dxa"/>
          </w:tcPr>
          <w:p w:rsidR="0086232E" w:rsidRDefault="0086232E" w:rsidP="0086232E">
            <w:pPr>
              <w:rPr>
                <w:rFonts w:ascii="Arial Narrow" w:hAnsi="Arial Narrow"/>
                <w:b/>
                <w:sz w:val="20"/>
                <w:szCs w:val="20"/>
              </w:rPr>
            </w:pPr>
            <w:r>
              <w:rPr>
                <w:rFonts w:ascii="Arial Narrow" w:hAnsi="Arial Narrow"/>
                <w:b/>
                <w:sz w:val="20"/>
                <w:szCs w:val="20"/>
              </w:rPr>
              <w:t>Minor resubmission for oral cavity population</w:t>
            </w:r>
          </w:p>
          <w:p w:rsidR="0086232E" w:rsidRDefault="0086232E" w:rsidP="0086232E">
            <w:pPr>
              <w:pStyle w:val="ListParagraph"/>
              <w:numPr>
                <w:ilvl w:val="0"/>
                <w:numId w:val="37"/>
              </w:numPr>
              <w:rPr>
                <w:rFonts w:ascii="Arial Narrow" w:hAnsi="Arial Narrow"/>
                <w:sz w:val="20"/>
              </w:rPr>
            </w:pPr>
            <w:r>
              <w:rPr>
                <w:rFonts w:ascii="Arial Narrow" w:hAnsi="Arial Narrow"/>
                <w:sz w:val="20"/>
              </w:rPr>
              <w:t xml:space="preserve">Cetuximab cost: </w:t>
            </w:r>
            <w:r w:rsidRPr="00D727DB">
              <w:rPr>
                <w:rFonts w:ascii="Arial Narrow" w:hAnsi="Arial Narrow"/>
                <w:sz w:val="20"/>
              </w:rPr>
              <w:t>$</w:t>
            </w:r>
            <w:r w:rsidR="00CC1076">
              <w:rPr>
                <w:rFonts w:ascii="Arial Narrow" w:hAnsi="Arial Narrow"/>
                <w:noProof/>
                <w:color w:val="000000"/>
                <w:sz w:val="20"/>
                <w:highlight w:val="black"/>
              </w:rPr>
              <w:t>''''''''''''''''</w:t>
            </w:r>
            <w:r w:rsidRPr="00D727DB">
              <w:rPr>
                <w:rFonts w:ascii="Arial Narrow" w:hAnsi="Arial Narrow"/>
                <w:sz w:val="20"/>
              </w:rPr>
              <w:t xml:space="preserve"> per 100 mg vial </w:t>
            </w:r>
          </w:p>
          <w:p w:rsidR="0086232E" w:rsidRPr="00D727DB" w:rsidRDefault="0086232E" w:rsidP="0086232E">
            <w:pPr>
              <w:pStyle w:val="ListParagraph"/>
              <w:numPr>
                <w:ilvl w:val="0"/>
                <w:numId w:val="37"/>
              </w:numPr>
              <w:rPr>
                <w:rFonts w:ascii="Arial Narrow" w:hAnsi="Arial Narrow"/>
                <w:b/>
                <w:sz w:val="20"/>
              </w:rPr>
            </w:pPr>
            <w:r>
              <w:rPr>
                <w:rFonts w:ascii="Arial Narrow" w:hAnsi="Arial Narrow"/>
                <w:sz w:val="20"/>
              </w:rPr>
              <w:t>Cetuximab dose:</w:t>
            </w:r>
            <w:r w:rsidRPr="00D727DB">
              <w:rPr>
                <w:rFonts w:ascii="Arial Narrow" w:hAnsi="Arial Narrow"/>
                <w:iCs/>
                <w:sz w:val="20"/>
              </w:rPr>
              <w:t xml:space="preserve"> </w:t>
            </w:r>
            <w:r w:rsidR="004363DE">
              <w:rPr>
                <w:rFonts w:ascii="Arial Narrow" w:hAnsi="Arial Narrow"/>
                <w:iCs/>
                <w:sz w:val="20"/>
              </w:rPr>
              <w:t>5</w:t>
            </w:r>
            <w:r w:rsidRPr="006D56E5">
              <w:rPr>
                <w:rFonts w:ascii="Arial Narrow" w:hAnsi="Arial Narrow"/>
                <w:iCs/>
                <w:sz w:val="20"/>
              </w:rPr>
              <w:t>00 mg weekly dose for continuing treatment</w:t>
            </w:r>
          </w:p>
          <w:p w:rsidR="006608E2" w:rsidRPr="006559D2" w:rsidRDefault="0086232E" w:rsidP="00CB0D5A">
            <w:pPr>
              <w:pStyle w:val="ListParagraph"/>
              <w:numPr>
                <w:ilvl w:val="0"/>
                <w:numId w:val="37"/>
              </w:numPr>
              <w:rPr>
                <w:rFonts w:ascii="Arial Narrow" w:hAnsi="Arial Narrow"/>
                <w:sz w:val="20"/>
              </w:rPr>
            </w:pPr>
            <w:r w:rsidRPr="00BF1718">
              <w:rPr>
                <w:rFonts w:ascii="Arial Narrow" w:hAnsi="Arial Narrow"/>
                <w:iCs/>
                <w:sz w:val="20"/>
              </w:rPr>
              <w:t xml:space="preserve">Infusion cost: </w:t>
            </w:r>
            <w:r w:rsidRPr="00BF1718">
              <w:rPr>
                <w:rFonts w:ascii="Arial Narrow" w:hAnsi="Arial Narrow"/>
                <w:sz w:val="20"/>
              </w:rPr>
              <w:t>$</w:t>
            </w:r>
            <w:r w:rsidR="00CC1076">
              <w:rPr>
                <w:rFonts w:ascii="Arial Narrow" w:hAnsi="Arial Narrow"/>
                <w:noProof/>
                <w:color w:val="000000"/>
                <w:sz w:val="20"/>
                <w:highlight w:val="black"/>
              </w:rPr>
              <w:t>''''''''''''''''</w:t>
            </w:r>
            <w:r w:rsidRPr="006D56E5">
              <w:rPr>
                <w:rFonts w:ascii="Arial Narrow" w:hAnsi="Arial Narrow"/>
                <w:sz w:val="20"/>
              </w:rPr>
              <w:t xml:space="preserve"> </w:t>
            </w:r>
            <w:r w:rsidRPr="00BF1718">
              <w:rPr>
                <w:rFonts w:ascii="Arial Narrow" w:hAnsi="Arial Narrow"/>
                <w:sz w:val="20"/>
              </w:rPr>
              <w:t>per infusion</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6039" w:type="dxa"/>
          </w:tcPr>
          <w:p w:rsidR="0086232E" w:rsidRDefault="0086232E" w:rsidP="0086232E">
            <w:pPr>
              <w:rPr>
                <w:rFonts w:ascii="Arial Narrow" w:hAnsi="Arial Narrow"/>
                <w:b/>
                <w:sz w:val="20"/>
                <w:szCs w:val="20"/>
              </w:rPr>
            </w:pPr>
            <w:r>
              <w:rPr>
                <w:rFonts w:ascii="Arial Narrow" w:hAnsi="Arial Narrow"/>
                <w:b/>
                <w:sz w:val="20"/>
                <w:szCs w:val="20"/>
              </w:rPr>
              <w:t>Minor resubmission for oral cavity population</w:t>
            </w:r>
          </w:p>
          <w:p w:rsidR="0086232E" w:rsidRDefault="0086232E" w:rsidP="0086232E">
            <w:pPr>
              <w:pStyle w:val="ListParagraph"/>
              <w:numPr>
                <w:ilvl w:val="0"/>
                <w:numId w:val="37"/>
              </w:numPr>
              <w:rPr>
                <w:rFonts w:ascii="Arial Narrow" w:hAnsi="Arial Narrow"/>
                <w:sz w:val="20"/>
              </w:rPr>
            </w:pPr>
            <w:r>
              <w:rPr>
                <w:rFonts w:ascii="Arial Narrow" w:hAnsi="Arial Narrow"/>
                <w:sz w:val="20"/>
              </w:rPr>
              <w:t xml:space="preserve">Cetuximab cost: </w:t>
            </w:r>
            <w:r w:rsidRPr="00D727DB">
              <w:rPr>
                <w:rFonts w:ascii="Arial Narrow" w:hAnsi="Arial Narrow"/>
                <w:sz w:val="20"/>
              </w:rPr>
              <w:t>$</w:t>
            </w:r>
            <w:r w:rsidR="00CC1076">
              <w:rPr>
                <w:rFonts w:ascii="Arial Narrow" w:hAnsi="Arial Narrow"/>
                <w:noProof/>
                <w:color w:val="000000"/>
                <w:sz w:val="20"/>
                <w:highlight w:val="black"/>
              </w:rPr>
              <w:t>''''''''''''''''''</w:t>
            </w:r>
            <w:r w:rsidRPr="00D727DB">
              <w:rPr>
                <w:rFonts w:ascii="Arial Narrow" w:hAnsi="Arial Narrow"/>
                <w:sz w:val="20"/>
              </w:rPr>
              <w:t xml:space="preserve"> per 100 mg vial </w:t>
            </w:r>
          </w:p>
          <w:p w:rsidR="0086232E" w:rsidRPr="00D727DB" w:rsidRDefault="0086232E" w:rsidP="0086232E">
            <w:pPr>
              <w:pStyle w:val="ListParagraph"/>
              <w:numPr>
                <w:ilvl w:val="0"/>
                <w:numId w:val="37"/>
              </w:numPr>
              <w:rPr>
                <w:rFonts w:ascii="Arial Narrow" w:hAnsi="Arial Narrow"/>
                <w:b/>
                <w:sz w:val="20"/>
              </w:rPr>
            </w:pPr>
            <w:r>
              <w:rPr>
                <w:rFonts w:ascii="Arial Narrow" w:hAnsi="Arial Narrow"/>
                <w:sz w:val="20"/>
              </w:rPr>
              <w:t>Cetuximab dose:</w:t>
            </w:r>
            <w:r w:rsidRPr="00D727DB">
              <w:rPr>
                <w:rFonts w:ascii="Arial Narrow" w:hAnsi="Arial Narrow"/>
                <w:iCs/>
                <w:sz w:val="20"/>
              </w:rPr>
              <w:t xml:space="preserve"> </w:t>
            </w:r>
            <w:r w:rsidR="004363DE">
              <w:rPr>
                <w:rFonts w:ascii="Arial Narrow" w:hAnsi="Arial Narrow"/>
                <w:iCs/>
                <w:sz w:val="20"/>
              </w:rPr>
              <w:t>5</w:t>
            </w:r>
            <w:r w:rsidRPr="006D56E5">
              <w:rPr>
                <w:rFonts w:ascii="Arial Narrow" w:hAnsi="Arial Narrow"/>
                <w:iCs/>
                <w:sz w:val="20"/>
              </w:rPr>
              <w:t>00 mg weekly dose for continuing treatment</w:t>
            </w:r>
          </w:p>
          <w:p w:rsidR="006608E2" w:rsidRPr="006559D2" w:rsidRDefault="0086232E" w:rsidP="00CB0D5A">
            <w:pPr>
              <w:pStyle w:val="ListParagraph"/>
              <w:numPr>
                <w:ilvl w:val="0"/>
                <w:numId w:val="37"/>
              </w:numPr>
              <w:rPr>
                <w:rFonts w:ascii="Arial Narrow" w:hAnsi="Arial Narrow"/>
                <w:i/>
                <w:iCs/>
                <w:sz w:val="20"/>
              </w:rPr>
            </w:pPr>
            <w:r>
              <w:rPr>
                <w:rFonts w:ascii="Arial Narrow" w:hAnsi="Arial Narrow"/>
                <w:iCs/>
                <w:sz w:val="20"/>
              </w:rPr>
              <w:t xml:space="preserve">Infusion </w:t>
            </w:r>
            <w:r w:rsidRPr="0086232E">
              <w:rPr>
                <w:rFonts w:ascii="Arial Narrow" w:hAnsi="Arial Narrow"/>
                <w:sz w:val="20"/>
              </w:rPr>
              <w:t>cost</w:t>
            </w:r>
            <w:r>
              <w:rPr>
                <w:rFonts w:ascii="Arial Narrow" w:hAnsi="Arial Narrow"/>
                <w:iCs/>
                <w:sz w:val="20"/>
              </w:rPr>
              <w:t xml:space="preserve">: </w:t>
            </w:r>
            <w:r w:rsidRPr="006D56E5">
              <w:rPr>
                <w:rFonts w:ascii="Arial Narrow" w:hAnsi="Arial Narrow"/>
                <w:sz w:val="20"/>
              </w:rPr>
              <w:t>$</w:t>
            </w:r>
            <w:r w:rsidR="00CC1076">
              <w:rPr>
                <w:rFonts w:ascii="Arial Narrow" w:hAnsi="Arial Narrow"/>
                <w:noProof/>
                <w:color w:val="000000"/>
                <w:sz w:val="20"/>
                <w:highlight w:val="black"/>
              </w:rPr>
              <w:t>''''''''''''''''</w:t>
            </w:r>
            <w:r>
              <w:rPr>
                <w:rFonts w:ascii="Arial Narrow" w:hAnsi="Arial Narrow"/>
                <w:sz w:val="20"/>
              </w:rPr>
              <w:t xml:space="preserve"> per infusion</w:t>
            </w:r>
            <w:r w:rsidR="006608E2" w:rsidRPr="006559D2">
              <w:rPr>
                <w:rFonts w:ascii="Arial Narrow" w:hAnsi="Arial Narrow"/>
                <w:i/>
                <w:iCs/>
                <w:sz w:val="20"/>
              </w:rPr>
              <w:t xml:space="preserve"> </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53"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bl>
    <w:p w:rsidR="00DD089D" w:rsidRPr="00803BAB" w:rsidRDefault="006608E2" w:rsidP="006608E2">
      <w:pPr>
        <w:ind w:left="851" w:hanging="142"/>
        <w:jc w:val="both"/>
        <w:rPr>
          <w:rFonts w:ascii="Arial Narrow" w:hAnsi="Arial Narrow"/>
          <w:sz w:val="18"/>
          <w:szCs w:val="20"/>
        </w:rPr>
      </w:pPr>
      <w:r w:rsidRPr="00803BAB">
        <w:rPr>
          <w:rFonts w:ascii="Arial Narrow" w:hAnsi="Arial Narrow"/>
          <w:sz w:val="18"/>
          <w:szCs w:val="20"/>
        </w:rPr>
        <w:t>Source: Table 10, p3</w:t>
      </w:r>
      <w:r w:rsidR="00384649" w:rsidRPr="00803BAB">
        <w:rPr>
          <w:rFonts w:ascii="Arial Narrow" w:hAnsi="Arial Narrow"/>
          <w:sz w:val="18"/>
          <w:szCs w:val="20"/>
        </w:rPr>
        <w:t>9</w:t>
      </w:r>
      <w:r w:rsidRPr="00803BAB">
        <w:rPr>
          <w:rFonts w:ascii="Arial Narrow" w:hAnsi="Arial Narrow"/>
          <w:sz w:val="18"/>
          <w:szCs w:val="20"/>
        </w:rPr>
        <w:t xml:space="preserve"> of the minor submission</w:t>
      </w:r>
    </w:p>
    <w:p w:rsidR="006608E2" w:rsidRPr="00C04487" w:rsidRDefault="006608E2" w:rsidP="006608E2">
      <w:pPr>
        <w:rPr>
          <w:rFonts w:asciiTheme="minorBidi" w:hAnsiTheme="minorBidi"/>
        </w:rPr>
      </w:pPr>
    </w:p>
    <w:p w:rsidR="006608E2" w:rsidRDefault="006608E2" w:rsidP="006608E2">
      <w:pPr>
        <w:pStyle w:val="ListParagraph"/>
        <w:numPr>
          <w:ilvl w:val="1"/>
          <w:numId w:val="5"/>
        </w:numPr>
        <w:rPr>
          <w:rFonts w:asciiTheme="minorBidi" w:hAnsiTheme="minorBidi"/>
        </w:rPr>
      </w:pPr>
      <w:r w:rsidRPr="00B91843">
        <w:rPr>
          <w:rFonts w:asciiTheme="minorBidi" w:hAnsiTheme="minorBidi"/>
        </w:rPr>
        <w:t>For the oral cavity subgroup, the continuation dose was the same as in the March 2016 submission.</w:t>
      </w:r>
    </w:p>
    <w:p w:rsidR="00630746" w:rsidRDefault="00630746" w:rsidP="005911C0">
      <w:pPr>
        <w:pStyle w:val="ListParagraph"/>
        <w:rPr>
          <w:rFonts w:asciiTheme="minorBidi" w:hAnsiTheme="minorBidi"/>
        </w:rPr>
      </w:pPr>
    </w:p>
    <w:p w:rsidR="006608E2" w:rsidRDefault="006608E2" w:rsidP="006608E2">
      <w:pPr>
        <w:ind w:left="993" w:hanging="142"/>
        <w:jc w:val="both"/>
        <w:rPr>
          <w:rFonts w:ascii="Arial" w:hAnsi="Arial"/>
          <w:sz w:val="22"/>
          <w:szCs w:val="22"/>
        </w:rPr>
      </w:pPr>
    </w:p>
    <w:p w:rsidR="006608E2" w:rsidRDefault="006608E2" w:rsidP="004363DE">
      <w:pPr>
        <w:pStyle w:val="Heading2"/>
      </w:pPr>
      <w:r w:rsidRPr="000130C1">
        <w:t>Drug cost/patient/course:</w:t>
      </w:r>
      <w:r w:rsidRPr="00A55FEE">
        <w:t xml:space="preserve"> </w:t>
      </w:r>
    </w:p>
    <w:p w:rsidR="006608E2" w:rsidRPr="0050541D" w:rsidRDefault="006608E2" w:rsidP="004363DE">
      <w:pPr>
        <w:keepNext/>
      </w:pPr>
    </w:p>
    <w:p w:rsidR="006608E2" w:rsidRPr="00A46A23" w:rsidRDefault="006608E2" w:rsidP="004363DE">
      <w:pPr>
        <w:keepNext/>
        <w:ind w:left="720"/>
        <w:rPr>
          <w:rFonts w:ascii="Arial Narrow" w:hAnsi="Arial Narrow"/>
          <w:b/>
          <w:bCs/>
          <w:sz w:val="20"/>
        </w:rPr>
      </w:pPr>
      <w:r w:rsidRPr="00A46A23">
        <w:rPr>
          <w:rFonts w:ascii="Arial Narrow" w:hAnsi="Arial Narrow"/>
          <w:b/>
          <w:bCs/>
          <w:sz w:val="20"/>
        </w:rPr>
        <w:t>Table</w:t>
      </w:r>
      <w:r>
        <w:rPr>
          <w:rFonts w:ascii="Arial Narrow" w:hAnsi="Arial Narrow"/>
          <w:b/>
          <w:bCs/>
          <w:sz w:val="20"/>
        </w:rPr>
        <w:t xml:space="preserve"> </w:t>
      </w:r>
      <w:r w:rsidR="00A352AD">
        <w:rPr>
          <w:rFonts w:ascii="Arial Narrow" w:hAnsi="Arial Narrow"/>
          <w:b/>
          <w:bCs/>
          <w:sz w:val="20"/>
        </w:rPr>
        <w:t>7</w:t>
      </w:r>
      <w:r w:rsidRPr="00A46A23">
        <w:rPr>
          <w:rFonts w:ascii="Arial Narrow" w:hAnsi="Arial Narrow"/>
          <w:b/>
          <w:bCs/>
          <w:sz w:val="20"/>
        </w:rPr>
        <w:t xml:space="preserve">: Drug cost/patient/course </w:t>
      </w:r>
      <w:r>
        <w:rPr>
          <w:rFonts w:ascii="Arial Narrow" w:hAnsi="Arial Narrow"/>
          <w:b/>
          <w:bCs/>
          <w:sz w:val="20"/>
        </w:rPr>
        <w:t>(as per the submission</w:t>
      </w:r>
      <w:r w:rsidR="00143612">
        <w:rPr>
          <w:rFonts w:ascii="Arial Narrow" w:hAnsi="Arial Narrow"/>
          <w:b/>
          <w:bCs/>
          <w:sz w:val="20"/>
        </w:rPr>
        <w:t>s</w:t>
      </w:r>
      <w:r>
        <w:rPr>
          <w:rFonts w:ascii="Arial Narrow" w:hAnsi="Arial Narrow"/>
          <w:b/>
          <w:bCs/>
          <w:sz w:val="20"/>
        </w:rPr>
        <w:t>)</w:t>
      </w:r>
    </w:p>
    <w:tbl>
      <w:tblPr>
        <w:tblW w:w="4764"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3"/>
        <w:gridCol w:w="2695"/>
        <w:gridCol w:w="2695"/>
      </w:tblGrid>
      <w:tr w:rsidR="00852C64" w:rsidRPr="0026559A" w:rsidTr="00BF1718">
        <w:trPr>
          <w:tblHeader/>
        </w:trPr>
        <w:tc>
          <w:tcPr>
            <w:tcW w:w="1885" w:type="pct"/>
            <w:tcBorders>
              <w:top w:val="single" w:sz="4" w:space="0" w:color="auto"/>
              <w:left w:val="single" w:sz="4" w:space="0" w:color="auto"/>
              <w:right w:val="single" w:sz="4" w:space="0" w:color="auto"/>
            </w:tcBorders>
            <w:shd w:val="clear" w:color="auto" w:fill="auto"/>
            <w:vAlign w:val="center"/>
          </w:tcPr>
          <w:p w:rsidR="00852C64" w:rsidRPr="0026559A" w:rsidRDefault="00852C64" w:rsidP="00717D18">
            <w:pPr>
              <w:tabs>
                <w:tab w:val="left" w:pos="142"/>
              </w:tabs>
              <w:jc w:val="center"/>
              <w:rPr>
                <w:rFonts w:ascii="Arial Narrow" w:hAnsi="Arial Narrow"/>
                <w:b/>
                <w:bCs/>
                <w:sz w:val="20"/>
                <w:vertAlign w:val="superscript"/>
              </w:rPr>
            </w:pPr>
          </w:p>
        </w:tc>
        <w:tc>
          <w:tcPr>
            <w:tcW w:w="1557" w:type="pct"/>
            <w:tcBorders>
              <w:top w:val="single" w:sz="4" w:space="0" w:color="auto"/>
              <w:left w:val="single" w:sz="4" w:space="0" w:color="auto"/>
              <w:right w:val="single" w:sz="4" w:space="0" w:color="auto"/>
            </w:tcBorders>
            <w:vAlign w:val="center"/>
          </w:tcPr>
          <w:p w:rsidR="00852C64" w:rsidRDefault="00852C64" w:rsidP="00717D18">
            <w:pPr>
              <w:jc w:val="center"/>
              <w:rPr>
                <w:rFonts w:ascii="Arial Narrow" w:hAnsi="Arial Narrow"/>
                <w:b/>
                <w:sz w:val="20"/>
              </w:rPr>
            </w:pPr>
            <w:r>
              <w:rPr>
                <w:rFonts w:ascii="Arial Narrow" w:hAnsi="Arial Narrow"/>
                <w:b/>
                <w:sz w:val="20"/>
              </w:rPr>
              <w:t>March 2016 submission ($</w:t>
            </w:r>
            <w:r w:rsidR="00CC1076">
              <w:rPr>
                <w:rFonts w:ascii="Arial Narrow" w:hAnsi="Arial Narrow"/>
                <w:b/>
                <w:noProof/>
                <w:color w:val="000000"/>
                <w:sz w:val="20"/>
                <w:highlight w:val="black"/>
              </w:rPr>
              <w:t>''''''''''''</w:t>
            </w:r>
            <w:r>
              <w:rPr>
                <w:rFonts w:ascii="Arial Narrow" w:hAnsi="Arial Narrow"/>
                <w:b/>
                <w:sz w:val="20"/>
              </w:rPr>
              <w:t>/100mg)</w:t>
            </w:r>
          </w:p>
        </w:tc>
        <w:tc>
          <w:tcPr>
            <w:tcW w:w="1557" w:type="pct"/>
            <w:tcBorders>
              <w:top w:val="single" w:sz="4" w:space="0" w:color="auto"/>
              <w:left w:val="single" w:sz="4" w:space="0" w:color="auto"/>
              <w:right w:val="single" w:sz="4" w:space="0" w:color="auto"/>
            </w:tcBorders>
          </w:tcPr>
          <w:p w:rsidR="00852C64" w:rsidRPr="0026559A" w:rsidRDefault="00852C64" w:rsidP="00717D18">
            <w:pPr>
              <w:jc w:val="center"/>
              <w:rPr>
                <w:rFonts w:ascii="Arial Narrow" w:hAnsi="Arial Narrow"/>
                <w:b/>
                <w:sz w:val="20"/>
              </w:rPr>
            </w:pPr>
            <w:r>
              <w:rPr>
                <w:rFonts w:ascii="Arial Narrow" w:hAnsi="Arial Narrow"/>
                <w:b/>
                <w:sz w:val="20"/>
              </w:rPr>
              <w:t>Minor resubmission ($</w:t>
            </w:r>
            <w:r w:rsidR="00CC1076">
              <w:rPr>
                <w:rFonts w:ascii="Arial Narrow" w:hAnsi="Arial Narrow"/>
                <w:b/>
                <w:noProof/>
                <w:color w:val="000000"/>
                <w:sz w:val="20"/>
                <w:highlight w:val="black"/>
              </w:rPr>
              <w:t>''''''''''''''</w:t>
            </w:r>
            <w:r>
              <w:rPr>
                <w:rFonts w:ascii="Arial Narrow" w:hAnsi="Arial Narrow"/>
                <w:b/>
                <w:sz w:val="20"/>
              </w:rPr>
              <w:t>/100mg)</w:t>
            </w:r>
          </w:p>
        </w:tc>
      </w:tr>
      <w:tr w:rsidR="00852C64" w:rsidRPr="0026559A" w:rsidTr="00BF1718">
        <w:trPr>
          <w:tblHeader/>
        </w:trPr>
        <w:tc>
          <w:tcPr>
            <w:tcW w:w="1885" w:type="pct"/>
            <w:tcBorders>
              <w:left w:val="single" w:sz="4" w:space="0" w:color="auto"/>
              <w:right w:val="single" w:sz="4" w:space="0" w:color="auto"/>
            </w:tcBorders>
            <w:shd w:val="clear" w:color="auto" w:fill="auto"/>
            <w:vAlign w:val="center"/>
          </w:tcPr>
          <w:p w:rsidR="00852C64" w:rsidRPr="0050541D" w:rsidRDefault="00852C64" w:rsidP="00717D18">
            <w:pPr>
              <w:tabs>
                <w:tab w:val="left" w:pos="142"/>
              </w:tabs>
              <w:rPr>
                <w:rFonts w:ascii="Arial Narrow" w:hAnsi="Arial Narrow"/>
                <w:sz w:val="20"/>
              </w:rPr>
            </w:pPr>
            <w:r>
              <w:rPr>
                <w:rFonts w:ascii="Arial Narrow" w:hAnsi="Arial Narrow"/>
                <w:sz w:val="20"/>
              </w:rPr>
              <w:t xml:space="preserve">RM SCCHN </w:t>
            </w:r>
          </w:p>
        </w:tc>
        <w:tc>
          <w:tcPr>
            <w:tcW w:w="1557" w:type="pct"/>
            <w:tcBorders>
              <w:left w:val="single" w:sz="4" w:space="0" w:color="auto"/>
              <w:right w:val="single" w:sz="4" w:space="0" w:color="auto"/>
            </w:tcBorders>
            <w:vAlign w:val="center"/>
          </w:tcPr>
          <w:p w:rsidR="00852C64" w:rsidRDefault="00852C64" w:rsidP="00717D18">
            <w:pPr>
              <w:jc w:val="center"/>
              <w:rPr>
                <w:rFonts w:ascii="Arial Narrow" w:hAnsi="Arial Narrow"/>
                <w:bCs/>
                <w:sz w:val="20"/>
              </w:rPr>
            </w:pPr>
            <w:r>
              <w:rPr>
                <w:rFonts w:ascii="Arial Narrow" w:hAnsi="Arial Narrow"/>
                <w:bCs/>
                <w:sz w:val="20"/>
              </w:rPr>
              <w:t>-</w:t>
            </w:r>
          </w:p>
        </w:tc>
        <w:tc>
          <w:tcPr>
            <w:tcW w:w="1557" w:type="pct"/>
            <w:tcBorders>
              <w:left w:val="single" w:sz="4" w:space="0" w:color="auto"/>
              <w:right w:val="single" w:sz="4" w:space="0" w:color="auto"/>
            </w:tcBorders>
          </w:tcPr>
          <w:p w:rsidR="00852C64" w:rsidRPr="001B4FFB" w:rsidRDefault="00852C64" w:rsidP="00717D18">
            <w:pPr>
              <w:jc w:val="center"/>
              <w:rPr>
                <w:rFonts w:ascii="Arial Narrow" w:hAnsi="Arial Narrow"/>
                <w:bCs/>
                <w:sz w:val="20"/>
              </w:rPr>
            </w:pPr>
            <w:r>
              <w:rPr>
                <w:rFonts w:ascii="Arial Narrow" w:hAnsi="Arial Narrow"/>
                <w:bCs/>
                <w:sz w:val="20"/>
              </w:rPr>
              <w:t>$</w:t>
            </w:r>
            <w:r w:rsidR="00CC1076">
              <w:rPr>
                <w:rFonts w:ascii="Arial Narrow" w:hAnsi="Arial Narrow"/>
                <w:bCs/>
                <w:noProof/>
                <w:color w:val="000000"/>
                <w:sz w:val="20"/>
                <w:highlight w:val="black"/>
              </w:rPr>
              <w:t>''''''''''''''''''''''''''</w:t>
            </w:r>
            <w:r>
              <w:rPr>
                <w:rFonts w:ascii="Arial Narrow" w:hAnsi="Arial Narrow"/>
                <w:bCs/>
                <w:sz w:val="20"/>
              </w:rPr>
              <w:t xml:space="preserve"> (20.1 doses)</w:t>
            </w:r>
          </w:p>
        </w:tc>
      </w:tr>
      <w:tr w:rsidR="00852C64" w:rsidRPr="0026559A" w:rsidTr="00BF1718">
        <w:trPr>
          <w:tblHeader/>
        </w:trPr>
        <w:tc>
          <w:tcPr>
            <w:tcW w:w="1885" w:type="pct"/>
            <w:tcBorders>
              <w:left w:val="single" w:sz="4" w:space="0" w:color="auto"/>
              <w:right w:val="single" w:sz="4" w:space="0" w:color="auto"/>
            </w:tcBorders>
            <w:shd w:val="clear" w:color="auto" w:fill="auto"/>
            <w:vAlign w:val="center"/>
          </w:tcPr>
          <w:p w:rsidR="00852C64" w:rsidRPr="001B4FFB" w:rsidRDefault="00852C64" w:rsidP="00717D18">
            <w:pPr>
              <w:tabs>
                <w:tab w:val="left" w:pos="142"/>
              </w:tabs>
              <w:rPr>
                <w:rFonts w:ascii="Arial Narrow" w:hAnsi="Arial Narrow"/>
                <w:sz w:val="20"/>
              </w:rPr>
            </w:pPr>
            <w:r>
              <w:rPr>
                <w:rFonts w:ascii="Arial Narrow" w:hAnsi="Arial Narrow"/>
                <w:i/>
                <w:iCs/>
                <w:sz w:val="20"/>
              </w:rPr>
              <w:t xml:space="preserve">Post hoc </w:t>
            </w:r>
            <w:r>
              <w:rPr>
                <w:rFonts w:ascii="Arial Narrow" w:hAnsi="Arial Narrow"/>
                <w:sz w:val="20"/>
              </w:rPr>
              <w:t xml:space="preserve">subgroup (oral cavity &amp; KPS ≥80) </w:t>
            </w:r>
          </w:p>
        </w:tc>
        <w:tc>
          <w:tcPr>
            <w:tcW w:w="1557" w:type="pct"/>
            <w:tcBorders>
              <w:left w:val="single" w:sz="4" w:space="0" w:color="auto"/>
              <w:right w:val="single" w:sz="4" w:space="0" w:color="auto"/>
            </w:tcBorders>
            <w:vAlign w:val="center"/>
          </w:tcPr>
          <w:p w:rsidR="00852C64" w:rsidRDefault="00852C64" w:rsidP="00717D18">
            <w:pPr>
              <w:jc w:val="center"/>
              <w:rPr>
                <w:rFonts w:ascii="Arial Narrow" w:hAnsi="Arial Narrow"/>
                <w:bCs/>
                <w:sz w:val="20"/>
              </w:rPr>
            </w:pPr>
            <w:r w:rsidRPr="001B4FFB">
              <w:rPr>
                <w:rFonts w:ascii="Arial Narrow" w:hAnsi="Arial Narrow"/>
                <w:bCs/>
                <w:sz w:val="20"/>
              </w:rPr>
              <w:t>$</w:t>
            </w:r>
            <w:r w:rsidR="00CC1076">
              <w:rPr>
                <w:rFonts w:ascii="Arial Narrow" w:hAnsi="Arial Narrow"/>
                <w:bCs/>
                <w:noProof/>
                <w:color w:val="000000"/>
                <w:sz w:val="20"/>
                <w:highlight w:val="black"/>
              </w:rPr>
              <w:t>''''''''''''''''''''''''</w:t>
            </w:r>
            <w:r>
              <w:rPr>
                <w:rFonts w:ascii="Arial Narrow" w:hAnsi="Arial Narrow"/>
                <w:bCs/>
                <w:sz w:val="20"/>
              </w:rPr>
              <w:t xml:space="preserve"> (24.5 doses)</w:t>
            </w:r>
          </w:p>
        </w:tc>
        <w:tc>
          <w:tcPr>
            <w:tcW w:w="1557" w:type="pct"/>
            <w:tcBorders>
              <w:left w:val="single" w:sz="4" w:space="0" w:color="auto"/>
              <w:right w:val="single" w:sz="4" w:space="0" w:color="auto"/>
            </w:tcBorders>
          </w:tcPr>
          <w:p w:rsidR="00852C64" w:rsidRPr="001B4FFB" w:rsidRDefault="00852C64" w:rsidP="00717D18">
            <w:pPr>
              <w:jc w:val="center"/>
              <w:rPr>
                <w:rFonts w:ascii="Arial Narrow" w:hAnsi="Arial Narrow"/>
                <w:bCs/>
                <w:sz w:val="20"/>
              </w:rPr>
            </w:pPr>
            <w:r>
              <w:rPr>
                <w:rFonts w:ascii="Arial Narrow" w:hAnsi="Arial Narrow"/>
                <w:bCs/>
                <w:sz w:val="20"/>
              </w:rPr>
              <w:t>$</w:t>
            </w:r>
            <w:r w:rsidR="00CC1076">
              <w:rPr>
                <w:rFonts w:ascii="Arial Narrow" w:hAnsi="Arial Narrow"/>
                <w:bCs/>
                <w:noProof/>
                <w:color w:val="000000"/>
                <w:sz w:val="20"/>
                <w:highlight w:val="black"/>
              </w:rPr>
              <w:t>'''''''''''''''''''''''</w:t>
            </w:r>
            <w:r>
              <w:rPr>
                <w:rFonts w:ascii="Arial Narrow" w:hAnsi="Arial Narrow"/>
                <w:bCs/>
                <w:sz w:val="20"/>
              </w:rPr>
              <w:t xml:space="preserve"> (24.5 doses)</w:t>
            </w:r>
          </w:p>
        </w:tc>
      </w:tr>
    </w:tbl>
    <w:p w:rsidR="006608E2" w:rsidRDefault="006608E2" w:rsidP="006608E2">
      <w:pPr>
        <w:pStyle w:val="ListParagraph"/>
        <w:widowControl/>
        <w:rPr>
          <w:rFonts w:ascii="Arial Narrow" w:hAnsi="Arial Narrow"/>
          <w:i/>
          <w:iCs/>
          <w:sz w:val="18"/>
          <w:szCs w:val="18"/>
        </w:rPr>
      </w:pPr>
      <w:r>
        <w:rPr>
          <w:rFonts w:ascii="Arial Narrow" w:hAnsi="Arial Narrow"/>
          <w:sz w:val="18"/>
          <w:szCs w:val="18"/>
        </w:rPr>
        <w:t xml:space="preserve">Source: compiled during the preparation of the overview from </w:t>
      </w:r>
      <w:r w:rsidRPr="00946A29">
        <w:rPr>
          <w:rFonts w:ascii="Arial Narrow" w:hAnsi="Arial Narrow"/>
          <w:sz w:val="18"/>
          <w:szCs w:val="18"/>
        </w:rPr>
        <w:t xml:space="preserve">2 Copy of Economic evaluation.xlsx’ </w:t>
      </w:r>
      <w:r>
        <w:rPr>
          <w:rFonts w:ascii="Arial Narrow" w:hAnsi="Arial Narrow"/>
          <w:sz w:val="18"/>
          <w:szCs w:val="18"/>
        </w:rPr>
        <w:t xml:space="preserve">and </w:t>
      </w:r>
      <w:r w:rsidRPr="00296759">
        <w:rPr>
          <w:rFonts w:ascii="Arial Narrow" w:hAnsi="Arial Narrow"/>
          <w:sz w:val="18"/>
          <w:szCs w:val="18"/>
        </w:rPr>
        <w:t>‘4 Section E.xlsx’</w:t>
      </w:r>
      <w:r>
        <w:rPr>
          <w:rFonts w:ascii="Arial Narrow" w:hAnsi="Arial Narrow"/>
          <w:sz w:val="18"/>
          <w:szCs w:val="18"/>
        </w:rPr>
        <w:t>.</w:t>
      </w:r>
    </w:p>
    <w:p w:rsidR="00630746" w:rsidRPr="00293752" w:rsidRDefault="00630746" w:rsidP="00293752">
      <w:pPr>
        <w:rPr>
          <w:szCs w:val="22"/>
        </w:rPr>
      </w:pPr>
    </w:p>
    <w:p w:rsidR="00630746" w:rsidRDefault="00630746" w:rsidP="006608E2">
      <w:pPr>
        <w:rPr>
          <w:rFonts w:ascii="Arial" w:hAnsi="Arial"/>
          <w:b/>
          <w:i/>
          <w:sz w:val="22"/>
        </w:rPr>
      </w:pPr>
    </w:p>
    <w:p w:rsidR="006608E2" w:rsidRPr="00882085" w:rsidRDefault="006608E2" w:rsidP="006608E2">
      <w:pPr>
        <w:pStyle w:val="Heading2"/>
      </w:pPr>
      <w:r w:rsidRPr="00882085">
        <w:t>Estimated PBS usage &amp; financial implications</w:t>
      </w:r>
    </w:p>
    <w:p w:rsidR="006608E2" w:rsidRPr="00882085" w:rsidRDefault="006608E2" w:rsidP="006608E2">
      <w:pPr>
        <w:ind w:left="720" w:hanging="720"/>
        <w:jc w:val="both"/>
        <w:rPr>
          <w:rFonts w:ascii="Arial" w:hAnsi="Arial"/>
          <w:b/>
          <w:i/>
          <w:sz w:val="22"/>
          <w:szCs w:val="22"/>
        </w:rPr>
      </w:pPr>
    </w:p>
    <w:p w:rsidR="006608E2" w:rsidRDefault="006608E2" w:rsidP="006608E2">
      <w:pPr>
        <w:pStyle w:val="ListParagraph"/>
        <w:numPr>
          <w:ilvl w:val="1"/>
          <w:numId w:val="5"/>
        </w:numPr>
        <w:rPr>
          <w:szCs w:val="22"/>
        </w:rPr>
      </w:pPr>
      <w:r>
        <w:rPr>
          <w:szCs w:val="22"/>
        </w:rPr>
        <w:t xml:space="preserve">The changes to the assumptions used to estimate the financial impact of listing cetuximab </w:t>
      </w:r>
      <w:r w:rsidR="00B91843">
        <w:rPr>
          <w:szCs w:val="22"/>
        </w:rPr>
        <w:t xml:space="preserve">(compared to the March 2016 submission) </w:t>
      </w:r>
      <w:r>
        <w:rPr>
          <w:szCs w:val="22"/>
        </w:rPr>
        <w:t xml:space="preserve">are presented in Table </w:t>
      </w:r>
      <w:r w:rsidR="00A352AD">
        <w:rPr>
          <w:szCs w:val="22"/>
        </w:rPr>
        <w:t>8</w:t>
      </w:r>
      <w:r>
        <w:rPr>
          <w:szCs w:val="22"/>
        </w:rPr>
        <w:t>.</w:t>
      </w:r>
    </w:p>
    <w:p w:rsidR="00630746" w:rsidRDefault="00630746">
      <w:pPr>
        <w:rPr>
          <w:rFonts w:ascii="Arial Narrow" w:hAnsi="Arial Narrow"/>
          <w:b/>
          <w:bCs/>
          <w:sz w:val="20"/>
          <w:szCs w:val="20"/>
        </w:rPr>
      </w:pPr>
    </w:p>
    <w:p w:rsidR="006608E2" w:rsidRPr="006559D2" w:rsidRDefault="006608E2" w:rsidP="006608E2">
      <w:pPr>
        <w:ind w:left="709"/>
        <w:jc w:val="both"/>
        <w:rPr>
          <w:rFonts w:ascii="Arial Narrow" w:hAnsi="Arial Narrow"/>
          <w:b/>
          <w:bCs/>
          <w:sz w:val="20"/>
          <w:szCs w:val="20"/>
        </w:rPr>
      </w:pPr>
      <w:r w:rsidRPr="006559D2">
        <w:rPr>
          <w:rFonts w:ascii="Arial Narrow" w:hAnsi="Arial Narrow"/>
          <w:b/>
          <w:bCs/>
          <w:sz w:val="20"/>
          <w:szCs w:val="20"/>
        </w:rPr>
        <w:t xml:space="preserve">Table </w:t>
      </w:r>
      <w:r w:rsidR="00A352AD">
        <w:rPr>
          <w:rFonts w:ascii="Arial Narrow" w:hAnsi="Arial Narrow"/>
          <w:b/>
          <w:bCs/>
          <w:sz w:val="20"/>
          <w:szCs w:val="20"/>
        </w:rPr>
        <w:t>8</w:t>
      </w:r>
      <w:r w:rsidRPr="006559D2">
        <w:rPr>
          <w:rFonts w:ascii="Arial Narrow" w:hAnsi="Arial Narrow"/>
          <w:b/>
          <w:bCs/>
          <w:sz w:val="20"/>
          <w:szCs w:val="20"/>
        </w:rPr>
        <w:t>: Differences in assumptions between</w:t>
      </w:r>
      <w:r>
        <w:rPr>
          <w:rFonts w:ascii="Arial Narrow" w:hAnsi="Arial Narrow"/>
          <w:b/>
          <w:bCs/>
          <w:sz w:val="20"/>
          <w:szCs w:val="20"/>
        </w:rPr>
        <w:t xml:space="preserve"> the</w:t>
      </w:r>
      <w:r w:rsidRPr="006559D2">
        <w:rPr>
          <w:rFonts w:ascii="Arial Narrow" w:hAnsi="Arial Narrow"/>
          <w:b/>
          <w:bCs/>
          <w:sz w:val="20"/>
          <w:szCs w:val="20"/>
        </w:rPr>
        <w:t xml:space="preserve"> </w:t>
      </w:r>
      <w:r>
        <w:rPr>
          <w:rFonts w:ascii="Arial Narrow" w:hAnsi="Arial Narrow"/>
          <w:b/>
          <w:bCs/>
          <w:sz w:val="20"/>
          <w:szCs w:val="20"/>
        </w:rPr>
        <w:t>minor re</w:t>
      </w:r>
      <w:r w:rsidRPr="006559D2">
        <w:rPr>
          <w:rFonts w:ascii="Arial Narrow" w:hAnsi="Arial Narrow"/>
          <w:b/>
          <w:bCs/>
          <w:sz w:val="20"/>
          <w:szCs w:val="20"/>
        </w:rPr>
        <w:t xml:space="preserve">submission and </w:t>
      </w:r>
      <w:r>
        <w:rPr>
          <w:rFonts w:ascii="Arial Narrow" w:hAnsi="Arial Narrow"/>
          <w:b/>
          <w:bCs/>
          <w:sz w:val="20"/>
          <w:szCs w:val="20"/>
        </w:rPr>
        <w:t>March 2016</w:t>
      </w:r>
      <w:r w:rsidRPr="006559D2">
        <w:rPr>
          <w:rFonts w:ascii="Arial Narrow" w:hAnsi="Arial Narrow"/>
          <w:b/>
          <w:bCs/>
          <w:sz w:val="20"/>
          <w:szCs w:val="20"/>
        </w:rPr>
        <w:t xml:space="preserve"> submission for financial impact estimate</w:t>
      </w:r>
    </w:p>
    <w:tbl>
      <w:tblPr>
        <w:tblStyle w:val="TableGrid"/>
        <w:tblW w:w="8363" w:type="dxa"/>
        <w:tblInd w:w="737" w:type="dxa"/>
        <w:tblCellMar>
          <w:left w:w="28" w:type="dxa"/>
          <w:right w:w="28" w:type="dxa"/>
        </w:tblCellMar>
        <w:tblLook w:val="04A0" w:firstRow="1" w:lastRow="0" w:firstColumn="1" w:lastColumn="0" w:noHBand="0" w:noVBand="1"/>
        <w:tblCaption w:val="Differences in assumptions between the minor resubmission and March 2016 submission for financial impact estimate"/>
      </w:tblPr>
      <w:tblGrid>
        <w:gridCol w:w="2472"/>
        <w:gridCol w:w="2945"/>
        <w:gridCol w:w="2946"/>
      </w:tblGrid>
      <w:tr w:rsidR="00B91843" w:rsidRPr="006559D2" w:rsidTr="00333233">
        <w:trPr>
          <w:tblHeader/>
        </w:trPr>
        <w:tc>
          <w:tcPr>
            <w:tcW w:w="2472" w:type="dxa"/>
            <w:vAlign w:val="center"/>
          </w:tcPr>
          <w:p w:rsidR="00B91843" w:rsidRPr="006559D2" w:rsidRDefault="00B91843" w:rsidP="00717D18">
            <w:pPr>
              <w:rPr>
                <w:rFonts w:ascii="Arial Narrow" w:hAnsi="Arial Narrow"/>
                <w:b/>
                <w:bCs/>
                <w:sz w:val="20"/>
                <w:szCs w:val="20"/>
              </w:rPr>
            </w:pPr>
            <w:r w:rsidRPr="006559D2">
              <w:rPr>
                <w:rFonts w:ascii="Arial Narrow" w:hAnsi="Arial Narrow"/>
                <w:b/>
                <w:bCs/>
                <w:sz w:val="20"/>
                <w:szCs w:val="20"/>
              </w:rPr>
              <w:t>Assumption</w:t>
            </w:r>
          </w:p>
        </w:tc>
        <w:tc>
          <w:tcPr>
            <w:tcW w:w="2945" w:type="dxa"/>
            <w:vAlign w:val="center"/>
          </w:tcPr>
          <w:p w:rsidR="00B91843" w:rsidRPr="006559D2" w:rsidRDefault="00B91843" w:rsidP="00717D18">
            <w:pPr>
              <w:jc w:val="center"/>
              <w:rPr>
                <w:rFonts w:ascii="Arial Narrow" w:hAnsi="Arial Narrow"/>
                <w:b/>
                <w:bCs/>
                <w:sz w:val="20"/>
                <w:szCs w:val="20"/>
              </w:rPr>
            </w:pPr>
            <w:r w:rsidRPr="006559D2">
              <w:rPr>
                <w:rFonts w:ascii="Arial Narrow" w:hAnsi="Arial Narrow"/>
                <w:b/>
                <w:bCs/>
                <w:sz w:val="20"/>
                <w:szCs w:val="20"/>
              </w:rPr>
              <w:t>Previous submission</w:t>
            </w:r>
            <w:r>
              <w:rPr>
                <w:rFonts w:ascii="Arial Narrow" w:hAnsi="Arial Narrow"/>
                <w:b/>
                <w:bCs/>
                <w:sz w:val="20"/>
                <w:szCs w:val="20"/>
              </w:rPr>
              <w:t xml:space="preserve"> (March 2016)</w:t>
            </w:r>
          </w:p>
        </w:tc>
        <w:tc>
          <w:tcPr>
            <w:tcW w:w="2946" w:type="dxa"/>
            <w:vAlign w:val="center"/>
          </w:tcPr>
          <w:p w:rsidR="00B91843" w:rsidRPr="006559D2" w:rsidRDefault="00B91843" w:rsidP="00717D18">
            <w:pPr>
              <w:jc w:val="center"/>
              <w:rPr>
                <w:rFonts w:ascii="Arial Narrow" w:hAnsi="Arial Narrow"/>
                <w:b/>
                <w:bCs/>
                <w:sz w:val="20"/>
                <w:szCs w:val="20"/>
              </w:rPr>
            </w:pPr>
            <w:r>
              <w:rPr>
                <w:rFonts w:ascii="Arial Narrow" w:hAnsi="Arial Narrow"/>
                <w:b/>
                <w:bCs/>
                <w:sz w:val="20"/>
                <w:szCs w:val="20"/>
              </w:rPr>
              <w:t>Minor re</w:t>
            </w:r>
            <w:r w:rsidRPr="006559D2">
              <w:rPr>
                <w:rFonts w:ascii="Arial Narrow" w:hAnsi="Arial Narrow"/>
                <w:b/>
                <w:bCs/>
                <w:sz w:val="20"/>
                <w:szCs w:val="20"/>
              </w:rPr>
              <w:t>submission</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Cost per 100mg cetuximab</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2946"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Incidence of RM SCCHN</w:t>
            </w:r>
          </w:p>
        </w:tc>
        <w:tc>
          <w:tcPr>
            <w:tcW w:w="2945" w:type="dxa"/>
            <w:vAlign w:val="center"/>
          </w:tcPr>
          <w:p w:rsidR="00B91843" w:rsidRDefault="00B91843" w:rsidP="00717D18">
            <w:pPr>
              <w:jc w:val="center"/>
              <w:rPr>
                <w:rFonts w:ascii="Arial Narrow" w:hAnsi="Arial Narrow"/>
                <w:sz w:val="20"/>
                <w:szCs w:val="20"/>
              </w:rPr>
            </w:pPr>
            <w:r w:rsidRPr="006559D2">
              <w:rPr>
                <w:rFonts w:ascii="Arial Narrow" w:hAnsi="Arial Narrow"/>
                <w:sz w:val="20"/>
                <w:szCs w:val="20"/>
              </w:rPr>
              <w:t xml:space="preserve">0.0056% </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(oral cavity subgroup only)</w:t>
            </w:r>
          </w:p>
        </w:tc>
        <w:tc>
          <w:tcPr>
            <w:tcW w:w="2946" w:type="dxa"/>
            <w:vAlign w:val="center"/>
          </w:tcPr>
          <w:p w:rsidR="00B91843" w:rsidRDefault="00B91843" w:rsidP="00F44C63">
            <w:pPr>
              <w:jc w:val="center"/>
              <w:rPr>
                <w:rFonts w:ascii="Arial Narrow" w:hAnsi="Arial Narrow"/>
                <w:sz w:val="20"/>
                <w:szCs w:val="20"/>
              </w:rPr>
            </w:pPr>
            <w:r w:rsidRPr="006559D2">
              <w:rPr>
                <w:rFonts w:ascii="Arial Narrow" w:hAnsi="Arial Narrow"/>
                <w:sz w:val="20"/>
                <w:szCs w:val="20"/>
              </w:rPr>
              <w:t xml:space="preserve">0.0135% </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(ITT population of EXTREME)</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vertAlign w:val="superscript"/>
              </w:rPr>
            </w:pPr>
            <w:r w:rsidRPr="006559D2">
              <w:rPr>
                <w:rFonts w:ascii="Arial Narrow" w:hAnsi="Arial Narrow"/>
                <w:sz w:val="20"/>
                <w:szCs w:val="20"/>
              </w:rPr>
              <w:t>Number of infusions/scripts per patient</w:t>
            </w:r>
            <w:r w:rsidRPr="006559D2">
              <w:rPr>
                <w:rFonts w:ascii="Arial Narrow" w:hAnsi="Arial Narrow"/>
                <w:sz w:val="20"/>
                <w:szCs w:val="20"/>
                <w:vertAlign w:val="superscript"/>
              </w:rPr>
              <w:t>1</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24.5</w:t>
            </w:r>
          </w:p>
        </w:tc>
        <w:tc>
          <w:tcPr>
            <w:tcW w:w="2946" w:type="dxa"/>
            <w:vAlign w:val="center"/>
          </w:tcPr>
          <w:p w:rsidR="00B91843" w:rsidRDefault="00B91843" w:rsidP="00F44C63">
            <w:pPr>
              <w:jc w:val="center"/>
              <w:rPr>
                <w:rFonts w:ascii="Arial Narrow" w:hAnsi="Arial Narrow"/>
                <w:sz w:val="20"/>
                <w:szCs w:val="20"/>
              </w:rPr>
            </w:pPr>
            <w:r w:rsidRPr="006559D2">
              <w:rPr>
                <w:rFonts w:ascii="Arial Narrow" w:hAnsi="Arial Narrow"/>
                <w:sz w:val="20"/>
                <w:szCs w:val="20"/>
              </w:rPr>
              <w:t>20.1</w:t>
            </w:r>
            <w:r>
              <w:rPr>
                <w:rFonts w:ascii="Arial Narrow" w:hAnsi="Arial Narrow"/>
                <w:sz w:val="20"/>
                <w:szCs w:val="20"/>
              </w:rPr>
              <w:t xml:space="preserve"> (ITT)</w:t>
            </w:r>
          </w:p>
          <w:p w:rsidR="00B91843" w:rsidRPr="006559D2" w:rsidRDefault="00B91843" w:rsidP="00717D18">
            <w:pPr>
              <w:jc w:val="center"/>
              <w:rPr>
                <w:rFonts w:ascii="Arial Narrow" w:hAnsi="Arial Narrow"/>
                <w:sz w:val="20"/>
                <w:szCs w:val="20"/>
              </w:rPr>
            </w:pPr>
            <w:r>
              <w:rPr>
                <w:rFonts w:ascii="Arial Narrow" w:hAnsi="Arial Narrow"/>
                <w:sz w:val="20"/>
                <w:szCs w:val="20"/>
              </w:rPr>
              <w:t>24.5 (oral cavity)</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vertAlign w:val="superscript"/>
              </w:rPr>
            </w:pPr>
            <w:r w:rsidRPr="006559D2">
              <w:rPr>
                <w:rFonts w:ascii="Arial Narrow" w:hAnsi="Arial Narrow"/>
                <w:sz w:val="20"/>
                <w:szCs w:val="20"/>
              </w:rPr>
              <w:t>Cost of cetuximab per patient</w:t>
            </w:r>
            <w:r w:rsidRPr="006559D2">
              <w:rPr>
                <w:rFonts w:ascii="Arial Narrow" w:hAnsi="Arial Narrow"/>
                <w:sz w:val="20"/>
                <w:szCs w:val="20"/>
                <w:vertAlign w:val="superscript"/>
              </w:rPr>
              <w:t>2</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in year 1 and $</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from year 2 to 5</w:t>
            </w:r>
          </w:p>
        </w:tc>
        <w:tc>
          <w:tcPr>
            <w:tcW w:w="2946" w:type="dxa"/>
            <w:vAlign w:val="center"/>
          </w:tcPr>
          <w:p w:rsidR="00B91843" w:rsidRPr="006559D2" w:rsidRDefault="00B91843" w:rsidP="00F44C63">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(ITT)</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w:t>
            </w:r>
            <w:r>
              <w:rPr>
                <w:rFonts w:ascii="Arial Narrow" w:hAnsi="Arial Narrow"/>
                <w:sz w:val="20"/>
                <w:szCs w:val="20"/>
              </w:rPr>
              <w:t>o</w:t>
            </w:r>
            <w:r w:rsidRPr="006559D2">
              <w:rPr>
                <w:rFonts w:ascii="Arial Narrow" w:hAnsi="Arial Narrow"/>
                <w:sz w:val="20"/>
                <w:szCs w:val="20"/>
              </w:rPr>
              <w:t xml:space="preserve">ral </w:t>
            </w:r>
            <w:r>
              <w:rPr>
                <w:rFonts w:ascii="Arial Narrow" w:hAnsi="Arial Narrow"/>
                <w:sz w:val="20"/>
                <w:szCs w:val="20"/>
              </w:rPr>
              <w:t>c</w:t>
            </w:r>
            <w:r w:rsidRPr="006559D2">
              <w:rPr>
                <w:rFonts w:ascii="Arial Narrow" w:hAnsi="Arial Narrow"/>
                <w:sz w:val="20"/>
                <w:szCs w:val="20"/>
              </w:rPr>
              <w:t>avity)</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Incremental cost of concurrent chemotherapy per patient</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(oral cavity)</w:t>
            </w:r>
          </w:p>
        </w:tc>
        <w:tc>
          <w:tcPr>
            <w:tcW w:w="2946" w:type="dxa"/>
            <w:vAlign w:val="center"/>
          </w:tcPr>
          <w:p w:rsidR="00B91843" w:rsidRPr="006559D2" w:rsidRDefault="00B91843" w:rsidP="00F44C63">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(ITT)</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r w:rsidRPr="006559D2">
              <w:rPr>
                <w:rFonts w:ascii="Arial Narrow" w:hAnsi="Arial Narrow"/>
                <w:sz w:val="20"/>
                <w:szCs w:val="20"/>
              </w:rPr>
              <w:t xml:space="preserve"> (oral cavity)</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vertAlign w:val="superscript"/>
              </w:rPr>
            </w:pPr>
            <w:r w:rsidRPr="006559D2">
              <w:rPr>
                <w:rFonts w:ascii="Arial Narrow" w:hAnsi="Arial Narrow"/>
                <w:sz w:val="20"/>
                <w:szCs w:val="20"/>
              </w:rPr>
              <w:t>Cost of managing AE per patient</w:t>
            </w:r>
            <w:r w:rsidRPr="006559D2">
              <w:rPr>
                <w:rFonts w:ascii="Arial Narrow" w:hAnsi="Arial Narrow"/>
                <w:sz w:val="20"/>
                <w:szCs w:val="20"/>
                <w:vertAlign w:val="superscript"/>
              </w:rPr>
              <w:t>3</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$21.53</w:t>
            </w:r>
          </w:p>
        </w:tc>
        <w:tc>
          <w:tcPr>
            <w:tcW w:w="2946"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$21.53</w:t>
            </w:r>
          </w:p>
        </w:tc>
      </w:tr>
      <w:tr w:rsidR="00B91843" w:rsidRPr="006559D2" w:rsidTr="00333233">
        <w:trPr>
          <w:tblHeader/>
        </w:trPr>
        <w:tc>
          <w:tcPr>
            <w:tcW w:w="2472" w:type="dxa"/>
            <w:vAlign w:val="center"/>
          </w:tcPr>
          <w:p w:rsidR="00B91843" w:rsidRPr="006559D2" w:rsidRDefault="00B91843" w:rsidP="00717D18">
            <w:pPr>
              <w:tabs>
                <w:tab w:val="right" w:pos="2864"/>
              </w:tabs>
              <w:rPr>
                <w:rFonts w:ascii="Arial Narrow" w:hAnsi="Arial Narrow"/>
                <w:sz w:val="20"/>
                <w:szCs w:val="20"/>
              </w:rPr>
            </w:pPr>
            <w:r w:rsidRPr="006559D2">
              <w:rPr>
                <w:rFonts w:ascii="Arial Narrow" w:hAnsi="Arial Narrow"/>
                <w:sz w:val="20"/>
                <w:szCs w:val="20"/>
              </w:rPr>
              <w:t>Copayment per script</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Pr="0028405C">
              <w:rPr>
                <w:rFonts w:ascii="Arial Narrow" w:hAnsi="Arial Narrow"/>
                <w:sz w:val="20"/>
                <w:szCs w:val="20"/>
              </w:rPr>
              <w:t>18.82</w:t>
            </w:r>
          </w:p>
        </w:tc>
        <w:tc>
          <w:tcPr>
            <w:tcW w:w="2946"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w:t>
            </w:r>
            <w:r w:rsidRPr="0028405C">
              <w:rPr>
                <w:rFonts w:ascii="Arial Narrow" w:hAnsi="Arial Narrow"/>
                <w:sz w:val="20"/>
                <w:szCs w:val="20"/>
              </w:rPr>
              <w:t>18.82</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Number of administrations per patient for cetuximab</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18.38 (oral cavity)</w:t>
            </w:r>
          </w:p>
        </w:tc>
        <w:tc>
          <w:tcPr>
            <w:tcW w:w="2946" w:type="dxa"/>
            <w:vAlign w:val="center"/>
          </w:tcPr>
          <w:p w:rsidR="00B91843" w:rsidRPr="006559D2" w:rsidRDefault="00B91843" w:rsidP="00F44C63">
            <w:pPr>
              <w:jc w:val="center"/>
              <w:rPr>
                <w:rFonts w:ascii="Arial Narrow" w:hAnsi="Arial Narrow"/>
                <w:sz w:val="20"/>
                <w:szCs w:val="20"/>
              </w:rPr>
            </w:pPr>
            <w:r w:rsidRPr="006559D2">
              <w:rPr>
                <w:rFonts w:ascii="Arial Narrow" w:hAnsi="Arial Narrow"/>
                <w:sz w:val="20"/>
                <w:szCs w:val="20"/>
              </w:rPr>
              <w:t>15.08 (ITT)</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18.38 (oral cavity)</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Number of administrations per patient for chemotherapy (comparator)</w:t>
            </w:r>
          </w:p>
        </w:tc>
        <w:tc>
          <w:tcPr>
            <w:tcW w:w="2945" w:type="dxa"/>
            <w:vAlign w:val="center"/>
          </w:tcPr>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3.6 (oral cavity)</w:t>
            </w:r>
          </w:p>
        </w:tc>
        <w:tc>
          <w:tcPr>
            <w:tcW w:w="2946" w:type="dxa"/>
            <w:vAlign w:val="center"/>
          </w:tcPr>
          <w:p w:rsidR="00B91843" w:rsidRPr="006559D2" w:rsidRDefault="00B91843" w:rsidP="00F44C63">
            <w:pPr>
              <w:jc w:val="center"/>
              <w:rPr>
                <w:rFonts w:ascii="Arial Narrow" w:hAnsi="Arial Narrow"/>
                <w:sz w:val="20"/>
                <w:szCs w:val="20"/>
              </w:rPr>
            </w:pPr>
            <w:r w:rsidRPr="006559D2">
              <w:rPr>
                <w:rFonts w:ascii="Arial Narrow" w:hAnsi="Arial Narrow"/>
                <w:sz w:val="20"/>
                <w:szCs w:val="20"/>
              </w:rPr>
              <w:t>4.0 (ITT)</w:t>
            </w:r>
          </w:p>
          <w:p w:rsidR="00B91843" w:rsidRPr="006559D2" w:rsidRDefault="00B91843" w:rsidP="00717D18">
            <w:pPr>
              <w:jc w:val="center"/>
              <w:rPr>
                <w:rFonts w:ascii="Arial Narrow" w:hAnsi="Arial Narrow"/>
                <w:sz w:val="20"/>
                <w:szCs w:val="20"/>
              </w:rPr>
            </w:pPr>
            <w:r w:rsidRPr="006559D2">
              <w:rPr>
                <w:rFonts w:ascii="Arial Narrow" w:hAnsi="Arial Narrow"/>
                <w:sz w:val="20"/>
                <w:szCs w:val="20"/>
              </w:rPr>
              <w:t>3.6 (oral cavity)</w:t>
            </w:r>
          </w:p>
        </w:tc>
      </w:tr>
      <w:tr w:rsidR="00B91843" w:rsidRPr="006559D2" w:rsidTr="00333233">
        <w:trPr>
          <w:tblHeader/>
        </w:trPr>
        <w:tc>
          <w:tcPr>
            <w:tcW w:w="2472" w:type="dxa"/>
            <w:vAlign w:val="center"/>
          </w:tcPr>
          <w:p w:rsidR="00B91843" w:rsidRPr="006559D2" w:rsidRDefault="00B91843" w:rsidP="00717D18">
            <w:pPr>
              <w:rPr>
                <w:rFonts w:ascii="Arial Narrow" w:hAnsi="Arial Narrow"/>
                <w:sz w:val="20"/>
                <w:szCs w:val="20"/>
              </w:rPr>
            </w:pPr>
            <w:r w:rsidRPr="006559D2">
              <w:rPr>
                <w:rFonts w:ascii="Arial Narrow" w:hAnsi="Arial Narrow"/>
                <w:sz w:val="20"/>
                <w:szCs w:val="20"/>
              </w:rPr>
              <w:t>Cost per administration (MBS)</w:t>
            </w:r>
          </w:p>
        </w:tc>
        <w:tc>
          <w:tcPr>
            <w:tcW w:w="2945" w:type="dxa"/>
            <w:vAlign w:val="center"/>
          </w:tcPr>
          <w:p w:rsidR="00B91843" w:rsidRPr="006559D2" w:rsidRDefault="00B91843" w:rsidP="00394AAA">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2946" w:type="dxa"/>
            <w:vAlign w:val="center"/>
          </w:tcPr>
          <w:p w:rsidR="00B91843" w:rsidRPr="006559D2" w:rsidRDefault="00B91843" w:rsidP="00394AAA">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bl>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1</w:t>
      </w:r>
      <w:r w:rsidRPr="00803BAB">
        <w:rPr>
          <w:rFonts w:ascii="Arial Narrow" w:hAnsi="Arial Narrow"/>
          <w:sz w:val="18"/>
          <w:szCs w:val="20"/>
        </w:rPr>
        <w:t>Differences due to lower continuing dose assumed in the minor resubmission</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2</w:t>
      </w:r>
      <w:r w:rsidRPr="00803BAB">
        <w:rPr>
          <w:rFonts w:ascii="Arial Narrow" w:hAnsi="Arial Narrow"/>
          <w:sz w:val="18"/>
          <w:szCs w:val="20"/>
        </w:rPr>
        <w:t>Differences due to lower cost per vial and also lower number of infusions per patient</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3</w:t>
      </w:r>
      <w:r w:rsidRPr="00803BAB">
        <w:rPr>
          <w:rFonts w:ascii="Arial Narrow" w:hAnsi="Arial Narrow"/>
          <w:sz w:val="18"/>
          <w:szCs w:val="20"/>
        </w:rPr>
        <w:t xml:space="preserve">Includes treatment for rash only. Does not include management of sepsis. </w:t>
      </w:r>
    </w:p>
    <w:p w:rsidR="006608E2" w:rsidRPr="00803BAB" w:rsidRDefault="006608E2" w:rsidP="006608E2">
      <w:pPr>
        <w:pStyle w:val="ListParagraph"/>
        <w:rPr>
          <w:sz w:val="20"/>
          <w:szCs w:val="22"/>
        </w:rPr>
      </w:pPr>
      <w:r w:rsidRPr="00803BAB">
        <w:rPr>
          <w:rFonts w:ascii="Arial Narrow" w:hAnsi="Arial Narrow"/>
          <w:sz w:val="18"/>
        </w:rPr>
        <w:t>Source: Constructed during preparation of the overview</w:t>
      </w:r>
    </w:p>
    <w:p w:rsidR="006608E2" w:rsidRDefault="006608E2" w:rsidP="006608E2">
      <w:pPr>
        <w:pStyle w:val="ListParagraph"/>
        <w:rPr>
          <w:szCs w:val="22"/>
        </w:rPr>
      </w:pPr>
    </w:p>
    <w:p w:rsidR="006608E2" w:rsidRPr="00C04487" w:rsidRDefault="006608E2" w:rsidP="006608E2">
      <w:pPr>
        <w:pStyle w:val="ListParagraph"/>
        <w:numPr>
          <w:ilvl w:val="1"/>
          <w:numId w:val="5"/>
        </w:numPr>
        <w:rPr>
          <w:rFonts w:asciiTheme="minorBidi" w:hAnsiTheme="minorBidi"/>
        </w:rPr>
      </w:pPr>
      <w:r>
        <w:rPr>
          <w:rFonts w:asciiTheme="minorBidi" w:hAnsiTheme="minorBidi"/>
        </w:rPr>
        <w:t>In addition to</w:t>
      </w:r>
      <w:r w:rsidRPr="00C04487">
        <w:rPr>
          <w:rFonts w:asciiTheme="minorBidi" w:hAnsiTheme="minorBidi"/>
        </w:rPr>
        <w:t xml:space="preserve"> the </w:t>
      </w:r>
      <w:r w:rsidRPr="00B33614">
        <w:rPr>
          <w:szCs w:val="22"/>
        </w:rPr>
        <w:t>price</w:t>
      </w:r>
      <w:r w:rsidRPr="00C04487">
        <w:rPr>
          <w:rFonts w:asciiTheme="minorBidi" w:hAnsiTheme="minorBidi"/>
        </w:rPr>
        <w:t xml:space="preserve"> reduction per vial of cetuximab, the </w:t>
      </w:r>
      <w:r>
        <w:rPr>
          <w:rFonts w:asciiTheme="minorBidi" w:hAnsiTheme="minorBidi"/>
        </w:rPr>
        <w:t>minor re</w:t>
      </w:r>
      <w:r w:rsidRPr="00C04487">
        <w:rPr>
          <w:rFonts w:asciiTheme="minorBidi" w:hAnsiTheme="minorBidi"/>
        </w:rPr>
        <w:t>submission assume</w:t>
      </w:r>
      <w:r w:rsidR="00B91843">
        <w:rPr>
          <w:rFonts w:asciiTheme="minorBidi" w:hAnsiTheme="minorBidi"/>
        </w:rPr>
        <w:t>d</w:t>
      </w:r>
      <w:r>
        <w:rPr>
          <w:rFonts w:asciiTheme="minorBidi" w:hAnsiTheme="minorBidi"/>
        </w:rPr>
        <w:t xml:space="preserve"> for the ITT population</w:t>
      </w:r>
      <w:r w:rsidR="00B91843">
        <w:rPr>
          <w:rFonts w:asciiTheme="minorBidi" w:hAnsiTheme="minorBidi"/>
        </w:rPr>
        <w:t xml:space="preserve"> (compared to the oral cavity subgroup)</w:t>
      </w:r>
      <w:r w:rsidRPr="00C04487">
        <w:rPr>
          <w:rFonts w:asciiTheme="minorBidi" w:hAnsiTheme="minorBidi"/>
        </w:rPr>
        <w:t>:</w:t>
      </w:r>
    </w:p>
    <w:p w:rsidR="006608E2" w:rsidRPr="00F37FDC" w:rsidRDefault="006608E2" w:rsidP="005911C0">
      <w:pPr>
        <w:pStyle w:val="ListParagraph"/>
        <w:numPr>
          <w:ilvl w:val="0"/>
          <w:numId w:val="24"/>
        </w:numPr>
        <w:ind w:left="1134" w:hanging="425"/>
        <w:rPr>
          <w:szCs w:val="22"/>
        </w:rPr>
      </w:pPr>
      <w:r w:rsidRPr="00F37FDC">
        <w:rPr>
          <w:szCs w:val="22"/>
        </w:rPr>
        <w:t>fewer scripts per patient reflecting a shorter treatment duration;</w:t>
      </w:r>
    </w:p>
    <w:p w:rsidR="006608E2" w:rsidRPr="00F37FDC" w:rsidRDefault="006608E2" w:rsidP="005911C0">
      <w:pPr>
        <w:pStyle w:val="ListParagraph"/>
        <w:numPr>
          <w:ilvl w:val="0"/>
          <w:numId w:val="24"/>
        </w:numPr>
        <w:ind w:left="1134" w:hanging="425"/>
        <w:rPr>
          <w:szCs w:val="22"/>
        </w:rPr>
      </w:pPr>
      <w:r w:rsidRPr="00F37FDC">
        <w:rPr>
          <w:szCs w:val="22"/>
        </w:rPr>
        <w:t>a lower dose of cetuximab in the continuing phase; and</w:t>
      </w:r>
    </w:p>
    <w:p w:rsidR="006608E2" w:rsidRPr="00F37FDC" w:rsidRDefault="006608E2" w:rsidP="005911C0">
      <w:pPr>
        <w:pStyle w:val="ListParagraph"/>
        <w:numPr>
          <w:ilvl w:val="0"/>
          <w:numId w:val="24"/>
        </w:numPr>
        <w:ind w:left="1134" w:hanging="425"/>
        <w:rPr>
          <w:szCs w:val="22"/>
        </w:rPr>
      </w:pPr>
      <w:r w:rsidRPr="00F37FDC">
        <w:rPr>
          <w:szCs w:val="22"/>
        </w:rPr>
        <w:t xml:space="preserve">a lower incremental cost </w:t>
      </w:r>
      <w:r w:rsidR="00046305">
        <w:rPr>
          <w:szCs w:val="22"/>
        </w:rPr>
        <w:t>for</w:t>
      </w:r>
      <w:r w:rsidR="00046305" w:rsidRPr="00F37FDC">
        <w:rPr>
          <w:szCs w:val="22"/>
        </w:rPr>
        <w:t xml:space="preserve"> </w:t>
      </w:r>
      <w:r w:rsidRPr="00F37FDC">
        <w:rPr>
          <w:szCs w:val="22"/>
        </w:rPr>
        <w:t>concurrent chemotherapy.</w:t>
      </w:r>
    </w:p>
    <w:p w:rsidR="006608E2" w:rsidRPr="00C04487" w:rsidRDefault="006608E2" w:rsidP="006608E2">
      <w:pPr>
        <w:rPr>
          <w:rFonts w:asciiTheme="minorBidi" w:hAnsiTheme="minorBidi"/>
        </w:rPr>
      </w:pPr>
    </w:p>
    <w:p w:rsidR="006608E2" w:rsidRPr="00C04487" w:rsidRDefault="00046305" w:rsidP="006608E2">
      <w:pPr>
        <w:pStyle w:val="ListParagraph"/>
        <w:numPr>
          <w:ilvl w:val="1"/>
          <w:numId w:val="5"/>
        </w:numPr>
        <w:rPr>
          <w:rFonts w:asciiTheme="minorBidi" w:hAnsiTheme="minorBidi"/>
        </w:rPr>
      </w:pPr>
      <w:r>
        <w:rPr>
          <w:rFonts w:asciiTheme="minorBidi" w:hAnsiTheme="minorBidi"/>
        </w:rPr>
        <w:t xml:space="preserve">The impact of the </w:t>
      </w:r>
      <w:r w:rsidR="006608E2">
        <w:rPr>
          <w:rFonts w:asciiTheme="minorBidi" w:hAnsiTheme="minorBidi"/>
        </w:rPr>
        <w:t>higher</w:t>
      </w:r>
      <w:r w:rsidR="006608E2" w:rsidRPr="00C04487">
        <w:rPr>
          <w:rFonts w:asciiTheme="minorBidi" w:hAnsiTheme="minorBidi"/>
        </w:rPr>
        <w:t xml:space="preserve"> administration</w:t>
      </w:r>
      <w:r w:rsidR="006608E2">
        <w:rPr>
          <w:rFonts w:asciiTheme="minorBidi" w:hAnsiTheme="minorBidi"/>
        </w:rPr>
        <w:t xml:space="preserve"> cost</w:t>
      </w:r>
      <w:r w:rsidR="006608E2" w:rsidRPr="00C04487">
        <w:rPr>
          <w:rFonts w:asciiTheme="minorBidi" w:hAnsiTheme="minorBidi"/>
        </w:rPr>
        <w:t xml:space="preserve"> </w:t>
      </w:r>
      <w:r>
        <w:rPr>
          <w:rFonts w:asciiTheme="minorBidi" w:hAnsiTheme="minorBidi"/>
        </w:rPr>
        <w:t>was</w:t>
      </w:r>
      <w:r w:rsidRPr="00C04487">
        <w:rPr>
          <w:rFonts w:asciiTheme="minorBidi" w:hAnsiTheme="minorBidi"/>
        </w:rPr>
        <w:t xml:space="preserve"> </w:t>
      </w:r>
      <w:r w:rsidR="006608E2" w:rsidRPr="00C04487">
        <w:rPr>
          <w:rFonts w:asciiTheme="minorBidi" w:hAnsiTheme="minorBidi"/>
        </w:rPr>
        <w:t>offset by a lower number of administration</w:t>
      </w:r>
      <w:r w:rsidR="006608E2">
        <w:rPr>
          <w:rFonts w:asciiTheme="minorBidi" w:hAnsiTheme="minorBidi"/>
        </w:rPr>
        <w:t>s</w:t>
      </w:r>
      <w:r w:rsidR="006608E2" w:rsidRPr="00C04487">
        <w:rPr>
          <w:rFonts w:asciiTheme="minorBidi" w:hAnsiTheme="minorBidi"/>
        </w:rPr>
        <w:t xml:space="preserve"> assumed for patients using cetuximab and a higher number of administrations for patients using chemotherapy only compared to the </w:t>
      </w:r>
      <w:r w:rsidR="006608E2">
        <w:rPr>
          <w:rFonts w:asciiTheme="minorBidi" w:hAnsiTheme="minorBidi"/>
        </w:rPr>
        <w:t>March 2016</w:t>
      </w:r>
      <w:r w:rsidR="006608E2" w:rsidRPr="00C04487">
        <w:rPr>
          <w:rFonts w:asciiTheme="minorBidi" w:hAnsiTheme="minorBidi"/>
        </w:rPr>
        <w:t xml:space="preserve"> submission.</w:t>
      </w:r>
    </w:p>
    <w:p w:rsidR="006608E2" w:rsidRPr="00C04487" w:rsidRDefault="006608E2" w:rsidP="006608E2">
      <w:pPr>
        <w:rPr>
          <w:rFonts w:asciiTheme="minorBidi" w:hAnsiTheme="minorBidi"/>
        </w:rPr>
      </w:pPr>
    </w:p>
    <w:p w:rsidR="006608E2" w:rsidRDefault="006608E2" w:rsidP="006608E2">
      <w:pPr>
        <w:pStyle w:val="ListParagraph"/>
        <w:numPr>
          <w:ilvl w:val="1"/>
          <w:numId w:val="5"/>
        </w:numPr>
        <w:rPr>
          <w:szCs w:val="22"/>
        </w:rPr>
      </w:pPr>
      <w:r>
        <w:rPr>
          <w:szCs w:val="22"/>
        </w:rPr>
        <w:t>The minor resubmission estimated:</w:t>
      </w:r>
      <w:r w:rsidRPr="00C00DA7">
        <w:rPr>
          <w:szCs w:val="22"/>
        </w:rPr>
        <w:t xml:space="preserve"> </w:t>
      </w:r>
    </w:p>
    <w:p w:rsidR="006608E2" w:rsidRDefault="006608E2" w:rsidP="006608E2">
      <w:pPr>
        <w:pStyle w:val="ListParagraph"/>
        <w:numPr>
          <w:ilvl w:val="0"/>
          <w:numId w:val="24"/>
        </w:numPr>
        <w:ind w:left="1276" w:hanging="425"/>
        <w:rPr>
          <w:szCs w:val="22"/>
        </w:rPr>
      </w:pPr>
      <w:r w:rsidRPr="00C00DA7">
        <w:rPr>
          <w:szCs w:val="22"/>
        </w:rPr>
        <w:t xml:space="preserve">a net cost to the PBS of </w:t>
      </w:r>
      <w:r w:rsidR="000D7F35">
        <w:rPr>
          <w:szCs w:val="22"/>
        </w:rPr>
        <w:t>$10 - $20 million</w:t>
      </w:r>
      <w:r>
        <w:rPr>
          <w:szCs w:val="22"/>
        </w:rPr>
        <w:t xml:space="preserve"> </w:t>
      </w:r>
      <w:r w:rsidRPr="00C00DA7">
        <w:rPr>
          <w:szCs w:val="22"/>
        </w:rPr>
        <w:t xml:space="preserve">in Year 5 of listing, with a total net cost to the PBS of </w:t>
      </w:r>
      <w:r w:rsidR="000D7F35">
        <w:rPr>
          <w:szCs w:val="22"/>
        </w:rPr>
        <w:t>$30 - $60 million</w:t>
      </w:r>
      <w:r w:rsidRPr="00C00DA7">
        <w:rPr>
          <w:szCs w:val="22"/>
        </w:rPr>
        <w:t xml:space="preserve"> over the first 5 years of listing</w:t>
      </w:r>
      <w:r>
        <w:rPr>
          <w:szCs w:val="22"/>
        </w:rPr>
        <w:t xml:space="preserve"> for the ITT population (Table </w:t>
      </w:r>
      <w:r w:rsidR="00A352AD">
        <w:rPr>
          <w:szCs w:val="22"/>
        </w:rPr>
        <w:t>9</w:t>
      </w:r>
      <w:r>
        <w:rPr>
          <w:szCs w:val="22"/>
        </w:rPr>
        <w:t xml:space="preserve">); and </w:t>
      </w:r>
    </w:p>
    <w:p w:rsidR="006608E2" w:rsidRDefault="006608E2" w:rsidP="006608E2">
      <w:pPr>
        <w:pStyle w:val="ListParagraph"/>
        <w:numPr>
          <w:ilvl w:val="0"/>
          <w:numId w:val="24"/>
        </w:numPr>
        <w:ind w:left="1276" w:hanging="425"/>
        <w:rPr>
          <w:szCs w:val="22"/>
        </w:rPr>
      </w:pPr>
      <w:r w:rsidRPr="00C00DA7">
        <w:rPr>
          <w:szCs w:val="22"/>
        </w:rPr>
        <w:t xml:space="preserve">a net cost to the PBS of </w:t>
      </w:r>
      <w:r w:rsidR="000D7F35">
        <w:rPr>
          <w:szCs w:val="22"/>
        </w:rPr>
        <w:t>$10 - $20 million</w:t>
      </w:r>
      <w:r>
        <w:rPr>
          <w:szCs w:val="22"/>
        </w:rPr>
        <w:t xml:space="preserve"> </w:t>
      </w:r>
      <w:r w:rsidRPr="00C00DA7">
        <w:rPr>
          <w:szCs w:val="22"/>
        </w:rPr>
        <w:t xml:space="preserve">in Year 5 of listing, with a total net cost to the PBS of </w:t>
      </w:r>
      <w:r w:rsidR="000D7F35">
        <w:rPr>
          <w:szCs w:val="22"/>
        </w:rPr>
        <w:t>$30 - $60 million</w:t>
      </w:r>
      <w:r w:rsidRPr="00C00DA7">
        <w:rPr>
          <w:szCs w:val="22"/>
        </w:rPr>
        <w:t xml:space="preserve"> over the first 5 years of listing</w:t>
      </w:r>
      <w:r>
        <w:rPr>
          <w:szCs w:val="22"/>
        </w:rPr>
        <w:t xml:space="preserve"> for the oral cavity subgroup (Table </w:t>
      </w:r>
      <w:r w:rsidR="00A352AD">
        <w:rPr>
          <w:szCs w:val="22"/>
        </w:rPr>
        <w:t>10</w:t>
      </w:r>
      <w:r>
        <w:rPr>
          <w:szCs w:val="22"/>
        </w:rPr>
        <w:t>)</w:t>
      </w:r>
      <w:r w:rsidRPr="00C00DA7">
        <w:rPr>
          <w:szCs w:val="22"/>
        </w:rPr>
        <w:t>.</w:t>
      </w:r>
    </w:p>
    <w:p w:rsidR="006608E2" w:rsidRPr="00B33614" w:rsidRDefault="006608E2" w:rsidP="006608E2">
      <w:pPr>
        <w:pStyle w:val="ListParagraph"/>
        <w:rPr>
          <w:szCs w:val="22"/>
        </w:rPr>
      </w:pPr>
    </w:p>
    <w:p w:rsidR="006608E2" w:rsidRPr="006559D2" w:rsidRDefault="006608E2" w:rsidP="006608E2">
      <w:pPr>
        <w:ind w:firstLine="709"/>
        <w:rPr>
          <w:rFonts w:ascii="Arial Narrow" w:hAnsi="Arial Narrow"/>
          <w:b/>
          <w:bCs/>
          <w:sz w:val="20"/>
          <w:szCs w:val="20"/>
        </w:rPr>
      </w:pPr>
      <w:r w:rsidRPr="006559D2">
        <w:rPr>
          <w:rFonts w:ascii="Arial Narrow" w:hAnsi="Arial Narrow"/>
          <w:b/>
          <w:bCs/>
          <w:sz w:val="20"/>
          <w:szCs w:val="20"/>
        </w:rPr>
        <w:t xml:space="preserve">Table </w:t>
      </w:r>
      <w:r w:rsidR="00A352AD">
        <w:rPr>
          <w:rFonts w:ascii="Arial Narrow" w:hAnsi="Arial Narrow"/>
          <w:b/>
          <w:bCs/>
          <w:sz w:val="20"/>
          <w:szCs w:val="20"/>
        </w:rPr>
        <w:t>9</w:t>
      </w:r>
      <w:r>
        <w:rPr>
          <w:rFonts w:ascii="Arial Narrow" w:hAnsi="Arial Narrow"/>
          <w:b/>
          <w:bCs/>
          <w:sz w:val="20"/>
          <w:szCs w:val="20"/>
        </w:rPr>
        <w:t>:</w:t>
      </w:r>
      <w:r w:rsidRPr="006559D2">
        <w:rPr>
          <w:rFonts w:ascii="Arial Narrow" w:hAnsi="Arial Narrow"/>
          <w:b/>
          <w:bCs/>
          <w:sz w:val="20"/>
          <w:szCs w:val="20"/>
        </w:rPr>
        <w:t xml:space="preserve"> Financial impact estimates </w:t>
      </w:r>
      <w:r>
        <w:rPr>
          <w:rFonts w:ascii="Arial Narrow" w:hAnsi="Arial Narrow"/>
          <w:b/>
          <w:bCs/>
          <w:sz w:val="20"/>
          <w:szCs w:val="20"/>
        </w:rPr>
        <w:t>for RM SCCHN (</w:t>
      </w:r>
      <w:r w:rsidRPr="006559D2">
        <w:rPr>
          <w:rFonts w:ascii="Arial Narrow" w:hAnsi="Arial Narrow"/>
          <w:b/>
          <w:bCs/>
          <w:sz w:val="20"/>
          <w:szCs w:val="20"/>
        </w:rPr>
        <w:t>ITT population in EXTREME</w:t>
      </w:r>
      <w:r>
        <w:rPr>
          <w:rFonts w:ascii="Arial Narrow" w:hAnsi="Arial Narrow"/>
          <w:b/>
          <w:bCs/>
          <w:sz w:val="20"/>
          <w:szCs w:val="20"/>
        </w:rPr>
        <w:t>)</w:t>
      </w:r>
      <w:r w:rsidRPr="006559D2">
        <w:rPr>
          <w:rFonts w:ascii="Arial Narrow" w:hAnsi="Arial Narrow"/>
          <w:b/>
          <w:bCs/>
          <w:sz w:val="20"/>
          <w:szCs w:val="20"/>
        </w:rPr>
        <w:t xml:space="preserve"> </w:t>
      </w:r>
    </w:p>
    <w:tbl>
      <w:tblPr>
        <w:tblStyle w:val="TableGrid"/>
        <w:tblW w:w="0" w:type="auto"/>
        <w:tblInd w:w="737" w:type="dxa"/>
        <w:tblLayout w:type="fixed"/>
        <w:tblCellMar>
          <w:left w:w="28" w:type="dxa"/>
          <w:right w:w="28" w:type="dxa"/>
        </w:tblCellMar>
        <w:tblLook w:val="04A0" w:firstRow="1" w:lastRow="0" w:firstColumn="1" w:lastColumn="0" w:noHBand="0" w:noVBand="1"/>
        <w:tblCaption w:val="Financial impact estimates for RM SCCHN (ITT population in EXTREME) "/>
      </w:tblPr>
      <w:tblGrid>
        <w:gridCol w:w="2410"/>
        <w:gridCol w:w="1187"/>
        <w:gridCol w:w="1187"/>
        <w:gridCol w:w="1187"/>
        <w:gridCol w:w="1187"/>
        <w:gridCol w:w="1187"/>
      </w:tblGrid>
      <w:tr w:rsidR="006608E2" w:rsidRPr="006559D2" w:rsidTr="00333233">
        <w:trPr>
          <w:tblHeader/>
        </w:trPr>
        <w:tc>
          <w:tcPr>
            <w:tcW w:w="2410" w:type="dxa"/>
          </w:tcPr>
          <w:p w:rsidR="006608E2" w:rsidRPr="006559D2" w:rsidRDefault="006608E2" w:rsidP="00717D18">
            <w:pPr>
              <w:rPr>
                <w:rFonts w:ascii="Arial Narrow" w:hAnsi="Arial Narrow"/>
                <w:b/>
                <w:sz w:val="20"/>
                <w:szCs w:val="20"/>
              </w:rPr>
            </w:pP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1</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2</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3</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4</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5</w:t>
            </w:r>
          </w:p>
        </w:tc>
      </w:tr>
      <w:tr w:rsidR="006608E2" w:rsidRPr="006559D2" w:rsidTr="00333233">
        <w:trPr>
          <w:tblHeader/>
        </w:trPr>
        <w:tc>
          <w:tcPr>
            <w:tcW w:w="8345" w:type="dxa"/>
            <w:gridSpan w:val="6"/>
            <w:shd w:val="clear" w:color="auto" w:fill="D9D9D9" w:themeFill="background1" w:themeFillShade="D9"/>
          </w:tcPr>
          <w:p w:rsidR="006608E2" w:rsidRPr="006559D2" w:rsidRDefault="006608E2" w:rsidP="00717D18">
            <w:pPr>
              <w:rPr>
                <w:rFonts w:ascii="Arial Narrow" w:hAnsi="Arial Narrow"/>
                <w:b/>
                <w:sz w:val="20"/>
                <w:szCs w:val="20"/>
              </w:rPr>
            </w:pPr>
            <w:r>
              <w:rPr>
                <w:rFonts w:ascii="Arial Narrow" w:hAnsi="Arial Narrow"/>
                <w:b/>
                <w:sz w:val="20"/>
                <w:szCs w:val="20"/>
              </w:rPr>
              <w:t xml:space="preserve">Minor </w:t>
            </w:r>
            <w:r w:rsidRPr="006559D2">
              <w:rPr>
                <w:rFonts w:ascii="Arial Narrow" w:hAnsi="Arial Narrow"/>
                <w:b/>
                <w:sz w:val="20"/>
                <w:szCs w:val="20"/>
              </w:rPr>
              <w:t>submission estimates</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Uptake rate</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Number treated (ITT)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Number of infusion/script (20.1pp)</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Cost of cetuximab</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Incremental cost of CT</w:t>
            </w:r>
            <w:r w:rsidRPr="006559D2">
              <w:rPr>
                <w:rFonts w:ascii="Arial Narrow" w:hAnsi="Arial Narrow"/>
                <w:sz w:val="20"/>
                <w:szCs w:val="20"/>
                <w:vertAlign w:val="superscript"/>
              </w:rPr>
              <w:t>1</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Cost of managing AE</w:t>
            </w:r>
            <w:r w:rsidRPr="006559D2">
              <w:rPr>
                <w:rFonts w:ascii="Arial Narrow" w:hAnsi="Arial Narrow"/>
                <w:sz w:val="20"/>
                <w:szCs w:val="20"/>
                <w:vertAlign w:val="superscript"/>
              </w:rPr>
              <w:t>2</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Patient copayment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b/>
                <w:sz w:val="20"/>
                <w:szCs w:val="20"/>
                <w:vertAlign w:val="superscript"/>
              </w:rPr>
            </w:pPr>
            <w:r w:rsidRPr="006559D2">
              <w:rPr>
                <w:rFonts w:ascii="Arial Narrow" w:hAnsi="Arial Narrow"/>
                <w:b/>
                <w:sz w:val="20"/>
                <w:szCs w:val="20"/>
              </w:rPr>
              <w:t>Net cost to PBS</w:t>
            </w:r>
            <w:r w:rsidRPr="006559D2">
              <w:rPr>
                <w:rFonts w:ascii="Arial Narrow" w:hAnsi="Arial Narrow"/>
                <w:b/>
                <w:sz w:val="20"/>
                <w:szCs w:val="20"/>
                <w:vertAlign w:val="superscript"/>
              </w:rPr>
              <w:t>3</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Administration costs for cetuximab</w:t>
            </w:r>
            <w:r w:rsidRPr="006559D2">
              <w:rPr>
                <w:rFonts w:ascii="Arial Narrow" w:hAnsi="Arial Narrow"/>
                <w:sz w:val="20"/>
                <w:szCs w:val="20"/>
                <w:vertAlign w:val="superscript"/>
              </w:rPr>
              <w:t>4</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Administration costs for CT (comparator)</w:t>
            </w:r>
            <w:r w:rsidRPr="006559D2">
              <w:rPr>
                <w:rFonts w:ascii="Arial Narrow" w:hAnsi="Arial Narrow"/>
                <w:sz w:val="20"/>
                <w:szCs w:val="20"/>
                <w:vertAlign w:val="superscript"/>
              </w:rPr>
              <w:t>5</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b/>
                <w:sz w:val="20"/>
                <w:szCs w:val="20"/>
              </w:rPr>
            </w:pPr>
            <w:r w:rsidRPr="006559D2">
              <w:rPr>
                <w:rFonts w:ascii="Arial Narrow" w:hAnsi="Arial Narrow"/>
                <w:b/>
                <w:sz w:val="20"/>
                <w:szCs w:val="20"/>
              </w:rPr>
              <w:t>Net cost to MBS</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2410" w:type="dxa"/>
          </w:tcPr>
          <w:p w:rsidR="006608E2" w:rsidRPr="006559D2" w:rsidRDefault="006608E2" w:rsidP="00717D18">
            <w:pPr>
              <w:rPr>
                <w:rFonts w:ascii="Arial Narrow" w:hAnsi="Arial Narrow"/>
                <w:b/>
                <w:sz w:val="20"/>
                <w:szCs w:val="20"/>
                <w:vertAlign w:val="superscript"/>
              </w:rPr>
            </w:pPr>
            <w:r w:rsidRPr="006559D2">
              <w:rPr>
                <w:rFonts w:ascii="Arial Narrow" w:hAnsi="Arial Narrow"/>
                <w:b/>
                <w:sz w:val="20"/>
                <w:szCs w:val="20"/>
              </w:rPr>
              <w:t>Net cost to Government</w:t>
            </w:r>
            <w:r w:rsidRPr="006559D2">
              <w:rPr>
                <w:rFonts w:ascii="Arial Narrow" w:hAnsi="Arial Narrow"/>
                <w:b/>
                <w:sz w:val="20"/>
                <w:szCs w:val="20"/>
                <w:vertAlign w:val="superscript"/>
              </w:rPr>
              <w:t>6</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8345" w:type="dxa"/>
            <w:gridSpan w:val="6"/>
            <w:shd w:val="clear" w:color="auto" w:fill="D9D9D9" w:themeFill="background1" w:themeFillShade="D9"/>
          </w:tcPr>
          <w:p w:rsidR="006608E2" w:rsidRPr="006559D2" w:rsidRDefault="006608E2" w:rsidP="00717D18">
            <w:pPr>
              <w:rPr>
                <w:rFonts w:ascii="Arial Narrow" w:hAnsi="Arial Narrow"/>
                <w:b/>
                <w:sz w:val="20"/>
                <w:szCs w:val="20"/>
              </w:rPr>
            </w:pPr>
            <w:r w:rsidRPr="006559D2">
              <w:rPr>
                <w:rFonts w:ascii="Arial Narrow" w:hAnsi="Arial Narrow"/>
                <w:b/>
                <w:sz w:val="20"/>
                <w:szCs w:val="20"/>
              </w:rPr>
              <w:t>Previous submission estimates</w:t>
            </w:r>
            <w:r>
              <w:rPr>
                <w:rFonts w:ascii="Arial Narrow" w:hAnsi="Arial Narrow"/>
                <w:b/>
                <w:sz w:val="20"/>
                <w:szCs w:val="20"/>
              </w:rPr>
              <w:t xml:space="preserve"> (oral cavity only)</w:t>
            </w:r>
          </w:p>
        </w:tc>
      </w:tr>
      <w:tr w:rsidR="006608E2" w:rsidRPr="006559D2" w:rsidTr="00333233">
        <w:trPr>
          <w:tblHeader/>
        </w:trPr>
        <w:tc>
          <w:tcPr>
            <w:tcW w:w="2410" w:type="dxa"/>
          </w:tcPr>
          <w:p w:rsidR="006608E2" w:rsidRPr="006559D2" w:rsidRDefault="006608E2" w:rsidP="00717D18">
            <w:pPr>
              <w:rPr>
                <w:rFonts w:ascii="Arial Narrow" w:hAnsi="Arial Narrow"/>
                <w:sz w:val="20"/>
                <w:szCs w:val="20"/>
              </w:rPr>
            </w:pPr>
            <w:r w:rsidRPr="006559D2">
              <w:rPr>
                <w:rFonts w:ascii="Arial Narrow" w:hAnsi="Arial Narrow"/>
                <w:sz w:val="20"/>
                <w:szCs w:val="20"/>
              </w:rPr>
              <w:t xml:space="preserve">Number </w:t>
            </w:r>
            <w:r>
              <w:rPr>
                <w:rFonts w:ascii="Arial Narrow" w:hAnsi="Arial Narrow"/>
                <w:sz w:val="20"/>
                <w:szCs w:val="20"/>
              </w:rPr>
              <w:t>treated</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tcPr>
          <w:p w:rsidR="00B91843" w:rsidRDefault="006608E2" w:rsidP="00717D18">
            <w:pPr>
              <w:rPr>
                <w:rFonts w:ascii="Arial Narrow" w:hAnsi="Arial Narrow"/>
                <w:sz w:val="20"/>
                <w:szCs w:val="20"/>
              </w:rPr>
            </w:pPr>
            <w:r w:rsidRPr="006559D2">
              <w:rPr>
                <w:rFonts w:ascii="Arial Narrow" w:hAnsi="Arial Narrow"/>
                <w:sz w:val="20"/>
                <w:szCs w:val="20"/>
              </w:rPr>
              <w:t xml:space="preserve">Number of infusion/script </w:t>
            </w:r>
          </w:p>
          <w:p w:rsidR="006608E2" w:rsidRPr="006559D2" w:rsidRDefault="006608E2" w:rsidP="00717D18">
            <w:pPr>
              <w:rPr>
                <w:rFonts w:ascii="Arial Narrow" w:hAnsi="Arial Narrow"/>
                <w:sz w:val="20"/>
                <w:szCs w:val="20"/>
              </w:rPr>
            </w:pPr>
            <w:r w:rsidRPr="006559D2">
              <w:rPr>
                <w:rFonts w:ascii="Arial Narrow" w:hAnsi="Arial Narrow"/>
                <w:sz w:val="20"/>
                <w:szCs w:val="20"/>
              </w:rPr>
              <w:t>(24.5 pp)</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F1718" w:rsidRPr="006559D2" w:rsidTr="00333233">
        <w:trPr>
          <w:tblHeader/>
        </w:trPr>
        <w:tc>
          <w:tcPr>
            <w:tcW w:w="2410" w:type="dxa"/>
            <w:vAlign w:val="center"/>
          </w:tcPr>
          <w:p w:rsidR="00BF1718" w:rsidRPr="006559D2" w:rsidRDefault="00BF1718" w:rsidP="00BF1718">
            <w:pPr>
              <w:rPr>
                <w:rFonts w:ascii="Arial Narrow" w:hAnsi="Arial Narrow"/>
                <w:sz w:val="20"/>
                <w:szCs w:val="20"/>
              </w:rPr>
            </w:pPr>
            <w:r w:rsidRPr="009B6D47">
              <w:rPr>
                <w:rFonts w:ascii="Arial Narrow" w:hAnsi="Arial Narrow"/>
                <w:b/>
                <w:sz w:val="20"/>
                <w:szCs w:val="20"/>
              </w:rPr>
              <w:t>Net cost to the PBS</w:t>
            </w:r>
            <w:r>
              <w:rPr>
                <w:rFonts w:ascii="Arial Narrow" w:hAnsi="Arial Narrow"/>
                <w:b/>
                <w:sz w:val="20"/>
                <w:szCs w:val="20"/>
              </w:rPr>
              <w:t xml:space="preserve"> as per previous submission</w:t>
            </w:r>
          </w:p>
        </w:tc>
        <w:tc>
          <w:tcPr>
            <w:tcW w:w="1187" w:type="dxa"/>
          </w:tcPr>
          <w:p w:rsidR="00BF1718" w:rsidRPr="006559D2" w:rsidRDefault="00BF1718" w:rsidP="00717D18">
            <w:pPr>
              <w:jc w:val="center"/>
              <w:rPr>
                <w:rFonts w:ascii="Arial Narrow" w:hAnsi="Arial Narrow"/>
                <w:sz w:val="20"/>
                <w:szCs w:val="20"/>
              </w:rPr>
            </w:pPr>
            <w:r w:rsidRPr="007E2805">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tcPr>
          <w:p w:rsidR="00BF1718" w:rsidRPr="006559D2" w:rsidRDefault="00BF1718" w:rsidP="00717D18">
            <w:pPr>
              <w:jc w:val="center"/>
              <w:rPr>
                <w:rFonts w:ascii="Arial Narrow" w:hAnsi="Arial Narrow"/>
                <w:sz w:val="20"/>
                <w:szCs w:val="20"/>
              </w:rPr>
            </w:pPr>
            <w:r w:rsidRPr="007E2805">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tcPr>
          <w:p w:rsidR="00BF1718" w:rsidRPr="006559D2" w:rsidRDefault="00BF1718" w:rsidP="00717D18">
            <w:pPr>
              <w:jc w:val="center"/>
              <w:rPr>
                <w:rFonts w:ascii="Arial Narrow" w:hAnsi="Arial Narrow"/>
                <w:sz w:val="20"/>
                <w:szCs w:val="20"/>
              </w:rPr>
            </w:pPr>
            <w:r w:rsidRPr="007E2805">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tcPr>
          <w:p w:rsidR="00BF1718" w:rsidRPr="006559D2" w:rsidRDefault="00BF1718" w:rsidP="00717D18">
            <w:pPr>
              <w:jc w:val="center"/>
              <w:rPr>
                <w:rFonts w:ascii="Arial Narrow" w:hAnsi="Arial Narrow"/>
                <w:sz w:val="20"/>
                <w:szCs w:val="20"/>
              </w:rPr>
            </w:pPr>
            <w:r w:rsidRPr="007E2805">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tcPr>
          <w:p w:rsidR="00BF1718" w:rsidRPr="006559D2" w:rsidRDefault="00BF1718" w:rsidP="00717D18">
            <w:pPr>
              <w:jc w:val="center"/>
              <w:rPr>
                <w:rFonts w:ascii="Arial Narrow" w:hAnsi="Arial Narrow"/>
                <w:sz w:val="20"/>
                <w:szCs w:val="20"/>
              </w:rPr>
            </w:pPr>
            <w:r w:rsidRPr="007E2805">
              <w:rPr>
                <w:rFonts w:ascii="Arial Narrow" w:hAnsi="Arial Narrow"/>
                <w:b/>
                <w:sz w:val="20"/>
                <w:szCs w:val="20"/>
              </w:rPr>
              <w:t>$</w:t>
            </w:r>
            <w:r w:rsidR="00CC1076">
              <w:rPr>
                <w:rFonts w:ascii="Arial Narrow" w:hAnsi="Arial Narrow"/>
                <w:b/>
                <w:noProof/>
                <w:color w:val="000000"/>
                <w:sz w:val="20"/>
                <w:szCs w:val="20"/>
                <w:highlight w:val="black"/>
              </w:rPr>
              <w:t>''''''''''''''''''''''</w:t>
            </w:r>
          </w:p>
        </w:tc>
      </w:tr>
      <w:tr w:rsidR="00BF1718" w:rsidRPr="006559D2" w:rsidTr="00333233">
        <w:trPr>
          <w:tblHeader/>
        </w:trPr>
        <w:tc>
          <w:tcPr>
            <w:tcW w:w="2410" w:type="dxa"/>
          </w:tcPr>
          <w:p w:rsidR="00BF1718" w:rsidRPr="006559D2" w:rsidRDefault="00BF1718" w:rsidP="00717D18">
            <w:pPr>
              <w:rPr>
                <w:rFonts w:ascii="Arial Narrow" w:hAnsi="Arial Narrow"/>
                <w:b/>
                <w:sz w:val="20"/>
                <w:szCs w:val="20"/>
                <w:vertAlign w:val="superscript"/>
              </w:rPr>
            </w:pPr>
            <w:r w:rsidRPr="006559D2">
              <w:rPr>
                <w:rFonts w:ascii="Arial Narrow" w:hAnsi="Arial Narrow"/>
                <w:b/>
                <w:sz w:val="20"/>
                <w:szCs w:val="20"/>
              </w:rPr>
              <w:t>Net cost to Government as presented in previous submission</w:t>
            </w:r>
            <w:r w:rsidRPr="006559D2">
              <w:rPr>
                <w:rFonts w:ascii="Arial Narrow" w:hAnsi="Arial Narrow"/>
                <w:b/>
                <w:sz w:val="20"/>
                <w:szCs w:val="20"/>
                <w:vertAlign w:val="superscript"/>
              </w:rPr>
              <w:t>7</w:t>
            </w:r>
          </w:p>
        </w:tc>
        <w:tc>
          <w:tcPr>
            <w:tcW w:w="1187" w:type="dxa"/>
            <w:vAlign w:val="center"/>
          </w:tcPr>
          <w:p w:rsidR="00BF1718" w:rsidRPr="006559D2" w:rsidRDefault="00BF1718"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BF1718" w:rsidRPr="006559D2" w:rsidRDefault="00BF1718"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BF1718" w:rsidRPr="006559D2" w:rsidRDefault="00BF1718"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BF1718" w:rsidRPr="006559D2" w:rsidRDefault="00BF1718"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BF1718" w:rsidRPr="006559D2" w:rsidRDefault="00BF1718"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bl>
    <w:p w:rsidR="006608E2" w:rsidRPr="00803BAB" w:rsidRDefault="006608E2" w:rsidP="006608E2">
      <w:pPr>
        <w:ind w:firstLine="709"/>
        <w:rPr>
          <w:rFonts w:ascii="Arial Narrow" w:hAnsi="Arial Narrow"/>
          <w:sz w:val="18"/>
          <w:szCs w:val="20"/>
        </w:rPr>
      </w:pPr>
      <w:r w:rsidRPr="00803BAB">
        <w:rPr>
          <w:rFonts w:ascii="Arial Narrow" w:hAnsi="Arial Narrow"/>
          <w:sz w:val="18"/>
          <w:szCs w:val="20"/>
        </w:rPr>
        <w:t>CT = Chemotherapy, PP = per patient, AE = Adverse Events</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1</w:t>
      </w:r>
      <w:r w:rsidRPr="00803BAB">
        <w:rPr>
          <w:rFonts w:ascii="Arial Narrow" w:hAnsi="Arial Narrow"/>
          <w:sz w:val="18"/>
          <w:szCs w:val="20"/>
        </w:rPr>
        <w:t>The difference in the cost of chemotherapy treatment when used with cetuximab versus chemotherapy alone</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2</w:t>
      </w:r>
      <w:r w:rsidRPr="00803BAB">
        <w:rPr>
          <w:rFonts w:ascii="Arial Narrow" w:hAnsi="Arial Narrow"/>
          <w:sz w:val="18"/>
          <w:szCs w:val="20"/>
        </w:rPr>
        <w:t>Calcualted as DPMQ of drugs to treat adverse events minus the copayment for these drugs</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3</w:t>
      </w:r>
      <w:r w:rsidRPr="00803BAB">
        <w:rPr>
          <w:rFonts w:ascii="Arial Narrow" w:hAnsi="Arial Narrow"/>
          <w:sz w:val="18"/>
          <w:szCs w:val="20"/>
        </w:rPr>
        <w:t>Calculated as cost of cetuximab +incremental cost of CT + cost of managing AE minus patient copayment</w:t>
      </w:r>
    </w:p>
    <w:p w:rsidR="006608E2" w:rsidRPr="00803BAB" w:rsidRDefault="006608E2" w:rsidP="006608E2">
      <w:pPr>
        <w:ind w:firstLine="709"/>
        <w:rPr>
          <w:rFonts w:ascii="Arial Narrow" w:hAnsi="Arial Narrow"/>
          <w:sz w:val="18"/>
          <w:szCs w:val="20"/>
          <w:lang w:val="fr-FR"/>
        </w:rPr>
      </w:pPr>
      <w:r w:rsidRPr="00803BAB">
        <w:rPr>
          <w:rFonts w:ascii="Arial Narrow" w:hAnsi="Arial Narrow"/>
          <w:sz w:val="18"/>
          <w:szCs w:val="20"/>
          <w:vertAlign w:val="superscript"/>
          <w:lang w:val="fr-FR"/>
        </w:rPr>
        <w:t>4</w:t>
      </w:r>
      <w:r w:rsidRPr="00803BAB">
        <w:rPr>
          <w:rFonts w:ascii="Arial Narrow" w:hAnsi="Arial Narrow"/>
          <w:sz w:val="18"/>
          <w:szCs w:val="20"/>
          <w:lang w:val="fr-FR"/>
        </w:rPr>
        <w:t>Assumes $</w:t>
      </w:r>
      <w:r w:rsidR="00CC1076">
        <w:rPr>
          <w:rFonts w:ascii="Arial Narrow" w:hAnsi="Arial Narrow"/>
          <w:noProof/>
          <w:color w:val="000000"/>
          <w:sz w:val="18"/>
          <w:szCs w:val="20"/>
          <w:highlight w:val="black"/>
          <w:lang w:val="fr-FR"/>
        </w:rPr>
        <w:t>'''''''''''''''''''''</w:t>
      </w:r>
      <w:r w:rsidRPr="00803BAB">
        <w:rPr>
          <w:rFonts w:ascii="Arial Narrow" w:hAnsi="Arial Narrow"/>
          <w:sz w:val="18"/>
          <w:szCs w:val="20"/>
          <w:lang w:val="fr-FR"/>
        </w:rPr>
        <w:t xml:space="preserve"> per patient</w:t>
      </w:r>
    </w:p>
    <w:p w:rsidR="006608E2" w:rsidRPr="00803BAB" w:rsidRDefault="006608E2" w:rsidP="006608E2">
      <w:pPr>
        <w:ind w:firstLine="709"/>
        <w:rPr>
          <w:rFonts w:ascii="Arial Narrow" w:hAnsi="Arial Narrow"/>
          <w:sz w:val="18"/>
          <w:szCs w:val="20"/>
          <w:lang w:val="fr-FR"/>
        </w:rPr>
      </w:pPr>
      <w:r w:rsidRPr="00803BAB">
        <w:rPr>
          <w:rFonts w:ascii="Arial Narrow" w:hAnsi="Arial Narrow"/>
          <w:sz w:val="18"/>
          <w:szCs w:val="20"/>
          <w:vertAlign w:val="superscript"/>
          <w:lang w:val="fr-FR"/>
        </w:rPr>
        <w:t>5</w:t>
      </w:r>
      <w:r w:rsidRPr="00803BAB">
        <w:rPr>
          <w:rFonts w:ascii="Arial Narrow" w:hAnsi="Arial Narrow"/>
          <w:sz w:val="18"/>
          <w:szCs w:val="20"/>
          <w:lang w:val="fr-FR"/>
        </w:rPr>
        <w:t>Assumes $</w:t>
      </w:r>
      <w:r w:rsidR="00CC1076">
        <w:rPr>
          <w:rFonts w:ascii="Arial Narrow" w:hAnsi="Arial Narrow"/>
          <w:noProof/>
          <w:color w:val="000000"/>
          <w:sz w:val="18"/>
          <w:szCs w:val="20"/>
          <w:highlight w:val="black"/>
          <w:lang w:val="fr-FR"/>
        </w:rPr>
        <w:t>''''''''''''''''''''''</w:t>
      </w:r>
      <w:r w:rsidRPr="00803BAB">
        <w:rPr>
          <w:rFonts w:ascii="Arial Narrow" w:hAnsi="Arial Narrow"/>
          <w:sz w:val="18"/>
          <w:szCs w:val="20"/>
          <w:lang w:val="fr-FR"/>
        </w:rPr>
        <w:t xml:space="preserve"> per patient</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6</w:t>
      </w:r>
      <w:r w:rsidRPr="00803BAB">
        <w:rPr>
          <w:rFonts w:ascii="Arial Narrow" w:hAnsi="Arial Narrow"/>
          <w:sz w:val="18"/>
          <w:szCs w:val="20"/>
        </w:rPr>
        <w:t>Sum of cost to PBS and cost to MBS</w:t>
      </w:r>
    </w:p>
    <w:p w:rsidR="006608E2" w:rsidRPr="00803BAB" w:rsidRDefault="006608E2" w:rsidP="006608E2">
      <w:pPr>
        <w:ind w:firstLine="709"/>
        <w:rPr>
          <w:rFonts w:ascii="Arial Narrow" w:hAnsi="Arial Narrow"/>
          <w:sz w:val="18"/>
          <w:szCs w:val="20"/>
        </w:rPr>
      </w:pPr>
      <w:r w:rsidRPr="00803BAB">
        <w:rPr>
          <w:rFonts w:ascii="Arial Narrow" w:hAnsi="Arial Narrow"/>
          <w:sz w:val="18"/>
          <w:szCs w:val="20"/>
          <w:vertAlign w:val="superscript"/>
        </w:rPr>
        <w:t>7</w:t>
      </w:r>
      <w:r w:rsidRPr="00803BAB">
        <w:rPr>
          <w:rFonts w:ascii="Arial Narrow" w:hAnsi="Arial Narrow"/>
          <w:sz w:val="18"/>
          <w:szCs w:val="20"/>
        </w:rPr>
        <w:t xml:space="preserve">Oral cavity patients only. </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rPr>
        <w:t xml:space="preserve">Source: Table 11, p19 March 2016 PBAC </w:t>
      </w:r>
      <w:r w:rsidR="001724CD">
        <w:rPr>
          <w:rFonts w:ascii="Arial Narrow" w:hAnsi="Arial Narrow"/>
          <w:sz w:val="18"/>
          <w:szCs w:val="20"/>
        </w:rPr>
        <w:t>PSD</w:t>
      </w:r>
      <w:r w:rsidRPr="00803BAB">
        <w:rPr>
          <w:rFonts w:ascii="Arial Narrow" w:hAnsi="Arial Narrow"/>
          <w:sz w:val="18"/>
          <w:szCs w:val="20"/>
        </w:rPr>
        <w:t xml:space="preserve"> for cetuximab, Table 8 and 9, p35 of the minor submission, 3 Section E ITT population_November 2016 Resubmission.xls </w:t>
      </w:r>
    </w:p>
    <w:p w:rsidR="006608E2" w:rsidRDefault="006608E2" w:rsidP="006608E2">
      <w:pPr>
        <w:pStyle w:val="ListParagraph"/>
        <w:rPr>
          <w:szCs w:val="22"/>
        </w:rPr>
      </w:pPr>
    </w:p>
    <w:p w:rsidR="006608E2" w:rsidRPr="00606087" w:rsidRDefault="006608E2" w:rsidP="006608E2">
      <w:pPr>
        <w:pStyle w:val="ListParagraph"/>
        <w:numPr>
          <w:ilvl w:val="1"/>
          <w:numId w:val="5"/>
        </w:numPr>
        <w:rPr>
          <w:szCs w:val="22"/>
        </w:rPr>
      </w:pPr>
      <w:r w:rsidRPr="00474AF6">
        <w:rPr>
          <w:rFonts w:asciiTheme="minorBidi" w:hAnsiTheme="minorBidi"/>
        </w:rPr>
        <w:t>The financial estimates presented in the minor re</w:t>
      </w:r>
      <w:r w:rsidR="00060B7E" w:rsidRPr="00474AF6">
        <w:rPr>
          <w:rFonts w:asciiTheme="minorBidi" w:hAnsiTheme="minorBidi"/>
        </w:rPr>
        <w:t>submission we</w:t>
      </w:r>
      <w:r w:rsidRPr="00474AF6">
        <w:rPr>
          <w:rFonts w:asciiTheme="minorBidi" w:hAnsiTheme="minorBidi"/>
        </w:rPr>
        <w:t xml:space="preserve">re arithmetically accurate. </w:t>
      </w:r>
      <w:r w:rsidRPr="00474AF6">
        <w:rPr>
          <w:iCs/>
          <w:szCs w:val="22"/>
        </w:rPr>
        <w:t>The</w:t>
      </w:r>
      <w:r w:rsidRPr="00474AF6">
        <w:rPr>
          <w:rFonts w:asciiTheme="minorBidi" w:hAnsiTheme="minorBidi"/>
          <w:iCs/>
        </w:rPr>
        <w:t xml:space="preserve"> </w:t>
      </w:r>
      <w:r w:rsidR="00060B7E" w:rsidRPr="00474AF6">
        <w:rPr>
          <w:rFonts w:asciiTheme="minorBidi" w:hAnsiTheme="minorBidi"/>
        </w:rPr>
        <w:t>increase</w:t>
      </w:r>
      <w:r w:rsidR="00046305">
        <w:rPr>
          <w:rFonts w:asciiTheme="minorBidi" w:hAnsiTheme="minorBidi"/>
        </w:rPr>
        <w:t xml:space="preserve"> in expenditure compared with the March 2016 submission</w:t>
      </w:r>
      <w:r w:rsidR="00060B7E" w:rsidRPr="00474AF6">
        <w:rPr>
          <w:rFonts w:asciiTheme="minorBidi" w:hAnsiTheme="minorBidi"/>
        </w:rPr>
        <w:t xml:space="preserve"> wa</w:t>
      </w:r>
      <w:r w:rsidRPr="00474AF6">
        <w:rPr>
          <w:rFonts w:asciiTheme="minorBidi" w:hAnsiTheme="minorBidi"/>
        </w:rPr>
        <w:t xml:space="preserve">s </w:t>
      </w:r>
      <w:r w:rsidR="00046305">
        <w:rPr>
          <w:rFonts w:asciiTheme="minorBidi" w:hAnsiTheme="minorBidi"/>
        </w:rPr>
        <w:t>due to</w:t>
      </w:r>
      <w:r w:rsidRPr="00474AF6">
        <w:rPr>
          <w:rFonts w:asciiTheme="minorBidi" w:hAnsiTheme="minorBidi"/>
        </w:rPr>
        <w:t xml:space="preserve"> a larger population (ITT vs oral cavity only) and higher administration costs, but </w:t>
      </w:r>
      <w:r w:rsidR="00046305">
        <w:rPr>
          <w:rFonts w:asciiTheme="minorBidi" w:hAnsiTheme="minorBidi"/>
        </w:rPr>
        <w:t xml:space="preserve">the increase was </w:t>
      </w:r>
      <w:r w:rsidR="00B13770">
        <w:rPr>
          <w:rFonts w:asciiTheme="minorBidi" w:hAnsiTheme="minorBidi"/>
        </w:rPr>
        <w:t xml:space="preserve">partly </w:t>
      </w:r>
      <w:r w:rsidR="00046305">
        <w:rPr>
          <w:rFonts w:asciiTheme="minorBidi" w:hAnsiTheme="minorBidi"/>
        </w:rPr>
        <w:t xml:space="preserve">countered </w:t>
      </w:r>
      <w:r w:rsidR="00B13770">
        <w:rPr>
          <w:rFonts w:asciiTheme="minorBidi" w:hAnsiTheme="minorBidi"/>
        </w:rPr>
        <w:t xml:space="preserve">due to a </w:t>
      </w:r>
      <w:r w:rsidRPr="00474AF6">
        <w:rPr>
          <w:rFonts w:asciiTheme="minorBidi" w:hAnsiTheme="minorBidi"/>
        </w:rPr>
        <w:t xml:space="preserve">lower continuing dose, fewer administrations for cetuximab, </w:t>
      </w:r>
      <w:r w:rsidR="00B13770">
        <w:rPr>
          <w:rFonts w:asciiTheme="minorBidi" w:hAnsiTheme="minorBidi"/>
        </w:rPr>
        <w:t xml:space="preserve">and </w:t>
      </w:r>
      <w:r w:rsidRPr="00474AF6">
        <w:rPr>
          <w:rFonts w:asciiTheme="minorBidi" w:hAnsiTheme="minorBidi"/>
        </w:rPr>
        <w:t>higher dose and more administrations for comparator.</w:t>
      </w:r>
    </w:p>
    <w:p w:rsidR="006608E2" w:rsidRDefault="006608E2" w:rsidP="006608E2">
      <w:pPr>
        <w:jc w:val="both"/>
        <w:rPr>
          <w:rFonts w:ascii="Arial" w:hAnsi="Arial"/>
          <w:sz w:val="22"/>
          <w:szCs w:val="22"/>
        </w:rPr>
      </w:pPr>
    </w:p>
    <w:p w:rsidR="006608E2" w:rsidRPr="00C04487" w:rsidRDefault="006608E2" w:rsidP="006F4577">
      <w:pPr>
        <w:ind w:firstLine="720"/>
        <w:rPr>
          <w:rFonts w:asciiTheme="minorBidi" w:hAnsiTheme="minorBidi"/>
        </w:rPr>
      </w:pPr>
      <w:r w:rsidRPr="00D517EF">
        <w:rPr>
          <w:rFonts w:ascii="Arial Narrow" w:hAnsi="Arial Narrow"/>
          <w:b/>
          <w:bCs/>
          <w:sz w:val="20"/>
          <w:szCs w:val="20"/>
        </w:rPr>
        <w:lastRenderedPageBreak/>
        <w:t xml:space="preserve">Table </w:t>
      </w:r>
      <w:r w:rsidR="00A352AD">
        <w:rPr>
          <w:rFonts w:ascii="Arial Narrow" w:hAnsi="Arial Narrow"/>
          <w:b/>
          <w:bCs/>
          <w:sz w:val="20"/>
          <w:szCs w:val="20"/>
        </w:rPr>
        <w:t>10</w:t>
      </w:r>
      <w:r>
        <w:rPr>
          <w:rFonts w:ascii="Arial Narrow" w:hAnsi="Arial Narrow"/>
          <w:b/>
          <w:bCs/>
          <w:sz w:val="20"/>
          <w:szCs w:val="20"/>
        </w:rPr>
        <w:t>:</w:t>
      </w:r>
      <w:r w:rsidRPr="00D517EF">
        <w:rPr>
          <w:rFonts w:ascii="Arial Narrow" w:hAnsi="Arial Narrow"/>
          <w:b/>
          <w:bCs/>
          <w:sz w:val="20"/>
          <w:szCs w:val="20"/>
        </w:rPr>
        <w:t xml:space="preserve"> Financial impact estimates </w:t>
      </w:r>
      <w:r>
        <w:rPr>
          <w:rFonts w:ascii="Arial Narrow" w:hAnsi="Arial Narrow"/>
          <w:b/>
          <w:bCs/>
          <w:sz w:val="20"/>
          <w:szCs w:val="20"/>
        </w:rPr>
        <w:t xml:space="preserve">for oral cavity only </w:t>
      </w:r>
    </w:p>
    <w:tbl>
      <w:tblPr>
        <w:tblStyle w:val="TableGrid"/>
        <w:tblW w:w="0" w:type="auto"/>
        <w:tblInd w:w="737" w:type="dxa"/>
        <w:tblCellMar>
          <w:left w:w="28" w:type="dxa"/>
          <w:right w:w="28" w:type="dxa"/>
        </w:tblCellMar>
        <w:tblLook w:val="04A0" w:firstRow="1" w:lastRow="0" w:firstColumn="1" w:lastColumn="0" w:noHBand="0" w:noVBand="1"/>
        <w:tblCaption w:val="Financial impact estimates for oral cavity only "/>
      </w:tblPr>
      <w:tblGrid>
        <w:gridCol w:w="2410"/>
        <w:gridCol w:w="1187"/>
        <w:gridCol w:w="1187"/>
        <w:gridCol w:w="1187"/>
        <w:gridCol w:w="1187"/>
        <w:gridCol w:w="1187"/>
      </w:tblGrid>
      <w:tr w:rsidR="006608E2" w:rsidRPr="006559D2" w:rsidTr="00333233">
        <w:trPr>
          <w:tblHeader/>
        </w:trPr>
        <w:tc>
          <w:tcPr>
            <w:tcW w:w="2410" w:type="dxa"/>
            <w:vAlign w:val="center"/>
          </w:tcPr>
          <w:p w:rsidR="006608E2" w:rsidRPr="006559D2" w:rsidRDefault="006608E2" w:rsidP="00717D18">
            <w:pPr>
              <w:rPr>
                <w:rFonts w:ascii="Arial Narrow" w:hAnsi="Arial Narrow"/>
                <w:b/>
                <w:sz w:val="20"/>
                <w:szCs w:val="20"/>
              </w:rPr>
            </w:pP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1</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2</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3</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4</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Year 5</w:t>
            </w:r>
          </w:p>
        </w:tc>
      </w:tr>
      <w:tr w:rsidR="006608E2" w:rsidRPr="006559D2" w:rsidTr="00333233">
        <w:trPr>
          <w:tblHeader/>
        </w:trPr>
        <w:tc>
          <w:tcPr>
            <w:tcW w:w="8345" w:type="dxa"/>
            <w:gridSpan w:val="6"/>
            <w:shd w:val="clear" w:color="auto" w:fill="D9D9D9" w:themeFill="background1" w:themeFillShade="D9"/>
            <w:vAlign w:val="center"/>
          </w:tcPr>
          <w:p w:rsidR="006608E2" w:rsidRPr="006559D2" w:rsidRDefault="006608E2" w:rsidP="00717D18">
            <w:pPr>
              <w:rPr>
                <w:rFonts w:ascii="Arial Narrow" w:hAnsi="Arial Narrow"/>
                <w:b/>
                <w:sz w:val="20"/>
                <w:szCs w:val="20"/>
              </w:rPr>
            </w:pPr>
            <w:r>
              <w:rPr>
                <w:rFonts w:ascii="Arial Narrow" w:hAnsi="Arial Narrow"/>
                <w:b/>
                <w:sz w:val="20"/>
                <w:szCs w:val="20"/>
              </w:rPr>
              <w:t xml:space="preserve">Minor </w:t>
            </w:r>
            <w:r w:rsidRPr="006559D2">
              <w:rPr>
                <w:rFonts w:ascii="Arial Narrow" w:hAnsi="Arial Narrow"/>
                <w:b/>
                <w:sz w:val="20"/>
                <w:szCs w:val="20"/>
              </w:rPr>
              <w:t>submission estimates</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Uptake rate</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c>
          <w:tcPr>
            <w:tcW w:w="1187" w:type="dxa"/>
            <w:vAlign w:val="center"/>
          </w:tcPr>
          <w:p w:rsidR="006608E2" w:rsidRPr="006559D2" w:rsidRDefault="00CC1076" w:rsidP="00717D18">
            <w:pPr>
              <w:jc w:val="center"/>
              <w:rPr>
                <w:rFonts w:ascii="Arial Narrow" w:hAnsi="Arial Narrow"/>
                <w:sz w:val="20"/>
                <w:szCs w:val="20"/>
              </w:rPr>
            </w:pPr>
            <w:r>
              <w:rPr>
                <w:rFonts w:ascii="Arial Narrow" w:hAnsi="Arial Narrow"/>
                <w:noProof/>
                <w:color w:val="000000"/>
                <w:sz w:val="20"/>
                <w:szCs w:val="20"/>
                <w:highlight w:val="black"/>
              </w:rPr>
              <w:t>''''''</w:t>
            </w:r>
            <w:r w:rsidR="006608E2" w:rsidRPr="006559D2">
              <w:rPr>
                <w:rFonts w:ascii="Arial Narrow" w:hAnsi="Arial Narrow"/>
                <w:sz w:val="20"/>
                <w:szCs w:val="20"/>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Number treated (ITT)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Number of infusion/script (24.5pp)</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Cost of cetuximab</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Incremental cost of CT</w:t>
            </w:r>
            <w:r w:rsidRPr="006559D2">
              <w:rPr>
                <w:rFonts w:ascii="Arial Narrow" w:hAnsi="Arial Narrow"/>
                <w:sz w:val="20"/>
                <w:szCs w:val="20"/>
                <w:vertAlign w:val="superscript"/>
              </w:rPr>
              <w:t>1</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Cost of managing AE</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Patient copayment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b/>
                <w:sz w:val="20"/>
                <w:szCs w:val="20"/>
                <w:vertAlign w:val="superscript"/>
              </w:rPr>
            </w:pPr>
            <w:r w:rsidRPr="006559D2">
              <w:rPr>
                <w:rFonts w:ascii="Arial Narrow" w:hAnsi="Arial Narrow"/>
                <w:b/>
                <w:sz w:val="20"/>
                <w:szCs w:val="20"/>
              </w:rPr>
              <w:t>Net cost to PBS</w:t>
            </w:r>
            <w:r w:rsidRPr="006559D2">
              <w:rPr>
                <w:rFonts w:ascii="Arial Narrow" w:hAnsi="Arial Narrow"/>
                <w:b/>
                <w:sz w:val="20"/>
                <w:szCs w:val="20"/>
                <w:vertAlign w:val="superscript"/>
              </w:rPr>
              <w:t>3</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Administration costs for cetuximab</w:t>
            </w:r>
            <w:r w:rsidRPr="006559D2">
              <w:rPr>
                <w:rFonts w:ascii="Arial Narrow" w:hAnsi="Arial Narrow"/>
                <w:sz w:val="20"/>
                <w:szCs w:val="20"/>
                <w:vertAlign w:val="superscript"/>
              </w:rPr>
              <w:t>4</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vertAlign w:val="superscript"/>
              </w:rPr>
            </w:pPr>
            <w:r w:rsidRPr="006559D2">
              <w:rPr>
                <w:rFonts w:ascii="Arial Narrow" w:hAnsi="Arial Narrow"/>
                <w:sz w:val="20"/>
                <w:szCs w:val="20"/>
              </w:rPr>
              <w:t>Administration costs for CT (comparator)</w:t>
            </w:r>
            <w:r w:rsidRPr="006559D2">
              <w:rPr>
                <w:rFonts w:ascii="Arial Narrow" w:hAnsi="Arial Narrow"/>
                <w:sz w:val="20"/>
                <w:szCs w:val="20"/>
                <w:vertAlign w:val="superscript"/>
              </w:rPr>
              <w:t>5</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sz w:val="20"/>
                <w:szCs w:val="20"/>
              </w:rPr>
            </w:pPr>
            <w:r w:rsidRPr="006559D2">
              <w:rPr>
                <w:rFonts w:ascii="Arial Narrow" w:hAnsi="Arial Narrow"/>
                <w:sz w:val="20"/>
                <w:szCs w:val="20"/>
              </w:rPr>
              <w:t>$</w:t>
            </w:r>
            <w:r w:rsidR="00CC1076">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b/>
                <w:sz w:val="20"/>
                <w:szCs w:val="20"/>
              </w:rPr>
            </w:pPr>
            <w:r w:rsidRPr="006559D2">
              <w:rPr>
                <w:rFonts w:ascii="Arial Narrow" w:hAnsi="Arial Narrow"/>
                <w:b/>
                <w:sz w:val="20"/>
                <w:szCs w:val="20"/>
              </w:rPr>
              <w:t>Net cost to MBS</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b/>
                <w:sz w:val="20"/>
                <w:szCs w:val="20"/>
                <w:vertAlign w:val="superscript"/>
              </w:rPr>
            </w:pPr>
            <w:r w:rsidRPr="006559D2">
              <w:rPr>
                <w:rFonts w:ascii="Arial Narrow" w:hAnsi="Arial Narrow"/>
                <w:b/>
                <w:sz w:val="20"/>
                <w:szCs w:val="20"/>
              </w:rPr>
              <w:t>Net cost to Government</w:t>
            </w:r>
            <w:r w:rsidRPr="006559D2">
              <w:rPr>
                <w:rFonts w:ascii="Arial Narrow" w:hAnsi="Arial Narrow"/>
                <w:b/>
                <w:sz w:val="20"/>
                <w:szCs w:val="20"/>
                <w:vertAlign w:val="superscript"/>
              </w:rPr>
              <w:t>6</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r w:rsidR="006608E2" w:rsidRPr="006559D2" w:rsidTr="00333233">
        <w:trPr>
          <w:tblHeader/>
        </w:trPr>
        <w:tc>
          <w:tcPr>
            <w:tcW w:w="8345" w:type="dxa"/>
            <w:gridSpan w:val="6"/>
            <w:shd w:val="clear" w:color="auto" w:fill="D9D9D9" w:themeFill="background1" w:themeFillShade="D9"/>
            <w:vAlign w:val="center"/>
          </w:tcPr>
          <w:p w:rsidR="006608E2" w:rsidRPr="006559D2" w:rsidRDefault="006608E2" w:rsidP="00717D18">
            <w:pPr>
              <w:rPr>
                <w:rFonts w:ascii="Arial Narrow" w:hAnsi="Arial Narrow"/>
                <w:b/>
                <w:sz w:val="20"/>
                <w:szCs w:val="20"/>
              </w:rPr>
            </w:pPr>
            <w:r w:rsidRPr="006559D2">
              <w:rPr>
                <w:rFonts w:ascii="Arial Narrow" w:hAnsi="Arial Narrow"/>
                <w:b/>
                <w:sz w:val="20"/>
                <w:szCs w:val="20"/>
              </w:rPr>
              <w:t>Previous submission estimates</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Number treated (oral cavity only)</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sz w:val="20"/>
                <w:szCs w:val="20"/>
              </w:rPr>
            </w:pPr>
            <w:r w:rsidRPr="006559D2">
              <w:rPr>
                <w:rFonts w:ascii="Arial Narrow" w:hAnsi="Arial Narrow"/>
                <w:sz w:val="20"/>
                <w:szCs w:val="20"/>
              </w:rPr>
              <w:t>Number of infusion/script (24.5 pp)</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87" w:type="dxa"/>
            <w:vAlign w:val="center"/>
          </w:tcPr>
          <w:p w:rsidR="006608E2" w:rsidRPr="00CC1076" w:rsidRDefault="00CC1076" w:rsidP="00717D18">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608E2" w:rsidRPr="006559D2" w:rsidTr="00333233">
        <w:trPr>
          <w:tblHeader/>
        </w:trPr>
        <w:tc>
          <w:tcPr>
            <w:tcW w:w="2410" w:type="dxa"/>
            <w:vAlign w:val="center"/>
          </w:tcPr>
          <w:p w:rsidR="006608E2" w:rsidRPr="006559D2" w:rsidRDefault="006608E2" w:rsidP="00717D18">
            <w:pPr>
              <w:rPr>
                <w:rFonts w:ascii="Arial Narrow" w:hAnsi="Arial Narrow"/>
                <w:b/>
                <w:sz w:val="20"/>
                <w:szCs w:val="20"/>
                <w:vertAlign w:val="superscript"/>
              </w:rPr>
            </w:pPr>
            <w:r w:rsidRPr="006559D2">
              <w:rPr>
                <w:rFonts w:ascii="Arial Narrow" w:hAnsi="Arial Narrow"/>
                <w:b/>
                <w:sz w:val="20"/>
                <w:szCs w:val="20"/>
              </w:rPr>
              <w:t>Net cost to Government as presented in previous submission</w:t>
            </w:r>
            <w:r w:rsidRPr="006559D2">
              <w:rPr>
                <w:rFonts w:ascii="Arial Narrow" w:hAnsi="Arial Narrow"/>
                <w:b/>
                <w:sz w:val="20"/>
                <w:szCs w:val="20"/>
                <w:vertAlign w:val="superscript"/>
              </w:rPr>
              <w:t>7</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c>
          <w:tcPr>
            <w:tcW w:w="1187" w:type="dxa"/>
            <w:vAlign w:val="center"/>
          </w:tcPr>
          <w:p w:rsidR="006608E2" w:rsidRPr="006559D2" w:rsidRDefault="006608E2" w:rsidP="00717D18">
            <w:pPr>
              <w:jc w:val="center"/>
              <w:rPr>
                <w:rFonts w:ascii="Arial Narrow" w:hAnsi="Arial Narrow"/>
                <w:b/>
                <w:sz w:val="20"/>
                <w:szCs w:val="20"/>
              </w:rPr>
            </w:pPr>
            <w:r w:rsidRPr="006559D2">
              <w:rPr>
                <w:rFonts w:ascii="Arial Narrow" w:hAnsi="Arial Narrow"/>
                <w:b/>
                <w:sz w:val="20"/>
                <w:szCs w:val="20"/>
              </w:rPr>
              <w:t>$</w:t>
            </w:r>
            <w:r w:rsidR="00CC1076">
              <w:rPr>
                <w:rFonts w:ascii="Arial Narrow" w:hAnsi="Arial Narrow"/>
                <w:b/>
                <w:noProof/>
                <w:color w:val="000000"/>
                <w:sz w:val="20"/>
                <w:szCs w:val="20"/>
                <w:highlight w:val="black"/>
              </w:rPr>
              <w:t>'''''''''''''''''''''''</w:t>
            </w:r>
          </w:p>
        </w:tc>
      </w:tr>
    </w:tbl>
    <w:p w:rsidR="006608E2" w:rsidRPr="00803BAB" w:rsidRDefault="006608E2" w:rsidP="006608E2">
      <w:pPr>
        <w:ind w:left="709"/>
        <w:rPr>
          <w:rFonts w:ascii="Arial Narrow" w:hAnsi="Arial Narrow"/>
          <w:sz w:val="18"/>
          <w:szCs w:val="20"/>
        </w:rPr>
      </w:pPr>
      <w:r w:rsidRPr="00803BAB">
        <w:rPr>
          <w:rFonts w:ascii="Arial Narrow" w:hAnsi="Arial Narrow"/>
          <w:sz w:val="18"/>
          <w:szCs w:val="20"/>
        </w:rPr>
        <w:t>CT = Chemotherapy, PP = per patient</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vertAlign w:val="superscript"/>
        </w:rPr>
        <w:t>1</w:t>
      </w:r>
      <w:r w:rsidRPr="00803BAB">
        <w:rPr>
          <w:rFonts w:ascii="Arial Narrow" w:hAnsi="Arial Narrow"/>
          <w:sz w:val="18"/>
          <w:szCs w:val="20"/>
        </w:rPr>
        <w:t>The difference in the cost of chemotherapy treatment when used with cetuximab versus chemotherapy alone</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vertAlign w:val="superscript"/>
        </w:rPr>
        <w:t>2</w:t>
      </w:r>
      <w:r w:rsidRPr="00803BAB">
        <w:rPr>
          <w:rFonts w:ascii="Arial Narrow" w:hAnsi="Arial Narrow"/>
          <w:sz w:val="18"/>
          <w:szCs w:val="20"/>
        </w:rPr>
        <w:t>Calcualted as DPMQ of drugs to treat adverse events minus the copayment for these drugs</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vertAlign w:val="superscript"/>
        </w:rPr>
        <w:t>3</w:t>
      </w:r>
      <w:r w:rsidRPr="00803BAB">
        <w:rPr>
          <w:rFonts w:ascii="Arial Narrow" w:hAnsi="Arial Narrow"/>
          <w:sz w:val="18"/>
          <w:szCs w:val="20"/>
        </w:rPr>
        <w:t>Calculated as cost of cetuximab + incremental cost of CT + Cost of managing AE minus patient copayment</w:t>
      </w:r>
    </w:p>
    <w:p w:rsidR="006608E2" w:rsidRPr="00803BAB" w:rsidRDefault="006608E2" w:rsidP="006608E2">
      <w:pPr>
        <w:ind w:left="709"/>
        <w:rPr>
          <w:rFonts w:ascii="Arial Narrow" w:hAnsi="Arial Narrow"/>
          <w:sz w:val="18"/>
          <w:szCs w:val="20"/>
          <w:lang w:val="fr-FR"/>
        </w:rPr>
      </w:pPr>
      <w:r w:rsidRPr="00803BAB">
        <w:rPr>
          <w:rFonts w:ascii="Arial Narrow" w:hAnsi="Arial Narrow"/>
          <w:sz w:val="18"/>
          <w:szCs w:val="20"/>
          <w:vertAlign w:val="superscript"/>
          <w:lang w:val="fr-FR"/>
        </w:rPr>
        <w:t>4</w:t>
      </w:r>
      <w:r w:rsidRPr="00803BAB">
        <w:rPr>
          <w:rFonts w:ascii="Arial Narrow" w:hAnsi="Arial Narrow"/>
          <w:sz w:val="18"/>
          <w:szCs w:val="20"/>
          <w:lang w:val="fr-FR"/>
        </w:rPr>
        <w:t>Assumes $</w:t>
      </w:r>
      <w:r w:rsidR="00CC1076">
        <w:rPr>
          <w:rFonts w:ascii="Arial Narrow" w:hAnsi="Arial Narrow"/>
          <w:noProof/>
          <w:color w:val="000000"/>
          <w:sz w:val="18"/>
          <w:szCs w:val="20"/>
          <w:highlight w:val="black"/>
          <w:lang w:val="fr-FR"/>
        </w:rPr>
        <w:t>''''''''''''''''''''''</w:t>
      </w:r>
      <w:r w:rsidRPr="00803BAB">
        <w:rPr>
          <w:rFonts w:ascii="Arial Narrow" w:hAnsi="Arial Narrow"/>
          <w:sz w:val="18"/>
          <w:szCs w:val="20"/>
          <w:lang w:val="fr-FR"/>
        </w:rPr>
        <w:t xml:space="preserve"> per patient</w:t>
      </w:r>
    </w:p>
    <w:p w:rsidR="006608E2" w:rsidRPr="00803BAB" w:rsidRDefault="006608E2" w:rsidP="006608E2">
      <w:pPr>
        <w:ind w:left="709"/>
        <w:rPr>
          <w:rFonts w:ascii="Arial Narrow" w:hAnsi="Arial Narrow"/>
          <w:sz w:val="18"/>
          <w:szCs w:val="20"/>
          <w:lang w:val="fr-FR"/>
        </w:rPr>
      </w:pPr>
      <w:r w:rsidRPr="00803BAB">
        <w:rPr>
          <w:rFonts w:ascii="Arial Narrow" w:hAnsi="Arial Narrow"/>
          <w:sz w:val="18"/>
          <w:szCs w:val="20"/>
          <w:vertAlign w:val="superscript"/>
          <w:lang w:val="fr-FR"/>
        </w:rPr>
        <w:t>5</w:t>
      </w:r>
      <w:r w:rsidRPr="00803BAB">
        <w:rPr>
          <w:rFonts w:ascii="Arial Narrow" w:hAnsi="Arial Narrow"/>
          <w:sz w:val="18"/>
          <w:szCs w:val="20"/>
          <w:lang w:val="fr-FR"/>
        </w:rPr>
        <w:t>Assumes $</w:t>
      </w:r>
      <w:r w:rsidR="00CC1076">
        <w:rPr>
          <w:rFonts w:ascii="Arial Narrow" w:hAnsi="Arial Narrow"/>
          <w:noProof/>
          <w:color w:val="000000"/>
          <w:sz w:val="18"/>
          <w:szCs w:val="20"/>
          <w:highlight w:val="black"/>
          <w:lang w:val="fr-FR"/>
        </w:rPr>
        <w:t>''''''''''''''''''''</w:t>
      </w:r>
      <w:r w:rsidR="0068128B">
        <w:rPr>
          <w:rFonts w:ascii="Arial Narrow" w:hAnsi="Arial Narrow"/>
          <w:sz w:val="18"/>
          <w:szCs w:val="20"/>
          <w:lang w:val="fr-FR"/>
        </w:rPr>
        <w:t xml:space="preserve"> </w:t>
      </w:r>
      <w:r w:rsidRPr="00803BAB">
        <w:rPr>
          <w:rFonts w:ascii="Arial Narrow" w:hAnsi="Arial Narrow"/>
          <w:sz w:val="18"/>
          <w:szCs w:val="20"/>
          <w:lang w:val="fr-FR"/>
        </w:rPr>
        <w:t>per patient</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vertAlign w:val="superscript"/>
        </w:rPr>
        <w:t>6</w:t>
      </w:r>
      <w:r w:rsidRPr="00803BAB">
        <w:rPr>
          <w:rFonts w:ascii="Arial Narrow" w:hAnsi="Arial Narrow"/>
          <w:sz w:val="18"/>
          <w:szCs w:val="20"/>
        </w:rPr>
        <w:t>Sum of cost to PBS and cost to MBS</w:t>
      </w:r>
    </w:p>
    <w:p w:rsidR="006608E2" w:rsidRPr="00803BAB" w:rsidRDefault="006608E2" w:rsidP="006608E2">
      <w:pPr>
        <w:ind w:left="709"/>
        <w:rPr>
          <w:rFonts w:ascii="Arial Narrow" w:hAnsi="Arial Narrow"/>
          <w:sz w:val="18"/>
          <w:szCs w:val="20"/>
        </w:rPr>
      </w:pPr>
      <w:r w:rsidRPr="00803BAB">
        <w:rPr>
          <w:rFonts w:ascii="Arial Narrow" w:hAnsi="Arial Narrow"/>
          <w:sz w:val="18"/>
          <w:szCs w:val="20"/>
          <w:vertAlign w:val="superscript"/>
        </w:rPr>
        <w:t>7</w:t>
      </w:r>
      <w:r w:rsidRPr="00803BAB">
        <w:rPr>
          <w:rFonts w:ascii="Arial Narrow" w:hAnsi="Arial Narrow"/>
          <w:sz w:val="18"/>
          <w:szCs w:val="20"/>
        </w:rPr>
        <w:t xml:space="preserve">Oral cavity patients only. </w:t>
      </w:r>
    </w:p>
    <w:p w:rsidR="00060B7E" w:rsidRPr="00803BAB" w:rsidRDefault="006608E2" w:rsidP="00E71F07">
      <w:pPr>
        <w:ind w:left="709"/>
        <w:jc w:val="both"/>
        <w:rPr>
          <w:rFonts w:ascii="Arial Narrow" w:hAnsi="Arial Narrow"/>
          <w:sz w:val="18"/>
          <w:szCs w:val="20"/>
        </w:rPr>
      </w:pPr>
      <w:r w:rsidRPr="00803BAB">
        <w:rPr>
          <w:rFonts w:ascii="Arial Narrow" w:hAnsi="Arial Narrow"/>
          <w:sz w:val="18"/>
          <w:szCs w:val="20"/>
        </w:rPr>
        <w:t xml:space="preserve">Source: Table 11 and 12, p38 of the minor submission, 3 Section E oral cavity population_November 2016 Resubmission.xls </w:t>
      </w:r>
    </w:p>
    <w:p w:rsidR="007938CF" w:rsidRPr="00E71F07" w:rsidRDefault="007938CF" w:rsidP="00E71F07">
      <w:pPr>
        <w:ind w:left="709"/>
        <w:jc w:val="both"/>
        <w:rPr>
          <w:rFonts w:ascii="Arial Narrow" w:hAnsi="Arial Narrow"/>
          <w:sz w:val="20"/>
          <w:szCs w:val="20"/>
        </w:rPr>
      </w:pPr>
    </w:p>
    <w:p w:rsidR="007938CF" w:rsidRDefault="00407174" w:rsidP="007938CF">
      <w:pPr>
        <w:pStyle w:val="Heading2"/>
      </w:pPr>
      <w:r>
        <w:t>Financial m</w:t>
      </w:r>
      <w:r w:rsidR="007938CF" w:rsidRPr="00E803E0">
        <w:t>anagement – Risk Sharing Arrangements</w:t>
      </w:r>
    </w:p>
    <w:p w:rsidR="00D41726" w:rsidRPr="004363DE" w:rsidRDefault="00AE4A8A" w:rsidP="004363DE">
      <w:pPr>
        <w:pStyle w:val="ListParagraph"/>
        <w:numPr>
          <w:ilvl w:val="1"/>
          <w:numId w:val="5"/>
        </w:numPr>
        <w:rPr>
          <w:szCs w:val="22"/>
        </w:rPr>
      </w:pPr>
      <w:r w:rsidRPr="00AE4A8A" w:rsidDel="00831FB0">
        <w:rPr>
          <w:rFonts w:asciiTheme="minorBidi" w:hAnsiTheme="minorBidi"/>
        </w:rPr>
        <w:t>The minor resubmission proposed a risk sharing arrangement</w:t>
      </w:r>
      <w:r w:rsidRPr="00AE4A8A">
        <w:rPr>
          <w:rFonts w:asciiTheme="minorBidi" w:hAnsiTheme="minorBidi"/>
        </w:rPr>
        <w:t xml:space="preserve"> with a rebate of </w:t>
      </w:r>
      <w:r w:rsidR="00CC1076">
        <w:rPr>
          <w:rFonts w:asciiTheme="minorBidi" w:hAnsiTheme="minorBidi"/>
          <w:noProof/>
          <w:color w:val="000000"/>
          <w:highlight w:val="black"/>
        </w:rPr>
        <w:t>''''''</w:t>
      </w:r>
      <w:r w:rsidRPr="00AE4A8A">
        <w:rPr>
          <w:rFonts w:asciiTheme="minorBidi" w:hAnsiTheme="minorBidi"/>
        </w:rPr>
        <w:t>%</w:t>
      </w:r>
      <w:r w:rsidRPr="00834382">
        <w:rPr>
          <w:szCs w:val="22"/>
        </w:rPr>
        <w:t xml:space="preserve"> beyond agreed thresholds</w:t>
      </w:r>
      <w:r w:rsidRPr="00834382" w:rsidDel="00831FB0">
        <w:rPr>
          <w:szCs w:val="22"/>
        </w:rPr>
        <w:t>, as already applies to cetuximab for its current listings for locally advanced SCCHN and for mCRC</w:t>
      </w:r>
      <w:r w:rsidDel="00831FB0">
        <w:rPr>
          <w:szCs w:val="22"/>
        </w:rPr>
        <w:t>.</w:t>
      </w:r>
    </w:p>
    <w:p w:rsidR="00D41726" w:rsidRDefault="00D41726" w:rsidP="00474AF6">
      <w:pPr>
        <w:ind w:firstLine="720"/>
      </w:pPr>
    </w:p>
    <w:p w:rsidR="005C3E28" w:rsidRPr="00D62A8A" w:rsidRDefault="005C3E28" w:rsidP="005C3E28">
      <w:pPr>
        <w:pStyle w:val="PBACHeading1"/>
      </w:pPr>
      <w:r w:rsidRPr="00D62A8A">
        <w:t>PBAC Outcome</w:t>
      </w:r>
    </w:p>
    <w:p w:rsidR="005C3E28" w:rsidRPr="005D21E6" w:rsidRDefault="005C3E28" w:rsidP="005C3E28">
      <w:pPr>
        <w:contextualSpacing/>
        <w:rPr>
          <w:b/>
          <w:bCs/>
          <w:highlight w:val="yellow"/>
          <w:lang w:val="en-GB"/>
        </w:rPr>
      </w:pPr>
    </w:p>
    <w:p w:rsidR="00797217" w:rsidRPr="00352344" w:rsidRDefault="006D56E5" w:rsidP="006D56E5">
      <w:pPr>
        <w:pStyle w:val="ListParagraph"/>
        <w:numPr>
          <w:ilvl w:val="1"/>
          <w:numId w:val="5"/>
        </w:numPr>
        <w:rPr>
          <w:rFonts w:asciiTheme="minorBidi" w:hAnsiTheme="minorBidi"/>
        </w:rPr>
      </w:pPr>
      <w:r w:rsidRPr="00352344">
        <w:rPr>
          <w:rFonts w:asciiTheme="minorBidi" w:hAnsiTheme="minorBidi"/>
        </w:rPr>
        <w:t xml:space="preserve">The PBAC decided not to recommend cetuximab in combination with platinum chemotherapy for </w:t>
      </w:r>
      <w:r w:rsidR="00797217" w:rsidRPr="00352344">
        <w:t>previously untreated metastatic and/or recurrent squamous cell carcinoma of the head and neck</w:t>
      </w:r>
      <w:r w:rsidR="00CE5BFE" w:rsidRPr="00352344">
        <w:t xml:space="preserve"> </w:t>
      </w:r>
      <w:r w:rsidR="00ED09E4">
        <w:t xml:space="preserve">(RM SCCHN) </w:t>
      </w:r>
      <w:r w:rsidR="00CE5BFE" w:rsidRPr="00352344">
        <w:t>on the</w:t>
      </w:r>
      <w:r w:rsidR="00797217" w:rsidRPr="00352344">
        <w:rPr>
          <w:rFonts w:asciiTheme="minorBidi" w:hAnsiTheme="minorBidi"/>
        </w:rPr>
        <w:t xml:space="preserve"> </w:t>
      </w:r>
      <w:r w:rsidRPr="00352344">
        <w:rPr>
          <w:rFonts w:asciiTheme="minorBidi" w:hAnsiTheme="minorBidi"/>
        </w:rPr>
        <w:t xml:space="preserve">basis of uncertain clinical effectiveness and </w:t>
      </w:r>
      <w:r w:rsidR="00592AA7" w:rsidRPr="00352344">
        <w:rPr>
          <w:rFonts w:asciiTheme="minorBidi" w:hAnsiTheme="minorBidi"/>
        </w:rPr>
        <w:t>uncertain and unfavourable</w:t>
      </w:r>
      <w:r w:rsidRPr="00352344">
        <w:rPr>
          <w:rFonts w:asciiTheme="minorBidi" w:hAnsiTheme="minorBidi"/>
        </w:rPr>
        <w:t xml:space="preserve"> cost-effectiveness.</w:t>
      </w:r>
    </w:p>
    <w:p w:rsidR="006D56E5" w:rsidRDefault="006D56E5" w:rsidP="006D56E5">
      <w:pPr>
        <w:pStyle w:val="ListParagraph"/>
        <w:rPr>
          <w:rFonts w:asciiTheme="minorBidi" w:hAnsiTheme="minorBidi"/>
          <w:color w:val="FF0000"/>
        </w:rPr>
      </w:pPr>
    </w:p>
    <w:p w:rsidR="00CE5BFE" w:rsidRPr="00CE5BFE" w:rsidRDefault="00CE5BFE" w:rsidP="0052500B">
      <w:pPr>
        <w:pStyle w:val="ListParagraph"/>
        <w:numPr>
          <w:ilvl w:val="1"/>
          <w:numId w:val="5"/>
        </w:numPr>
        <w:rPr>
          <w:rFonts w:asciiTheme="minorBidi" w:hAnsiTheme="minorBidi"/>
          <w:color w:val="FF0000"/>
        </w:rPr>
      </w:pPr>
      <w:r w:rsidRPr="009358A8">
        <w:rPr>
          <w:szCs w:val="22"/>
          <w:lang w:val="en-GB"/>
        </w:rPr>
        <w:t xml:space="preserve">The PBAC </w:t>
      </w:r>
      <w:r w:rsidR="00592AA7">
        <w:rPr>
          <w:szCs w:val="22"/>
          <w:lang w:val="en-GB"/>
        </w:rPr>
        <w:t>considered</w:t>
      </w:r>
      <w:r w:rsidRPr="009358A8">
        <w:rPr>
          <w:szCs w:val="22"/>
          <w:lang w:val="en-GB"/>
        </w:rPr>
        <w:t xml:space="preserve"> that there is a clinical need for treatments </w:t>
      </w:r>
      <w:r w:rsidRPr="00BF22B3">
        <w:rPr>
          <w:szCs w:val="22"/>
          <w:lang w:val="en-GB"/>
        </w:rPr>
        <w:t xml:space="preserve">patients with </w:t>
      </w:r>
      <w:r w:rsidR="00ED09E4">
        <w:rPr>
          <w:szCs w:val="22"/>
          <w:lang w:val="en-GB"/>
        </w:rPr>
        <w:t>RM</w:t>
      </w:r>
      <w:r w:rsidRPr="00BF22B3">
        <w:rPr>
          <w:szCs w:val="22"/>
          <w:lang w:val="en-GB"/>
        </w:rPr>
        <w:t xml:space="preserve"> </w:t>
      </w:r>
      <w:r>
        <w:rPr>
          <w:szCs w:val="22"/>
          <w:lang w:val="en-GB"/>
        </w:rPr>
        <w:t>SCC</w:t>
      </w:r>
      <w:r w:rsidR="00ED09E4">
        <w:rPr>
          <w:szCs w:val="22"/>
          <w:lang w:val="en-GB"/>
        </w:rPr>
        <w:t>HN</w:t>
      </w:r>
      <w:r w:rsidR="0052500B">
        <w:rPr>
          <w:szCs w:val="22"/>
          <w:lang w:val="en-GB"/>
        </w:rPr>
        <w:t>.</w:t>
      </w:r>
      <w:r w:rsidR="00592AA7">
        <w:rPr>
          <w:szCs w:val="22"/>
          <w:lang w:val="en-GB"/>
        </w:rPr>
        <w:t xml:space="preserve"> However, the PBAC also noted the toxicity and uncertain </w:t>
      </w:r>
      <w:r w:rsidR="00FC3440">
        <w:rPr>
          <w:szCs w:val="22"/>
          <w:lang w:val="en-GB"/>
        </w:rPr>
        <w:t>clinical effectiveness</w:t>
      </w:r>
      <w:r w:rsidR="00592AA7">
        <w:rPr>
          <w:szCs w:val="22"/>
          <w:lang w:val="en-GB"/>
        </w:rPr>
        <w:t xml:space="preserve"> associated with cetuximab</w:t>
      </w:r>
      <w:r w:rsidR="00FC3440">
        <w:rPr>
          <w:szCs w:val="22"/>
          <w:lang w:val="en-GB"/>
        </w:rPr>
        <w:t xml:space="preserve"> </w:t>
      </w:r>
      <w:r w:rsidR="00847E65">
        <w:rPr>
          <w:szCs w:val="22"/>
          <w:lang w:val="en-GB"/>
        </w:rPr>
        <w:t xml:space="preserve">plus chemotherapy </w:t>
      </w:r>
      <w:r w:rsidR="00FC3440">
        <w:rPr>
          <w:szCs w:val="22"/>
          <w:lang w:val="en-GB"/>
        </w:rPr>
        <w:t>over chemotherapy</w:t>
      </w:r>
      <w:r w:rsidR="00847E65">
        <w:rPr>
          <w:szCs w:val="22"/>
          <w:lang w:val="en-GB"/>
        </w:rPr>
        <w:t xml:space="preserve"> alone</w:t>
      </w:r>
      <w:r w:rsidR="00592AA7">
        <w:rPr>
          <w:szCs w:val="22"/>
          <w:lang w:val="en-GB"/>
        </w:rPr>
        <w:t>.</w:t>
      </w:r>
    </w:p>
    <w:p w:rsidR="00CE5BFE" w:rsidRDefault="00CE5BFE" w:rsidP="00CE5BFE">
      <w:pPr>
        <w:pStyle w:val="ListParagraph"/>
        <w:rPr>
          <w:rFonts w:asciiTheme="minorBidi" w:hAnsiTheme="minorBidi"/>
          <w:color w:val="FF0000"/>
        </w:rPr>
      </w:pPr>
    </w:p>
    <w:p w:rsidR="00FC3440" w:rsidRPr="00352344" w:rsidRDefault="0046267E" w:rsidP="005C3E28">
      <w:pPr>
        <w:pStyle w:val="ListParagraph"/>
        <w:numPr>
          <w:ilvl w:val="1"/>
          <w:numId w:val="5"/>
        </w:numPr>
        <w:rPr>
          <w:rFonts w:asciiTheme="minorBidi" w:hAnsiTheme="minorBidi"/>
        </w:rPr>
      </w:pPr>
      <w:r>
        <w:rPr>
          <w:rFonts w:asciiTheme="minorBidi" w:hAnsiTheme="minorBidi"/>
        </w:rPr>
        <w:t xml:space="preserve">Based on the summary </w:t>
      </w:r>
      <w:r w:rsidR="00411DBB" w:rsidRPr="00352344">
        <w:rPr>
          <w:iCs/>
          <w:szCs w:val="22"/>
        </w:rPr>
        <w:t xml:space="preserve">of clinical trials </w:t>
      </w:r>
      <w:r w:rsidR="00BF1035">
        <w:rPr>
          <w:iCs/>
          <w:szCs w:val="22"/>
        </w:rPr>
        <w:t xml:space="preserve">presented in the minor resubmission </w:t>
      </w:r>
      <w:r w:rsidR="00411DBB" w:rsidRPr="00352344">
        <w:rPr>
          <w:iCs/>
          <w:szCs w:val="22"/>
        </w:rPr>
        <w:t xml:space="preserve">for </w:t>
      </w:r>
      <w:r w:rsidR="00411DBB" w:rsidRPr="00352344">
        <w:rPr>
          <w:iCs/>
          <w:szCs w:val="22"/>
        </w:rPr>
        <w:lastRenderedPageBreak/>
        <w:t>agents</w:t>
      </w:r>
      <w:r w:rsidR="00BF1035">
        <w:rPr>
          <w:iCs/>
          <w:szCs w:val="22"/>
        </w:rPr>
        <w:t>,</w:t>
      </w:r>
      <w:r>
        <w:rPr>
          <w:iCs/>
          <w:szCs w:val="22"/>
        </w:rPr>
        <w:t xml:space="preserve"> </w:t>
      </w:r>
      <w:r w:rsidR="00BF1035">
        <w:rPr>
          <w:iCs/>
          <w:szCs w:val="22"/>
        </w:rPr>
        <w:t xml:space="preserve">which like </w:t>
      </w:r>
      <w:r>
        <w:rPr>
          <w:iCs/>
          <w:szCs w:val="22"/>
        </w:rPr>
        <w:t>cetuximab</w:t>
      </w:r>
      <w:r w:rsidR="00BF1035">
        <w:rPr>
          <w:iCs/>
          <w:szCs w:val="22"/>
        </w:rPr>
        <w:t>,</w:t>
      </w:r>
      <w:r w:rsidR="00411DBB" w:rsidRPr="00352344">
        <w:rPr>
          <w:iCs/>
          <w:szCs w:val="22"/>
        </w:rPr>
        <w:t xml:space="preserve"> target </w:t>
      </w:r>
      <w:r>
        <w:rPr>
          <w:iCs/>
          <w:szCs w:val="22"/>
        </w:rPr>
        <w:t xml:space="preserve">the </w:t>
      </w:r>
      <w:r w:rsidR="00411DBB" w:rsidRPr="00352344">
        <w:rPr>
          <w:iCs/>
          <w:szCs w:val="22"/>
        </w:rPr>
        <w:t>EGFR</w:t>
      </w:r>
      <w:r>
        <w:rPr>
          <w:iCs/>
          <w:szCs w:val="22"/>
        </w:rPr>
        <w:t>,</w:t>
      </w:r>
      <w:r w:rsidR="00411DBB" w:rsidRPr="00352344">
        <w:rPr>
          <w:iCs/>
          <w:szCs w:val="22"/>
        </w:rPr>
        <w:t xml:space="preserve"> </w:t>
      </w:r>
      <w:r>
        <w:rPr>
          <w:iCs/>
          <w:szCs w:val="22"/>
        </w:rPr>
        <w:t>the PBAC noted</w:t>
      </w:r>
      <w:r w:rsidR="001A7203" w:rsidRPr="00330FC6">
        <w:rPr>
          <w:szCs w:val="22"/>
        </w:rPr>
        <w:t xml:space="preserve"> that </w:t>
      </w:r>
      <w:r w:rsidR="001A7203">
        <w:rPr>
          <w:szCs w:val="22"/>
        </w:rPr>
        <w:t>no</w:t>
      </w:r>
      <w:r w:rsidR="001A7203" w:rsidRPr="00330FC6">
        <w:rPr>
          <w:szCs w:val="22"/>
        </w:rPr>
        <w:t xml:space="preserve"> meaningful clinical benefit </w:t>
      </w:r>
      <w:r w:rsidR="001A7203">
        <w:rPr>
          <w:szCs w:val="22"/>
        </w:rPr>
        <w:t>was demonstrated for these agents</w:t>
      </w:r>
      <w:r w:rsidR="00E112E6" w:rsidRPr="00352344">
        <w:rPr>
          <w:rFonts w:asciiTheme="minorBidi" w:hAnsiTheme="minorBidi"/>
        </w:rPr>
        <w:t xml:space="preserve"> </w:t>
      </w:r>
      <w:r w:rsidR="00EB1949" w:rsidRPr="00352344">
        <w:rPr>
          <w:rFonts w:asciiTheme="minorBidi" w:hAnsiTheme="minorBidi"/>
        </w:rPr>
        <w:t>in the treatment of RM SC</w:t>
      </w:r>
      <w:r w:rsidR="006146AA" w:rsidRPr="00352344">
        <w:rPr>
          <w:rFonts w:asciiTheme="minorBidi" w:hAnsiTheme="minorBidi"/>
        </w:rPr>
        <w:t>C</w:t>
      </w:r>
      <w:r w:rsidR="00EB1949" w:rsidRPr="00352344">
        <w:rPr>
          <w:rFonts w:asciiTheme="minorBidi" w:hAnsiTheme="minorBidi"/>
        </w:rPr>
        <w:t>HN</w:t>
      </w:r>
      <w:r w:rsidR="00293752">
        <w:rPr>
          <w:rFonts w:asciiTheme="minorBidi" w:hAnsiTheme="minorBidi"/>
        </w:rPr>
        <w:t>.</w:t>
      </w:r>
    </w:p>
    <w:p w:rsidR="00FC3440" w:rsidRPr="00352344" w:rsidRDefault="00FC3440" w:rsidP="00352344">
      <w:pPr>
        <w:pStyle w:val="ListParagraph"/>
        <w:rPr>
          <w:rFonts w:asciiTheme="minorBidi" w:hAnsiTheme="minorBidi"/>
        </w:rPr>
      </w:pPr>
    </w:p>
    <w:p w:rsidR="001A7203" w:rsidRDefault="001A7203" w:rsidP="001A7203">
      <w:pPr>
        <w:pStyle w:val="ListParagraph"/>
        <w:numPr>
          <w:ilvl w:val="1"/>
          <w:numId w:val="5"/>
        </w:numPr>
        <w:rPr>
          <w:szCs w:val="22"/>
        </w:rPr>
      </w:pPr>
      <w:r w:rsidRPr="00BE6AD2">
        <w:rPr>
          <w:szCs w:val="22"/>
        </w:rPr>
        <w:t xml:space="preserve">The PBAC noted a </w:t>
      </w:r>
      <w:r w:rsidR="00BF1718">
        <w:rPr>
          <w:szCs w:val="22"/>
        </w:rPr>
        <w:t xml:space="preserve">statistically </w:t>
      </w:r>
      <w:r w:rsidRPr="00BE6AD2">
        <w:rPr>
          <w:szCs w:val="22"/>
        </w:rPr>
        <w:t xml:space="preserve">significant increase in </w:t>
      </w:r>
      <w:r w:rsidR="000A2603">
        <w:rPr>
          <w:szCs w:val="22"/>
        </w:rPr>
        <w:t>OS</w:t>
      </w:r>
      <w:r w:rsidRPr="00BE6AD2">
        <w:rPr>
          <w:szCs w:val="22"/>
        </w:rPr>
        <w:t xml:space="preserve"> was demonstrated with cetuximab</w:t>
      </w:r>
      <w:r>
        <w:rPr>
          <w:szCs w:val="22"/>
        </w:rPr>
        <w:t xml:space="preserve"> in the EXTREME trial</w:t>
      </w:r>
      <w:r w:rsidRPr="00BE6AD2">
        <w:rPr>
          <w:szCs w:val="22"/>
        </w:rPr>
        <w:t xml:space="preserve"> but not </w:t>
      </w:r>
      <w:r>
        <w:rPr>
          <w:szCs w:val="22"/>
        </w:rPr>
        <w:t xml:space="preserve">for </w:t>
      </w:r>
      <w:r w:rsidRPr="00BE6AD2">
        <w:rPr>
          <w:szCs w:val="22"/>
        </w:rPr>
        <w:t>panitumumab</w:t>
      </w:r>
      <w:r>
        <w:rPr>
          <w:szCs w:val="22"/>
        </w:rPr>
        <w:t xml:space="preserve"> in the SPECTRUM trial</w:t>
      </w:r>
      <w:r w:rsidRPr="001D14FC">
        <w:rPr>
          <w:szCs w:val="22"/>
        </w:rPr>
        <w:t xml:space="preserve">. The PBAC considered </w:t>
      </w:r>
      <w:r>
        <w:rPr>
          <w:szCs w:val="22"/>
        </w:rPr>
        <w:t>that this may be due to</w:t>
      </w:r>
      <w:r w:rsidRPr="001D14FC">
        <w:rPr>
          <w:szCs w:val="22"/>
        </w:rPr>
        <w:t xml:space="preserve"> differences in the trial designs. For example, carboplatin was used in a proportion of patients in the EXTREME trial but not in the SPECTRUM trial, and carboplatin is generally considered less effective than cisplatin in the treatment of SCCHN. Further, there were differences across the trials in the median </w:t>
      </w:r>
      <w:r w:rsidR="000A2603">
        <w:rPr>
          <w:szCs w:val="22"/>
        </w:rPr>
        <w:t>OS</w:t>
      </w:r>
      <w:r w:rsidRPr="00F12DEE">
        <w:rPr>
          <w:szCs w:val="22"/>
        </w:rPr>
        <w:t xml:space="preserve"> in the control groups (7.4 months in EXTREME versus 9.0</w:t>
      </w:r>
      <w:r w:rsidR="00ED09E4">
        <w:rPr>
          <w:szCs w:val="22"/>
        </w:rPr>
        <w:t> </w:t>
      </w:r>
      <w:r w:rsidRPr="00F12DEE">
        <w:rPr>
          <w:szCs w:val="22"/>
        </w:rPr>
        <w:t xml:space="preserve">months in SPECTRUM), and this may have </w:t>
      </w:r>
      <w:r>
        <w:rPr>
          <w:szCs w:val="22"/>
        </w:rPr>
        <w:t>impacted on the</w:t>
      </w:r>
      <w:r w:rsidR="00BF1035">
        <w:rPr>
          <w:szCs w:val="22"/>
        </w:rPr>
        <w:t xml:space="preserve"> relative efficacy observed with the two anti-EGFR antibodies</w:t>
      </w:r>
      <w:r w:rsidRPr="00F12DEE">
        <w:rPr>
          <w:szCs w:val="22"/>
        </w:rPr>
        <w:t>.</w:t>
      </w:r>
      <w:r>
        <w:rPr>
          <w:szCs w:val="22"/>
        </w:rPr>
        <w:t xml:space="preserve"> The PBAC noted for the treatment of mCRC that cetuximab and panitumumab are considered equally effective, and that </w:t>
      </w:r>
      <w:r w:rsidRPr="00BE6AD2">
        <w:rPr>
          <w:szCs w:val="22"/>
        </w:rPr>
        <w:t xml:space="preserve">the lack of </w:t>
      </w:r>
      <w:r>
        <w:rPr>
          <w:szCs w:val="22"/>
        </w:rPr>
        <w:t xml:space="preserve">an </w:t>
      </w:r>
      <w:r w:rsidRPr="00BE6AD2">
        <w:rPr>
          <w:szCs w:val="22"/>
        </w:rPr>
        <w:t xml:space="preserve">effect of panitumumab </w:t>
      </w:r>
      <w:r>
        <w:rPr>
          <w:szCs w:val="22"/>
        </w:rPr>
        <w:t xml:space="preserve">on </w:t>
      </w:r>
      <w:r w:rsidR="000A2603">
        <w:rPr>
          <w:szCs w:val="22"/>
        </w:rPr>
        <w:t>OS</w:t>
      </w:r>
      <w:r>
        <w:rPr>
          <w:szCs w:val="22"/>
        </w:rPr>
        <w:t xml:space="preserve"> in the SPECTRUM trial </w:t>
      </w:r>
      <w:r w:rsidRPr="00BE6AD2">
        <w:rPr>
          <w:szCs w:val="22"/>
        </w:rPr>
        <w:t xml:space="preserve">increased the uncertainty regarding the magnitude of the </w:t>
      </w:r>
      <w:r>
        <w:rPr>
          <w:szCs w:val="22"/>
        </w:rPr>
        <w:t>survival benefit with</w:t>
      </w:r>
      <w:r w:rsidRPr="00BE6AD2">
        <w:rPr>
          <w:szCs w:val="22"/>
        </w:rPr>
        <w:t xml:space="preserve"> cetuximab.</w:t>
      </w:r>
    </w:p>
    <w:p w:rsidR="00032F31" w:rsidRPr="00032F31" w:rsidRDefault="00032F31" w:rsidP="00BF1718">
      <w:pPr>
        <w:pStyle w:val="ListParagraph"/>
        <w:rPr>
          <w:szCs w:val="22"/>
        </w:rPr>
      </w:pPr>
    </w:p>
    <w:p w:rsidR="00032F31" w:rsidRPr="00BE6AD2" w:rsidRDefault="00032F31" w:rsidP="001A7203">
      <w:pPr>
        <w:pStyle w:val="ListParagraph"/>
        <w:numPr>
          <w:ilvl w:val="1"/>
          <w:numId w:val="5"/>
        </w:numPr>
        <w:rPr>
          <w:szCs w:val="22"/>
        </w:rPr>
      </w:pPr>
      <w:r>
        <w:rPr>
          <w:szCs w:val="22"/>
        </w:rPr>
        <w:t xml:space="preserve">The PBAC reaffirmed its conclusion from the March 2016 meeting that the incremental benefits with cetuximab plus chemotherapy over chemotherapy alone in the treatment of RM SCCHN were small, and that the addition of cetuximab </w:t>
      </w:r>
      <w:r w:rsidR="0046267E">
        <w:rPr>
          <w:szCs w:val="22"/>
        </w:rPr>
        <w:t>increased</w:t>
      </w:r>
      <w:r>
        <w:rPr>
          <w:szCs w:val="22"/>
        </w:rPr>
        <w:t xml:space="preserve"> toxicity.</w:t>
      </w:r>
    </w:p>
    <w:p w:rsidR="001A7203" w:rsidRDefault="001A7203" w:rsidP="00BF1718">
      <w:pPr>
        <w:pStyle w:val="ListParagraph"/>
        <w:rPr>
          <w:rFonts w:asciiTheme="minorBidi" w:hAnsiTheme="minorBidi"/>
        </w:rPr>
      </w:pPr>
    </w:p>
    <w:p w:rsidR="00504612" w:rsidRPr="00352344" w:rsidRDefault="00504612" w:rsidP="00BF1718">
      <w:pPr>
        <w:pStyle w:val="ListParagraph"/>
        <w:numPr>
          <w:ilvl w:val="1"/>
          <w:numId w:val="5"/>
        </w:numPr>
        <w:rPr>
          <w:rFonts w:asciiTheme="minorBidi" w:hAnsiTheme="minorBidi"/>
          <w:color w:val="FF0000"/>
        </w:rPr>
      </w:pPr>
      <w:r w:rsidRPr="00352344">
        <w:rPr>
          <w:rFonts w:asciiTheme="minorBidi" w:hAnsiTheme="minorBidi"/>
        </w:rPr>
        <w:t xml:space="preserve">The PBAC </w:t>
      </w:r>
      <w:r w:rsidR="00032F31">
        <w:rPr>
          <w:rFonts w:asciiTheme="minorBidi" w:hAnsiTheme="minorBidi"/>
        </w:rPr>
        <w:t xml:space="preserve">considered the cost/QALY gained of </w:t>
      </w:r>
      <w:r w:rsidR="00120D21">
        <w:rPr>
          <w:rFonts w:asciiTheme="minorBidi" w:hAnsiTheme="minorBidi"/>
        </w:rPr>
        <w:t>$75,000 - $105,000</w:t>
      </w:r>
      <w:r w:rsidR="0046267E">
        <w:rPr>
          <w:rFonts w:asciiTheme="minorBidi" w:hAnsiTheme="minorBidi"/>
        </w:rPr>
        <w:t xml:space="preserve"> to be high and uncertain, reflect</w:t>
      </w:r>
      <w:r w:rsidR="00BF1718">
        <w:rPr>
          <w:rFonts w:asciiTheme="minorBidi" w:hAnsiTheme="minorBidi"/>
        </w:rPr>
        <w:t>ing</w:t>
      </w:r>
      <w:r w:rsidR="0046267E">
        <w:rPr>
          <w:rFonts w:asciiTheme="minorBidi" w:hAnsiTheme="minorBidi"/>
        </w:rPr>
        <w:t xml:space="preserve"> the uncertain extent of clinical benefit</w:t>
      </w:r>
      <w:r w:rsidRPr="00352344">
        <w:rPr>
          <w:rFonts w:asciiTheme="minorBidi" w:hAnsiTheme="minorBidi"/>
        </w:rPr>
        <w:t xml:space="preserve">. The PBAC also noted that the economic model did not address all of the issues identified at </w:t>
      </w:r>
      <w:r w:rsidR="00470016">
        <w:rPr>
          <w:rFonts w:asciiTheme="minorBidi" w:hAnsiTheme="minorBidi"/>
        </w:rPr>
        <w:t xml:space="preserve">its </w:t>
      </w:r>
      <w:r w:rsidRPr="00352344">
        <w:rPr>
          <w:rFonts w:asciiTheme="minorBidi" w:hAnsiTheme="minorBidi"/>
        </w:rPr>
        <w:t xml:space="preserve">March 2016 meeting, </w:t>
      </w:r>
      <w:r w:rsidRPr="00352344">
        <w:rPr>
          <w:szCs w:val="22"/>
          <w:lang w:val="en-GB"/>
        </w:rPr>
        <w:t xml:space="preserve">including the </w:t>
      </w:r>
      <w:r>
        <w:rPr>
          <w:szCs w:val="22"/>
          <w:lang w:val="en-GB"/>
        </w:rPr>
        <w:t>choice of extrapolation method, the source of the utility values, and the optimistic time horizon.</w:t>
      </w:r>
    </w:p>
    <w:p w:rsidR="00504612" w:rsidRDefault="00504612" w:rsidP="001A7203">
      <w:pPr>
        <w:pStyle w:val="ListParagraph"/>
        <w:rPr>
          <w:szCs w:val="22"/>
          <w:lang w:val="en-GB"/>
        </w:rPr>
      </w:pPr>
    </w:p>
    <w:p w:rsidR="00652BA1" w:rsidRPr="00AD0E7B" w:rsidRDefault="0046267E" w:rsidP="00BF1718">
      <w:pPr>
        <w:pStyle w:val="ListParagraph"/>
        <w:numPr>
          <w:ilvl w:val="1"/>
          <w:numId w:val="5"/>
        </w:numPr>
        <w:rPr>
          <w:rFonts w:asciiTheme="minorBidi" w:hAnsiTheme="minorBidi"/>
        </w:rPr>
      </w:pPr>
      <w:r>
        <w:rPr>
          <w:szCs w:val="22"/>
          <w:lang w:val="en-GB"/>
        </w:rPr>
        <w:t xml:space="preserve">The PBAC reaffirmed its view from the March 2016 meeting </w:t>
      </w:r>
      <w:r w:rsidR="00427C63" w:rsidRPr="00AD0E7B">
        <w:rPr>
          <w:szCs w:val="22"/>
          <w:lang w:val="en-GB"/>
        </w:rPr>
        <w:t xml:space="preserve">that a major resubmission would be required to </w:t>
      </w:r>
      <w:r w:rsidR="00504612" w:rsidRPr="00AD0E7B">
        <w:rPr>
          <w:szCs w:val="22"/>
          <w:lang w:val="en-GB"/>
        </w:rPr>
        <w:t xml:space="preserve">adequately address the issues raised </w:t>
      </w:r>
      <w:r w:rsidR="00BF1718">
        <w:rPr>
          <w:szCs w:val="22"/>
          <w:lang w:val="en-GB"/>
        </w:rPr>
        <w:t xml:space="preserve">with </w:t>
      </w:r>
      <w:r w:rsidR="00504612" w:rsidRPr="00AD0E7B">
        <w:rPr>
          <w:szCs w:val="22"/>
          <w:lang w:val="en-GB"/>
        </w:rPr>
        <w:t>the previous submission</w:t>
      </w:r>
      <w:r>
        <w:rPr>
          <w:szCs w:val="22"/>
          <w:lang w:val="en-GB"/>
        </w:rPr>
        <w:t>, together with those raised in the current resubmission</w:t>
      </w:r>
      <w:r w:rsidR="00427C63" w:rsidRPr="00AD0E7B">
        <w:rPr>
          <w:szCs w:val="22"/>
          <w:lang w:val="en-GB"/>
        </w:rPr>
        <w:t xml:space="preserve">. </w:t>
      </w:r>
      <w:r w:rsidR="006E1E77" w:rsidRPr="00AD0E7B">
        <w:rPr>
          <w:rFonts w:asciiTheme="minorBidi" w:hAnsiTheme="minorBidi"/>
        </w:rPr>
        <w:t xml:space="preserve">The PBAC </w:t>
      </w:r>
      <w:r>
        <w:rPr>
          <w:rFonts w:asciiTheme="minorBidi" w:hAnsiTheme="minorBidi"/>
        </w:rPr>
        <w:t xml:space="preserve">noted </w:t>
      </w:r>
      <w:r w:rsidR="006E1E77" w:rsidRPr="00AD0E7B">
        <w:rPr>
          <w:rFonts w:asciiTheme="minorBidi" w:hAnsiTheme="minorBidi"/>
        </w:rPr>
        <w:t xml:space="preserve">that </w:t>
      </w:r>
      <w:r>
        <w:rPr>
          <w:rFonts w:asciiTheme="minorBidi" w:hAnsiTheme="minorBidi"/>
        </w:rPr>
        <w:t xml:space="preserve">pooling the results from </w:t>
      </w:r>
      <w:r w:rsidR="00226686">
        <w:rPr>
          <w:rFonts w:asciiTheme="minorBidi" w:hAnsiTheme="minorBidi"/>
        </w:rPr>
        <w:t>the</w:t>
      </w:r>
      <w:r w:rsidR="00652BA1" w:rsidRPr="00AD0E7B">
        <w:rPr>
          <w:rFonts w:asciiTheme="minorBidi" w:hAnsiTheme="minorBidi"/>
        </w:rPr>
        <w:t xml:space="preserve"> panitumumab and cetuximab</w:t>
      </w:r>
      <w:r w:rsidR="00504612" w:rsidRPr="00AD0E7B">
        <w:rPr>
          <w:rFonts w:asciiTheme="minorBidi" w:hAnsiTheme="minorBidi"/>
        </w:rPr>
        <w:t xml:space="preserve"> </w:t>
      </w:r>
      <w:r w:rsidR="00226686">
        <w:rPr>
          <w:rFonts w:asciiTheme="minorBidi" w:hAnsiTheme="minorBidi"/>
        </w:rPr>
        <w:t xml:space="preserve">trials </w:t>
      </w:r>
      <w:r w:rsidR="00BF1035">
        <w:rPr>
          <w:rFonts w:asciiTheme="minorBidi" w:hAnsiTheme="minorBidi"/>
        </w:rPr>
        <w:t xml:space="preserve">may </w:t>
      </w:r>
      <w:r w:rsidR="00226686">
        <w:rPr>
          <w:rFonts w:asciiTheme="minorBidi" w:hAnsiTheme="minorBidi"/>
        </w:rPr>
        <w:t xml:space="preserve">provide additional certainty </w:t>
      </w:r>
      <w:r w:rsidR="001C7533" w:rsidRPr="00AD0E7B">
        <w:rPr>
          <w:rFonts w:asciiTheme="minorBidi" w:hAnsiTheme="minorBidi"/>
        </w:rPr>
        <w:t>regarding</w:t>
      </w:r>
      <w:r w:rsidR="006146AA" w:rsidRPr="00AD0E7B">
        <w:rPr>
          <w:rFonts w:asciiTheme="minorBidi" w:hAnsiTheme="minorBidi"/>
        </w:rPr>
        <w:t xml:space="preserve"> the likely magnitude of clinical benefit </w:t>
      </w:r>
      <w:r w:rsidR="001C7533" w:rsidRPr="00AD0E7B">
        <w:rPr>
          <w:rFonts w:asciiTheme="minorBidi" w:hAnsiTheme="minorBidi"/>
        </w:rPr>
        <w:t xml:space="preserve">of </w:t>
      </w:r>
      <w:r w:rsidR="00226686">
        <w:rPr>
          <w:rFonts w:asciiTheme="minorBidi" w:hAnsiTheme="minorBidi"/>
        </w:rPr>
        <w:t>anti-EGFR antibodies in the treatment of</w:t>
      </w:r>
      <w:r w:rsidR="006146AA" w:rsidRPr="00AD0E7B">
        <w:rPr>
          <w:rFonts w:asciiTheme="minorBidi" w:hAnsiTheme="minorBidi"/>
        </w:rPr>
        <w:t xml:space="preserve"> </w:t>
      </w:r>
      <w:r w:rsidR="003503E2" w:rsidRPr="00AD0E7B">
        <w:rPr>
          <w:rFonts w:asciiTheme="minorBidi" w:hAnsiTheme="minorBidi"/>
        </w:rPr>
        <w:t>RM SC</w:t>
      </w:r>
      <w:r w:rsidR="006146AA" w:rsidRPr="00AD0E7B">
        <w:rPr>
          <w:rFonts w:asciiTheme="minorBidi" w:hAnsiTheme="minorBidi"/>
        </w:rPr>
        <w:t>C</w:t>
      </w:r>
      <w:r w:rsidR="003503E2" w:rsidRPr="00AD0E7B">
        <w:rPr>
          <w:rFonts w:asciiTheme="minorBidi" w:hAnsiTheme="minorBidi"/>
        </w:rPr>
        <w:t>HN.</w:t>
      </w:r>
      <w:r w:rsidR="001C7533" w:rsidRPr="00AD0E7B">
        <w:rPr>
          <w:rFonts w:asciiTheme="minorBidi" w:hAnsiTheme="minorBidi"/>
        </w:rPr>
        <w:t xml:space="preserve"> The PBAC considered </w:t>
      </w:r>
      <w:r w:rsidR="00226686">
        <w:rPr>
          <w:rFonts w:asciiTheme="minorBidi" w:hAnsiTheme="minorBidi"/>
        </w:rPr>
        <w:t>a listing based on</w:t>
      </w:r>
      <w:r w:rsidR="001C7533" w:rsidRPr="00AD0E7B">
        <w:rPr>
          <w:rFonts w:asciiTheme="minorBidi" w:hAnsiTheme="minorBidi"/>
        </w:rPr>
        <w:t xml:space="preserve"> the ITT population </w:t>
      </w:r>
      <w:r w:rsidR="00226686">
        <w:rPr>
          <w:rFonts w:asciiTheme="minorBidi" w:hAnsiTheme="minorBidi"/>
        </w:rPr>
        <w:t xml:space="preserve">of the EXTREME trial </w:t>
      </w:r>
      <w:r w:rsidR="001C7533" w:rsidRPr="00AD0E7B">
        <w:rPr>
          <w:rFonts w:asciiTheme="minorBidi" w:hAnsiTheme="minorBidi"/>
        </w:rPr>
        <w:t>was more appropriate</w:t>
      </w:r>
      <w:r w:rsidR="00226686">
        <w:rPr>
          <w:rFonts w:asciiTheme="minorBidi" w:hAnsiTheme="minorBidi"/>
        </w:rPr>
        <w:t xml:space="preserve"> than one based on the oral cavity sub-group</w:t>
      </w:r>
      <w:r w:rsidR="001C7533" w:rsidRPr="00AD0E7B">
        <w:rPr>
          <w:rFonts w:asciiTheme="minorBidi" w:hAnsiTheme="minorBidi"/>
        </w:rPr>
        <w:t xml:space="preserve">, and that any subsequent submission should </w:t>
      </w:r>
      <w:r w:rsidR="00226686">
        <w:rPr>
          <w:rFonts w:asciiTheme="minorBidi" w:hAnsiTheme="minorBidi"/>
        </w:rPr>
        <w:t>be for the broader population</w:t>
      </w:r>
      <w:r w:rsidR="001C7533" w:rsidRPr="00AD0E7B">
        <w:rPr>
          <w:rFonts w:asciiTheme="minorBidi" w:hAnsiTheme="minorBidi"/>
        </w:rPr>
        <w:t>.</w:t>
      </w:r>
    </w:p>
    <w:p w:rsidR="006E1E77" w:rsidRPr="005911C0" w:rsidRDefault="006E1E77" w:rsidP="00AD0E7B">
      <w:pPr>
        <w:contextualSpacing/>
        <w:rPr>
          <w:rFonts w:asciiTheme="minorBidi" w:hAnsiTheme="minorBidi" w:cs="Arial"/>
          <w:snapToGrid w:val="0"/>
          <w:sz w:val="22"/>
          <w:szCs w:val="20"/>
          <w:lang w:eastAsia="en-US"/>
        </w:rPr>
      </w:pPr>
    </w:p>
    <w:p w:rsidR="006E1E77" w:rsidRPr="005911C0" w:rsidRDefault="006D4CB8" w:rsidP="006D4CB8">
      <w:pPr>
        <w:pStyle w:val="ListParagraph"/>
        <w:numPr>
          <w:ilvl w:val="1"/>
          <w:numId w:val="5"/>
        </w:numPr>
        <w:rPr>
          <w:rFonts w:asciiTheme="minorBidi" w:hAnsiTheme="minorBidi"/>
        </w:rPr>
      </w:pPr>
      <w:r w:rsidRPr="005911C0">
        <w:rPr>
          <w:rFonts w:asciiTheme="minorBidi" w:hAnsiTheme="minorBidi"/>
        </w:rPr>
        <w:t xml:space="preserve">The PBAC noted that this submission </w:t>
      </w:r>
      <w:r w:rsidR="006146AA" w:rsidRPr="005911C0">
        <w:rPr>
          <w:rFonts w:asciiTheme="minorBidi" w:hAnsiTheme="minorBidi"/>
        </w:rPr>
        <w:t>is</w:t>
      </w:r>
      <w:r w:rsidRPr="005911C0">
        <w:rPr>
          <w:rFonts w:asciiTheme="minorBidi" w:hAnsiTheme="minorBidi"/>
        </w:rPr>
        <w:t xml:space="preserve"> eligible for an Independent Review. </w:t>
      </w:r>
    </w:p>
    <w:p w:rsidR="005C3E28" w:rsidRPr="005911C0" w:rsidRDefault="005C3E28" w:rsidP="005C3E28">
      <w:pPr>
        <w:pStyle w:val="ListParagraph"/>
        <w:rPr>
          <w:bCs/>
          <w:sz w:val="24"/>
          <w:szCs w:val="24"/>
          <w:highlight w:val="yellow"/>
          <w:lang w:val="en-GB"/>
        </w:rPr>
      </w:pPr>
    </w:p>
    <w:p w:rsidR="005C3E28" w:rsidRPr="005911C0" w:rsidRDefault="005C3E28" w:rsidP="001724CD">
      <w:pPr>
        <w:ind w:left="709"/>
        <w:rPr>
          <w:rFonts w:ascii="Arial" w:hAnsi="Arial" w:cs="Arial"/>
          <w:b/>
          <w:bCs/>
          <w:lang w:val="en-GB"/>
        </w:rPr>
      </w:pPr>
      <w:r w:rsidRPr="005911C0">
        <w:rPr>
          <w:rFonts w:ascii="Arial" w:hAnsi="Arial" w:cs="Arial"/>
          <w:b/>
          <w:bCs/>
          <w:lang w:val="en-GB"/>
        </w:rPr>
        <w:t>Outcome:</w:t>
      </w:r>
    </w:p>
    <w:p w:rsidR="005C3E28" w:rsidRDefault="005C3E28" w:rsidP="001724CD">
      <w:pPr>
        <w:ind w:left="709"/>
        <w:rPr>
          <w:rFonts w:ascii="Arial" w:hAnsi="Arial" w:cs="Arial"/>
          <w:bCs/>
          <w:sz w:val="22"/>
          <w:lang w:val="en-GB"/>
        </w:rPr>
      </w:pPr>
      <w:r w:rsidRPr="00A8300F">
        <w:rPr>
          <w:rFonts w:ascii="Arial" w:hAnsi="Arial" w:cs="Arial"/>
          <w:bCs/>
          <w:sz w:val="22"/>
          <w:lang w:val="en-GB"/>
        </w:rPr>
        <w:t>Rejected</w:t>
      </w:r>
    </w:p>
    <w:p w:rsidR="00D170DE" w:rsidRDefault="00D170DE" w:rsidP="00C90C68">
      <w:pPr>
        <w:rPr>
          <w:rFonts w:ascii="Arial" w:hAnsi="Arial" w:cs="Arial"/>
          <w:bCs/>
          <w:sz w:val="22"/>
          <w:lang w:val="en-GB"/>
        </w:rPr>
      </w:pPr>
    </w:p>
    <w:p w:rsidR="00D170DE" w:rsidRPr="00D170DE" w:rsidRDefault="00D170DE" w:rsidP="00D170DE">
      <w:pPr>
        <w:widowControl w:val="0"/>
        <w:numPr>
          <w:ilvl w:val="0"/>
          <w:numId w:val="5"/>
        </w:numPr>
        <w:jc w:val="both"/>
        <w:outlineLvl w:val="0"/>
        <w:rPr>
          <w:rFonts w:ascii="Arial" w:hAnsi="Arial" w:cs="Arial"/>
          <w:b/>
          <w:snapToGrid w:val="0"/>
          <w:sz w:val="22"/>
          <w:szCs w:val="22"/>
          <w:lang w:eastAsia="en-US"/>
        </w:rPr>
      </w:pPr>
      <w:r w:rsidRPr="00D170DE">
        <w:rPr>
          <w:rFonts w:ascii="Arial" w:hAnsi="Arial" w:cs="Arial"/>
          <w:b/>
          <w:snapToGrid w:val="0"/>
          <w:sz w:val="22"/>
          <w:szCs w:val="22"/>
          <w:lang w:eastAsia="en-US"/>
        </w:rPr>
        <w:t>Context for Decision</w:t>
      </w:r>
    </w:p>
    <w:p w:rsidR="00D170DE" w:rsidRPr="00D170DE" w:rsidRDefault="00D170DE" w:rsidP="00D170DE">
      <w:pPr>
        <w:widowControl w:val="0"/>
        <w:ind w:left="426"/>
        <w:jc w:val="both"/>
        <w:rPr>
          <w:rFonts w:ascii="Arial" w:hAnsi="Arial" w:cs="Arial"/>
          <w:snapToGrid w:val="0"/>
          <w:sz w:val="22"/>
          <w:szCs w:val="20"/>
          <w:lang w:eastAsia="en-US"/>
        </w:rPr>
      </w:pPr>
    </w:p>
    <w:p w:rsidR="00D170DE" w:rsidRPr="00D170DE" w:rsidRDefault="00D170DE" w:rsidP="00D170DE">
      <w:pPr>
        <w:widowControl w:val="0"/>
        <w:ind w:left="709"/>
        <w:jc w:val="both"/>
        <w:rPr>
          <w:rFonts w:ascii="Arial" w:hAnsi="Arial" w:cs="Arial"/>
          <w:snapToGrid w:val="0"/>
          <w:sz w:val="22"/>
          <w:szCs w:val="20"/>
          <w:lang w:eastAsia="en-US"/>
        </w:rPr>
      </w:pPr>
      <w:r w:rsidRPr="00D170DE">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20D21" w:rsidRDefault="00120D21">
      <w:pPr>
        <w:rPr>
          <w:rFonts w:ascii="Arial" w:hAnsi="Arial" w:cs="Arial"/>
          <w:snapToGrid w:val="0"/>
          <w:sz w:val="22"/>
          <w:szCs w:val="20"/>
          <w:lang w:eastAsia="en-US"/>
        </w:rPr>
      </w:pPr>
      <w:r>
        <w:rPr>
          <w:rFonts w:ascii="Arial" w:hAnsi="Arial" w:cs="Arial"/>
          <w:snapToGrid w:val="0"/>
          <w:sz w:val="22"/>
          <w:szCs w:val="20"/>
          <w:lang w:eastAsia="en-US"/>
        </w:rPr>
        <w:br w:type="page"/>
      </w:r>
    </w:p>
    <w:p w:rsidR="00D170DE" w:rsidRPr="00D170DE" w:rsidRDefault="00D170DE" w:rsidP="00D170DE">
      <w:pPr>
        <w:widowControl w:val="0"/>
        <w:numPr>
          <w:ilvl w:val="0"/>
          <w:numId w:val="5"/>
        </w:numPr>
        <w:jc w:val="both"/>
        <w:outlineLvl w:val="0"/>
        <w:rPr>
          <w:rFonts w:ascii="Arial" w:hAnsi="Arial" w:cs="Arial"/>
          <w:b/>
          <w:snapToGrid w:val="0"/>
          <w:sz w:val="22"/>
          <w:szCs w:val="22"/>
          <w:lang w:eastAsia="en-US"/>
        </w:rPr>
      </w:pPr>
      <w:r w:rsidRPr="00D170DE">
        <w:rPr>
          <w:rFonts w:ascii="Arial" w:hAnsi="Arial" w:cs="Arial"/>
          <w:b/>
          <w:snapToGrid w:val="0"/>
          <w:sz w:val="22"/>
          <w:szCs w:val="22"/>
          <w:lang w:eastAsia="en-US"/>
        </w:rPr>
        <w:lastRenderedPageBreak/>
        <w:t>Sponsor’s Comment</w:t>
      </w:r>
    </w:p>
    <w:p w:rsidR="00D170DE" w:rsidRPr="00D170DE" w:rsidRDefault="00D170DE" w:rsidP="00D170DE">
      <w:pPr>
        <w:widowControl w:val="0"/>
        <w:ind w:left="426"/>
        <w:jc w:val="both"/>
        <w:rPr>
          <w:rFonts w:ascii="Arial" w:hAnsi="Arial" w:cs="Arial"/>
          <w:bCs/>
          <w:snapToGrid w:val="0"/>
          <w:sz w:val="22"/>
          <w:szCs w:val="20"/>
          <w:highlight w:val="yellow"/>
          <w:lang w:val="en-GB" w:eastAsia="en-US"/>
        </w:rPr>
      </w:pPr>
    </w:p>
    <w:p w:rsidR="00D170DE" w:rsidRPr="00C90C68" w:rsidRDefault="00394AAA" w:rsidP="001724CD">
      <w:pPr>
        <w:ind w:left="709"/>
        <w:rPr>
          <w:rFonts w:ascii="Arial" w:hAnsi="Arial" w:cs="Arial"/>
          <w:bCs/>
          <w:lang w:val="en-GB"/>
        </w:rPr>
      </w:pPr>
      <w:r w:rsidRPr="00CA0F0A">
        <w:rPr>
          <w:rFonts w:ascii="Arial" w:hAnsi="Arial" w:cs="Arial"/>
          <w:color w:val="000000" w:themeColor="text1"/>
          <w:sz w:val="22"/>
          <w:szCs w:val="22"/>
        </w:rPr>
        <w:t>Merck is disappointed with a second rejection by the PBAC. Overseas, cetuximab has been the standard of care for patients with RM SCCHN for many years as recommended in European and American Guidelines. We shall discuss with the Department whether there is a way to make cetuximab available for people living with RM SCCHN</w:t>
      </w:r>
      <w:r>
        <w:rPr>
          <w:rFonts w:ascii="Arial" w:hAnsi="Arial" w:cs="Arial"/>
          <w:color w:val="000000" w:themeColor="text1"/>
          <w:sz w:val="22"/>
          <w:szCs w:val="22"/>
        </w:rPr>
        <w:t xml:space="preserve">. </w:t>
      </w:r>
    </w:p>
    <w:sectPr w:rsidR="00D170DE" w:rsidRPr="00C90C6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CF70B" w15:done="0"/>
  <w15:commentEx w15:paraId="7B1E02E3" w15:done="0"/>
  <w15:commentEx w15:paraId="471B3203" w15:done="0"/>
  <w15:commentEx w15:paraId="2E488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076" w:rsidRDefault="00CC1076">
      <w:r>
        <w:separator/>
      </w:r>
    </w:p>
    <w:p w:rsidR="00CC1076" w:rsidRDefault="00CC1076"/>
  </w:endnote>
  <w:endnote w:type="continuationSeparator" w:id="0">
    <w:p w:rsidR="00CC1076" w:rsidRDefault="00CC1076">
      <w:r>
        <w:continuationSeparator/>
      </w:r>
    </w:p>
    <w:p w:rsidR="00CC1076" w:rsidRDefault="00CC1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24CD" w:rsidTr="005A3173">
      <w:trPr>
        <w:trHeight w:val="151"/>
      </w:trPr>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24CD" w:rsidRPr="005A3173" w:rsidRDefault="001724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r>
    <w:tr w:rsidR="001724CD" w:rsidTr="005A3173">
      <w:trPr>
        <w:trHeight w:val="150"/>
      </w:trPr>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0" w:type="auto"/>
          <w:vMerge/>
          <w:vAlign w:val="center"/>
          <w:hideMark/>
        </w:tcPr>
        <w:p w:rsidR="001724CD" w:rsidRPr="005A3173" w:rsidRDefault="001724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r>
  </w:tbl>
  <w:p w:rsidR="001724CD" w:rsidRDefault="001724C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4CD" w:rsidRDefault="001724CD">
    <w:pPr>
      <w:pStyle w:val="Footer"/>
    </w:pPr>
  </w:p>
  <w:p w:rsidR="001724CD" w:rsidRDefault="00172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CD" w:rsidRDefault="001724CD" w:rsidP="00EF44A0">
    <w:pPr>
      <w:pStyle w:val="Footer"/>
      <w:jc w:val="center"/>
      <w:rPr>
        <w:rFonts w:ascii="Arial" w:hAnsi="Arial" w:cs="Arial"/>
        <w:b/>
        <w:sz w:val="20"/>
        <w:szCs w:val="20"/>
      </w:rPr>
    </w:pPr>
  </w:p>
  <w:p w:rsidR="001724CD" w:rsidRPr="008D15B5" w:rsidRDefault="001724CD" w:rsidP="008D15B5">
    <w:pPr>
      <w:pStyle w:val="Footer"/>
      <w:ind w:left="360"/>
      <w:jc w:val="center"/>
      <w:rPr>
        <w:rFonts w:ascii="Arial" w:hAnsi="Arial" w:cs="Arial"/>
        <w:sz w:val="20"/>
      </w:rPr>
    </w:pPr>
    <w:r w:rsidRPr="008D15B5">
      <w:rPr>
        <w:rFonts w:ascii="Arial" w:hAnsi="Arial" w:cs="Arial"/>
        <w:sz w:val="20"/>
      </w:rPr>
      <w:fldChar w:fldCharType="begin"/>
    </w:r>
    <w:r w:rsidRPr="008D15B5">
      <w:rPr>
        <w:rFonts w:ascii="Arial" w:hAnsi="Arial" w:cs="Arial"/>
        <w:sz w:val="20"/>
      </w:rPr>
      <w:instrText xml:space="preserve"> PAGE   \* MERGEFORMAT </w:instrText>
    </w:r>
    <w:r w:rsidRPr="008D15B5">
      <w:rPr>
        <w:rFonts w:ascii="Arial" w:hAnsi="Arial" w:cs="Arial"/>
        <w:sz w:val="20"/>
      </w:rPr>
      <w:fldChar w:fldCharType="separate"/>
    </w:r>
    <w:r w:rsidR="00EE1A51">
      <w:rPr>
        <w:rFonts w:ascii="Arial" w:hAnsi="Arial" w:cs="Arial"/>
        <w:noProof/>
        <w:sz w:val="20"/>
      </w:rPr>
      <w:t>1</w:t>
    </w:r>
    <w:r w:rsidRPr="008D15B5">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724CD" w:rsidTr="005A3173">
      <w:trPr>
        <w:trHeight w:val="151"/>
      </w:trPr>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24CD" w:rsidRPr="005A3173" w:rsidRDefault="001724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r>
    <w:tr w:rsidR="001724CD" w:rsidTr="005A3173">
      <w:trPr>
        <w:trHeight w:val="150"/>
      </w:trPr>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0" w:type="auto"/>
          <w:vMerge/>
          <w:vAlign w:val="center"/>
          <w:hideMark/>
        </w:tcPr>
        <w:p w:rsidR="001724CD" w:rsidRPr="005A3173" w:rsidRDefault="001724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24CD" w:rsidTr="005A3173">
      <w:trPr>
        <w:trHeight w:val="151"/>
      </w:trPr>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24CD" w:rsidRPr="005A3173" w:rsidRDefault="001724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24CD" w:rsidRPr="005A3173" w:rsidRDefault="001724CD" w:rsidP="005A3173">
          <w:pPr>
            <w:pStyle w:val="Header"/>
            <w:spacing w:line="276" w:lineRule="auto"/>
            <w:rPr>
              <w:rFonts w:ascii="Calibri" w:eastAsia="MS Gothic" w:hAnsi="Calibri"/>
              <w:b/>
              <w:bCs/>
              <w:color w:val="4F81BD"/>
            </w:rPr>
          </w:pPr>
        </w:p>
      </w:tc>
    </w:tr>
    <w:tr w:rsidR="001724CD" w:rsidTr="005A3173">
      <w:trPr>
        <w:trHeight w:val="150"/>
      </w:trPr>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c>
        <w:tcPr>
          <w:tcW w:w="0" w:type="auto"/>
          <w:vMerge/>
          <w:vAlign w:val="center"/>
          <w:hideMark/>
        </w:tcPr>
        <w:p w:rsidR="001724CD" w:rsidRPr="005A3173" w:rsidRDefault="001724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24CD" w:rsidRPr="005A3173" w:rsidRDefault="001724CD" w:rsidP="005A3173">
          <w:pPr>
            <w:pStyle w:val="Header"/>
            <w:spacing w:line="276" w:lineRule="auto"/>
            <w:rPr>
              <w:rFonts w:ascii="Calibri" w:eastAsia="MS Gothic" w:hAnsi="Calibri"/>
              <w:b/>
              <w:bCs/>
              <w:color w:val="4F81BD"/>
            </w:rPr>
          </w:pPr>
        </w:p>
      </w:tc>
    </w:tr>
  </w:tbl>
  <w:p w:rsidR="001724CD" w:rsidRPr="007C0F57" w:rsidRDefault="001724C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724CD" w:rsidRPr="007C0F57" w:rsidRDefault="001724CD" w:rsidP="007C0F57">
    <w:pPr>
      <w:pStyle w:val="Footer"/>
      <w:jc w:val="center"/>
      <w:rPr>
        <w:b/>
        <w:i/>
        <w:sz w:val="20"/>
        <w:szCs w:val="20"/>
      </w:rPr>
    </w:pPr>
    <w:r w:rsidRPr="007C0F57">
      <w:rPr>
        <w:b/>
        <w:i/>
        <w:sz w:val="20"/>
        <w:szCs w:val="20"/>
      </w:rPr>
      <w:t>Commercial-in-Confidence</w:t>
    </w:r>
  </w:p>
  <w:p w:rsidR="001724CD" w:rsidRDefault="001724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076" w:rsidRDefault="00CC1076">
      <w:r>
        <w:separator/>
      </w:r>
    </w:p>
    <w:p w:rsidR="00CC1076" w:rsidRDefault="00CC1076"/>
  </w:footnote>
  <w:footnote w:type="continuationSeparator" w:id="0">
    <w:p w:rsidR="00CC1076" w:rsidRDefault="00CC1076">
      <w:r>
        <w:continuationSeparator/>
      </w:r>
    </w:p>
    <w:p w:rsidR="00CC1076" w:rsidRDefault="00CC10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724CD" w:rsidRPr="008E0D90" w:rsidTr="00A06225">
      <w:trPr>
        <w:trHeight w:val="151"/>
      </w:trPr>
      <w:tc>
        <w:tcPr>
          <w:tcW w:w="2389" w:type="pct"/>
          <w:tcBorders>
            <w:top w:val="nil"/>
            <w:left w:val="nil"/>
            <w:bottom w:val="single" w:sz="4" w:space="0" w:color="4F81BD"/>
            <w:right w:val="nil"/>
          </w:tcBorders>
        </w:tcPr>
        <w:p w:rsidR="001724CD" w:rsidRPr="00A06225" w:rsidRDefault="001724CD">
          <w:pPr>
            <w:pStyle w:val="Header"/>
            <w:spacing w:line="276" w:lineRule="auto"/>
            <w:rPr>
              <w:rFonts w:ascii="Cambria" w:eastAsia="MS Gothic" w:hAnsi="Cambria"/>
              <w:b/>
              <w:bCs/>
              <w:color w:val="4F81BD"/>
            </w:rPr>
          </w:pPr>
        </w:p>
      </w:tc>
      <w:tc>
        <w:tcPr>
          <w:tcW w:w="333" w:type="pct"/>
          <w:vMerge w:val="restart"/>
          <w:noWrap/>
          <w:vAlign w:val="center"/>
          <w:hideMark/>
        </w:tcPr>
        <w:p w:rsidR="001724CD" w:rsidRPr="00A06225" w:rsidRDefault="001724C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724CD" w:rsidRPr="00A06225" w:rsidRDefault="001724CD">
          <w:pPr>
            <w:pStyle w:val="Header"/>
            <w:spacing w:line="276" w:lineRule="auto"/>
            <w:rPr>
              <w:rFonts w:ascii="Cambria" w:eastAsia="MS Gothic" w:hAnsi="Cambria"/>
              <w:b/>
              <w:bCs/>
              <w:color w:val="4F81BD"/>
            </w:rPr>
          </w:pPr>
        </w:p>
      </w:tc>
    </w:tr>
    <w:tr w:rsidR="001724CD" w:rsidRPr="008E0D90" w:rsidTr="00A06225">
      <w:trPr>
        <w:trHeight w:val="150"/>
      </w:trPr>
      <w:tc>
        <w:tcPr>
          <w:tcW w:w="2389" w:type="pct"/>
          <w:tcBorders>
            <w:top w:val="single" w:sz="4" w:space="0" w:color="4F81BD"/>
            <w:left w:val="nil"/>
            <w:bottom w:val="nil"/>
            <w:right w:val="nil"/>
          </w:tcBorders>
        </w:tcPr>
        <w:p w:rsidR="001724CD" w:rsidRPr="00A06225" w:rsidRDefault="001724CD">
          <w:pPr>
            <w:pStyle w:val="Header"/>
            <w:spacing w:line="276" w:lineRule="auto"/>
            <w:rPr>
              <w:rFonts w:ascii="Cambria" w:eastAsia="MS Gothic" w:hAnsi="Cambria"/>
              <w:b/>
              <w:bCs/>
              <w:color w:val="4F81BD"/>
            </w:rPr>
          </w:pPr>
        </w:p>
      </w:tc>
      <w:tc>
        <w:tcPr>
          <w:tcW w:w="0" w:type="auto"/>
          <w:vMerge/>
          <w:vAlign w:val="center"/>
          <w:hideMark/>
        </w:tcPr>
        <w:p w:rsidR="001724CD" w:rsidRPr="00A06225" w:rsidRDefault="001724CD">
          <w:pPr>
            <w:rPr>
              <w:rFonts w:ascii="Cambria" w:hAnsi="Cambria"/>
              <w:color w:val="4F81BD"/>
              <w:sz w:val="22"/>
              <w:szCs w:val="22"/>
            </w:rPr>
          </w:pPr>
        </w:p>
      </w:tc>
      <w:tc>
        <w:tcPr>
          <w:tcW w:w="2278" w:type="pct"/>
          <w:tcBorders>
            <w:top w:val="single" w:sz="4" w:space="0" w:color="4F81BD"/>
            <w:left w:val="nil"/>
            <w:bottom w:val="nil"/>
            <w:right w:val="nil"/>
          </w:tcBorders>
        </w:tcPr>
        <w:p w:rsidR="001724CD" w:rsidRPr="00A06225" w:rsidRDefault="001724CD">
          <w:pPr>
            <w:pStyle w:val="Header"/>
            <w:spacing w:line="276" w:lineRule="auto"/>
            <w:rPr>
              <w:rFonts w:ascii="Cambria" w:eastAsia="MS Gothic" w:hAnsi="Cambria"/>
              <w:b/>
              <w:bCs/>
              <w:color w:val="4F81BD"/>
            </w:rPr>
          </w:pPr>
        </w:p>
      </w:tc>
    </w:tr>
  </w:tbl>
  <w:p w:rsidR="001724CD" w:rsidRDefault="001724CD">
    <w:pPr>
      <w:pStyle w:val="Header"/>
    </w:pPr>
  </w:p>
  <w:p w:rsidR="001724CD" w:rsidRDefault="001724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CD" w:rsidRPr="008D15B5" w:rsidRDefault="001724CD" w:rsidP="008D15B5">
    <w:pPr>
      <w:pStyle w:val="Header"/>
      <w:ind w:left="360"/>
      <w:jc w:val="center"/>
      <w:rPr>
        <w:rFonts w:ascii="Arial" w:hAnsi="Arial" w:cs="Arial"/>
        <w:i/>
        <w:color w:val="808080"/>
        <w:sz w:val="22"/>
        <w:szCs w:val="22"/>
      </w:rPr>
    </w:pPr>
    <w:r>
      <w:rPr>
        <w:rFonts w:ascii="Arial" w:hAnsi="Arial" w:cs="Arial"/>
        <w:i/>
        <w:color w:val="808080"/>
        <w:sz w:val="22"/>
        <w:szCs w:val="22"/>
      </w:rPr>
      <w:t>Public Summary Document</w:t>
    </w:r>
    <w:r w:rsidRPr="008D15B5">
      <w:rPr>
        <w:rFonts w:ascii="Arial" w:hAnsi="Arial" w:cs="Arial"/>
        <w:i/>
        <w:color w:val="808080"/>
        <w:sz w:val="22"/>
        <w:szCs w:val="22"/>
      </w:rPr>
      <w:t xml:space="preserve"> – November 2016 PBAC Meeting</w:t>
    </w:r>
  </w:p>
  <w:p w:rsidR="001724CD" w:rsidRDefault="001724C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6" w:rsidRDefault="00CC1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184882"/>
    <w:multiLevelType w:val="hybridMultilevel"/>
    <w:tmpl w:val="C97061EA"/>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571F42"/>
    <w:multiLevelType w:val="hybridMultilevel"/>
    <w:tmpl w:val="B5EC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DD32165"/>
    <w:multiLevelType w:val="multilevel"/>
    <w:tmpl w:val="3092A022"/>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F3705A8"/>
    <w:multiLevelType w:val="hybridMultilevel"/>
    <w:tmpl w:val="879049FE"/>
    <w:lvl w:ilvl="0" w:tplc="1A163A4A">
      <w:start w:val="1"/>
      <w:numFmt w:val="decimal"/>
      <w:lvlText w:val="%1."/>
      <w:lvlJc w:val="left"/>
      <w:pPr>
        <w:ind w:left="720" w:hanging="360"/>
      </w:pPr>
      <w:rPr>
        <w:rFonts w:hint="default"/>
        <w:b w:val="0"/>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B11B7D"/>
    <w:multiLevelType w:val="hybridMultilevel"/>
    <w:tmpl w:val="A50673B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4B2B51"/>
    <w:multiLevelType w:val="hybridMultilevel"/>
    <w:tmpl w:val="6B306F7C"/>
    <w:lvl w:ilvl="0" w:tplc="142C1830">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9A5D0A"/>
    <w:multiLevelType w:val="multilevel"/>
    <w:tmpl w:val="3092A022"/>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B167EF0"/>
    <w:multiLevelType w:val="hybridMultilevel"/>
    <w:tmpl w:val="19F88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7C34E2"/>
    <w:multiLevelType w:val="hybridMultilevel"/>
    <w:tmpl w:val="EF7A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6531A"/>
    <w:multiLevelType w:val="hybridMultilevel"/>
    <w:tmpl w:val="CF1C12DE"/>
    <w:lvl w:ilvl="0" w:tplc="C4BC1A1A">
      <w:start w:val="6"/>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5">
    <w:nsid w:val="3D42478D"/>
    <w:multiLevelType w:val="hybridMultilevel"/>
    <w:tmpl w:val="3014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8B92FF1"/>
    <w:multiLevelType w:val="hybridMultilevel"/>
    <w:tmpl w:val="5AC6BBC2"/>
    <w:lvl w:ilvl="0" w:tplc="50E6076C">
      <w:start w:val="1"/>
      <w:numFmt w:val="bullet"/>
      <w:lvlText w:val=""/>
      <w:lvlJc w:val="left"/>
      <w:pPr>
        <w:ind w:left="11" w:hanging="360"/>
      </w:pPr>
      <w:rPr>
        <w:rFonts w:ascii="Symbol" w:hAnsi="Symbol" w:hint="default"/>
        <w:b w:val="0"/>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236132"/>
    <w:multiLevelType w:val="multilevel"/>
    <w:tmpl w:val="7CFA03AC"/>
    <w:lvl w:ilvl="0">
      <w:start w:val="1"/>
      <w:numFmt w:val="decimal"/>
      <w:lvlText w:val="%1"/>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ascii="Arial" w:hAnsi="Arial" w:cs="Arial" w:hint="default"/>
        <w:b w:val="0"/>
        <w:bCs/>
        <w:i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abstractNum>
  <w:abstractNum w:abstractNumId="30">
    <w:nsid w:val="5DFF427D"/>
    <w:multiLevelType w:val="hybridMultilevel"/>
    <w:tmpl w:val="E3FCD5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nsid w:val="60E875D7"/>
    <w:multiLevelType w:val="hybridMultilevel"/>
    <w:tmpl w:val="C52836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D640AB"/>
    <w:multiLevelType w:val="hybridMultilevel"/>
    <w:tmpl w:val="357076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nsid w:val="784D033C"/>
    <w:multiLevelType w:val="multilevel"/>
    <w:tmpl w:val="E736AE9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AC39FA"/>
    <w:multiLevelType w:val="multilevel"/>
    <w:tmpl w:val="C6F8B44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7"/>
  </w:num>
  <w:num w:numId="4">
    <w:abstractNumId w:val="27"/>
  </w:num>
  <w:num w:numId="5">
    <w:abstractNumId w:val="33"/>
  </w:num>
  <w:num w:numId="6">
    <w:abstractNumId w:val="10"/>
  </w:num>
  <w:num w:numId="7">
    <w:abstractNumId w:val="20"/>
  </w:num>
  <w:num w:numId="8">
    <w:abstractNumId w:val="4"/>
  </w:num>
  <w:num w:numId="9">
    <w:abstractNumId w:val="18"/>
  </w:num>
  <w:num w:numId="10">
    <w:abstractNumId w:val="16"/>
  </w:num>
  <w:num w:numId="11">
    <w:abstractNumId w:val="13"/>
  </w:num>
  <w:num w:numId="12">
    <w:abstractNumId w:val="1"/>
  </w:num>
  <w:num w:numId="13">
    <w:abstractNumId w:val="0"/>
  </w:num>
  <w:num w:numId="14">
    <w:abstractNumId w:val="33"/>
  </w:num>
  <w:num w:numId="15">
    <w:abstractNumId w:val="23"/>
  </w:num>
  <w:num w:numId="16">
    <w:abstractNumId w:val="22"/>
  </w:num>
  <w:num w:numId="17">
    <w:abstractNumId w:val="8"/>
  </w:num>
  <w:num w:numId="18">
    <w:abstractNumId w:val="31"/>
  </w:num>
  <w:num w:numId="19">
    <w:abstractNumId w:val="17"/>
  </w:num>
  <w:num w:numId="20">
    <w:abstractNumId w:val="33"/>
  </w:num>
  <w:num w:numId="21">
    <w:abstractNumId w:val="32"/>
  </w:num>
  <w:num w:numId="22">
    <w:abstractNumId w:val="21"/>
  </w:num>
  <w:num w:numId="23">
    <w:abstractNumId w:val="14"/>
  </w:num>
  <w:num w:numId="24">
    <w:abstractNumId w:val="5"/>
  </w:num>
  <w:num w:numId="25">
    <w:abstractNumId w:val="34"/>
  </w:num>
  <w:num w:numId="26">
    <w:abstractNumId w:val="15"/>
  </w:num>
  <w:num w:numId="27">
    <w:abstractNumId w:val="30"/>
  </w:num>
  <w:num w:numId="28">
    <w:abstractNumId w:val="19"/>
  </w:num>
  <w:num w:numId="29">
    <w:abstractNumId w:val="26"/>
  </w:num>
  <w:num w:numId="30">
    <w:abstractNumId w:val="9"/>
  </w:num>
  <w:num w:numId="31">
    <w:abstractNumId w:val="29"/>
  </w:num>
  <w:num w:numId="32">
    <w:abstractNumId w:val="28"/>
  </w:num>
  <w:num w:numId="33">
    <w:abstractNumId w:val="6"/>
  </w:num>
  <w:num w:numId="34">
    <w:abstractNumId w:val="2"/>
  </w:num>
  <w:num w:numId="35">
    <w:abstractNumId w:val="12"/>
  </w:num>
  <w:num w:numId="36">
    <w:abstractNumId w:val="24"/>
  </w:num>
  <w:num w:numId="37">
    <w:abstractNumId w:val="2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Zavarsek">
    <w15:presenceInfo w15:providerId="AD" w15:userId="S-1-5-21-948756243-734778046-674738317-2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03D"/>
    <w:rsid w:val="000025AD"/>
    <w:rsid w:val="00011704"/>
    <w:rsid w:val="000130C1"/>
    <w:rsid w:val="00022DCB"/>
    <w:rsid w:val="0002464A"/>
    <w:rsid w:val="0003106B"/>
    <w:rsid w:val="00032F31"/>
    <w:rsid w:val="000421A1"/>
    <w:rsid w:val="0004240E"/>
    <w:rsid w:val="00045E26"/>
    <w:rsid w:val="00046305"/>
    <w:rsid w:val="0004708C"/>
    <w:rsid w:val="000514B5"/>
    <w:rsid w:val="00060B7E"/>
    <w:rsid w:val="00060E64"/>
    <w:rsid w:val="00066755"/>
    <w:rsid w:val="00077143"/>
    <w:rsid w:val="00083A65"/>
    <w:rsid w:val="00094862"/>
    <w:rsid w:val="000969AD"/>
    <w:rsid w:val="000A2603"/>
    <w:rsid w:val="000B05C0"/>
    <w:rsid w:val="000B38BA"/>
    <w:rsid w:val="000B558D"/>
    <w:rsid w:val="000B6F60"/>
    <w:rsid w:val="000C42F6"/>
    <w:rsid w:val="000C6996"/>
    <w:rsid w:val="000D23BA"/>
    <w:rsid w:val="000D2865"/>
    <w:rsid w:val="000D7F35"/>
    <w:rsid w:val="000E681E"/>
    <w:rsid w:val="000F4E6A"/>
    <w:rsid w:val="00102B2F"/>
    <w:rsid w:val="001107BF"/>
    <w:rsid w:val="00110E7B"/>
    <w:rsid w:val="0011414E"/>
    <w:rsid w:val="0011658F"/>
    <w:rsid w:val="00120D21"/>
    <w:rsid w:val="00123749"/>
    <w:rsid w:val="0012417C"/>
    <w:rsid w:val="00124246"/>
    <w:rsid w:val="00142395"/>
    <w:rsid w:val="00142714"/>
    <w:rsid w:val="00143612"/>
    <w:rsid w:val="00144222"/>
    <w:rsid w:val="00144B71"/>
    <w:rsid w:val="001452ED"/>
    <w:rsid w:val="00151CBB"/>
    <w:rsid w:val="00171505"/>
    <w:rsid w:val="001724CD"/>
    <w:rsid w:val="001737D8"/>
    <w:rsid w:val="00176A9B"/>
    <w:rsid w:val="0017784B"/>
    <w:rsid w:val="001830CE"/>
    <w:rsid w:val="001837DA"/>
    <w:rsid w:val="0018643B"/>
    <w:rsid w:val="00196307"/>
    <w:rsid w:val="001A46B9"/>
    <w:rsid w:val="001A7203"/>
    <w:rsid w:val="001B017F"/>
    <w:rsid w:val="001B0E65"/>
    <w:rsid w:val="001B5129"/>
    <w:rsid w:val="001C1195"/>
    <w:rsid w:val="001C7035"/>
    <w:rsid w:val="001C7533"/>
    <w:rsid w:val="001C776B"/>
    <w:rsid w:val="001D14FC"/>
    <w:rsid w:val="001D5DD5"/>
    <w:rsid w:val="0021012D"/>
    <w:rsid w:val="0021117B"/>
    <w:rsid w:val="00213CFB"/>
    <w:rsid w:val="00226686"/>
    <w:rsid w:val="00226D81"/>
    <w:rsid w:val="00241E90"/>
    <w:rsid w:val="00247156"/>
    <w:rsid w:val="00250A24"/>
    <w:rsid w:val="00255ABF"/>
    <w:rsid w:val="002719E8"/>
    <w:rsid w:val="00271BA1"/>
    <w:rsid w:val="00277505"/>
    <w:rsid w:val="0028405C"/>
    <w:rsid w:val="002862FF"/>
    <w:rsid w:val="00293752"/>
    <w:rsid w:val="0029458F"/>
    <w:rsid w:val="002953FD"/>
    <w:rsid w:val="002976C6"/>
    <w:rsid w:val="00297811"/>
    <w:rsid w:val="002A0B74"/>
    <w:rsid w:val="002A104C"/>
    <w:rsid w:val="002A4960"/>
    <w:rsid w:val="002B1978"/>
    <w:rsid w:val="002B1AE6"/>
    <w:rsid w:val="002B1B5D"/>
    <w:rsid w:val="002B30F8"/>
    <w:rsid w:val="002B699C"/>
    <w:rsid w:val="002C212F"/>
    <w:rsid w:val="002C53E0"/>
    <w:rsid w:val="002D6FF8"/>
    <w:rsid w:val="002E3153"/>
    <w:rsid w:val="002E4EEC"/>
    <w:rsid w:val="002E72CA"/>
    <w:rsid w:val="002F5DF8"/>
    <w:rsid w:val="00300AD6"/>
    <w:rsid w:val="00304541"/>
    <w:rsid w:val="00317C24"/>
    <w:rsid w:val="00326E79"/>
    <w:rsid w:val="00330FC6"/>
    <w:rsid w:val="00333233"/>
    <w:rsid w:val="003332E5"/>
    <w:rsid w:val="003367EF"/>
    <w:rsid w:val="00341AE4"/>
    <w:rsid w:val="003453C3"/>
    <w:rsid w:val="003503E2"/>
    <w:rsid w:val="00352344"/>
    <w:rsid w:val="00380F97"/>
    <w:rsid w:val="003836EC"/>
    <w:rsid w:val="00383811"/>
    <w:rsid w:val="00383D6A"/>
    <w:rsid w:val="00384649"/>
    <w:rsid w:val="003872CF"/>
    <w:rsid w:val="00392A9C"/>
    <w:rsid w:val="003941C5"/>
    <w:rsid w:val="00394AAA"/>
    <w:rsid w:val="00396065"/>
    <w:rsid w:val="0039782C"/>
    <w:rsid w:val="003A5B4A"/>
    <w:rsid w:val="003B23C5"/>
    <w:rsid w:val="003B2A75"/>
    <w:rsid w:val="003B48EE"/>
    <w:rsid w:val="003C47E1"/>
    <w:rsid w:val="003D4AC4"/>
    <w:rsid w:val="003D63B7"/>
    <w:rsid w:val="003E0EB7"/>
    <w:rsid w:val="003E468B"/>
    <w:rsid w:val="003F5C8C"/>
    <w:rsid w:val="00407174"/>
    <w:rsid w:val="00411DBB"/>
    <w:rsid w:val="00416C10"/>
    <w:rsid w:val="00421818"/>
    <w:rsid w:val="00421906"/>
    <w:rsid w:val="00427C63"/>
    <w:rsid w:val="004363DE"/>
    <w:rsid w:val="004465BD"/>
    <w:rsid w:val="00452D45"/>
    <w:rsid w:val="0045761C"/>
    <w:rsid w:val="00460199"/>
    <w:rsid w:val="0046267E"/>
    <w:rsid w:val="00466ADA"/>
    <w:rsid w:val="00470016"/>
    <w:rsid w:val="00470DAA"/>
    <w:rsid w:val="00471F96"/>
    <w:rsid w:val="00474AF6"/>
    <w:rsid w:val="00476245"/>
    <w:rsid w:val="00477605"/>
    <w:rsid w:val="0048249C"/>
    <w:rsid w:val="00483EC9"/>
    <w:rsid w:val="00485940"/>
    <w:rsid w:val="00490664"/>
    <w:rsid w:val="004933E3"/>
    <w:rsid w:val="004A2484"/>
    <w:rsid w:val="004A5A85"/>
    <w:rsid w:val="004B5640"/>
    <w:rsid w:val="004C1BD7"/>
    <w:rsid w:val="004C4448"/>
    <w:rsid w:val="004C691D"/>
    <w:rsid w:val="004D3BCB"/>
    <w:rsid w:val="004D6A20"/>
    <w:rsid w:val="004D72EA"/>
    <w:rsid w:val="004E3A4C"/>
    <w:rsid w:val="004E692D"/>
    <w:rsid w:val="004F158B"/>
    <w:rsid w:val="00501554"/>
    <w:rsid w:val="00504612"/>
    <w:rsid w:val="0050541D"/>
    <w:rsid w:val="00514CD7"/>
    <w:rsid w:val="005246D0"/>
    <w:rsid w:val="0052500B"/>
    <w:rsid w:val="005264D9"/>
    <w:rsid w:val="005317FB"/>
    <w:rsid w:val="005319B2"/>
    <w:rsid w:val="00532C74"/>
    <w:rsid w:val="00534E2E"/>
    <w:rsid w:val="00544552"/>
    <w:rsid w:val="00564868"/>
    <w:rsid w:val="0056641A"/>
    <w:rsid w:val="00577EA9"/>
    <w:rsid w:val="005804CF"/>
    <w:rsid w:val="00580FF4"/>
    <w:rsid w:val="00581932"/>
    <w:rsid w:val="005911C0"/>
    <w:rsid w:val="00592AA7"/>
    <w:rsid w:val="005963BB"/>
    <w:rsid w:val="005A1398"/>
    <w:rsid w:val="005A3173"/>
    <w:rsid w:val="005A3223"/>
    <w:rsid w:val="005A3DA3"/>
    <w:rsid w:val="005A52C4"/>
    <w:rsid w:val="005B4FDC"/>
    <w:rsid w:val="005C0345"/>
    <w:rsid w:val="005C05F6"/>
    <w:rsid w:val="005C3E28"/>
    <w:rsid w:val="005C6D02"/>
    <w:rsid w:val="005D03AB"/>
    <w:rsid w:val="005D21E6"/>
    <w:rsid w:val="005D5017"/>
    <w:rsid w:val="005E5A1E"/>
    <w:rsid w:val="005F5AF9"/>
    <w:rsid w:val="00601A91"/>
    <w:rsid w:val="00602BA3"/>
    <w:rsid w:val="00606087"/>
    <w:rsid w:val="00614159"/>
    <w:rsid w:val="006146AA"/>
    <w:rsid w:val="00617C00"/>
    <w:rsid w:val="0062463B"/>
    <w:rsid w:val="006263BF"/>
    <w:rsid w:val="0062748A"/>
    <w:rsid w:val="00630746"/>
    <w:rsid w:val="00630A2C"/>
    <w:rsid w:val="00632494"/>
    <w:rsid w:val="00633205"/>
    <w:rsid w:val="00637A9D"/>
    <w:rsid w:val="00651169"/>
    <w:rsid w:val="00652306"/>
    <w:rsid w:val="00652BA1"/>
    <w:rsid w:val="00653D69"/>
    <w:rsid w:val="006608E2"/>
    <w:rsid w:val="00670A76"/>
    <w:rsid w:val="006711AA"/>
    <w:rsid w:val="00672B57"/>
    <w:rsid w:val="00675622"/>
    <w:rsid w:val="00680704"/>
    <w:rsid w:val="0068128B"/>
    <w:rsid w:val="006906DB"/>
    <w:rsid w:val="006A12A5"/>
    <w:rsid w:val="006A50AE"/>
    <w:rsid w:val="006A6291"/>
    <w:rsid w:val="006B0D94"/>
    <w:rsid w:val="006B485D"/>
    <w:rsid w:val="006C0F10"/>
    <w:rsid w:val="006C708E"/>
    <w:rsid w:val="006D4CB8"/>
    <w:rsid w:val="006D56E5"/>
    <w:rsid w:val="006D6EC7"/>
    <w:rsid w:val="006E1E77"/>
    <w:rsid w:val="006F02F5"/>
    <w:rsid w:val="006F4577"/>
    <w:rsid w:val="006F5125"/>
    <w:rsid w:val="006F637D"/>
    <w:rsid w:val="00705E23"/>
    <w:rsid w:val="007132D5"/>
    <w:rsid w:val="00715289"/>
    <w:rsid w:val="007174BB"/>
    <w:rsid w:val="00717D18"/>
    <w:rsid w:val="00730E30"/>
    <w:rsid w:val="00735B01"/>
    <w:rsid w:val="0076420C"/>
    <w:rsid w:val="00766E49"/>
    <w:rsid w:val="00771501"/>
    <w:rsid w:val="007753C2"/>
    <w:rsid w:val="00776A7F"/>
    <w:rsid w:val="007838B8"/>
    <w:rsid w:val="00783EF4"/>
    <w:rsid w:val="00785FC0"/>
    <w:rsid w:val="00787D37"/>
    <w:rsid w:val="007938CF"/>
    <w:rsid w:val="0079588E"/>
    <w:rsid w:val="00797217"/>
    <w:rsid w:val="007974AC"/>
    <w:rsid w:val="007A31C3"/>
    <w:rsid w:val="007B79DB"/>
    <w:rsid w:val="007C0F57"/>
    <w:rsid w:val="007C3960"/>
    <w:rsid w:val="007C40B6"/>
    <w:rsid w:val="007C729F"/>
    <w:rsid w:val="007D47A4"/>
    <w:rsid w:val="007E1D28"/>
    <w:rsid w:val="007F2641"/>
    <w:rsid w:val="007F5C29"/>
    <w:rsid w:val="007F7C36"/>
    <w:rsid w:val="00801F44"/>
    <w:rsid w:val="00803BAB"/>
    <w:rsid w:val="00806796"/>
    <w:rsid w:val="008151D6"/>
    <w:rsid w:val="00826F6D"/>
    <w:rsid w:val="00831FB0"/>
    <w:rsid w:val="00834382"/>
    <w:rsid w:val="00841A15"/>
    <w:rsid w:val="00847E65"/>
    <w:rsid w:val="00852C64"/>
    <w:rsid w:val="00854F5A"/>
    <w:rsid w:val="00856DDD"/>
    <w:rsid w:val="0086232E"/>
    <w:rsid w:val="00863E68"/>
    <w:rsid w:val="00875AC4"/>
    <w:rsid w:val="00882085"/>
    <w:rsid w:val="00883188"/>
    <w:rsid w:val="00897D58"/>
    <w:rsid w:val="008A1956"/>
    <w:rsid w:val="008A319F"/>
    <w:rsid w:val="008A3663"/>
    <w:rsid w:val="008A4937"/>
    <w:rsid w:val="008A50F1"/>
    <w:rsid w:val="008D00BD"/>
    <w:rsid w:val="008D15B5"/>
    <w:rsid w:val="008D1B5C"/>
    <w:rsid w:val="008D3C82"/>
    <w:rsid w:val="008D447E"/>
    <w:rsid w:val="008D7A41"/>
    <w:rsid w:val="008E3680"/>
    <w:rsid w:val="008E5870"/>
    <w:rsid w:val="008E7E68"/>
    <w:rsid w:val="008F1434"/>
    <w:rsid w:val="008F4F3A"/>
    <w:rsid w:val="008F7355"/>
    <w:rsid w:val="009067B7"/>
    <w:rsid w:val="00906ED9"/>
    <w:rsid w:val="00930937"/>
    <w:rsid w:val="00933E6C"/>
    <w:rsid w:val="00934534"/>
    <w:rsid w:val="00942160"/>
    <w:rsid w:val="00950B51"/>
    <w:rsid w:val="0095146F"/>
    <w:rsid w:val="009521E0"/>
    <w:rsid w:val="00953218"/>
    <w:rsid w:val="009602C5"/>
    <w:rsid w:val="00962223"/>
    <w:rsid w:val="00972F6F"/>
    <w:rsid w:val="00974C21"/>
    <w:rsid w:val="00987A3C"/>
    <w:rsid w:val="0099542A"/>
    <w:rsid w:val="00995605"/>
    <w:rsid w:val="00995730"/>
    <w:rsid w:val="009B0F67"/>
    <w:rsid w:val="009B7EDF"/>
    <w:rsid w:val="009C0064"/>
    <w:rsid w:val="009C703C"/>
    <w:rsid w:val="009D3CAA"/>
    <w:rsid w:val="009F4E46"/>
    <w:rsid w:val="009F5B65"/>
    <w:rsid w:val="009F5F2E"/>
    <w:rsid w:val="00A00D1A"/>
    <w:rsid w:val="00A06225"/>
    <w:rsid w:val="00A10416"/>
    <w:rsid w:val="00A128E6"/>
    <w:rsid w:val="00A203E1"/>
    <w:rsid w:val="00A214FF"/>
    <w:rsid w:val="00A352AD"/>
    <w:rsid w:val="00A37C8D"/>
    <w:rsid w:val="00A50F1B"/>
    <w:rsid w:val="00A5273B"/>
    <w:rsid w:val="00A53A9D"/>
    <w:rsid w:val="00A55FEE"/>
    <w:rsid w:val="00A62C1A"/>
    <w:rsid w:val="00A6426D"/>
    <w:rsid w:val="00A6508C"/>
    <w:rsid w:val="00A70622"/>
    <w:rsid w:val="00A70977"/>
    <w:rsid w:val="00A72149"/>
    <w:rsid w:val="00A77613"/>
    <w:rsid w:val="00A8300F"/>
    <w:rsid w:val="00A8390C"/>
    <w:rsid w:val="00A928BD"/>
    <w:rsid w:val="00AA4D1C"/>
    <w:rsid w:val="00AB44F8"/>
    <w:rsid w:val="00AC0741"/>
    <w:rsid w:val="00AC193C"/>
    <w:rsid w:val="00AC5206"/>
    <w:rsid w:val="00AC5CA2"/>
    <w:rsid w:val="00AD0E7B"/>
    <w:rsid w:val="00AE11A5"/>
    <w:rsid w:val="00AE13E2"/>
    <w:rsid w:val="00AE4A8A"/>
    <w:rsid w:val="00AF0182"/>
    <w:rsid w:val="00AF68CC"/>
    <w:rsid w:val="00B017E9"/>
    <w:rsid w:val="00B05518"/>
    <w:rsid w:val="00B1059E"/>
    <w:rsid w:val="00B13770"/>
    <w:rsid w:val="00B205AA"/>
    <w:rsid w:val="00B22E84"/>
    <w:rsid w:val="00B25F75"/>
    <w:rsid w:val="00B264BA"/>
    <w:rsid w:val="00B33614"/>
    <w:rsid w:val="00B354A5"/>
    <w:rsid w:val="00B43E90"/>
    <w:rsid w:val="00B45F83"/>
    <w:rsid w:val="00B467DC"/>
    <w:rsid w:val="00B55568"/>
    <w:rsid w:val="00B56118"/>
    <w:rsid w:val="00B6773F"/>
    <w:rsid w:val="00B758FF"/>
    <w:rsid w:val="00B801BA"/>
    <w:rsid w:val="00B8384B"/>
    <w:rsid w:val="00B87D27"/>
    <w:rsid w:val="00B91843"/>
    <w:rsid w:val="00B96365"/>
    <w:rsid w:val="00B96ED7"/>
    <w:rsid w:val="00BA2D81"/>
    <w:rsid w:val="00BA2E6E"/>
    <w:rsid w:val="00BB69F5"/>
    <w:rsid w:val="00BB7EC3"/>
    <w:rsid w:val="00BC4B9A"/>
    <w:rsid w:val="00BC73DA"/>
    <w:rsid w:val="00BD784C"/>
    <w:rsid w:val="00BE6AD2"/>
    <w:rsid w:val="00BE7F2A"/>
    <w:rsid w:val="00BF1035"/>
    <w:rsid w:val="00BF1718"/>
    <w:rsid w:val="00BF4CB6"/>
    <w:rsid w:val="00C00DA7"/>
    <w:rsid w:val="00C020E8"/>
    <w:rsid w:val="00C12768"/>
    <w:rsid w:val="00C205B7"/>
    <w:rsid w:val="00C27B58"/>
    <w:rsid w:val="00C34870"/>
    <w:rsid w:val="00C35996"/>
    <w:rsid w:val="00C36DA6"/>
    <w:rsid w:val="00C43D2F"/>
    <w:rsid w:val="00C50E5F"/>
    <w:rsid w:val="00C5342C"/>
    <w:rsid w:val="00C603D4"/>
    <w:rsid w:val="00C6256A"/>
    <w:rsid w:val="00C86ADB"/>
    <w:rsid w:val="00C90395"/>
    <w:rsid w:val="00C90C68"/>
    <w:rsid w:val="00C91449"/>
    <w:rsid w:val="00C92D10"/>
    <w:rsid w:val="00CA0D99"/>
    <w:rsid w:val="00CA7252"/>
    <w:rsid w:val="00CB02AB"/>
    <w:rsid w:val="00CB0D5A"/>
    <w:rsid w:val="00CB15DD"/>
    <w:rsid w:val="00CB5CB9"/>
    <w:rsid w:val="00CC1076"/>
    <w:rsid w:val="00CD0F82"/>
    <w:rsid w:val="00CE10C4"/>
    <w:rsid w:val="00CE27B5"/>
    <w:rsid w:val="00CE5BFE"/>
    <w:rsid w:val="00CE6293"/>
    <w:rsid w:val="00CF1421"/>
    <w:rsid w:val="00CF3484"/>
    <w:rsid w:val="00CF5738"/>
    <w:rsid w:val="00D0321E"/>
    <w:rsid w:val="00D13FF9"/>
    <w:rsid w:val="00D1455A"/>
    <w:rsid w:val="00D170DE"/>
    <w:rsid w:val="00D17B93"/>
    <w:rsid w:val="00D3138B"/>
    <w:rsid w:val="00D3280C"/>
    <w:rsid w:val="00D3406A"/>
    <w:rsid w:val="00D41726"/>
    <w:rsid w:val="00D42727"/>
    <w:rsid w:val="00D451E8"/>
    <w:rsid w:val="00D46090"/>
    <w:rsid w:val="00D469B2"/>
    <w:rsid w:val="00D741EB"/>
    <w:rsid w:val="00D80C39"/>
    <w:rsid w:val="00D84934"/>
    <w:rsid w:val="00D91271"/>
    <w:rsid w:val="00DA2CB5"/>
    <w:rsid w:val="00DA4BAC"/>
    <w:rsid w:val="00DB11D2"/>
    <w:rsid w:val="00DB14DC"/>
    <w:rsid w:val="00DB1FFE"/>
    <w:rsid w:val="00DB4954"/>
    <w:rsid w:val="00DC2C49"/>
    <w:rsid w:val="00DD089D"/>
    <w:rsid w:val="00DE1F48"/>
    <w:rsid w:val="00DE6D27"/>
    <w:rsid w:val="00DF001B"/>
    <w:rsid w:val="00DF217D"/>
    <w:rsid w:val="00DF24BE"/>
    <w:rsid w:val="00DF26A7"/>
    <w:rsid w:val="00DF5B5D"/>
    <w:rsid w:val="00E01706"/>
    <w:rsid w:val="00E112E6"/>
    <w:rsid w:val="00E15627"/>
    <w:rsid w:val="00E164B3"/>
    <w:rsid w:val="00E16910"/>
    <w:rsid w:val="00E16C71"/>
    <w:rsid w:val="00E379A5"/>
    <w:rsid w:val="00E419A0"/>
    <w:rsid w:val="00E475C2"/>
    <w:rsid w:val="00E47757"/>
    <w:rsid w:val="00E50562"/>
    <w:rsid w:val="00E538DC"/>
    <w:rsid w:val="00E64A19"/>
    <w:rsid w:val="00E65E54"/>
    <w:rsid w:val="00E71F07"/>
    <w:rsid w:val="00E77AC5"/>
    <w:rsid w:val="00E80155"/>
    <w:rsid w:val="00E81B4D"/>
    <w:rsid w:val="00E848C0"/>
    <w:rsid w:val="00E91B96"/>
    <w:rsid w:val="00E941A1"/>
    <w:rsid w:val="00E956B4"/>
    <w:rsid w:val="00E95CE3"/>
    <w:rsid w:val="00EA2825"/>
    <w:rsid w:val="00EB15F0"/>
    <w:rsid w:val="00EB1949"/>
    <w:rsid w:val="00EB3854"/>
    <w:rsid w:val="00EB5088"/>
    <w:rsid w:val="00EC7464"/>
    <w:rsid w:val="00ED09E4"/>
    <w:rsid w:val="00ED1644"/>
    <w:rsid w:val="00ED2593"/>
    <w:rsid w:val="00EE1A51"/>
    <w:rsid w:val="00EF229E"/>
    <w:rsid w:val="00EF44A0"/>
    <w:rsid w:val="00EF4FED"/>
    <w:rsid w:val="00F050BD"/>
    <w:rsid w:val="00F05657"/>
    <w:rsid w:val="00F06615"/>
    <w:rsid w:val="00F12DEE"/>
    <w:rsid w:val="00F25578"/>
    <w:rsid w:val="00F258E5"/>
    <w:rsid w:val="00F300BC"/>
    <w:rsid w:val="00F30E5C"/>
    <w:rsid w:val="00F3204A"/>
    <w:rsid w:val="00F3334E"/>
    <w:rsid w:val="00F34CEA"/>
    <w:rsid w:val="00F37FDC"/>
    <w:rsid w:val="00F44C63"/>
    <w:rsid w:val="00F50EC4"/>
    <w:rsid w:val="00F53751"/>
    <w:rsid w:val="00F53D02"/>
    <w:rsid w:val="00F55D98"/>
    <w:rsid w:val="00F57A6D"/>
    <w:rsid w:val="00F61886"/>
    <w:rsid w:val="00F638CC"/>
    <w:rsid w:val="00F63BC0"/>
    <w:rsid w:val="00F64CC1"/>
    <w:rsid w:val="00F7167E"/>
    <w:rsid w:val="00F81DF9"/>
    <w:rsid w:val="00F8247A"/>
    <w:rsid w:val="00F83781"/>
    <w:rsid w:val="00F91BE5"/>
    <w:rsid w:val="00F938D8"/>
    <w:rsid w:val="00F939C4"/>
    <w:rsid w:val="00F9629A"/>
    <w:rsid w:val="00F97013"/>
    <w:rsid w:val="00F97BAB"/>
    <w:rsid w:val="00F97D05"/>
    <w:rsid w:val="00FA2E1A"/>
    <w:rsid w:val="00FA3E05"/>
    <w:rsid w:val="00FA4DD8"/>
    <w:rsid w:val="00FA5883"/>
    <w:rsid w:val="00FA6055"/>
    <w:rsid w:val="00FB322F"/>
    <w:rsid w:val="00FB442F"/>
    <w:rsid w:val="00FC1929"/>
    <w:rsid w:val="00FC3440"/>
    <w:rsid w:val="00FC5B46"/>
    <w:rsid w:val="00FD3CF5"/>
    <w:rsid w:val="00FE0E94"/>
    <w:rsid w:val="00FE17E2"/>
    <w:rsid w:val="00FE248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BodyText">
    <w:name w:val="Body Text"/>
    <w:basedOn w:val="Normal"/>
    <w:link w:val="BodyTextChar"/>
    <w:semiHidden/>
    <w:unhideWhenUsed/>
    <w:rsid w:val="003E0EB7"/>
    <w:pPr>
      <w:spacing w:after="120"/>
    </w:pPr>
  </w:style>
  <w:style w:type="character" w:customStyle="1" w:styleId="BodyTextChar">
    <w:name w:val="Body Text Char"/>
    <w:basedOn w:val="DefaultParagraphFont"/>
    <w:link w:val="BodyText"/>
    <w:semiHidden/>
    <w:rsid w:val="003E0EB7"/>
    <w:rPr>
      <w:sz w:val="24"/>
      <w:szCs w:val="24"/>
    </w:rPr>
  </w:style>
  <w:style w:type="paragraph" w:styleId="Revision">
    <w:name w:val="Revision"/>
    <w:hidden/>
    <w:uiPriority w:val="71"/>
    <w:semiHidden/>
    <w:rsid w:val="004E3A4C"/>
    <w:rPr>
      <w:sz w:val="24"/>
      <w:szCs w:val="24"/>
    </w:rPr>
  </w:style>
  <w:style w:type="character" w:styleId="Emphasis">
    <w:name w:val="Emphasis"/>
    <w:basedOn w:val="DefaultParagraphFont"/>
    <w:uiPriority w:val="20"/>
    <w:qFormat/>
    <w:rsid w:val="006608E2"/>
    <w:rPr>
      <w:i/>
      <w:iCs/>
    </w:rPr>
  </w:style>
  <w:style w:type="paragraph" w:customStyle="1" w:styleId="Body">
    <w:name w:val="Body"/>
    <w:rsid w:val="005C3E28"/>
    <w:pPr>
      <w:widowControl w:val="0"/>
      <w:pBdr>
        <w:top w:val="nil"/>
        <w:left w:val="nil"/>
        <w:bottom w:val="nil"/>
        <w:right w:val="nil"/>
        <w:between w:val="nil"/>
        <w:bar w:val="nil"/>
      </w:pBdr>
      <w:jc w:val="both"/>
    </w:pPr>
    <w:rPr>
      <w:rFonts w:ascii="Arial" w:eastAsia="Arial Unicode MS" w:hAnsi="Arial" w:cs="Arial Unicode MS"/>
      <w:color w:val="000000"/>
      <w:sz w:val="22"/>
      <w:szCs w:val="22"/>
      <w:u w:color="000000"/>
      <w:bdr w:val="nil"/>
      <w:lang w:val="nl-NL"/>
    </w:rPr>
  </w:style>
  <w:style w:type="character" w:styleId="FollowedHyperlink">
    <w:name w:val="FollowedHyperlink"/>
    <w:basedOn w:val="DefaultParagraphFont"/>
    <w:semiHidden/>
    <w:unhideWhenUsed/>
    <w:rsid w:val="0045761C"/>
    <w:rPr>
      <w:color w:val="800080" w:themeColor="followedHyperlink"/>
      <w:u w:val="single"/>
    </w:rPr>
  </w:style>
  <w:style w:type="character" w:customStyle="1" w:styleId="apple-converted-space">
    <w:name w:val="apple-converted-space"/>
    <w:basedOn w:val="DefaultParagraphFont"/>
    <w:rsid w:val="002D6FF8"/>
  </w:style>
  <w:style w:type="paragraph" w:styleId="FootnoteText">
    <w:name w:val="footnote text"/>
    <w:basedOn w:val="Normal"/>
    <w:link w:val="FootnoteTextChar"/>
    <w:semiHidden/>
    <w:unhideWhenUsed/>
    <w:rsid w:val="00B55568"/>
    <w:rPr>
      <w:sz w:val="20"/>
      <w:szCs w:val="20"/>
    </w:rPr>
  </w:style>
  <w:style w:type="character" w:customStyle="1" w:styleId="FootnoteTextChar">
    <w:name w:val="Footnote Text Char"/>
    <w:basedOn w:val="DefaultParagraphFont"/>
    <w:link w:val="FootnoteText"/>
    <w:semiHidden/>
    <w:rsid w:val="00B55568"/>
  </w:style>
  <w:style w:type="character" w:styleId="FootnoteReference">
    <w:name w:val="footnote reference"/>
    <w:basedOn w:val="DefaultParagraphFont"/>
    <w:semiHidden/>
    <w:unhideWhenUsed/>
    <w:rsid w:val="00B555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BodyText">
    <w:name w:val="Body Text"/>
    <w:basedOn w:val="Normal"/>
    <w:link w:val="BodyTextChar"/>
    <w:semiHidden/>
    <w:unhideWhenUsed/>
    <w:rsid w:val="003E0EB7"/>
    <w:pPr>
      <w:spacing w:after="120"/>
    </w:pPr>
  </w:style>
  <w:style w:type="character" w:customStyle="1" w:styleId="BodyTextChar">
    <w:name w:val="Body Text Char"/>
    <w:basedOn w:val="DefaultParagraphFont"/>
    <w:link w:val="BodyText"/>
    <w:semiHidden/>
    <w:rsid w:val="003E0EB7"/>
    <w:rPr>
      <w:sz w:val="24"/>
      <w:szCs w:val="24"/>
    </w:rPr>
  </w:style>
  <w:style w:type="paragraph" w:styleId="Revision">
    <w:name w:val="Revision"/>
    <w:hidden/>
    <w:uiPriority w:val="71"/>
    <w:semiHidden/>
    <w:rsid w:val="004E3A4C"/>
    <w:rPr>
      <w:sz w:val="24"/>
      <w:szCs w:val="24"/>
    </w:rPr>
  </w:style>
  <w:style w:type="character" w:styleId="Emphasis">
    <w:name w:val="Emphasis"/>
    <w:basedOn w:val="DefaultParagraphFont"/>
    <w:uiPriority w:val="20"/>
    <w:qFormat/>
    <w:rsid w:val="006608E2"/>
    <w:rPr>
      <w:i/>
      <w:iCs/>
    </w:rPr>
  </w:style>
  <w:style w:type="paragraph" w:customStyle="1" w:styleId="Body">
    <w:name w:val="Body"/>
    <w:rsid w:val="005C3E28"/>
    <w:pPr>
      <w:widowControl w:val="0"/>
      <w:pBdr>
        <w:top w:val="nil"/>
        <w:left w:val="nil"/>
        <w:bottom w:val="nil"/>
        <w:right w:val="nil"/>
        <w:between w:val="nil"/>
        <w:bar w:val="nil"/>
      </w:pBdr>
      <w:jc w:val="both"/>
    </w:pPr>
    <w:rPr>
      <w:rFonts w:ascii="Arial" w:eastAsia="Arial Unicode MS" w:hAnsi="Arial" w:cs="Arial Unicode MS"/>
      <w:color w:val="000000"/>
      <w:sz w:val="22"/>
      <w:szCs w:val="22"/>
      <w:u w:color="000000"/>
      <w:bdr w:val="nil"/>
      <w:lang w:val="nl-NL"/>
    </w:rPr>
  </w:style>
  <w:style w:type="character" w:styleId="FollowedHyperlink">
    <w:name w:val="FollowedHyperlink"/>
    <w:basedOn w:val="DefaultParagraphFont"/>
    <w:semiHidden/>
    <w:unhideWhenUsed/>
    <w:rsid w:val="0045761C"/>
    <w:rPr>
      <w:color w:val="800080" w:themeColor="followedHyperlink"/>
      <w:u w:val="single"/>
    </w:rPr>
  </w:style>
  <w:style w:type="character" w:customStyle="1" w:styleId="apple-converted-space">
    <w:name w:val="apple-converted-space"/>
    <w:basedOn w:val="DefaultParagraphFont"/>
    <w:rsid w:val="002D6FF8"/>
  </w:style>
  <w:style w:type="paragraph" w:styleId="FootnoteText">
    <w:name w:val="footnote text"/>
    <w:basedOn w:val="Normal"/>
    <w:link w:val="FootnoteTextChar"/>
    <w:semiHidden/>
    <w:unhideWhenUsed/>
    <w:rsid w:val="00B55568"/>
    <w:rPr>
      <w:sz w:val="20"/>
      <w:szCs w:val="20"/>
    </w:rPr>
  </w:style>
  <w:style w:type="character" w:customStyle="1" w:styleId="FootnoteTextChar">
    <w:name w:val="Footnote Text Char"/>
    <w:basedOn w:val="DefaultParagraphFont"/>
    <w:link w:val="FootnoteText"/>
    <w:semiHidden/>
    <w:rsid w:val="00B55568"/>
  </w:style>
  <w:style w:type="character" w:styleId="FootnoteReference">
    <w:name w:val="footnote reference"/>
    <w:basedOn w:val="DefaultParagraphFont"/>
    <w:semiHidden/>
    <w:unhideWhenUsed/>
    <w:rsid w:val="00B55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728298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094720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111B-1790-4E5E-B59B-33DFDB33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4689</Words>
  <Characters>27742</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2017-02-09T21:54:00Z</dcterms:created>
  <dcterms:modified xsi:type="dcterms:W3CDTF">2017-02-17T04:52:00Z</dcterms:modified>
</cp:coreProperties>
</file>