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56" w:rsidRDefault="001C74FF" w:rsidP="004E1581">
      <w:pPr>
        <w:spacing w:before="0" w:after="300"/>
        <w:ind w:left="709" w:right="0" w:hanging="709"/>
        <w:contextualSpacing/>
        <w:outlineLvl w:val="0"/>
        <w:rPr>
          <w:rFonts w:ascii="Arial" w:eastAsiaTheme="majorEastAsia" w:hAnsi="Arial" w:cs="Arial"/>
          <w:b/>
          <w:sz w:val="28"/>
          <w:szCs w:val="28"/>
          <w:lang w:eastAsia="en-AU"/>
        </w:rPr>
      </w:pPr>
      <w:r>
        <w:rPr>
          <w:rFonts w:ascii="Arial" w:eastAsiaTheme="majorEastAsia" w:hAnsi="Arial" w:cstheme="majorBidi"/>
          <w:b/>
          <w:spacing w:val="5"/>
          <w:kern w:val="28"/>
          <w:sz w:val="28"/>
          <w:szCs w:val="52"/>
          <w:lang w:eastAsia="en-AU"/>
        </w:rPr>
        <w:t>5.18</w:t>
      </w:r>
      <w:r w:rsidR="00DC7EC6" w:rsidRPr="006C49ED">
        <w:rPr>
          <w:rFonts w:ascii="Arial" w:eastAsiaTheme="majorEastAsia" w:hAnsi="Arial" w:cstheme="majorBidi"/>
          <w:b/>
          <w:spacing w:val="5"/>
          <w:kern w:val="28"/>
          <w:sz w:val="28"/>
          <w:szCs w:val="52"/>
          <w:lang w:eastAsia="en-AU"/>
        </w:rPr>
        <w:tab/>
      </w:r>
      <w:r w:rsidR="00643BAE" w:rsidRPr="00643BAE">
        <w:rPr>
          <w:rFonts w:ascii="Arial" w:eastAsiaTheme="majorEastAsia" w:hAnsi="Arial" w:cstheme="majorBidi"/>
          <w:b/>
          <w:spacing w:val="5"/>
          <w:kern w:val="28"/>
          <w:sz w:val="28"/>
          <w:szCs w:val="52"/>
          <w:lang w:eastAsia="en-AU"/>
        </w:rPr>
        <w:t>CARBOHYDRATE FORMULA WITH MINERALS</w:t>
      </w:r>
    </w:p>
    <w:p w:rsidR="00DC7EC6" w:rsidRPr="002E250C" w:rsidRDefault="009D01DD" w:rsidP="002E250C">
      <w:pPr>
        <w:spacing w:before="0" w:after="0"/>
        <w:ind w:left="709" w:firstLine="0"/>
        <w:rPr>
          <w:rFonts w:ascii="Arial Bold" w:eastAsiaTheme="majorEastAsia" w:hAnsi="Arial Bold"/>
          <w:sz w:val="28"/>
          <w:szCs w:val="28"/>
          <w:lang w:eastAsia="en-AU"/>
        </w:rPr>
      </w:pPr>
      <w:r w:rsidRPr="002E250C">
        <w:rPr>
          <w:rFonts w:ascii="Arial Bold" w:eastAsiaTheme="majorEastAsia" w:hAnsi="Arial Bold"/>
          <w:sz w:val="28"/>
          <w:szCs w:val="28"/>
          <w:lang w:eastAsia="en-AU"/>
        </w:rPr>
        <w:t>O</w:t>
      </w:r>
      <w:r w:rsidR="00643BAE" w:rsidRPr="002E250C">
        <w:rPr>
          <w:rFonts w:ascii="Arial Bold" w:eastAsiaTheme="majorEastAsia" w:hAnsi="Arial Bold"/>
          <w:sz w:val="28"/>
          <w:szCs w:val="28"/>
          <w:lang w:eastAsia="en-AU"/>
        </w:rPr>
        <w:t xml:space="preserve">ral </w:t>
      </w:r>
      <w:r w:rsidRPr="002E250C">
        <w:rPr>
          <w:rFonts w:ascii="Arial Bold" w:eastAsiaTheme="majorEastAsia" w:hAnsi="Arial Bold"/>
          <w:sz w:val="28"/>
          <w:szCs w:val="28"/>
          <w:lang w:eastAsia="en-AU"/>
        </w:rPr>
        <w:t xml:space="preserve">liquid: </w:t>
      </w:r>
      <w:r w:rsidR="00643BAE" w:rsidRPr="002E250C">
        <w:rPr>
          <w:rFonts w:ascii="Arial Bold" w:eastAsiaTheme="majorEastAsia" w:hAnsi="Arial Bold"/>
          <w:sz w:val="28"/>
          <w:szCs w:val="28"/>
          <w:lang w:eastAsia="en-AU"/>
        </w:rPr>
        <w:t>powder</w:t>
      </w:r>
      <w:r w:rsidRPr="002E250C">
        <w:rPr>
          <w:rFonts w:ascii="Arial Bold" w:eastAsiaTheme="majorEastAsia" w:hAnsi="Arial Bold"/>
          <w:sz w:val="28"/>
          <w:szCs w:val="28"/>
          <w:lang w:eastAsia="en-AU"/>
        </w:rPr>
        <w:t xml:space="preserve"> for</w:t>
      </w:r>
      <w:r w:rsidR="00DC7EC6" w:rsidRPr="002E250C">
        <w:rPr>
          <w:rFonts w:ascii="Arial Bold" w:eastAsiaTheme="majorEastAsia" w:hAnsi="Arial Bold"/>
          <w:sz w:val="28"/>
          <w:szCs w:val="28"/>
          <w:lang w:eastAsia="en-AU"/>
        </w:rPr>
        <w:t xml:space="preserve">, </w:t>
      </w:r>
      <w:r w:rsidR="002933C5" w:rsidRPr="002E250C">
        <w:rPr>
          <w:rFonts w:ascii="Arial Bold" w:eastAsiaTheme="majorEastAsia" w:hAnsi="Arial Bold"/>
          <w:sz w:val="28"/>
          <w:szCs w:val="28"/>
          <w:lang w:eastAsia="en-AU"/>
        </w:rPr>
        <w:t>21g, 31g, 42g, 52g sachets</w:t>
      </w:r>
      <w:r w:rsidR="00643BAE" w:rsidRPr="002E250C">
        <w:rPr>
          <w:rFonts w:ascii="Arial Bold" w:eastAsiaTheme="majorEastAsia" w:hAnsi="Arial Bold"/>
          <w:sz w:val="28"/>
          <w:szCs w:val="28"/>
          <w:lang w:eastAsia="en-AU"/>
        </w:rPr>
        <w:t>, 30</w:t>
      </w:r>
    </w:p>
    <w:p w:rsidR="00DC7EC6" w:rsidRPr="002E250C" w:rsidRDefault="002933C5" w:rsidP="002E250C">
      <w:pPr>
        <w:spacing w:before="0" w:after="0"/>
        <w:ind w:left="709" w:firstLine="0"/>
        <w:rPr>
          <w:rFonts w:ascii="Arial Bold" w:eastAsiaTheme="majorEastAsia" w:hAnsi="Arial Bold"/>
          <w:sz w:val="28"/>
          <w:szCs w:val="28"/>
          <w:lang w:eastAsia="en-AU"/>
        </w:rPr>
      </w:pPr>
      <w:r w:rsidRPr="002E250C">
        <w:rPr>
          <w:rFonts w:ascii="Arial Bold" w:eastAsiaTheme="majorEastAsia" w:hAnsi="Arial Bold"/>
          <w:sz w:val="28"/>
          <w:szCs w:val="28"/>
          <w:lang w:eastAsia="en-AU"/>
        </w:rPr>
        <w:t>SOS10</w:t>
      </w:r>
      <w:r w:rsidR="00DC7EC6" w:rsidRPr="002E250C">
        <w:rPr>
          <w:rFonts w:ascii="Arial Bold" w:eastAsiaTheme="majorEastAsia" w:hAnsi="Arial Bold"/>
          <w:sz w:val="28"/>
          <w:szCs w:val="28"/>
          <w:vertAlign w:val="superscript"/>
          <w:lang w:eastAsia="en-AU"/>
        </w:rPr>
        <w:t>®</w:t>
      </w:r>
      <w:r w:rsidR="00DC7EC6" w:rsidRPr="002E250C">
        <w:rPr>
          <w:rFonts w:ascii="Arial Bold" w:eastAsiaTheme="majorEastAsia" w:hAnsi="Arial Bold"/>
          <w:sz w:val="28"/>
          <w:szCs w:val="28"/>
          <w:lang w:eastAsia="en-AU"/>
        </w:rPr>
        <w:t>,</w:t>
      </w:r>
      <w:r w:rsidRPr="002E250C">
        <w:rPr>
          <w:rFonts w:ascii="Arial Bold" w:eastAsiaTheme="majorEastAsia" w:hAnsi="Arial Bold"/>
          <w:sz w:val="28"/>
          <w:szCs w:val="28"/>
          <w:lang w:eastAsia="en-AU"/>
        </w:rPr>
        <w:t xml:space="preserve"> SOS15</w:t>
      </w:r>
      <w:r w:rsidR="00DC7EC6" w:rsidRPr="002E250C">
        <w:rPr>
          <w:rFonts w:ascii="Arial Bold" w:eastAsiaTheme="majorEastAsia" w:hAnsi="Arial Bold"/>
          <w:sz w:val="28"/>
          <w:szCs w:val="28"/>
          <w:vertAlign w:val="superscript"/>
          <w:lang w:eastAsia="en-AU"/>
        </w:rPr>
        <w:t>®</w:t>
      </w:r>
      <w:r w:rsidR="00DC7EC6" w:rsidRPr="002E250C">
        <w:rPr>
          <w:rFonts w:ascii="Arial Bold" w:eastAsiaTheme="majorEastAsia" w:hAnsi="Arial Bold"/>
          <w:sz w:val="28"/>
          <w:szCs w:val="28"/>
          <w:lang w:eastAsia="en-AU"/>
        </w:rPr>
        <w:t xml:space="preserve">, </w:t>
      </w:r>
      <w:r w:rsidRPr="002E250C">
        <w:rPr>
          <w:rFonts w:ascii="Arial Bold" w:eastAsiaTheme="majorEastAsia" w:hAnsi="Arial Bold"/>
          <w:sz w:val="28"/>
          <w:szCs w:val="28"/>
          <w:lang w:eastAsia="en-AU"/>
        </w:rPr>
        <w:t>SOS20</w:t>
      </w:r>
      <w:r w:rsidR="00DC7EC6" w:rsidRPr="002E250C">
        <w:rPr>
          <w:rFonts w:ascii="Arial Bold" w:eastAsiaTheme="majorEastAsia" w:hAnsi="Arial Bold"/>
          <w:sz w:val="28"/>
          <w:szCs w:val="28"/>
          <w:vertAlign w:val="superscript"/>
          <w:lang w:eastAsia="en-AU"/>
        </w:rPr>
        <w:t>®</w:t>
      </w:r>
      <w:r w:rsidRPr="002E250C">
        <w:rPr>
          <w:rFonts w:ascii="Arial Bold" w:eastAsiaTheme="majorEastAsia" w:hAnsi="Arial Bold"/>
          <w:sz w:val="28"/>
          <w:szCs w:val="28"/>
          <w:lang w:eastAsia="en-AU"/>
        </w:rPr>
        <w:t>,</w:t>
      </w:r>
      <w:r w:rsidR="00DC7EC6" w:rsidRPr="002E250C">
        <w:rPr>
          <w:rFonts w:ascii="Arial Bold" w:eastAsiaTheme="majorEastAsia" w:hAnsi="Arial Bold"/>
          <w:sz w:val="28"/>
          <w:szCs w:val="28"/>
          <w:lang w:eastAsia="en-AU"/>
        </w:rPr>
        <w:t xml:space="preserve"> </w:t>
      </w:r>
      <w:r w:rsidRPr="002E250C">
        <w:rPr>
          <w:rFonts w:ascii="Arial Bold" w:eastAsiaTheme="majorEastAsia" w:hAnsi="Arial Bold"/>
          <w:sz w:val="28"/>
          <w:szCs w:val="28"/>
          <w:lang w:eastAsia="en-AU"/>
        </w:rPr>
        <w:t>SOS25</w:t>
      </w:r>
      <w:r w:rsidRPr="002E250C">
        <w:rPr>
          <w:rFonts w:ascii="Arial Bold" w:eastAsiaTheme="majorEastAsia" w:hAnsi="Arial Bold"/>
          <w:sz w:val="28"/>
          <w:szCs w:val="28"/>
          <w:vertAlign w:val="superscript"/>
          <w:lang w:eastAsia="en-AU"/>
        </w:rPr>
        <w:t>®</w:t>
      </w:r>
      <w:r w:rsidR="00DC7EC6" w:rsidRPr="002E250C">
        <w:rPr>
          <w:rFonts w:ascii="Arial Bold" w:eastAsiaTheme="majorEastAsia" w:hAnsi="Arial Bold"/>
          <w:sz w:val="28"/>
          <w:szCs w:val="28"/>
          <w:lang w:eastAsia="en-AU"/>
        </w:rPr>
        <w:t xml:space="preserve">, </w:t>
      </w:r>
    </w:p>
    <w:p w:rsidR="00DC7EC6" w:rsidRPr="00332639" w:rsidRDefault="002933C5" w:rsidP="002E250C">
      <w:pPr>
        <w:spacing w:before="0" w:after="0"/>
        <w:ind w:left="709" w:firstLine="0"/>
        <w:rPr>
          <w:rFonts w:eastAsiaTheme="majorEastAsia"/>
          <w:lang w:eastAsia="en-AU"/>
        </w:rPr>
      </w:pPr>
      <w:proofErr w:type="spellStart"/>
      <w:r w:rsidRPr="002E250C">
        <w:rPr>
          <w:rFonts w:ascii="Arial Bold" w:eastAsiaTheme="majorEastAsia" w:hAnsi="Arial Bold"/>
          <w:sz w:val="28"/>
          <w:szCs w:val="28"/>
          <w:lang w:eastAsia="en-AU"/>
        </w:rPr>
        <w:t>Vitaflo</w:t>
      </w:r>
      <w:proofErr w:type="spellEnd"/>
      <w:r w:rsidRPr="002E250C">
        <w:rPr>
          <w:rFonts w:ascii="Arial Bold" w:eastAsiaTheme="majorEastAsia" w:hAnsi="Arial Bold"/>
          <w:sz w:val="28"/>
          <w:szCs w:val="28"/>
          <w:lang w:eastAsia="en-AU"/>
        </w:rPr>
        <w:t xml:space="preserve"> Australia</w:t>
      </w:r>
      <w:r w:rsidR="00DC7EC6" w:rsidRPr="002E250C">
        <w:rPr>
          <w:rFonts w:ascii="Arial Bold" w:eastAsiaTheme="majorEastAsia" w:hAnsi="Arial Bold"/>
          <w:sz w:val="28"/>
          <w:szCs w:val="28"/>
          <w:lang w:eastAsia="en-AU"/>
        </w:rPr>
        <w:t xml:space="preserve"> Pty Ltd</w:t>
      </w:r>
      <w:r w:rsidR="005F5741">
        <w:rPr>
          <w:rFonts w:ascii="Arial Bold" w:eastAsiaTheme="majorEastAsia" w:hAnsi="Arial Bold"/>
          <w:sz w:val="28"/>
          <w:szCs w:val="28"/>
          <w:lang w:eastAsia="en-AU"/>
        </w:rPr>
        <w:t>.</w:t>
      </w:r>
    </w:p>
    <w:p w:rsidR="00DC7EC6" w:rsidRPr="006C49ED" w:rsidRDefault="00DC7EC6" w:rsidP="00DC7EC6">
      <w:pPr>
        <w:spacing w:before="0" w:after="0"/>
        <w:ind w:left="0" w:right="0" w:firstLine="0"/>
        <w:jc w:val="both"/>
        <w:rPr>
          <w:rFonts w:ascii="Arial" w:hAnsi="Arial"/>
          <w:sz w:val="22"/>
          <w:szCs w:val="22"/>
          <w:lang w:eastAsia="en-AU"/>
        </w:rPr>
      </w:pPr>
    </w:p>
    <w:p w:rsidR="00DC7EC6" w:rsidRPr="00200A5D" w:rsidRDefault="00DC7EC6" w:rsidP="00DC7EC6">
      <w:pPr>
        <w:spacing w:before="0" w:after="0"/>
        <w:ind w:left="0" w:right="0" w:firstLine="0"/>
        <w:jc w:val="both"/>
        <w:rPr>
          <w:rFonts w:ascii="Arial" w:hAnsi="Arial"/>
          <w:sz w:val="22"/>
          <w:szCs w:val="22"/>
          <w:lang w:eastAsia="en-AU"/>
        </w:rPr>
      </w:pPr>
    </w:p>
    <w:p w:rsidR="00DC7EC6" w:rsidRPr="005619E1" w:rsidRDefault="00DC7EC6" w:rsidP="00C73915">
      <w:pPr>
        <w:pStyle w:val="Heading1"/>
        <w:numPr>
          <w:ilvl w:val="0"/>
          <w:numId w:val="12"/>
        </w:numPr>
        <w:spacing w:before="0"/>
        <w:ind w:hanging="720"/>
        <w:rPr>
          <w:sz w:val="22"/>
          <w:szCs w:val="22"/>
          <w:lang w:eastAsia="en-AU"/>
        </w:rPr>
      </w:pPr>
      <w:r w:rsidRPr="005619E1">
        <w:rPr>
          <w:sz w:val="22"/>
          <w:szCs w:val="22"/>
          <w:lang w:eastAsia="en-AU"/>
        </w:rPr>
        <w:t>Purpose of Application</w:t>
      </w:r>
    </w:p>
    <w:p w:rsidR="00DC7EC6" w:rsidRPr="00417812" w:rsidRDefault="00DC7EC6" w:rsidP="00DC7EC6">
      <w:pPr>
        <w:numPr>
          <w:ilvl w:val="1"/>
          <w:numId w:val="1"/>
        </w:numPr>
        <w:spacing w:after="240"/>
        <w:ind w:right="0"/>
        <w:jc w:val="both"/>
        <w:rPr>
          <w:rFonts w:ascii="Arial" w:hAnsi="Arial"/>
          <w:sz w:val="22"/>
          <w:szCs w:val="22"/>
          <w:lang w:eastAsia="en-AU"/>
        </w:rPr>
      </w:pPr>
      <w:r w:rsidRPr="00417812">
        <w:rPr>
          <w:rFonts w:ascii="Arial" w:hAnsi="Arial"/>
          <w:sz w:val="22"/>
          <w:szCs w:val="22"/>
          <w:lang w:eastAsia="en-AU"/>
        </w:rPr>
        <w:t xml:space="preserve">The minor submission </w:t>
      </w:r>
      <w:r w:rsidR="004A017F">
        <w:rPr>
          <w:rFonts w:ascii="Arial" w:hAnsi="Arial"/>
          <w:sz w:val="22"/>
          <w:szCs w:val="22"/>
          <w:lang w:eastAsia="en-AU"/>
        </w:rPr>
        <w:t>requested</w:t>
      </w:r>
      <w:r w:rsidR="00A502B8">
        <w:rPr>
          <w:rFonts w:ascii="Arial" w:hAnsi="Arial"/>
          <w:sz w:val="22"/>
          <w:szCs w:val="22"/>
          <w:lang w:eastAsia="en-AU"/>
        </w:rPr>
        <w:t xml:space="preserve"> a Restricted Benefit listing for </w:t>
      </w:r>
      <w:r w:rsidR="009A05C0">
        <w:rPr>
          <w:rFonts w:ascii="Arial" w:hAnsi="Arial"/>
          <w:sz w:val="22"/>
          <w:szCs w:val="22"/>
          <w:lang w:eastAsia="en-AU"/>
        </w:rPr>
        <w:t xml:space="preserve">proven inborn errors of protein </w:t>
      </w:r>
      <w:r w:rsidR="00E35B4D">
        <w:rPr>
          <w:rFonts w:ascii="Arial" w:hAnsi="Arial"/>
          <w:sz w:val="22"/>
          <w:szCs w:val="22"/>
          <w:lang w:eastAsia="en-AU"/>
        </w:rPr>
        <w:t xml:space="preserve">metabolism </w:t>
      </w:r>
      <w:r w:rsidR="009A05C0">
        <w:rPr>
          <w:rFonts w:ascii="Arial" w:hAnsi="Arial"/>
          <w:sz w:val="22"/>
          <w:szCs w:val="22"/>
          <w:lang w:eastAsia="en-AU"/>
        </w:rPr>
        <w:t xml:space="preserve">and </w:t>
      </w:r>
      <w:r w:rsidR="007C07BC">
        <w:rPr>
          <w:rFonts w:ascii="Arial" w:hAnsi="Arial"/>
          <w:sz w:val="22"/>
          <w:szCs w:val="22"/>
          <w:lang w:eastAsia="en-AU"/>
        </w:rPr>
        <w:t xml:space="preserve">proven inborn errors of </w:t>
      </w:r>
      <w:r w:rsidR="009A05C0">
        <w:rPr>
          <w:rFonts w:ascii="Arial" w:hAnsi="Arial"/>
          <w:sz w:val="22"/>
          <w:szCs w:val="22"/>
          <w:lang w:eastAsia="en-AU"/>
        </w:rPr>
        <w:t>fat m</w:t>
      </w:r>
      <w:r w:rsidR="00B32FCF">
        <w:rPr>
          <w:rFonts w:ascii="Arial" w:hAnsi="Arial"/>
          <w:sz w:val="22"/>
          <w:szCs w:val="22"/>
          <w:lang w:eastAsia="en-AU"/>
        </w:rPr>
        <w:t xml:space="preserve">etabolism. </w:t>
      </w:r>
    </w:p>
    <w:p w:rsidR="00DC7EC6" w:rsidRPr="008A7907" w:rsidRDefault="00DC7EC6" w:rsidP="00F2708E">
      <w:pPr>
        <w:pStyle w:val="Heading1"/>
        <w:numPr>
          <w:ilvl w:val="0"/>
          <w:numId w:val="12"/>
        </w:numPr>
        <w:ind w:hanging="720"/>
        <w:rPr>
          <w:sz w:val="22"/>
          <w:szCs w:val="22"/>
          <w:lang w:eastAsia="en-AU"/>
        </w:rPr>
      </w:pPr>
      <w:r w:rsidRPr="005619E1">
        <w:rPr>
          <w:sz w:val="22"/>
          <w:szCs w:val="22"/>
          <w:lang w:eastAsia="en-AU"/>
        </w:rPr>
        <w:t xml:space="preserve">Requested Listing: </w:t>
      </w:r>
    </w:p>
    <w:p w:rsidR="00F2708E" w:rsidRPr="00F2708E" w:rsidRDefault="00F2708E" w:rsidP="00F2708E">
      <w:pPr>
        <w:pStyle w:val="ListParagraph"/>
        <w:numPr>
          <w:ilvl w:val="0"/>
          <w:numId w:val="1"/>
        </w:numPr>
        <w:spacing w:after="240"/>
        <w:ind w:right="0"/>
        <w:contextualSpacing w:val="0"/>
        <w:jc w:val="both"/>
        <w:rPr>
          <w:rFonts w:ascii="Arial" w:hAnsi="Arial"/>
          <w:vanish/>
          <w:sz w:val="22"/>
          <w:szCs w:val="22"/>
          <w:lang w:eastAsia="en-AU"/>
        </w:rPr>
      </w:pPr>
    </w:p>
    <w:p w:rsidR="00FC6107" w:rsidRDefault="00DC7EC6" w:rsidP="00F2708E">
      <w:pPr>
        <w:numPr>
          <w:ilvl w:val="1"/>
          <w:numId w:val="1"/>
        </w:numPr>
        <w:spacing w:after="240"/>
        <w:ind w:right="0"/>
        <w:jc w:val="both"/>
        <w:rPr>
          <w:rFonts w:ascii="Arial" w:hAnsi="Arial"/>
          <w:sz w:val="22"/>
          <w:szCs w:val="22"/>
          <w:lang w:eastAsia="en-AU"/>
        </w:rPr>
      </w:pPr>
      <w:r w:rsidRPr="00200A5D">
        <w:rPr>
          <w:rFonts w:ascii="Arial" w:hAnsi="Arial"/>
          <w:sz w:val="22"/>
          <w:szCs w:val="22"/>
          <w:lang w:eastAsia="en-AU"/>
        </w:rPr>
        <w:t xml:space="preserve">The submission requested the following </w:t>
      </w:r>
      <w:r w:rsidR="00A502B8">
        <w:rPr>
          <w:rFonts w:ascii="Arial" w:hAnsi="Arial"/>
          <w:sz w:val="22"/>
          <w:szCs w:val="22"/>
          <w:lang w:eastAsia="en-AU"/>
        </w:rPr>
        <w:t>new</w:t>
      </w:r>
      <w:r>
        <w:rPr>
          <w:rFonts w:ascii="Arial" w:hAnsi="Arial"/>
          <w:sz w:val="22"/>
          <w:szCs w:val="22"/>
          <w:lang w:eastAsia="en-AU"/>
        </w:rPr>
        <w:t xml:space="preserve"> listing</w:t>
      </w:r>
      <w:r w:rsidRPr="00200A5D">
        <w:rPr>
          <w:rFonts w:ascii="Arial" w:hAnsi="Arial"/>
          <w:sz w:val="22"/>
          <w:szCs w:val="22"/>
          <w:lang w:eastAsia="en-AU"/>
        </w:rPr>
        <w:t>:</w:t>
      </w:r>
    </w:p>
    <w:p w:rsidR="00DC7EC6" w:rsidRPr="008A7907" w:rsidRDefault="000A5696" w:rsidP="00FC6107">
      <w:pPr>
        <w:numPr>
          <w:ilvl w:val="1"/>
          <w:numId w:val="1"/>
        </w:numPr>
        <w:spacing w:after="240"/>
        <w:ind w:right="0"/>
        <w:jc w:val="both"/>
        <w:rPr>
          <w:rFonts w:ascii="Arial" w:hAnsi="Arial"/>
          <w:sz w:val="22"/>
          <w:szCs w:val="22"/>
          <w:lang w:eastAsia="en-AU"/>
        </w:rPr>
      </w:pPr>
      <w:r w:rsidRPr="008A7907">
        <w:rPr>
          <w:rFonts w:ascii="Arial" w:hAnsi="Arial" w:cs="Arial"/>
          <w:sz w:val="22"/>
        </w:rPr>
        <w:t xml:space="preserve">Suggestions and additions proposed by the Secretariat to the requested listing </w:t>
      </w:r>
      <w:r w:rsidR="008A7907">
        <w:rPr>
          <w:rFonts w:ascii="Arial" w:hAnsi="Arial" w:cs="Arial"/>
          <w:sz w:val="22"/>
        </w:rPr>
        <w:t>we</w:t>
      </w:r>
      <w:r w:rsidRPr="008A7907">
        <w:rPr>
          <w:rFonts w:ascii="Arial" w:hAnsi="Arial" w:cs="Arial"/>
          <w:sz w:val="22"/>
        </w:rPr>
        <w:t xml:space="preserve">re added in italics and suggested deletions </w:t>
      </w:r>
      <w:r w:rsidR="008A7907">
        <w:rPr>
          <w:rFonts w:ascii="Arial" w:hAnsi="Arial" w:cs="Arial"/>
          <w:sz w:val="22"/>
        </w:rPr>
        <w:t>we</w:t>
      </w:r>
      <w:r w:rsidRPr="008A7907">
        <w:rPr>
          <w:rFonts w:ascii="Arial" w:hAnsi="Arial" w:cs="Arial"/>
          <w:sz w:val="22"/>
        </w:rPr>
        <w:t>re crossed out with strikethrough.</w:t>
      </w:r>
      <w:r w:rsidR="00DC7EC6" w:rsidRPr="008A7907">
        <w:rPr>
          <w:rFonts w:ascii="Arial" w:hAnsi="Arial"/>
          <w:sz w:val="22"/>
          <w:szCs w:val="22"/>
          <w:lang w:eastAsia="en-AU"/>
        </w:rPr>
        <w:t xml:space="preserve"> </w:t>
      </w:r>
    </w:p>
    <w:tbl>
      <w:tblPr>
        <w:tblW w:w="8425" w:type="dxa"/>
        <w:tblInd w:w="817" w:type="dxa"/>
        <w:tblLayout w:type="fixed"/>
        <w:tblLook w:val="0000" w:firstRow="0" w:lastRow="0" w:firstColumn="0" w:lastColumn="0" w:noHBand="0" w:noVBand="0"/>
      </w:tblPr>
      <w:tblGrid>
        <w:gridCol w:w="3119"/>
        <w:gridCol w:w="567"/>
        <w:gridCol w:w="567"/>
        <w:gridCol w:w="1559"/>
        <w:gridCol w:w="2551"/>
        <w:gridCol w:w="62"/>
      </w:tblGrid>
      <w:tr w:rsidR="00FC716D" w:rsidRPr="00200A5D" w:rsidTr="00FC716D">
        <w:trPr>
          <w:gridAfter w:val="1"/>
          <w:wAfter w:w="62" w:type="dxa"/>
          <w:cantSplit/>
          <w:trHeight w:val="471"/>
        </w:trPr>
        <w:tc>
          <w:tcPr>
            <w:tcW w:w="3119" w:type="dxa"/>
            <w:tcBorders>
              <w:bottom w:val="single" w:sz="4" w:space="0" w:color="auto"/>
            </w:tcBorders>
          </w:tcPr>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Name, Restriction,</w:t>
            </w:r>
          </w:p>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Manner of administration and form</w:t>
            </w:r>
          </w:p>
        </w:tc>
        <w:tc>
          <w:tcPr>
            <w:tcW w:w="567" w:type="dxa"/>
            <w:tcBorders>
              <w:bottom w:val="single" w:sz="4" w:space="0" w:color="auto"/>
            </w:tcBorders>
          </w:tcPr>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Max.</w:t>
            </w:r>
          </w:p>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Qty</w:t>
            </w:r>
          </w:p>
        </w:tc>
        <w:tc>
          <w:tcPr>
            <w:tcW w:w="567" w:type="dxa"/>
            <w:tcBorders>
              <w:bottom w:val="single" w:sz="4" w:space="0" w:color="auto"/>
            </w:tcBorders>
          </w:tcPr>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№.of</w:t>
            </w:r>
          </w:p>
          <w:p w:rsidR="00FC716D" w:rsidRPr="00200A5D" w:rsidRDefault="00FC716D" w:rsidP="00EE0028">
            <w:pPr>
              <w:keepNext/>
              <w:spacing w:before="0" w:after="0"/>
              <w:ind w:left="-108"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Rpts</w:t>
            </w:r>
          </w:p>
        </w:tc>
        <w:tc>
          <w:tcPr>
            <w:tcW w:w="4110" w:type="dxa"/>
            <w:gridSpan w:val="2"/>
            <w:tcBorders>
              <w:bottom w:val="single" w:sz="4" w:space="0" w:color="auto"/>
            </w:tcBorders>
          </w:tcPr>
          <w:p w:rsidR="00FC716D" w:rsidRPr="00200A5D" w:rsidRDefault="00FC716D" w:rsidP="00EE0028">
            <w:pPr>
              <w:keepNext/>
              <w:spacing w:before="0" w:after="0"/>
              <w:ind w:left="0" w:right="0" w:firstLine="0"/>
              <w:jc w:val="both"/>
              <w:rPr>
                <w:rFonts w:ascii="Arial Narrow" w:hAnsi="Arial Narrow" w:cs="Arial"/>
                <w:b/>
                <w:sz w:val="20"/>
                <w:szCs w:val="20"/>
                <w:lang w:val="fr-FR" w:eastAsia="en-AU"/>
              </w:rPr>
            </w:pPr>
            <w:r w:rsidRPr="00200A5D">
              <w:rPr>
                <w:rFonts w:ascii="Arial Narrow" w:hAnsi="Arial Narrow" w:cs="Arial"/>
                <w:b/>
                <w:sz w:val="20"/>
                <w:szCs w:val="20"/>
                <w:lang w:eastAsia="en-AU"/>
              </w:rPr>
              <w:t>Proprietary Name and Manufacturer</w:t>
            </w:r>
          </w:p>
        </w:tc>
      </w:tr>
      <w:tr w:rsidR="00FC716D" w:rsidRPr="00200A5D" w:rsidTr="00FC716D">
        <w:trPr>
          <w:gridAfter w:val="1"/>
          <w:wAfter w:w="62" w:type="dxa"/>
          <w:cantSplit/>
          <w:trHeight w:val="1597"/>
        </w:trPr>
        <w:tc>
          <w:tcPr>
            <w:tcW w:w="3119" w:type="dxa"/>
          </w:tcPr>
          <w:p w:rsidR="00FC716D" w:rsidRDefault="00FC716D" w:rsidP="00EE0028">
            <w:pPr>
              <w:keepNext/>
              <w:spacing w:before="0" w:after="0"/>
              <w:ind w:left="-108" w:right="0" w:firstLine="0"/>
              <w:jc w:val="both"/>
              <w:rPr>
                <w:rFonts w:ascii="Arial Narrow" w:hAnsi="Arial Narrow" w:cs="Arial"/>
                <w:sz w:val="20"/>
              </w:rPr>
            </w:pPr>
            <w:r w:rsidRPr="004573B4">
              <w:rPr>
                <w:rFonts w:ascii="Arial Narrow" w:hAnsi="Arial Narrow" w:cs="Arial"/>
                <w:sz w:val="20"/>
              </w:rPr>
              <w:t xml:space="preserve">CARBOHYDRATE FORMULA </w:t>
            </w:r>
            <w:r w:rsidRPr="007F484E">
              <w:rPr>
                <w:rFonts w:ascii="Arial Narrow" w:hAnsi="Arial Narrow" w:cs="Arial"/>
                <w:sz w:val="20"/>
              </w:rPr>
              <w:t>WITH MINERALS</w:t>
            </w:r>
          </w:p>
          <w:p w:rsidR="00FC716D" w:rsidRDefault="00FC716D" w:rsidP="00EE0028">
            <w:pPr>
              <w:keepNext/>
              <w:spacing w:before="0" w:after="0"/>
              <w:ind w:left="-108" w:right="0" w:firstLine="0"/>
              <w:jc w:val="both"/>
              <w:rPr>
                <w:rFonts w:ascii="Arial Narrow" w:hAnsi="Arial Narrow" w:cs="Arial"/>
                <w:sz w:val="20"/>
              </w:rPr>
            </w:pPr>
            <w:r>
              <w:rPr>
                <w:rFonts w:ascii="Arial Narrow" w:hAnsi="Arial Narrow" w:cs="Arial"/>
                <w:sz w:val="20"/>
              </w:rPr>
              <w:t xml:space="preserve">Oral liquid, powder for: </w:t>
            </w:r>
          </w:p>
          <w:p w:rsidR="00FC716D" w:rsidRDefault="00FC716D" w:rsidP="00A502B8">
            <w:pPr>
              <w:keepNext/>
              <w:spacing w:before="0" w:after="0"/>
              <w:ind w:left="-108" w:right="0" w:firstLine="0"/>
              <w:jc w:val="both"/>
              <w:rPr>
                <w:rFonts w:ascii="Arial Narrow" w:hAnsi="Arial Narrow" w:cs="Arial"/>
                <w:sz w:val="20"/>
              </w:rPr>
            </w:pPr>
            <w:r>
              <w:rPr>
                <w:rFonts w:ascii="Arial Narrow" w:hAnsi="Arial Narrow" w:cs="Arial"/>
                <w:sz w:val="20"/>
              </w:rPr>
              <w:t>30 × 21g sachets</w:t>
            </w:r>
          </w:p>
          <w:p w:rsidR="00FC716D" w:rsidRDefault="00FC716D" w:rsidP="00A502B8">
            <w:pPr>
              <w:keepNext/>
              <w:spacing w:before="0" w:after="0"/>
              <w:ind w:left="-108" w:right="0" w:firstLine="0"/>
              <w:jc w:val="both"/>
              <w:rPr>
                <w:rFonts w:ascii="Arial Narrow" w:hAnsi="Arial Narrow" w:cs="Arial"/>
                <w:sz w:val="20"/>
              </w:rPr>
            </w:pPr>
            <w:r>
              <w:rPr>
                <w:rFonts w:ascii="Arial Narrow" w:hAnsi="Arial Narrow" w:cs="Arial"/>
                <w:sz w:val="20"/>
              </w:rPr>
              <w:t xml:space="preserve">30 × 31g sachets </w:t>
            </w:r>
          </w:p>
          <w:p w:rsidR="00FC716D" w:rsidRDefault="00FC716D" w:rsidP="00A502B8">
            <w:pPr>
              <w:keepNext/>
              <w:spacing w:before="0" w:after="0"/>
              <w:ind w:left="-108" w:right="0" w:firstLine="0"/>
              <w:jc w:val="both"/>
              <w:rPr>
                <w:rFonts w:ascii="Arial Narrow" w:hAnsi="Arial Narrow" w:cs="Arial"/>
                <w:sz w:val="20"/>
              </w:rPr>
            </w:pPr>
            <w:r>
              <w:rPr>
                <w:rFonts w:ascii="Arial Narrow" w:hAnsi="Arial Narrow" w:cs="Arial"/>
                <w:sz w:val="20"/>
              </w:rPr>
              <w:t xml:space="preserve">30 × 42g sachets </w:t>
            </w:r>
          </w:p>
          <w:p w:rsidR="00FC716D" w:rsidRPr="00200A5D" w:rsidRDefault="00FC716D" w:rsidP="008A7DC8">
            <w:pPr>
              <w:keepNext/>
              <w:spacing w:before="0" w:after="0"/>
              <w:ind w:left="-108" w:right="0" w:firstLine="0"/>
              <w:jc w:val="both"/>
              <w:rPr>
                <w:rFonts w:ascii="Arial Narrow" w:hAnsi="Arial Narrow" w:cs="Arial"/>
                <w:sz w:val="20"/>
                <w:szCs w:val="20"/>
                <w:lang w:eastAsia="en-AU"/>
              </w:rPr>
            </w:pPr>
            <w:r>
              <w:rPr>
                <w:rFonts w:ascii="Arial Narrow" w:hAnsi="Arial Narrow" w:cs="Arial"/>
                <w:sz w:val="20"/>
              </w:rPr>
              <w:t xml:space="preserve">30 × 52g sachets </w:t>
            </w:r>
          </w:p>
        </w:tc>
        <w:tc>
          <w:tcPr>
            <w:tcW w:w="567" w:type="dxa"/>
          </w:tcPr>
          <w:p w:rsidR="00FC716D" w:rsidRPr="00200A5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FB3611">
            <w:pPr>
              <w:keepNext/>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t>4</w:t>
            </w:r>
          </w:p>
          <w:p w:rsidR="00FC716D" w:rsidRDefault="00FC716D" w:rsidP="00FB3611">
            <w:pPr>
              <w:keepNext/>
              <w:spacing w:before="0" w:after="0"/>
              <w:ind w:right="0"/>
              <w:rPr>
                <w:rFonts w:ascii="Arial Narrow" w:hAnsi="Arial Narrow" w:cs="Arial"/>
                <w:sz w:val="20"/>
                <w:szCs w:val="20"/>
                <w:lang w:eastAsia="en-AU"/>
              </w:rPr>
            </w:pPr>
            <w:r>
              <w:rPr>
                <w:rFonts w:ascii="Arial Narrow" w:hAnsi="Arial Narrow" w:cs="Arial"/>
                <w:sz w:val="20"/>
                <w:szCs w:val="20"/>
                <w:lang w:eastAsia="en-AU"/>
              </w:rPr>
              <w:t>4</w:t>
            </w:r>
          </w:p>
          <w:p w:rsidR="00FC716D" w:rsidRDefault="00FC716D" w:rsidP="00FB3611">
            <w:pPr>
              <w:keepNext/>
              <w:spacing w:before="0" w:after="0"/>
              <w:ind w:right="0"/>
              <w:rPr>
                <w:rFonts w:ascii="Arial Narrow" w:hAnsi="Arial Narrow" w:cs="Arial"/>
                <w:sz w:val="20"/>
                <w:szCs w:val="20"/>
                <w:lang w:eastAsia="en-AU"/>
              </w:rPr>
            </w:pPr>
            <w:r>
              <w:rPr>
                <w:rFonts w:ascii="Arial Narrow" w:hAnsi="Arial Narrow" w:cs="Arial"/>
                <w:sz w:val="20"/>
                <w:szCs w:val="20"/>
                <w:lang w:eastAsia="en-AU"/>
              </w:rPr>
              <w:t>4</w:t>
            </w:r>
          </w:p>
          <w:p w:rsidR="00FC716D" w:rsidRPr="00200A5D" w:rsidRDefault="00FC716D" w:rsidP="00FB3611">
            <w:pPr>
              <w:keepNext/>
              <w:spacing w:before="0" w:after="0"/>
              <w:ind w:right="0"/>
              <w:rPr>
                <w:rFonts w:ascii="Arial Narrow" w:hAnsi="Arial Narrow" w:cs="Arial"/>
                <w:sz w:val="20"/>
                <w:szCs w:val="20"/>
                <w:lang w:eastAsia="en-AU"/>
              </w:rPr>
            </w:pPr>
            <w:r>
              <w:rPr>
                <w:rFonts w:ascii="Arial Narrow" w:hAnsi="Arial Narrow" w:cs="Arial"/>
                <w:sz w:val="20"/>
                <w:szCs w:val="20"/>
                <w:lang w:eastAsia="en-AU"/>
              </w:rPr>
              <w:t>4</w:t>
            </w:r>
          </w:p>
        </w:tc>
        <w:tc>
          <w:tcPr>
            <w:tcW w:w="567" w:type="dxa"/>
          </w:tcPr>
          <w:p w:rsidR="00FC716D" w:rsidRPr="00200A5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EE0028">
            <w:pPr>
              <w:keepNext/>
              <w:spacing w:before="0" w:after="0"/>
              <w:ind w:left="-108" w:right="0" w:firstLine="0"/>
              <w:jc w:val="center"/>
              <w:rPr>
                <w:rFonts w:ascii="Arial Narrow" w:hAnsi="Arial Narrow" w:cs="Arial"/>
                <w:sz w:val="20"/>
                <w:szCs w:val="20"/>
                <w:lang w:eastAsia="en-AU"/>
              </w:rPr>
            </w:pPr>
          </w:p>
          <w:p w:rsidR="00FC716D" w:rsidRDefault="00FC716D" w:rsidP="00EE0028">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p w:rsidR="00FC716D" w:rsidRDefault="00FC716D" w:rsidP="00EE0028">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p w:rsidR="00FC716D" w:rsidRDefault="00FC716D" w:rsidP="00EE0028">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p w:rsidR="00FC716D" w:rsidRPr="00200A5D" w:rsidRDefault="00FC716D" w:rsidP="00EE0028">
            <w:pPr>
              <w:keepNext/>
              <w:spacing w:before="0" w:after="0"/>
              <w:ind w:left="-108" w:right="0" w:firstLine="0"/>
              <w:jc w:val="center"/>
              <w:rPr>
                <w:rFonts w:ascii="Arial Narrow" w:hAnsi="Arial Narrow" w:cs="Arial"/>
                <w:sz w:val="20"/>
                <w:szCs w:val="20"/>
                <w:lang w:eastAsia="en-AU"/>
              </w:rPr>
            </w:pPr>
            <w:r>
              <w:rPr>
                <w:rFonts w:ascii="Arial Narrow" w:hAnsi="Arial Narrow" w:cs="Arial"/>
                <w:sz w:val="20"/>
                <w:szCs w:val="20"/>
                <w:lang w:eastAsia="en-AU"/>
              </w:rPr>
              <w:t>5</w:t>
            </w:r>
          </w:p>
        </w:tc>
        <w:tc>
          <w:tcPr>
            <w:tcW w:w="1559" w:type="dxa"/>
          </w:tcPr>
          <w:p w:rsidR="00FC716D" w:rsidRPr="00200A5D" w:rsidRDefault="00FC716D" w:rsidP="00EE0028">
            <w:pPr>
              <w:keepNext/>
              <w:spacing w:before="0" w:after="0"/>
              <w:ind w:left="0" w:right="0" w:firstLine="0"/>
              <w:jc w:val="center"/>
              <w:rPr>
                <w:rFonts w:ascii="Arial Narrow" w:hAnsi="Arial Narrow" w:cs="Arial"/>
                <w:sz w:val="20"/>
                <w:szCs w:val="20"/>
                <w:lang w:eastAsia="en-AU"/>
              </w:rPr>
            </w:pPr>
          </w:p>
          <w:p w:rsidR="00FC716D" w:rsidRDefault="00FC716D" w:rsidP="00EE0028">
            <w:pPr>
              <w:keepNext/>
              <w:spacing w:before="0" w:after="0"/>
              <w:ind w:left="0" w:right="0" w:firstLine="0"/>
              <w:jc w:val="center"/>
              <w:rPr>
                <w:rFonts w:ascii="Arial Narrow" w:hAnsi="Arial Narrow" w:cs="Arial"/>
                <w:sz w:val="20"/>
                <w:szCs w:val="20"/>
                <w:lang w:eastAsia="en-AU"/>
              </w:rPr>
            </w:pPr>
          </w:p>
          <w:p w:rsidR="00FC716D" w:rsidRDefault="00FC716D" w:rsidP="00FB3611">
            <w:pPr>
              <w:keepNext/>
              <w:spacing w:before="0" w:after="0"/>
              <w:ind w:left="-108" w:right="0" w:firstLine="0"/>
              <w:jc w:val="center"/>
              <w:rPr>
                <w:rFonts w:ascii="Arial Narrow" w:hAnsi="Arial Narrow" w:cs="Arial"/>
                <w:sz w:val="20"/>
              </w:rPr>
            </w:pPr>
          </w:p>
          <w:p w:rsidR="00FC716D" w:rsidRDefault="00FC716D" w:rsidP="00FB3611">
            <w:pPr>
              <w:keepNext/>
              <w:spacing w:before="0" w:after="0"/>
              <w:ind w:left="-108" w:right="0" w:firstLine="0"/>
              <w:jc w:val="center"/>
              <w:rPr>
                <w:rFonts w:ascii="Arial Narrow" w:hAnsi="Arial Narrow" w:cs="Arial"/>
                <w:sz w:val="20"/>
              </w:rPr>
            </w:pPr>
            <w:r>
              <w:rPr>
                <w:rFonts w:ascii="Arial Narrow" w:hAnsi="Arial Narrow" w:cs="Arial"/>
                <w:sz w:val="20"/>
              </w:rPr>
              <w:t>SOS 10</w:t>
            </w:r>
          </w:p>
          <w:p w:rsidR="00FC716D" w:rsidRDefault="00FC716D" w:rsidP="00FB3611">
            <w:pPr>
              <w:keepNext/>
              <w:spacing w:before="0" w:after="0"/>
              <w:ind w:left="-108" w:right="0" w:firstLine="0"/>
              <w:jc w:val="center"/>
              <w:rPr>
                <w:rFonts w:ascii="Arial Narrow" w:hAnsi="Arial Narrow" w:cs="Arial"/>
                <w:sz w:val="20"/>
              </w:rPr>
            </w:pPr>
            <w:r>
              <w:rPr>
                <w:rFonts w:ascii="Arial Narrow" w:hAnsi="Arial Narrow" w:cs="Arial"/>
                <w:sz w:val="20"/>
              </w:rPr>
              <w:t>SOS 15</w:t>
            </w:r>
          </w:p>
          <w:p w:rsidR="00FC716D" w:rsidRDefault="00FC716D" w:rsidP="00FB3611">
            <w:pPr>
              <w:keepNext/>
              <w:spacing w:before="0" w:after="0"/>
              <w:ind w:left="-108" w:right="0" w:firstLine="0"/>
              <w:jc w:val="center"/>
              <w:rPr>
                <w:rFonts w:ascii="Arial Narrow" w:hAnsi="Arial Narrow" w:cs="Arial"/>
                <w:sz w:val="20"/>
              </w:rPr>
            </w:pPr>
            <w:r>
              <w:rPr>
                <w:rFonts w:ascii="Arial Narrow" w:hAnsi="Arial Narrow" w:cs="Arial"/>
                <w:sz w:val="20"/>
              </w:rPr>
              <w:t>SOS 20</w:t>
            </w:r>
          </w:p>
          <w:p w:rsidR="00FC716D" w:rsidRDefault="00FC716D" w:rsidP="00FB3611">
            <w:pPr>
              <w:keepNext/>
              <w:spacing w:before="0" w:after="0"/>
              <w:ind w:left="-108" w:right="0" w:firstLine="0"/>
              <w:jc w:val="center"/>
              <w:rPr>
                <w:rFonts w:ascii="Arial Narrow" w:hAnsi="Arial Narrow" w:cs="Arial"/>
                <w:sz w:val="20"/>
              </w:rPr>
            </w:pPr>
            <w:r>
              <w:rPr>
                <w:rFonts w:ascii="Arial Narrow" w:hAnsi="Arial Narrow" w:cs="Arial"/>
                <w:sz w:val="20"/>
              </w:rPr>
              <w:t>SOS 25</w:t>
            </w:r>
          </w:p>
          <w:p w:rsidR="00FC716D" w:rsidRPr="00200A5D" w:rsidRDefault="00FC716D" w:rsidP="00EE0028">
            <w:pPr>
              <w:keepNext/>
              <w:spacing w:before="0" w:after="0"/>
              <w:ind w:left="0" w:right="0" w:firstLine="0"/>
              <w:jc w:val="center"/>
              <w:rPr>
                <w:rFonts w:ascii="Arial Narrow" w:hAnsi="Arial Narrow" w:cs="Arial"/>
                <w:sz w:val="20"/>
                <w:szCs w:val="20"/>
                <w:lang w:eastAsia="en-AU"/>
              </w:rPr>
            </w:pPr>
          </w:p>
        </w:tc>
        <w:tc>
          <w:tcPr>
            <w:tcW w:w="2551" w:type="dxa"/>
          </w:tcPr>
          <w:p w:rsidR="00FC716D" w:rsidRPr="00200A5D" w:rsidRDefault="00FC716D" w:rsidP="00EE0028">
            <w:pPr>
              <w:keepNext/>
              <w:spacing w:before="0" w:after="0"/>
              <w:ind w:left="0" w:right="0" w:firstLine="0"/>
              <w:jc w:val="center"/>
              <w:rPr>
                <w:rFonts w:ascii="Arial Narrow" w:hAnsi="Arial Narrow" w:cs="Arial"/>
                <w:sz w:val="20"/>
                <w:szCs w:val="20"/>
                <w:lang w:eastAsia="en-AU"/>
              </w:rPr>
            </w:pPr>
          </w:p>
          <w:p w:rsidR="00FC716D" w:rsidRPr="00200A5D" w:rsidRDefault="00FC716D" w:rsidP="00EE0028">
            <w:pPr>
              <w:keepNext/>
              <w:spacing w:before="0" w:after="0"/>
              <w:ind w:left="0" w:right="0" w:firstLine="0"/>
              <w:jc w:val="center"/>
              <w:rPr>
                <w:rFonts w:ascii="Arial Narrow" w:hAnsi="Arial Narrow" w:cs="Arial"/>
                <w:sz w:val="20"/>
                <w:szCs w:val="20"/>
                <w:lang w:eastAsia="en-AU"/>
              </w:rPr>
            </w:pPr>
            <w:r>
              <w:rPr>
                <w:rFonts w:ascii="Arial Narrow" w:hAnsi="Arial Narrow" w:cs="Arial"/>
                <w:sz w:val="20"/>
                <w:szCs w:val="20"/>
                <w:lang w:eastAsia="en-AU"/>
              </w:rPr>
              <w:t>Vitaflo Australia Pty Ltd</w:t>
            </w:r>
          </w:p>
        </w:tc>
      </w:tr>
      <w:tr w:rsidR="00DC7EC6" w:rsidRPr="00200A5D" w:rsidTr="00FC716D">
        <w:trPr>
          <w:cantSplit/>
          <w:trHeight w:val="360"/>
        </w:trPr>
        <w:tc>
          <w:tcPr>
            <w:tcW w:w="3119" w:type="dxa"/>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 xml:space="preserve">Category / </w:t>
            </w:r>
          </w:p>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Program</w:t>
            </w:r>
          </w:p>
        </w:tc>
        <w:tc>
          <w:tcPr>
            <w:tcW w:w="5306" w:type="dxa"/>
            <w:gridSpan w:val="5"/>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t>GENERAL – General Schedule (Code GE)</w:t>
            </w:r>
          </w:p>
          <w:p w:rsidR="00DC7EC6" w:rsidRPr="00200A5D" w:rsidRDefault="00DC7EC6" w:rsidP="00EE0028">
            <w:pPr>
              <w:spacing w:before="0" w:after="0"/>
              <w:ind w:left="0" w:right="0" w:firstLine="0"/>
              <w:rPr>
                <w:rFonts w:ascii="Arial Narrow" w:hAnsi="Arial Narrow" w:cs="Arial"/>
                <w:sz w:val="20"/>
                <w:szCs w:val="20"/>
                <w:lang w:eastAsia="en-AU"/>
              </w:rPr>
            </w:pPr>
          </w:p>
        </w:tc>
      </w:tr>
      <w:tr w:rsidR="00DC7EC6" w:rsidRPr="00200A5D" w:rsidTr="00FC716D">
        <w:trPr>
          <w:cantSplit/>
          <w:trHeight w:val="360"/>
        </w:trPr>
        <w:tc>
          <w:tcPr>
            <w:tcW w:w="3119" w:type="dxa"/>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Prescriber type:</w:t>
            </w:r>
          </w:p>
        </w:tc>
        <w:tc>
          <w:tcPr>
            <w:tcW w:w="5306" w:type="dxa"/>
            <w:gridSpan w:val="5"/>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1"/>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Dental  </w:t>
            </w: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200A5D">
              <w:rPr>
                <w:rFonts w:ascii="Arial Narrow" w:hAnsi="Arial Narrow" w:cs="Arial"/>
                <w:sz w:val="20"/>
                <w:szCs w:val="20"/>
                <w:lang w:eastAsia="en-AU"/>
              </w:rPr>
              <w:t xml:space="preserve">Medical Practitioners  </w:t>
            </w:r>
            <w:r>
              <w:rPr>
                <w:rFonts w:ascii="Arial Narrow" w:hAnsi="Arial Narrow" w:cs="Arial"/>
                <w:sz w:val="20"/>
                <w:szCs w:val="20"/>
                <w:lang w:eastAsia="en-AU"/>
              </w:rPr>
              <w:fldChar w:fldCharType="begin">
                <w:ffData>
                  <w:name w:val="Check3"/>
                  <w:enabled/>
                  <w:calcOnExit w:val="0"/>
                  <w:checkBox>
                    <w:sizeAuto/>
                    <w:default w:val="1"/>
                  </w:checkBox>
                </w:ffData>
              </w:fldChar>
            </w:r>
            <w:bookmarkStart w:id="0" w:name="Check3"/>
            <w:r>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bookmarkEnd w:id="0"/>
            <w:r w:rsidRPr="00200A5D">
              <w:rPr>
                <w:rFonts w:ascii="Arial Narrow" w:hAnsi="Arial Narrow" w:cs="Arial"/>
                <w:sz w:val="20"/>
                <w:szCs w:val="20"/>
                <w:lang w:eastAsia="en-AU"/>
              </w:rPr>
              <w:t xml:space="preserve">Nurse practitioners  </w:t>
            </w: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Optometrists</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Midwives</w:t>
            </w:r>
          </w:p>
        </w:tc>
      </w:tr>
      <w:tr w:rsidR="00DC7EC6" w:rsidRPr="00200A5D" w:rsidTr="00FC716D">
        <w:trPr>
          <w:cantSplit/>
          <w:trHeight w:val="360"/>
        </w:trPr>
        <w:tc>
          <w:tcPr>
            <w:tcW w:w="3119" w:type="dxa"/>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Condition:</w:t>
            </w:r>
          </w:p>
        </w:tc>
        <w:tc>
          <w:tcPr>
            <w:tcW w:w="5306" w:type="dxa"/>
            <w:gridSpan w:val="5"/>
            <w:tcBorders>
              <w:top w:val="single" w:sz="4" w:space="0" w:color="auto"/>
              <w:left w:val="single" w:sz="4" w:space="0" w:color="auto"/>
              <w:bottom w:val="single" w:sz="4" w:space="0" w:color="auto"/>
              <w:right w:val="single" w:sz="4" w:space="0" w:color="auto"/>
            </w:tcBorders>
            <w:vAlign w:val="center"/>
          </w:tcPr>
          <w:p w:rsidR="00DC7EC6" w:rsidRDefault="008A7DC8" w:rsidP="008A7DC8">
            <w:pPr>
              <w:spacing w:before="0"/>
              <w:rPr>
                <w:rFonts w:ascii="Arial Narrow" w:hAnsi="Arial Narrow" w:cs="Arial"/>
                <w:sz w:val="20"/>
              </w:rPr>
            </w:pPr>
            <w:r>
              <w:rPr>
                <w:rFonts w:ascii="Arial Narrow" w:hAnsi="Arial Narrow" w:cs="Arial"/>
                <w:sz w:val="20"/>
              </w:rPr>
              <w:t>Proven inborn errors of</w:t>
            </w:r>
            <w:r w:rsidR="009A05C0">
              <w:rPr>
                <w:rFonts w:ascii="Arial Narrow" w:hAnsi="Arial Narrow" w:cs="Arial"/>
                <w:sz w:val="20"/>
              </w:rPr>
              <w:t xml:space="preserve"> protein</w:t>
            </w:r>
            <w:r>
              <w:rPr>
                <w:rFonts w:ascii="Arial Narrow" w:hAnsi="Arial Narrow" w:cs="Arial"/>
                <w:sz w:val="20"/>
              </w:rPr>
              <w:t xml:space="preserve"> metabolism</w:t>
            </w:r>
          </w:p>
          <w:p w:rsidR="009A05C0" w:rsidRPr="003D46AF" w:rsidRDefault="009A05C0" w:rsidP="009A05C0">
            <w:pPr>
              <w:spacing w:before="0"/>
              <w:rPr>
                <w:rFonts w:ascii="Arial Narrow" w:hAnsi="Arial Narrow" w:cs="Arial"/>
                <w:sz w:val="20"/>
              </w:rPr>
            </w:pPr>
            <w:r w:rsidRPr="003D46AF">
              <w:rPr>
                <w:rFonts w:ascii="Arial Narrow" w:hAnsi="Arial Narrow" w:cs="Arial"/>
                <w:sz w:val="20"/>
              </w:rPr>
              <w:t>Proven inborn errors of fat metabolism</w:t>
            </w:r>
          </w:p>
        </w:tc>
      </w:tr>
      <w:tr w:rsidR="00DC7EC6" w:rsidRPr="00200A5D" w:rsidTr="00FC716D">
        <w:trPr>
          <w:cantSplit/>
          <w:trHeight w:val="360"/>
        </w:trPr>
        <w:tc>
          <w:tcPr>
            <w:tcW w:w="3119" w:type="dxa"/>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PBS Indication:</w:t>
            </w:r>
          </w:p>
        </w:tc>
        <w:tc>
          <w:tcPr>
            <w:tcW w:w="5306" w:type="dxa"/>
            <w:gridSpan w:val="5"/>
            <w:tcBorders>
              <w:top w:val="single" w:sz="4" w:space="0" w:color="auto"/>
              <w:left w:val="single" w:sz="4" w:space="0" w:color="auto"/>
              <w:bottom w:val="single" w:sz="4" w:space="0" w:color="auto"/>
              <w:right w:val="single" w:sz="4" w:space="0" w:color="auto"/>
            </w:tcBorders>
            <w:vAlign w:val="center"/>
          </w:tcPr>
          <w:p w:rsidR="00DC7EC6" w:rsidRDefault="008A7DC8" w:rsidP="00EE0028">
            <w:pPr>
              <w:spacing w:before="0"/>
              <w:rPr>
                <w:rFonts w:ascii="Arial Narrow" w:hAnsi="Arial Narrow" w:cs="Arial"/>
                <w:sz w:val="20"/>
              </w:rPr>
            </w:pPr>
            <w:r>
              <w:rPr>
                <w:rFonts w:ascii="Arial Narrow" w:hAnsi="Arial Narrow" w:cs="Arial"/>
                <w:sz w:val="20"/>
              </w:rPr>
              <w:t xml:space="preserve">Proven inborn errors of </w:t>
            </w:r>
            <w:r w:rsidR="009A05C0">
              <w:rPr>
                <w:rFonts w:ascii="Arial Narrow" w:hAnsi="Arial Narrow" w:cs="Arial"/>
                <w:sz w:val="20"/>
              </w:rPr>
              <w:t xml:space="preserve">protein </w:t>
            </w:r>
            <w:r>
              <w:rPr>
                <w:rFonts w:ascii="Arial Narrow" w:hAnsi="Arial Narrow" w:cs="Arial"/>
                <w:sz w:val="20"/>
              </w:rPr>
              <w:t>metabolism</w:t>
            </w:r>
          </w:p>
          <w:p w:rsidR="003D46AF" w:rsidRPr="003D46AF" w:rsidRDefault="009A05C0" w:rsidP="003D46AF">
            <w:pPr>
              <w:spacing w:before="0"/>
              <w:rPr>
                <w:rFonts w:ascii="Arial Narrow" w:hAnsi="Arial Narrow" w:cs="Arial"/>
                <w:sz w:val="20"/>
              </w:rPr>
            </w:pPr>
            <w:r w:rsidRPr="003D46AF">
              <w:rPr>
                <w:rFonts w:ascii="Arial Narrow" w:hAnsi="Arial Narrow" w:cs="Arial"/>
                <w:sz w:val="20"/>
              </w:rPr>
              <w:t>Proven inborn errors of fat metabolism</w:t>
            </w:r>
          </w:p>
        </w:tc>
      </w:tr>
      <w:tr w:rsidR="00DC7EC6" w:rsidRPr="00200A5D" w:rsidTr="00FC716D">
        <w:trPr>
          <w:cantSplit/>
          <w:trHeight w:val="360"/>
        </w:trPr>
        <w:tc>
          <w:tcPr>
            <w:tcW w:w="3119" w:type="dxa"/>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jc w:val="both"/>
              <w:rPr>
                <w:rFonts w:ascii="Arial Narrow" w:hAnsi="Arial Narrow" w:cs="Arial"/>
                <w:b/>
                <w:sz w:val="20"/>
                <w:szCs w:val="20"/>
                <w:lang w:eastAsia="en-AU"/>
              </w:rPr>
            </w:pPr>
            <w:r w:rsidRPr="00200A5D">
              <w:rPr>
                <w:rFonts w:ascii="Arial Narrow" w:hAnsi="Arial Narrow" w:cs="Arial"/>
                <w:b/>
                <w:sz w:val="20"/>
                <w:szCs w:val="20"/>
                <w:lang w:eastAsia="en-AU"/>
              </w:rPr>
              <w:t>Restriction Level / Method:</w:t>
            </w:r>
          </w:p>
          <w:p w:rsidR="00DC7EC6" w:rsidRPr="00200A5D" w:rsidRDefault="00DC7EC6" w:rsidP="00EE0028">
            <w:pPr>
              <w:spacing w:before="0" w:after="0"/>
              <w:ind w:left="0" w:right="0" w:firstLine="0"/>
              <w:rPr>
                <w:rFonts w:ascii="Arial Narrow" w:hAnsi="Arial Narrow" w:cs="Arial"/>
                <w:sz w:val="20"/>
                <w:szCs w:val="20"/>
                <w:lang w:eastAsia="en-AU"/>
              </w:rPr>
            </w:pPr>
          </w:p>
        </w:tc>
        <w:tc>
          <w:tcPr>
            <w:tcW w:w="5306" w:type="dxa"/>
            <w:gridSpan w:val="5"/>
            <w:tcBorders>
              <w:top w:val="single" w:sz="4" w:space="0" w:color="auto"/>
              <w:left w:val="single" w:sz="4" w:space="0" w:color="auto"/>
              <w:bottom w:val="single" w:sz="4" w:space="0" w:color="auto"/>
              <w:right w:val="single" w:sz="4" w:space="0" w:color="auto"/>
            </w:tcBorders>
          </w:tcPr>
          <w:p w:rsidR="00DC7EC6" w:rsidRPr="00200A5D" w:rsidRDefault="00DC7EC6" w:rsidP="00EE0028">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Check1"/>
                  <w:enabled/>
                  <w:calcOnExit w:val="0"/>
                  <w:checkBox>
                    <w:sizeAuto/>
                    <w:default w:val="1"/>
                  </w:checkBox>
                </w:ffData>
              </w:fldChar>
            </w:r>
            <w:bookmarkStart w:id="1" w:name="Check1"/>
            <w:r>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bookmarkEnd w:id="1"/>
            <w:r w:rsidRPr="00200A5D">
              <w:rPr>
                <w:rFonts w:ascii="Arial Narrow" w:hAnsi="Arial Narrow" w:cs="Arial"/>
                <w:sz w:val="20"/>
                <w:szCs w:val="20"/>
                <w:lang w:eastAsia="en-AU"/>
              </w:rPr>
              <w:t>Restricted benefit</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In Writing</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3"/>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Telephone</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Emergency</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Authority Required - Electronic</w:t>
            </w:r>
          </w:p>
          <w:p w:rsidR="00DC7EC6" w:rsidRPr="00200A5D" w:rsidRDefault="00DC7EC6" w:rsidP="00EE0028">
            <w:pPr>
              <w:spacing w:before="0" w:after="0"/>
              <w:ind w:left="0" w:right="0" w:firstLine="0"/>
              <w:rPr>
                <w:rFonts w:ascii="Arial Narrow" w:hAnsi="Arial Narrow" w:cs="Arial"/>
                <w:sz w:val="20"/>
                <w:szCs w:val="20"/>
                <w:lang w:eastAsia="en-AU"/>
              </w:rPr>
            </w:pPr>
            <w:r w:rsidRPr="00200A5D">
              <w:rPr>
                <w:rFonts w:ascii="Arial Narrow" w:hAnsi="Arial Narrow" w:cs="Arial"/>
                <w:sz w:val="20"/>
                <w:szCs w:val="20"/>
                <w:lang w:eastAsia="en-AU"/>
              </w:rPr>
              <w:fldChar w:fldCharType="begin">
                <w:ffData>
                  <w:name w:val="Check5"/>
                  <w:enabled/>
                  <w:calcOnExit w:val="0"/>
                  <w:checkBox>
                    <w:sizeAuto/>
                    <w:default w:val="0"/>
                  </w:checkBox>
                </w:ffData>
              </w:fldChar>
            </w:r>
            <w:r w:rsidRPr="00200A5D">
              <w:rPr>
                <w:rFonts w:ascii="Arial Narrow" w:hAnsi="Arial Narrow" w:cs="Arial"/>
                <w:sz w:val="20"/>
                <w:szCs w:val="20"/>
                <w:lang w:eastAsia="en-AU"/>
              </w:rPr>
              <w:instrText xml:space="preserve"> FORMCHECKBOX </w:instrText>
            </w:r>
            <w:r w:rsidR="00B32FCF">
              <w:rPr>
                <w:rFonts w:ascii="Arial Narrow" w:hAnsi="Arial Narrow" w:cs="Arial"/>
                <w:sz w:val="20"/>
                <w:szCs w:val="20"/>
                <w:lang w:eastAsia="en-AU"/>
              </w:rPr>
            </w:r>
            <w:r w:rsidR="00B32FCF">
              <w:rPr>
                <w:rFonts w:ascii="Arial Narrow" w:hAnsi="Arial Narrow" w:cs="Arial"/>
                <w:sz w:val="20"/>
                <w:szCs w:val="20"/>
                <w:lang w:eastAsia="en-AU"/>
              </w:rPr>
              <w:fldChar w:fldCharType="separate"/>
            </w:r>
            <w:r w:rsidRPr="00200A5D">
              <w:rPr>
                <w:rFonts w:ascii="Arial Narrow" w:hAnsi="Arial Narrow" w:cs="Arial"/>
                <w:sz w:val="20"/>
                <w:szCs w:val="20"/>
                <w:lang w:eastAsia="en-AU"/>
              </w:rPr>
              <w:fldChar w:fldCharType="end"/>
            </w:r>
            <w:r w:rsidRPr="00200A5D">
              <w:rPr>
                <w:rFonts w:ascii="Arial Narrow" w:hAnsi="Arial Narrow" w:cs="Arial"/>
                <w:sz w:val="20"/>
                <w:szCs w:val="20"/>
                <w:lang w:eastAsia="en-AU"/>
              </w:rPr>
              <w:t>Streamlined</w:t>
            </w:r>
          </w:p>
        </w:tc>
      </w:tr>
      <w:tr w:rsidR="008A7DC8" w:rsidRPr="00200A5D" w:rsidTr="00FC716D">
        <w:trPr>
          <w:cantSplit/>
          <w:trHeight w:val="573"/>
        </w:trPr>
        <w:tc>
          <w:tcPr>
            <w:tcW w:w="3119" w:type="dxa"/>
            <w:tcBorders>
              <w:top w:val="single" w:sz="4" w:space="0" w:color="auto"/>
              <w:left w:val="single" w:sz="4" w:space="0" w:color="auto"/>
              <w:bottom w:val="single" w:sz="4" w:space="0" w:color="auto"/>
              <w:right w:val="single" w:sz="4" w:space="0" w:color="auto"/>
            </w:tcBorders>
          </w:tcPr>
          <w:p w:rsidR="008A7DC8" w:rsidRPr="00260CE3" w:rsidRDefault="008A7DC8" w:rsidP="008A7DC8">
            <w:pPr>
              <w:spacing w:before="0" w:after="0"/>
              <w:ind w:left="0" w:right="0" w:firstLine="0"/>
              <w:jc w:val="both"/>
              <w:rPr>
                <w:rFonts w:ascii="Arial Narrow" w:hAnsi="Arial Narrow" w:cs="Arial"/>
                <w:b/>
                <w:sz w:val="20"/>
                <w:szCs w:val="20"/>
              </w:rPr>
            </w:pPr>
            <w:r w:rsidRPr="00260CE3">
              <w:rPr>
                <w:rFonts w:ascii="Arial Narrow" w:hAnsi="Arial Narrow" w:cs="Arial"/>
                <w:b/>
                <w:sz w:val="20"/>
                <w:szCs w:val="20"/>
                <w:lang w:eastAsia="en-AU"/>
              </w:rPr>
              <w:t>Clinical criteria:</w:t>
            </w:r>
          </w:p>
        </w:tc>
        <w:tc>
          <w:tcPr>
            <w:tcW w:w="5306" w:type="dxa"/>
            <w:gridSpan w:val="5"/>
            <w:tcBorders>
              <w:top w:val="single" w:sz="4" w:space="0" w:color="auto"/>
              <w:left w:val="single" w:sz="4" w:space="0" w:color="auto"/>
              <w:bottom w:val="single" w:sz="4" w:space="0" w:color="auto"/>
              <w:right w:val="single" w:sz="4" w:space="0" w:color="auto"/>
            </w:tcBorders>
          </w:tcPr>
          <w:p w:rsidR="008A7DC8" w:rsidRPr="008A7DC8" w:rsidRDefault="008A7DC8" w:rsidP="00474BBE">
            <w:pPr>
              <w:spacing w:before="0"/>
              <w:ind w:left="0" w:right="-46" w:firstLine="0"/>
              <w:rPr>
                <w:rFonts w:ascii="Arial Narrow" w:hAnsi="Arial Narrow" w:cs="Arial"/>
                <w:sz w:val="20"/>
              </w:rPr>
            </w:pPr>
            <w:r w:rsidRPr="008A7DC8">
              <w:rPr>
                <w:rFonts w:ascii="Arial Narrow" w:hAnsi="Arial Narrow" w:cs="Arial"/>
                <w:sz w:val="20"/>
              </w:rPr>
              <w:t>Patient must be unable to meet their energy requi</w:t>
            </w:r>
            <w:r>
              <w:rPr>
                <w:rFonts w:ascii="Arial Narrow" w:hAnsi="Arial Narrow" w:cs="Arial"/>
                <w:sz w:val="20"/>
              </w:rPr>
              <w:t>rements with</w:t>
            </w:r>
            <w:r w:rsidR="00474BBE">
              <w:rPr>
                <w:rFonts w:ascii="Arial Narrow" w:hAnsi="Arial Narrow" w:cs="Arial"/>
                <w:sz w:val="20"/>
              </w:rPr>
              <w:t xml:space="preserve"> </w:t>
            </w:r>
            <w:r>
              <w:rPr>
                <w:rFonts w:ascii="Arial Narrow" w:hAnsi="Arial Narrow" w:cs="Arial"/>
                <w:sz w:val="20"/>
              </w:rPr>
              <w:t xml:space="preserve">permitted food and </w:t>
            </w:r>
            <w:r w:rsidRPr="008A7DC8">
              <w:rPr>
                <w:rFonts w:ascii="Arial Narrow" w:hAnsi="Arial Narrow" w:cs="Arial"/>
                <w:sz w:val="20"/>
              </w:rPr>
              <w:t>formulae.</w:t>
            </w:r>
          </w:p>
        </w:tc>
      </w:tr>
      <w:tr w:rsidR="00474BBE" w:rsidRPr="00200A5D" w:rsidTr="00FC716D">
        <w:trPr>
          <w:cantSplit/>
          <w:trHeight w:val="573"/>
        </w:trPr>
        <w:tc>
          <w:tcPr>
            <w:tcW w:w="3119" w:type="dxa"/>
            <w:tcBorders>
              <w:top w:val="single" w:sz="4" w:space="0" w:color="auto"/>
              <w:left w:val="single" w:sz="4" w:space="0" w:color="auto"/>
              <w:bottom w:val="single" w:sz="4" w:space="0" w:color="auto"/>
              <w:right w:val="single" w:sz="4" w:space="0" w:color="auto"/>
            </w:tcBorders>
          </w:tcPr>
          <w:p w:rsidR="00474BBE" w:rsidRPr="00474BBE" w:rsidRDefault="00474BBE" w:rsidP="00474BBE">
            <w:pPr>
              <w:jc w:val="both"/>
              <w:rPr>
                <w:rFonts w:ascii="Arial Narrow" w:hAnsi="Arial Narrow" w:cs="Arial"/>
                <w:b/>
                <w:sz w:val="20"/>
                <w:szCs w:val="20"/>
              </w:rPr>
            </w:pPr>
            <w:r w:rsidRPr="00260CE3">
              <w:rPr>
                <w:rFonts w:ascii="Arial Narrow" w:hAnsi="Arial Narrow" w:cs="Arial"/>
                <w:b/>
                <w:sz w:val="20"/>
                <w:szCs w:val="20"/>
              </w:rPr>
              <w:t>Cautions</w:t>
            </w:r>
          </w:p>
        </w:tc>
        <w:tc>
          <w:tcPr>
            <w:tcW w:w="5306" w:type="dxa"/>
            <w:gridSpan w:val="5"/>
            <w:tcBorders>
              <w:top w:val="single" w:sz="4" w:space="0" w:color="auto"/>
              <w:left w:val="single" w:sz="4" w:space="0" w:color="auto"/>
              <w:bottom w:val="single" w:sz="4" w:space="0" w:color="auto"/>
              <w:right w:val="single" w:sz="4" w:space="0" w:color="auto"/>
            </w:tcBorders>
          </w:tcPr>
          <w:p w:rsidR="00474BBE" w:rsidRPr="00FB3611" w:rsidRDefault="00474BBE" w:rsidP="00EE0028">
            <w:pPr>
              <w:rPr>
                <w:rFonts w:ascii="Arial Narrow" w:hAnsi="Arial Narrow" w:cs="Arial"/>
                <w:strike/>
                <w:sz w:val="20"/>
                <w:szCs w:val="20"/>
              </w:rPr>
            </w:pPr>
            <w:r w:rsidRPr="00FB3611">
              <w:rPr>
                <w:rFonts w:ascii="Arial Narrow" w:hAnsi="Arial Narrow" w:cs="Arial"/>
                <w:strike/>
                <w:sz w:val="20"/>
                <w:szCs w:val="20"/>
              </w:rPr>
              <w:t>Not for parenteral use</w:t>
            </w:r>
          </w:p>
        </w:tc>
      </w:tr>
    </w:tbl>
    <w:p w:rsidR="00DC7EC6" w:rsidRDefault="00DC7EC6" w:rsidP="00DC7EC6">
      <w:pPr>
        <w:spacing w:before="0" w:after="0"/>
        <w:ind w:left="720" w:right="0" w:firstLine="0"/>
        <w:contextualSpacing/>
        <w:jc w:val="both"/>
        <w:rPr>
          <w:rFonts w:ascii="Arial" w:hAnsi="Arial"/>
          <w:sz w:val="22"/>
          <w:szCs w:val="22"/>
          <w:lang w:eastAsia="en-AU"/>
        </w:rPr>
      </w:pPr>
    </w:p>
    <w:p w:rsidR="00134848" w:rsidRDefault="00134848" w:rsidP="00C73915">
      <w:pPr>
        <w:numPr>
          <w:ilvl w:val="1"/>
          <w:numId w:val="1"/>
        </w:numPr>
        <w:spacing w:before="0" w:after="0"/>
        <w:ind w:right="0"/>
        <w:jc w:val="both"/>
        <w:rPr>
          <w:rFonts w:ascii="Arial" w:hAnsi="Arial"/>
          <w:sz w:val="22"/>
          <w:szCs w:val="22"/>
          <w:lang w:eastAsia="en-AU"/>
        </w:rPr>
      </w:pPr>
      <w:r w:rsidRPr="005619E1">
        <w:rPr>
          <w:rFonts w:ascii="Arial" w:hAnsi="Arial"/>
          <w:sz w:val="22"/>
          <w:szCs w:val="22"/>
          <w:lang w:eastAsia="en-AU"/>
        </w:rPr>
        <w:t xml:space="preserve">The Secretariat notes that the sponsor’s proposed drug name (glucose polymer) is not currently a valid Legal Instrument name. The Secretariat has amended the drug name to </w:t>
      </w:r>
      <w:r>
        <w:rPr>
          <w:rFonts w:ascii="Arial" w:hAnsi="Arial"/>
          <w:sz w:val="22"/>
          <w:szCs w:val="22"/>
          <w:lang w:eastAsia="en-AU"/>
        </w:rPr>
        <w:t>“</w:t>
      </w:r>
      <w:r w:rsidRPr="005619E1">
        <w:rPr>
          <w:rFonts w:ascii="Arial" w:hAnsi="Arial"/>
          <w:sz w:val="22"/>
          <w:szCs w:val="22"/>
          <w:lang w:eastAsia="en-AU"/>
        </w:rPr>
        <w:t>Carbohydrate formula with Minerals</w:t>
      </w:r>
      <w:r>
        <w:rPr>
          <w:rFonts w:ascii="Arial" w:hAnsi="Arial"/>
          <w:sz w:val="22"/>
          <w:szCs w:val="22"/>
          <w:lang w:eastAsia="en-AU"/>
        </w:rPr>
        <w:t>”</w:t>
      </w:r>
      <w:r w:rsidRPr="005619E1">
        <w:rPr>
          <w:rFonts w:ascii="Arial" w:hAnsi="Arial"/>
          <w:sz w:val="22"/>
          <w:szCs w:val="22"/>
          <w:lang w:eastAsia="en-AU"/>
        </w:rPr>
        <w:t xml:space="preserve"> to align with the Australian medicines terminology (AMT) description provided by the Australian Digital Health Agency.</w:t>
      </w:r>
    </w:p>
    <w:p w:rsidR="00C73915" w:rsidRDefault="00C73915" w:rsidP="00C73915">
      <w:pPr>
        <w:spacing w:before="0" w:after="0"/>
        <w:ind w:left="720" w:right="0" w:firstLine="0"/>
        <w:jc w:val="both"/>
        <w:rPr>
          <w:rFonts w:ascii="Arial" w:hAnsi="Arial"/>
          <w:sz w:val="22"/>
          <w:szCs w:val="22"/>
          <w:lang w:eastAsia="en-AU"/>
        </w:rPr>
      </w:pPr>
    </w:p>
    <w:p w:rsidR="00134848" w:rsidRDefault="00134848" w:rsidP="00C73915">
      <w:pPr>
        <w:numPr>
          <w:ilvl w:val="1"/>
          <w:numId w:val="1"/>
        </w:numPr>
        <w:spacing w:before="0" w:after="0"/>
        <w:ind w:right="0"/>
        <w:jc w:val="both"/>
        <w:rPr>
          <w:rFonts w:ascii="Arial" w:hAnsi="Arial"/>
          <w:sz w:val="22"/>
          <w:szCs w:val="22"/>
          <w:lang w:eastAsia="en-AU"/>
        </w:rPr>
      </w:pPr>
      <w:r w:rsidRPr="00134848">
        <w:rPr>
          <w:rFonts w:ascii="Arial" w:hAnsi="Arial"/>
          <w:sz w:val="22"/>
          <w:szCs w:val="22"/>
          <w:lang w:eastAsia="en-AU"/>
        </w:rPr>
        <w:t>The sponsor’s proposed drug name, glucose polymer, is not currently listed as a standalone listed drug in the National Health (Listing of Pharmaceutical Benefits) Instrument 2012 (PB 71 of 2012) (the Legal Instrument). Similar p</w:t>
      </w:r>
      <w:r w:rsidR="009805B3">
        <w:rPr>
          <w:rFonts w:ascii="Arial" w:hAnsi="Arial"/>
          <w:sz w:val="22"/>
          <w:szCs w:val="22"/>
          <w:lang w:eastAsia="en-AU"/>
        </w:rPr>
        <w:t>roducts on the PBS, such as ProZ</w:t>
      </w:r>
      <w:r w:rsidRPr="00134848">
        <w:rPr>
          <w:rFonts w:ascii="Arial" w:hAnsi="Arial"/>
          <w:sz w:val="22"/>
          <w:szCs w:val="22"/>
          <w:lang w:eastAsia="en-AU"/>
        </w:rPr>
        <w:t>ero</w:t>
      </w:r>
      <w:r w:rsidRPr="00134848">
        <w:rPr>
          <w:rFonts w:ascii="Arial" w:hAnsi="Arial" w:cs="Arial"/>
          <w:sz w:val="22"/>
          <w:szCs w:val="22"/>
          <w:vertAlign w:val="superscript"/>
          <w:lang w:eastAsia="en-AU"/>
        </w:rPr>
        <w:t>®</w:t>
      </w:r>
      <w:r w:rsidRPr="00134848">
        <w:rPr>
          <w:rFonts w:ascii="Arial" w:hAnsi="Arial"/>
          <w:sz w:val="22"/>
          <w:szCs w:val="22"/>
          <w:lang w:eastAsia="en-AU"/>
        </w:rPr>
        <w:t>, Sno-Pro</w:t>
      </w:r>
      <w:r w:rsidRPr="00134848">
        <w:rPr>
          <w:rFonts w:ascii="Arial" w:hAnsi="Arial" w:cs="Arial"/>
          <w:sz w:val="22"/>
          <w:szCs w:val="22"/>
          <w:vertAlign w:val="superscript"/>
          <w:lang w:eastAsia="en-AU"/>
        </w:rPr>
        <w:t>®</w:t>
      </w:r>
      <w:r w:rsidRPr="00134848">
        <w:rPr>
          <w:rFonts w:ascii="Arial" w:hAnsi="Arial"/>
          <w:sz w:val="22"/>
          <w:szCs w:val="22"/>
          <w:lang w:eastAsia="en-AU"/>
        </w:rPr>
        <w:t xml:space="preserve"> and Duocal</w:t>
      </w:r>
      <w:r w:rsidRPr="00134848">
        <w:rPr>
          <w:rFonts w:ascii="Arial" w:hAnsi="Arial" w:cs="Arial"/>
          <w:sz w:val="22"/>
          <w:szCs w:val="22"/>
          <w:vertAlign w:val="superscript"/>
          <w:lang w:eastAsia="en-AU"/>
        </w:rPr>
        <w:t>®</w:t>
      </w:r>
      <w:r w:rsidRPr="00134848">
        <w:rPr>
          <w:rFonts w:ascii="Arial" w:hAnsi="Arial"/>
          <w:sz w:val="22"/>
          <w:szCs w:val="22"/>
          <w:lang w:eastAsia="en-AU"/>
        </w:rPr>
        <w:t xml:space="preserve"> contain triglycerides (fats), which are included in the Legal Instrument name.  Duocal</w:t>
      </w:r>
      <w:r w:rsidRPr="00134848">
        <w:rPr>
          <w:rFonts w:ascii="Arial" w:hAnsi="Arial" w:cs="Arial"/>
          <w:sz w:val="22"/>
          <w:szCs w:val="22"/>
          <w:vertAlign w:val="superscript"/>
          <w:lang w:eastAsia="en-AU"/>
        </w:rPr>
        <w:t>®</w:t>
      </w:r>
      <w:r w:rsidRPr="00134848">
        <w:rPr>
          <w:rFonts w:ascii="Arial" w:hAnsi="Arial"/>
          <w:sz w:val="22"/>
          <w:szCs w:val="22"/>
          <w:lang w:eastAsia="en-AU"/>
        </w:rPr>
        <w:t>’s Legal Instrument name is “Triglycerides, medium chain and long chain with glucose polymer” while ProZero</w:t>
      </w:r>
      <w:r w:rsidRPr="00134848">
        <w:rPr>
          <w:rFonts w:ascii="Arial" w:hAnsi="Arial" w:cs="Arial"/>
          <w:sz w:val="22"/>
          <w:szCs w:val="22"/>
          <w:vertAlign w:val="superscript"/>
          <w:lang w:eastAsia="en-AU"/>
        </w:rPr>
        <w:t>®</w:t>
      </w:r>
      <w:r w:rsidRPr="00134848">
        <w:rPr>
          <w:rFonts w:ascii="Arial" w:hAnsi="Arial"/>
          <w:sz w:val="22"/>
          <w:szCs w:val="22"/>
          <w:lang w:eastAsia="en-AU"/>
        </w:rPr>
        <w:t xml:space="preserve"> and Sno-Pro</w:t>
      </w:r>
      <w:r w:rsidRPr="00134848">
        <w:rPr>
          <w:rFonts w:ascii="Arial" w:hAnsi="Arial" w:cs="Arial"/>
          <w:sz w:val="22"/>
          <w:szCs w:val="22"/>
          <w:vertAlign w:val="superscript"/>
          <w:lang w:eastAsia="en-AU"/>
        </w:rPr>
        <w:t>®</w:t>
      </w:r>
      <w:r w:rsidRPr="00134848">
        <w:rPr>
          <w:rFonts w:ascii="Arial" w:hAnsi="Arial"/>
          <w:sz w:val="22"/>
          <w:szCs w:val="22"/>
          <w:lang w:eastAsia="en-AU"/>
        </w:rPr>
        <w:t xml:space="preserve"> are listed under “Triglycerides, long chain with glucose polymer”.  The Secretariat proposes to list the sponsor’s nutritional product under the Legal Instrument name of “Carbohydrate formula with Minerals”, if the submission receives a positive recommendation.</w:t>
      </w:r>
    </w:p>
    <w:p w:rsidR="00C73915" w:rsidRPr="00134848" w:rsidRDefault="00C73915" w:rsidP="00C73915">
      <w:pPr>
        <w:spacing w:before="0" w:after="0"/>
        <w:ind w:left="720" w:right="0" w:firstLine="0"/>
        <w:jc w:val="both"/>
        <w:rPr>
          <w:rFonts w:ascii="Arial" w:hAnsi="Arial"/>
          <w:sz w:val="22"/>
          <w:szCs w:val="22"/>
          <w:lang w:eastAsia="en-AU"/>
        </w:rPr>
      </w:pPr>
    </w:p>
    <w:p w:rsidR="00134848" w:rsidRPr="005619E1" w:rsidRDefault="00134848" w:rsidP="00C73915">
      <w:pPr>
        <w:numPr>
          <w:ilvl w:val="1"/>
          <w:numId w:val="1"/>
        </w:numPr>
        <w:spacing w:before="0" w:after="0"/>
        <w:ind w:right="0"/>
        <w:jc w:val="both"/>
        <w:rPr>
          <w:rFonts w:ascii="Arial" w:hAnsi="Arial"/>
          <w:sz w:val="22"/>
          <w:szCs w:val="22"/>
          <w:lang w:eastAsia="en-AU"/>
        </w:rPr>
      </w:pPr>
      <w:r w:rsidRPr="005619E1">
        <w:rPr>
          <w:rFonts w:ascii="Arial" w:hAnsi="Arial"/>
          <w:sz w:val="22"/>
          <w:szCs w:val="22"/>
          <w:lang w:eastAsia="en-AU"/>
        </w:rPr>
        <w:t xml:space="preserve">The sponsor proposed an additional indication of “proven inborn errors of fat metabolism”. There are currently no products on the PBS listed for this indication. The Nutritional Products Working Party (NPWP) and the PBAC </w:t>
      </w:r>
      <w:r>
        <w:rPr>
          <w:rFonts w:ascii="Arial" w:hAnsi="Arial"/>
          <w:sz w:val="22"/>
          <w:szCs w:val="22"/>
          <w:lang w:eastAsia="en-AU"/>
        </w:rPr>
        <w:t>we</w:t>
      </w:r>
      <w:r w:rsidRPr="005619E1">
        <w:rPr>
          <w:rFonts w:ascii="Arial" w:hAnsi="Arial"/>
          <w:sz w:val="22"/>
          <w:szCs w:val="22"/>
          <w:lang w:eastAsia="en-AU"/>
        </w:rPr>
        <w:t>re asked to comment on the suitability of the products for the proposed indication.</w:t>
      </w:r>
    </w:p>
    <w:p w:rsidR="00C73915" w:rsidRDefault="00C73915" w:rsidP="00C73915">
      <w:pPr>
        <w:pStyle w:val="ListParagraph"/>
        <w:spacing w:before="0" w:after="0"/>
        <w:ind w:right="0" w:firstLine="0"/>
        <w:jc w:val="both"/>
        <w:rPr>
          <w:rFonts w:ascii="Arial" w:hAnsi="Arial"/>
          <w:i/>
          <w:sz w:val="22"/>
          <w:szCs w:val="22"/>
          <w:lang w:eastAsia="en-AU"/>
        </w:rPr>
      </w:pPr>
    </w:p>
    <w:p w:rsidR="00F023A3" w:rsidRPr="00F023A3" w:rsidRDefault="00F023A3" w:rsidP="00C73915">
      <w:pPr>
        <w:pStyle w:val="ListParagraph"/>
        <w:spacing w:before="0" w:after="0"/>
        <w:ind w:right="0" w:firstLine="0"/>
        <w:jc w:val="both"/>
        <w:rPr>
          <w:rFonts w:ascii="Arial" w:hAnsi="Arial"/>
          <w:i/>
          <w:sz w:val="22"/>
          <w:szCs w:val="22"/>
          <w:lang w:eastAsia="en-AU"/>
        </w:rPr>
      </w:pPr>
      <w:r w:rsidRPr="00F023A3">
        <w:rPr>
          <w:rFonts w:ascii="Arial" w:hAnsi="Arial"/>
          <w:i/>
          <w:sz w:val="22"/>
          <w:szCs w:val="22"/>
          <w:lang w:eastAsia="en-AU"/>
        </w:rPr>
        <w:t xml:space="preserve">For more detail on PBAC’s view, see section </w:t>
      </w:r>
      <w:r w:rsidR="007E55CB">
        <w:rPr>
          <w:rFonts w:ascii="Arial" w:hAnsi="Arial"/>
          <w:i/>
          <w:sz w:val="22"/>
          <w:szCs w:val="22"/>
          <w:lang w:eastAsia="en-AU"/>
        </w:rPr>
        <w:t>6</w:t>
      </w:r>
      <w:r w:rsidRPr="00F023A3">
        <w:rPr>
          <w:rFonts w:ascii="Arial" w:hAnsi="Arial"/>
          <w:i/>
          <w:sz w:val="22"/>
          <w:szCs w:val="22"/>
          <w:lang w:eastAsia="en-AU"/>
        </w:rPr>
        <w:t xml:space="preserve"> “PBAC outcome”</w:t>
      </w:r>
    </w:p>
    <w:p w:rsidR="00DC7EC6" w:rsidRDefault="00DC7EC6" w:rsidP="00C73915">
      <w:pPr>
        <w:spacing w:before="0" w:after="0"/>
        <w:ind w:left="720" w:right="0" w:firstLine="0"/>
        <w:jc w:val="both"/>
        <w:rPr>
          <w:rFonts w:ascii="Arial" w:hAnsi="Arial"/>
          <w:sz w:val="22"/>
          <w:szCs w:val="22"/>
          <w:lang w:eastAsia="en-AU"/>
        </w:rPr>
      </w:pPr>
    </w:p>
    <w:p w:rsidR="00C73915" w:rsidRPr="0002364C" w:rsidRDefault="00C73915" w:rsidP="00C73915">
      <w:pPr>
        <w:spacing w:before="0" w:after="0"/>
        <w:ind w:left="720" w:right="0" w:firstLine="0"/>
        <w:jc w:val="both"/>
        <w:rPr>
          <w:rFonts w:ascii="Arial" w:hAnsi="Arial"/>
          <w:sz w:val="22"/>
          <w:szCs w:val="22"/>
          <w:lang w:eastAsia="en-AU"/>
        </w:rPr>
      </w:pPr>
    </w:p>
    <w:p w:rsidR="00DC7EC6" w:rsidRDefault="00DC7EC6" w:rsidP="00C73915">
      <w:pPr>
        <w:pStyle w:val="Heading1"/>
        <w:numPr>
          <w:ilvl w:val="0"/>
          <w:numId w:val="2"/>
        </w:numPr>
        <w:spacing w:before="0" w:after="0"/>
        <w:rPr>
          <w:sz w:val="22"/>
          <w:szCs w:val="22"/>
          <w:lang w:eastAsia="en-AU"/>
        </w:rPr>
      </w:pPr>
      <w:r w:rsidRPr="005619E1">
        <w:rPr>
          <w:sz w:val="22"/>
          <w:szCs w:val="22"/>
          <w:lang w:eastAsia="en-AU"/>
        </w:rPr>
        <w:t>Background</w:t>
      </w:r>
    </w:p>
    <w:p w:rsidR="00C73915" w:rsidRPr="00C73915" w:rsidRDefault="00C73915" w:rsidP="00C73915">
      <w:pPr>
        <w:spacing w:before="0" w:after="0"/>
        <w:rPr>
          <w:lang w:eastAsia="en-AU"/>
        </w:rPr>
      </w:pPr>
    </w:p>
    <w:p w:rsidR="00C73915" w:rsidRPr="00C73915" w:rsidRDefault="009F1D32" w:rsidP="00C73915">
      <w:pPr>
        <w:numPr>
          <w:ilvl w:val="1"/>
          <w:numId w:val="2"/>
        </w:numPr>
        <w:spacing w:before="0" w:after="0"/>
        <w:ind w:right="0"/>
        <w:jc w:val="both"/>
        <w:rPr>
          <w:rFonts w:ascii="Arial" w:hAnsi="Arial"/>
          <w:sz w:val="22"/>
          <w:szCs w:val="22"/>
          <w:lang w:eastAsia="en-AU"/>
        </w:rPr>
      </w:pPr>
      <w:r>
        <w:rPr>
          <w:rFonts w:ascii="Arial" w:hAnsi="Arial"/>
          <w:sz w:val="22"/>
          <w:szCs w:val="22"/>
          <w:lang w:eastAsia="en-AU"/>
        </w:rPr>
        <w:t>The sponsor</w:t>
      </w:r>
      <w:r w:rsidR="00DC7EC6" w:rsidRPr="00955527">
        <w:rPr>
          <w:rFonts w:ascii="Arial" w:hAnsi="Arial"/>
          <w:sz w:val="22"/>
          <w:szCs w:val="22"/>
          <w:lang w:eastAsia="en-AU"/>
        </w:rPr>
        <w:t xml:space="preserve"> </w:t>
      </w:r>
      <w:r w:rsidR="00DC7EC6">
        <w:rPr>
          <w:rFonts w:ascii="Arial" w:hAnsi="Arial"/>
          <w:sz w:val="22"/>
          <w:szCs w:val="22"/>
          <w:lang w:eastAsia="en-AU"/>
        </w:rPr>
        <w:t>confirmed</w:t>
      </w:r>
      <w:r w:rsidR="00DC7EC6" w:rsidRPr="00955527">
        <w:rPr>
          <w:rFonts w:ascii="Arial" w:hAnsi="Arial"/>
          <w:sz w:val="22"/>
          <w:szCs w:val="22"/>
          <w:lang w:eastAsia="en-AU"/>
        </w:rPr>
        <w:t xml:space="preserve"> that it meets the requirements for foods that have medical purposes as set out under </w:t>
      </w:r>
      <w:r w:rsidR="00DC7EC6" w:rsidRPr="00955527">
        <w:rPr>
          <w:rFonts w:ascii="Arial" w:hAnsi="Arial"/>
          <w:i/>
          <w:sz w:val="22"/>
          <w:szCs w:val="22"/>
          <w:lang w:eastAsia="en-AU"/>
        </w:rPr>
        <w:t>The Australia New Zealand Food Standards Code — Standard 2.9.5: Food for Special Medical Purposes.</w:t>
      </w:r>
    </w:p>
    <w:p w:rsidR="00C73915" w:rsidRPr="00C73915" w:rsidRDefault="00C73915" w:rsidP="00C73915">
      <w:pPr>
        <w:spacing w:before="0" w:after="0"/>
        <w:ind w:left="720" w:right="0" w:firstLine="0"/>
        <w:jc w:val="both"/>
        <w:rPr>
          <w:rFonts w:ascii="Arial" w:hAnsi="Arial"/>
          <w:sz w:val="22"/>
          <w:szCs w:val="22"/>
          <w:lang w:eastAsia="en-AU"/>
        </w:rPr>
      </w:pPr>
    </w:p>
    <w:p w:rsidR="00DC7EC6" w:rsidRPr="00C73915" w:rsidRDefault="009F1D32" w:rsidP="00C73915">
      <w:pPr>
        <w:numPr>
          <w:ilvl w:val="1"/>
          <w:numId w:val="2"/>
        </w:numPr>
        <w:spacing w:before="0" w:after="0"/>
        <w:ind w:right="0"/>
        <w:jc w:val="both"/>
        <w:rPr>
          <w:rFonts w:ascii="Arial" w:hAnsi="Arial"/>
          <w:i/>
          <w:sz w:val="22"/>
          <w:szCs w:val="22"/>
          <w:lang w:eastAsia="en-AU"/>
        </w:rPr>
      </w:pPr>
      <w:r>
        <w:rPr>
          <w:rFonts w:ascii="Arial" w:hAnsi="Arial"/>
          <w:sz w:val="22"/>
          <w:szCs w:val="22"/>
          <w:lang w:eastAsia="en-AU"/>
        </w:rPr>
        <w:t xml:space="preserve">The submission has not been considered by PBAC previously. </w:t>
      </w:r>
    </w:p>
    <w:p w:rsidR="00C73915" w:rsidRPr="009F1D32" w:rsidRDefault="00C73915" w:rsidP="00C73915">
      <w:pPr>
        <w:spacing w:before="0" w:after="0"/>
        <w:ind w:left="720" w:right="0" w:firstLine="0"/>
        <w:jc w:val="both"/>
        <w:rPr>
          <w:rFonts w:ascii="Arial" w:hAnsi="Arial"/>
          <w:i/>
          <w:sz w:val="22"/>
          <w:szCs w:val="22"/>
          <w:lang w:eastAsia="en-AU"/>
        </w:rPr>
      </w:pPr>
    </w:p>
    <w:p w:rsidR="009F1D32" w:rsidRPr="00C73915" w:rsidRDefault="009F1D32" w:rsidP="00C73915">
      <w:pPr>
        <w:numPr>
          <w:ilvl w:val="1"/>
          <w:numId w:val="2"/>
        </w:numPr>
        <w:spacing w:before="0" w:after="0"/>
        <w:ind w:right="0"/>
        <w:jc w:val="both"/>
        <w:rPr>
          <w:rFonts w:ascii="Arial" w:hAnsi="Arial"/>
          <w:i/>
          <w:sz w:val="22"/>
          <w:szCs w:val="22"/>
          <w:lang w:eastAsia="en-AU"/>
        </w:rPr>
      </w:pPr>
      <w:r>
        <w:rPr>
          <w:rFonts w:ascii="Arial" w:hAnsi="Arial"/>
          <w:sz w:val="22"/>
          <w:szCs w:val="22"/>
          <w:lang w:eastAsia="en-AU"/>
        </w:rPr>
        <w:t>The submission include</w:t>
      </w:r>
      <w:r w:rsidR="009A05C0">
        <w:rPr>
          <w:rFonts w:ascii="Arial" w:hAnsi="Arial"/>
          <w:sz w:val="22"/>
          <w:szCs w:val="22"/>
          <w:lang w:eastAsia="en-AU"/>
        </w:rPr>
        <w:t>d</w:t>
      </w:r>
      <w:r>
        <w:rPr>
          <w:rFonts w:ascii="Arial" w:hAnsi="Arial"/>
          <w:sz w:val="22"/>
          <w:szCs w:val="22"/>
          <w:lang w:eastAsia="en-AU"/>
        </w:rPr>
        <w:t xml:space="preserve"> four different strengths of carbohydrate solution; SOS 10</w:t>
      </w:r>
      <w:r w:rsidR="000476D8" w:rsidRPr="006B037F">
        <w:rPr>
          <w:rFonts w:ascii="Arial" w:hAnsi="Arial" w:cs="Arial"/>
          <w:sz w:val="22"/>
          <w:szCs w:val="22"/>
          <w:vertAlign w:val="superscript"/>
          <w:lang w:eastAsia="en-AU"/>
        </w:rPr>
        <w:t>®</w:t>
      </w:r>
      <w:r>
        <w:rPr>
          <w:rFonts w:ascii="Arial" w:hAnsi="Arial"/>
          <w:sz w:val="22"/>
          <w:szCs w:val="22"/>
          <w:lang w:eastAsia="en-AU"/>
        </w:rPr>
        <w:t xml:space="preserve"> provides a 10% carbohydrate solution, SOS 20</w:t>
      </w:r>
      <w:r w:rsidR="000476D8" w:rsidRPr="006B037F">
        <w:rPr>
          <w:rFonts w:ascii="Arial" w:hAnsi="Arial" w:cs="Arial"/>
          <w:sz w:val="22"/>
          <w:szCs w:val="22"/>
          <w:vertAlign w:val="superscript"/>
          <w:lang w:eastAsia="en-AU"/>
        </w:rPr>
        <w:t>®</w:t>
      </w:r>
      <w:r>
        <w:rPr>
          <w:rFonts w:ascii="Arial" w:hAnsi="Arial"/>
          <w:sz w:val="22"/>
          <w:szCs w:val="22"/>
          <w:lang w:eastAsia="en-AU"/>
        </w:rPr>
        <w:t xml:space="preserve"> a 20% solution</w:t>
      </w:r>
      <w:r w:rsidR="00474BBE">
        <w:rPr>
          <w:rFonts w:ascii="Arial" w:hAnsi="Arial"/>
          <w:sz w:val="22"/>
          <w:szCs w:val="22"/>
          <w:lang w:eastAsia="en-AU"/>
        </w:rPr>
        <w:t>,</w:t>
      </w:r>
      <w:r>
        <w:rPr>
          <w:rFonts w:ascii="Arial" w:hAnsi="Arial"/>
          <w:sz w:val="22"/>
          <w:szCs w:val="22"/>
          <w:lang w:eastAsia="en-AU"/>
        </w:rPr>
        <w:t xml:space="preserve"> and so on.</w:t>
      </w:r>
      <w:r w:rsidR="009A05C0">
        <w:rPr>
          <w:rFonts w:ascii="Arial" w:hAnsi="Arial"/>
          <w:sz w:val="22"/>
          <w:szCs w:val="22"/>
          <w:lang w:eastAsia="en-AU"/>
        </w:rPr>
        <w:t xml:space="preserve"> The sponsor claimed that the range of solutions caters to different age groups, from infants to patients aged over 10 years.</w:t>
      </w:r>
      <w:r>
        <w:rPr>
          <w:rFonts w:ascii="Arial" w:hAnsi="Arial"/>
          <w:sz w:val="22"/>
          <w:szCs w:val="22"/>
          <w:lang w:eastAsia="en-AU"/>
        </w:rPr>
        <w:t xml:space="preserve"> </w:t>
      </w:r>
    </w:p>
    <w:p w:rsidR="00C73915" w:rsidRPr="000476D8" w:rsidRDefault="00C73915" w:rsidP="00C73915">
      <w:pPr>
        <w:spacing w:before="0" w:after="0"/>
        <w:ind w:left="720" w:right="0" w:firstLine="0"/>
        <w:jc w:val="both"/>
        <w:rPr>
          <w:rFonts w:ascii="Arial" w:hAnsi="Arial"/>
          <w:i/>
          <w:sz w:val="22"/>
          <w:szCs w:val="22"/>
          <w:lang w:eastAsia="en-AU"/>
        </w:rPr>
      </w:pPr>
    </w:p>
    <w:p w:rsidR="000476D8" w:rsidRPr="00C73915" w:rsidRDefault="000476D8" w:rsidP="00C73915">
      <w:pPr>
        <w:numPr>
          <w:ilvl w:val="1"/>
          <w:numId w:val="2"/>
        </w:numPr>
        <w:spacing w:before="0" w:after="0"/>
        <w:ind w:right="0"/>
        <w:jc w:val="both"/>
        <w:rPr>
          <w:rFonts w:ascii="Arial" w:hAnsi="Arial"/>
          <w:i/>
          <w:sz w:val="22"/>
          <w:szCs w:val="22"/>
          <w:lang w:eastAsia="en-AU"/>
        </w:rPr>
      </w:pPr>
      <w:r>
        <w:rPr>
          <w:rFonts w:ascii="Arial" w:hAnsi="Arial"/>
          <w:sz w:val="22"/>
          <w:szCs w:val="22"/>
          <w:lang w:eastAsia="en-AU"/>
        </w:rPr>
        <w:t>The SOS</w:t>
      </w:r>
      <w:r w:rsidRPr="006B037F">
        <w:rPr>
          <w:rFonts w:ascii="Arial" w:hAnsi="Arial" w:cs="Arial"/>
          <w:sz w:val="22"/>
          <w:szCs w:val="22"/>
          <w:vertAlign w:val="superscript"/>
          <w:lang w:eastAsia="en-AU"/>
        </w:rPr>
        <w:t>®</w:t>
      </w:r>
      <w:r>
        <w:rPr>
          <w:rFonts w:ascii="Arial" w:hAnsi="Arial"/>
          <w:sz w:val="22"/>
          <w:szCs w:val="22"/>
          <w:lang w:eastAsia="en-AU"/>
        </w:rPr>
        <w:t xml:space="preserve"> products contain</w:t>
      </w:r>
      <w:r w:rsidRPr="000476D8">
        <w:rPr>
          <w:rFonts w:ascii="Arial" w:hAnsi="Arial"/>
          <w:sz w:val="22"/>
          <w:szCs w:val="22"/>
          <w:lang w:eastAsia="en-AU"/>
        </w:rPr>
        <w:t xml:space="preserve"> </w:t>
      </w:r>
      <w:r>
        <w:rPr>
          <w:rFonts w:ascii="Arial" w:hAnsi="Arial"/>
          <w:sz w:val="22"/>
          <w:szCs w:val="22"/>
          <w:lang w:eastAsia="en-AU"/>
        </w:rPr>
        <w:t>no protein, therefore no nitrogen, and no fats.</w:t>
      </w:r>
      <w:r w:rsidR="003E27FF">
        <w:rPr>
          <w:rFonts w:ascii="Arial" w:hAnsi="Arial"/>
          <w:sz w:val="22"/>
          <w:szCs w:val="22"/>
          <w:lang w:eastAsia="en-AU"/>
        </w:rPr>
        <w:t xml:space="preserve"> </w:t>
      </w:r>
      <w:r w:rsidR="005145B3">
        <w:rPr>
          <w:rFonts w:ascii="Arial" w:hAnsi="Arial"/>
          <w:sz w:val="22"/>
          <w:szCs w:val="22"/>
          <w:lang w:eastAsia="en-AU"/>
        </w:rPr>
        <w:t xml:space="preserve">Similar </w:t>
      </w:r>
      <w:r w:rsidR="003E27FF">
        <w:rPr>
          <w:rFonts w:ascii="Arial" w:hAnsi="Arial"/>
          <w:sz w:val="22"/>
          <w:szCs w:val="22"/>
          <w:lang w:eastAsia="en-AU"/>
        </w:rPr>
        <w:t xml:space="preserve">PBS-listed products such as </w:t>
      </w:r>
      <w:r w:rsidR="00DB1329">
        <w:rPr>
          <w:rFonts w:ascii="Arial" w:hAnsi="Arial"/>
          <w:sz w:val="22"/>
          <w:szCs w:val="22"/>
          <w:lang w:eastAsia="en-AU"/>
        </w:rPr>
        <w:t>Prozero</w:t>
      </w:r>
      <w:r w:rsidR="00DB1329" w:rsidRPr="006B037F">
        <w:rPr>
          <w:rFonts w:ascii="Arial" w:hAnsi="Arial" w:cs="Arial"/>
          <w:sz w:val="22"/>
          <w:szCs w:val="22"/>
          <w:vertAlign w:val="superscript"/>
          <w:lang w:eastAsia="en-AU"/>
        </w:rPr>
        <w:t>®</w:t>
      </w:r>
      <w:r w:rsidR="005145B3">
        <w:rPr>
          <w:rFonts w:ascii="Arial" w:hAnsi="Arial" w:cs="Arial"/>
          <w:sz w:val="22"/>
          <w:szCs w:val="22"/>
          <w:lang w:eastAsia="en-AU"/>
        </w:rPr>
        <w:t xml:space="preserve"> </w:t>
      </w:r>
      <w:r w:rsidR="00287DA0">
        <w:rPr>
          <w:rFonts w:ascii="Arial" w:hAnsi="Arial" w:cs="Arial"/>
          <w:sz w:val="22"/>
          <w:szCs w:val="22"/>
          <w:lang w:eastAsia="en-AU"/>
        </w:rPr>
        <w:t>and Duocal</w:t>
      </w:r>
      <w:r w:rsidR="00287DA0" w:rsidRPr="006B037F">
        <w:rPr>
          <w:rFonts w:ascii="Arial" w:hAnsi="Arial" w:cs="Arial"/>
          <w:sz w:val="22"/>
          <w:szCs w:val="22"/>
          <w:vertAlign w:val="superscript"/>
          <w:lang w:eastAsia="en-AU"/>
        </w:rPr>
        <w:t>®</w:t>
      </w:r>
      <w:r w:rsidR="00287DA0">
        <w:rPr>
          <w:rFonts w:ascii="Arial" w:hAnsi="Arial" w:cs="Arial"/>
          <w:sz w:val="22"/>
          <w:szCs w:val="22"/>
          <w:lang w:eastAsia="en-AU"/>
        </w:rPr>
        <w:t xml:space="preserve"> </w:t>
      </w:r>
      <w:r w:rsidR="005145B3">
        <w:rPr>
          <w:rFonts w:ascii="Arial" w:hAnsi="Arial" w:cs="Arial"/>
          <w:sz w:val="22"/>
          <w:szCs w:val="22"/>
          <w:lang w:eastAsia="en-AU"/>
        </w:rPr>
        <w:t xml:space="preserve">do contain fats; </w:t>
      </w:r>
      <w:r w:rsidR="007B596D">
        <w:rPr>
          <w:rFonts w:ascii="Arial" w:hAnsi="Arial" w:cs="Arial"/>
          <w:sz w:val="22"/>
          <w:szCs w:val="22"/>
          <w:lang w:eastAsia="en-AU"/>
        </w:rPr>
        <w:t>3.8g fat per 100mL</w:t>
      </w:r>
      <w:r w:rsidR="00DB1329">
        <w:rPr>
          <w:rFonts w:ascii="Arial" w:hAnsi="Arial"/>
          <w:sz w:val="22"/>
          <w:szCs w:val="22"/>
          <w:lang w:eastAsia="en-AU"/>
        </w:rPr>
        <w:t xml:space="preserve"> and </w:t>
      </w:r>
      <w:r w:rsidR="007B596D">
        <w:rPr>
          <w:rFonts w:ascii="Arial" w:hAnsi="Arial"/>
          <w:sz w:val="22"/>
          <w:szCs w:val="22"/>
          <w:lang w:eastAsia="en-AU"/>
        </w:rPr>
        <w:t>5.6g fat per 100mL</w:t>
      </w:r>
      <w:r w:rsidR="005145B3">
        <w:rPr>
          <w:rFonts w:ascii="Arial" w:hAnsi="Arial"/>
          <w:sz w:val="22"/>
          <w:szCs w:val="22"/>
          <w:lang w:eastAsia="en-AU"/>
        </w:rPr>
        <w:t xml:space="preserve"> respectively</w:t>
      </w:r>
      <w:r w:rsidR="007B596D">
        <w:rPr>
          <w:rFonts w:ascii="Arial" w:hAnsi="Arial"/>
          <w:sz w:val="22"/>
          <w:szCs w:val="22"/>
          <w:lang w:eastAsia="en-AU"/>
        </w:rPr>
        <w:t>.</w:t>
      </w:r>
      <w:r w:rsidR="00474BBE">
        <w:rPr>
          <w:rFonts w:ascii="Arial" w:hAnsi="Arial"/>
          <w:sz w:val="22"/>
          <w:szCs w:val="22"/>
          <w:lang w:eastAsia="en-AU"/>
        </w:rPr>
        <w:t xml:space="preserve"> </w:t>
      </w:r>
      <w:r w:rsidR="005145B3">
        <w:rPr>
          <w:rFonts w:ascii="Arial" w:hAnsi="Arial"/>
          <w:sz w:val="22"/>
          <w:szCs w:val="22"/>
          <w:lang w:eastAsia="en-AU"/>
        </w:rPr>
        <w:t>Because of th</w:t>
      </w:r>
      <w:r w:rsidR="006D440B">
        <w:rPr>
          <w:rFonts w:ascii="Arial" w:hAnsi="Arial"/>
          <w:sz w:val="22"/>
          <w:szCs w:val="22"/>
          <w:lang w:eastAsia="en-AU"/>
        </w:rPr>
        <w:t>e products’</w:t>
      </w:r>
      <w:r w:rsidR="009E1DFD">
        <w:rPr>
          <w:rFonts w:ascii="Arial" w:hAnsi="Arial"/>
          <w:sz w:val="22"/>
          <w:szCs w:val="22"/>
          <w:lang w:eastAsia="en-AU"/>
        </w:rPr>
        <w:t xml:space="preserve"> lack of </w:t>
      </w:r>
      <w:r w:rsidR="005145B3">
        <w:rPr>
          <w:rFonts w:ascii="Arial" w:hAnsi="Arial"/>
          <w:sz w:val="22"/>
          <w:szCs w:val="22"/>
          <w:lang w:eastAsia="en-AU"/>
        </w:rPr>
        <w:t>fats</w:t>
      </w:r>
      <w:r w:rsidR="009E1DFD">
        <w:rPr>
          <w:rFonts w:ascii="Arial" w:hAnsi="Arial"/>
          <w:sz w:val="22"/>
          <w:szCs w:val="22"/>
          <w:lang w:eastAsia="en-AU"/>
        </w:rPr>
        <w:t>, the sponsor has proposed an additional indication for patients with inborn errors of metabolism (IEM) of fat</w:t>
      </w:r>
      <w:r w:rsidR="005145B3">
        <w:rPr>
          <w:rFonts w:ascii="Arial" w:hAnsi="Arial"/>
          <w:sz w:val="22"/>
          <w:szCs w:val="22"/>
          <w:lang w:eastAsia="en-AU"/>
        </w:rPr>
        <w:t>.</w:t>
      </w:r>
      <w:r w:rsidR="009E1DFD">
        <w:rPr>
          <w:rFonts w:ascii="Arial" w:hAnsi="Arial"/>
          <w:sz w:val="22"/>
          <w:szCs w:val="22"/>
          <w:lang w:eastAsia="en-AU"/>
        </w:rPr>
        <w:t xml:space="preserve"> </w:t>
      </w:r>
      <w:r w:rsidR="00B875C1" w:rsidRPr="005619E1">
        <w:rPr>
          <w:rFonts w:ascii="Arial" w:hAnsi="Arial"/>
          <w:sz w:val="22"/>
          <w:szCs w:val="22"/>
          <w:lang w:eastAsia="en-AU"/>
        </w:rPr>
        <w:t>No clinical data were provided to support the inclusion of a new indication to the PBS.</w:t>
      </w:r>
    </w:p>
    <w:p w:rsidR="00C73915" w:rsidRPr="00474BBE" w:rsidRDefault="00C73915" w:rsidP="00C73915">
      <w:pPr>
        <w:spacing w:before="0" w:after="0"/>
        <w:ind w:left="720" w:right="0" w:firstLine="0"/>
        <w:jc w:val="both"/>
        <w:rPr>
          <w:rFonts w:ascii="Arial" w:hAnsi="Arial"/>
          <w:i/>
          <w:sz w:val="22"/>
          <w:szCs w:val="22"/>
          <w:lang w:eastAsia="en-AU"/>
        </w:rPr>
      </w:pPr>
    </w:p>
    <w:p w:rsidR="00474BBE" w:rsidRPr="005619E1" w:rsidRDefault="005145B3" w:rsidP="00C73915">
      <w:pPr>
        <w:numPr>
          <w:ilvl w:val="1"/>
          <w:numId w:val="2"/>
        </w:numPr>
        <w:spacing w:before="0" w:after="0"/>
        <w:ind w:right="0"/>
        <w:jc w:val="both"/>
        <w:rPr>
          <w:rFonts w:ascii="Arial" w:hAnsi="Arial"/>
          <w:i/>
          <w:sz w:val="22"/>
          <w:szCs w:val="22"/>
          <w:lang w:eastAsia="en-AU"/>
        </w:rPr>
      </w:pPr>
      <w:r>
        <w:rPr>
          <w:rFonts w:ascii="Arial" w:hAnsi="Arial"/>
          <w:sz w:val="22"/>
          <w:szCs w:val="22"/>
          <w:lang w:eastAsia="en-AU"/>
        </w:rPr>
        <w:t>The</w:t>
      </w:r>
      <w:r w:rsidR="00DB40F7">
        <w:rPr>
          <w:rFonts w:ascii="Arial" w:hAnsi="Arial"/>
          <w:sz w:val="22"/>
          <w:szCs w:val="22"/>
          <w:lang w:eastAsia="en-AU"/>
        </w:rPr>
        <w:t xml:space="preserve"> sponsor’s</w:t>
      </w:r>
      <w:r>
        <w:rPr>
          <w:rFonts w:ascii="Arial" w:hAnsi="Arial"/>
          <w:sz w:val="22"/>
          <w:szCs w:val="22"/>
          <w:lang w:eastAsia="en-AU"/>
        </w:rPr>
        <w:t xml:space="preserve"> products </w:t>
      </w:r>
      <w:r w:rsidR="00940986">
        <w:rPr>
          <w:rFonts w:ascii="Arial" w:hAnsi="Arial"/>
          <w:sz w:val="22"/>
          <w:szCs w:val="22"/>
          <w:lang w:eastAsia="en-AU"/>
        </w:rPr>
        <w:t>would be</w:t>
      </w:r>
      <w:r>
        <w:rPr>
          <w:rFonts w:ascii="Arial" w:hAnsi="Arial"/>
          <w:sz w:val="22"/>
          <w:szCs w:val="22"/>
          <w:lang w:eastAsia="en-AU"/>
        </w:rPr>
        <w:t xml:space="preserve"> unique in </w:t>
      </w:r>
      <w:r w:rsidR="00E24738">
        <w:rPr>
          <w:rFonts w:ascii="Arial" w:hAnsi="Arial"/>
          <w:sz w:val="22"/>
          <w:szCs w:val="22"/>
          <w:lang w:eastAsia="en-AU"/>
        </w:rPr>
        <w:t>nutritional</w:t>
      </w:r>
      <w:r>
        <w:rPr>
          <w:rFonts w:ascii="Arial" w:hAnsi="Arial"/>
          <w:sz w:val="22"/>
          <w:szCs w:val="22"/>
          <w:lang w:eastAsia="en-AU"/>
        </w:rPr>
        <w:t xml:space="preserve"> composition</w:t>
      </w:r>
      <w:r w:rsidR="00940986">
        <w:rPr>
          <w:rFonts w:ascii="Arial" w:hAnsi="Arial"/>
          <w:sz w:val="22"/>
          <w:szCs w:val="22"/>
          <w:lang w:eastAsia="en-AU"/>
        </w:rPr>
        <w:t xml:space="preserve"> on the PBS if listed and</w:t>
      </w:r>
      <w:r>
        <w:rPr>
          <w:rFonts w:ascii="Arial" w:hAnsi="Arial"/>
          <w:sz w:val="22"/>
          <w:szCs w:val="22"/>
          <w:lang w:eastAsia="en-AU"/>
        </w:rPr>
        <w:t xml:space="preserve"> as </w:t>
      </w:r>
      <w:r w:rsidR="00940986">
        <w:rPr>
          <w:rFonts w:ascii="Arial" w:hAnsi="Arial"/>
          <w:sz w:val="22"/>
          <w:szCs w:val="22"/>
          <w:lang w:eastAsia="en-AU"/>
        </w:rPr>
        <w:t xml:space="preserve">such </w:t>
      </w:r>
      <w:r>
        <w:rPr>
          <w:rFonts w:ascii="Arial" w:hAnsi="Arial"/>
          <w:sz w:val="22"/>
          <w:szCs w:val="22"/>
          <w:lang w:eastAsia="en-AU"/>
        </w:rPr>
        <w:t xml:space="preserve">the </w:t>
      </w:r>
      <w:r w:rsidR="00940986">
        <w:rPr>
          <w:rFonts w:ascii="Arial" w:hAnsi="Arial"/>
          <w:sz w:val="22"/>
          <w:szCs w:val="22"/>
          <w:lang w:eastAsia="en-AU"/>
        </w:rPr>
        <w:t xml:space="preserve">sponsor </w:t>
      </w:r>
      <w:r>
        <w:rPr>
          <w:rFonts w:ascii="Arial" w:hAnsi="Arial"/>
          <w:sz w:val="22"/>
          <w:szCs w:val="22"/>
          <w:lang w:eastAsia="en-AU"/>
        </w:rPr>
        <w:t xml:space="preserve">proposed </w:t>
      </w:r>
      <w:r w:rsidR="00940986">
        <w:rPr>
          <w:rFonts w:ascii="Arial" w:hAnsi="Arial"/>
          <w:sz w:val="22"/>
          <w:szCs w:val="22"/>
          <w:lang w:eastAsia="en-AU"/>
        </w:rPr>
        <w:t xml:space="preserve">the </w:t>
      </w:r>
      <w:r>
        <w:rPr>
          <w:rFonts w:ascii="Arial" w:hAnsi="Arial"/>
          <w:sz w:val="22"/>
          <w:szCs w:val="22"/>
          <w:lang w:eastAsia="en-AU"/>
        </w:rPr>
        <w:t>drug name “glucose polymer”. The currently PBS-listed products similar to SOS</w:t>
      </w:r>
      <w:r w:rsidRPr="006B037F">
        <w:rPr>
          <w:rFonts w:ascii="Arial" w:hAnsi="Arial" w:cs="Arial"/>
          <w:sz w:val="22"/>
          <w:szCs w:val="22"/>
          <w:vertAlign w:val="superscript"/>
          <w:lang w:eastAsia="en-AU"/>
        </w:rPr>
        <w:t>®</w:t>
      </w:r>
      <w:r>
        <w:rPr>
          <w:rFonts w:ascii="Arial" w:hAnsi="Arial" w:cs="Arial"/>
          <w:sz w:val="22"/>
          <w:szCs w:val="22"/>
          <w:lang w:eastAsia="en-AU"/>
        </w:rPr>
        <w:t xml:space="preserve"> are long or medium chain triglycerides with glucose polymer; therefore, if listed, the </w:t>
      </w:r>
      <w:r>
        <w:rPr>
          <w:rFonts w:ascii="Arial" w:hAnsi="Arial"/>
          <w:sz w:val="22"/>
          <w:szCs w:val="22"/>
          <w:lang w:eastAsia="en-AU"/>
        </w:rPr>
        <w:t>SOS</w:t>
      </w:r>
      <w:r w:rsidRPr="006B037F">
        <w:rPr>
          <w:rFonts w:ascii="Arial" w:hAnsi="Arial" w:cs="Arial"/>
          <w:sz w:val="22"/>
          <w:szCs w:val="22"/>
          <w:vertAlign w:val="superscript"/>
          <w:lang w:eastAsia="en-AU"/>
        </w:rPr>
        <w:t>®</w:t>
      </w:r>
      <w:r>
        <w:rPr>
          <w:rFonts w:ascii="Arial" w:hAnsi="Arial" w:cs="Arial"/>
          <w:sz w:val="22"/>
          <w:szCs w:val="22"/>
          <w:vertAlign w:val="superscript"/>
          <w:lang w:eastAsia="en-AU"/>
        </w:rPr>
        <w:t xml:space="preserve"> </w:t>
      </w:r>
      <w:r>
        <w:rPr>
          <w:rFonts w:ascii="Arial" w:hAnsi="Arial" w:cs="Arial"/>
          <w:sz w:val="22"/>
          <w:szCs w:val="22"/>
          <w:lang w:eastAsia="en-AU"/>
        </w:rPr>
        <w:t xml:space="preserve">products </w:t>
      </w:r>
      <w:r w:rsidR="00287DA0">
        <w:rPr>
          <w:rFonts w:ascii="Arial" w:hAnsi="Arial" w:cs="Arial"/>
          <w:sz w:val="22"/>
          <w:szCs w:val="22"/>
          <w:lang w:eastAsia="en-AU"/>
        </w:rPr>
        <w:t>will be</w:t>
      </w:r>
      <w:r>
        <w:rPr>
          <w:rFonts w:ascii="Arial" w:hAnsi="Arial" w:cs="Arial"/>
          <w:sz w:val="22"/>
          <w:szCs w:val="22"/>
          <w:lang w:eastAsia="en-AU"/>
        </w:rPr>
        <w:t xml:space="preserve"> unique in </w:t>
      </w:r>
      <w:r>
        <w:rPr>
          <w:rFonts w:ascii="Arial" w:hAnsi="Arial" w:cs="Arial"/>
          <w:sz w:val="22"/>
          <w:szCs w:val="22"/>
          <w:lang w:eastAsia="en-AU"/>
        </w:rPr>
        <w:lastRenderedPageBreak/>
        <w:t>containing glucose polymer alone.</w:t>
      </w:r>
      <w:r w:rsidR="00474BBE">
        <w:rPr>
          <w:rFonts w:ascii="Arial" w:hAnsi="Arial"/>
          <w:sz w:val="22"/>
          <w:szCs w:val="22"/>
          <w:lang w:eastAsia="en-AU"/>
        </w:rPr>
        <w:t xml:space="preserve"> </w:t>
      </w:r>
      <w:r w:rsidR="00940986">
        <w:rPr>
          <w:rFonts w:ascii="Arial" w:hAnsi="Arial"/>
          <w:sz w:val="22"/>
          <w:szCs w:val="22"/>
          <w:lang w:eastAsia="en-AU"/>
        </w:rPr>
        <w:t xml:space="preserve">The </w:t>
      </w:r>
      <w:r w:rsidR="00940986" w:rsidRPr="00940986">
        <w:rPr>
          <w:rFonts w:ascii="Arial" w:hAnsi="Arial"/>
          <w:sz w:val="22"/>
          <w:szCs w:val="22"/>
          <w:lang w:eastAsia="en-AU"/>
        </w:rPr>
        <w:t>Australian Digital Health Agency</w:t>
      </w:r>
      <w:r w:rsidR="00940986">
        <w:rPr>
          <w:rFonts w:ascii="Arial" w:hAnsi="Arial"/>
          <w:sz w:val="22"/>
          <w:szCs w:val="22"/>
          <w:lang w:eastAsia="en-AU"/>
        </w:rPr>
        <w:t xml:space="preserve"> has proposed an AMT name of “</w:t>
      </w:r>
      <w:r w:rsidR="00940986" w:rsidRPr="00940986">
        <w:rPr>
          <w:rFonts w:ascii="Arial" w:hAnsi="Arial"/>
          <w:sz w:val="22"/>
          <w:szCs w:val="22"/>
          <w:lang w:eastAsia="en-AU"/>
        </w:rPr>
        <w:t>carbohydrate formula with minerals</w:t>
      </w:r>
      <w:r w:rsidR="00940986">
        <w:rPr>
          <w:rFonts w:ascii="Arial" w:hAnsi="Arial"/>
          <w:sz w:val="22"/>
          <w:szCs w:val="22"/>
          <w:lang w:eastAsia="en-AU"/>
        </w:rPr>
        <w:t>”.</w:t>
      </w:r>
    </w:p>
    <w:p w:rsidR="00C73915" w:rsidRDefault="00C73915" w:rsidP="00C73915">
      <w:pPr>
        <w:pStyle w:val="ListParagraph"/>
        <w:spacing w:before="0" w:after="0"/>
        <w:ind w:right="0" w:firstLine="0"/>
        <w:jc w:val="both"/>
        <w:rPr>
          <w:rFonts w:ascii="Arial" w:hAnsi="Arial"/>
          <w:i/>
          <w:sz w:val="22"/>
          <w:szCs w:val="22"/>
          <w:lang w:eastAsia="en-AU"/>
        </w:rPr>
      </w:pPr>
    </w:p>
    <w:p w:rsidR="00F217C9" w:rsidRPr="00F023A3" w:rsidRDefault="00F217C9" w:rsidP="00C73915">
      <w:pPr>
        <w:pStyle w:val="ListParagraph"/>
        <w:spacing w:before="0" w:after="0"/>
        <w:ind w:right="0" w:firstLine="0"/>
        <w:jc w:val="both"/>
        <w:rPr>
          <w:rFonts w:ascii="Arial" w:hAnsi="Arial"/>
          <w:i/>
          <w:sz w:val="22"/>
          <w:szCs w:val="22"/>
          <w:lang w:eastAsia="en-AU"/>
        </w:rPr>
      </w:pPr>
      <w:r w:rsidRPr="00F023A3">
        <w:rPr>
          <w:rFonts w:ascii="Arial" w:hAnsi="Arial"/>
          <w:i/>
          <w:sz w:val="22"/>
          <w:szCs w:val="22"/>
          <w:lang w:eastAsia="en-AU"/>
        </w:rPr>
        <w:t xml:space="preserve">For more detail on PBAC’s view, see section </w:t>
      </w:r>
      <w:r w:rsidR="007E55CB">
        <w:rPr>
          <w:rFonts w:ascii="Arial" w:hAnsi="Arial"/>
          <w:i/>
          <w:sz w:val="22"/>
          <w:szCs w:val="22"/>
          <w:lang w:eastAsia="en-AU"/>
        </w:rPr>
        <w:t>6</w:t>
      </w:r>
      <w:r w:rsidRPr="00F023A3">
        <w:rPr>
          <w:rFonts w:ascii="Arial" w:hAnsi="Arial"/>
          <w:i/>
          <w:sz w:val="22"/>
          <w:szCs w:val="22"/>
          <w:lang w:eastAsia="en-AU"/>
        </w:rPr>
        <w:t xml:space="preserve"> “PBAC outcome”</w:t>
      </w:r>
    </w:p>
    <w:p w:rsidR="00F217C9" w:rsidRDefault="00F217C9" w:rsidP="00C73915">
      <w:pPr>
        <w:spacing w:before="0" w:after="0"/>
        <w:ind w:left="720" w:right="0" w:firstLine="0"/>
        <w:jc w:val="both"/>
        <w:rPr>
          <w:rFonts w:ascii="Arial" w:hAnsi="Arial"/>
          <w:i/>
          <w:sz w:val="22"/>
          <w:szCs w:val="22"/>
          <w:lang w:eastAsia="en-AU"/>
        </w:rPr>
      </w:pPr>
    </w:p>
    <w:p w:rsidR="00C73915" w:rsidRPr="00B70E8E" w:rsidRDefault="00C73915" w:rsidP="00C73915">
      <w:pPr>
        <w:spacing w:before="0" w:after="0"/>
        <w:ind w:left="720" w:right="0" w:firstLine="0"/>
        <w:jc w:val="both"/>
        <w:rPr>
          <w:rFonts w:ascii="Arial" w:hAnsi="Arial"/>
          <w:i/>
          <w:sz w:val="22"/>
          <w:szCs w:val="22"/>
          <w:lang w:eastAsia="en-AU"/>
        </w:rPr>
      </w:pPr>
    </w:p>
    <w:p w:rsidR="008A7907" w:rsidRDefault="00DC7EC6" w:rsidP="00C73915">
      <w:pPr>
        <w:pStyle w:val="Heading1"/>
        <w:numPr>
          <w:ilvl w:val="0"/>
          <w:numId w:val="2"/>
        </w:numPr>
        <w:spacing w:before="0" w:after="0"/>
        <w:rPr>
          <w:sz w:val="22"/>
          <w:szCs w:val="22"/>
          <w:lang w:eastAsia="en-AU"/>
        </w:rPr>
      </w:pPr>
      <w:r w:rsidRPr="005619E1">
        <w:rPr>
          <w:sz w:val="22"/>
          <w:szCs w:val="22"/>
          <w:lang w:eastAsia="en-AU"/>
        </w:rPr>
        <w:t>Comparator</w:t>
      </w:r>
    </w:p>
    <w:p w:rsidR="00A85683" w:rsidRPr="00A85683" w:rsidRDefault="00A85683" w:rsidP="00C73915">
      <w:pPr>
        <w:spacing w:before="0" w:after="0"/>
        <w:rPr>
          <w:lang w:eastAsia="en-AU"/>
        </w:rPr>
      </w:pPr>
    </w:p>
    <w:p w:rsidR="00DC7EC6" w:rsidRDefault="009805B3" w:rsidP="00C73915">
      <w:pPr>
        <w:numPr>
          <w:ilvl w:val="1"/>
          <w:numId w:val="2"/>
        </w:numPr>
        <w:spacing w:before="0" w:after="0"/>
        <w:ind w:right="0"/>
        <w:jc w:val="both"/>
        <w:rPr>
          <w:rFonts w:ascii="Arial" w:hAnsi="Arial"/>
          <w:sz w:val="22"/>
          <w:szCs w:val="22"/>
        </w:rPr>
      </w:pPr>
      <w:r>
        <w:rPr>
          <w:rFonts w:ascii="Arial" w:hAnsi="Arial"/>
          <w:sz w:val="22"/>
          <w:szCs w:val="22"/>
        </w:rPr>
        <w:t>The submission nominated ProZ</w:t>
      </w:r>
      <w:r w:rsidR="00287DA0" w:rsidRPr="00A85683">
        <w:rPr>
          <w:rFonts w:ascii="Arial" w:hAnsi="Arial"/>
          <w:sz w:val="22"/>
          <w:szCs w:val="22"/>
        </w:rPr>
        <w:t>ero® a</w:t>
      </w:r>
      <w:r>
        <w:rPr>
          <w:rFonts w:ascii="Arial" w:hAnsi="Arial"/>
          <w:sz w:val="22"/>
          <w:szCs w:val="22"/>
        </w:rPr>
        <w:t>s the main comparator. ProZ</w:t>
      </w:r>
      <w:r w:rsidR="00E24738" w:rsidRPr="00A85683">
        <w:rPr>
          <w:rFonts w:ascii="Arial" w:hAnsi="Arial"/>
          <w:sz w:val="22"/>
          <w:szCs w:val="22"/>
        </w:rPr>
        <w:t xml:space="preserve">ero® is an oral liquid for proven IEM of protein, and does not contain protein and micronutrients. </w:t>
      </w:r>
    </w:p>
    <w:p w:rsidR="00C73915" w:rsidRPr="00A85683" w:rsidRDefault="00C73915" w:rsidP="00C73915">
      <w:pPr>
        <w:spacing w:before="0" w:after="0"/>
        <w:ind w:left="720" w:right="0" w:firstLine="0"/>
        <w:jc w:val="both"/>
        <w:rPr>
          <w:rFonts w:ascii="Arial" w:hAnsi="Arial"/>
          <w:sz w:val="22"/>
          <w:szCs w:val="22"/>
        </w:rPr>
      </w:pPr>
    </w:p>
    <w:p w:rsidR="00E24738" w:rsidRPr="00C73915" w:rsidRDefault="00E24738" w:rsidP="00C73915">
      <w:pPr>
        <w:numPr>
          <w:ilvl w:val="1"/>
          <w:numId w:val="2"/>
        </w:numPr>
        <w:spacing w:before="0" w:after="0"/>
        <w:ind w:right="0"/>
        <w:jc w:val="both"/>
        <w:rPr>
          <w:rFonts w:ascii="Arial" w:hAnsi="Arial"/>
          <w:iCs/>
          <w:sz w:val="22"/>
          <w:szCs w:val="22"/>
          <w:lang w:eastAsia="en-AU"/>
        </w:rPr>
      </w:pPr>
      <w:r>
        <w:rPr>
          <w:rFonts w:ascii="Arial" w:hAnsi="Arial" w:cs="Arial"/>
          <w:sz w:val="22"/>
          <w:szCs w:val="22"/>
          <w:lang w:eastAsia="en-AU"/>
        </w:rPr>
        <w:t xml:space="preserve">The key differences between the main comparator and </w:t>
      </w:r>
      <w:r>
        <w:rPr>
          <w:rFonts w:ascii="Arial" w:hAnsi="Arial"/>
          <w:sz w:val="22"/>
          <w:szCs w:val="22"/>
          <w:lang w:eastAsia="en-AU"/>
        </w:rPr>
        <w:t>SOS</w:t>
      </w:r>
      <w:r w:rsidRPr="006B037F">
        <w:rPr>
          <w:rFonts w:ascii="Arial" w:hAnsi="Arial" w:cs="Arial"/>
          <w:sz w:val="22"/>
          <w:szCs w:val="22"/>
          <w:vertAlign w:val="superscript"/>
          <w:lang w:eastAsia="en-AU"/>
        </w:rPr>
        <w:t>®</w:t>
      </w:r>
      <w:r>
        <w:rPr>
          <w:rFonts w:ascii="Arial" w:hAnsi="Arial"/>
          <w:sz w:val="22"/>
          <w:szCs w:val="22"/>
          <w:lang w:eastAsia="en-AU"/>
        </w:rPr>
        <w:t xml:space="preserve"> products are the presentation, additional strengths, a</w:t>
      </w:r>
      <w:r w:rsidR="009805B3">
        <w:rPr>
          <w:rFonts w:ascii="Arial" w:hAnsi="Arial"/>
          <w:sz w:val="22"/>
          <w:szCs w:val="22"/>
          <w:lang w:eastAsia="en-AU"/>
        </w:rPr>
        <w:t>nd nutritional composition. ProZ</w:t>
      </w:r>
      <w:r>
        <w:rPr>
          <w:rFonts w:ascii="Arial" w:hAnsi="Arial"/>
          <w:sz w:val="22"/>
          <w:szCs w:val="22"/>
          <w:lang w:eastAsia="en-AU"/>
        </w:rPr>
        <w:t>ero</w:t>
      </w:r>
      <w:r w:rsidRPr="006B037F">
        <w:rPr>
          <w:rFonts w:ascii="Arial" w:hAnsi="Arial" w:cs="Arial"/>
          <w:sz w:val="22"/>
          <w:szCs w:val="22"/>
          <w:vertAlign w:val="superscript"/>
          <w:lang w:eastAsia="en-AU"/>
        </w:rPr>
        <w:t>®</w:t>
      </w:r>
      <w:r>
        <w:rPr>
          <w:rFonts w:ascii="Arial" w:hAnsi="Arial" w:cs="Arial"/>
          <w:sz w:val="22"/>
          <w:szCs w:val="22"/>
          <w:vertAlign w:val="superscript"/>
          <w:lang w:eastAsia="en-AU"/>
        </w:rPr>
        <w:t xml:space="preserve"> </w:t>
      </w:r>
      <w:r>
        <w:rPr>
          <w:rFonts w:ascii="Arial" w:hAnsi="Arial" w:cs="Arial"/>
          <w:sz w:val="22"/>
          <w:szCs w:val="22"/>
          <w:lang w:eastAsia="en-AU"/>
        </w:rPr>
        <w:t xml:space="preserve">is a pre-made oral liquid solution </w:t>
      </w:r>
      <w:r w:rsidR="00C35C96">
        <w:rPr>
          <w:rFonts w:ascii="Arial" w:hAnsi="Arial" w:cs="Arial"/>
          <w:sz w:val="22"/>
          <w:szCs w:val="22"/>
          <w:lang w:eastAsia="en-AU"/>
        </w:rPr>
        <w:t>available in 250mL cans or 1L bottles</w:t>
      </w:r>
      <w:r w:rsidR="00AD427A">
        <w:rPr>
          <w:rFonts w:ascii="Arial" w:hAnsi="Arial" w:cs="Arial"/>
          <w:sz w:val="22"/>
          <w:szCs w:val="22"/>
          <w:lang w:eastAsia="en-AU"/>
        </w:rPr>
        <w:t>, and contains long chain triglycerides with dried glucose syrup.</w:t>
      </w:r>
      <w:r w:rsidR="001A2381">
        <w:rPr>
          <w:rFonts w:ascii="Arial" w:hAnsi="Arial" w:cs="Arial"/>
          <w:sz w:val="22"/>
          <w:szCs w:val="22"/>
          <w:lang w:eastAsia="en-AU"/>
        </w:rPr>
        <w:t xml:space="preserve"> The </w:t>
      </w:r>
      <w:r w:rsidR="001A2381">
        <w:rPr>
          <w:rFonts w:ascii="Arial" w:hAnsi="Arial"/>
          <w:sz w:val="22"/>
          <w:szCs w:val="22"/>
          <w:lang w:eastAsia="en-AU"/>
        </w:rPr>
        <w:t>SOS</w:t>
      </w:r>
      <w:r w:rsidR="001A2381" w:rsidRPr="006B037F">
        <w:rPr>
          <w:rFonts w:ascii="Arial" w:hAnsi="Arial" w:cs="Arial"/>
          <w:sz w:val="22"/>
          <w:szCs w:val="22"/>
          <w:vertAlign w:val="superscript"/>
          <w:lang w:eastAsia="en-AU"/>
        </w:rPr>
        <w:t>®</w:t>
      </w:r>
      <w:r w:rsidR="001A2381">
        <w:rPr>
          <w:rFonts w:ascii="Arial" w:hAnsi="Arial"/>
          <w:sz w:val="22"/>
          <w:szCs w:val="22"/>
          <w:lang w:eastAsia="en-AU"/>
        </w:rPr>
        <w:t xml:space="preserve"> products</w:t>
      </w:r>
      <w:r w:rsidR="001A2381">
        <w:rPr>
          <w:rFonts w:ascii="Arial" w:hAnsi="Arial" w:cs="Arial"/>
          <w:sz w:val="22"/>
          <w:szCs w:val="22"/>
          <w:lang w:eastAsia="en-AU"/>
        </w:rPr>
        <w:t xml:space="preserve"> </w:t>
      </w:r>
      <w:r w:rsidR="00FE2A00">
        <w:rPr>
          <w:rFonts w:ascii="Arial" w:hAnsi="Arial" w:cs="Arial"/>
          <w:sz w:val="22"/>
          <w:szCs w:val="22"/>
          <w:lang w:eastAsia="en-AU"/>
        </w:rPr>
        <w:t>are four different doses of powder sachets</w:t>
      </w:r>
      <w:r w:rsidR="00B90DE9">
        <w:rPr>
          <w:rFonts w:ascii="Arial" w:hAnsi="Arial" w:cs="Arial"/>
          <w:sz w:val="22"/>
          <w:szCs w:val="22"/>
          <w:lang w:eastAsia="en-AU"/>
        </w:rPr>
        <w:t>,</w:t>
      </w:r>
      <w:r w:rsidR="00FE2A00">
        <w:rPr>
          <w:rFonts w:ascii="Arial" w:hAnsi="Arial" w:cs="Arial"/>
          <w:sz w:val="22"/>
          <w:szCs w:val="22"/>
          <w:lang w:eastAsia="en-AU"/>
        </w:rPr>
        <w:t xml:space="preserve"> ranging from 21g to 52g</w:t>
      </w:r>
      <w:r w:rsidR="00B90DE9">
        <w:rPr>
          <w:rFonts w:ascii="Arial" w:hAnsi="Arial" w:cs="Arial"/>
          <w:sz w:val="22"/>
          <w:szCs w:val="22"/>
          <w:lang w:eastAsia="en-AU"/>
        </w:rPr>
        <w:t>,</w:t>
      </w:r>
      <w:r w:rsidR="00FE2A00">
        <w:rPr>
          <w:rFonts w:ascii="Arial" w:hAnsi="Arial" w:cs="Arial"/>
          <w:sz w:val="22"/>
          <w:szCs w:val="22"/>
          <w:lang w:eastAsia="en-AU"/>
        </w:rPr>
        <w:t xml:space="preserve"> to be reconstituted into a 200mL solution</w:t>
      </w:r>
      <w:r w:rsidR="00B90DE9">
        <w:rPr>
          <w:rFonts w:ascii="Arial" w:hAnsi="Arial" w:cs="Arial"/>
          <w:sz w:val="22"/>
          <w:szCs w:val="22"/>
          <w:lang w:eastAsia="en-AU"/>
        </w:rPr>
        <w:t>.</w:t>
      </w:r>
      <w:r w:rsidR="00915B9D">
        <w:rPr>
          <w:rFonts w:ascii="Arial" w:hAnsi="Arial" w:cs="Arial"/>
          <w:sz w:val="22"/>
          <w:szCs w:val="22"/>
          <w:lang w:eastAsia="en-AU"/>
        </w:rPr>
        <w:t xml:space="preserve"> The </w:t>
      </w:r>
      <w:r w:rsidR="00915B9D">
        <w:rPr>
          <w:rFonts w:ascii="Arial" w:hAnsi="Arial"/>
          <w:sz w:val="22"/>
          <w:szCs w:val="22"/>
          <w:lang w:eastAsia="en-AU"/>
        </w:rPr>
        <w:t>SOS</w:t>
      </w:r>
      <w:r w:rsidR="00915B9D" w:rsidRPr="006B037F">
        <w:rPr>
          <w:rFonts w:ascii="Arial" w:hAnsi="Arial" w:cs="Arial"/>
          <w:sz w:val="22"/>
          <w:szCs w:val="22"/>
          <w:vertAlign w:val="superscript"/>
          <w:lang w:eastAsia="en-AU"/>
        </w:rPr>
        <w:t>®</w:t>
      </w:r>
      <w:r w:rsidR="00915B9D">
        <w:rPr>
          <w:rFonts w:ascii="Arial" w:hAnsi="Arial"/>
          <w:sz w:val="22"/>
          <w:szCs w:val="22"/>
          <w:lang w:eastAsia="en-AU"/>
        </w:rPr>
        <w:t xml:space="preserve"> products also contain dried glucose syrup, but do not contain long </w:t>
      </w:r>
      <w:r w:rsidR="00940986">
        <w:rPr>
          <w:rFonts w:ascii="Arial" w:hAnsi="Arial"/>
          <w:sz w:val="22"/>
          <w:szCs w:val="22"/>
          <w:lang w:eastAsia="en-AU"/>
        </w:rPr>
        <w:t xml:space="preserve">or medium </w:t>
      </w:r>
      <w:r w:rsidR="00915B9D">
        <w:rPr>
          <w:rFonts w:ascii="Arial" w:hAnsi="Arial"/>
          <w:sz w:val="22"/>
          <w:szCs w:val="22"/>
          <w:lang w:eastAsia="en-AU"/>
        </w:rPr>
        <w:t>chain triglycerides</w:t>
      </w:r>
      <w:r w:rsidR="00C73915">
        <w:rPr>
          <w:rFonts w:ascii="Arial" w:hAnsi="Arial" w:cs="Arial"/>
          <w:sz w:val="22"/>
          <w:szCs w:val="22"/>
          <w:lang w:eastAsia="en-AU"/>
        </w:rPr>
        <w:t>.</w:t>
      </w:r>
    </w:p>
    <w:p w:rsidR="00C73915" w:rsidRDefault="00C73915" w:rsidP="00C73915">
      <w:pPr>
        <w:spacing w:before="0" w:after="0"/>
        <w:ind w:left="720" w:right="0" w:firstLine="0"/>
        <w:jc w:val="both"/>
        <w:rPr>
          <w:rFonts w:ascii="Arial" w:hAnsi="Arial"/>
          <w:iCs/>
          <w:sz w:val="22"/>
          <w:szCs w:val="22"/>
          <w:lang w:eastAsia="en-AU"/>
        </w:rPr>
      </w:pPr>
    </w:p>
    <w:p w:rsidR="009D2DDB" w:rsidRDefault="009D2DDB" w:rsidP="00C73915">
      <w:pPr>
        <w:numPr>
          <w:ilvl w:val="1"/>
          <w:numId w:val="2"/>
        </w:numPr>
        <w:spacing w:before="0" w:after="0"/>
        <w:ind w:right="0"/>
        <w:jc w:val="both"/>
        <w:rPr>
          <w:rFonts w:ascii="Arial" w:hAnsi="Arial"/>
          <w:iCs/>
          <w:sz w:val="22"/>
          <w:szCs w:val="22"/>
          <w:lang w:eastAsia="en-AU"/>
        </w:rPr>
      </w:pPr>
      <w:r>
        <w:rPr>
          <w:rFonts w:ascii="Arial" w:hAnsi="Arial"/>
          <w:iCs/>
          <w:sz w:val="22"/>
          <w:szCs w:val="22"/>
          <w:lang w:eastAsia="en-AU"/>
        </w:rPr>
        <w:t xml:space="preserve">The additional doses </w:t>
      </w:r>
      <w:r w:rsidR="000E5F3A">
        <w:rPr>
          <w:rFonts w:ascii="Arial" w:hAnsi="Arial"/>
          <w:iCs/>
          <w:sz w:val="22"/>
          <w:szCs w:val="22"/>
          <w:lang w:eastAsia="en-AU"/>
        </w:rPr>
        <w:t xml:space="preserve">may </w:t>
      </w:r>
      <w:r>
        <w:rPr>
          <w:rFonts w:ascii="Arial" w:hAnsi="Arial"/>
          <w:iCs/>
          <w:sz w:val="22"/>
          <w:szCs w:val="22"/>
          <w:lang w:eastAsia="en-AU"/>
        </w:rPr>
        <w:t xml:space="preserve">also provide </w:t>
      </w:r>
      <w:r w:rsidR="000E5F3A">
        <w:rPr>
          <w:rFonts w:ascii="Arial" w:hAnsi="Arial"/>
          <w:iCs/>
          <w:sz w:val="22"/>
          <w:szCs w:val="22"/>
          <w:lang w:eastAsia="en-AU"/>
        </w:rPr>
        <w:t xml:space="preserve">added </w:t>
      </w:r>
      <w:r>
        <w:rPr>
          <w:rFonts w:ascii="Arial" w:hAnsi="Arial"/>
          <w:iCs/>
          <w:sz w:val="22"/>
          <w:szCs w:val="22"/>
          <w:lang w:eastAsia="en-AU"/>
        </w:rPr>
        <w:t>convenience of use for different patients</w:t>
      </w:r>
      <w:r w:rsidR="00B73FB3">
        <w:rPr>
          <w:rFonts w:ascii="Arial" w:hAnsi="Arial"/>
          <w:iCs/>
          <w:sz w:val="22"/>
          <w:szCs w:val="22"/>
          <w:lang w:eastAsia="en-AU"/>
        </w:rPr>
        <w:t>, as calculating the necessary carbohydrate content is not needed.</w:t>
      </w:r>
    </w:p>
    <w:p w:rsidR="00C73915" w:rsidRDefault="00C73915" w:rsidP="00C73915">
      <w:pPr>
        <w:spacing w:before="0" w:after="0"/>
        <w:ind w:left="720" w:right="0" w:firstLine="0"/>
        <w:jc w:val="both"/>
        <w:rPr>
          <w:rFonts w:ascii="Arial" w:hAnsi="Arial"/>
          <w:iCs/>
          <w:sz w:val="22"/>
          <w:szCs w:val="22"/>
          <w:lang w:eastAsia="en-AU"/>
        </w:rPr>
      </w:pPr>
    </w:p>
    <w:p w:rsidR="00C73915" w:rsidRPr="00C73915" w:rsidRDefault="00DC7EC6" w:rsidP="00C73915">
      <w:pPr>
        <w:numPr>
          <w:ilvl w:val="1"/>
          <w:numId w:val="2"/>
        </w:numPr>
        <w:spacing w:before="0" w:after="0"/>
        <w:ind w:right="0"/>
        <w:jc w:val="both"/>
        <w:rPr>
          <w:rFonts w:ascii="Arial" w:hAnsi="Arial"/>
          <w:i/>
          <w:sz w:val="22"/>
          <w:szCs w:val="22"/>
          <w:lang w:eastAsia="en-AU"/>
        </w:rPr>
      </w:pPr>
      <w:r>
        <w:rPr>
          <w:rFonts w:ascii="Arial" w:hAnsi="Arial"/>
          <w:iCs/>
          <w:sz w:val="22"/>
          <w:szCs w:val="22"/>
          <w:lang w:eastAsia="en-AU"/>
        </w:rPr>
        <w:t xml:space="preserve">The </w:t>
      </w:r>
      <w:r w:rsidR="00E24738">
        <w:rPr>
          <w:rFonts w:ascii="Arial" w:hAnsi="Arial"/>
          <w:iCs/>
          <w:sz w:val="22"/>
          <w:szCs w:val="22"/>
          <w:lang w:eastAsia="en-AU"/>
        </w:rPr>
        <w:t>sponsor proposed that the products can replace, or be used in combination with</w:t>
      </w:r>
      <w:r w:rsidR="0057748A">
        <w:rPr>
          <w:rFonts w:ascii="Arial" w:hAnsi="Arial"/>
          <w:iCs/>
          <w:sz w:val="22"/>
          <w:szCs w:val="22"/>
          <w:lang w:eastAsia="en-AU"/>
        </w:rPr>
        <w:t>, other glucose polymer products for proven IEM of protein.</w:t>
      </w:r>
      <w:bookmarkStart w:id="2" w:name="_GoBack"/>
      <w:bookmarkEnd w:id="2"/>
    </w:p>
    <w:p w:rsidR="00C73915" w:rsidRDefault="00C73915" w:rsidP="00C73915">
      <w:pPr>
        <w:spacing w:before="0" w:after="0"/>
        <w:ind w:left="720" w:right="0" w:firstLine="0"/>
        <w:jc w:val="both"/>
        <w:rPr>
          <w:rFonts w:ascii="Arial" w:hAnsi="Arial"/>
          <w:iCs/>
          <w:sz w:val="22"/>
          <w:szCs w:val="22"/>
          <w:lang w:eastAsia="en-AU"/>
        </w:rPr>
      </w:pPr>
    </w:p>
    <w:p w:rsidR="00C73915" w:rsidRPr="00C73915" w:rsidRDefault="00C73915" w:rsidP="00C73915">
      <w:pPr>
        <w:spacing w:before="0" w:after="0"/>
        <w:ind w:left="720" w:right="0" w:firstLine="0"/>
        <w:jc w:val="both"/>
        <w:rPr>
          <w:rFonts w:ascii="Arial" w:hAnsi="Arial"/>
          <w:i/>
          <w:sz w:val="22"/>
          <w:szCs w:val="22"/>
          <w:lang w:eastAsia="en-AU"/>
        </w:rPr>
      </w:pPr>
    </w:p>
    <w:p w:rsidR="00BD6CBD" w:rsidRPr="00C73915" w:rsidRDefault="00DC7EC6" w:rsidP="00C73915">
      <w:pPr>
        <w:pStyle w:val="Heading1"/>
        <w:numPr>
          <w:ilvl w:val="0"/>
          <w:numId w:val="2"/>
        </w:numPr>
        <w:spacing w:before="0" w:after="0"/>
        <w:rPr>
          <w:sz w:val="22"/>
          <w:szCs w:val="22"/>
          <w:lang w:eastAsia="en-AU"/>
        </w:rPr>
      </w:pPr>
      <w:r w:rsidRPr="005619E1">
        <w:rPr>
          <w:sz w:val="22"/>
          <w:szCs w:val="22"/>
          <w:lang w:eastAsia="en-AU"/>
        </w:rPr>
        <w:t>Consideration of the evidence</w:t>
      </w:r>
      <w:r w:rsidR="00C73915">
        <w:rPr>
          <w:sz w:val="22"/>
          <w:szCs w:val="22"/>
          <w:lang w:eastAsia="en-AU"/>
        </w:rPr>
        <w:br/>
      </w:r>
    </w:p>
    <w:p w:rsidR="002C3714" w:rsidRPr="005A0490" w:rsidRDefault="00A85683" w:rsidP="00C73915">
      <w:pPr>
        <w:keepNext/>
        <w:spacing w:before="0" w:after="0"/>
        <w:ind w:left="0" w:right="0" w:firstLine="0"/>
        <w:outlineLvl w:val="1"/>
        <w:rPr>
          <w:rFonts w:ascii="Arial" w:hAnsi="Arial"/>
          <w:b/>
          <w:i/>
          <w:sz w:val="22"/>
          <w:lang w:eastAsia="en-AU"/>
        </w:rPr>
      </w:pPr>
      <w:r w:rsidRPr="005A0490">
        <w:rPr>
          <w:rFonts w:ascii="Arial" w:hAnsi="Arial"/>
          <w:b/>
          <w:i/>
          <w:sz w:val="22"/>
          <w:lang w:eastAsia="en-AU"/>
        </w:rPr>
        <w:t>Sponsor hearing</w:t>
      </w:r>
      <w:r w:rsidR="002C3714">
        <w:rPr>
          <w:rFonts w:ascii="Arial" w:hAnsi="Arial"/>
          <w:b/>
          <w:i/>
          <w:sz w:val="22"/>
          <w:lang w:eastAsia="en-AU"/>
        </w:rPr>
        <w:t xml:space="preserve"> </w:t>
      </w:r>
      <w:r w:rsidR="002C3714">
        <w:rPr>
          <w:rFonts w:ascii="Arial" w:hAnsi="Arial"/>
          <w:b/>
          <w:i/>
          <w:sz w:val="22"/>
          <w:lang w:eastAsia="en-AU"/>
        </w:rPr>
        <w:br/>
      </w:r>
    </w:p>
    <w:p w:rsidR="00C73915" w:rsidRDefault="00A85683" w:rsidP="00C73915">
      <w:pPr>
        <w:numPr>
          <w:ilvl w:val="1"/>
          <w:numId w:val="3"/>
        </w:numPr>
        <w:spacing w:before="0" w:after="0"/>
        <w:ind w:right="0"/>
        <w:jc w:val="both"/>
        <w:rPr>
          <w:rFonts w:ascii="Arial" w:hAnsi="Arial"/>
          <w:iCs/>
          <w:sz w:val="22"/>
          <w:szCs w:val="22"/>
          <w:lang w:eastAsia="en-AU"/>
        </w:rPr>
      </w:pPr>
      <w:r w:rsidRPr="00A85683">
        <w:rPr>
          <w:rFonts w:ascii="Arial" w:hAnsi="Arial"/>
          <w:iCs/>
          <w:sz w:val="22"/>
          <w:szCs w:val="22"/>
          <w:lang w:eastAsia="en-AU"/>
        </w:rPr>
        <w:t>There was no hearing for this item as it was a minor submission.</w:t>
      </w:r>
    </w:p>
    <w:p w:rsidR="00C73915" w:rsidRPr="00C73915" w:rsidRDefault="00C73915" w:rsidP="00C73915">
      <w:pPr>
        <w:spacing w:before="0" w:after="0"/>
        <w:ind w:left="720" w:right="0" w:firstLine="0"/>
        <w:jc w:val="both"/>
        <w:rPr>
          <w:rFonts w:ascii="Arial" w:hAnsi="Arial"/>
          <w:iCs/>
          <w:sz w:val="22"/>
          <w:szCs w:val="22"/>
          <w:lang w:eastAsia="en-AU"/>
        </w:rPr>
      </w:pPr>
    </w:p>
    <w:p w:rsidR="002C3714" w:rsidRPr="005A0490" w:rsidRDefault="00A85683" w:rsidP="00C73915">
      <w:pPr>
        <w:keepNext/>
        <w:spacing w:before="0" w:after="0"/>
        <w:ind w:left="0" w:right="0" w:firstLine="0"/>
        <w:outlineLvl w:val="1"/>
        <w:rPr>
          <w:rFonts w:ascii="Arial" w:hAnsi="Arial"/>
          <w:b/>
          <w:i/>
          <w:sz w:val="22"/>
          <w:lang w:eastAsia="en-AU"/>
        </w:rPr>
      </w:pPr>
      <w:r w:rsidRPr="005A0490">
        <w:rPr>
          <w:rFonts w:ascii="Arial" w:hAnsi="Arial"/>
          <w:b/>
          <w:i/>
          <w:sz w:val="22"/>
          <w:lang w:eastAsia="en-AU"/>
        </w:rPr>
        <w:t>Consumer comments</w:t>
      </w:r>
      <w:r w:rsidR="002C3714">
        <w:rPr>
          <w:rFonts w:ascii="Arial" w:hAnsi="Arial"/>
          <w:b/>
          <w:i/>
          <w:sz w:val="22"/>
          <w:lang w:eastAsia="en-AU"/>
        </w:rPr>
        <w:t xml:space="preserve"> </w:t>
      </w:r>
      <w:r w:rsidR="002C3714">
        <w:rPr>
          <w:rFonts w:ascii="Arial" w:hAnsi="Arial"/>
          <w:b/>
          <w:i/>
          <w:sz w:val="22"/>
          <w:lang w:eastAsia="en-AU"/>
        </w:rPr>
        <w:br/>
      </w:r>
    </w:p>
    <w:p w:rsidR="00A85683" w:rsidRPr="00C73915" w:rsidRDefault="00A85683" w:rsidP="00C73915">
      <w:pPr>
        <w:numPr>
          <w:ilvl w:val="1"/>
          <w:numId w:val="3"/>
        </w:numPr>
        <w:spacing w:before="0" w:after="0"/>
        <w:ind w:right="0"/>
        <w:jc w:val="both"/>
        <w:rPr>
          <w:rFonts w:ascii="Arial" w:hAnsi="Arial"/>
          <w:sz w:val="22"/>
          <w:szCs w:val="22"/>
          <w:lang w:eastAsia="en-AU"/>
        </w:rPr>
      </w:pPr>
      <w:r w:rsidRPr="005619E1">
        <w:rPr>
          <w:rFonts w:ascii="Arial" w:hAnsi="Arial"/>
          <w:iCs/>
          <w:sz w:val="22"/>
          <w:szCs w:val="22"/>
          <w:lang w:eastAsia="en-AU"/>
        </w:rPr>
        <w:t>The PBAC noted that no consumer comments were received for this item</w:t>
      </w:r>
      <w:r w:rsidRPr="005619E1">
        <w:rPr>
          <w:rFonts w:ascii="Arial" w:hAnsi="Arial"/>
          <w:b/>
          <w:sz w:val="22"/>
          <w:lang w:eastAsia="en-AU"/>
        </w:rPr>
        <w:t>.</w:t>
      </w:r>
    </w:p>
    <w:p w:rsidR="00C73915" w:rsidRPr="005619E1" w:rsidRDefault="00C73915" w:rsidP="00C73915">
      <w:pPr>
        <w:spacing w:before="0" w:after="0"/>
        <w:ind w:left="720" w:right="0" w:firstLine="0"/>
        <w:jc w:val="both"/>
        <w:rPr>
          <w:rFonts w:ascii="Arial" w:hAnsi="Arial"/>
          <w:sz w:val="22"/>
          <w:szCs w:val="22"/>
          <w:lang w:eastAsia="en-AU"/>
        </w:rPr>
      </w:pPr>
    </w:p>
    <w:p w:rsidR="00DC7EC6" w:rsidRPr="00200A5D" w:rsidRDefault="00DC7EC6" w:rsidP="00C73915">
      <w:pPr>
        <w:keepNext/>
        <w:spacing w:before="0" w:after="0"/>
        <w:ind w:left="0" w:right="0" w:firstLine="0"/>
        <w:outlineLvl w:val="1"/>
        <w:rPr>
          <w:rFonts w:ascii="Arial" w:hAnsi="Arial"/>
          <w:b/>
          <w:i/>
          <w:sz w:val="22"/>
          <w:lang w:eastAsia="en-AU"/>
        </w:rPr>
      </w:pPr>
      <w:r w:rsidRPr="00200A5D">
        <w:rPr>
          <w:rFonts w:ascii="Arial" w:hAnsi="Arial"/>
          <w:b/>
          <w:i/>
          <w:sz w:val="22"/>
          <w:lang w:eastAsia="en-AU"/>
        </w:rPr>
        <w:t>Clinical trials</w:t>
      </w:r>
    </w:p>
    <w:p w:rsidR="00DC7EC6" w:rsidRPr="00200A5D" w:rsidRDefault="00DC7EC6" w:rsidP="00C73915">
      <w:pPr>
        <w:spacing w:before="0" w:after="0"/>
        <w:ind w:left="0" w:right="0" w:firstLine="0"/>
        <w:jc w:val="both"/>
        <w:rPr>
          <w:rFonts w:ascii="Arial" w:hAnsi="Arial"/>
          <w:sz w:val="22"/>
          <w:szCs w:val="22"/>
          <w:lang w:eastAsia="en-AU"/>
        </w:rPr>
      </w:pPr>
    </w:p>
    <w:p w:rsidR="00DC7EC6" w:rsidRDefault="00D10610" w:rsidP="00C73915">
      <w:pPr>
        <w:pStyle w:val="ListParagraph"/>
        <w:numPr>
          <w:ilvl w:val="1"/>
          <w:numId w:val="3"/>
        </w:numPr>
        <w:spacing w:before="0" w:after="0"/>
        <w:ind w:right="0"/>
        <w:jc w:val="both"/>
        <w:rPr>
          <w:rFonts w:ascii="Arial" w:hAnsi="Arial"/>
          <w:sz w:val="22"/>
          <w:szCs w:val="22"/>
        </w:rPr>
      </w:pPr>
      <w:r>
        <w:rPr>
          <w:rFonts w:ascii="Arial" w:hAnsi="Arial"/>
          <w:sz w:val="22"/>
          <w:szCs w:val="22"/>
        </w:rPr>
        <w:t>The minor submission presented the following clinical trial:</w:t>
      </w:r>
    </w:p>
    <w:p w:rsidR="00D10610" w:rsidRDefault="00D10610" w:rsidP="00C73915">
      <w:pPr>
        <w:pStyle w:val="ListParagraph"/>
        <w:spacing w:before="0" w:after="0"/>
        <w:ind w:right="0" w:firstLine="0"/>
        <w:jc w:val="both"/>
        <w:rPr>
          <w:rFonts w:ascii="Arial" w:hAnsi="Arial"/>
          <w:sz w:val="22"/>
          <w:szCs w:val="22"/>
        </w:rPr>
      </w:pPr>
    </w:p>
    <w:p w:rsidR="00BC5D6F" w:rsidRPr="00BC5D6F" w:rsidRDefault="00BC5D6F" w:rsidP="00C73915">
      <w:pPr>
        <w:pStyle w:val="ListParagraph"/>
        <w:spacing w:before="0" w:after="0"/>
        <w:ind w:right="0" w:firstLine="0"/>
        <w:jc w:val="both"/>
        <w:rPr>
          <w:rFonts w:ascii="Arial Narrow" w:hAnsi="Arial Narrow"/>
          <w:b/>
          <w:sz w:val="20"/>
          <w:szCs w:val="20"/>
        </w:rPr>
      </w:pPr>
      <w:r w:rsidRPr="00BC5D6F">
        <w:rPr>
          <w:rFonts w:ascii="Arial Narrow" w:hAnsi="Arial Narrow"/>
          <w:b/>
          <w:sz w:val="20"/>
          <w:szCs w:val="20"/>
        </w:rPr>
        <w:t>Table 1: Trials and associated reports noted</w:t>
      </w:r>
      <w:r>
        <w:rPr>
          <w:rFonts w:ascii="Arial Narrow" w:hAnsi="Arial Narrow"/>
          <w:b/>
          <w:sz w:val="20"/>
          <w:szCs w:val="20"/>
        </w:rPr>
        <w:t xml:space="preserve"> in the </w:t>
      </w:r>
      <w:r w:rsidRPr="00BC5D6F">
        <w:rPr>
          <w:rFonts w:ascii="Arial Narrow" w:hAnsi="Arial Narrow"/>
          <w:b/>
          <w:sz w:val="20"/>
          <w:szCs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843"/>
      </w:tblGrid>
      <w:tr w:rsidR="00D10610" w:rsidRPr="005838CB" w:rsidTr="00C73915">
        <w:trPr>
          <w:cantSplit/>
          <w:tblHeader/>
        </w:trPr>
        <w:tc>
          <w:tcPr>
            <w:tcW w:w="851" w:type="dxa"/>
          </w:tcPr>
          <w:p w:rsidR="00D10610" w:rsidRPr="005838CB" w:rsidRDefault="00D10610" w:rsidP="00C73915">
            <w:pPr>
              <w:pStyle w:val="NoSpacing"/>
              <w:rPr>
                <w:rFonts w:ascii="Arial Narrow" w:hAnsi="Arial Narrow"/>
                <w:b/>
                <w:sz w:val="20"/>
              </w:rPr>
            </w:pPr>
            <w:r w:rsidRPr="005838CB">
              <w:rPr>
                <w:rFonts w:ascii="Arial Narrow" w:hAnsi="Arial Narrow"/>
                <w:b/>
                <w:sz w:val="20"/>
              </w:rPr>
              <w:t>Trial ID</w:t>
            </w:r>
          </w:p>
        </w:tc>
        <w:tc>
          <w:tcPr>
            <w:tcW w:w="5670" w:type="dxa"/>
          </w:tcPr>
          <w:p w:rsidR="00D10610" w:rsidRPr="005838CB" w:rsidRDefault="00D10610" w:rsidP="00C73915">
            <w:pPr>
              <w:keepNext/>
              <w:spacing w:after="0"/>
              <w:jc w:val="center"/>
              <w:rPr>
                <w:rFonts w:ascii="Arial Narrow" w:hAnsi="Arial Narrow"/>
                <w:b/>
                <w:sz w:val="20"/>
              </w:rPr>
            </w:pPr>
            <w:r w:rsidRPr="005838CB">
              <w:rPr>
                <w:rFonts w:ascii="Arial Narrow" w:hAnsi="Arial Narrow"/>
                <w:b/>
                <w:sz w:val="20"/>
              </w:rPr>
              <w:t>Protocol title/ Publication title</w:t>
            </w:r>
          </w:p>
        </w:tc>
        <w:tc>
          <w:tcPr>
            <w:tcW w:w="1843" w:type="dxa"/>
          </w:tcPr>
          <w:p w:rsidR="00D10610" w:rsidRPr="005838CB" w:rsidRDefault="00D10610" w:rsidP="00C73915">
            <w:pPr>
              <w:keepNext/>
              <w:spacing w:after="0"/>
              <w:rPr>
                <w:rFonts w:ascii="Arial Narrow" w:hAnsi="Arial Narrow"/>
                <w:b/>
                <w:sz w:val="20"/>
              </w:rPr>
            </w:pPr>
            <w:r w:rsidRPr="005838CB">
              <w:rPr>
                <w:rFonts w:ascii="Arial Narrow" w:hAnsi="Arial Narrow"/>
                <w:b/>
                <w:sz w:val="20"/>
              </w:rPr>
              <w:t>Publication citation</w:t>
            </w:r>
          </w:p>
        </w:tc>
      </w:tr>
      <w:tr w:rsidR="00D10610" w:rsidRPr="005838CB" w:rsidTr="00597143">
        <w:trPr>
          <w:cantSplit/>
        </w:trPr>
        <w:tc>
          <w:tcPr>
            <w:tcW w:w="8364" w:type="dxa"/>
            <w:gridSpan w:val="3"/>
          </w:tcPr>
          <w:p w:rsidR="00D10610" w:rsidRPr="005838CB" w:rsidRDefault="00D10610" w:rsidP="00C73915">
            <w:pPr>
              <w:pStyle w:val="NoSpacing"/>
              <w:rPr>
                <w:rFonts w:ascii="Arial Narrow" w:hAnsi="Arial Narrow"/>
                <w:b/>
                <w:sz w:val="20"/>
              </w:rPr>
            </w:pPr>
            <w:r w:rsidRPr="005838CB">
              <w:rPr>
                <w:rFonts w:ascii="Arial Narrow" w:hAnsi="Arial Narrow"/>
                <w:b/>
                <w:sz w:val="20"/>
              </w:rPr>
              <w:t>Direct randomised trial</w:t>
            </w:r>
          </w:p>
        </w:tc>
      </w:tr>
      <w:tr w:rsidR="00D10610" w:rsidRPr="005838CB" w:rsidTr="00C73915">
        <w:trPr>
          <w:cantSplit/>
        </w:trPr>
        <w:tc>
          <w:tcPr>
            <w:tcW w:w="851" w:type="dxa"/>
          </w:tcPr>
          <w:p w:rsidR="00D10610" w:rsidRPr="00D84934" w:rsidRDefault="000E5F3A" w:rsidP="00C73915">
            <w:pPr>
              <w:pStyle w:val="NoSpacing"/>
              <w:rPr>
                <w:rFonts w:ascii="Arial Narrow" w:hAnsi="Arial Narrow"/>
                <w:b/>
                <w:sz w:val="20"/>
              </w:rPr>
            </w:pPr>
            <w:r>
              <w:rPr>
                <w:rFonts w:ascii="Arial Narrow" w:hAnsi="Arial Narrow"/>
                <w:b/>
                <w:sz w:val="20"/>
              </w:rPr>
              <w:t>-</w:t>
            </w:r>
          </w:p>
        </w:tc>
        <w:tc>
          <w:tcPr>
            <w:tcW w:w="5670" w:type="dxa"/>
          </w:tcPr>
          <w:p w:rsidR="00D10610" w:rsidRPr="000E577D" w:rsidRDefault="0089668C" w:rsidP="00C73915">
            <w:pPr>
              <w:keepNext/>
              <w:spacing w:before="0" w:after="0"/>
              <w:ind w:left="34" w:right="34" w:firstLine="0"/>
              <w:rPr>
                <w:rFonts w:ascii="Arial Narrow" w:hAnsi="Arial Narrow"/>
                <w:sz w:val="20"/>
              </w:rPr>
            </w:pPr>
            <w:r>
              <w:rPr>
                <w:rFonts w:ascii="Arial Narrow" w:hAnsi="Arial Narrow"/>
                <w:sz w:val="20"/>
              </w:rPr>
              <w:t xml:space="preserve">Gokem-Ozel, H., Daly, A., Davies, P., Chahal, S., MacDonald, A., </w:t>
            </w:r>
            <w:r w:rsidR="000E577D" w:rsidRPr="000E577D">
              <w:rPr>
                <w:rFonts w:ascii="Arial Narrow" w:hAnsi="Arial Narrow"/>
                <w:sz w:val="20"/>
              </w:rPr>
              <w:t>Error</w:t>
            </w:r>
            <w:r w:rsidR="00D10610" w:rsidRPr="000E577D">
              <w:rPr>
                <w:rFonts w:ascii="Arial Narrow" w:hAnsi="Arial Narrow"/>
                <w:sz w:val="20"/>
              </w:rPr>
              <w:t xml:space="preserve">s in emergency feeds in inherited </w:t>
            </w:r>
            <w:r w:rsidR="000E577D" w:rsidRPr="000E577D">
              <w:rPr>
                <w:rFonts w:ascii="Arial Narrow" w:hAnsi="Arial Narrow"/>
                <w:sz w:val="20"/>
              </w:rPr>
              <w:t>metabolic disorders: a randomised controlled trial of three preparation methods</w:t>
            </w:r>
          </w:p>
        </w:tc>
        <w:tc>
          <w:tcPr>
            <w:tcW w:w="1843" w:type="dxa"/>
          </w:tcPr>
          <w:p w:rsidR="00D10610" w:rsidRPr="0089668C" w:rsidRDefault="000E577D" w:rsidP="00C73915">
            <w:pPr>
              <w:keepNext/>
              <w:spacing w:before="0" w:after="0"/>
              <w:ind w:left="33" w:right="0" w:firstLine="0"/>
              <w:rPr>
                <w:rFonts w:ascii="Arial Narrow" w:hAnsi="Arial Narrow"/>
                <w:sz w:val="20"/>
              </w:rPr>
            </w:pPr>
            <w:r w:rsidRPr="0089668C">
              <w:rPr>
                <w:rFonts w:ascii="Arial Narrow" w:hAnsi="Arial Narrow"/>
                <w:sz w:val="20"/>
              </w:rPr>
              <w:t>Arch</w:t>
            </w:r>
            <w:r w:rsidR="0089668C" w:rsidRPr="0089668C">
              <w:rPr>
                <w:rFonts w:ascii="Arial Narrow" w:hAnsi="Arial Narrow"/>
                <w:sz w:val="20"/>
              </w:rPr>
              <w:t>ives of</w:t>
            </w:r>
            <w:r w:rsidRPr="0089668C">
              <w:rPr>
                <w:rFonts w:ascii="Arial Narrow" w:hAnsi="Arial Narrow"/>
                <w:sz w:val="20"/>
              </w:rPr>
              <w:t xml:space="preserve"> Dis</w:t>
            </w:r>
            <w:r w:rsidR="0089668C" w:rsidRPr="0089668C">
              <w:rPr>
                <w:rFonts w:ascii="Arial Narrow" w:hAnsi="Arial Narrow"/>
                <w:sz w:val="20"/>
              </w:rPr>
              <w:t xml:space="preserve">ease in </w:t>
            </w:r>
            <w:r w:rsidRPr="0089668C">
              <w:rPr>
                <w:rFonts w:ascii="Arial Narrow" w:hAnsi="Arial Narrow"/>
                <w:sz w:val="20"/>
              </w:rPr>
              <w:t>Child</w:t>
            </w:r>
            <w:r w:rsidR="0089668C" w:rsidRPr="0089668C">
              <w:rPr>
                <w:rFonts w:ascii="Arial Narrow" w:hAnsi="Arial Narrow"/>
                <w:sz w:val="20"/>
              </w:rPr>
              <w:t>hood</w:t>
            </w:r>
            <w:r w:rsidR="0089668C">
              <w:rPr>
                <w:rFonts w:ascii="Arial Narrow" w:hAnsi="Arial Narrow"/>
                <w:sz w:val="20"/>
              </w:rPr>
              <w:t>.</w:t>
            </w:r>
            <w:r w:rsidRPr="0089668C">
              <w:rPr>
                <w:rFonts w:ascii="Arial Narrow" w:hAnsi="Arial Narrow"/>
                <w:sz w:val="20"/>
              </w:rPr>
              <w:t xml:space="preserve"> 2010;</w:t>
            </w:r>
            <w:r w:rsidR="0089668C">
              <w:rPr>
                <w:rFonts w:ascii="Arial Narrow" w:hAnsi="Arial Narrow"/>
                <w:sz w:val="20"/>
              </w:rPr>
              <w:t xml:space="preserve"> </w:t>
            </w:r>
            <w:r w:rsidRPr="0089668C">
              <w:rPr>
                <w:rFonts w:ascii="Arial Narrow" w:hAnsi="Arial Narrow"/>
                <w:sz w:val="20"/>
              </w:rPr>
              <w:t>95: 776-780</w:t>
            </w:r>
          </w:p>
        </w:tc>
      </w:tr>
    </w:tbl>
    <w:p w:rsidR="00FE27E9" w:rsidRPr="009805B3" w:rsidRDefault="00BC5D6F" w:rsidP="00C73915">
      <w:pPr>
        <w:spacing w:before="0" w:after="0"/>
        <w:ind w:left="0" w:firstLine="720"/>
        <w:rPr>
          <w:rFonts w:ascii="Arial Narrow" w:hAnsi="Arial Narrow"/>
          <w:sz w:val="18"/>
          <w:szCs w:val="18"/>
        </w:rPr>
      </w:pPr>
      <w:r w:rsidRPr="009805B3">
        <w:rPr>
          <w:rFonts w:ascii="Arial Narrow" w:hAnsi="Arial Narrow"/>
          <w:sz w:val="18"/>
          <w:szCs w:val="18"/>
        </w:rPr>
        <w:t xml:space="preserve">Source: SOS clinical trial paper. </w:t>
      </w:r>
      <w:r w:rsidR="00FE27E9" w:rsidRPr="009805B3">
        <w:rPr>
          <w:rFonts w:ascii="Arial Narrow" w:hAnsi="Arial Narrow"/>
          <w:sz w:val="18"/>
          <w:szCs w:val="18"/>
        </w:rPr>
        <w:t>Compiled during the minor overview</w:t>
      </w:r>
    </w:p>
    <w:p w:rsidR="00BC5D6F" w:rsidRPr="00BC5D6F" w:rsidRDefault="00BC5D6F" w:rsidP="00C73915">
      <w:pPr>
        <w:pStyle w:val="ListParagraph"/>
        <w:spacing w:before="0" w:after="0"/>
        <w:ind w:right="0" w:firstLine="0"/>
        <w:jc w:val="both"/>
        <w:rPr>
          <w:rFonts w:ascii="Arial Narrow" w:hAnsi="Arial Narrow"/>
          <w:sz w:val="18"/>
          <w:szCs w:val="18"/>
        </w:rPr>
      </w:pPr>
    </w:p>
    <w:p w:rsidR="00397643" w:rsidRDefault="007405E5" w:rsidP="00C73915">
      <w:pPr>
        <w:pStyle w:val="ListParagraph"/>
        <w:numPr>
          <w:ilvl w:val="1"/>
          <w:numId w:val="3"/>
        </w:numPr>
        <w:spacing w:before="0" w:after="0"/>
        <w:ind w:right="0"/>
        <w:contextualSpacing w:val="0"/>
        <w:jc w:val="both"/>
        <w:rPr>
          <w:rFonts w:ascii="Arial" w:hAnsi="Arial"/>
          <w:sz w:val="22"/>
          <w:szCs w:val="22"/>
        </w:rPr>
      </w:pPr>
      <w:r w:rsidRPr="005619E1">
        <w:rPr>
          <w:rFonts w:ascii="Arial" w:hAnsi="Arial"/>
          <w:sz w:val="22"/>
          <w:szCs w:val="22"/>
        </w:rPr>
        <w:lastRenderedPageBreak/>
        <w:t xml:space="preserve">The trial aimed to find which method </w:t>
      </w:r>
      <w:r w:rsidR="0050690C" w:rsidRPr="005619E1">
        <w:rPr>
          <w:rFonts w:ascii="Arial" w:hAnsi="Arial"/>
          <w:sz w:val="22"/>
          <w:szCs w:val="22"/>
        </w:rPr>
        <w:t>of preparing</w:t>
      </w:r>
      <w:r w:rsidR="00EE4A1D" w:rsidRPr="005619E1">
        <w:rPr>
          <w:rFonts w:ascii="Arial" w:hAnsi="Arial"/>
          <w:sz w:val="22"/>
          <w:szCs w:val="22"/>
        </w:rPr>
        <w:t xml:space="preserve"> </w:t>
      </w:r>
      <w:r w:rsidR="00D52E68" w:rsidRPr="005619E1">
        <w:rPr>
          <w:rFonts w:ascii="Arial" w:hAnsi="Arial"/>
          <w:sz w:val="22"/>
          <w:szCs w:val="22"/>
        </w:rPr>
        <w:t>a glucose polymer-based emergency feed (EF) lead to decreased errors made by carers of patients with IEM.</w:t>
      </w:r>
      <w:r w:rsidR="0050690C" w:rsidRPr="005619E1">
        <w:rPr>
          <w:rFonts w:ascii="Arial" w:hAnsi="Arial"/>
          <w:sz w:val="22"/>
          <w:szCs w:val="22"/>
        </w:rPr>
        <w:t xml:space="preserve"> </w:t>
      </w:r>
      <w:r w:rsidR="00D52E68" w:rsidRPr="005619E1">
        <w:rPr>
          <w:rFonts w:ascii="Arial" w:hAnsi="Arial"/>
          <w:sz w:val="22"/>
          <w:szCs w:val="22"/>
        </w:rPr>
        <w:t xml:space="preserve">The tested methods were </w:t>
      </w:r>
      <w:r w:rsidR="0050690C" w:rsidRPr="005619E1">
        <w:rPr>
          <w:rFonts w:ascii="Arial" w:hAnsi="Arial"/>
          <w:sz w:val="22"/>
          <w:szCs w:val="22"/>
        </w:rPr>
        <w:t>SOS</w:t>
      </w:r>
      <w:r w:rsidR="0050690C" w:rsidRPr="005619E1">
        <w:rPr>
          <w:rFonts w:ascii="Arial" w:hAnsi="Arial" w:cs="Arial"/>
          <w:sz w:val="22"/>
          <w:szCs w:val="22"/>
          <w:vertAlign w:val="superscript"/>
          <w:lang w:eastAsia="en-AU"/>
        </w:rPr>
        <w:t>®</w:t>
      </w:r>
      <w:r w:rsidR="0050690C" w:rsidRPr="005619E1">
        <w:rPr>
          <w:rFonts w:ascii="Arial" w:hAnsi="Arial"/>
          <w:sz w:val="22"/>
          <w:szCs w:val="22"/>
        </w:rPr>
        <w:t xml:space="preserve"> pre-measured sachets</w:t>
      </w:r>
      <w:r w:rsidR="006E0197" w:rsidRPr="005619E1">
        <w:rPr>
          <w:rFonts w:ascii="Arial" w:hAnsi="Arial"/>
          <w:sz w:val="22"/>
          <w:szCs w:val="22"/>
        </w:rPr>
        <w:t xml:space="preserve">, </w:t>
      </w:r>
      <w:r w:rsidR="009A48E1" w:rsidRPr="005619E1">
        <w:rPr>
          <w:rFonts w:ascii="Arial" w:hAnsi="Arial"/>
          <w:sz w:val="22"/>
          <w:szCs w:val="22"/>
        </w:rPr>
        <w:t>measuring powder using scoops</w:t>
      </w:r>
      <w:r w:rsidR="006E0197" w:rsidRPr="005619E1">
        <w:rPr>
          <w:rFonts w:ascii="Arial" w:hAnsi="Arial"/>
          <w:sz w:val="22"/>
          <w:szCs w:val="22"/>
        </w:rPr>
        <w:t>,</w:t>
      </w:r>
      <w:r w:rsidR="000167BE" w:rsidRPr="005619E1">
        <w:rPr>
          <w:rFonts w:ascii="Arial" w:hAnsi="Arial"/>
          <w:sz w:val="22"/>
          <w:szCs w:val="22"/>
        </w:rPr>
        <w:t xml:space="preserve"> </w:t>
      </w:r>
      <w:r w:rsidR="006E0197" w:rsidRPr="005619E1">
        <w:rPr>
          <w:rFonts w:ascii="Arial" w:hAnsi="Arial"/>
          <w:sz w:val="22"/>
          <w:szCs w:val="22"/>
        </w:rPr>
        <w:t>or</w:t>
      </w:r>
      <w:r w:rsidR="000167BE" w:rsidRPr="005619E1">
        <w:rPr>
          <w:rFonts w:ascii="Arial" w:hAnsi="Arial"/>
          <w:sz w:val="22"/>
          <w:szCs w:val="22"/>
        </w:rPr>
        <w:t xml:space="preserve"> weighing</w:t>
      </w:r>
      <w:r w:rsidR="009A48E1" w:rsidRPr="005619E1">
        <w:rPr>
          <w:rFonts w:ascii="Arial" w:hAnsi="Arial"/>
          <w:sz w:val="22"/>
          <w:szCs w:val="22"/>
        </w:rPr>
        <w:t xml:space="preserve"> powder</w:t>
      </w:r>
      <w:r w:rsidR="000167BE" w:rsidRPr="005619E1">
        <w:rPr>
          <w:rFonts w:ascii="Arial" w:hAnsi="Arial"/>
          <w:sz w:val="22"/>
          <w:szCs w:val="22"/>
        </w:rPr>
        <w:t xml:space="preserve"> using digital scales.</w:t>
      </w:r>
      <w:r w:rsidR="00914926" w:rsidRPr="005619E1">
        <w:rPr>
          <w:rFonts w:ascii="Arial" w:hAnsi="Arial"/>
          <w:sz w:val="22"/>
          <w:szCs w:val="22"/>
        </w:rPr>
        <w:t xml:space="preserve"> </w:t>
      </w:r>
      <w:r w:rsidR="005E16BE" w:rsidRPr="005619E1">
        <w:rPr>
          <w:rFonts w:ascii="Arial" w:hAnsi="Arial"/>
          <w:sz w:val="22"/>
          <w:szCs w:val="22"/>
        </w:rPr>
        <w:t xml:space="preserve">The overall conclusion was that all </w:t>
      </w:r>
      <w:r w:rsidR="003A32F4" w:rsidRPr="005619E1">
        <w:rPr>
          <w:rFonts w:ascii="Arial" w:hAnsi="Arial"/>
          <w:sz w:val="22"/>
          <w:szCs w:val="22"/>
        </w:rPr>
        <w:t xml:space="preserve">preparation </w:t>
      </w:r>
      <w:r w:rsidR="00797B26" w:rsidRPr="005619E1">
        <w:rPr>
          <w:rFonts w:ascii="Arial" w:hAnsi="Arial"/>
          <w:sz w:val="22"/>
          <w:szCs w:val="22"/>
        </w:rPr>
        <w:t>methods</w:t>
      </w:r>
      <w:r w:rsidR="003A32F4" w:rsidRPr="005619E1">
        <w:rPr>
          <w:rFonts w:ascii="Arial" w:hAnsi="Arial"/>
          <w:sz w:val="22"/>
          <w:szCs w:val="22"/>
        </w:rPr>
        <w:t xml:space="preserve"> were likely to be more carbohydrate-concentrated</w:t>
      </w:r>
      <w:r w:rsidR="00797B26" w:rsidRPr="005619E1">
        <w:rPr>
          <w:rFonts w:ascii="Arial" w:hAnsi="Arial"/>
          <w:sz w:val="22"/>
          <w:szCs w:val="22"/>
        </w:rPr>
        <w:t xml:space="preserve"> than the target</w:t>
      </w:r>
      <w:r w:rsidR="003A32F4" w:rsidRPr="005619E1">
        <w:rPr>
          <w:rFonts w:ascii="Arial" w:hAnsi="Arial"/>
          <w:sz w:val="22"/>
          <w:szCs w:val="22"/>
        </w:rPr>
        <w:t xml:space="preserve"> concentration</w:t>
      </w:r>
      <w:r w:rsidR="00797B26" w:rsidRPr="005619E1">
        <w:rPr>
          <w:rFonts w:ascii="Arial" w:hAnsi="Arial"/>
          <w:sz w:val="22"/>
          <w:szCs w:val="22"/>
        </w:rPr>
        <w:t>, mostly due to</w:t>
      </w:r>
      <w:r w:rsidR="00397643" w:rsidRPr="005619E1">
        <w:rPr>
          <w:rFonts w:ascii="Arial" w:hAnsi="Arial"/>
          <w:sz w:val="22"/>
          <w:szCs w:val="22"/>
        </w:rPr>
        <w:t xml:space="preserve"> the</w:t>
      </w:r>
      <w:r w:rsidR="00797B26" w:rsidRPr="005619E1">
        <w:rPr>
          <w:rFonts w:ascii="Arial" w:hAnsi="Arial"/>
          <w:sz w:val="22"/>
          <w:szCs w:val="22"/>
        </w:rPr>
        <w:t xml:space="preserve"> carers under-measuring the amount of water. </w:t>
      </w:r>
      <w:r w:rsidR="00EE4A1D" w:rsidRPr="005619E1">
        <w:rPr>
          <w:rFonts w:ascii="Arial" w:hAnsi="Arial"/>
          <w:sz w:val="22"/>
          <w:szCs w:val="22"/>
        </w:rPr>
        <w:t>The researchers stated that over-concentration of EF</w:t>
      </w:r>
      <w:r w:rsidR="00D52E68" w:rsidRPr="005619E1">
        <w:rPr>
          <w:rFonts w:ascii="Arial" w:hAnsi="Arial"/>
          <w:sz w:val="22"/>
          <w:szCs w:val="22"/>
        </w:rPr>
        <w:t>s</w:t>
      </w:r>
      <w:r w:rsidR="00EE4A1D" w:rsidRPr="005619E1">
        <w:rPr>
          <w:rFonts w:ascii="Arial" w:hAnsi="Arial"/>
          <w:sz w:val="22"/>
          <w:szCs w:val="22"/>
        </w:rPr>
        <w:t xml:space="preserve"> is a common</w:t>
      </w:r>
      <w:r w:rsidR="00D52E68" w:rsidRPr="005619E1">
        <w:rPr>
          <w:rFonts w:ascii="Arial" w:hAnsi="Arial"/>
          <w:sz w:val="22"/>
          <w:szCs w:val="22"/>
        </w:rPr>
        <w:t xml:space="preserve"> carer</w:t>
      </w:r>
      <w:r w:rsidR="00EE4A1D" w:rsidRPr="005619E1">
        <w:rPr>
          <w:rFonts w:ascii="Arial" w:hAnsi="Arial"/>
          <w:sz w:val="22"/>
          <w:szCs w:val="22"/>
        </w:rPr>
        <w:t xml:space="preserve"> error.  Over-concentration</w:t>
      </w:r>
      <w:r w:rsidR="005E16BE" w:rsidRPr="005619E1">
        <w:rPr>
          <w:rFonts w:ascii="Arial" w:hAnsi="Arial"/>
          <w:sz w:val="22"/>
          <w:szCs w:val="22"/>
        </w:rPr>
        <w:t xml:space="preserve"> of carbohydrates</w:t>
      </w:r>
      <w:r w:rsidR="00EE4A1D" w:rsidRPr="005619E1">
        <w:rPr>
          <w:rFonts w:ascii="Arial" w:hAnsi="Arial"/>
          <w:sz w:val="22"/>
          <w:szCs w:val="22"/>
        </w:rPr>
        <w:t xml:space="preserve"> can lead to diarrhoea and potentially the exacerbation of the patient’s existing metabolic disorder. </w:t>
      </w:r>
      <w:r w:rsidR="00866FC1" w:rsidRPr="005619E1">
        <w:rPr>
          <w:rFonts w:ascii="Arial" w:hAnsi="Arial"/>
          <w:sz w:val="22"/>
          <w:szCs w:val="22"/>
        </w:rPr>
        <w:t>Weighing using digital scales had the highest likelihood of</w:t>
      </w:r>
      <w:r w:rsidR="00397643" w:rsidRPr="005619E1">
        <w:rPr>
          <w:rFonts w:ascii="Arial" w:hAnsi="Arial"/>
          <w:sz w:val="22"/>
          <w:szCs w:val="22"/>
        </w:rPr>
        <w:t xml:space="preserve"> preparation errors. The pre-measured sachets had no notable differences in accuracy compared to scoops.</w:t>
      </w:r>
      <w:r w:rsidR="00783012" w:rsidRPr="005619E1">
        <w:rPr>
          <w:rFonts w:ascii="Arial" w:hAnsi="Arial"/>
          <w:sz w:val="22"/>
          <w:szCs w:val="22"/>
        </w:rPr>
        <w:t xml:space="preserve"> </w:t>
      </w:r>
      <w:r w:rsidR="005E16BE" w:rsidRPr="005619E1">
        <w:rPr>
          <w:rFonts w:ascii="Arial" w:hAnsi="Arial"/>
          <w:sz w:val="22"/>
          <w:szCs w:val="22"/>
        </w:rPr>
        <w:t>It was concluded that</w:t>
      </w:r>
      <w:r w:rsidR="00783012" w:rsidRPr="005619E1">
        <w:rPr>
          <w:rFonts w:ascii="Arial" w:hAnsi="Arial"/>
          <w:sz w:val="22"/>
          <w:szCs w:val="22"/>
        </w:rPr>
        <w:t xml:space="preserve"> the pre-measured sachets were most likely to </w:t>
      </w:r>
      <w:r w:rsidR="00787C79" w:rsidRPr="005619E1">
        <w:rPr>
          <w:rFonts w:ascii="Arial" w:hAnsi="Arial"/>
          <w:sz w:val="22"/>
          <w:szCs w:val="22"/>
        </w:rPr>
        <w:t>create an EF</w:t>
      </w:r>
      <w:r w:rsidR="00A67E46" w:rsidRPr="005619E1">
        <w:rPr>
          <w:rFonts w:ascii="Arial" w:hAnsi="Arial"/>
          <w:sz w:val="22"/>
          <w:szCs w:val="22"/>
        </w:rPr>
        <w:t xml:space="preserve"> concentration</w:t>
      </w:r>
      <w:r w:rsidR="00787C79" w:rsidRPr="005619E1">
        <w:rPr>
          <w:rFonts w:ascii="Arial" w:hAnsi="Arial"/>
          <w:sz w:val="22"/>
          <w:szCs w:val="22"/>
        </w:rPr>
        <w:t xml:space="preserve"> within 20% accuracy</w:t>
      </w:r>
      <w:r w:rsidR="00A67E46" w:rsidRPr="005619E1">
        <w:rPr>
          <w:rFonts w:ascii="Arial" w:hAnsi="Arial"/>
          <w:sz w:val="22"/>
          <w:szCs w:val="22"/>
        </w:rPr>
        <w:t>.</w:t>
      </w:r>
    </w:p>
    <w:p w:rsidR="00C73915" w:rsidRDefault="00C73915" w:rsidP="00C73915">
      <w:pPr>
        <w:pStyle w:val="ListParagraph"/>
        <w:spacing w:before="0" w:after="0"/>
        <w:ind w:right="0" w:firstLine="0"/>
        <w:contextualSpacing w:val="0"/>
        <w:jc w:val="both"/>
        <w:rPr>
          <w:rFonts w:ascii="Arial" w:hAnsi="Arial"/>
          <w:sz w:val="22"/>
          <w:szCs w:val="22"/>
        </w:rPr>
      </w:pPr>
    </w:p>
    <w:p w:rsidR="009A215A" w:rsidRPr="00D74F30" w:rsidRDefault="009A215A" w:rsidP="00C73915">
      <w:pPr>
        <w:pStyle w:val="ListParagraph"/>
        <w:keepNext/>
        <w:keepLines/>
        <w:numPr>
          <w:ilvl w:val="1"/>
          <w:numId w:val="3"/>
        </w:numPr>
        <w:spacing w:before="0" w:after="0"/>
        <w:ind w:right="0"/>
        <w:jc w:val="both"/>
        <w:rPr>
          <w:rFonts w:ascii="Arial" w:hAnsi="Arial"/>
          <w:sz w:val="22"/>
          <w:szCs w:val="22"/>
          <w:lang w:eastAsia="en-AU"/>
        </w:rPr>
      </w:pPr>
      <w:r w:rsidRPr="00D74F30">
        <w:rPr>
          <w:rFonts w:ascii="Arial" w:hAnsi="Arial"/>
          <w:sz w:val="22"/>
          <w:szCs w:val="22"/>
          <w:lang w:eastAsia="en-AU"/>
        </w:rPr>
        <w:t>In consideration of the submission, the Nutritional Products Working Party (NPWP) noted that:</w:t>
      </w:r>
    </w:p>
    <w:p w:rsidR="009A215A" w:rsidRPr="009A215A" w:rsidRDefault="009A215A" w:rsidP="00C73915">
      <w:pPr>
        <w:pStyle w:val="ListParagraph"/>
        <w:numPr>
          <w:ilvl w:val="0"/>
          <w:numId w:val="15"/>
        </w:numPr>
        <w:spacing w:before="0" w:after="0"/>
        <w:ind w:right="-46"/>
        <w:contextualSpacing w:val="0"/>
        <w:jc w:val="both"/>
        <w:rPr>
          <w:rFonts w:ascii="Arial" w:hAnsi="Arial"/>
          <w:sz w:val="22"/>
          <w:szCs w:val="22"/>
        </w:rPr>
      </w:pPr>
      <w:r w:rsidRPr="009A215A">
        <w:rPr>
          <w:rFonts w:ascii="Arial" w:hAnsi="Arial"/>
          <w:sz w:val="22"/>
          <w:szCs w:val="22"/>
        </w:rPr>
        <w:t>The proposed listing and restriction criteria were not appropriate, as the requested indications may be broadly interpreted and administered by clinicians. The NPWP raised concerns over the risk of use outside of the restrictions.</w:t>
      </w:r>
    </w:p>
    <w:p w:rsidR="009A215A" w:rsidRPr="009A215A" w:rsidRDefault="009A215A" w:rsidP="00C73915">
      <w:pPr>
        <w:pStyle w:val="ListParagraph"/>
        <w:numPr>
          <w:ilvl w:val="0"/>
          <w:numId w:val="15"/>
        </w:numPr>
        <w:spacing w:before="0" w:after="0"/>
        <w:ind w:right="-46"/>
        <w:contextualSpacing w:val="0"/>
        <w:jc w:val="both"/>
        <w:rPr>
          <w:rFonts w:ascii="Arial" w:hAnsi="Arial"/>
          <w:sz w:val="22"/>
          <w:szCs w:val="22"/>
        </w:rPr>
      </w:pPr>
      <w:r w:rsidRPr="009A215A">
        <w:rPr>
          <w:rFonts w:ascii="Arial" w:hAnsi="Arial"/>
          <w:sz w:val="22"/>
          <w:szCs w:val="22"/>
        </w:rPr>
        <w:t>The comparator, ProZero</w:t>
      </w:r>
      <w:r w:rsidRPr="009A215A">
        <w:rPr>
          <w:rFonts w:ascii="Arial" w:hAnsi="Arial"/>
          <w:sz w:val="22"/>
          <w:szCs w:val="22"/>
          <w:vertAlign w:val="superscript"/>
        </w:rPr>
        <w:t>®</w:t>
      </w:r>
      <w:r w:rsidRPr="009A215A">
        <w:rPr>
          <w:rFonts w:ascii="Arial" w:hAnsi="Arial"/>
          <w:sz w:val="22"/>
          <w:szCs w:val="22"/>
        </w:rPr>
        <w:t>, was considered inappropriate as it contains fats while the product does not. Instead, the NPWP noted that Poly-Joule</w:t>
      </w:r>
      <w:r w:rsidRPr="009A215A">
        <w:rPr>
          <w:rFonts w:ascii="Arial" w:hAnsi="Arial"/>
          <w:sz w:val="22"/>
          <w:szCs w:val="22"/>
          <w:vertAlign w:val="superscript"/>
        </w:rPr>
        <w:t>®</w:t>
      </w:r>
      <w:r w:rsidRPr="009A215A">
        <w:rPr>
          <w:rFonts w:ascii="Arial" w:hAnsi="Arial"/>
          <w:sz w:val="22"/>
          <w:szCs w:val="22"/>
        </w:rPr>
        <w:t xml:space="preserve"> and Carb Plus</w:t>
      </w:r>
      <w:r w:rsidRPr="009A215A">
        <w:rPr>
          <w:rFonts w:ascii="Arial" w:hAnsi="Arial"/>
          <w:sz w:val="22"/>
          <w:szCs w:val="22"/>
          <w:vertAlign w:val="superscript"/>
        </w:rPr>
        <w:t>®</w:t>
      </w:r>
      <w:r w:rsidRPr="009A215A">
        <w:rPr>
          <w:rFonts w:ascii="Arial" w:hAnsi="Arial"/>
          <w:sz w:val="22"/>
          <w:szCs w:val="22"/>
        </w:rPr>
        <w:t xml:space="preserve"> were more suitable, due to their wide use in patients with conditions related to the sponsor’s proposed indications. While not listed on the PBS, Poly-Joule</w:t>
      </w:r>
      <w:r w:rsidRPr="009A215A">
        <w:rPr>
          <w:rFonts w:ascii="Arial" w:hAnsi="Arial"/>
          <w:sz w:val="22"/>
          <w:szCs w:val="22"/>
          <w:vertAlign w:val="superscript"/>
        </w:rPr>
        <w:t>®</w:t>
      </w:r>
      <w:r w:rsidRPr="009A215A">
        <w:rPr>
          <w:rFonts w:ascii="Arial" w:hAnsi="Arial"/>
          <w:sz w:val="22"/>
          <w:szCs w:val="22"/>
        </w:rPr>
        <w:t xml:space="preserve"> and Carb Plus</w:t>
      </w:r>
      <w:r w:rsidRPr="009A215A">
        <w:rPr>
          <w:rFonts w:ascii="Arial" w:hAnsi="Arial"/>
          <w:sz w:val="22"/>
          <w:szCs w:val="22"/>
          <w:vertAlign w:val="superscript"/>
        </w:rPr>
        <w:t>®</w:t>
      </w:r>
      <w:r w:rsidRPr="009A215A">
        <w:rPr>
          <w:rFonts w:ascii="Arial" w:hAnsi="Arial"/>
          <w:sz w:val="22"/>
          <w:szCs w:val="22"/>
        </w:rPr>
        <w:t xml:space="preserve"> are available over the counter (OTC) at a significantly lower price than the proposed comparator, and are of a similar composition to the SOS</w:t>
      </w:r>
      <w:r w:rsidRPr="009A215A">
        <w:rPr>
          <w:rFonts w:ascii="Arial" w:hAnsi="Arial"/>
          <w:sz w:val="22"/>
          <w:szCs w:val="22"/>
          <w:vertAlign w:val="superscript"/>
        </w:rPr>
        <w:t xml:space="preserve">® </w:t>
      </w:r>
      <w:r w:rsidRPr="009A215A">
        <w:rPr>
          <w:rFonts w:ascii="Arial" w:hAnsi="Arial"/>
          <w:sz w:val="22"/>
          <w:szCs w:val="22"/>
        </w:rPr>
        <w:t xml:space="preserve">formulas. </w:t>
      </w:r>
    </w:p>
    <w:p w:rsidR="009A215A" w:rsidRPr="009A215A" w:rsidRDefault="009A215A" w:rsidP="00C73915">
      <w:pPr>
        <w:pStyle w:val="ListParagraph"/>
        <w:numPr>
          <w:ilvl w:val="0"/>
          <w:numId w:val="15"/>
        </w:numPr>
        <w:spacing w:before="0" w:after="0"/>
        <w:ind w:right="-46"/>
        <w:contextualSpacing w:val="0"/>
        <w:jc w:val="both"/>
        <w:rPr>
          <w:rFonts w:ascii="Arial" w:hAnsi="Arial"/>
          <w:sz w:val="22"/>
          <w:szCs w:val="22"/>
        </w:rPr>
      </w:pPr>
      <w:r>
        <w:rPr>
          <w:rFonts w:ascii="Arial" w:hAnsi="Arial"/>
          <w:sz w:val="22"/>
          <w:szCs w:val="22"/>
        </w:rPr>
        <w:t>Based on the NPWP’s clinical experience,</w:t>
      </w:r>
      <w:r w:rsidRPr="009A215A">
        <w:rPr>
          <w:rFonts w:ascii="Arial" w:hAnsi="Arial"/>
          <w:sz w:val="22"/>
          <w:szCs w:val="22"/>
        </w:rPr>
        <w:t xml:space="preserve"> the sponsor had underestimated the number of patients expected to use the treatment per year. The NPWP estimated the usage to be much higher, which could lead to a higher cost to the Government than the sponsor predicted. </w:t>
      </w:r>
    </w:p>
    <w:p w:rsidR="009A215A" w:rsidRDefault="009A215A" w:rsidP="00C73915">
      <w:pPr>
        <w:pStyle w:val="ListParagraph"/>
        <w:numPr>
          <w:ilvl w:val="0"/>
          <w:numId w:val="15"/>
        </w:numPr>
        <w:spacing w:before="0" w:after="0"/>
        <w:ind w:right="-46"/>
        <w:contextualSpacing w:val="0"/>
        <w:jc w:val="both"/>
        <w:rPr>
          <w:rFonts w:ascii="Arial" w:hAnsi="Arial"/>
          <w:sz w:val="22"/>
          <w:szCs w:val="22"/>
        </w:rPr>
      </w:pPr>
      <w:r w:rsidRPr="009A215A">
        <w:rPr>
          <w:rFonts w:ascii="Arial" w:hAnsi="Arial"/>
          <w:sz w:val="22"/>
          <w:szCs w:val="22"/>
        </w:rPr>
        <w:t xml:space="preserve">A potentially high risk of wastage could occur under the proposed maximum quantity (MQ) requested by the sponsor. The sponsor assumed patients would use 4 cartons of 30 sachets per month, but the NPWP noted that patients are likely to use the product sporadically due to combining different brands of carbohydrate formulae. There is also an added risk of the short shelf life of the sponsor’s product, as well as similar products. The NPWP also raised concerns that the product is likely to expire before the patient consumes the entire proposed MQ. </w:t>
      </w:r>
    </w:p>
    <w:p w:rsidR="00C73915" w:rsidRPr="009A215A" w:rsidRDefault="00C73915" w:rsidP="00C73915">
      <w:pPr>
        <w:pStyle w:val="ListParagraph"/>
        <w:spacing w:before="0" w:after="0"/>
        <w:ind w:left="1080" w:firstLine="0"/>
        <w:contextualSpacing w:val="0"/>
        <w:jc w:val="both"/>
        <w:rPr>
          <w:rFonts w:ascii="Arial" w:hAnsi="Arial"/>
          <w:sz w:val="22"/>
          <w:szCs w:val="22"/>
        </w:rPr>
      </w:pPr>
    </w:p>
    <w:p w:rsidR="009A215A" w:rsidRDefault="009A215A" w:rsidP="00C73915">
      <w:pPr>
        <w:pStyle w:val="ListParagraph"/>
        <w:keepNext/>
        <w:keepLines/>
        <w:numPr>
          <w:ilvl w:val="1"/>
          <w:numId w:val="3"/>
        </w:numPr>
        <w:spacing w:before="0" w:after="0"/>
        <w:ind w:right="0"/>
        <w:contextualSpacing w:val="0"/>
        <w:jc w:val="both"/>
        <w:rPr>
          <w:rFonts w:ascii="Arial" w:hAnsi="Arial"/>
          <w:sz w:val="22"/>
          <w:szCs w:val="22"/>
          <w:lang w:eastAsia="en-AU"/>
        </w:rPr>
      </w:pPr>
      <w:r>
        <w:rPr>
          <w:rFonts w:ascii="Arial" w:hAnsi="Arial"/>
          <w:sz w:val="22"/>
          <w:szCs w:val="22"/>
          <w:lang w:eastAsia="en-AU"/>
        </w:rPr>
        <w:t>T</w:t>
      </w:r>
      <w:r w:rsidRPr="009A215A">
        <w:rPr>
          <w:rFonts w:ascii="Arial" w:hAnsi="Arial"/>
          <w:sz w:val="22"/>
          <w:szCs w:val="22"/>
          <w:lang w:eastAsia="en-AU"/>
        </w:rPr>
        <w:t>he NPWP did not support the listing of the SOS</w:t>
      </w:r>
      <w:r w:rsidRPr="009A215A">
        <w:rPr>
          <w:rFonts w:ascii="Arial" w:hAnsi="Arial"/>
          <w:sz w:val="22"/>
          <w:szCs w:val="22"/>
          <w:vertAlign w:val="superscript"/>
          <w:lang w:eastAsia="en-AU"/>
        </w:rPr>
        <w:t>®</w:t>
      </w:r>
      <w:r w:rsidRPr="009A215A">
        <w:rPr>
          <w:rFonts w:ascii="Arial" w:hAnsi="Arial"/>
          <w:sz w:val="22"/>
          <w:szCs w:val="22"/>
          <w:lang w:eastAsia="en-AU"/>
        </w:rPr>
        <w:t xml:space="preserve"> products on the basis of an inappropriate comparator, lack of clarity around the proposed indication, high risk of use outside the restriction, and the risk of wastage.</w:t>
      </w:r>
    </w:p>
    <w:p w:rsidR="00C73915" w:rsidRPr="005619E1" w:rsidRDefault="00C73915" w:rsidP="00C73915">
      <w:pPr>
        <w:pStyle w:val="ListParagraph"/>
        <w:keepNext/>
        <w:keepLines/>
        <w:spacing w:before="0" w:after="0"/>
        <w:ind w:right="0" w:firstLine="0"/>
        <w:contextualSpacing w:val="0"/>
        <w:jc w:val="both"/>
        <w:rPr>
          <w:rFonts w:ascii="Arial" w:hAnsi="Arial"/>
          <w:sz w:val="22"/>
          <w:szCs w:val="22"/>
          <w:lang w:eastAsia="en-AU"/>
        </w:rPr>
      </w:pPr>
    </w:p>
    <w:p w:rsidR="00DC7EC6" w:rsidRPr="00200A5D" w:rsidRDefault="00DC7EC6" w:rsidP="00C73915">
      <w:pPr>
        <w:keepNext/>
        <w:spacing w:before="0" w:after="0"/>
        <w:ind w:left="0" w:right="0" w:firstLine="0"/>
        <w:outlineLvl w:val="1"/>
        <w:rPr>
          <w:rFonts w:ascii="Arial" w:hAnsi="Arial"/>
          <w:b/>
          <w:i/>
          <w:sz w:val="22"/>
          <w:lang w:eastAsia="en-AU"/>
        </w:rPr>
      </w:pPr>
      <w:r w:rsidRPr="00200A5D">
        <w:rPr>
          <w:rFonts w:ascii="Arial" w:hAnsi="Arial"/>
          <w:b/>
          <w:i/>
          <w:sz w:val="22"/>
          <w:lang w:eastAsia="en-AU"/>
        </w:rPr>
        <w:t>Estimated PBS usage &amp; financial implications</w:t>
      </w:r>
    </w:p>
    <w:p w:rsidR="007119DC" w:rsidRDefault="007F5BC1" w:rsidP="00C73915">
      <w:pPr>
        <w:numPr>
          <w:ilvl w:val="1"/>
          <w:numId w:val="3"/>
        </w:numPr>
        <w:spacing w:after="0"/>
        <w:ind w:right="0"/>
        <w:jc w:val="both"/>
        <w:rPr>
          <w:rFonts w:ascii="Arial" w:hAnsi="Arial"/>
          <w:iCs/>
          <w:sz w:val="22"/>
          <w:szCs w:val="22"/>
          <w:lang w:eastAsia="en-AU"/>
        </w:rPr>
      </w:pPr>
      <w:r w:rsidRPr="007119DC">
        <w:rPr>
          <w:rFonts w:ascii="Arial" w:hAnsi="Arial"/>
          <w:iCs/>
          <w:sz w:val="22"/>
          <w:szCs w:val="22"/>
          <w:lang w:eastAsia="en-AU"/>
        </w:rPr>
        <w:t>T</w:t>
      </w:r>
      <w:r w:rsidR="00212CAC" w:rsidRPr="007119DC">
        <w:rPr>
          <w:rFonts w:ascii="Arial" w:hAnsi="Arial"/>
          <w:iCs/>
          <w:sz w:val="22"/>
          <w:szCs w:val="22"/>
          <w:lang w:eastAsia="en-AU"/>
        </w:rPr>
        <w:t>he</w:t>
      </w:r>
      <w:r w:rsidR="007119DC" w:rsidRPr="007119DC">
        <w:rPr>
          <w:rFonts w:ascii="Arial" w:hAnsi="Arial"/>
          <w:iCs/>
          <w:sz w:val="22"/>
          <w:szCs w:val="22"/>
          <w:lang w:eastAsia="en-AU"/>
        </w:rPr>
        <w:t xml:space="preserve"> DPMQ</w:t>
      </w:r>
      <w:r w:rsidR="00212CAC" w:rsidRPr="007119DC">
        <w:rPr>
          <w:rFonts w:ascii="Arial" w:hAnsi="Arial"/>
          <w:iCs/>
          <w:sz w:val="22"/>
          <w:szCs w:val="22"/>
          <w:lang w:eastAsia="en-AU"/>
        </w:rPr>
        <w:t xml:space="preserve"> </w:t>
      </w:r>
      <w:r w:rsidR="007119DC" w:rsidRPr="007119DC">
        <w:rPr>
          <w:rFonts w:ascii="Arial" w:hAnsi="Arial"/>
          <w:iCs/>
          <w:sz w:val="22"/>
          <w:szCs w:val="22"/>
          <w:lang w:eastAsia="en-AU"/>
        </w:rPr>
        <w:t xml:space="preserve">for the </w:t>
      </w:r>
      <w:r w:rsidR="00212CAC" w:rsidRPr="007119DC">
        <w:rPr>
          <w:rFonts w:ascii="Arial" w:hAnsi="Arial"/>
          <w:sz w:val="22"/>
          <w:szCs w:val="22"/>
          <w:lang w:eastAsia="en-AU"/>
        </w:rPr>
        <w:t>SOS</w:t>
      </w:r>
      <w:r w:rsidR="00212CAC" w:rsidRPr="007119DC">
        <w:rPr>
          <w:rFonts w:ascii="Arial" w:hAnsi="Arial" w:cs="Arial"/>
          <w:sz w:val="22"/>
          <w:szCs w:val="22"/>
          <w:vertAlign w:val="superscript"/>
          <w:lang w:eastAsia="en-AU"/>
        </w:rPr>
        <w:t>®</w:t>
      </w:r>
      <w:r w:rsidR="00212CAC" w:rsidRPr="007119DC">
        <w:rPr>
          <w:rFonts w:ascii="Arial" w:hAnsi="Arial"/>
          <w:sz w:val="22"/>
          <w:szCs w:val="22"/>
          <w:lang w:eastAsia="en-AU"/>
        </w:rPr>
        <w:t xml:space="preserve"> products</w:t>
      </w:r>
      <w:r w:rsidR="007119DC" w:rsidRPr="007119DC">
        <w:rPr>
          <w:rFonts w:ascii="Arial" w:hAnsi="Arial"/>
          <w:sz w:val="22"/>
          <w:szCs w:val="22"/>
          <w:lang w:eastAsia="en-AU"/>
        </w:rPr>
        <w:t xml:space="preserve"> ($</w:t>
      </w:r>
      <w:r w:rsidR="002C73B0">
        <w:rPr>
          <w:rFonts w:ascii="Arial" w:hAnsi="Arial"/>
          <w:noProof/>
          <w:color w:val="000000"/>
          <w:sz w:val="22"/>
          <w:szCs w:val="22"/>
          <w:highlight w:val="black"/>
          <w:lang w:eastAsia="en-AU"/>
        </w:rPr>
        <w:t>''''''''''''''''''</w:t>
      </w:r>
      <w:r w:rsidR="007119DC" w:rsidRPr="007119DC">
        <w:rPr>
          <w:rFonts w:ascii="Arial" w:hAnsi="Arial"/>
          <w:sz w:val="22"/>
          <w:szCs w:val="22"/>
          <w:lang w:eastAsia="en-AU"/>
        </w:rPr>
        <w:t xml:space="preserve"> for SOS 10</w:t>
      </w:r>
      <w:r w:rsidR="00094FA1" w:rsidRPr="00EE4A1D">
        <w:rPr>
          <w:rFonts w:ascii="Arial" w:hAnsi="Arial" w:cs="Arial"/>
          <w:i/>
          <w:sz w:val="22"/>
          <w:szCs w:val="22"/>
          <w:vertAlign w:val="superscript"/>
          <w:lang w:eastAsia="en-AU"/>
        </w:rPr>
        <w:t>®</w:t>
      </w:r>
      <w:r w:rsidR="003E1C65">
        <w:rPr>
          <w:rFonts w:ascii="Arial" w:hAnsi="Arial"/>
          <w:sz w:val="22"/>
          <w:szCs w:val="22"/>
          <w:lang w:eastAsia="en-AU"/>
        </w:rPr>
        <w:t>,</w:t>
      </w:r>
      <w:r w:rsidR="007119DC" w:rsidRPr="007119DC">
        <w:rPr>
          <w:rFonts w:ascii="Arial" w:hAnsi="Arial"/>
          <w:sz w:val="22"/>
          <w:szCs w:val="22"/>
          <w:lang w:eastAsia="en-AU"/>
        </w:rPr>
        <w:t xml:space="preserve"> $</w:t>
      </w:r>
      <w:r w:rsidR="002C73B0">
        <w:rPr>
          <w:rFonts w:ascii="Arial" w:hAnsi="Arial"/>
          <w:noProof/>
          <w:color w:val="000000"/>
          <w:sz w:val="22"/>
          <w:szCs w:val="22"/>
          <w:highlight w:val="black"/>
          <w:lang w:eastAsia="en-AU"/>
        </w:rPr>
        <w:t>''''''''''''''''''</w:t>
      </w:r>
      <w:r w:rsidR="007119DC" w:rsidRPr="007119DC">
        <w:rPr>
          <w:rFonts w:ascii="Arial" w:hAnsi="Arial"/>
          <w:sz w:val="22"/>
          <w:szCs w:val="22"/>
          <w:lang w:eastAsia="en-AU"/>
        </w:rPr>
        <w:t xml:space="preserve"> for SOS 15</w:t>
      </w:r>
      <w:r w:rsidR="007119DC" w:rsidRPr="007119DC">
        <w:rPr>
          <w:rFonts w:ascii="Arial" w:hAnsi="Arial" w:cs="Arial"/>
          <w:sz w:val="22"/>
          <w:szCs w:val="22"/>
          <w:vertAlign w:val="superscript"/>
          <w:lang w:eastAsia="en-AU"/>
        </w:rPr>
        <w:t>®</w:t>
      </w:r>
      <w:r w:rsidR="007119DC" w:rsidRPr="007119DC">
        <w:rPr>
          <w:rFonts w:ascii="Arial" w:hAnsi="Arial" w:cs="Arial"/>
          <w:sz w:val="22"/>
          <w:szCs w:val="22"/>
          <w:lang w:eastAsia="en-AU"/>
        </w:rPr>
        <w:t>,</w:t>
      </w:r>
      <w:r w:rsidR="007119DC" w:rsidRPr="007119DC">
        <w:rPr>
          <w:rFonts w:ascii="Arial" w:hAnsi="Arial"/>
          <w:sz w:val="22"/>
          <w:szCs w:val="22"/>
          <w:lang w:eastAsia="en-AU"/>
        </w:rPr>
        <w:t xml:space="preserve"> $</w:t>
      </w:r>
      <w:r w:rsidR="002C73B0">
        <w:rPr>
          <w:rFonts w:ascii="Arial" w:hAnsi="Arial"/>
          <w:noProof/>
          <w:color w:val="000000"/>
          <w:sz w:val="22"/>
          <w:szCs w:val="22"/>
          <w:highlight w:val="black"/>
          <w:lang w:eastAsia="en-AU"/>
        </w:rPr>
        <w:t>'''''''''''''''</w:t>
      </w:r>
      <w:r w:rsidR="007119DC" w:rsidRPr="007119DC">
        <w:rPr>
          <w:rFonts w:ascii="Arial" w:hAnsi="Arial"/>
          <w:sz w:val="22"/>
          <w:szCs w:val="22"/>
          <w:lang w:eastAsia="en-AU"/>
        </w:rPr>
        <w:t xml:space="preserve"> for SOS 20</w:t>
      </w:r>
      <w:r w:rsidR="007119DC" w:rsidRPr="007119DC">
        <w:rPr>
          <w:rFonts w:ascii="Arial" w:hAnsi="Arial" w:cs="Arial"/>
          <w:sz w:val="22"/>
          <w:szCs w:val="22"/>
          <w:vertAlign w:val="superscript"/>
          <w:lang w:eastAsia="en-AU"/>
        </w:rPr>
        <w:t>®</w:t>
      </w:r>
      <w:r w:rsidR="007119DC" w:rsidRPr="007119DC">
        <w:rPr>
          <w:rFonts w:ascii="Arial" w:hAnsi="Arial"/>
          <w:sz w:val="22"/>
          <w:szCs w:val="22"/>
          <w:lang w:eastAsia="en-AU"/>
        </w:rPr>
        <w:t>, and $</w:t>
      </w:r>
      <w:r w:rsidR="002C73B0">
        <w:rPr>
          <w:rFonts w:ascii="Arial" w:hAnsi="Arial"/>
          <w:noProof/>
          <w:color w:val="000000"/>
          <w:sz w:val="22"/>
          <w:szCs w:val="22"/>
          <w:highlight w:val="black"/>
          <w:lang w:eastAsia="en-AU"/>
        </w:rPr>
        <w:t>''''''''''''''''''</w:t>
      </w:r>
      <w:r w:rsidR="007119DC" w:rsidRPr="007119DC">
        <w:rPr>
          <w:rFonts w:ascii="Arial" w:hAnsi="Arial"/>
          <w:sz w:val="22"/>
          <w:szCs w:val="22"/>
          <w:lang w:eastAsia="en-AU"/>
        </w:rPr>
        <w:t xml:space="preserve"> for SOS 25</w:t>
      </w:r>
      <w:r w:rsidR="007119DC" w:rsidRPr="007119DC">
        <w:rPr>
          <w:rFonts w:ascii="Arial" w:hAnsi="Arial" w:cs="Arial"/>
          <w:sz w:val="22"/>
          <w:szCs w:val="22"/>
          <w:vertAlign w:val="superscript"/>
          <w:lang w:eastAsia="en-AU"/>
        </w:rPr>
        <w:t>®</w:t>
      </w:r>
      <w:r w:rsidR="007119DC" w:rsidRPr="007119DC">
        <w:rPr>
          <w:rFonts w:ascii="Arial" w:hAnsi="Arial" w:cs="Arial"/>
          <w:sz w:val="22"/>
          <w:szCs w:val="22"/>
          <w:lang w:eastAsia="en-AU"/>
        </w:rPr>
        <w:t>)</w:t>
      </w:r>
      <w:r w:rsidR="00212CAC" w:rsidRPr="007119DC">
        <w:rPr>
          <w:rFonts w:ascii="Arial" w:hAnsi="Arial"/>
          <w:iCs/>
          <w:sz w:val="22"/>
          <w:szCs w:val="22"/>
          <w:lang w:eastAsia="en-AU"/>
        </w:rPr>
        <w:t xml:space="preserve"> </w:t>
      </w:r>
      <w:r w:rsidR="007119DC" w:rsidRPr="007119DC">
        <w:rPr>
          <w:rFonts w:ascii="Arial" w:hAnsi="Arial"/>
          <w:iCs/>
          <w:sz w:val="22"/>
          <w:szCs w:val="22"/>
          <w:lang w:eastAsia="en-AU"/>
        </w:rPr>
        <w:t>were derived based on an equivalent cost</w:t>
      </w:r>
      <w:r w:rsidR="00212CAC" w:rsidRPr="007119DC">
        <w:rPr>
          <w:rFonts w:ascii="Arial" w:hAnsi="Arial"/>
          <w:iCs/>
          <w:sz w:val="22"/>
          <w:szCs w:val="22"/>
          <w:lang w:eastAsia="en-AU"/>
        </w:rPr>
        <w:t xml:space="preserve"> per kilojoule</w:t>
      </w:r>
      <w:r w:rsidR="00D51628" w:rsidRPr="007119DC">
        <w:rPr>
          <w:rFonts w:ascii="Arial" w:hAnsi="Arial"/>
          <w:iCs/>
          <w:sz w:val="22"/>
          <w:szCs w:val="22"/>
          <w:lang w:eastAsia="en-AU"/>
        </w:rPr>
        <w:t xml:space="preserve"> of energy</w:t>
      </w:r>
      <w:r w:rsidR="007119DC" w:rsidRPr="007119DC">
        <w:rPr>
          <w:rFonts w:ascii="Arial" w:hAnsi="Arial"/>
          <w:iCs/>
          <w:sz w:val="22"/>
          <w:szCs w:val="22"/>
          <w:lang w:eastAsia="en-AU"/>
        </w:rPr>
        <w:t xml:space="preserve"> compared with the comparator ($</w:t>
      </w:r>
      <w:r w:rsidR="007119DC" w:rsidRPr="0069644A">
        <w:rPr>
          <w:rFonts w:ascii="Arial" w:hAnsi="Arial"/>
          <w:iCs/>
          <w:sz w:val="22"/>
          <w:szCs w:val="22"/>
          <w:lang w:eastAsia="en-AU"/>
        </w:rPr>
        <w:t>0.0039</w:t>
      </w:r>
      <w:r w:rsidR="007119DC" w:rsidRPr="007119DC">
        <w:rPr>
          <w:rFonts w:ascii="Arial" w:hAnsi="Arial"/>
          <w:iCs/>
          <w:sz w:val="22"/>
          <w:szCs w:val="22"/>
          <w:lang w:eastAsia="en-AU"/>
        </w:rPr>
        <w:t>)</w:t>
      </w:r>
      <w:r w:rsidR="00212B6E" w:rsidRPr="007119DC">
        <w:rPr>
          <w:rFonts w:ascii="Arial" w:hAnsi="Arial"/>
          <w:iCs/>
          <w:sz w:val="22"/>
          <w:szCs w:val="22"/>
          <w:lang w:eastAsia="en-AU"/>
        </w:rPr>
        <w:t xml:space="preserve">. </w:t>
      </w:r>
    </w:p>
    <w:p w:rsidR="000A31BE" w:rsidRDefault="007119DC" w:rsidP="00C73915">
      <w:pPr>
        <w:numPr>
          <w:ilvl w:val="1"/>
          <w:numId w:val="3"/>
        </w:numPr>
        <w:spacing w:after="0"/>
        <w:ind w:right="0"/>
        <w:jc w:val="both"/>
        <w:rPr>
          <w:rFonts w:ascii="Arial" w:hAnsi="Arial"/>
          <w:iCs/>
          <w:sz w:val="22"/>
          <w:szCs w:val="22"/>
          <w:lang w:eastAsia="en-AU"/>
        </w:rPr>
      </w:pPr>
      <w:r w:rsidRPr="00392711">
        <w:rPr>
          <w:rFonts w:ascii="Arial" w:hAnsi="Arial"/>
          <w:iCs/>
          <w:sz w:val="22"/>
          <w:szCs w:val="22"/>
          <w:lang w:eastAsia="en-AU"/>
        </w:rPr>
        <w:t>T</w:t>
      </w:r>
      <w:r w:rsidR="00392711" w:rsidRPr="00392711">
        <w:rPr>
          <w:rFonts w:ascii="Arial" w:hAnsi="Arial"/>
          <w:iCs/>
          <w:sz w:val="22"/>
          <w:szCs w:val="22"/>
          <w:lang w:eastAsia="en-AU"/>
        </w:rPr>
        <w:t>he comparator received</w:t>
      </w:r>
      <w:r w:rsidRPr="00392711">
        <w:rPr>
          <w:rFonts w:ascii="Arial" w:hAnsi="Arial"/>
          <w:iCs/>
          <w:sz w:val="22"/>
          <w:szCs w:val="22"/>
          <w:lang w:eastAsia="en-AU"/>
        </w:rPr>
        <w:t xml:space="preserve"> </w:t>
      </w:r>
      <w:r w:rsidR="00392711" w:rsidRPr="00392711">
        <w:rPr>
          <w:rFonts w:ascii="Arial" w:hAnsi="Arial"/>
          <w:iCs/>
          <w:sz w:val="22"/>
          <w:szCs w:val="22"/>
          <w:lang w:eastAsia="en-AU"/>
        </w:rPr>
        <w:t>a</w:t>
      </w:r>
      <w:r w:rsidRPr="00392711">
        <w:rPr>
          <w:rFonts w:ascii="Arial" w:hAnsi="Arial"/>
          <w:iCs/>
          <w:sz w:val="22"/>
          <w:szCs w:val="22"/>
          <w:lang w:eastAsia="en-AU"/>
        </w:rPr>
        <w:t xml:space="preserve"> statutory F1 5% price</w:t>
      </w:r>
      <w:r w:rsidR="00392711">
        <w:rPr>
          <w:rFonts w:ascii="Arial" w:hAnsi="Arial"/>
          <w:iCs/>
          <w:sz w:val="22"/>
          <w:szCs w:val="22"/>
          <w:lang w:eastAsia="en-AU"/>
        </w:rPr>
        <w:t xml:space="preserve"> decrease, effective</w:t>
      </w:r>
      <w:r w:rsidRPr="00392711">
        <w:rPr>
          <w:rFonts w:ascii="Arial" w:hAnsi="Arial"/>
          <w:iCs/>
          <w:sz w:val="22"/>
          <w:szCs w:val="22"/>
          <w:lang w:eastAsia="en-AU"/>
        </w:rPr>
        <w:t xml:space="preserve"> 1 April 2016. The sponsor has submitted a request to reverse the price decrease </w:t>
      </w:r>
      <w:r w:rsidR="00392711">
        <w:rPr>
          <w:rFonts w:ascii="Arial" w:hAnsi="Arial"/>
          <w:iCs/>
          <w:sz w:val="22"/>
          <w:szCs w:val="22"/>
          <w:lang w:eastAsia="en-AU"/>
        </w:rPr>
        <w:t>for the comparator</w:t>
      </w:r>
      <w:r w:rsidR="001B595B">
        <w:rPr>
          <w:rFonts w:ascii="Arial" w:hAnsi="Arial"/>
          <w:iCs/>
          <w:sz w:val="22"/>
          <w:szCs w:val="22"/>
          <w:lang w:eastAsia="en-AU"/>
        </w:rPr>
        <w:t>,</w:t>
      </w:r>
      <w:r w:rsidR="00392711">
        <w:rPr>
          <w:rFonts w:ascii="Arial" w:hAnsi="Arial"/>
          <w:iCs/>
          <w:sz w:val="22"/>
          <w:szCs w:val="22"/>
          <w:lang w:eastAsia="en-AU"/>
        </w:rPr>
        <w:t xml:space="preserve"> and other</w:t>
      </w:r>
      <w:r w:rsidRPr="00392711">
        <w:rPr>
          <w:rFonts w:ascii="Arial" w:hAnsi="Arial"/>
          <w:iCs/>
          <w:sz w:val="22"/>
          <w:szCs w:val="22"/>
          <w:lang w:eastAsia="en-AU"/>
        </w:rPr>
        <w:t xml:space="preserve"> affected brands</w:t>
      </w:r>
      <w:r w:rsidR="001B595B">
        <w:rPr>
          <w:rFonts w:ascii="Arial" w:hAnsi="Arial"/>
          <w:iCs/>
          <w:sz w:val="22"/>
          <w:szCs w:val="22"/>
          <w:lang w:eastAsia="en-AU"/>
        </w:rPr>
        <w:t>,</w:t>
      </w:r>
      <w:r w:rsidR="00DC2AFB">
        <w:rPr>
          <w:rFonts w:ascii="Arial" w:hAnsi="Arial"/>
          <w:iCs/>
          <w:sz w:val="22"/>
          <w:szCs w:val="22"/>
          <w:lang w:eastAsia="en-AU"/>
        </w:rPr>
        <w:t xml:space="preserve"> for consideration at the November PBAC meeting (item </w:t>
      </w:r>
      <w:r w:rsidR="005E16BE">
        <w:rPr>
          <w:rFonts w:ascii="Arial" w:hAnsi="Arial"/>
          <w:iCs/>
          <w:sz w:val="22"/>
          <w:szCs w:val="22"/>
          <w:lang w:eastAsia="en-AU"/>
        </w:rPr>
        <w:t>8.02</w:t>
      </w:r>
      <w:r w:rsidR="00DC2AFB">
        <w:rPr>
          <w:rFonts w:ascii="Arial" w:hAnsi="Arial"/>
          <w:iCs/>
          <w:sz w:val="22"/>
          <w:szCs w:val="22"/>
          <w:lang w:eastAsia="en-AU"/>
        </w:rPr>
        <w:t>)</w:t>
      </w:r>
      <w:r w:rsidRPr="00392711">
        <w:rPr>
          <w:rFonts w:ascii="Arial" w:hAnsi="Arial"/>
          <w:iCs/>
          <w:sz w:val="22"/>
          <w:szCs w:val="22"/>
          <w:lang w:eastAsia="en-AU"/>
        </w:rPr>
        <w:t xml:space="preserve">. The sponsor has therefore </w:t>
      </w:r>
      <w:r w:rsidR="00392711" w:rsidRPr="00392711">
        <w:rPr>
          <w:rFonts w:ascii="Arial" w:hAnsi="Arial"/>
          <w:iCs/>
          <w:sz w:val="22"/>
          <w:szCs w:val="22"/>
          <w:lang w:eastAsia="en-AU"/>
        </w:rPr>
        <w:t>calculated the</w:t>
      </w:r>
      <w:r w:rsidR="00392711">
        <w:rPr>
          <w:rFonts w:ascii="Arial" w:hAnsi="Arial"/>
          <w:iCs/>
          <w:sz w:val="22"/>
          <w:szCs w:val="22"/>
          <w:lang w:eastAsia="en-AU"/>
        </w:rPr>
        <w:t xml:space="preserve"> comparator’s</w:t>
      </w:r>
      <w:r w:rsidR="00392711" w:rsidRPr="00392711">
        <w:rPr>
          <w:rFonts w:ascii="Arial" w:hAnsi="Arial"/>
          <w:iCs/>
          <w:sz w:val="22"/>
          <w:szCs w:val="22"/>
          <w:lang w:eastAsia="en-AU"/>
        </w:rPr>
        <w:t xml:space="preserve"> cost per kJ based on </w:t>
      </w:r>
      <w:r w:rsidR="00392711">
        <w:rPr>
          <w:rFonts w:ascii="Arial" w:hAnsi="Arial"/>
          <w:iCs/>
          <w:sz w:val="22"/>
          <w:szCs w:val="22"/>
          <w:lang w:eastAsia="en-AU"/>
        </w:rPr>
        <w:t xml:space="preserve">the </w:t>
      </w:r>
      <w:r w:rsidR="00392711" w:rsidRPr="00392711">
        <w:rPr>
          <w:rFonts w:ascii="Arial" w:hAnsi="Arial"/>
          <w:iCs/>
          <w:sz w:val="22"/>
          <w:szCs w:val="22"/>
          <w:lang w:eastAsia="en-AU"/>
        </w:rPr>
        <w:t>AEMP from 1 March 2016; a date prior to the price decrease.</w:t>
      </w:r>
    </w:p>
    <w:p w:rsidR="007119DC" w:rsidRPr="005A0490" w:rsidRDefault="000A31BE" w:rsidP="00C73915">
      <w:pPr>
        <w:spacing w:after="0"/>
        <w:ind w:left="720" w:right="0" w:firstLine="0"/>
        <w:jc w:val="both"/>
        <w:rPr>
          <w:rFonts w:ascii="Arial" w:hAnsi="Arial"/>
          <w:iCs/>
          <w:sz w:val="22"/>
          <w:szCs w:val="22"/>
          <w:lang w:eastAsia="en-AU"/>
        </w:rPr>
      </w:pPr>
      <w:r w:rsidRPr="005619E1">
        <w:rPr>
          <w:rFonts w:ascii="Arial" w:hAnsi="Arial"/>
          <w:iCs/>
          <w:sz w:val="22"/>
          <w:szCs w:val="22"/>
          <w:lang w:eastAsia="en-AU"/>
        </w:rPr>
        <w:t>The price per kJ for the comparator under the current AEMP</w:t>
      </w:r>
      <w:r w:rsidR="00886B22" w:rsidRPr="005619E1">
        <w:rPr>
          <w:rFonts w:ascii="Arial" w:hAnsi="Arial"/>
          <w:iCs/>
          <w:sz w:val="22"/>
          <w:szCs w:val="22"/>
          <w:lang w:eastAsia="en-AU"/>
        </w:rPr>
        <w:t xml:space="preserve"> (</w:t>
      </w:r>
      <w:r w:rsidR="003623A1" w:rsidRPr="005619E1">
        <w:rPr>
          <w:rFonts w:ascii="Arial" w:hAnsi="Arial"/>
          <w:iCs/>
          <w:sz w:val="22"/>
          <w:szCs w:val="22"/>
          <w:lang w:eastAsia="en-AU"/>
        </w:rPr>
        <w:t>i.e.</w:t>
      </w:r>
      <w:r w:rsidR="00886B22" w:rsidRPr="005619E1">
        <w:rPr>
          <w:rFonts w:ascii="Arial" w:hAnsi="Arial"/>
          <w:iCs/>
          <w:sz w:val="22"/>
          <w:szCs w:val="22"/>
          <w:lang w:eastAsia="en-AU"/>
        </w:rPr>
        <w:t xml:space="preserve"> post 1 April 2016)</w:t>
      </w:r>
      <w:r w:rsidRPr="005619E1">
        <w:rPr>
          <w:rFonts w:ascii="Arial" w:hAnsi="Arial"/>
          <w:iCs/>
          <w:sz w:val="22"/>
          <w:szCs w:val="22"/>
          <w:lang w:eastAsia="en-AU"/>
        </w:rPr>
        <w:t xml:space="preserve"> was not provided by the sponsor</w:t>
      </w:r>
      <w:r w:rsidR="00B558FE" w:rsidRPr="005619E1">
        <w:rPr>
          <w:rFonts w:ascii="Arial" w:hAnsi="Arial"/>
          <w:iCs/>
          <w:sz w:val="22"/>
          <w:szCs w:val="22"/>
          <w:lang w:eastAsia="en-AU"/>
        </w:rPr>
        <w:t>.</w:t>
      </w:r>
      <w:r w:rsidR="00392711" w:rsidRPr="005A0490">
        <w:rPr>
          <w:rFonts w:ascii="Arial" w:hAnsi="Arial"/>
          <w:iCs/>
          <w:sz w:val="22"/>
          <w:szCs w:val="22"/>
          <w:lang w:eastAsia="en-AU"/>
        </w:rPr>
        <w:t xml:space="preserve"> </w:t>
      </w:r>
    </w:p>
    <w:p w:rsidR="009D01DD" w:rsidRPr="005619E1" w:rsidRDefault="009D01DD" w:rsidP="00C73915">
      <w:pPr>
        <w:spacing w:after="0"/>
        <w:ind w:left="720" w:right="0" w:firstLine="0"/>
        <w:jc w:val="both"/>
        <w:rPr>
          <w:rFonts w:ascii="Arial" w:hAnsi="Arial"/>
          <w:iCs/>
          <w:sz w:val="22"/>
          <w:szCs w:val="22"/>
          <w:lang w:eastAsia="en-AU"/>
        </w:rPr>
      </w:pPr>
      <w:r w:rsidRPr="005619E1">
        <w:rPr>
          <w:rFonts w:ascii="Arial" w:hAnsi="Arial"/>
          <w:iCs/>
          <w:sz w:val="22"/>
          <w:szCs w:val="22"/>
          <w:lang w:eastAsia="en-AU"/>
        </w:rPr>
        <w:t>The Secretariat calculated the price per k</w:t>
      </w:r>
      <w:r w:rsidR="009805B3">
        <w:rPr>
          <w:rFonts w:ascii="Arial" w:hAnsi="Arial"/>
          <w:iCs/>
          <w:sz w:val="22"/>
          <w:szCs w:val="22"/>
          <w:lang w:eastAsia="en-AU"/>
        </w:rPr>
        <w:t>J from the current AEMP for ProZ</w:t>
      </w:r>
      <w:r w:rsidRPr="005619E1">
        <w:rPr>
          <w:rFonts w:ascii="Arial" w:hAnsi="Arial"/>
          <w:iCs/>
          <w:sz w:val="22"/>
          <w:szCs w:val="22"/>
          <w:lang w:eastAsia="en-AU"/>
        </w:rPr>
        <w:t>ero</w:t>
      </w:r>
      <w:r w:rsidR="00094FA1" w:rsidRPr="005619E1">
        <w:rPr>
          <w:rFonts w:ascii="Arial" w:hAnsi="Arial" w:cs="Arial"/>
          <w:sz w:val="22"/>
          <w:szCs w:val="22"/>
          <w:vertAlign w:val="superscript"/>
          <w:lang w:eastAsia="en-AU"/>
        </w:rPr>
        <w:t>®</w:t>
      </w:r>
      <w:r w:rsidRPr="005619E1">
        <w:rPr>
          <w:rFonts w:ascii="Arial" w:hAnsi="Arial"/>
          <w:iCs/>
          <w:sz w:val="22"/>
          <w:szCs w:val="22"/>
          <w:lang w:eastAsia="en-AU"/>
        </w:rPr>
        <w:t xml:space="preserve"> 1 L at ($61.76 </w:t>
      </w:r>
      <w:r w:rsidRPr="005619E1">
        <w:rPr>
          <w:rFonts w:ascii="Arial" w:hAnsi="Arial" w:cs="Arial"/>
          <w:iCs/>
          <w:sz w:val="22"/>
          <w:szCs w:val="22"/>
          <w:lang w:eastAsia="en-AU"/>
        </w:rPr>
        <w:t>÷</w:t>
      </w:r>
      <w:r w:rsidRPr="005619E1">
        <w:rPr>
          <w:rFonts w:ascii="Arial" w:hAnsi="Arial"/>
          <w:iCs/>
          <w:sz w:val="22"/>
          <w:szCs w:val="22"/>
          <w:lang w:eastAsia="en-AU"/>
        </w:rPr>
        <w:t xml:space="preserve"> </w:t>
      </w:r>
      <w:r w:rsidR="004C6A01" w:rsidRPr="005619E1">
        <w:rPr>
          <w:rFonts w:ascii="Arial" w:hAnsi="Arial"/>
          <w:iCs/>
          <w:sz w:val="22"/>
          <w:szCs w:val="22"/>
          <w:lang w:eastAsia="en-AU"/>
        </w:rPr>
        <w:t>2,780 kJ = $0.0037/kJ).</w:t>
      </w:r>
    </w:p>
    <w:p w:rsidR="004C6A01" w:rsidRPr="005619E1" w:rsidRDefault="004C6A01" w:rsidP="00C73915">
      <w:pPr>
        <w:spacing w:after="0"/>
        <w:ind w:left="720" w:right="0" w:firstLine="0"/>
        <w:jc w:val="both"/>
        <w:rPr>
          <w:rFonts w:ascii="Arial" w:hAnsi="Arial"/>
          <w:iCs/>
          <w:sz w:val="22"/>
          <w:szCs w:val="22"/>
          <w:lang w:eastAsia="en-AU"/>
        </w:rPr>
      </w:pPr>
      <w:r w:rsidRPr="005619E1">
        <w:rPr>
          <w:rFonts w:ascii="Arial" w:hAnsi="Arial"/>
          <w:iCs/>
          <w:sz w:val="22"/>
          <w:szCs w:val="22"/>
          <w:lang w:eastAsia="en-AU"/>
        </w:rPr>
        <w:t>This would have an effect on the DPMQ for all the SOS</w:t>
      </w:r>
      <w:r w:rsidR="00094FA1" w:rsidRPr="005619E1">
        <w:rPr>
          <w:rFonts w:ascii="Arial" w:hAnsi="Arial" w:cs="Arial"/>
          <w:sz w:val="22"/>
          <w:szCs w:val="22"/>
          <w:vertAlign w:val="superscript"/>
          <w:lang w:eastAsia="en-AU"/>
        </w:rPr>
        <w:t>®</w:t>
      </w:r>
      <w:r w:rsidRPr="005619E1">
        <w:rPr>
          <w:rFonts w:ascii="Arial" w:hAnsi="Arial"/>
          <w:iCs/>
          <w:sz w:val="22"/>
          <w:szCs w:val="22"/>
          <w:lang w:eastAsia="en-AU"/>
        </w:rPr>
        <w:t xml:space="preserve"> formulations.</w:t>
      </w:r>
    </w:p>
    <w:p w:rsidR="00DB40F7" w:rsidRDefault="00DB40F7" w:rsidP="00C73915">
      <w:pPr>
        <w:numPr>
          <w:ilvl w:val="1"/>
          <w:numId w:val="3"/>
        </w:numPr>
        <w:spacing w:after="0"/>
        <w:ind w:right="0"/>
        <w:jc w:val="both"/>
        <w:rPr>
          <w:rFonts w:ascii="Arial" w:hAnsi="Arial"/>
          <w:iCs/>
          <w:sz w:val="22"/>
          <w:szCs w:val="22"/>
          <w:lang w:eastAsia="en-AU"/>
        </w:rPr>
      </w:pPr>
      <w:r>
        <w:rPr>
          <w:rFonts w:ascii="Arial" w:hAnsi="Arial"/>
          <w:iCs/>
          <w:sz w:val="22"/>
          <w:szCs w:val="22"/>
          <w:lang w:eastAsia="en-AU"/>
        </w:rPr>
        <w:t>The sponsor claimed</w:t>
      </w:r>
      <w:r w:rsidRPr="00550A40">
        <w:rPr>
          <w:rFonts w:ascii="Arial" w:hAnsi="Arial"/>
          <w:iCs/>
          <w:sz w:val="22"/>
          <w:szCs w:val="22"/>
          <w:lang w:eastAsia="en-AU"/>
        </w:rPr>
        <w:t xml:space="preserve"> that the additional indication for proven IEM of fat will result in a minimal </w:t>
      </w:r>
      <w:r>
        <w:rPr>
          <w:rFonts w:ascii="Arial" w:hAnsi="Arial"/>
          <w:iCs/>
          <w:sz w:val="22"/>
          <w:szCs w:val="22"/>
          <w:lang w:eastAsia="en-AU"/>
        </w:rPr>
        <w:t xml:space="preserve">financial </w:t>
      </w:r>
      <w:r w:rsidRPr="00550A40">
        <w:rPr>
          <w:rFonts w:ascii="Arial" w:hAnsi="Arial"/>
          <w:iCs/>
          <w:sz w:val="22"/>
          <w:szCs w:val="22"/>
          <w:lang w:eastAsia="en-AU"/>
        </w:rPr>
        <w:t>cost to the PBS, as the patient population is low.</w:t>
      </w:r>
    </w:p>
    <w:p w:rsidR="00066961" w:rsidRPr="005619E1" w:rsidRDefault="00D83266" w:rsidP="00C73915">
      <w:pPr>
        <w:numPr>
          <w:ilvl w:val="1"/>
          <w:numId w:val="3"/>
        </w:numPr>
        <w:spacing w:after="0"/>
        <w:ind w:right="0"/>
        <w:jc w:val="both"/>
        <w:rPr>
          <w:rFonts w:ascii="Arial" w:hAnsi="Arial"/>
          <w:iCs/>
          <w:sz w:val="22"/>
          <w:szCs w:val="22"/>
          <w:lang w:eastAsia="en-AU"/>
        </w:rPr>
      </w:pPr>
      <w:r w:rsidRPr="005619E1">
        <w:rPr>
          <w:rFonts w:ascii="Arial" w:hAnsi="Arial"/>
          <w:iCs/>
          <w:sz w:val="22"/>
          <w:szCs w:val="22"/>
          <w:lang w:eastAsia="en-AU"/>
        </w:rPr>
        <w:t>The cost to the PBS is uncertain, as t</w:t>
      </w:r>
      <w:r w:rsidR="00CF7EBF" w:rsidRPr="005619E1">
        <w:rPr>
          <w:rFonts w:ascii="Arial" w:hAnsi="Arial"/>
          <w:iCs/>
          <w:sz w:val="22"/>
          <w:szCs w:val="22"/>
          <w:lang w:eastAsia="en-AU"/>
        </w:rPr>
        <w:t>he proposed</w:t>
      </w:r>
      <w:r w:rsidRPr="005619E1">
        <w:rPr>
          <w:rFonts w:ascii="Arial" w:hAnsi="Arial"/>
          <w:iCs/>
          <w:sz w:val="22"/>
          <w:szCs w:val="22"/>
          <w:lang w:eastAsia="en-AU"/>
        </w:rPr>
        <w:t xml:space="preserve"> additional</w:t>
      </w:r>
      <w:r w:rsidR="00CF7EBF" w:rsidRPr="005619E1">
        <w:rPr>
          <w:rFonts w:ascii="Arial" w:hAnsi="Arial"/>
          <w:iCs/>
          <w:sz w:val="22"/>
          <w:szCs w:val="22"/>
          <w:lang w:eastAsia="en-AU"/>
        </w:rPr>
        <w:t xml:space="preserve"> indication does not currently have any related products listed on the </w:t>
      </w:r>
      <w:r w:rsidRPr="005619E1">
        <w:rPr>
          <w:rFonts w:ascii="Arial" w:hAnsi="Arial"/>
          <w:iCs/>
          <w:sz w:val="22"/>
          <w:szCs w:val="22"/>
          <w:lang w:eastAsia="en-AU"/>
        </w:rPr>
        <w:t>PBS</w:t>
      </w:r>
      <w:r w:rsidR="00CF7EBF" w:rsidRPr="005619E1">
        <w:rPr>
          <w:rFonts w:ascii="Arial" w:hAnsi="Arial"/>
          <w:iCs/>
          <w:sz w:val="22"/>
          <w:szCs w:val="22"/>
          <w:lang w:eastAsia="en-AU"/>
        </w:rPr>
        <w:t>.</w:t>
      </w:r>
      <w:r w:rsidR="003410B8" w:rsidRPr="005619E1">
        <w:rPr>
          <w:rFonts w:ascii="Arial" w:hAnsi="Arial"/>
          <w:iCs/>
          <w:sz w:val="22"/>
          <w:szCs w:val="22"/>
          <w:lang w:eastAsia="en-AU"/>
        </w:rPr>
        <w:t xml:space="preserve"> </w:t>
      </w:r>
      <w:r w:rsidR="00066961" w:rsidRPr="005619E1">
        <w:rPr>
          <w:rFonts w:ascii="Arial" w:hAnsi="Arial"/>
          <w:iCs/>
          <w:sz w:val="22"/>
          <w:szCs w:val="22"/>
          <w:lang w:eastAsia="en-AU"/>
        </w:rPr>
        <w:t>No new clinical data were included in the submission to support the additional indication of proven inborn errors of fat metabolism.</w:t>
      </w:r>
    </w:p>
    <w:p w:rsidR="00F217C9" w:rsidRDefault="00F217C9" w:rsidP="00C73915">
      <w:pPr>
        <w:spacing w:after="0"/>
        <w:ind w:left="0" w:right="0" w:firstLine="720"/>
        <w:jc w:val="both"/>
        <w:rPr>
          <w:rFonts w:ascii="Arial" w:hAnsi="Arial"/>
          <w:i/>
          <w:sz w:val="22"/>
          <w:szCs w:val="22"/>
          <w:lang w:eastAsia="en-AU"/>
        </w:rPr>
      </w:pPr>
      <w:r w:rsidRPr="007E55CB">
        <w:rPr>
          <w:rFonts w:ascii="Arial" w:hAnsi="Arial"/>
          <w:i/>
          <w:sz w:val="22"/>
          <w:szCs w:val="22"/>
          <w:lang w:eastAsia="en-AU"/>
        </w:rPr>
        <w:t xml:space="preserve">For more detail on PBAC’s view, see section </w:t>
      </w:r>
      <w:r w:rsidR="007E55CB" w:rsidRPr="005619E1">
        <w:rPr>
          <w:rFonts w:ascii="Arial" w:hAnsi="Arial"/>
          <w:i/>
          <w:sz w:val="22"/>
          <w:szCs w:val="22"/>
          <w:lang w:eastAsia="en-AU"/>
        </w:rPr>
        <w:t>6</w:t>
      </w:r>
      <w:r w:rsidRPr="007E55CB">
        <w:rPr>
          <w:rFonts w:ascii="Arial" w:hAnsi="Arial"/>
          <w:i/>
          <w:sz w:val="22"/>
          <w:szCs w:val="22"/>
          <w:lang w:eastAsia="en-AU"/>
        </w:rPr>
        <w:t xml:space="preserve"> “PBAC outcome”</w:t>
      </w:r>
    </w:p>
    <w:p w:rsidR="00C73915" w:rsidRDefault="00C73915" w:rsidP="00C73915">
      <w:pPr>
        <w:spacing w:before="0" w:after="0"/>
        <w:ind w:left="0" w:right="0" w:firstLine="720"/>
        <w:jc w:val="both"/>
        <w:rPr>
          <w:rFonts w:ascii="Arial" w:hAnsi="Arial"/>
          <w:i/>
          <w:sz w:val="22"/>
          <w:szCs w:val="22"/>
          <w:lang w:eastAsia="en-AU"/>
        </w:rPr>
      </w:pPr>
    </w:p>
    <w:p w:rsidR="00C73915" w:rsidRPr="005619E1" w:rsidRDefault="00C73915" w:rsidP="00C73915">
      <w:pPr>
        <w:spacing w:before="0" w:after="0"/>
        <w:ind w:left="0" w:right="0" w:firstLine="720"/>
        <w:jc w:val="both"/>
        <w:rPr>
          <w:rFonts w:ascii="Arial" w:hAnsi="Arial"/>
          <w:i/>
          <w:sz w:val="22"/>
          <w:szCs w:val="22"/>
          <w:highlight w:val="yellow"/>
          <w:lang w:eastAsia="en-AU"/>
        </w:rPr>
      </w:pPr>
    </w:p>
    <w:p w:rsidR="00F217C9" w:rsidRDefault="00F217C9" w:rsidP="00C73915">
      <w:pPr>
        <w:pStyle w:val="Heading1"/>
        <w:numPr>
          <w:ilvl w:val="0"/>
          <w:numId w:val="2"/>
        </w:numPr>
        <w:spacing w:before="0" w:after="0"/>
        <w:rPr>
          <w:sz w:val="22"/>
          <w:szCs w:val="22"/>
          <w:lang w:eastAsia="en-AU"/>
        </w:rPr>
      </w:pPr>
      <w:r w:rsidRPr="005A0490">
        <w:rPr>
          <w:sz w:val="22"/>
          <w:szCs w:val="22"/>
          <w:lang w:eastAsia="en-AU"/>
        </w:rPr>
        <w:t>PBAC Outcome</w:t>
      </w:r>
    </w:p>
    <w:p w:rsidR="00BD6CBD" w:rsidRPr="00BD6CBD" w:rsidRDefault="00BD6CBD" w:rsidP="00C73915">
      <w:pPr>
        <w:spacing w:before="0" w:after="0"/>
        <w:rPr>
          <w:lang w:eastAsia="en-AU"/>
        </w:rPr>
      </w:pPr>
    </w:p>
    <w:p w:rsidR="005A0490" w:rsidRDefault="00D97745" w:rsidP="00C73915">
      <w:pPr>
        <w:numPr>
          <w:ilvl w:val="1"/>
          <w:numId w:val="2"/>
        </w:numPr>
        <w:spacing w:before="0" w:after="0"/>
        <w:ind w:right="0"/>
        <w:jc w:val="both"/>
        <w:rPr>
          <w:rFonts w:ascii="Arial" w:hAnsi="Arial"/>
          <w:sz w:val="22"/>
          <w:szCs w:val="22"/>
          <w:lang w:eastAsia="en-AU"/>
        </w:rPr>
      </w:pPr>
      <w:r w:rsidRPr="00EF2F66">
        <w:rPr>
          <w:rFonts w:ascii="Arial" w:hAnsi="Arial"/>
          <w:sz w:val="22"/>
          <w:szCs w:val="22"/>
        </w:rPr>
        <w:t>The</w:t>
      </w:r>
      <w:r w:rsidRPr="005619E1">
        <w:rPr>
          <w:rFonts w:ascii="Arial" w:hAnsi="Arial"/>
          <w:bCs/>
          <w:sz w:val="22"/>
          <w:szCs w:val="22"/>
          <w:lang w:val="en-GB" w:eastAsia="en-AU"/>
        </w:rPr>
        <w:t xml:space="preserve"> PBAC did not recommend the listing of carbohydrate formula with minerals for the treatment of </w:t>
      </w:r>
      <w:r w:rsidRPr="005A0490">
        <w:rPr>
          <w:rFonts w:ascii="Arial" w:hAnsi="Arial"/>
          <w:sz w:val="22"/>
          <w:szCs w:val="22"/>
          <w:lang w:eastAsia="en-AU"/>
        </w:rPr>
        <w:t xml:space="preserve">proven inborn errors of protein </w:t>
      </w:r>
      <w:r w:rsidR="00E35B4D">
        <w:rPr>
          <w:rFonts w:ascii="Arial" w:hAnsi="Arial"/>
          <w:sz w:val="22"/>
          <w:szCs w:val="22"/>
          <w:lang w:eastAsia="en-AU"/>
        </w:rPr>
        <w:t xml:space="preserve">metabolism </w:t>
      </w:r>
      <w:r w:rsidRPr="005A0490">
        <w:rPr>
          <w:rFonts w:ascii="Arial" w:hAnsi="Arial"/>
          <w:sz w:val="22"/>
          <w:szCs w:val="22"/>
          <w:lang w:eastAsia="en-AU"/>
        </w:rPr>
        <w:t xml:space="preserve">and proven inborn errors of fat metabolism. </w:t>
      </w:r>
      <w:r w:rsidR="005A0490">
        <w:rPr>
          <w:rFonts w:ascii="Arial" w:hAnsi="Arial"/>
          <w:sz w:val="22"/>
          <w:szCs w:val="22"/>
          <w:lang w:eastAsia="en-AU"/>
        </w:rPr>
        <w:t>The decision was based on the potential of</w:t>
      </w:r>
      <w:r w:rsidR="005A0490" w:rsidRPr="005A0490">
        <w:rPr>
          <w:rFonts w:ascii="Arial" w:hAnsi="Arial"/>
          <w:sz w:val="22"/>
          <w:szCs w:val="22"/>
          <w:lang w:eastAsia="en-AU"/>
        </w:rPr>
        <w:t xml:space="preserve"> product wastage and a lack of clarity surrounding the indications. The </w:t>
      </w:r>
      <w:r w:rsidR="005A0490">
        <w:rPr>
          <w:rFonts w:ascii="Arial" w:hAnsi="Arial"/>
          <w:sz w:val="22"/>
          <w:szCs w:val="22"/>
          <w:lang w:eastAsia="en-AU"/>
        </w:rPr>
        <w:t>PBAC</w:t>
      </w:r>
      <w:r w:rsidR="005A0490" w:rsidRPr="005A0490">
        <w:rPr>
          <w:rFonts w:ascii="Arial" w:hAnsi="Arial"/>
          <w:sz w:val="22"/>
          <w:szCs w:val="22"/>
          <w:lang w:eastAsia="en-AU"/>
        </w:rPr>
        <w:t xml:space="preserve"> considered there was a high risk of use outside the restriction</w:t>
      </w:r>
      <w:r w:rsidR="005A0490">
        <w:rPr>
          <w:rFonts w:ascii="Arial" w:hAnsi="Arial"/>
          <w:sz w:val="22"/>
          <w:szCs w:val="22"/>
          <w:lang w:eastAsia="en-AU"/>
        </w:rPr>
        <w:t>, based on</w:t>
      </w:r>
      <w:r w:rsidR="005A0490" w:rsidRPr="005A0490">
        <w:rPr>
          <w:rFonts w:ascii="Arial" w:hAnsi="Arial"/>
          <w:sz w:val="22"/>
          <w:szCs w:val="22"/>
          <w:lang w:eastAsia="en-AU"/>
        </w:rPr>
        <w:t xml:space="preserve"> the current wording.</w:t>
      </w:r>
    </w:p>
    <w:p w:rsidR="00C73915" w:rsidRPr="005A0490" w:rsidRDefault="00C73915" w:rsidP="00C73915">
      <w:pPr>
        <w:spacing w:before="0" w:after="0"/>
        <w:ind w:left="720" w:right="0" w:firstLine="0"/>
        <w:jc w:val="both"/>
        <w:rPr>
          <w:rFonts w:ascii="Arial" w:hAnsi="Arial"/>
          <w:sz w:val="22"/>
          <w:szCs w:val="22"/>
          <w:lang w:eastAsia="en-AU"/>
        </w:rPr>
      </w:pPr>
    </w:p>
    <w:p w:rsidR="00F217C9" w:rsidRDefault="005A0490" w:rsidP="00C73915">
      <w:pPr>
        <w:numPr>
          <w:ilvl w:val="1"/>
          <w:numId w:val="2"/>
        </w:numPr>
        <w:spacing w:before="0" w:after="0"/>
        <w:ind w:right="0"/>
        <w:jc w:val="both"/>
        <w:rPr>
          <w:rFonts w:ascii="Arial" w:hAnsi="Arial"/>
          <w:sz w:val="22"/>
          <w:szCs w:val="22"/>
        </w:rPr>
      </w:pPr>
      <w:r w:rsidRPr="00EF2F66">
        <w:rPr>
          <w:rFonts w:ascii="Arial" w:hAnsi="Arial"/>
          <w:sz w:val="22"/>
          <w:szCs w:val="22"/>
        </w:rPr>
        <w:t>The PBAC noted the advice of the Nutritional Products Working Party (NPWP) that supported the decision to not recommend listing the SOS® products on the PBS.</w:t>
      </w:r>
    </w:p>
    <w:p w:rsidR="00C73915" w:rsidRPr="00EF2F66" w:rsidRDefault="00C73915" w:rsidP="00C73915">
      <w:pPr>
        <w:spacing w:before="0" w:after="0"/>
        <w:ind w:left="720" w:right="0" w:firstLine="0"/>
        <w:jc w:val="both"/>
        <w:rPr>
          <w:rFonts w:ascii="Arial" w:hAnsi="Arial"/>
          <w:sz w:val="22"/>
          <w:szCs w:val="22"/>
        </w:rPr>
      </w:pPr>
    </w:p>
    <w:p w:rsidR="009A215A" w:rsidRDefault="009A215A" w:rsidP="00C73915">
      <w:pPr>
        <w:numPr>
          <w:ilvl w:val="1"/>
          <w:numId w:val="2"/>
        </w:numPr>
        <w:spacing w:before="0" w:after="0"/>
        <w:ind w:right="0"/>
        <w:jc w:val="both"/>
        <w:rPr>
          <w:rFonts w:ascii="Arial" w:hAnsi="Arial"/>
          <w:sz w:val="22"/>
          <w:szCs w:val="22"/>
        </w:rPr>
      </w:pPr>
      <w:r w:rsidRPr="00EF2F66">
        <w:rPr>
          <w:rFonts w:ascii="Arial" w:hAnsi="Arial"/>
          <w:sz w:val="22"/>
          <w:szCs w:val="22"/>
        </w:rPr>
        <w:t xml:space="preserve">The PBAC did not accept </w:t>
      </w:r>
      <w:r w:rsidRPr="009A215A">
        <w:rPr>
          <w:rFonts w:ascii="Arial" w:hAnsi="Arial"/>
          <w:sz w:val="22"/>
          <w:szCs w:val="22"/>
        </w:rPr>
        <w:t>ProZero</w:t>
      </w:r>
      <w:r w:rsidRPr="00EF2F66">
        <w:rPr>
          <w:rFonts w:ascii="Arial" w:hAnsi="Arial"/>
          <w:sz w:val="22"/>
          <w:szCs w:val="22"/>
        </w:rPr>
        <w:t>®</w:t>
      </w:r>
      <w:r>
        <w:rPr>
          <w:rFonts w:ascii="Arial" w:hAnsi="Arial"/>
          <w:sz w:val="22"/>
          <w:szCs w:val="22"/>
        </w:rPr>
        <w:t xml:space="preserve"> as an appropriate comparator to the SOS</w:t>
      </w:r>
      <w:r w:rsidRPr="00EF2F66">
        <w:rPr>
          <w:rFonts w:ascii="Arial" w:hAnsi="Arial"/>
          <w:sz w:val="22"/>
          <w:szCs w:val="22"/>
        </w:rPr>
        <w:t xml:space="preserve">® </w:t>
      </w:r>
      <w:r>
        <w:rPr>
          <w:rFonts w:ascii="Arial" w:hAnsi="Arial"/>
          <w:sz w:val="22"/>
          <w:szCs w:val="22"/>
        </w:rPr>
        <w:t>products due to the differences in composition. The PBAC agreed with the NPWP’s suggested comparators as stated in 5.3</w:t>
      </w:r>
      <w:r w:rsidR="00641654">
        <w:rPr>
          <w:rFonts w:ascii="Arial" w:hAnsi="Arial"/>
          <w:sz w:val="22"/>
          <w:szCs w:val="22"/>
        </w:rPr>
        <w:t>.</w:t>
      </w:r>
    </w:p>
    <w:p w:rsidR="00C73915" w:rsidRPr="00EF2F66" w:rsidRDefault="00C73915" w:rsidP="00C73915">
      <w:pPr>
        <w:spacing w:before="0" w:after="0"/>
        <w:ind w:left="720" w:right="0" w:firstLine="0"/>
        <w:jc w:val="both"/>
        <w:rPr>
          <w:rFonts w:ascii="Arial" w:hAnsi="Arial"/>
          <w:sz w:val="22"/>
          <w:szCs w:val="22"/>
        </w:rPr>
      </w:pPr>
    </w:p>
    <w:p w:rsidR="00C73915" w:rsidRDefault="005A0490" w:rsidP="00C73915">
      <w:pPr>
        <w:numPr>
          <w:ilvl w:val="1"/>
          <w:numId w:val="2"/>
        </w:numPr>
        <w:spacing w:before="0" w:after="0"/>
        <w:ind w:right="0"/>
        <w:jc w:val="both"/>
        <w:rPr>
          <w:rFonts w:ascii="Arial" w:hAnsi="Arial"/>
          <w:sz w:val="22"/>
          <w:szCs w:val="22"/>
        </w:rPr>
      </w:pPr>
      <w:r w:rsidRPr="00C73915">
        <w:rPr>
          <w:rFonts w:ascii="Arial" w:hAnsi="Arial"/>
          <w:sz w:val="22"/>
          <w:szCs w:val="22"/>
        </w:rPr>
        <w:t>The PBAC agreed with the NPWP’s advice that a potentially high risk of wastage could occur under the proposed maximum quantity (MQ) of 30 sachets, requested by the sponsor. The PBAC noted that patients are likely to use the product sporadically</w:t>
      </w:r>
      <w:r w:rsidR="009A215A" w:rsidRPr="00C73915">
        <w:rPr>
          <w:rFonts w:ascii="Arial" w:hAnsi="Arial"/>
          <w:sz w:val="22"/>
          <w:szCs w:val="22"/>
        </w:rPr>
        <w:t>, and may not consume the total proposed</w:t>
      </w:r>
      <w:r w:rsidR="00C73915">
        <w:rPr>
          <w:rFonts w:ascii="Arial" w:hAnsi="Arial"/>
          <w:sz w:val="22"/>
          <w:szCs w:val="22"/>
        </w:rPr>
        <w:t xml:space="preserve"> MQ before the product expires.</w:t>
      </w:r>
    </w:p>
    <w:p w:rsidR="00C73915" w:rsidRDefault="00C73915" w:rsidP="00C73915">
      <w:pPr>
        <w:spacing w:before="0" w:after="0"/>
        <w:ind w:left="720" w:right="0" w:firstLine="0"/>
        <w:jc w:val="both"/>
        <w:rPr>
          <w:rFonts w:ascii="Arial" w:hAnsi="Arial"/>
          <w:sz w:val="22"/>
          <w:szCs w:val="22"/>
        </w:rPr>
      </w:pPr>
    </w:p>
    <w:p w:rsidR="00473D4B" w:rsidRDefault="00473D4B" w:rsidP="00C73915">
      <w:pPr>
        <w:numPr>
          <w:ilvl w:val="1"/>
          <w:numId w:val="2"/>
        </w:numPr>
        <w:spacing w:before="0" w:after="0"/>
        <w:ind w:right="0"/>
        <w:jc w:val="both"/>
        <w:rPr>
          <w:rFonts w:ascii="Arial" w:hAnsi="Arial"/>
          <w:sz w:val="22"/>
          <w:szCs w:val="22"/>
        </w:rPr>
      </w:pPr>
      <w:r w:rsidRPr="00C73915">
        <w:rPr>
          <w:rFonts w:ascii="Arial" w:hAnsi="Arial"/>
          <w:sz w:val="22"/>
          <w:szCs w:val="22"/>
        </w:rPr>
        <w:t>The PBAC requested that the sponsor provide patient data on the new proposed indication for “proven inborn errors of fat metabolism” for any potential minor re-submission in the future.</w:t>
      </w:r>
    </w:p>
    <w:p w:rsidR="00C73915" w:rsidRPr="00C73915" w:rsidRDefault="00C73915" w:rsidP="00C73915">
      <w:pPr>
        <w:spacing w:before="0" w:after="0"/>
        <w:ind w:left="720" w:right="0" w:firstLine="0"/>
        <w:jc w:val="both"/>
        <w:rPr>
          <w:rFonts w:ascii="Arial" w:hAnsi="Arial"/>
          <w:sz w:val="22"/>
          <w:szCs w:val="22"/>
        </w:rPr>
      </w:pPr>
    </w:p>
    <w:p w:rsidR="00641654" w:rsidRDefault="00641654" w:rsidP="00C73915">
      <w:pPr>
        <w:numPr>
          <w:ilvl w:val="1"/>
          <w:numId w:val="2"/>
        </w:numPr>
        <w:spacing w:before="0" w:after="0"/>
        <w:ind w:right="0"/>
        <w:jc w:val="both"/>
        <w:rPr>
          <w:rFonts w:ascii="Arial" w:hAnsi="Arial"/>
          <w:sz w:val="22"/>
          <w:szCs w:val="22"/>
        </w:rPr>
      </w:pPr>
      <w:r w:rsidRPr="00EF2F66">
        <w:rPr>
          <w:rFonts w:ascii="Arial" w:hAnsi="Arial"/>
          <w:sz w:val="22"/>
          <w:szCs w:val="22"/>
        </w:rPr>
        <w:t>The PBAC agreed with the NPWP’s concern over the use of SOS® products outside of the proposed restrictions, as the indications “proven inborn errors of protein metabolism” and “proven inborn errors of fat metabolism” can be broadly interpreted by clinicians.</w:t>
      </w:r>
    </w:p>
    <w:p w:rsidR="00C73915" w:rsidRPr="00EF2F66" w:rsidRDefault="00C73915" w:rsidP="00C73915">
      <w:pPr>
        <w:spacing w:before="0" w:after="0"/>
        <w:ind w:left="720" w:right="0" w:firstLine="0"/>
        <w:jc w:val="both"/>
        <w:rPr>
          <w:rFonts w:ascii="Arial" w:hAnsi="Arial"/>
          <w:sz w:val="22"/>
          <w:szCs w:val="22"/>
        </w:rPr>
      </w:pPr>
    </w:p>
    <w:p w:rsidR="00190EEF" w:rsidRPr="00EF2F66" w:rsidRDefault="00190EEF" w:rsidP="00C73915">
      <w:pPr>
        <w:numPr>
          <w:ilvl w:val="1"/>
          <w:numId w:val="2"/>
        </w:numPr>
        <w:spacing w:before="0" w:after="0"/>
        <w:ind w:right="0"/>
        <w:jc w:val="both"/>
        <w:rPr>
          <w:rFonts w:ascii="Arial" w:hAnsi="Arial"/>
          <w:sz w:val="22"/>
          <w:szCs w:val="22"/>
        </w:rPr>
      </w:pPr>
      <w:r w:rsidRPr="00EF2F66">
        <w:rPr>
          <w:rFonts w:ascii="Arial" w:hAnsi="Arial"/>
          <w:sz w:val="22"/>
          <w:szCs w:val="22"/>
        </w:rPr>
        <w:t>The PBAC noted that this submission is eligible for an Independent Review.</w:t>
      </w:r>
    </w:p>
    <w:p w:rsidR="00F217C9" w:rsidRPr="005619E1" w:rsidRDefault="00F217C9" w:rsidP="00C73915">
      <w:pPr>
        <w:spacing w:before="0" w:after="0"/>
        <w:ind w:left="709" w:right="0" w:hanging="709"/>
        <w:jc w:val="both"/>
        <w:rPr>
          <w:rFonts w:ascii="Arial" w:hAnsi="Arial"/>
          <w:b/>
          <w:sz w:val="22"/>
          <w:szCs w:val="22"/>
          <w:highlight w:val="yellow"/>
          <w:lang w:val="en-GB" w:eastAsia="en-AU"/>
        </w:rPr>
      </w:pPr>
    </w:p>
    <w:p w:rsidR="00F217C9" w:rsidRPr="00190EEF" w:rsidRDefault="00F217C9" w:rsidP="00C73915">
      <w:pPr>
        <w:spacing w:before="0" w:after="0"/>
        <w:ind w:left="709" w:right="0" w:hanging="709"/>
        <w:jc w:val="both"/>
        <w:rPr>
          <w:rFonts w:ascii="Arial" w:hAnsi="Arial"/>
          <w:b/>
          <w:bCs/>
          <w:sz w:val="22"/>
          <w:szCs w:val="22"/>
          <w:lang w:val="en-GB" w:eastAsia="en-AU"/>
        </w:rPr>
      </w:pPr>
      <w:r w:rsidRPr="00190EEF">
        <w:rPr>
          <w:rFonts w:ascii="Arial" w:hAnsi="Arial"/>
          <w:b/>
          <w:bCs/>
          <w:sz w:val="22"/>
          <w:szCs w:val="22"/>
          <w:lang w:val="en-GB" w:eastAsia="en-AU"/>
        </w:rPr>
        <w:t>Outcome:</w:t>
      </w:r>
    </w:p>
    <w:p w:rsidR="00F217C9" w:rsidRPr="00190EEF" w:rsidRDefault="00F217C9" w:rsidP="00C73915">
      <w:pPr>
        <w:spacing w:before="0" w:after="0"/>
        <w:ind w:left="709" w:right="0" w:hanging="709"/>
        <w:jc w:val="both"/>
        <w:rPr>
          <w:rFonts w:ascii="Arial" w:hAnsi="Arial"/>
          <w:bCs/>
          <w:sz w:val="22"/>
          <w:szCs w:val="22"/>
          <w:lang w:val="en-GB" w:eastAsia="en-AU"/>
        </w:rPr>
      </w:pPr>
      <w:r w:rsidRPr="00190EEF">
        <w:rPr>
          <w:rFonts w:ascii="Arial" w:hAnsi="Arial"/>
          <w:bCs/>
          <w:sz w:val="22"/>
          <w:szCs w:val="22"/>
          <w:lang w:val="en-GB" w:eastAsia="en-AU"/>
        </w:rPr>
        <w:t xml:space="preserve">Rejected </w:t>
      </w:r>
    </w:p>
    <w:p w:rsidR="005619E1" w:rsidRDefault="005619E1" w:rsidP="005619E1">
      <w:pPr>
        <w:pStyle w:val="ListParagraph"/>
        <w:ind w:left="360"/>
        <w:rPr>
          <w:rFonts w:ascii="Arial" w:hAnsi="Arial"/>
          <w:sz w:val="22"/>
          <w:szCs w:val="22"/>
          <w:lang w:eastAsia="en-AU"/>
        </w:rPr>
      </w:pPr>
    </w:p>
    <w:p w:rsidR="00C73915" w:rsidRPr="00C73915" w:rsidRDefault="00C73915" w:rsidP="00C73915">
      <w:pPr>
        <w:pStyle w:val="Heading1"/>
        <w:numPr>
          <w:ilvl w:val="0"/>
          <w:numId w:val="2"/>
        </w:numPr>
        <w:spacing w:before="0" w:after="0"/>
        <w:rPr>
          <w:sz w:val="22"/>
          <w:szCs w:val="22"/>
          <w:lang w:eastAsia="en-AU"/>
        </w:rPr>
      </w:pPr>
      <w:r w:rsidRPr="00C73915">
        <w:rPr>
          <w:sz w:val="22"/>
          <w:szCs w:val="22"/>
          <w:lang w:eastAsia="en-AU"/>
        </w:rPr>
        <w:t>Context for Decision</w:t>
      </w:r>
    </w:p>
    <w:p w:rsidR="00C73915" w:rsidRPr="00C73915" w:rsidRDefault="00C73915" w:rsidP="00C73915">
      <w:pPr>
        <w:widowControl w:val="0"/>
        <w:spacing w:before="0" w:after="0"/>
        <w:ind w:left="426" w:right="0" w:firstLine="0"/>
        <w:jc w:val="both"/>
        <w:rPr>
          <w:rFonts w:ascii="Arial" w:hAnsi="Arial" w:cs="Arial"/>
          <w:snapToGrid w:val="0"/>
          <w:sz w:val="22"/>
          <w:szCs w:val="20"/>
        </w:rPr>
      </w:pPr>
    </w:p>
    <w:p w:rsidR="00C73915" w:rsidRPr="00C73915" w:rsidRDefault="00C73915" w:rsidP="00C73915">
      <w:pPr>
        <w:widowControl w:val="0"/>
        <w:spacing w:before="0" w:after="0"/>
        <w:ind w:left="709" w:right="0" w:firstLine="0"/>
        <w:jc w:val="both"/>
        <w:rPr>
          <w:rFonts w:ascii="Arial" w:hAnsi="Arial" w:cs="Arial"/>
          <w:snapToGrid w:val="0"/>
          <w:sz w:val="22"/>
          <w:szCs w:val="20"/>
        </w:rPr>
      </w:pPr>
      <w:r w:rsidRPr="00C73915">
        <w:rPr>
          <w:rFonts w:ascii="Arial" w:hAnsi="Arial" w:cs="Arial"/>
          <w:snapToGrid w:val="0"/>
          <w:sz w:val="22"/>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73915" w:rsidRPr="00C73915" w:rsidRDefault="00C73915" w:rsidP="00C73915">
      <w:pPr>
        <w:widowControl w:val="0"/>
        <w:spacing w:before="0" w:after="0"/>
        <w:ind w:left="426" w:right="0" w:firstLine="0"/>
        <w:jc w:val="both"/>
        <w:rPr>
          <w:rFonts w:ascii="Arial" w:hAnsi="Arial" w:cs="Arial"/>
          <w:snapToGrid w:val="0"/>
          <w:sz w:val="22"/>
          <w:szCs w:val="20"/>
        </w:rPr>
      </w:pPr>
    </w:p>
    <w:p w:rsidR="00C73915" w:rsidRPr="00C73915" w:rsidRDefault="00C73915" w:rsidP="00C73915">
      <w:pPr>
        <w:pStyle w:val="Heading1"/>
        <w:numPr>
          <w:ilvl w:val="0"/>
          <w:numId w:val="2"/>
        </w:numPr>
        <w:spacing w:before="0" w:after="0"/>
        <w:rPr>
          <w:sz w:val="22"/>
          <w:szCs w:val="22"/>
          <w:lang w:eastAsia="en-AU"/>
        </w:rPr>
      </w:pPr>
      <w:r w:rsidRPr="00C73915">
        <w:rPr>
          <w:sz w:val="22"/>
          <w:szCs w:val="22"/>
          <w:lang w:eastAsia="en-AU"/>
        </w:rPr>
        <w:t>Sponsor’s Comment</w:t>
      </w:r>
    </w:p>
    <w:p w:rsidR="00C73915" w:rsidRPr="00C73915" w:rsidRDefault="00C73915" w:rsidP="00C73915">
      <w:pPr>
        <w:widowControl w:val="0"/>
        <w:spacing w:before="0" w:after="0"/>
        <w:ind w:left="426" w:right="0" w:firstLine="0"/>
        <w:jc w:val="both"/>
        <w:rPr>
          <w:rFonts w:ascii="Arial" w:hAnsi="Arial" w:cs="Arial"/>
          <w:bCs/>
          <w:snapToGrid w:val="0"/>
          <w:sz w:val="22"/>
          <w:szCs w:val="20"/>
          <w:highlight w:val="yellow"/>
          <w:lang w:val="en-GB"/>
        </w:rPr>
      </w:pPr>
    </w:p>
    <w:p w:rsidR="00C73915" w:rsidRPr="00C73915" w:rsidRDefault="00C73915" w:rsidP="00C73915">
      <w:pPr>
        <w:widowControl w:val="0"/>
        <w:spacing w:before="0" w:after="120"/>
        <w:ind w:left="709" w:right="0" w:firstLine="0"/>
        <w:jc w:val="both"/>
        <w:rPr>
          <w:rFonts w:ascii="Arial" w:hAnsi="Arial" w:cs="Arial"/>
          <w:bCs/>
          <w:snapToGrid w:val="0"/>
          <w:sz w:val="22"/>
          <w:szCs w:val="20"/>
        </w:rPr>
      </w:pPr>
      <w:r w:rsidRPr="00C73915">
        <w:rPr>
          <w:rFonts w:ascii="Arial" w:hAnsi="Arial" w:cs="Arial"/>
          <w:bCs/>
          <w:snapToGrid w:val="0"/>
          <w:sz w:val="22"/>
          <w:szCs w:val="20"/>
        </w:rPr>
        <w:t>The sponsor had no comment.</w:t>
      </w:r>
    </w:p>
    <w:p w:rsidR="00003743" w:rsidRPr="002F3AE3" w:rsidRDefault="00003743" w:rsidP="005619E1">
      <w:pPr>
        <w:spacing w:before="0" w:after="240"/>
        <w:ind w:left="0" w:right="0" w:firstLine="0"/>
        <w:jc w:val="both"/>
      </w:pPr>
    </w:p>
    <w:sectPr w:rsidR="00003743" w:rsidRPr="002F3AE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B0" w:rsidRDefault="002C73B0">
      <w:pPr>
        <w:spacing w:before="0" w:after="0"/>
      </w:pPr>
      <w:r>
        <w:separator/>
      </w:r>
    </w:p>
  </w:endnote>
  <w:endnote w:type="continuationSeparator" w:id="0">
    <w:p w:rsidR="002C73B0" w:rsidRDefault="002C73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C943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B32FC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r>
  </w:tbl>
  <w:p w:rsidR="0005154F" w:rsidRDefault="00C943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B32FCF">
    <w:pPr>
      <w:pStyle w:val="Footer"/>
    </w:pPr>
  </w:p>
  <w:p w:rsidR="0005154F" w:rsidRDefault="00B32FCF"/>
  <w:p w:rsidR="00E4183E" w:rsidRDefault="00B32F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0C" w:rsidRDefault="002E250C" w:rsidP="00EF44A0">
    <w:pPr>
      <w:pStyle w:val="Footer"/>
      <w:jc w:val="center"/>
      <w:rPr>
        <w:rFonts w:ascii="Arial" w:hAnsi="Arial" w:cs="Arial"/>
        <w:b/>
        <w:sz w:val="20"/>
        <w:szCs w:val="20"/>
      </w:rPr>
    </w:pPr>
  </w:p>
  <w:p w:rsidR="00E4183E" w:rsidRDefault="00F023A3" w:rsidP="005619E1">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B32FCF">
      <w:rPr>
        <w:rFonts w:ascii="Arial" w:hAnsi="Arial" w:cs="Arial"/>
        <w:noProof/>
        <w:sz w:val="20"/>
        <w:szCs w:val="20"/>
      </w:rPr>
      <w:t>6</w:t>
    </w:r>
    <w:r w:rsidRPr="00651169">
      <w:rPr>
        <w:rFonts w:ascii="Arial" w:hAnsi="Arial" w:cs="Arial"/>
        <w:noProof/>
        <w:sz w:val="20"/>
        <w:szCs w:val="20"/>
      </w:rPr>
      <w:fldChar w:fldCharType="end"/>
    </w:r>
    <w:r w:rsidDel="00F023A3">
      <w:rPr>
        <w:rFonts w:ascii="Arial" w:hAnsi="Arial" w:cs="Arial"/>
        <w:b/>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C943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B32FC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C943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B32FC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B32FC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B32FCF" w:rsidP="005A3173">
          <w:pPr>
            <w:pStyle w:val="Header"/>
            <w:spacing w:line="276" w:lineRule="auto"/>
            <w:rPr>
              <w:rFonts w:ascii="Calibri" w:eastAsia="MS Gothic" w:hAnsi="Calibri"/>
              <w:b/>
              <w:bCs/>
              <w:color w:val="4F81BD"/>
            </w:rPr>
          </w:pPr>
        </w:p>
      </w:tc>
    </w:tr>
  </w:tbl>
  <w:p w:rsidR="0005154F" w:rsidRPr="007C0F57" w:rsidRDefault="00C943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C9438F" w:rsidP="007C0F57">
    <w:pPr>
      <w:pStyle w:val="Footer"/>
      <w:jc w:val="center"/>
      <w:rPr>
        <w:b/>
        <w:i/>
        <w:sz w:val="20"/>
        <w:szCs w:val="20"/>
      </w:rPr>
    </w:pPr>
    <w:r w:rsidRPr="007C0F57">
      <w:rPr>
        <w:b/>
        <w:i/>
        <w:sz w:val="20"/>
        <w:szCs w:val="20"/>
      </w:rPr>
      <w:t>Commercial-in-Confidence</w:t>
    </w:r>
  </w:p>
  <w:p w:rsidR="0005154F" w:rsidRDefault="00B32FCF"/>
  <w:p w:rsidR="00E4183E" w:rsidRDefault="00B32F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B0" w:rsidRDefault="002C73B0">
      <w:pPr>
        <w:spacing w:before="0" w:after="0"/>
      </w:pPr>
      <w:r>
        <w:separator/>
      </w:r>
    </w:p>
  </w:footnote>
  <w:footnote w:type="continuationSeparator" w:id="0">
    <w:p w:rsidR="002C73B0" w:rsidRDefault="002C73B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B32FC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C943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B32FC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B32FC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B32FC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B32FCF">
          <w:pPr>
            <w:pStyle w:val="Header"/>
            <w:spacing w:line="276" w:lineRule="auto"/>
            <w:rPr>
              <w:rFonts w:ascii="Cambria" w:eastAsia="MS Gothic" w:hAnsi="Cambria"/>
              <w:b/>
              <w:bCs/>
              <w:color w:val="4F81BD"/>
            </w:rPr>
          </w:pPr>
        </w:p>
      </w:tc>
    </w:tr>
  </w:tbl>
  <w:p w:rsidR="0005154F" w:rsidRDefault="00B32FCF">
    <w:pPr>
      <w:pStyle w:val="Header"/>
    </w:pPr>
  </w:p>
  <w:p w:rsidR="0005154F" w:rsidRDefault="00B32FCF"/>
  <w:p w:rsidR="00E4183E" w:rsidRDefault="00B32F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0C" w:rsidRPr="00F023A3" w:rsidRDefault="00C73915" w:rsidP="00BD6CBD">
    <w:pPr>
      <w:tabs>
        <w:tab w:val="center" w:pos="4153"/>
        <w:tab w:val="right" w:pos="8306"/>
      </w:tabs>
      <w:spacing w:before="0" w:after="0"/>
      <w:ind w:left="360" w:right="0" w:firstLine="0"/>
      <w:jc w:val="center"/>
      <w:rPr>
        <w:rFonts w:ascii="Arial" w:hAnsi="Arial" w:cs="Arial"/>
        <w:i/>
        <w:color w:val="808080"/>
        <w:sz w:val="22"/>
      </w:rPr>
    </w:pPr>
    <w:r>
      <w:rPr>
        <w:rFonts w:ascii="Arial" w:hAnsi="Arial" w:cs="Arial"/>
        <w:i/>
        <w:color w:val="808080"/>
        <w:sz w:val="22"/>
      </w:rPr>
      <w:t>Public Summary Document</w:t>
    </w:r>
    <w:r w:rsidR="00934E0C" w:rsidRPr="00F023A3">
      <w:rPr>
        <w:rFonts w:ascii="Arial" w:hAnsi="Arial" w:cs="Arial"/>
        <w:i/>
        <w:color w:val="808080"/>
        <w:sz w:val="22"/>
      </w:rPr>
      <w:t xml:space="preserve"> – November 2016 PBAC Meeting</w:t>
    </w:r>
  </w:p>
  <w:p w:rsidR="00E4183E" w:rsidRDefault="00EA4AAE" w:rsidP="00EA4AAE">
    <w:pPr>
      <w:tabs>
        <w:tab w:val="left" w:pos="8306"/>
      </w:tabs>
      <w:spacing w:before="0" w:after="0"/>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4F" w:rsidRDefault="00301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8"/>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2F5BB8"/>
    <w:multiLevelType w:val="hybridMultilevel"/>
    <w:tmpl w:val="45F8A22E"/>
    <w:lvl w:ilvl="0" w:tplc="94342B1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7C58F5"/>
    <w:multiLevelType w:val="hybridMultilevel"/>
    <w:tmpl w:val="93B2A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D43640"/>
    <w:multiLevelType w:val="multilevel"/>
    <w:tmpl w:val="8208094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83B62F2"/>
    <w:multiLevelType w:val="hybridMultilevel"/>
    <w:tmpl w:val="5C4EB5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FA6089C"/>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2F66C9C"/>
    <w:multiLevelType w:val="multilevel"/>
    <w:tmpl w:val="A342834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4F52D7"/>
    <w:multiLevelType w:val="hybridMultilevel"/>
    <w:tmpl w:val="11E034A6"/>
    <w:lvl w:ilvl="0" w:tplc="2578F9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F1E4659"/>
    <w:multiLevelType w:val="multilevel"/>
    <w:tmpl w:val="AE3CA112"/>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C2768EF"/>
    <w:multiLevelType w:val="hybridMultilevel"/>
    <w:tmpl w:val="A4CEEE0A"/>
    <w:lvl w:ilvl="0" w:tplc="F5A2E9A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3043E4C"/>
    <w:multiLevelType w:val="hybridMultilevel"/>
    <w:tmpl w:val="4948A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84D033C"/>
    <w:multiLevelType w:val="multilevel"/>
    <w:tmpl w:val="EFE6DB32"/>
    <w:lvl w:ilvl="0">
      <w:start w:val="1"/>
      <w:numFmt w:val="decimal"/>
      <w:lvlText w:val="%1.1"/>
      <w:lvlJc w:val="left"/>
      <w:pPr>
        <w:ind w:left="720" w:hanging="720"/>
      </w:pPr>
      <w:rPr>
        <w:rFonts w:hint="default"/>
        <w:b/>
        <w:sz w:val="22"/>
        <w:szCs w:val="2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DE638B4"/>
    <w:multiLevelType w:val="hybridMultilevel"/>
    <w:tmpl w:val="99061C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5"/>
  </w:num>
  <w:num w:numId="4">
    <w:abstractNumId w:val="4"/>
  </w:num>
  <w:num w:numId="5">
    <w:abstractNumId w:val="16"/>
  </w:num>
  <w:num w:numId="6">
    <w:abstractNumId w:val="10"/>
  </w:num>
  <w:num w:numId="7">
    <w:abstractNumId w:val="2"/>
  </w:num>
  <w:num w:numId="8">
    <w:abstractNumId w:val="1"/>
  </w:num>
  <w:num w:numId="9">
    <w:abstractNumId w:val="6"/>
  </w:num>
  <w:num w:numId="10">
    <w:abstractNumId w:val="12"/>
  </w:num>
  <w:num w:numId="11">
    <w:abstractNumId w:val="14"/>
  </w:num>
  <w:num w:numId="12">
    <w:abstractNumId w:val="11"/>
  </w:num>
  <w:num w:numId="13">
    <w:abstractNumId w:val="3"/>
  </w:num>
  <w:num w:numId="14">
    <w:abstractNumId w:val="8"/>
  </w:num>
  <w:num w:numId="15">
    <w:abstractNumId w:val="7"/>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C6"/>
    <w:rsid w:val="00003743"/>
    <w:rsid w:val="000051D2"/>
    <w:rsid w:val="000167BE"/>
    <w:rsid w:val="000460DB"/>
    <w:rsid w:val="000476D8"/>
    <w:rsid w:val="00066961"/>
    <w:rsid w:val="00067456"/>
    <w:rsid w:val="00081164"/>
    <w:rsid w:val="00094FA1"/>
    <w:rsid w:val="000A31BE"/>
    <w:rsid w:val="000A5696"/>
    <w:rsid w:val="000A6B4E"/>
    <w:rsid w:val="000E577D"/>
    <w:rsid w:val="000E5F3A"/>
    <w:rsid w:val="000E7AB2"/>
    <w:rsid w:val="00121356"/>
    <w:rsid w:val="00130164"/>
    <w:rsid w:val="00134848"/>
    <w:rsid w:val="00163E33"/>
    <w:rsid w:val="00164F33"/>
    <w:rsid w:val="00184DDF"/>
    <w:rsid w:val="00190EEF"/>
    <w:rsid w:val="001A2381"/>
    <w:rsid w:val="001B25A4"/>
    <w:rsid w:val="001B3443"/>
    <w:rsid w:val="001B595B"/>
    <w:rsid w:val="001B73A7"/>
    <w:rsid w:val="001C74FF"/>
    <w:rsid w:val="001D4EFA"/>
    <w:rsid w:val="001E5AB6"/>
    <w:rsid w:val="00212B6E"/>
    <w:rsid w:val="00212CAC"/>
    <w:rsid w:val="002776BE"/>
    <w:rsid w:val="00284653"/>
    <w:rsid w:val="00287DA0"/>
    <w:rsid w:val="002933C5"/>
    <w:rsid w:val="002A5B92"/>
    <w:rsid w:val="002C3714"/>
    <w:rsid w:val="002C73B0"/>
    <w:rsid w:val="002C798F"/>
    <w:rsid w:val="002D0D14"/>
    <w:rsid w:val="002E250C"/>
    <w:rsid w:val="002E5E21"/>
    <w:rsid w:val="002F3AE3"/>
    <w:rsid w:val="0030194F"/>
    <w:rsid w:val="0030786C"/>
    <w:rsid w:val="003410B8"/>
    <w:rsid w:val="00350C2F"/>
    <w:rsid w:val="003623A1"/>
    <w:rsid w:val="00392711"/>
    <w:rsid w:val="00397643"/>
    <w:rsid w:val="003A32F4"/>
    <w:rsid w:val="003D17F9"/>
    <w:rsid w:val="003D36D6"/>
    <w:rsid w:val="003D46AF"/>
    <w:rsid w:val="003E1C65"/>
    <w:rsid w:val="003E27FF"/>
    <w:rsid w:val="003F584E"/>
    <w:rsid w:val="003F62C1"/>
    <w:rsid w:val="00432A94"/>
    <w:rsid w:val="004573B4"/>
    <w:rsid w:val="004657F0"/>
    <w:rsid w:val="00473D4B"/>
    <w:rsid w:val="00474BBE"/>
    <w:rsid w:val="004867E2"/>
    <w:rsid w:val="004A017F"/>
    <w:rsid w:val="004A35C6"/>
    <w:rsid w:val="004C6A01"/>
    <w:rsid w:val="004E1581"/>
    <w:rsid w:val="004F460E"/>
    <w:rsid w:val="004F4E88"/>
    <w:rsid w:val="0050690C"/>
    <w:rsid w:val="005145B3"/>
    <w:rsid w:val="0053097C"/>
    <w:rsid w:val="00543008"/>
    <w:rsid w:val="00550A40"/>
    <w:rsid w:val="005619E1"/>
    <w:rsid w:val="00563F49"/>
    <w:rsid w:val="0057748A"/>
    <w:rsid w:val="00590008"/>
    <w:rsid w:val="005A0490"/>
    <w:rsid w:val="005B7DC9"/>
    <w:rsid w:val="005E16BE"/>
    <w:rsid w:val="005F5741"/>
    <w:rsid w:val="00617C15"/>
    <w:rsid w:val="00641654"/>
    <w:rsid w:val="00643BAE"/>
    <w:rsid w:val="0069644A"/>
    <w:rsid w:val="006A3543"/>
    <w:rsid w:val="006B037F"/>
    <w:rsid w:val="006D440B"/>
    <w:rsid w:val="006E0197"/>
    <w:rsid w:val="007119DC"/>
    <w:rsid w:val="00731546"/>
    <w:rsid w:val="007358F6"/>
    <w:rsid w:val="00740085"/>
    <w:rsid w:val="007405E5"/>
    <w:rsid w:val="00783012"/>
    <w:rsid w:val="00787C79"/>
    <w:rsid w:val="00797B26"/>
    <w:rsid w:val="007B596D"/>
    <w:rsid w:val="007C07BC"/>
    <w:rsid w:val="007E55CB"/>
    <w:rsid w:val="007F484E"/>
    <w:rsid w:val="007F5BC1"/>
    <w:rsid w:val="008264EB"/>
    <w:rsid w:val="00866FC1"/>
    <w:rsid w:val="00873DB4"/>
    <w:rsid w:val="00886B22"/>
    <w:rsid w:val="0089668C"/>
    <w:rsid w:val="008A7907"/>
    <w:rsid w:val="008A7DC8"/>
    <w:rsid w:val="008B5C9C"/>
    <w:rsid w:val="008C2194"/>
    <w:rsid w:val="008C3477"/>
    <w:rsid w:val="008C37CF"/>
    <w:rsid w:val="00914926"/>
    <w:rsid w:val="00915B9D"/>
    <w:rsid w:val="00934E0C"/>
    <w:rsid w:val="00940986"/>
    <w:rsid w:val="009805B3"/>
    <w:rsid w:val="00985FA8"/>
    <w:rsid w:val="009950BD"/>
    <w:rsid w:val="0099533D"/>
    <w:rsid w:val="009A05C0"/>
    <w:rsid w:val="009A215A"/>
    <w:rsid w:val="009A48E1"/>
    <w:rsid w:val="009A5670"/>
    <w:rsid w:val="009C4A89"/>
    <w:rsid w:val="009D01DD"/>
    <w:rsid w:val="009D2DDB"/>
    <w:rsid w:val="009E1DFD"/>
    <w:rsid w:val="009E276E"/>
    <w:rsid w:val="009F1D32"/>
    <w:rsid w:val="00A114C6"/>
    <w:rsid w:val="00A239CA"/>
    <w:rsid w:val="00A3197A"/>
    <w:rsid w:val="00A4512D"/>
    <w:rsid w:val="00A45DDA"/>
    <w:rsid w:val="00A502B8"/>
    <w:rsid w:val="00A635BF"/>
    <w:rsid w:val="00A67E46"/>
    <w:rsid w:val="00A705AF"/>
    <w:rsid w:val="00A85683"/>
    <w:rsid w:val="00AC0C3A"/>
    <w:rsid w:val="00AD427A"/>
    <w:rsid w:val="00B32FCF"/>
    <w:rsid w:val="00B42851"/>
    <w:rsid w:val="00B44F1C"/>
    <w:rsid w:val="00B558FE"/>
    <w:rsid w:val="00B70E8E"/>
    <w:rsid w:val="00B73FB3"/>
    <w:rsid w:val="00B875C1"/>
    <w:rsid w:val="00B90DE9"/>
    <w:rsid w:val="00BB3BA2"/>
    <w:rsid w:val="00BC2A83"/>
    <w:rsid w:val="00BC5D6F"/>
    <w:rsid w:val="00BD6CBD"/>
    <w:rsid w:val="00C05C75"/>
    <w:rsid w:val="00C2442B"/>
    <w:rsid w:val="00C35C96"/>
    <w:rsid w:val="00C53EEF"/>
    <w:rsid w:val="00C624B8"/>
    <w:rsid w:val="00C73915"/>
    <w:rsid w:val="00C739AB"/>
    <w:rsid w:val="00C87107"/>
    <w:rsid w:val="00C91BB5"/>
    <w:rsid w:val="00C9438F"/>
    <w:rsid w:val="00C951DB"/>
    <w:rsid w:val="00CB5B1A"/>
    <w:rsid w:val="00CD4CF3"/>
    <w:rsid w:val="00CF7EBF"/>
    <w:rsid w:val="00D04E90"/>
    <w:rsid w:val="00D10610"/>
    <w:rsid w:val="00D51628"/>
    <w:rsid w:val="00D52E68"/>
    <w:rsid w:val="00D56D5B"/>
    <w:rsid w:val="00D83266"/>
    <w:rsid w:val="00D97745"/>
    <w:rsid w:val="00DB1329"/>
    <w:rsid w:val="00DB40F7"/>
    <w:rsid w:val="00DC2AFB"/>
    <w:rsid w:val="00DC7EC6"/>
    <w:rsid w:val="00DE69F0"/>
    <w:rsid w:val="00E17636"/>
    <w:rsid w:val="00E21127"/>
    <w:rsid w:val="00E24738"/>
    <w:rsid w:val="00E35B4D"/>
    <w:rsid w:val="00E3638F"/>
    <w:rsid w:val="00E755DE"/>
    <w:rsid w:val="00E8160C"/>
    <w:rsid w:val="00E83EB5"/>
    <w:rsid w:val="00E94917"/>
    <w:rsid w:val="00EA4AAE"/>
    <w:rsid w:val="00EE4A1D"/>
    <w:rsid w:val="00EE7F4C"/>
    <w:rsid w:val="00EF2F66"/>
    <w:rsid w:val="00F023A3"/>
    <w:rsid w:val="00F15800"/>
    <w:rsid w:val="00F16821"/>
    <w:rsid w:val="00F217C9"/>
    <w:rsid w:val="00F2708E"/>
    <w:rsid w:val="00F5548C"/>
    <w:rsid w:val="00F7684B"/>
    <w:rsid w:val="00FB2BD3"/>
    <w:rsid w:val="00FB3611"/>
    <w:rsid w:val="00FC6107"/>
    <w:rsid w:val="00FC716D"/>
    <w:rsid w:val="00FD1E57"/>
    <w:rsid w:val="00FE27E9"/>
    <w:rsid w:val="00FE2A00"/>
    <w:rsid w:val="00FF1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DC"/>
    <w:pPr>
      <w:spacing w:before="240" w:after="60"/>
      <w:ind w:left="142" w:right="-663" w:hanging="142"/>
    </w:pPr>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DC7EC6"/>
    <w:pPr>
      <w:tabs>
        <w:tab w:val="center" w:pos="4513"/>
        <w:tab w:val="right" w:pos="9026"/>
      </w:tabs>
      <w:spacing w:before="0" w:after="0"/>
    </w:pPr>
  </w:style>
  <w:style w:type="character" w:customStyle="1" w:styleId="HeaderChar">
    <w:name w:val="Header Char"/>
    <w:basedOn w:val="DefaultParagraphFont"/>
    <w:link w:val="Header"/>
    <w:rsid w:val="00DC7EC6"/>
    <w:rPr>
      <w:sz w:val="24"/>
      <w:szCs w:val="24"/>
      <w:lang w:eastAsia="en-US"/>
    </w:rPr>
  </w:style>
  <w:style w:type="paragraph" w:styleId="Footer">
    <w:name w:val="footer"/>
    <w:basedOn w:val="Normal"/>
    <w:link w:val="FooterChar"/>
    <w:rsid w:val="00DC7EC6"/>
    <w:pPr>
      <w:tabs>
        <w:tab w:val="center" w:pos="4513"/>
        <w:tab w:val="right" w:pos="9026"/>
      </w:tabs>
      <w:spacing w:before="0" w:after="0"/>
    </w:pPr>
  </w:style>
  <w:style w:type="character" w:customStyle="1" w:styleId="FooterChar">
    <w:name w:val="Footer Char"/>
    <w:basedOn w:val="DefaultParagraphFont"/>
    <w:link w:val="Footer"/>
    <w:rsid w:val="00DC7EC6"/>
    <w:rPr>
      <w:sz w:val="24"/>
      <w:szCs w:val="24"/>
      <w:lang w:eastAsia="en-US"/>
    </w:rPr>
  </w:style>
  <w:style w:type="character" w:styleId="PageNumber">
    <w:name w:val="page number"/>
    <w:basedOn w:val="DefaultParagraphFont"/>
    <w:rsid w:val="00DC7EC6"/>
  </w:style>
  <w:style w:type="paragraph" w:customStyle="1" w:styleId="MediumGrid21">
    <w:name w:val="Medium Grid 21"/>
    <w:link w:val="MediumGrid2Char"/>
    <w:qFormat/>
    <w:rsid w:val="00DC7EC6"/>
    <w:rPr>
      <w:rFonts w:ascii="PMingLiU" w:eastAsia="MS Mincho" w:hAnsi="PMingLiU"/>
      <w:sz w:val="22"/>
      <w:szCs w:val="22"/>
      <w:lang w:val="en-US" w:eastAsia="en-US"/>
    </w:rPr>
  </w:style>
  <w:style w:type="character" w:customStyle="1" w:styleId="MediumGrid2Char">
    <w:name w:val="Medium Grid 2 Char"/>
    <w:link w:val="MediumGrid21"/>
    <w:rsid w:val="00DC7EC6"/>
    <w:rPr>
      <w:rFonts w:ascii="PMingLiU" w:eastAsia="MS Mincho" w:hAnsi="PMingLiU"/>
      <w:sz w:val="22"/>
      <w:szCs w:val="22"/>
      <w:lang w:val="en-US" w:eastAsia="en-US"/>
    </w:rPr>
  </w:style>
  <w:style w:type="character" w:styleId="CommentReference">
    <w:name w:val="annotation reference"/>
    <w:basedOn w:val="DefaultParagraphFont"/>
    <w:rsid w:val="00DC7EC6"/>
    <w:rPr>
      <w:sz w:val="16"/>
      <w:szCs w:val="16"/>
    </w:rPr>
  </w:style>
  <w:style w:type="paragraph" w:styleId="CommentText">
    <w:name w:val="annotation text"/>
    <w:basedOn w:val="Normal"/>
    <w:link w:val="CommentTextChar"/>
    <w:rsid w:val="00DC7EC6"/>
    <w:rPr>
      <w:sz w:val="20"/>
      <w:szCs w:val="20"/>
    </w:rPr>
  </w:style>
  <w:style w:type="character" w:customStyle="1" w:styleId="CommentTextChar">
    <w:name w:val="Comment Text Char"/>
    <w:basedOn w:val="DefaultParagraphFont"/>
    <w:link w:val="CommentText"/>
    <w:rsid w:val="00DC7EC6"/>
    <w:rPr>
      <w:lang w:eastAsia="en-US"/>
    </w:rPr>
  </w:style>
  <w:style w:type="paragraph" w:styleId="BalloonText">
    <w:name w:val="Balloon Text"/>
    <w:basedOn w:val="Normal"/>
    <w:link w:val="BalloonTextChar"/>
    <w:rsid w:val="00DC7E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DC7EC6"/>
    <w:rPr>
      <w:rFonts w:ascii="Tahoma" w:hAnsi="Tahoma" w:cs="Tahoma"/>
      <w:sz w:val="16"/>
      <w:szCs w:val="16"/>
      <w:lang w:eastAsia="en-US"/>
    </w:rPr>
  </w:style>
  <w:style w:type="paragraph" w:styleId="CommentSubject">
    <w:name w:val="annotation subject"/>
    <w:basedOn w:val="CommentText"/>
    <w:next w:val="CommentText"/>
    <w:link w:val="CommentSubjectChar"/>
    <w:rsid w:val="00F5548C"/>
    <w:rPr>
      <w:b/>
      <w:bCs/>
    </w:rPr>
  </w:style>
  <w:style w:type="character" w:customStyle="1" w:styleId="CommentSubjectChar">
    <w:name w:val="Comment Subject Char"/>
    <w:basedOn w:val="CommentTextChar"/>
    <w:link w:val="CommentSubject"/>
    <w:rsid w:val="00F5548C"/>
    <w:rPr>
      <w:b/>
      <w:bCs/>
      <w:lang w:eastAsia="en-US"/>
    </w:rPr>
  </w:style>
  <w:style w:type="character" w:styleId="Hyperlink">
    <w:name w:val="Hyperlink"/>
    <w:basedOn w:val="DefaultParagraphFont"/>
    <w:rsid w:val="00A3197A"/>
    <w:rPr>
      <w:color w:val="0000FF" w:themeColor="hyperlink"/>
      <w:u w:val="single"/>
    </w:rPr>
  </w:style>
  <w:style w:type="character" w:customStyle="1" w:styleId="ListParagraphChar">
    <w:name w:val="List Paragraph Char"/>
    <w:aliases w:val="BulletPoints Char"/>
    <w:basedOn w:val="DefaultParagraphFont"/>
    <w:link w:val="ListParagraph"/>
    <w:uiPriority w:val="72"/>
    <w:rsid w:val="00FE27E9"/>
    <w:rPr>
      <w:sz w:val="24"/>
      <w:szCs w:val="24"/>
      <w:lang w:eastAsia="en-US"/>
    </w:rPr>
  </w:style>
  <w:style w:type="paragraph" w:customStyle="1" w:styleId="PBACHeading1">
    <w:name w:val="PBAC Heading 1"/>
    <w:qFormat/>
    <w:rsid w:val="00F217C9"/>
    <w:pPr>
      <w:ind w:left="720" w:hanging="720"/>
    </w:pPr>
    <w:rPr>
      <w:rFonts w:ascii="Arial" w:hAnsi="Arial" w:cs="Arial"/>
      <w:b/>
      <w:snapToGrid w:val="0"/>
      <w:sz w:val="22"/>
      <w:szCs w:val="22"/>
      <w:lang w:eastAsia="en-US"/>
    </w:rPr>
  </w:style>
  <w:style w:type="paragraph" w:styleId="Revision">
    <w:name w:val="Revision"/>
    <w:hidden/>
    <w:uiPriority w:val="99"/>
    <w:semiHidden/>
    <w:rsid w:val="005A049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9DC"/>
    <w:pPr>
      <w:spacing w:before="240" w:after="60"/>
      <w:ind w:left="142" w:right="-663" w:hanging="142"/>
    </w:pPr>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basedOn w:val="Normal"/>
    <w:link w:val="HeaderChar"/>
    <w:rsid w:val="00DC7EC6"/>
    <w:pPr>
      <w:tabs>
        <w:tab w:val="center" w:pos="4513"/>
        <w:tab w:val="right" w:pos="9026"/>
      </w:tabs>
      <w:spacing w:before="0" w:after="0"/>
    </w:pPr>
  </w:style>
  <w:style w:type="character" w:customStyle="1" w:styleId="HeaderChar">
    <w:name w:val="Header Char"/>
    <w:basedOn w:val="DefaultParagraphFont"/>
    <w:link w:val="Header"/>
    <w:rsid w:val="00DC7EC6"/>
    <w:rPr>
      <w:sz w:val="24"/>
      <w:szCs w:val="24"/>
      <w:lang w:eastAsia="en-US"/>
    </w:rPr>
  </w:style>
  <w:style w:type="paragraph" w:styleId="Footer">
    <w:name w:val="footer"/>
    <w:basedOn w:val="Normal"/>
    <w:link w:val="FooterChar"/>
    <w:rsid w:val="00DC7EC6"/>
    <w:pPr>
      <w:tabs>
        <w:tab w:val="center" w:pos="4513"/>
        <w:tab w:val="right" w:pos="9026"/>
      </w:tabs>
      <w:spacing w:before="0" w:after="0"/>
    </w:pPr>
  </w:style>
  <w:style w:type="character" w:customStyle="1" w:styleId="FooterChar">
    <w:name w:val="Footer Char"/>
    <w:basedOn w:val="DefaultParagraphFont"/>
    <w:link w:val="Footer"/>
    <w:rsid w:val="00DC7EC6"/>
    <w:rPr>
      <w:sz w:val="24"/>
      <w:szCs w:val="24"/>
      <w:lang w:eastAsia="en-US"/>
    </w:rPr>
  </w:style>
  <w:style w:type="character" w:styleId="PageNumber">
    <w:name w:val="page number"/>
    <w:basedOn w:val="DefaultParagraphFont"/>
    <w:rsid w:val="00DC7EC6"/>
  </w:style>
  <w:style w:type="paragraph" w:customStyle="1" w:styleId="MediumGrid21">
    <w:name w:val="Medium Grid 21"/>
    <w:link w:val="MediumGrid2Char"/>
    <w:qFormat/>
    <w:rsid w:val="00DC7EC6"/>
    <w:rPr>
      <w:rFonts w:ascii="PMingLiU" w:eastAsia="MS Mincho" w:hAnsi="PMingLiU"/>
      <w:sz w:val="22"/>
      <w:szCs w:val="22"/>
      <w:lang w:val="en-US" w:eastAsia="en-US"/>
    </w:rPr>
  </w:style>
  <w:style w:type="character" w:customStyle="1" w:styleId="MediumGrid2Char">
    <w:name w:val="Medium Grid 2 Char"/>
    <w:link w:val="MediumGrid21"/>
    <w:rsid w:val="00DC7EC6"/>
    <w:rPr>
      <w:rFonts w:ascii="PMingLiU" w:eastAsia="MS Mincho" w:hAnsi="PMingLiU"/>
      <w:sz w:val="22"/>
      <w:szCs w:val="22"/>
      <w:lang w:val="en-US" w:eastAsia="en-US"/>
    </w:rPr>
  </w:style>
  <w:style w:type="character" w:styleId="CommentReference">
    <w:name w:val="annotation reference"/>
    <w:basedOn w:val="DefaultParagraphFont"/>
    <w:rsid w:val="00DC7EC6"/>
    <w:rPr>
      <w:sz w:val="16"/>
      <w:szCs w:val="16"/>
    </w:rPr>
  </w:style>
  <w:style w:type="paragraph" w:styleId="CommentText">
    <w:name w:val="annotation text"/>
    <w:basedOn w:val="Normal"/>
    <w:link w:val="CommentTextChar"/>
    <w:rsid w:val="00DC7EC6"/>
    <w:rPr>
      <w:sz w:val="20"/>
      <w:szCs w:val="20"/>
    </w:rPr>
  </w:style>
  <w:style w:type="character" w:customStyle="1" w:styleId="CommentTextChar">
    <w:name w:val="Comment Text Char"/>
    <w:basedOn w:val="DefaultParagraphFont"/>
    <w:link w:val="CommentText"/>
    <w:rsid w:val="00DC7EC6"/>
    <w:rPr>
      <w:lang w:eastAsia="en-US"/>
    </w:rPr>
  </w:style>
  <w:style w:type="paragraph" w:styleId="BalloonText">
    <w:name w:val="Balloon Text"/>
    <w:basedOn w:val="Normal"/>
    <w:link w:val="BalloonTextChar"/>
    <w:rsid w:val="00DC7E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DC7EC6"/>
    <w:rPr>
      <w:rFonts w:ascii="Tahoma" w:hAnsi="Tahoma" w:cs="Tahoma"/>
      <w:sz w:val="16"/>
      <w:szCs w:val="16"/>
      <w:lang w:eastAsia="en-US"/>
    </w:rPr>
  </w:style>
  <w:style w:type="paragraph" w:styleId="CommentSubject">
    <w:name w:val="annotation subject"/>
    <w:basedOn w:val="CommentText"/>
    <w:next w:val="CommentText"/>
    <w:link w:val="CommentSubjectChar"/>
    <w:rsid w:val="00F5548C"/>
    <w:rPr>
      <w:b/>
      <w:bCs/>
    </w:rPr>
  </w:style>
  <w:style w:type="character" w:customStyle="1" w:styleId="CommentSubjectChar">
    <w:name w:val="Comment Subject Char"/>
    <w:basedOn w:val="CommentTextChar"/>
    <w:link w:val="CommentSubject"/>
    <w:rsid w:val="00F5548C"/>
    <w:rPr>
      <w:b/>
      <w:bCs/>
      <w:lang w:eastAsia="en-US"/>
    </w:rPr>
  </w:style>
  <w:style w:type="character" w:styleId="Hyperlink">
    <w:name w:val="Hyperlink"/>
    <w:basedOn w:val="DefaultParagraphFont"/>
    <w:rsid w:val="00A3197A"/>
    <w:rPr>
      <w:color w:val="0000FF" w:themeColor="hyperlink"/>
      <w:u w:val="single"/>
    </w:rPr>
  </w:style>
  <w:style w:type="character" w:customStyle="1" w:styleId="ListParagraphChar">
    <w:name w:val="List Paragraph Char"/>
    <w:aliases w:val="BulletPoints Char"/>
    <w:basedOn w:val="DefaultParagraphFont"/>
    <w:link w:val="ListParagraph"/>
    <w:uiPriority w:val="72"/>
    <w:rsid w:val="00FE27E9"/>
    <w:rPr>
      <w:sz w:val="24"/>
      <w:szCs w:val="24"/>
      <w:lang w:eastAsia="en-US"/>
    </w:rPr>
  </w:style>
  <w:style w:type="paragraph" w:customStyle="1" w:styleId="PBACHeading1">
    <w:name w:val="PBAC Heading 1"/>
    <w:qFormat/>
    <w:rsid w:val="00F217C9"/>
    <w:pPr>
      <w:ind w:left="720" w:hanging="720"/>
    </w:pPr>
    <w:rPr>
      <w:rFonts w:ascii="Arial" w:hAnsi="Arial" w:cs="Arial"/>
      <w:b/>
      <w:snapToGrid w:val="0"/>
      <w:sz w:val="22"/>
      <w:szCs w:val="22"/>
      <w:lang w:eastAsia="en-US"/>
    </w:rPr>
  </w:style>
  <w:style w:type="paragraph" w:styleId="Revision">
    <w:name w:val="Revision"/>
    <w:hidden/>
    <w:uiPriority w:val="99"/>
    <w:semiHidden/>
    <w:rsid w:val="005A04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E13F-BCC0-468C-B617-137987AC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2004</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2017-02-07T00:56:00Z</dcterms:created>
  <dcterms:modified xsi:type="dcterms:W3CDTF">2017-02-07T00:58:00Z</dcterms:modified>
</cp:coreProperties>
</file>