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713" w:rsidRPr="00CF3D88" w:rsidRDefault="0067194A" w:rsidP="00D03D13">
      <w:pPr>
        <w:pStyle w:val="Heading1"/>
        <w:jc w:val="left"/>
        <w:rPr>
          <w:rFonts w:ascii="Arial" w:hAnsi="Arial"/>
          <w:sz w:val="28"/>
          <w:szCs w:val="28"/>
        </w:rPr>
      </w:pPr>
      <w:bookmarkStart w:id="0" w:name="_Toc461532369"/>
      <w:bookmarkStart w:id="1" w:name="_Toc461607673"/>
      <w:bookmarkStart w:id="2" w:name="_GoBack"/>
      <w:bookmarkEnd w:id="2"/>
      <w:r w:rsidRPr="00CF3D88">
        <w:rPr>
          <w:rFonts w:ascii="Arial" w:hAnsi="Arial"/>
          <w:sz w:val="24"/>
          <w:szCs w:val="24"/>
        </w:rPr>
        <w:t>7</w:t>
      </w:r>
      <w:r w:rsidR="00954713" w:rsidRPr="00CF3D88">
        <w:rPr>
          <w:rFonts w:ascii="Arial" w:hAnsi="Arial"/>
          <w:sz w:val="24"/>
          <w:szCs w:val="24"/>
        </w:rPr>
        <w:t>.</w:t>
      </w:r>
      <w:r w:rsidRPr="00CF3D88">
        <w:rPr>
          <w:rFonts w:ascii="Arial" w:hAnsi="Arial"/>
          <w:sz w:val="24"/>
          <w:szCs w:val="24"/>
        </w:rPr>
        <w:t>03</w:t>
      </w:r>
      <w:r w:rsidR="00954713" w:rsidRPr="00CF3D88">
        <w:rPr>
          <w:rFonts w:ascii="Arial" w:hAnsi="Arial"/>
          <w:sz w:val="24"/>
          <w:szCs w:val="24"/>
        </w:rPr>
        <w:tab/>
      </w:r>
      <w:r w:rsidR="00954713" w:rsidRPr="00CF3D88">
        <w:rPr>
          <w:rFonts w:ascii="Arial" w:hAnsi="Arial"/>
          <w:sz w:val="28"/>
          <w:szCs w:val="28"/>
        </w:rPr>
        <w:t>Brentuximab vedotin</w:t>
      </w:r>
      <w:proofErr w:type="gramStart"/>
      <w:r w:rsidR="00954713" w:rsidRPr="00CF3D88">
        <w:rPr>
          <w:rFonts w:ascii="Arial" w:hAnsi="Arial"/>
          <w:sz w:val="28"/>
          <w:szCs w:val="28"/>
        </w:rPr>
        <w:t>,</w:t>
      </w:r>
      <w:proofErr w:type="gramEnd"/>
      <w:r w:rsidR="00D03D13" w:rsidRPr="00CF3D88">
        <w:rPr>
          <w:rFonts w:ascii="Arial" w:hAnsi="Arial"/>
          <w:sz w:val="28"/>
          <w:szCs w:val="28"/>
        </w:rPr>
        <w:br/>
      </w:r>
      <w:r w:rsidR="008F6E97" w:rsidRPr="00CF3D88">
        <w:rPr>
          <w:rFonts w:ascii="Arial" w:hAnsi="Arial"/>
          <w:caps w:val="0"/>
          <w:sz w:val="28"/>
          <w:szCs w:val="28"/>
        </w:rPr>
        <w:t>Powder for I.V. infusion 50 mg</w:t>
      </w:r>
      <w:r w:rsidR="00D94334">
        <w:rPr>
          <w:rFonts w:ascii="Arial" w:hAnsi="Arial"/>
          <w:caps w:val="0"/>
          <w:sz w:val="28"/>
          <w:szCs w:val="28"/>
        </w:rPr>
        <w:t>,</w:t>
      </w:r>
      <w:r w:rsidR="008F6E97" w:rsidRPr="00CF3D88">
        <w:rPr>
          <w:rFonts w:ascii="Arial" w:hAnsi="Arial"/>
          <w:caps w:val="0"/>
          <w:sz w:val="28"/>
          <w:szCs w:val="28"/>
        </w:rPr>
        <w:br/>
      </w:r>
      <w:proofErr w:type="spellStart"/>
      <w:r w:rsidR="00954713" w:rsidRPr="00CF3D88">
        <w:rPr>
          <w:rFonts w:ascii="Arial" w:hAnsi="Arial"/>
          <w:caps w:val="0"/>
          <w:sz w:val="28"/>
          <w:szCs w:val="28"/>
        </w:rPr>
        <w:t>Adcetris</w:t>
      </w:r>
      <w:proofErr w:type="spellEnd"/>
      <w:r w:rsidR="00954713" w:rsidRPr="00CF3D88">
        <w:rPr>
          <w:rFonts w:ascii="Arial" w:hAnsi="Arial"/>
          <w:caps w:val="0"/>
          <w:sz w:val="28"/>
          <w:szCs w:val="28"/>
        </w:rPr>
        <w:t>®,</w:t>
      </w:r>
      <w:r w:rsidR="00485CB4">
        <w:rPr>
          <w:rFonts w:ascii="Arial" w:hAnsi="Arial"/>
          <w:caps w:val="0"/>
          <w:sz w:val="28"/>
          <w:szCs w:val="28"/>
        </w:rPr>
        <w:br/>
      </w:r>
      <w:r w:rsidR="00954713" w:rsidRPr="00CF3D88">
        <w:rPr>
          <w:rFonts w:ascii="Arial" w:hAnsi="Arial"/>
          <w:caps w:val="0"/>
          <w:sz w:val="28"/>
          <w:szCs w:val="28"/>
        </w:rPr>
        <w:t>Takeda Pharmaceuticals Australia Pty Ltd.</w:t>
      </w:r>
      <w:bookmarkEnd w:id="0"/>
      <w:bookmarkEnd w:id="1"/>
    </w:p>
    <w:p w:rsidR="00954713" w:rsidRPr="00CF3D88" w:rsidRDefault="00954713" w:rsidP="00954713"/>
    <w:p w:rsidR="00954713" w:rsidRPr="00CF3D88" w:rsidRDefault="00954713" w:rsidP="00954713"/>
    <w:p w:rsidR="009B3770" w:rsidRPr="00CF3D88" w:rsidRDefault="009B3770" w:rsidP="0043029A">
      <w:pPr>
        <w:pStyle w:val="PBACHeading1"/>
      </w:pPr>
      <w:bookmarkStart w:id="3" w:name="_Toc392857600"/>
      <w:bookmarkStart w:id="4" w:name="_Toc461607675"/>
      <w:r w:rsidRPr="00CF3D88">
        <w:t>Purpose of Application</w:t>
      </w:r>
      <w:bookmarkEnd w:id="3"/>
      <w:bookmarkEnd w:id="4"/>
    </w:p>
    <w:p w:rsidR="00954713" w:rsidRPr="00CF3D88" w:rsidRDefault="00954713" w:rsidP="00954713">
      <w:pPr>
        <w:rPr>
          <w:szCs w:val="22"/>
        </w:rPr>
      </w:pPr>
    </w:p>
    <w:p w:rsidR="00954713" w:rsidRPr="00CF3D88" w:rsidRDefault="00954713" w:rsidP="009530DB">
      <w:pPr>
        <w:widowControl/>
        <w:numPr>
          <w:ilvl w:val="1"/>
          <w:numId w:val="2"/>
        </w:numPr>
        <w:contextualSpacing/>
        <w:rPr>
          <w:szCs w:val="22"/>
        </w:rPr>
      </w:pPr>
      <w:r w:rsidRPr="00CF3D88">
        <w:t xml:space="preserve">The </w:t>
      </w:r>
      <w:r w:rsidR="00A8064E" w:rsidRPr="00CF3D88">
        <w:t xml:space="preserve">resubmission </w:t>
      </w:r>
      <w:r w:rsidRPr="00CF3D88">
        <w:t>requested Section 100 – Efficient Funding of Chemotherapy – listing for brentuximab vedotin for the treatment of patients with relapsed or refractory CD30+ Hodgkin lymphoma following autologous stem cell transplant (ASCT).</w:t>
      </w:r>
    </w:p>
    <w:p w:rsidR="00954713" w:rsidRPr="00CF3D88" w:rsidRDefault="00954713" w:rsidP="009B3770">
      <w:pPr>
        <w:pStyle w:val="PBACheading10"/>
        <w:ind w:left="720"/>
        <w:rPr>
          <w:b/>
        </w:rPr>
      </w:pPr>
    </w:p>
    <w:p w:rsidR="003948DD" w:rsidRPr="00CF3D88" w:rsidRDefault="003948DD" w:rsidP="009B3770">
      <w:pPr>
        <w:pStyle w:val="PBACheading10"/>
        <w:ind w:left="720"/>
        <w:rPr>
          <w:b/>
        </w:rPr>
      </w:pPr>
    </w:p>
    <w:p w:rsidR="00954713" w:rsidRPr="00CF3D88" w:rsidRDefault="008E67E9" w:rsidP="007C49BB">
      <w:pPr>
        <w:pStyle w:val="PBACHeading1"/>
      </w:pPr>
      <w:bookmarkStart w:id="5" w:name="_Toc461607676"/>
      <w:r w:rsidRPr="00CF3D88">
        <w:t>Proposed</w:t>
      </w:r>
      <w:r w:rsidR="00954713" w:rsidRPr="00CF3D88">
        <w:t xml:space="preserve"> listing</w:t>
      </w:r>
      <w:bookmarkEnd w:id="5"/>
    </w:p>
    <w:p w:rsidR="00E31069" w:rsidRPr="00CF3D88" w:rsidRDefault="00E31069" w:rsidP="00D03D13"/>
    <w:p w:rsidR="00E31069" w:rsidRPr="00CF3D88" w:rsidRDefault="00E31069" w:rsidP="009530DB">
      <w:pPr>
        <w:pStyle w:val="ListParagraph"/>
        <w:keepNext/>
        <w:widowControl/>
        <w:numPr>
          <w:ilvl w:val="1"/>
          <w:numId w:val="2"/>
        </w:numPr>
        <w:rPr>
          <w:rFonts w:ascii="Times New Roman" w:hAnsi="Times New Roman"/>
          <w:lang w:eastAsia="en-AU"/>
        </w:rPr>
      </w:pPr>
      <w:r w:rsidRPr="00CF3D88">
        <w:t>The PSCR (p1) argued that a biopsy (to obtain tissue for CD30</w:t>
      </w:r>
      <w:r w:rsidRPr="00CF3D88">
        <w:rPr>
          <w:rFonts w:ascii="Arial Italic" w:hAnsi="Arial Italic"/>
          <w:vertAlign w:val="superscript"/>
        </w:rPr>
        <w:t>+</w:t>
      </w:r>
      <w:r w:rsidRPr="00CF3D88">
        <w:t xml:space="preserve"> testing) is an invasive procedure, and having to repeat this (per the Secretariat’s suggestion: “A histology report including evidence of the tumour’s CD30 positivity subsequent to the most recently delivered prior therapy”) may be not be in the patients’ best interest. Furthermore, CD30</w:t>
      </w:r>
      <w:r w:rsidR="006C212A" w:rsidRPr="00CF3D88">
        <w:rPr>
          <w:rFonts w:ascii="Arial Italic" w:hAnsi="Arial Italic"/>
          <w:vertAlign w:val="superscript"/>
        </w:rPr>
        <w:t xml:space="preserve">+ </w:t>
      </w:r>
      <w:r w:rsidRPr="00CF3D88">
        <w:t>status does not change over the course of the disease. The ESC agreed, and advised that this criterion be removed from the restriction.</w:t>
      </w:r>
    </w:p>
    <w:p w:rsidR="00784344" w:rsidRPr="00CF3D88" w:rsidRDefault="00784344" w:rsidP="00784344">
      <w:pPr>
        <w:pStyle w:val="ListParagraph"/>
        <w:keepNext/>
        <w:widowControl/>
        <w:rPr>
          <w:rFonts w:ascii="Times New Roman" w:hAnsi="Times New Roman"/>
          <w:lang w:eastAsia="en-AU"/>
        </w:rPr>
      </w:pPr>
    </w:p>
    <w:p w:rsidR="00784344" w:rsidRPr="00CF3D88" w:rsidRDefault="00784344" w:rsidP="009530DB">
      <w:pPr>
        <w:pStyle w:val="ListParagraph"/>
        <w:keepNext/>
        <w:widowControl/>
        <w:numPr>
          <w:ilvl w:val="1"/>
          <w:numId w:val="2"/>
        </w:numPr>
      </w:pPr>
      <w:r w:rsidRPr="00CF3D88">
        <w:t xml:space="preserve">The ESC </w:t>
      </w:r>
      <w:r w:rsidR="00B75841" w:rsidRPr="00CF3D88">
        <w:t>considere</w:t>
      </w:r>
      <w:r w:rsidRPr="00CF3D88">
        <w:t>d that the continuation treatment should also have a written Authority restriction, given the requirement of providing several declarations at the time of request.</w:t>
      </w:r>
    </w:p>
    <w:p w:rsidR="00954713" w:rsidRPr="00CF3D88" w:rsidRDefault="00954713" w:rsidP="00954713"/>
    <w:p w:rsidR="00954713" w:rsidRPr="00CF3D88" w:rsidRDefault="00743464" w:rsidP="00C6471C">
      <w:pPr>
        <w:widowControl/>
        <w:ind w:left="720"/>
        <w:jc w:val="left"/>
        <w:rPr>
          <w:szCs w:val="22"/>
        </w:rPr>
      </w:pPr>
      <w:r w:rsidRPr="00CF3D88">
        <w:rPr>
          <w:szCs w:val="22"/>
        </w:rPr>
        <w:t>Suggestions and additions proposed by the Secretariat to the requested listing are added in italics and suggested deletions are crossed out with strikethrough</w:t>
      </w:r>
      <w:r w:rsidR="0035195E">
        <w:rPr>
          <w:szCs w:val="22"/>
        </w:rPr>
        <w:t>.</w:t>
      </w:r>
    </w:p>
    <w:p w:rsidR="00743464" w:rsidRPr="00CF3D88" w:rsidRDefault="00743464" w:rsidP="00743464">
      <w:pPr>
        <w:widowControl/>
        <w:jc w:val="left"/>
        <w:rPr>
          <w:szCs w:val="22"/>
        </w:rPr>
      </w:pPr>
    </w:p>
    <w:tbl>
      <w:tblPr>
        <w:tblW w:w="8363" w:type="dxa"/>
        <w:tblInd w:w="817" w:type="dxa"/>
        <w:tblLayout w:type="fixed"/>
        <w:tblLook w:val="0000" w:firstRow="0" w:lastRow="0" w:firstColumn="0" w:lastColumn="0" w:noHBand="0" w:noVBand="0"/>
      </w:tblPr>
      <w:tblGrid>
        <w:gridCol w:w="2549"/>
        <w:gridCol w:w="146"/>
        <w:gridCol w:w="137"/>
        <w:gridCol w:w="572"/>
        <w:gridCol w:w="567"/>
        <w:gridCol w:w="141"/>
        <w:gridCol w:w="1843"/>
        <w:gridCol w:w="140"/>
        <w:gridCol w:w="848"/>
        <w:gridCol w:w="146"/>
        <w:gridCol w:w="1274"/>
      </w:tblGrid>
      <w:tr w:rsidR="00743464" w:rsidRPr="00CF3D88" w:rsidTr="00C6471C">
        <w:trPr>
          <w:cantSplit/>
          <w:trHeight w:val="471"/>
        </w:trPr>
        <w:tc>
          <w:tcPr>
            <w:tcW w:w="2698" w:type="dxa"/>
            <w:gridSpan w:val="2"/>
            <w:tcBorders>
              <w:bottom w:val="single" w:sz="4" w:space="0" w:color="auto"/>
            </w:tcBorders>
          </w:tcPr>
          <w:p w:rsidR="00743464" w:rsidRPr="00CF3D88" w:rsidRDefault="00743464" w:rsidP="00743464">
            <w:pPr>
              <w:keepNext/>
              <w:ind w:left="-108"/>
              <w:rPr>
                <w:rFonts w:ascii="Arial Narrow" w:hAnsi="Arial Narrow"/>
                <w:sz w:val="20"/>
              </w:rPr>
            </w:pPr>
            <w:r w:rsidRPr="00CF3D88">
              <w:rPr>
                <w:rFonts w:ascii="Arial Narrow" w:hAnsi="Arial Narrow"/>
                <w:sz w:val="20"/>
              </w:rPr>
              <w:t>Name, Restriction,</w:t>
            </w:r>
          </w:p>
          <w:p w:rsidR="00743464" w:rsidRPr="00CF3D88" w:rsidRDefault="00743464" w:rsidP="00743464">
            <w:pPr>
              <w:keepNext/>
              <w:ind w:left="-108"/>
              <w:rPr>
                <w:rFonts w:ascii="Arial Narrow" w:hAnsi="Arial Narrow"/>
                <w:sz w:val="20"/>
              </w:rPr>
            </w:pPr>
            <w:r w:rsidRPr="00CF3D88">
              <w:rPr>
                <w:rFonts w:ascii="Arial Narrow" w:hAnsi="Arial Narrow"/>
                <w:sz w:val="20"/>
              </w:rPr>
              <w:t>Manner of administration and form</w:t>
            </w:r>
          </w:p>
        </w:tc>
        <w:tc>
          <w:tcPr>
            <w:tcW w:w="704" w:type="dxa"/>
            <w:gridSpan w:val="2"/>
            <w:tcBorders>
              <w:bottom w:val="single" w:sz="4" w:space="0" w:color="auto"/>
            </w:tcBorders>
          </w:tcPr>
          <w:p w:rsidR="00743464" w:rsidRPr="00CF3D88" w:rsidRDefault="00743464" w:rsidP="00743464">
            <w:pPr>
              <w:keepNext/>
              <w:ind w:left="-108"/>
              <w:rPr>
                <w:rFonts w:ascii="Arial Narrow" w:hAnsi="Arial Narrow"/>
                <w:sz w:val="20"/>
              </w:rPr>
            </w:pPr>
            <w:r w:rsidRPr="00CF3D88">
              <w:rPr>
                <w:rFonts w:ascii="Arial Narrow" w:hAnsi="Arial Narrow"/>
                <w:sz w:val="20"/>
              </w:rPr>
              <w:t>Max.</w:t>
            </w:r>
          </w:p>
          <w:p w:rsidR="00743464" w:rsidRPr="00CF3D88" w:rsidRDefault="006B47FE" w:rsidP="00743464">
            <w:pPr>
              <w:keepNext/>
              <w:ind w:left="-108"/>
              <w:rPr>
                <w:rFonts w:ascii="Arial Narrow" w:hAnsi="Arial Narrow"/>
                <w:sz w:val="20"/>
              </w:rPr>
            </w:pPr>
            <w:r w:rsidRPr="00CF3D88">
              <w:rPr>
                <w:rFonts w:ascii="Arial Narrow" w:hAnsi="Arial Narrow"/>
                <w:sz w:val="20"/>
              </w:rPr>
              <w:t>Amount</w:t>
            </w:r>
          </w:p>
        </w:tc>
        <w:tc>
          <w:tcPr>
            <w:tcW w:w="567" w:type="dxa"/>
            <w:tcBorders>
              <w:bottom w:val="single" w:sz="4" w:space="0" w:color="auto"/>
            </w:tcBorders>
          </w:tcPr>
          <w:p w:rsidR="00743464" w:rsidRPr="00CF3D88" w:rsidRDefault="00743464" w:rsidP="00743464">
            <w:pPr>
              <w:keepNext/>
              <w:ind w:left="-108"/>
              <w:rPr>
                <w:rFonts w:ascii="Arial Narrow" w:hAnsi="Arial Narrow"/>
                <w:sz w:val="20"/>
              </w:rPr>
            </w:pPr>
            <w:r w:rsidRPr="00CF3D88">
              <w:rPr>
                <w:rFonts w:ascii="Arial Narrow" w:hAnsi="Arial Narrow"/>
                <w:sz w:val="20"/>
              </w:rPr>
              <w:t>№.of</w:t>
            </w:r>
          </w:p>
          <w:p w:rsidR="00743464" w:rsidRPr="00CF3D88" w:rsidRDefault="00743464" w:rsidP="00743464">
            <w:pPr>
              <w:keepNext/>
              <w:ind w:left="-108"/>
              <w:rPr>
                <w:rFonts w:ascii="Arial Narrow" w:hAnsi="Arial Narrow"/>
                <w:sz w:val="20"/>
              </w:rPr>
            </w:pPr>
            <w:r w:rsidRPr="00CF3D88">
              <w:rPr>
                <w:rFonts w:ascii="Arial Narrow" w:hAnsi="Arial Narrow"/>
                <w:sz w:val="20"/>
              </w:rPr>
              <w:t>Rpts</w:t>
            </w:r>
          </w:p>
        </w:tc>
        <w:tc>
          <w:tcPr>
            <w:tcW w:w="1985" w:type="dxa"/>
            <w:gridSpan w:val="2"/>
            <w:tcBorders>
              <w:bottom w:val="single" w:sz="4" w:space="0" w:color="auto"/>
            </w:tcBorders>
          </w:tcPr>
          <w:p w:rsidR="00743464" w:rsidRPr="00CF3D88" w:rsidRDefault="00743464" w:rsidP="001E26F1">
            <w:pPr>
              <w:keepNext/>
              <w:ind w:left="-108"/>
              <w:rPr>
                <w:rFonts w:ascii="Arial Narrow" w:hAnsi="Arial Narrow"/>
                <w:sz w:val="20"/>
              </w:rPr>
            </w:pPr>
            <w:r w:rsidRPr="00CF3D88">
              <w:rPr>
                <w:rFonts w:ascii="Arial Narrow" w:hAnsi="Arial Narrow"/>
                <w:sz w:val="20"/>
              </w:rPr>
              <w:t xml:space="preserve">Dispensed Price for Max. </w:t>
            </w:r>
            <w:r w:rsidR="001E26F1">
              <w:rPr>
                <w:rFonts w:ascii="Arial Narrow" w:hAnsi="Arial Narrow"/>
                <w:sz w:val="20"/>
              </w:rPr>
              <w:t>Amount</w:t>
            </w:r>
          </w:p>
        </w:tc>
        <w:tc>
          <w:tcPr>
            <w:tcW w:w="2409" w:type="dxa"/>
            <w:gridSpan w:val="4"/>
            <w:tcBorders>
              <w:bottom w:val="single" w:sz="4" w:space="0" w:color="auto"/>
            </w:tcBorders>
          </w:tcPr>
          <w:p w:rsidR="00743464" w:rsidRPr="00CF3D88" w:rsidRDefault="00C6471C" w:rsidP="00A27479">
            <w:pPr>
              <w:keepNext/>
              <w:rPr>
                <w:rFonts w:ascii="Arial Narrow" w:hAnsi="Arial Narrow"/>
                <w:sz w:val="20"/>
              </w:rPr>
            </w:pPr>
            <w:r>
              <w:rPr>
                <w:rFonts w:ascii="Arial Narrow" w:hAnsi="Arial Narrow"/>
                <w:sz w:val="20"/>
              </w:rPr>
              <w:t>Proprietary Name and</w:t>
            </w:r>
            <w:r w:rsidR="00A27479">
              <w:rPr>
                <w:rFonts w:ascii="Arial Narrow" w:hAnsi="Arial Narrow"/>
                <w:sz w:val="20"/>
              </w:rPr>
              <w:t xml:space="preserve"> </w:t>
            </w:r>
            <w:r w:rsidR="00743464" w:rsidRPr="00CF3D88">
              <w:rPr>
                <w:rFonts w:ascii="Arial Narrow" w:hAnsi="Arial Narrow"/>
                <w:sz w:val="20"/>
              </w:rPr>
              <w:t>Manufacturer</w:t>
            </w:r>
          </w:p>
        </w:tc>
      </w:tr>
      <w:tr w:rsidR="00743464" w:rsidRPr="00CF3D88" w:rsidTr="00C6471C">
        <w:trPr>
          <w:cantSplit/>
          <w:trHeight w:val="577"/>
        </w:trPr>
        <w:tc>
          <w:tcPr>
            <w:tcW w:w="2698" w:type="dxa"/>
            <w:gridSpan w:val="2"/>
            <w:vAlign w:val="center"/>
          </w:tcPr>
          <w:p w:rsidR="00743464" w:rsidRPr="00CF3D88" w:rsidRDefault="00743464" w:rsidP="00743464">
            <w:pPr>
              <w:keepNext/>
              <w:ind w:left="-108"/>
              <w:rPr>
                <w:rFonts w:ascii="Arial Narrow" w:hAnsi="Arial Narrow"/>
                <w:sz w:val="20"/>
              </w:rPr>
            </w:pPr>
            <w:r w:rsidRPr="00CF3D88">
              <w:rPr>
                <w:rFonts w:ascii="Arial Narrow" w:hAnsi="Arial Narrow"/>
                <w:sz w:val="20"/>
              </w:rPr>
              <w:t>BRENTUXIMAB VEDOTIN</w:t>
            </w:r>
          </w:p>
          <w:p w:rsidR="00743464" w:rsidRPr="00CF3D88" w:rsidRDefault="00743464" w:rsidP="00743464">
            <w:pPr>
              <w:keepNext/>
              <w:ind w:left="-108"/>
              <w:rPr>
                <w:rFonts w:ascii="Arial Narrow" w:hAnsi="Arial Narrow"/>
                <w:sz w:val="20"/>
              </w:rPr>
            </w:pPr>
            <w:r w:rsidRPr="00CF3D88">
              <w:rPr>
                <w:rFonts w:ascii="Arial Narrow" w:hAnsi="Arial Narrow"/>
                <w:sz w:val="20"/>
              </w:rPr>
              <w:t xml:space="preserve">50 mg vial for IV infusion, 1 </w:t>
            </w:r>
          </w:p>
        </w:tc>
        <w:tc>
          <w:tcPr>
            <w:tcW w:w="704" w:type="dxa"/>
            <w:gridSpan w:val="2"/>
            <w:vAlign w:val="center"/>
          </w:tcPr>
          <w:p w:rsidR="00743464" w:rsidRPr="00CF3D88" w:rsidRDefault="00743464" w:rsidP="00743464">
            <w:pPr>
              <w:keepNext/>
              <w:ind w:left="-108"/>
              <w:rPr>
                <w:rFonts w:ascii="Arial Narrow" w:hAnsi="Arial Narrow"/>
                <w:sz w:val="20"/>
              </w:rPr>
            </w:pPr>
          </w:p>
          <w:p w:rsidR="00743464" w:rsidRPr="00CF3D88" w:rsidRDefault="00743464" w:rsidP="00743464">
            <w:pPr>
              <w:keepNext/>
              <w:ind w:left="-108"/>
              <w:rPr>
                <w:rFonts w:ascii="Arial Narrow" w:hAnsi="Arial Narrow"/>
                <w:strike/>
                <w:sz w:val="20"/>
              </w:rPr>
            </w:pPr>
            <w:r w:rsidRPr="00CF3D88">
              <w:rPr>
                <w:rFonts w:ascii="Arial Narrow" w:hAnsi="Arial Narrow"/>
                <w:sz w:val="20"/>
              </w:rPr>
              <w:t>200 mg</w:t>
            </w:r>
          </w:p>
        </w:tc>
        <w:tc>
          <w:tcPr>
            <w:tcW w:w="567" w:type="dxa"/>
            <w:vAlign w:val="center"/>
          </w:tcPr>
          <w:p w:rsidR="00743464" w:rsidRPr="00CF3D88" w:rsidRDefault="00743464" w:rsidP="00743464">
            <w:pPr>
              <w:keepNext/>
              <w:ind w:left="-108"/>
              <w:rPr>
                <w:rFonts w:ascii="Arial Narrow" w:hAnsi="Arial Narrow"/>
                <w:sz w:val="20"/>
              </w:rPr>
            </w:pPr>
          </w:p>
          <w:p w:rsidR="00743464" w:rsidRPr="00CF3D88" w:rsidRDefault="00743464" w:rsidP="00743464">
            <w:pPr>
              <w:keepNext/>
              <w:ind w:left="-108"/>
              <w:rPr>
                <w:rFonts w:ascii="Arial Narrow" w:hAnsi="Arial Narrow"/>
                <w:sz w:val="20"/>
              </w:rPr>
            </w:pPr>
            <w:r w:rsidRPr="00CF3D88">
              <w:rPr>
                <w:rFonts w:ascii="Arial Narrow" w:hAnsi="Arial Narrow"/>
                <w:sz w:val="20"/>
              </w:rPr>
              <w:t>3</w:t>
            </w:r>
          </w:p>
        </w:tc>
        <w:tc>
          <w:tcPr>
            <w:tcW w:w="1985" w:type="dxa"/>
            <w:gridSpan w:val="2"/>
            <w:vAlign w:val="center"/>
          </w:tcPr>
          <w:p w:rsidR="00743464" w:rsidRPr="00CF3D88" w:rsidRDefault="00743464" w:rsidP="00743464">
            <w:pPr>
              <w:rPr>
                <w:rFonts w:ascii="Arial Narrow" w:hAnsi="Arial Narrow"/>
                <w:sz w:val="20"/>
              </w:rPr>
            </w:pPr>
          </w:p>
          <w:p w:rsidR="00743464" w:rsidRPr="00CF3D88" w:rsidRDefault="00743464" w:rsidP="00743464">
            <w:pP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r w:rsidRPr="00CF3D88">
              <w:rPr>
                <w:rFonts w:ascii="Arial Narrow" w:hAnsi="Arial Narrow"/>
                <w:sz w:val="20"/>
              </w:rPr>
              <w:t xml:space="preserve"> (Published)</w:t>
            </w:r>
          </w:p>
          <w:p w:rsidR="00743464" w:rsidRPr="00CF3D88" w:rsidRDefault="00743464" w:rsidP="00743464">
            <w:pPr>
              <w:keepNext/>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r w:rsidRPr="00CF3D88">
              <w:rPr>
                <w:rFonts w:ascii="Arial Narrow" w:hAnsi="Arial Narrow"/>
                <w:sz w:val="20"/>
              </w:rPr>
              <w:t xml:space="preserve"> (Effective)</w:t>
            </w:r>
          </w:p>
        </w:tc>
        <w:tc>
          <w:tcPr>
            <w:tcW w:w="988" w:type="dxa"/>
            <w:gridSpan w:val="2"/>
            <w:vAlign w:val="center"/>
          </w:tcPr>
          <w:p w:rsidR="00743464" w:rsidRPr="00CF3D88" w:rsidRDefault="006B47FE" w:rsidP="00743464">
            <w:pPr>
              <w:keepNext/>
              <w:rPr>
                <w:rFonts w:ascii="Arial Narrow" w:hAnsi="Arial Narrow"/>
                <w:sz w:val="20"/>
              </w:rPr>
            </w:pPr>
            <w:r w:rsidRPr="00CF3D88">
              <w:rPr>
                <w:rFonts w:ascii="Arial Narrow" w:hAnsi="Arial Narrow"/>
                <w:sz w:val="20"/>
              </w:rPr>
              <w:t>Adcetris</w:t>
            </w:r>
            <w:r w:rsidRPr="00CF3D88">
              <w:rPr>
                <w:rFonts w:ascii="Arial Narrow" w:hAnsi="Arial Narrow"/>
                <w:sz w:val="20"/>
                <w:vertAlign w:val="superscript"/>
              </w:rPr>
              <w:t>®</w:t>
            </w:r>
          </w:p>
        </w:tc>
        <w:tc>
          <w:tcPr>
            <w:tcW w:w="1421" w:type="dxa"/>
            <w:gridSpan w:val="2"/>
            <w:vAlign w:val="center"/>
          </w:tcPr>
          <w:p w:rsidR="00743464" w:rsidRPr="00CF3D88" w:rsidRDefault="006B47FE" w:rsidP="006B47FE">
            <w:pPr>
              <w:keepNext/>
              <w:rPr>
                <w:rFonts w:ascii="Arial Narrow" w:hAnsi="Arial Narrow"/>
                <w:sz w:val="20"/>
              </w:rPr>
            </w:pPr>
            <w:r w:rsidRPr="00CF3D88">
              <w:rPr>
                <w:rFonts w:ascii="Arial Narrow" w:hAnsi="Arial Narrow"/>
                <w:sz w:val="20"/>
              </w:rPr>
              <w:t xml:space="preserve">Takeda </w:t>
            </w:r>
            <w:r w:rsidR="00743464" w:rsidRPr="00CF3D88">
              <w:rPr>
                <w:rFonts w:ascii="Arial Narrow" w:hAnsi="Arial Narrow"/>
                <w:sz w:val="20"/>
              </w:rPr>
              <w:t>Pharmaceuticals Australia Pty Ltd</w:t>
            </w:r>
          </w:p>
        </w:tc>
      </w:tr>
      <w:tr w:rsidR="00743464" w:rsidRPr="00CF3D88" w:rsidTr="00C6471C">
        <w:trPr>
          <w:cantSplit/>
          <w:trHeight w:val="360"/>
        </w:trPr>
        <w:tc>
          <w:tcPr>
            <w:tcW w:w="8363" w:type="dxa"/>
            <w:gridSpan w:val="11"/>
            <w:tcBorders>
              <w:bottom w:val="single" w:sz="4" w:space="0" w:color="auto"/>
            </w:tcBorders>
          </w:tcPr>
          <w:p w:rsidR="00743464" w:rsidRPr="00CF3D88" w:rsidRDefault="00743464" w:rsidP="00743464">
            <w:pPr>
              <w:rPr>
                <w:rFonts w:ascii="Arial Narrow" w:hAnsi="Arial Narrow"/>
                <w:sz w:val="20"/>
              </w:rPr>
            </w:pPr>
          </w:p>
        </w:tc>
      </w:tr>
      <w:tr w:rsidR="00743464" w:rsidRPr="00CF3D88" w:rsidTr="00C6471C">
        <w:trPr>
          <w:cantSplit/>
          <w:trHeight w:val="360"/>
        </w:trPr>
        <w:tc>
          <w:tcPr>
            <w:tcW w:w="2835" w:type="dxa"/>
            <w:gridSpan w:val="3"/>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 xml:space="preserve">Category / </w:t>
            </w:r>
          </w:p>
          <w:p w:rsidR="00743464" w:rsidRPr="00CF3D88" w:rsidRDefault="00743464" w:rsidP="00743464">
            <w:pPr>
              <w:rPr>
                <w:rFonts w:ascii="Arial Narrow" w:hAnsi="Arial Narrow"/>
                <w:b/>
                <w:sz w:val="20"/>
              </w:rPr>
            </w:pPr>
            <w:r w:rsidRPr="00CF3D88">
              <w:rPr>
                <w:rFonts w:ascii="Arial Narrow" w:hAnsi="Arial Narrow"/>
                <w:b/>
                <w:sz w:val="20"/>
              </w:rPr>
              <w:t>Program</w:t>
            </w:r>
          </w:p>
        </w:tc>
        <w:tc>
          <w:tcPr>
            <w:tcW w:w="5528" w:type="dxa"/>
            <w:gridSpan w:val="8"/>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sz w:val="20"/>
              </w:rPr>
            </w:pPr>
            <w:r w:rsidRPr="00CF3D88">
              <w:rPr>
                <w:rFonts w:ascii="Arial Narrow" w:hAnsi="Arial Narrow"/>
                <w:sz w:val="20"/>
              </w:rPr>
              <w:t>Section 100 – Efficient Funding of Chemotherapy</w:t>
            </w:r>
          </w:p>
          <w:p w:rsidR="00743464" w:rsidRPr="00CF3D88" w:rsidRDefault="00743464" w:rsidP="00743464">
            <w:pPr>
              <w:rPr>
                <w:rFonts w:ascii="Arial Narrow" w:hAnsi="Arial Narrow"/>
                <w:sz w:val="20"/>
              </w:rPr>
            </w:pPr>
          </w:p>
        </w:tc>
      </w:tr>
      <w:tr w:rsidR="00743464" w:rsidRPr="00CF3D88" w:rsidTr="00C6471C">
        <w:trPr>
          <w:cantSplit/>
          <w:trHeight w:val="806"/>
        </w:trPr>
        <w:tc>
          <w:tcPr>
            <w:tcW w:w="2835" w:type="dxa"/>
            <w:gridSpan w:val="3"/>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Prescriber type:</w:t>
            </w:r>
          </w:p>
          <w:p w:rsidR="00743464" w:rsidRPr="00CF3D88" w:rsidRDefault="00743464" w:rsidP="00743464">
            <w:pPr>
              <w:rPr>
                <w:rFonts w:ascii="Arial Narrow" w:hAnsi="Arial Narrow"/>
                <w:b/>
                <w:sz w:val="20"/>
              </w:rPr>
            </w:pPr>
          </w:p>
        </w:tc>
        <w:tc>
          <w:tcPr>
            <w:tcW w:w="5528" w:type="dxa"/>
            <w:gridSpan w:val="8"/>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1"/>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Dental  </w:t>
            </w:r>
            <w:r w:rsidRPr="00CF3D88">
              <w:rPr>
                <w:rFonts w:ascii="Arial Narrow" w:hAnsi="Arial Narrow"/>
                <w:sz w:val="20"/>
              </w:rPr>
              <w:fldChar w:fldCharType="begin">
                <w:ffData>
                  <w:name w:val=""/>
                  <w:enabled/>
                  <w:calcOnExit w:val="0"/>
                  <w:checkBox>
                    <w:sizeAuto/>
                    <w:default w:val="1"/>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Medical Practitioners  </w:t>
            </w:r>
            <w:r w:rsidRPr="00CF3D88">
              <w:rPr>
                <w:rFonts w:ascii="Arial Narrow" w:hAnsi="Arial Narrow"/>
                <w:sz w:val="20"/>
              </w:rPr>
              <w:fldChar w:fldCharType="begin">
                <w:ffData>
                  <w:name w:val="Check3"/>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Nurse practitioners  </w:t>
            </w:r>
            <w:r w:rsidRPr="00CF3D88">
              <w:rPr>
                <w:rFonts w:ascii="Arial Narrow" w:hAnsi="Arial Narrow"/>
                <w:sz w:val="20"/>
              </w:rPr>
              <w:fldChar w:fldCharType="begin">
                <w:ffData>
                  <w:name w:val=""/>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Optometrists</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Midwives</w:t>
            </w:r>
          </w:p>
        </w:tc>
      </w:tr>
      <w:tr w:rsidR="00743464" w:rsidRPr="00CF3D88" w:rsidTr="00C6471C">
        <w:trPr>
          <w:cantSplit/>
          <w:trHeight w:val="360"/>
        </w:trPr>
        <w:tc>
          <w:tcPr>
            <w:tcW w:w="2835" w:type="dxa"/>
            <w:gridSpan w:val="3"/>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Severity:</w:t>
            </w:r>
          </w:p>
        </w:tc>
        <w:tc>
          <w:tcPr>
            <w:tcW w:w="5528" w:type="dxa"/>
            <w:gridSpan w:val="8"/>
            <w:tcBorders>
              <w:top w:val="single" w:sz="4" w:space="0" w:color="auto"/>
              <w:left w:val="single" w:sz="4" w:space="0" w:color="auto"/>
              <w:bottom w:val="single" w:sz="4" w:space="0" w:color="auto"/>
              <w:right w:val="single" w:sz="4" w:space="0" w:color="auto"/>
            </w:tcBorders>
            <w:vAlign w:val="center"/>
          </w:tcPr>
          <w:p w:rsidR="00743464" w:rsidRPr="00CF3D88" w:rsidRDefault="00743464" w:rsidP="00743464">
            <w:pPr>
              <w:rPr>
                <w:rFonts w:ascii="Arial Narrow" w:hAnsi="Arial Narrow"/>
                <w:i/>
                <w:sz w:val="20"/>
              </w:rPr>
            </w:pPr>
            <w:r w:rsidRPr="00CF3D88">
              <w:rPr>
                <w:rFonts w:ascii="Arial Narrow" w:hAnsi="Arial Narrow"/>
                <w:i/>
                <w:sz w:val="20"/>
              </w:rPr>
              <w:t>Relapsed or Refractory</w:t>
            </w:r>
          </w:p>
        </w:tc>
      </w:tr>
      <w:tr w:rsidR="00743464" w:rsidRPr="00CF3D88" w:rsidTr="00C6471C">
        <w:trPr>
          <w:cantSplit/>
          <w:trHeight w:val="360"/>
        </w:trPr>
        <w:tc>
          <w:tcPr>
            <w:tcW w:w="2835" w:type="dxa"/>
            <w:gridSpan w:val="3"/>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Condition:</w:t>
            </w:r>
          </w:p>
        </w:tc>
        <w:tc>
          <w:tcPr>
            <w:tcW w:w="5528" w:type="dxa"/>
            <w:gridSpan w:val="8"/>
            <w:tcBorders>
              <w:top w:val="single" w:sz="4" w:space="0" w:color="auto"/>
              <w:left w:val="single" w:sz="4" w:space="0" w:color="auto"/>
              <w:bottom w:val="single" w:sz="4" w:space="0" w:color="auto"/>
              <w:right w:val="single" w:sz="4" w:space="0" w:color="auto"/>
            </w:tcBorders>
            <w:vAlign w:val="center"/>
          </w:tcPr>
          <w:p w:rsidR="00743464" w:rsidRPr="00CF3D88" w:rsidRDefault="00743464" w:rsidP="00743464">
            <w:pPr>
              <w:rPr>
                <w:rFonts w:ascii="Arial Narrow" w:hAnsi="Arial Narrow"/>
                <w:i/>
                <w:sz w:val="20"/>
              </w:rPr>
            </w:pPr>
            <w:r w:rsidRPr="00CF3D88">
              <w:rPr>
                <w:rFonts w:ascii="Arial Narrow" w:hAnsi="Arial Narrow"/>
                <w:i/>
                <w:sz w:val="20"/>
              </w:rPr>
              <w:t>Hodgkin lymphoma</w:t>
            </w:r>
          </w:p>
        </w:tc>
      </w:tr>
      <w:tr w:rsidR="00743464" w:rsidRPr="00CF3D88" w:rsidTr="00C6471C">
        <w:trPr>
          <w:cantSplit/>
          <w:trHeight w:val="307"/>
        </w:trPr>
        <w:tc>
          <w:tcPr>
            <w:tcW w:w="2835" w:type="dxa"/>
            <w:gridSpan w:val="3"/>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i/>
                <w:sz w:val="20"/>
              </w:rPr>
            </w:pPr>
            <w:r w:rsidRPr="00CF3D88">
              <w:rPr>
                <w:rFonts w:ascii="Arial Narrow" w:hAnsi="Arial Narrow"/>
                <w:b/>
                <w:sz w:val="20"/>
              </w:rPr>
              <w:t>PBS Indication:</w:t>
            </w:r>
          </w:p>
        </w:tc>
        <w:tc>
          <w:tcPr>
            <w:tcW w:w="5528" w:type="dxa"/>
            <w:gridSpan w:val="8"/>
            <w:tcBorders>
              <w:top w:val="single" w:sz="4" w:space="0" w:color="auto"/>
              <w:left w:val="single" w:sz="4" w:space="0" w:color="auto"/>
              <w:bottom w:val="single" w:sz="4" w:space="0" w:color="auto"/>
              <w:right w:val="single" w:sz="4" w:space="0" w:color="auto"/>
            </w:tcBorders>
            <w:vAlign w:val="center"/>
          </w:tcPr>
          <w:p w:rsidR="00743464" w:rsidRPr="00CF3D88" w:rsidRDefault="00743464" w:rsidP="00743464">
            <w:pPr>
              <w:rPr>
                <w:rFonts w:ascii="Arial Narrow" w:hAnsi="Arial Narrow"/>
                <w:sz w:val="20"/>
              </w:rPr>
            </w:pPr>
            <w:r w:rsidRPr="00CF3D88">
              <w:rPr>
                <w:rFonts w:ascii="Arial Narrow" w:hAnsi="Arial Narrow"/>
                <w:i/>
                <w:sz w:val="20"/>
              </w:rPr>
              <w:t>Relapsed or Refractory Hodgkin lymphoma</w:t>
            </w:r>
          </w:p>
        </w:tc>
      </w:tr>
      <w:tr w:rsidR="00743464" w:rsidRPr="00CF3D88" w:rsidTr="00C6471C">
        <w:trPr>
          <w:cantSplit/>
          <w:trHeight w:val="360"/>
        </w:trPr>
        <w:tc>
          <w:tcPr>
            <w:tcW w:w="2835" w:type="dxa"/>
            <w:gridSpan w:val="3"/>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Treatment phase:</w:t>
            </w:r>
          </w:p>
          <w:p w:rsidR="00743464" w:rsidRPr="00CF3D88" w:rsidRDefault="00743464" w:rsidP="00743464">
            <w:pPr>
              <w:rPr>
                <w:rFonts w:ascii="Arial Narrow" w:hAnsi="Arial Narrow"/>
                <w:i/>
                <w:sz w:val="20"/>
              </w:rPr>
            </w:pPr>
          </w:p>
        </w:tc>
        <w:tc>
          <w:tcPr>
            <w:tcW w:w="5528" w:type="dxa"/>
            <w:gridSpan w:val="8"/>
            <w:tcBorders>
              <w:top w:val="single" w:sz="4" w:space="0" w:color="auto"/>
              <w:left w:val="single" w:sz="4" w:space="0" w:color="auto"/>
              <w:bottom w:val="single" w:sz="4" w:space="0" w:color="auto"/>
              <w:right w:val="single" w:sz="4" w:space="0" w:color="auto"/>
            </w:tcBorders>
            <w:vAlign w:val="center"/>
          </w:tcPr>
          <w:p w:rsidR="00743464" w:rsidRPr="00CF3D88" w:rsidRDefault="00743464" w:rsidP="00743464">
            <w:pPr>
              <w:rPr>
                <w:rFonts w:ascii="Arial Narrow" w:hAnsi="Arial Narrow"/>
                <w:sz w:val="20"/>
              </w:rPr>
            </w:pPr>
            <w:r w:rsidRPr="00CF3D88">
              <w:rPr>
                <w:rFonts w:ascii="Arial Narrow" w:hAnsi="Arial Narrow"/>
                <w:sz w:val="20"/>
              </w:rPr>
              <w:t>Initial treatment</w:t>
            </w:r>
          </w:p>
        </w:tc>
      </w:tr>
      <w:tr w:rsidR="00743464" w:rsidRPr="00CF3D88" w:rsidTr="00C6471C">
        <w:trPr>
          <w:cantSplit/>
          <w:trHeight w:val="70"/>
        </w:trPr>
        <w:tc>
          <w:tcPr>
            <w:tcW w:w="2835" w:type="dxa"/>
            <w:gridSpan w:val="3"/>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lastRenderedPageBreak/>
              <w:t>Restriction Level / Method:</w:t>
            </w:r>
          </w:p>
          <w:p w:rsidR="00743464" w:rsidRPr="00CF3D88" w:rsidRDefault="00743464" w:rsidP="00743464">
            <w:pPr>
              <w:rPr>
                <w:rFonts w:ascii="Arial Narrow" w:hAnsi="Arial Narrow"/>
                <w:i/>
                <w:sz w:val="20"/>
                <w:highlight w:val="yellow"/>
              </w:rPr>
            </w:pPr>
          </w:p>
          <w:p w:rsidR="00743464" w:rsidRPr="00CF3D88" w:rsidRDefault="00743464" w:rsidP="00743464">
            <w:pPr>
              <w:rPr>
                <w:rFonts w:ascii="Arial Narrow" w:hAnsi="Arial Narrow"/>
                <w:i/>
                <w:sz w:val="20"/>
              </w:rPr>
            </w:pPr>
          </w:p>
          <w:p w:rsidR="00743464" w:rsidRPr="00CF3D88" w:rsidRDefault="00743464" w:rsidP="00743464">
            <w:pPr>
              <w:rPr>
                <w:rFonts w:ascii="Arial Narrow" w:hAnsi="Arial Narrow"/>
                <w:i/>
                <w:sz w:val="20"/>
              </w:rPr>
            </w:pPr>
          </w:p>
        </w:tc>
        <w:tc>
          <w:tcPr>
            <w:tcW w:w="5528" w:type="dxa"/>
            <w:gridSpan w:val="8"/>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1"/>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Restricted benefit</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
                  <w:enabled/>
                  <w:calcOnExit w:val="0"/>
                  <w:checkBox>
                    <w:sizeAuto/>
                    <w:default w:val="1"/>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In Writing</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3"/>
                  <w:enabled/>
                  <w:calcOnExit w:val="0"/>
                  <w:checkBox>
                    <w:sizeAuto/>
                    <w:default w:val="0"/>
                  </w:checkBox>
                </w:ffData>
              </w:fldChar>
            </w:r>
            <w:bookmarkStart w:id="6" w:name="Check3"/>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bookmarkEnd w:id="6"/>
            <w:r w:rsidRPr="00CF3D88">
              <w:rPr>
                <w:rFonts w:ascii="Arial Narrow" w:hAnsi="Arial Narrow"/>
                <w:sz w:val="20"/>
              </w:rPr>
              <w:t>Authority Required - Telephone</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Emergency</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bookmarkStart w:id="7" w:name="Check5"/>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bookmarkEnd w:id="7"/>
            <w:r w:rsidRPr="00CF3D88">
              <w:rPr>
                <w:rFonts w:ascii="Arial Narrow" w:hAnsi="Arial Narrow"/>
                <w:sz w:val="20"/>
              </w:rPr>
              <w:t>Authority Required - Electronic</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Streamlined</w:t>
            </w:r>
          </w:p>
        </w:tc>
      </w:tr>
      <w:tr w:rsidR="00743464" w:rsidRPr="00CF3D88" w:rsidTr="00C6471C">
        <w:trPr>
          <w:cantSplit/>
          <w:trHeight w:val="360"/>
        </w:trPr>
        <w:tc>
          <w:tcPr>
            <w:tcW w:w="2835" w:type="dxa"/>
            <w:gridSpan w:val="3"/>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Clinical criteria:</w:t>
            </w:r>
          </w:p>
          <w:p w:rsidR="00743464" w:rsidRPr="00CF3D88" w:rsidRDefault="00743464" w:rsidP="00743464">
            <w:pPr>
              <w:rPr>
                <w:rFonts w:ascii="Arial Narrow" w:hAnsi="Arial Narrow"/>
                <w:i/>
                <w:sz w:val="20"/>
              </w:rPr>
            </w:pPr>
          </w:p>
          <w:p w:rsidR="00743464" w:rsidRPr="00CF3D88" w:rsidRDefault="00743464" w:rsidP="00743464">
            <w:pPr>
              <w:rPr>
                <w:rFonts w:ascii="Arial Narrow" w:hAnsi="Arial Narrow"/>
                <w:sz w:val="20"/>
              </w:rPr>
            </w:pPr>
          </w:p>
        </w:tc>
        <w:tc>
          <w:tcPr>
            <w:tcW w:w="5528" w:type="dxa"/>
            <w:gridSpan w:val="8"/>
            <w:tcBorders>
              <w:top w:val="single" w:sz="4" w:space="0" w:color="auto"/>
              <w:left w:val="single" w:sz="4" w:space="0" w:color="auto"/>
              <w:bottom w:val="single" w:sz="4" w:space="0" w:color="auto"/>
              <w:right w:val="single" w:sz="4" w:space="0" w:color="auto"/>
            </w:tcBorders>
          </w:tcPr>
          <w:p w:rsidR="00743464" w:rsidRPr="00CF3D88" w:rsidRDefault="00743464" w:rsidP="00743464">
            <w:pPr>
              <w:keepNext/>
              <w:keepLines/>
              <w:spacing w:beforeLines="40" w:before="96" w:after="40"/>
              <w:rPr>
                <w:rFonts w:ascii="Arial Narrow" w:hAnsi="Arial Narrow"/>
                <w:i/>
                <w:sz w:val="20"/>
              </w:rPr>
            </w:pPr>
            <w:r w:rsidRPr="00CF3D88">
              <w:rPr>
                <w:rFonts w:ascii="Arial Narrow" w:hAnsi="Arial Narrow"/>
                <w:i/>
                <w:sz w:val="20"/>
              </w:rPr>
              <w:t>Patient must have undergone a primary autologous stem cell transplant (ASCT)</w:t>
            </w:r>
          </w:p>
          <w:p w:rsidR="00743464" w:rsidRPr="00CF3D88" w:rsidRDefault="00743464" w:rsidP="00743464">
            <w:pPr>
              <w:keepNext/>
              <w:keepLines/>
              <w:spacing w:beforeLines="40" w:before="96" w:after="40"/>
              <w:rPr>
                <w:rFonts w:ascii="Arial Narrow" w:hAnsi="Arial Narrow"/>
                <w:i/>
                <w:sz w:val="20"/>
              </w:rPr>
            </w:pPr>
            <w:r w:rsidRPr="00CF3D88">
              <w:rPr>
                <w:rFonts w:ascii="Arial Narrow" w:hAnsi="Arial Narrow"/>
                <w:i/>
                <w:sz w:val="20"/>
              </w:rPr>
              <w:t>AND</w:t>
            </w:r>
          </w:p>
          <w:p w:rsidR="00743464" w:rsidRPr="00CF3D88" w:rsidRDefault="00743464" w:rsidP="00743464">
            <w:pPr>
              <w:keepNext/>
              <w:keepLines/>
              <w:spacing w:beforeLines="40" w:before="96" w:after="40"/>
              <w:rPr>
                <w:rFonts w:ascii="Arial Narrow" w:hAnsi="Arial Narrow"/>
                <w:i/>
                <w:sz w:val="20"/>
              </w:rPr>
            </w:pPr>
            <w:r w:rsidRPr="00CF3D88">
              <w:rPr>
                <w:rFonts w:ascii="Arial Narrow" w:hAnsi="Arial Narrow"/>
                <w:i/>
                <w:sz w:val="20"/>
              </w:rPr>
              <w:t>Patient must have experienced a relapsed CD30+ Hodgkin lymphoma post ASCT; OR</w:t>
            </w:r>
          </w:p>
          <w:p w:rsidR="00743464" w:rsidRPr="00CF3D88" w:rsidRDefault="00743464" w:rsidP="00743464">
            <w:pPr>
              <w:keepNext/>
              <w:keepLines/>
              <w:spacing w:beforeLines="40" w:before="96" w:after="40"/>
              <w:rPr>
                <w:rFonts w:ascii="Arial Narrow" w:hAnsi="Arial Narrow"/>
                <w:i/>
                <w:sz w:val="20"/>
              </w:rPr>
            </w:pPr>
            <w:r w:rsidRPr="00CF3D88">
              <w:rPr>
                <w:rFonts w:ascii="Arial Narrow" w:hAnsi="Arial Narrow"/>
                <w:i/>
                <w:sz w:val="20"/>
              </w:rPr>
              <w:t>Patient  must have experienced a refractory CD30+ Hodgkin lymphoma post ASCT</w:t>
            </w:r>
          </w:p>
          <w:p w:rsidR="00743464" w:rsidRPr="00CF3D88" w:rsidRDefault="00743464" w:rsidP="00743464">
            <w:pPr>
              <w:keepNext/>
              <w:keepLines/>
              <w:spacing w:beforeLines="40" w:before="96" w:after="40"/>
              <w:rPr>
                <w:rFonts w:ascii="Arial Narrow" w:hAnsi="Arial Narrow"/>
                <w:i/>
                <w:sz w:val="20"/>
              </w:rPr>
            </w:pPr>
            <w:r w:rsidRPr="00CF3D88">
              <w:rPr>
                <w:rFonts w:ascii="Arial Narrow" w:hAnsi="Arial Narrow"/>
                <w:i/>
                <w:sz w:val="20"/>
              </w:rPr>
              <w:t>AND</w:t>
            </w:r>
          </w:p>
          <w:p w:rsidR="00743464" w:rsidRPr="00CF3D88" w:rsidRDefault="00743464" w:rsidP="00743464">
            <w:pPr>
              <w:keepNext/>
              <w:keepLines/>
              <w:spacing w:beforeLines="40" w:before="96" w:after="40"/>
              <w:rPr>
                <w:rFonts w:ascii="Arial Narrow" w:hAnsi="Arial Narrow"/>
                <w:i/>
                <w:sz w:val="20"/>
              </w:rPr>
            </w:pPr>
            <w:r w:rsidRPr="00CF3D88">
              <w:rPr>
                <w:rFonts w:ascii="Arial Narrow" w:hAnsi="Arial Narrow"/>
                <w:i/>
                <w:sz w:val="20"/>
              </w:rPr>
              <w:t>Patient must not receive more than 4 cycles of treatment under this restriction</w:t>
            </w:r>
          </w:p>
          <w:p w:rsidR="00743464" w:rsidRPr="00CF3D88" w:rsidRDefault="00743464" w:rsidP="00743464">
            <w:pPr>
              <w:keepNext/>
              <w:keepLines/>
              <w:spacing w:beforeLines="40" w:before="96" w:after="40"/>
              <w:rPr>
                <w:rFonts w:ascii="Arial Narrow" w:hAnsi="Arial Narrow"/>
                <w:strike/>
                <w:sz w:val="20"/>
              </w:rPr>
            </w:pPr>
            <w:r w:rsidRPr="00CF3D88">
              <w:rPr>
                <w:rFonts w:ascii="Arial Narrow" w:hAnsi="Arial Narrow"/>
                <w:strike/>
                <w:sz w:val="20"/>
              </w:rPr>
              <w:t>The patient must have undergone appropriate prior front-line curative intent chemotherapy and at least one prior line of curative intent salvage therapy including a first autologous stem ce</w:t>
            </w:r>
            <w:r w:rsidR="00D94334">
              <w:rPr>
                <w:rFonts w:ascii="Arial Narrow" w:hAnsi="Arial Narrow"/>
                <w:strike/>
                <w:sz w:val="20"/>
              </w:rPr>
              <w:t>ll transplant (ASCT)</w:t>
            </w:r>
          </w:p>
          <w:p w:rsidR="00743464" w:rsidRPr="00CF3D88" w:rsidRDefault="00D94334" w:rsidP="00743464">
            <w:pPr>
              <w:keepNext/>
              <w:keepLines/>
              <w:spacing w:beforeLines="40" w:before="96" w:after="40"/>
              <w:rPr>
                <w:rFonts w:ascii="Arial Narrow" w:hAnsi="Arial Narrow"/>
                <w:strike/>
                <w:sz w:val="20"/>
              </w:rPr>
            </w:pPr>
            <w:r>
              <w:rPr>
                <w:rFonts w:ascii="Arial Narrow" w:hAnsi="Arial Narrow"/>
                <w:strike/>
                <w:sz w:val="20"/>
              </w:rPr>
              <w:t>AND</w:t>
            </w:r>
          </w:p>
          <w:p w:rsidR="00743464" w:rsidRPr="00CF3D88" w:rsidRDefault="00743464" w:rsidP="00743464">
            <w:pPr>
              <w:rPr>
                <w:rFonts w:ascii="Arial Narrow" w:hAnsi="Arial Narrow"/>
                <w:sz w:val="20"/>
              </w:rPr>
            </w:pPr>
            <w:r w:rsidRPr="00CF3D88">
              <w:rPr>
                <w:rFonts w:ascii="Arial Narrow" w:hAnsi="Arial Narrow"/>
                <w:strike/>
                <w:sz w:val="20"/>
              </w:rPr>
              <w:t>The patient must demonstrate relapsed or refractory Hodgkin lymphoma disease after their ASCT</w:t>
            </w:r>
          </w:p>
          <w:p w:rsidR="00743464" w:rsidRPr="00CF3D88" w:rsidRDefault="00743464" w:rsidP="00743464">
            <w:pPr>
              <w:rPr>
                <w:rFonts w:ascii="Arial Narrow" w:hAnsi="Arial Narrow"/>
                <w:sz w:val="20"/>
              </w:rPr>
            </w:pPr>
          </w:p>
        </w:tc>
      </w:tr>
      <w:tr w:rsidR="00743464" w:rsidRPr="00CF3D88" w:rsidTr="00C6471C">
        <w:trPr>
          <w:cantSplit/>
          <w:trHeight w:val="360"/>
        </w:trPr>
        <w:tc>
          <w:tcPr>
            <w:tcW w:w="2835" w:type="dxa"/>
            <w:gridSpan w:val="3"/>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Prescriber Instructions</w:t>
            </w:r>
          </w:p>
          <w:p w:rsidR="00743464" w:rsidRPr="00CF3D88" w:rsidRDefault="00743464" w:rsidP="00743464">
            <w:pPr>
              <w:rPr>
                <w:rFonts w:ascii="Arial Narrow" w:hAnsi="Arial Narrow"/>
                <w:sz w:val="20"/>
              </w:rPr>
            </w:pPr>
          </w:p>
        </w:tc>
        <w:tc>
          <w:tcPr>
            <w:tcW w:w="5528" w:type="dxa"/>
            <w:gridSpan w:val="8"/>
            <w:tcBorders>
              <w:top w:val="single" w:sz="4" w:space="0" w:color="auto"/>
              <w:left w:val="single" w:sz="4" w:space="0" w:color="auto"/>
              <w:bottom w:val="single" w:sz="4" w:space="0" w:color="auto"/>
              <w:right w:val="single" w:sz="4" w:space="0" w:color="auto"/>
            </w:tcBorders>
          </w:tcPr>
          <w:p w:rsidR="00743464" w:rsidRPr="00CF3D88" w:rsidRDefault="00743464" w:rsidP="00743464">
            <w:pPr>
              <w:keepNext/>
              <w:keepLines/>
              <w:spacing w:before="40"/>
              <w:rPr>
                <w:rFonts w:ascii="Arial Narrow" w:hAnsi="Arial Narrow"/>
                <w:sz w:val="20"/>
              </w:rPr>
            </w:pPr>
            <w:r w:rsidRPr="00CF3D88">
              <w:rPr>
                <w:rFonts w:ascii="Arial Narrow" w:hAnsi="Arial Narrow"/>
                <w:sz w:val="20"/>
              </w:rPr>
              <w:t xml:space="preserve">Applications for authorisation of initial treatment must </w:t>
            </w:r>
            <w:r w:rsidR="00D94334">
              <w:rPr>
                <w:rFonts w:ascii="Arial Narrow" w:hAnsi="Arial Narrow"/>
                <w:sz w:val="20"/>
              </w:rPr>
              <w:t>be in writing and must include:</w:t>
            </w:r>
          </w:p>
          <w:p w:rsidR="00743464" w:rsidRPr="00CF3D88" w:rsidRDefault="00743464" w:rsidP="00743464">
            <w:pPr>
              <w:keepNext/>
              <w:keepLines/>
              <w:spacing w:before="40"/>
              <w:rPr>
                <w:rFonts w:ascii="Arial Narrow" w:hAnsi="Arial Narrow"/>
                <w:sz w:val="20"/>
              </w:rPr>
            </w:pPr>
            <w:r w:rsidRPr="00CF3D88">
              <w:rPr>
                <w:rFonts w:ascii="Arial Narrow" w:hAnsi="Arial Narrow"/>
                <w:sz w:val="20"/>
              </w:rPr>
              <w:t>(a) a completed a</w:t>
            </w:r>
            <w:r w:rsidR="00D94334">
              <w:rPr>
                <w:rFonts w:ascii="Arial Narrow" w:hAnsi="Arial Narrow"/>
                <w:sz w:val="20"/>
              </w:rPr>
              <w:t>uthority prescription form; and</w:t>
            </w:r>
          </w:p>
          <w:p w:rsidR="00743464" w:rsidRPr="00CF3D88" w:rsidRDefault="00743464" w:rsidP="00743464">
            <w:pPr>
              <w:keepNext/>
              <w:keepLines/>
              <w:spacing w:before="40"/>
              <w:rPr>
                <w:rFonts w:ascii="Arial Narrow" w:hAnsi="Arial Narrow"/>
                <w:sz w:val="20"/>
              </w:rPr>
            </w:pPr>
            <w:r w:rsidRPr="00CF3D88">
              <w:rPr>
                <w:rFonts w:ascii="Arial Narrow" w:hAnsi="Arial Narrow"/>
                <w:sz w:val="20"/>
              </w:rPr>
              <w:t xml:space="preserve">(b) a completed Hodgkin lymphoma Brentuximab </w:t>
            </w:r>
            <w:r w:rsidRPr="00CF3D88">
              <w:rPr>
                <w:rFonts w:ascii="Arial Narrow" w:hAnsi="Arial Narrow"/>
                <w:strike/>
                <w:sz w:val="20"/>
              </w:rPr>
              <w:t xml:space="preserve">vedotin </w:t>
            </w:r>
            <w:r w:rsidR="00D94334">
              <w:rPr>
                <w:rFonts w:ascii="Arial Narrow" w:hAnsi="Arial Narrow"/>
                <w:sz w:val="20"/>
              </w:rPr>
              <w:t>PBS Authority Application -</w:t>
            </w:r>
          </w:p>
          <w:p w:rsidR="00743464" w:rsidRPr="00CF3D88" w:rsidRDefault="00743464" w:rsidP="00743464">
            <w:pPr>
              <w:keepNext/>
              <w:keepLines/>
              <w:spacing w:before="40"/>
              <w:rPr>
                <w:rFonts w:ascii="Arial Narrow" w:hAnsi="Arial Narrow"/>
                <w:sz w:val="20"/>
              </w:rPr>
            </w:pPr>
            <w:r w:rsidRPr="00CF3D88">
              <w:rPr>
                <w:rFonts w:ascii="Arial Narrow" w:hAnsi="Arial Narrow"/>
                <w:sz w:val="20"/>
              </w:rPr>
              <w:t>Supporting Information For</w:t>
            </w:r>
            <w:r w:rsidR="00D94334">
              <w:rPr>
                <w:rFonts w:ascii="Arial Narrow" w:hAnsi="Arial Narrow"/>
                <w:sz w:val="20"/>
              </w:rPr>
              <w:t>m which includes the following:</w:t>
            </w:r>
          </w:p>
          <w:p w:rsidR="00743464" w:rsidRPr="00CF3D88" w:rsidRDefault="00743464" w:rsidP="009530DB">
            <w:pPr>
              <w:pStyle w:val="ListParagraph"/>
              <w:keepNext/>
              <w:keepLines/>
              <w:numPr>
                <w:ilvl w:val="0"/>
                <w:numId w:val="11"/>
              </w:numPr>
              <w:spacing w:before="40"/>
              <w:rPr>
                <w:rFonts w:ascii="Arial Narrow" w:hAnsi="Arial Narrow"/>
                <w:sz w:val="20"/>
              </w:rPr>
            </w:pPr>
            <w:r w:rsidRPr="00CF3D88">
              <w:rPr>
                <w:rFonts w:ascii="Arial Narrow" w:hAnsi="Arial Narrow"/>
                <w:sz w:val="20"/>
              </w:rPr>
              <w:t>A histology report including evidence of the tumour’s CD30 positivity from a biopsy at time of diagnosis</w:t>
            </w:r>
            <w:r w:rsidRPr="00CF3D88">
              <w:rPr>
                <w:rFonts w:ascii="Arial Narrow" w:hAnsi="Arial Narrow"/>
                <w:strike/>
                <w:sz w:val="20"/>
              </w:rPr>
              <w:t>, or</w:t>
            </w:r>
            <w:r w:rsidRPr="00CF3D88">
              <w:rPr>
                <w:rFonts w:ascii="Arial Narrow" w:hAnsi="Arial Narrow"/>
                <w:sz w:val="20"/>
              </w:rPr>
              <w:t xml:space="preserve"> </w:t>
            </w:r>
            <w:r w:rsidRPr="00CF3D88">
              <w:rPr>
                <w:rFonts w:ascii="Arial Narrow" w:hAnsi="Arial Narrow"/>
                <w:strike/>
                <w:sz w:val="20"/>
              </w:rPr>
              <w:t>subsequent to the</w:t>
            </w:r>
            <w:r w:rsidRPr="00CF3D88">
              <w:rPr>
                <w:rFonts w:ascii="Arial Narrow" w:hAnsi="Arial Narrow"/>
                <w:sz w:val="20"/>
              </w:rPr>
              <w:t xml:space="preserve"> </w:t>
            </w:r>
            <w:r w:rsidRPr="00CF3D88">
              <w:rPr>
                <w:rFonts w:ascii="Arial Narrow" w:hAnsi="Arial Narrow"/>
                <w:strike/>
                <w:sz w:val="20"/>
              </w:rPr>
              <w:t>most recently delivered prior treatment with radiation, chemotherapy, biologics, immunotherapy or other agents</w:t>
            </w:r>
            <w:r w:rsidR="00D94334">
              <w:rPr>
                <w:rFonts w:ascii="Arial Narrow" w:hAnsi="Arial Narrow"/>
                <w:sz w:val="20"/>
              </w:rPr>
              <w:t>;</w:t>
            </w:r>
          </w:p>
          <w:p w:rsidR="00743464" w:rsidRPr="00CF3D88" w:rsidRDefault="00743464" w:rsidP="009530DB">
            <w:pPr>
              <w:pStyle w:val="ListParagraph"/>
              <w:keepNext/>
              <w:keepLines/>
              <w:numPr>
                <w:ilvl w:val="0"/>
                <w:numId w:val="11"/>
              </w:numPr>
              <w:spacing w:before="40"/>
              <w:ind w:left="778" w:hanging="425"/>
              <w:rPr>
                <w:rFonts w:ascii="Arial Narrow" w:hAnsi="Arial Narrow"/>
                <w:sz w:val="20"/>
              </w:rPr>
            </w:pPr>
            <w:r w:rsidRPr="00CF3D88">
              <w:rPr>
                <w:rFonts w:ascii="Arial Narrow" w:hAnsi="Arial Narrow"/>
                <w:sz w:val="20"/>
              </w:rPr>
              <w:t>The date of the primary ASCT</w:t>
            </w:r>
            <w:r w:rsidRPr="00CF3D88">
              <w:rPr>
                <w:rFonts w:ascii="Arial Narrow" w:hAnsi="Arial Narrow"/>
                <w:i/>
                <w:sz w:val="20"/>
              </w:rPr>
              <w:t xml:space="preserve"> performed</w:t>
            </w:r>
          </w:p>
          <w:p w:rsidR="00743464" w:rsidRPr="00CF3D88" w:rsidRDefault="00743464" w:rsidP="009530DB">
            <w:pPr>
              <w:pStyle w:val="ListParagraph"/>
              <w:keepNext/>
              <w:keepLines/>
              <w:numPr>
                <w:ilvl w:val="0"/>
                <w:numId w:val="11"/>
              </w:numPr>
              <w:spacing w:before="40"/>
              <w:ind w:left="778" w:hanging="425"/>
              <w:rPr>
                <w:rFonts w:ascii="Arial Narrow" w:hAnsi="Arial Narrow"/>
                <w:sz w:val="20"/>
              </w:rPr>
            </w:pPr>
            <w:r w:rsidRPr="00CF3D88">
              <w:rPr>
                <w:rFonts w:ascii="Arial Narrow" w:hAnsi="Arial Narrow"/>
                <w:sz w:val="20"/>
              </w:rPr>
              <w:t xml:space="preserve">A declaration of whether the disease is classified as relapsed or refractory </w:t>
            </w:r>
            <w:r w:rsidRPr="00CF3D88">
              <w:rPr>
                <w:rFonts w:ascii="Arial Narrow" w:hAnsi="Arial Narrow"/>
                <w:i/>
                <w:sz w:val="20"/>
              </w:rPr>
              <w:t>post ASCT</w:t>
            </w:r>
          </w:p>
          <w:p w:rsidR="00743464" w:rsidRPr="00CF3D88" w:rsidRDefault="00743464" w:rsidP="009530DB">
            <w:pPr>
              <w:pStyle w:val="ListParagraph"/>
              <w:keepNext/>
              <w:keepLines/>
              <w:numPr>
                <w:ilvl w:val="0"/>
                <w:numId w:val="11"/>
              </w:numPr>
              <w:spacing w:before="40"/>
              <w:ind w:left="778" w:hanging="425"/>
              <w:rPr>
                <w:rFonts w:ascii="Arial Narrow" w:hAnsi="Arial Narrow"/>
                <w:sz w:val="20"/>
              </w:rPr>
            </w:pPr>
            <w:r w:rsidRPr="00CF3D88">
              <w:rPr>
                <w:rFonts w:ascii="Arial Narrow" w:hAnsi="Arial Narrow"/>
                <w:sz w:val="20"/>
              </w:rPr>
              <w:t xml:space="preserve">A declaration of whether the patient is planned to have an </w:t>
            </w:r>
            <w:r w:rsidRPr="00CF3D88">
              <w:rPr>
                <w:rFonts w:ascii="Arial Narrow" w:hAnsi="Arial Narrow"/>
                <w:i/>
                <w:sz w:val="20"/>
              </w:rPr>
              <w:t>allogeneic</w:t>
            </w:r>
            <w:r w:rsidRPr="00CF3D88" w:rsidDel="00882F03">
              <w:rPr>
                <w:rFonts w:ascii="Arial Narrow" w:hAnsi="Arial Narrow"/>
                <w:i/>
                <w:sz w:val="20"/>
              </w:rPr>
              <w:t xml:space="preserve"> </w:t>
            </w:r>
            <w:r w:rsidRPr="00CF3D88">
              <w:rPr>
                <w:rFonts w:ascii="Arial Narrow" w:hAnsi="Arial Narrow"/>
                <w:strike/>
                <w:sz w:val="20"/>
              </w:rPr>
              <w:t xml:space="preserve">second </w:t>
            </w:r>
            <w:r w:rsidRPr="00CF3D88">
              <w:rPr>
                <w:rFonts w:ascii="Arial Narrow" w:hAnsi="Arial Narrow"/>
                <w:sz w:val="20"/>
              </w:rPr>
              <w:t>SCT</w:t>
            </w:r>
            <w:r w:rsidRPr="00CF3D88">
              <w:rPr>
                <w:rFonts w:ascii="Arial Narrow" w:hAnsi="Arial Narrow"/>
                <w:strike/>
                <w:sz w:val="20"/>
              </w:rPr>
              <w:t>, and the type of transplant procedure planned, i.e., autologous or allogeneic</w:t>
            </w:r>
            <w:r w:rsidRPr="00CF3D88">
              <w:rPr>
                <w:rFonts w:ascii="Arial Narrow" w:hAnsi="Arial Narrow"/>
                <w:sz w:val="20"/>
              </w:rPr>
              <w:t>.</w:t>
            </w:r>
          </w:p>
          <w:p w:rsidR="00743464" w:rsidRPr="00CF3D88" w:rsidRDefault="00743464" w:rsidP="00743464">
            <w:pPr>
              <w:rPr>
                <w:rFonts w:ascii="Arial Narrow" w:hAnsi="Arial Narrow"/>
                <w:sz w:val="20"/>
              </w:rPr>
            </w:pPr>
          </w:p>
        </w:tc>
      </w:tr>
      <w:tr w:rsidR="00743464" w:rsidRPr="00CF3D88" w:rsidTr="00C6471C">
        <w:trPr>
          <w:cantSplit/>
          <w:trHeight w:val="360"/>
        </w:trPr>
        <w:tc>
          <w:tcPr>
            <w:tcW w:w="2835" w:type="dxa"/>
            <w:gridSpan w:val="3"/>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Administrative Advice</w:t>
            </w:r>
          </w:p>
          <w:p w:rsidR="00743464" w:rsidRPr="00CF3D88" w:rsidRDefault="00743464" w:rsidP="00743464">
            <w:pPr>
              <w:rPr>
                <w:rFonts w:ascii="Arial Narrow" w:hAnsi="Arial Narrow"/>
                <w:sz w:val="20"/>
              </w:rPr>
            </w:pPr>
          </w:p>
        </w:tc>
        <w:tc>
          <w:tcPr>
            <w:tcW w:w="5528" w:type="dxa"/>
            <w:gridSpan w:val="8"/>
            <w:tcBorders>
              <w:top w:val="single" w:sz="4" w:space="0" w:color="auto"/>
              <w:left w:val="single" w:sz="4" w:space="0" w:color="auto"/>
              <w:bottom w:val="single" w:sz="4" w:space="0" w:color="auto"/>
              <w:right w:val="single" w:sz="4" w:space="0" w:color="auto"/>
            </w:tcBorders>
          </w:tcPr>
          <w:p w:rsidR="00743464" w:rsidRPr="00CF3D88" w:rsidRDefault="00743464" w:rsidP="00743464">
            <w:pPr>
              <w:keepNext/>
              <w:keepLines/>
              <w:spacing w:beforeLines="40" w:before="96" w:after="40"/>
              <w:rPr>
                <w:rFonts w:ascii="Arial Narrow" w:hAnsi="Arial Narrow"/>
                <w:strike/>
                <w:sz w:val="20"/>
              </w:rPr>
            </w:pPr>
            <w:r w:rsidRPr="00CF3D88">
              <w:rPr>
                <w:rFonts w:ascii="Arial Narrow" w:hAnsi="Arial Narrow"/>
                <w:strike/>
                <w:sz w:val="20"/>
              </w:rPr>
              <w:t xml:space="preserve">A maximum quantity and number of repeats to provide for an initial course of brentuximab vedotin of 4 cycles will be authorised as part of the initiating restriction. </w:t>
            </w:r>
          </w:p>
          <w:p w:rsidR="00743464" w:rsidRPr="00CF3D88" w:rsidRDefault="00743464" w:rsidP="00743464">
            <w:pPr>
              <w:keepNext/>
              <w:keepLines/>
              <w:spacing w:beforeLines="40" w:before="96" w:after="40"/>
              <w:rPr>
                <w:rFonts w:ascii="Arial Narrow" w:hAnsi="Arial Narrow"/>
                <w:sz w:val="20"/>
              </w:rPr>
            </w:pPr>
            <w:r w:rsidRPr="00CF3D88">
              <w:rPr>
                <w:rFonts w:ascii="Arial Narrow" w:hAnsi="Arial Narrow"/>
                <w:sz w:val="20"/>
              </w:rPr>
              <w:t>No increase in the maximum numbe</w:t>
            </w:r>
            <w:r w:rsidR="00D94334">
              <w:rPr>
                <w:rFonts w:ascii="Arial Narrow" w:hAnsi="Arial Narrow"/>
                <w:sz w:val="20"/>
              </w:rPr>
              <w:t>r of repeats may be authorised.</w:t>
            </w:r>
          </w:p>
          <w:p w:rsidR="00743464" w:rsidRPr="00CF3D88" w:rsidRDefault="00743464" w:rsidP="00743464">
            <w:pPr>
              <w:keepNext/>
              <w:keepLines/>
              <w:spacing w:beforeLines="40" w:before="96" w:after="40"/>
              <w:rPr>
                <w:rFonts w:ascii="Arial Narrow" w:hAnsi="Arial Narrow"/>
                <w:sz w:val="20"/>
              </w:rPr>
            </w:pPr>
            <w:r w:rsidRPr="00CF3D88">
              <w:rPr>
                <w:rFonts w:ascii="Arial Narrow" w:hAnsi="Arial Narrow"/>
                <w:sz w:val="20"/>
              </w:rPr>
              <w:t>No increase in the maximum quantity or number of units may be authorised.</w:t>
            </w:r>
          </w:p>
        </w:tc>
      </w:tr>
      <w:tr w:rsidR="00743464" w:rsidRPr="00CF3D88" w:rsidTr="00C6471C">
        <w:trPr>
          <w:cantSplit/>
          <w:trHeight w:val="471"/>
        </w:trPr>
        <w:tc>
          <w:tcPr>
            <w:tcW w:w="2693" w:type="dxa"/>
            <w:gridSpan w:val="2"/>
            <w:tcBorders>
              <w:bottom w:val="single" w:sz="4" w:space="0" w:color="auto"/>
            </w:tcBorders>
          </w:tcPr>
          <w:p w:rsidR="00743464" w:rsidRPr="00CF3D88" w:rsidRDefault="00743464" w:rsidP="00743464">
            <w:pPr>
              <w:keepNext/>
              <w:ind w:left="-108"/>
              <w:rPr>
                <w:rFonts w:ascii="Arial Narrow" w:hAnsi="Arial Narrow"/>
                <w:sz w:val="20"/>
              </w:rPr>
            </w:pPr>
            <w:r w:rsidRPr="00CF3D88">
              <w:rPr>
                <w:rFonts w:ascii="Arial Narrow" w:hAnsi="Arial Narrow"/>
                <w:sz w:val="20"/>
              </w:rPr>
              <w:lastRenderedPageBreak/>
              <w:t>Name, Restriction,</w:t>
            </w:r>
          </w:p>
          <w:p w:rsidR="00743464" w:rsidRPr="00CF3D88" w:rsidRDefault="00743464" w:rsidP="00743464">
            <w:pPr>
              <w:keepNext/>
              <w:ind w:left="-108"/>
              <w:rPr>
                <w:rFonts w:ascii="Arial Narrow" w:hAnsi="Arial Narrow"/>
                <w:sz w:val="20"/>
              </w:rPr>
            </w:pPr>
            <w:r w:rsidRPr="00CF3D88">
              <w:rPr>
                <w:rFonts w:ascii="Arial Narrow" w:hAnsi="Arial Narrow"/>
                <w:sz w:val="20"/>
              </w:rPr>
              <w:t>Manner of administration and form</w:t>
            </w:r>
          </w:p>
        </w:tc>
        <w:tc>
          <w:tcPr>
            <w:tcW w:w="709" w:type="dxa"/>
            <w:gridSpan w:val="2"/>
            <w:tcBorders>
              <w:bottom w:val="single" w:sz="4" w:space="0" w:color="auto"/>
            </w:tcBorders>
          </w:tcPr>
          <w:p w:rsidR="00743464" w:rsidRPr="00CF3D88" w:rsidRDefault="00743464" w:rsidP="00743464">
            <w:pPr>
              <w:keepNext/>
              <w:ind w:left="-108"/>
              <w:jc w:val="center"/>
              <w:rPr>
                <w:rFonts w:ascii="Arial Narrow" w:hAnsi="Arial Narrow"/>
                <w:sz w:val="20"/>
              </w:rPr>
            </w:pPr>
            <w:r w:rsidRPr="00CF3D88">
              <w:rPr>
                <w:rFonts w:ascii="Arial Narrow" w:hAnsi="Arial Narrow"/>
                <w:sz w:val="20"/>
              </w:rPr>
              <w:t>Max.</w:t>
            </w:r>
          </w:p>
          <w:p w:rsidR="00743464" w:rsidRPr="00CF3D88" w:rsidRDefault="006B47FE" w:rsidP="00743464">
            <w:pPr>
              <w:keepNext/>
              <w:ind w:left="-108"/>
              <w:jc w:val="center"/>
              <w:rPr>
                <w:rFonts w:ascii="Arial Narrow" w:hAnsi="Arial Narrow"/>
                <w:sz w:val="20"/>
              </w:rPr>
            </w:pPr>
            <w:r w:rsidRPr="00CF3D88">
              <w:rPr>
                <w:rFonts w:ascii="Arial Narrow" w:hAnsi="Arial Narrow"/>
                <w:sz w:val="20"/>
              </w:rPr>
              <w:t>Amount</w:t>
            </w:r>
          </w:p>
        </w:tc>
        <w:tc>
          <w:tcPr>
            <w:tcW w:w="708" w:type="dxa"/>
            <w:gridSpan w:val="2"/>
            <w:tcBorders>
              <w:bottom w:val="single" w:sz="4" w:space="0" w:color="auto"/>
            </w:tcBorders>
          </w:tcPr>
          <w:p w:rsidR="00743464" w:rsidRPr="00CF3D88" w:rsidRDefault="00743464" w:rsidP="00743464">
            <w:pPr>
              <w:keepNext/>
              <w:ind w:left="-108"/>
              <w:jc w:val="center"/>
              <w:rPr>
                <w:rFonts w:ascii="Arial Narrow" w:hAnsi="Arial Narrow"/>
                <w:sz w:val="20"/>
              </w:rPr>
            </w:pPr>
            <w:r w:rsidRPr="00CF3D88">
              <w:rPr>
                <w:rFonts w:ascii="Arial Narrow" w:hAnsi="Arial Narrow"/>
                <w:sz w:val="20"/>
              </w:rPr>
              <w:t>№.of</w:t>
            </w:r>
          </w:p>
          <w:p w:rsidR="00743464" w:rsidRPr="00CF3D88" w:rsidRDefault="00743464" w:rsidP="00743464">
            <w:pPr>
              <w:keepNext/>
              <w:ind w:left="-108"/>
              <w:jc w:val="center"/>
              <w:rPr>
                <w:rFonts w:ascii="Arial Narrow" w:hAnsi="Arial Narrow"/>
                <w:sz w:val="20"/>
              </w:rPr>
            </w:pPr>
            <w:r w:rsidRPr="00CF3D88">
              <w:rPr>
                <w:rFonts w:ascii="Arial Narrow" w:hAnsi="Arial Narrow"/>
                <w:sz w:val="20"/>
              </w:rPr>
              <w:t>Rpts</w:t>
            </w:r>
          </w:p>
        </w:tc>
        <w:tc>
          <w:tcPr>
            <w:tcW w:w="1984" w:type="dxa"/>
            <w:gridSpan w:val="2"/>
            <w:tcBorders>
              <w:bottom w:val="single" w:sz="4" w:space="0" w:color="auto"/>
            </w:tcBorders>
          </w:tcPr>
          <w:p w:rsidR="00743464" w:rsidRPr="00CF3D88" w:rsidRDefault="00743464" w:rsidP="00743464">
            <w:pPr>
              <w:keepNext/>
              <w:ind w:left="-108"/>
              <w:jc w:val="center"/>
              <w:rPr>
                <w:rFonts w:ascii="Arial Narrow" w:hAnsi="Arial Narrow"/>
                <w:sz w:val="20"/>
              </w:rPr>
            </w:pPr>
            <w:r w:rsidRPr="00CF3D88">
              <w:rPr>
                <w:rFonts w:ascii="Arial Narrow" w:hAnsi="Arial Narrow"/>
                <w:sz w:val="20"/>
              </w:rPr>
              <w:t>Dispensed Price for Max. Qty</w:t>
            </w:r>
          </w:p>
        </w:tc>
        <w:tc>
          <w:tcPr>
            <w:tcW w:w="2269" w:type="dxa"/>
            <w:gridSpan w:val="3"/>
            <w:tcBorders>
              <w:bottom w:val="single" w:sz="4" w:space="0" w:color="auto"/>
            </w:tcBorders>
          </w:tcPr>
          <w:p w:rsidR="00743464" w:rsidRPr="00CF3D88" w:rsidRDefault="00743464" w:rsidP="00A27479">
            <w:pPr>
              <w:keepNext/>
              <w:jc w:val="center"/>
              <w:rPr>
                <w:rFonts w:ascii="Arial Narrow" w:hAnsi="Arial Narrow"/>
                <w:sz w:val="20"/>
              </w:rPr>
            </w:pPr>
            <w:r w:rsidRPr="00CF3D88">
              <w:rPr>
                <w:rFonts w:ascii="Arial Narrow" w:hAnsi="Arial Narrow"/>
                <w:sz w:val="20"/>
              </w:rPr>
              <w:t>P</w:t>
            </w:r>
            <w:r w:rsidR="00D94334">
              <w:rPr>
                <w:rFonts w:ascii="Arial Narrow" w:hAnsi="Arial Narrow"/>
                <w:sz w:val="20"/>
              </w:rPr>
              <w:t xml:space="preserve">roprietary </w:t>
            </w:r>
            <w:r w:rsidR="00C6471C">
              <w:rPr>
                <w:rFonts w:ascii="Arial Narrow" w:hAnsi="Arial Narrow"/>
                <w:sz w:val="20"/>
              </w:rPr>
              <w:t>Name and</w:t>
            </w:r>
            <w:r w:rsidR="00A27479">
              <w:rPr>
                <w:rFonts w:ascii="Arial Narrow" w:hAnsi="Arial Narrow"/>
                <w:sz w:val="20"/>
              </w:rPr>
              <w:t xml:space="preserve"> </w:t>
            </w:r>
            <w:r w:rsidRPr="00CF3D88">
              <w:rPr>
                <w:rFonts w:ascii="Arial Narrow" w:hAnsi="Arial Narrow"/>
                <w:sz w:val="20"/>
              </w:rPr>
              <w:t>Manufacturer</w:t>
            </w:r>
          </w:p>
        </w:tc>
      </w:tr>
      <w:tr w:rsidR="00743464" w:rsidRPr="00CF3D88" w:rsidTr="00C6471C">
        <w:trPr>
          <w:cantSplit/>
          <w:trHeight w:val="577"/>
        </w:trPr>
        <w:tc>
          <w:tcPr>
            <w:tcW w:w="2693" w:type="dxa"/>
            <w:gridSpan w:val="2"/>
            <w:vAlign w:val="center"/>
          </w:tcPr>
          <w:p w:rsidR="00743464" w:rsidRPr="00CF3D88" w:rsidRDefault="00743464" w:rsidP="00743464">
            <w:pPr>
              <w:keepNext/>
              <w:ind w:left="-108"/>
              <w:rPr>
                <w:rFonts w:ascii="Arial Narrow" w:hAnsi="Arial Narrow"/>
                <w:sz w:val="20"/>
              </w:rPr>
            </w:pPr>
            <w:r w:rsidRPr="00CF3D88">
              <w:rPr>
                <w:rFonts w:ascii="Arial Narrow" w:hAnsi="Arial Narrow"/>
                <w:sz w:val="20"/>
              </w:rPr>
              <w:t>BRENTUXIMAB VEDOTIN</w:t>
            </w:r>
          </w:p>
          <w:p w:rsidR="00743464" w:rsidRPr="00CF3D88" w:rsidRDefault="00743464" w:rsidP="00743464">
            <w:pPr>
              <w:keepNext/>
              <w:ind w:left="-108"/>
              <w:rPr>
                <w:rFonts w:ascii="Arial Narrow" w:hAnsi="Arial Narrow"/>
                <w:sz w:val="20"/>
              </w:rPr>
            </w:pPr>
            <w:r w:rsidRPr="00CF3D88">
              <w:rPr>
                <w:rFonts w:ascii="Arial Narrow" w:hAnsi="Arial Narrow"/>
                <w:sz w:val="20"/>
              </w:rPr>
              <w:t xml:space="preserve">50 mg vial for IV infusion, 1 </w:t>
            </w:r>
          </w:p>
        </w:tc>
        <w:tc>
          <w:tcPr>
            <w:tcW w:w="709" w:type="dxa"/>
            <w:gridSpan w:val="2"/>
            <w:vAlign w:val="center"/>
          </w:tcPr>
          <w:p w:rsidR="00743464" w:rsidRPr="00CF3D88" w:rsidRDefault="00743464" w:rsidP="00743464">
            <w:pPr>
              <w:keepNext/>
              <w:ind w:left="-108"/>
              <w:rPr>
                <w:rFonts w:ascii="Arial Narrow" w:hAnsi="Arial Narrow"/>
                <w:sz w:val="20"/>
              </w:rPr>
            </w:pPr>
          </w:p>
          <w:p w:rsidR="00743464" w:rsidRPr="00CF3D88" w:rsidRDefault="006B47FE" w:rsidP="00743464">
            <w:pPr>
              <w:keepNext/>
              <w:ind w:left="-108"/>
              <w:rPr>
                <w:rFonts w:ascii="Arial Narrow" w:hAnsi="Arial Narrow"/>
                <w:sz w:val="20"/>
              </w:rPr>
            </w:pPr>
            <w:r w:rsidRPr="00CF3D88">
              <w:rPr>
                <w:rFonts w:ascii="Arial Narrow" w:hAnsi="Arial Narrow"/>
                <w:sz w:val="20"/>
              </w:rPr>
              <w:t>200 mg</w:t>
            </w:r>
          </w:p>
        </w:tc>
        <w:tc>
          <w:tcPr>
            <w:tcW w:w="708" w:type="dxa"/>
            <w:gridSpan w:val="2"/>
            <w:vAlign w:val="center"/>
          </w:tcPr>
          <w:p w:rsidR="00743464" w:rsidRPr="00CF3D88" w:rsidRDefault="00743464" w:rsidP="00743464">
            <w:pPr>
              <w:keepNext/>
              <w:ind w:left="-108"/>
              <w:rPr>
                <w:rFonts w:ascii="Arial Narrow" w:hAnsi="Arial Narrow"/>
                <w:sz w:val="20"/>
              </w:rPr>
            </w:pPr>
          </w:p>
          <w:p w:rsidR="00743464" w:rsidRPr="00CF3D88" w:rsidRDefault="006B47FE" w:rsidP="00743464">
            <w:pPr>
              <w:keepNext/>
              <w:ind w:left="-108"/>
              <w:rPr>
                <w:rFonts w:ascii="Arial Narrow" w:hAnsi="Arial Narrow"/>
                <w:sz w:val="20"/>
              </w:rPr>
            </w:pPr>
            <w:r w:rsidRPr="00CF3D88">
              <w:rPr>
                <w:rFonts w:ascii="Arial Narrow" w:hAnsi="Arial Narrow"/>
                <w:sz w:val="20"/>
              </w:rPr>
              <w:t>11</w:t>
            </w:r>
          </w:p>
        </w:tc>
        <w:tc>
          <w:tcPr>
            <w:tcW w:w="1984" w:type="dxa"/>
            <w:gridSpan w:val="2"/>
            <w:vAlign w:val="center"/>
          </w:tcPr>
          <w:p w:rsidR="00743464" w:rsidRPr="00CF3D88" w:rsidRDefault="00743464" w:rsidP="00743464">
            <w:pPr>
              <w:rPr>
                <w:rFonts w:ascii="Arial Narrow" w:hAnsi="Arial Narrow"/>
                <w:sz w:val="20"/>
              </w:rPr>
            </w:pPr>
          </w:p>
          <w:p w:rsidR="00743464" w:rsidRPr="00CF3D88" w:rsidRDefault="00743464" w:rsidP="00743464">
            <w:pP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r w:rsidRPr="00CF3D88">
              <w:rPr>
                <w:rFonts w:ascii="Arial Narrow" w:hAnsi="Arial Narrow"/>
                <w:sz w:val="20"/>
              </w:rPr>
              <w:t xml:space="preserve"> (Published)</w:t>
            </w:r>
          </w:p>
          <w:p w:rsidR="00743464" w:rsidRPr="00CF3D88" w:rsidRDefault="00743464" w:rsidP="00743464">
            <w:pPr>
              <w:keepNext/>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r w:rsidRPr="00CF3D88">
              <w:rPr>
                <w:rFonts w:ascii="Arial Narrow" w:hAnsi="Arial Narrow"/>
                <w:sz w:val="20"/>
              </w:rPr>
              <w:t xml:space="preserve"> (Effective)</w:t>
            </w:r>
          </w:p>
        </w:tc>
        <w:tc>
          <w:tcPr>
            <w:tcW w:w="994" w:type="dxa"/>
            <w:gridSpan w:val="2"/>
            <w:vAlign w:val="center"/>
          </w:tcPr>
          <w:p w:rsidR="00743464" w:rsidRPr="00CF3D88" w:rsidRDefault="006B47FE" w:rsidP="00743464">
            <w:pPr>
              <w:keepNext/>
              <w:rPr>
                <w:rFonts w:ascii="Arial Narrow" w:hAnsi="Arial Narrow"/>
                <w:sz w:val="20"/>
              </w:rPr>
            </w:pPr>
            <w:r w:rsidRPr="00CF3D88">
              <w:rPr>
                <w:rFonts w:ascii="Arial Narrow" w:hAnsi="Arial Narrow"/>
                <w:sz w:val="20"/>
              </w:rPr>
              <w:t>Adcetris</w:t>
            </w:r>
            <w:r w:rsidRPr="00CF3D88">
              <w:rPr>
                <w:rFonts w:ascii="Arial Narrow" w:hAnsi="Arial Narrow"/>
                <w:sz w:val="20"/>
                <w:vertAlign w:val="superscript"/>
              </w:rPr>
              <w:t>®</w:t>
            </w:r>
          </w:p>
        </w:tc>
        <w:tc>
          <w:tcPr>
            <w:tcW w:w="1275" w:type="dxa"/>
          </w:tcPr>
          <w:p w:rsidR="00743464" w:rsidRPr="00CF3D88" w:rsidRDefault="006B47FE" w:rsidP="00743464">
            <w:pPr>
              <w:keepNext/>
              <w:jc w:val="center"/>
              <w:rPr>
                <w:rFonts w:ascii="Arial Narrow" w:hAnsi="Arial Narrow"/>
                <w:sz w:val="20"/>
              </w:rPr>
            </w:pPr>
            <w:r w:rsidRPr="00CF3D88">
              <w:rPr>
                <w:rFonts w:ascii="Arial Narrow" w:hAnsi="Arial Narrow"/>
                <w:sz w:val="20"/>
              </w:rPr>
              <w:t xml:space="preserve">Takeda </w:t>
            </w:r>
            <w:r w:rsidR="00743464" w:rsidRPr="00CF3D88">
              <w:rPr>
                <w:rFonts w:ascii="Arial Narrow" w:hAnsi="Arial Narrow"/>
                <w:sz w:val="20"/>
              </w:rPr>
              <w:t>Pharmaceuticals Australia Pty Ltd</w:t>
            </w:r>
          </w:p>
        </w:tc>
      </w:tr>
      <w:tr w:rsidR="00743464" w:rsidRPr="00CF3D88" w:rsidTr="00C6471C">
        <w:trPr>
          <w:cantSplit/>
          <w:trHeight w:val="360"/>
        </w:trPr>
        <w:tc>
          <w:tcPr>
            <w:tcW w:w="8363" w:type="dxa"/>
            <w:gridSpan w:val="11"/>
            <w:tcBorders>
              <w:bottom w:val="single" w:sz="4" w:space="0" w:color="auto"/>
            </w:tcBorders>
          </w:tcPr>
          <w:p w:rsidR="00743464" w:rsidRPr="00CF3D88" w:rsidRDefault="00743464" w:rsidP="00743464">
            <w:pPr>
              <w:rPr>
                <w:rFonts w:ascii="Arial Narrow" w:hAnsi="Arial Narrow"/>
                <w:sz w:val="20"/>
              </w:rPr>
            </w:pPr>
          </w:p>
        </w:tc>
      </w:tr>
      <w:tr w:rsidR="00743464" w:rsidRPr="00CF3D88" w:rsidTr="00C6471C">
        <w:trPr>
          <w:cantSplit/>
          <w:trHeight w:val="360"/>
        </w:trPr>
        <w:tc>
          <w:tcPr>
            <w:tcW w:w="2552" w:type="dxa"/>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 xml:space="preserve">Category / </w:t>
            </w:r>
          </w:p>
          <w:p w:rsidR="00743464" w:rsidRPr="00CF3D88" w:rsidRDefault="00743464" w:rsidP="00743464">
            <w:pPr>
              <w:rPr>
                <w:rFonts w:ascii="Arial Narrow" w:hAnsi="Arial Narrow"/>
                <w:b/>
                <w:sz w:val="20"/>
              </w:rPr>
            </w:pPr>
            <w:r w:rsidRPr="00CF3D88">
              <w:rPr>
                <w:rFonts w:ascii="Arial Narrow" w:hAnsi="Arial Narrow"/>
                <w:b/>
                <w:sz w:val="20"/>
              </w:rPr>
              <w:t>Program</w:t>
            </w:r>
          </w:p>
        </w:tc>
        <w:tc>
          <w:tcPr>
            <w:tcW w:w="5811" w:type="dxa"/>
            <w:gridSpan w:val="10"/>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sz w:val="20"/>
              </w:rPr>
            </w:pPr>
            <w:r w:rsidRPr="00CF3D88">
              <w:rPr>
                <w:rFonts w:ascii="Arial Narrow" w:hAnsi="Arial Narrow"/>
                <w:sz w:val="20"/>
              </w:rPr>
              <w:t>Section 100 – Efficient Funding of Chemotherapy</w:t>
            </w:r>
          </w:p>
          <w:p w:rsidR="00743464" w:rsidRPr="00CF3D88" w:rsidRDefault="00743464" w:rsidP="00743464">
            <w:pPr>
              <w:rPr>
                <w:rFonts w:ascii="Arial Narrow" w:hAnsi="Arial Narrow"/>
                <w:sz w:val="20"/>
              </w:rPr>
            </w:pPr>
          </w:p>
        </w:tc>
      </w:tr>
      <w:tr w:rsidR="00743464" w:rsidRPr="00CF3D88" w:rsidTr="00C6471C">
        <w:trPr>
          <w:cantSplit/>
          <w:trHeight w:val="360"/>
        </w:trPr>
        <w:tc>
          <w:tcPr>
            <w:tcW w:w="2552" w:type="dxa"/>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Prescriber type:</w:t>
            </w:r>
          </w:p>
          <w:p w:rsidR="00743464" w:rsidRPr="00CF3D88" w:rsidRDefault="00743464" w:rsidP="00743464">
            <w:pPr>
              <w:rPr>
                <w:rFonts w:ascii="Arial Narrow" w:hAnsi="Arial Narrow"/>
                <w:b/>
                <w:sz w:val="20"/>
              </w:rPr>
            </w:pPr>
          </w:p>
        </w:tc>
        <w:tc>
          <w:tcPr>
            <w:tcW w:w="5811" w:type="dxa"/>
            <w:gridSpan w:val="10"/>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1"/>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Dental  </w:t>
            </w:r>
            <w:r w:rsidRPr="00CF3D88">
              <w:rPr>
                <w:rFonts w:ascii="Arial Narrow" w:hAnsi="Arial Narrow"/>
                <w:sz w:val="20"/>
              </w:rPr>
              <w:fldChar w:fldCharType="begin">
                <w:ffData>
                  <w:name w:val=""/>
                  <w:enabled/>
                  <w:calcOnExit w:val="0"/>
                  <w:checkBox>
                    <w:sizeAuto/>
                    <w:default w:val="1"/>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Medical Practitioners  </w:t>
            </w:r>
            <w:r w:rsidRPr="00CF3D88">
              <w:rPr>
                <w:rFonts w:ascii="Arial Narrow" w:hAnsi="Arial Narrow"/>
                <w:sz w:val="20"/>
              </w:rPr>
              <w:fldChar w:fldCharType="begin">
                <w:ffData>
                  <w:name w:val="Check3"/>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Nurse practitioners  </w:t>
            </w:r>
            <w:r w:rsidRPr="00CF3D88">
              <w:rPr>
                <w:rFonts w:ascii="Arial Narrow" w:hAnsi="Arial Narrow"/>
                <w:sz w:val="20"/>
              </w:rPr>
              <w:fldChar w:fldCharType="begin">
                <w:ffData>
                  <w:name w:val=""/>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Optometrists</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Midwives</w:t>
            </w:r>
          </w:p>
        </w:tc>
      </w:tr>
      <w:tr w:rsidR="00743464" w:rsidRPr="00CF3D88" w:rsidTr="00C6471C">
        <w:trPr>
          <w:cantSplit/>
          <w:trHeight w:val="360"/>
        </w:trPr>
        <w:tc>
          <w:tcPr>
            <w:tcW w:w="2552" w:type="dxa"/>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Severity:</w:t>
            </w:r>
          </w:p>
        </w:tc>
        <w:tc>
          <w:tcPr>
            <w:tcW w:w="5811" w:type="dxa"/>
            <w:gridSpan w:val="10"/>
            <w:tcBorders>
              <w:top w:val="single" w:sz="4" w:space="0" w:color="auto"/>
              <w:left w:val="single" w:sz="4" w:space="0" w:color="auto"/>
              <w:bottom w:val="single" w:sz="4" w:space="0" w:color="auto"/>
              <w:right w:val="single" w:sz="4" w:space="0" w:color="auto"/>
            </w:tcBorders>
            <w:vAlign w:val="center"/>
          </w:tcPr>
          <w:p w:rsidR="00743464" w:rsidRPr="00CF3D88" w:rsidRDefault="00743464" w:rsidP="00743464">
            <w:pPr>
              <w:rPr>
                <w:rFonts w:ascii="Arial Narrow" w:hAnsi="Arial Narrow"/>
                <w:i/>
                <w:sz w:val="20"/>
              </w:rPr>
            </w:pPr>
            <w:r w:rsidRPr="00CF3D88">
              <w:rPr>
                <w:rFonts w:ascii="Arial Narrow" w:hAnsi="Arial Narrow"/>
                <w:i/>
                <w:sz w:val="20"/>
              </w:rPr>
              <w:t>Relapsed or Refractory</w:t>
            </w:r>
          </w:p>
        </w:tc>
      </w:tr>
      <w:tr w:rsidR="00743464" w:rsidRPr="00CF3D88" w:rsidTr="00C6471C">
        <w:trPr>
          <w:cantSplit/>
          <w:trHeight w:val="360"/>
        </w:trPr>
        <w:tc>
          <w:tcPr>
            <w:tcW w:w="2552" w:type="dxa"/>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Condition:</w:t>
            </w:r>
          </w:p>
        </w:tc>
        <w:tc>
          <w:tcPr>
            <w:tcW w:w="5811" w:type="dxa"/>
            <w:gridSpan w:val="10"/>
            <w:tcBorders>
              <w:top w:val="single" w:sz="4" w:space="0" w:color="auto"/>
              <w:left w:val="single" w:sz="4" w:space="0" w:color="auto"/>
              <w:bottom w:val="single" w:sz="4" w:space="0" w:color="auto"/>
              <w:right w:val="single" w:sz="4" w:space="0" w:color="auto"/>
            </w:tcBorders>
            <w:vAlign w:val="center"/>
          </w:tcPr>
          <w:p w:rsidR="00743464" w:rsidRPr="00CF3D88" w:rsidRDefault="00743464" w:rsidP="00743464">
            <w:pPr>
              <w:rPr>
                <w:rFonts w:ascii="Arial Narrow" w:hAnsi="Arial Narrow"/>
                <w:i/>
                <w:sz w:val="20"/>
              </w:rPr>
            </w:pPr>
            <w:r w:rsidRPr="00CF3D88">
              <w:rPr>
                <w:rFonts w:ascii="Arial Narrow" w:hAnsi="Arial Narrow"/>
                <w:i/>
                <w:sz w:val="20"/>
              </w:rPr>
              <w:t>Hodgkin lymphoma</w:t>
            </w:r>
          </w:p>
        </w:tc>
      </w:tr>
      <w:tr w:rsidR="00743464" w:rsidRPr="00CF3D88" w:rsidTr="00C6471C">
        <w:trPr>
          <w:cantSplit/>
          <w:trHeight w:val="373"/>
        </w:trPr>
        <w:tc>
          <w:tcPr>
            <w:tcW w:w="2552" w:type="dxa"/>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i/>
                <w:sz w:val="20"/>
              </w:rPr>
            </w:pPr>
            <w:r w:rsidRPr="00CF3D88">
              <w:rPr>
                <w:rFonts w:ascii="Arial Narrow" w:hAnsi="Arial Narrow"/>
                <w:b/>
                <w:sz w:val="20"/>
              </w:rPr>
              <w:t>PBS Indication:</w:t>
            </w:r>
          </w:p>
        </w:tc>
        <w:tc>
          <w:tcPr>
            <w:tcW w:w="5811" w:type="dxa"/>
            <w:gridSpan w:val="10"/>
            <w:tcBorders>
              <w:top w:val="single" w:sz="4" w:space="0" w:color="auto"/>
              <w:left w:val="single" w:sz="4" w:space="0" w:color="auto"/>
              <w:bottom w:val="single" w:sz="4" w:space="0" w:color="auto"/>
              <w:right w:val="single" w:sz="4" w:space="0" w:color="auto"/>
            </w:tcBorders>
            <w:vAlign w:val="center"/>
          </w:tcPr>
          <w:p w:rsidR="00743464" w:rsidRPr="00CF3D88" w:rsidRDefault="00743464" w:rsidP="00743464">
            <w:pPr>
              <w:rPr>
                <w:rFonts w:ascii="Arial Narrow" w:hAnsi="Arial Narrow"/>
                <w:sz w:val="20"/>
              </w:rPr>
            </w:pPr>
            <w:r w:rsidRPr="00CF3D88">
              <w:rPr>
                <w:rFonts w:ascii="Arial Narrow" w:hAnsi="Arial Narrow"/>
                <w:i/>
                <w:sz w:val="20"/>
              </w:rPr>
              <w:t>Relapsed or Refractory Hodgkin lymphoma</w:t>
            </w:r>
          </w:p>
        </w:tc>
      </w:tr>
      <w:tr w:rsidR="00743464" w:rsidRPr="00CF3D88" w:rsidTr="00C6471C">
        <w:trPr>
          <w:cantSplit/>
          <w:trHeight w:val="360"/>
        </w:trPr>
        <w:tc>
          <w:tcPr>
            <w:tcW w:w="2552" w:type="dxa"/>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Treatment phase:</w:t>
            </w:r>
          </w:p>
          <w:p w:rsidR="00743464" w:rsidRPr="00CF3D88" w:rsidRDefault="00743464" w:rsidP="00743464">
            <w:pPr>
              <w:rPr>
                <w:rFonts w:ascii="Arial Narrow" w:hAnsi="Arial Narrow"/>
                <w:i/>
                <w:sz w:val="20"/>
              </w:rPr>
            </w:pPr>
          </w:p>
        </w:tc>
        <w:tc>
          <w:tcPr>
            <w:tcW w:w="5811" w:type="dxa"/>
            <w:gridSpan w:val="10"/>
            <w:tcBorders>
              <w:top w:val="single" w:sz="4" w:space="0" w:color="auto"/>
              <w:left w:val="single" w:sz="4" w:space="0" w:color="auto"/>
              <w:bottom w:val="single" w:sz="4" w:space="0" w:color="auto"/>
              <w:right w:val="single" w:sz="4" w:space="0" w:color="auto"/>
            </w:tcBorders>
            <w:vAlign w:val="center"/>
          </w:tcPr>
          <w:p w:rsidR="00743464" w:rsidRPr="00CF3D88" w:rsidRDefault="00743464" w:rsidP="00743464">
            <w:pPr>
              <w:rPr>
                <w:rFonts w:ascii="Arial Narrow" w:hAnsi="Arial Narrow"/>
                <w:sz w:val="20"/>
              </w:rPr>
            </w:pPr>
            <w:r w:rsidRPr="00CF3D88">
              <w:rPr>
                <w:rFonts w:ascii="Arial Narrow" w:hAnsi="Arial Narrow"/>
                <w:sz w:val="20"/>
              </w:rPr>
              <w:t>Continuing treatment</w:t>
            </w:r>
          </w:p>
        </w:tc>
      </w:tr>
      <w:tr w:rsidR="00743464" w:rsidRPr="00CF3D88" w:rsidTr="00C6471C">
        <w:trPr>
          <w:cantSplit/>
          <w:trHeight w:val="360"/>
        </w:trPr>
        <w:tc>
          <w:tcPr>
            <w:tcW w:w="2552" w:type="dxa"/>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Restriction Level / Method:</w:t>
            </w:r>
          </w:p>
          <w:p w:rsidR="00743464" w:rsidRPr="00CF3D88" w:rsidRDefault="00743464" w:rsidP="00743464">
            <w:pPr>
              <w:rPr>
                <w:rFonts w:ascii="Arial Narrow" w:hAnsi="Arial Narrow"/>
                <w:i/>
                <w:sz w:val="20"/>
                <w:highlight w:val="yellow"/>
              </w:rPr>
            </w:pPr>
          </w:p>
          <w:p w:rsidR="00743464" w:rsidRPr="00CF3D88" w:rsidRDefault="00743464" w:rsidP="00743464">
            <w:pPr>
              <w:rPr>
                <w:rFonts w:ascii="Arial Narrow" w:hAnsi="Arial Narrow"/>
                <w:i/>
                <w:sz w:val="20"/>
              </w:rPr>
            </w:pPr>
          </w:p>
          <w:p w:rsidR="00743464" w:rsidRPr="00CF3D88" w:rsidRDefault="00743464" w:rsidP="00743464">
            <w:pPr>
              <w:rPr>
                <w:rFonts w:ascii="Arial Narrow" w:hAnsi="Arial Narrow"/>
                <w:i/>
                <w:sz w:val="20"/>
              </w:rPr>
            </w:pPr>
          </w:p>
        </w:tc>
        <w:tc>
          <w:tcPr>
            <w:tcW w:w="5811" w:type="dxa"/>
            <w:gridSpan w:val="10"/>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1"/>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Restricted benefit</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In Writing</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
                  <w:enabled/>
                  <w:calcOnExit w:val="0"/>
                  <w:checkBox>
                    <w:sizeAuto/>
                    <w:default w:val="1"/>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Telephone</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Emergency</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Electronic</w:t>
            </w:r>
          </w:p>
          <w:p w:rsidR="00743464" w:rsidRPr="00CF3D88" w:rsidRDefault="00743464" w:rsidP="00743464">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Streamlined</w:t>
            </w:r>
          </w:p>
        </w:tc>
      </w:tr>
      <w:tr w:rsidR="00743464" w:rsidRPr="00CF3D88" w:rsidTr="00C6471C">
        <w:trPr>
          <w:cantSplit/>
          <w:trHeight w:val="360"/>
        </w:trPr>
        <w:tc>
          <w:tcPr>
            <w:tcW w:w="2552" w:type="dxa"/>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Clinical criteria:</w:t>
            </w:r>
          </w:p>
          <w:p w:rsidR="00743464" w:rsidRPr="00CF3D88" w:rsidRDefault="00743464" w:rsidP="00743464">
            <w:pPr>
              <w:rPr>
                <w:rFonts w:ascii="Arial Narrow" w:hAnsi="Arial Narrow"/>
                <w:i/>
                <w:sz w:val="20"/>
              </w:rPr>
            </w:pPr>
          </w:p>
          <w:p w:rsidR="00743464" w:rsidRPr="00CF3D88" w:rsidRDefault="00743464" w:rsidP="00743464">
            <w:pPr>
              <w:rPr>
                <w:rFonts w:ascii="Arial Narrow" w:hAnsi="Arial Narrow"/>
                <w:sz w:val="20"/>
              </w:rPr>
            </w:pPr>
          </w:p>
        </w:tc>
        <w:tc>
          <w:tcPr>
            <w:tcW w:w="5811" w:type="dxa"/>
            <w:gridSpan w:val="10"/>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sz w:val="20"/>
              </w:rPr>
            </w:pPr>
            <w:r w:rsidRPr="00CF3D88">
              <w:rPr>
                <w:rFonts w:ascii="Arial Narrow" w:hAnsi="Arial Narrow"/>
                <w:sz w:val="20"/>
              </w:rPr>
              <w:t>Patient mu</w:t>
            </w:r>
            <w:r w:rsidR="00D94334">
              <w:rPr>
                <w:rFonts w:ascii="Arial Narrow" w:hAnsi="Arial Narrow"/>
                <w:sz w:val="20"/>
              </w:rPr>
              <w:t>st not have progressive disease</w:t>
            </w:r>
          </w:p>
          <w:p w:rsidR="00743464" w:rsidRPr="00CF3D88" w:rsidRDefault="00D94334" w:rsidP="00743464">
            <w:pPr>
              <w:rPr>
                <w:rFonts w:ascii="Arial Narrow" w:hAnsi="Arial Narrow"/>
                <w:sz w:val="20"/>
              </w:rPr>
            </w:pPr>
            <w:r>
              <w:rPr>
                <w:rFonts w:ascii="Arial Narrow" w:hAnsi="Arial Narrow"/>
                <w:sz w:val="20"/>
              </w:rPr>
              <w:t>AND</w:t>
            </w:r>
          </w:p>
          <w:p w:rsidR="00743464" w:rsidRPr="00CF3D88" w:rsidRDefault="00743464" w:rsidP="00743464">
            <w:pPr>
              <w:rPr>
                <w:rFonts w:ascii="Arial Narrow" w:hAnsi="Arial Narrow"/>
                <w:sz w:val="20"/>
              </w:rPr>
            </w:pPr>
            <w:r w:rsidRPr="00CF3D88">
              <w:rPr>
                <w:rFonts w:ascii="Arial Narrow" w:hAnsi="Arial Narrow"/>
                <w:sz w:val="20"/>
              </w:rPr>
              <w:t>Patient must have previously been issued with an authority prescription for this drug</w:t>
            </w:r>
          </w:p>
          <w:p w:rsidR="00743464" w:rsidRPr="00CF3D88" w:rsidRDefault="00743464" w:rsidP="00743464">
            <w:pPr>
              <w:rPr>
                <w:rFonts w:ascii="Arial Narrow" w:hAnsi="Arial Narrow"/>
                <w:sz w:val="20"/>
              </w:rPr>
            </w:pPr>
            <w:r w:rsidRPr="00CF3D88">
              <w:rPr>
                <w:rFonts w:ascii="Arial Narrow" w:hAnsi="Arial Narrow"/>
                <w:sz w:val="20"/>
              </w:rPr>
              <w:t>AND</w:t>
            </w:r>
          </w:p>
          <w:p w:rsidR="00743464" w:rsidRPr="00CF3D88" w:rsidRDefault="00743464" w:rsidP="00743464">
            <w:pPr>
              <w:rPr>
                <w:rFonts w:ascii="Arial Narrow" w:hAnsi="Arial Narrow"/>
                <w:i/>
                <w:sz w:val="20"/>
              </w:rPr>
            </w:pPr>
            <w:r w:rsidRPr="00CF3D88">
              <w:rPr>
                <w:rFonts w:ascii="Arial Narrow" w:hAnsi="Arial Narrow"/>
                <w:i/>
                <w:sz w:val="20"/>
              </w:rPr>
              <w:t>Patient must not receive more than 12 cycles of treatment under this restriction</w:t>
            </w:r>
          </w:p>
          <w:p w:rsidR="00743464" w:rsidRPr="00CF3D88" w:rsidRDefault="00743464" w:rsidP="00743464">
            <w:pPr>
              <w:rPr>
                <w:rFonts w:ascii="Arial Narrow" w:hAnsi="Arial Narrow"/>
                <w:sz w:val="20"/>
              </w:rPr>
            </w:pPr>
          </w:p>
        </w:tc>
      </w:tr>
      <w:tr w:rsidR="00743464" w:rsidRPr="00CF3D88" w:rsidTr="00C6471C">
        <w:trPr>
          <w:cantSplit/>
          <w:trHeight w:val="360"/>
        </w:trPr>
        <w:tc>
          <w:tcPr>
            <w:tcW w:w="2552" w:type="dxa"/>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Prescriber Instructions</w:t>
            </w:r>
          </w:p>
          <w:p w:rsidR="00743464" w:rsidRPr="00CF3D88" w:rsidRDefault="00743464" w:rsidP="00743464">
            <w:pPr>
              <w:rPr>
                <w:rFonts w:ascii="Arial Narrow" w:hAnsi="Arial Narrow"/>
                <w:sz w:val="20"/>
              </w:rPr>
            </w:pPr>
          </w:p>
        </w:tc>
        <w:tc>
          <w:tcPr>
            <w:tcW w:w="5811" w:type="dxa"/>
            <w:gridSpan w:val="10"/>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sz w:val="20"/>
              </w:rPr>
            </w:pPr>
            <w:r w:rsidRPr="00CF3D88">
              <w:rPr>
                <w:rFonts w:ascii="Arial Narrow" w:hAnsi="Arial Narrow"/>
                <w:sz w:val="20"/>
              </w:rPr>
              <w:t xml:space="preserve">Authority applications for continuing treatment may be made by telephone to the Department of Human Services on 1800 700 270 (hours of operation 8 a.m. to 5 p.m. EST Monday </w:t>
            </w:r>
            <w:r w:rsidR="00D94334">
              <w:rPr>
                <w:rFonts w:ascii="Arial Narrow" w:hAnsi="Arial Narrow"/>
                <w:sz w:val="20"/>
              </w:rPr>
              <w:t>to Friday).</w:t>
            </w:r>
          </w:p>
          <w:p w:rsidR="00743464" w:rsidRPr="00CF3D88" w:rsidRDefault="00743464" w:rsidP="00743464">
            <w:pPr>
              <w:rPr>
                <w:rFonts w:ascii="Arial Narrow" w:hAnsi="Arial Narrow"/>
                <w:sz w:val="20"/>
              </w:rPr>
            </w:pPr>
          </w:p>
          <w:p w:rsidR="00743464" w:rsidRPr="00CF3D88" w:rsidRDefault="00743464" w:rsidP="00743464">
            <w:pPr>
              <w:rPr>
                <w:rFonts w:ascii="Arial Narrow" w:hAnsi="Arial Narrow"/>
                <w:sz w:val="20"/>
              </w:rPr>
            </w:pPr>
            <w:r w:rsidRPr="00CF3D88">
              <w:rPr>
                <w:rFonts w:ascii="Arial Narrow" w:hAnsi="Arial Narrow"/>
                <w:sz w:val="20"/>
              </w:rPr>
              <w:t>The treatment must not exceed a lifetime total of 16 cycles.</w:t>
            </w:r>
          </w:p>
          <w:p w:rsidR="00743464" w:rsidRPr="00CF3D88" w:rsidRDefault="00743464" w:rsidP="00743464">
            <w:pPr>
              <w:rPr>
                <w:rFonts w:ascii="Arial Narrow" w:hAnsi="Arial Narrow"/>
                <w:strike/>
                <w:sz w:val="20"/>
              </w:rPr>
            </w:pPr>
            <w:r w:rsidRPr="00CF3D88">
              <w:rPr>
                <w:rFonts w:ascii="Arial Narrow" w:hAnsi="Arial Narrow"/>
                <w:strike/>
                <w:sz w:val="20"/>
              </w:rPr>
              <w:t>Patients should be assessed for response after 4 cycles of brentuximab vedotin treatment.</w:t>
            </w:r>
          </w:p>
          <w:p w:rsidR="00743464" w:rsidRPr="00CF3D88" w:rsidRDefault="00743464" w:rsidP="00743464">
            <w:pPr>
              <w:rPr>
                <w:rFonts w:ascii="Arial Narrow" w:hAnsi="Arial Narrow"/>
                <w:strike/>
                <w:sz w:val="20"/>
              </w:rPr>
            </w:pPr>
            <w:r w:rsidRPr="00CF3D88">
              <w:rPr>
                <w:rFonts w:ascii="Arial Narrow" w:hAnsi="Arial Narrow"/>
                <w:strike/>
                <w:sz w:val="20"/>
              </w:rPr>
              <w:t>Patients should not be continued on brentuximab vedotin treatment if they are in a progressive disease state after the first assessment of response.</w:t>
            </w:r>
          </w:p>
          <w:p w:rsidR="00743464" w:rsidRPr="00CF3D88" w:rsidRDefault="00743464" w:rsidP="00743464">
            <w:pPr>
              <w:rPr>
                <w:rFonts w:ascii="Arial Narrow" w:hAnsi="Arial Narrow"/>
                <w:strike/>
                <w:sz w:val="20"/>
              </w:rPr>
            </w:pPr>
            <w:r w:rsidRPr="00CF3D88">
              <w:rPr>
                <w:rFonts w:ascii="Arial Narrow" w:hAnsi="Arial Narrow"/>
                <w:strike/>
                <w:sz w:val="20"/>
              </w:rPr>
              <w:t>The following information is to be provided at time of request for continuation of treatment:</w:t>
            </w:r>
          </w:p>
          <w:p w:rsidR="00743464" w:rsidRPr="00CF3D88" w:rsidRDefault="00743464" w:rsidP="00743464">
            <w:pPr>
              <w:rPr>
                <w:rFonts w:ascii="Arial Narrow" w:hAnsi="Arial Narrow"/>
                <w:strike/>
                <w:sz w:val="20"/>
              </w:rPr>
            </w:pPr>
            <w:r w:rsidRPr="00CF3D88">
              <w:rPr>
                <w:rFonts w:ascii="Arial Narrow" w:hAnsi="Arial Narrow"/>
                <w:strike/>
                <w:sz w:val="20"/>
              </w:rPr>
              <w:t xml:space="preserve">The date of initial treatment with brentuximab vedotin; </w:t>
            </w:r>
          </w:p>
          <w:p w:rsidR="00743464" w:rsidRPr="00CF3D88" w:rsidRDefault="00743464" w:rsidP="00743464">
            <w:pPr>
              <w:rPr>
                <w:rFonts w:ascii="Arial Narrow" w:hAnsi="Arial Narrow"/>
                <w:strike/>
                <w:sz w:val="20"/>
              </w:rPr>
            </w:pPr>
            <w:r w:rsidRPr="00CF3D88">
              <w:rPr>
                <w:rFonts w:ascii="Arial Narrow" w:hAnsi="Arial Narrow"/>
                <w:strike/>
                <w:sz w:val="20"/>
              </w:rPr>
              <w:t>The date and means by which the patient’s disease was assessed as being responsive or not to brentuximab vedotin treatment;</w:t>
            </w:r>
          </w:p>
          <w:p w:rsidR="00743464" w:rsidRPr="00CF3D88" w:rsidRDefault="00743464" w:rsidP="00743464">
            <w:pPr>
              <w:rPr>
                <w:rFonts w:ascii="Arial Narrow" w:hAnsi="Arial Narrow"/>
                <w:strike/>
                <w:sz w:val="20"/>
              </w:rPr>
            </w:pPr>
            <w:r w:rsidRPr="00CF3D88">
              <w:rPr>
                <w:rFonts w:ascii="Arial Narrow" w:hAnsi="Arial Narrow"/>
                <w:strike/>
                <w:sz w:val="20"/>
              </w:rPr>
              <w:t>A declaration of the patient’s response to initial treatment (catego</w:t>
            </w:r>
            <w:r w:rsidR="00D94334">
              <w:rPr>
                <w:rFonts w:ascii="Arial Narrow" w:hAnsi="Arial Narrow"/>
                <w:strike/>
                <w:sz w:val="20"/>
              </w:rPr>
              <w:t>rised by type of response), and</w:t>
            </w:r>
          </w:p>
          <w:p w:rsidR="00743464" w:rsidRPr="00CF3D88" w:rsidRDefault="00743464" w:rsidP="00743464">
            <w:pPr>
              <w:rPr>
                <w:rFonts w:ascii="Arial Narrow" w:hAnsi="Arial Narrow"/>
                <w:strike/>
                <w:sz w:val="20"/>
              </w:rPr>
            </w:pPr>
            <w:r w:rsidRPr="00CF3D88">
              <w:rPr>
                <w:rFonts w:ascii="Arial Narrow" w:hAnsi="Arial Narrow"/>
                <w:strike/>
                <w:sz w:val="20"/>
              </w:rPr>
              <w:t>A declaration of whether the patient has had, or is</w:t>
            </w:r>
            <w:r w:rsidR="00D94334">
              <w:rPr>
                <w:rFonts w:ascii="Arial Narrow" w:hAnsi="Arial Narrow"/>
                <w:strike/>
                <w:sz w:val="20"/>
              </w:rPr>
              <w:t xml:space="preserve"> planned to have, a transplant.</w:t>
            </w:r>
          </w:p>
          <w:p w:rsidR="00743464" w:rsidRPr="00CF3D88" w:rsidRDefault="00743464" w:rsidP="00743464">
            <w:pPr>
              <w:rPr>
                <w:rFonts w:ascii="Arial Narrow" w:hAnsi="Arial Narrow"/>
                <w:sz w:val="20"/>
              </w:rPr>
            </w:pPr>
          </w:p>
        </w:tc>
      </w:tr>
      <w:tr w:rsidR="00743464" w:rsidRPr="00CF3D88" w:rsidTr="00C6471C">
        <w:trPr>
          <w:cantSplit/>
          <w:trHeight w:val="360"/>
        </w:trPr>
        <w:tc>
          <w:tcPr>
            <w:tcW w:w="2552" w:type="dxa"/>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b/>
                <w:sz w:val="20"/>
              </w:rPr>
            </w:pPr>
            <w:r w:rsidRPr="00CF3D88">
              <w:rPr>
                <w:rFonts w:ascii="Arial Narrow" w:hAnsi="Arial Narrow"/>
                <w:b/>
                <w:sz w:val="20"/>
              </w:rPr>
              <w:t>Administrative Advice</w:t>
            </w:r>
          </w:p>
          <w:p w:rsidR="00743464" w:rsidRPr="00CF3D88" w:rsidRDefault="00743464" w:rsidP="00743464">
            <w:pPr>
              <w:rPr>
                <w:rFonts w:ascii="Arial Narrow" w:hAnsi="Arial Narrow"/>
                <w:sz w:val="20"/>
              </w:rPr>
            </w:pPr>
          </w:p>
        </w:tc>
        <w:tc>
          <w:tcPr>
            <w:tcW w:w="5811" w:type="dxa"/>
            <w:gridSpan w:val="10"/>
            <w:tcBorders>
              <w:top w:val="single" w:sz="4" w:space="0" w:color="auto"/>
              <w:left w:val="single" w:sz="4" w:space="0" w:color="auto"/>
              <w:bottom w:val="single" w:sz="4" w:space="0" w:color="auto"/>
              <w:right w:val="single" w:sz="4" w:space="0" w:color="auto"/>
            </w:tcBorders>
          </w:tcPr>
          <w:p w:rsidR="00743464" w:rsidRPr="00CF3D88" w:rsidRDefault="00743464" w:rsidP="00743464">
            <w:pPr>
              <w:rPr>
                <w:rFonts w:ascii="Arial Narrow" w:hAnsi="Arial Narrow"/>
                <w:sz w:val="20"/>
              </w:rPr>
            </w:pPr>
            <w:r w:rsidRPr="00CF3D88">
              <w:rPr>
                <w:rFonts w:ascii="Arial Narrow" w:hAnsi="Arial Narrow"/>
                <w:sz w:val="20"/>
              </w:rPr>
              <w:t>No increase in the maximum numbe</w:t>
            </w:r>
            <w:r w:rsidR="00D94334">
              <w:rPr>
                <w:rFonts w:ascii="Arial Narrow" w:hAnsi="Arial Narrow"/>
                <w:sz w:val="20"/>
              </w:rPr>
              <w:t>r of repeats may be authorised.</w:t>
            </w:r>
          </w:p>
          <w:p w:rsidR="00743464" w:rsidRPr="00CF3D88" w:rsidRDefault="00743464" w:rsidP="00743464">
            <w:pPr>
              <w:rPr>
                <w:rFonts w:ascii="Arial Narrow" w:hAnsi="Arial Narrow"/>
                <w:sz w:val="20"/>
              </w:rPr>
            </w:pPr>
          </w:p>
          <w:p w:rsidR="00743464" w:rsidRPr="00CF3D88" w:rsidRDefault="00743464" w:rsidP="00743464">
            <w:pPr>
              <w:rPr>
                <w:rFonts w:ascii="Arial Narrow" w:hAnsi="Arial Narrow"/>
                <w:sz w:val="20"/>
              </w:rPr>
            </w:pPr>
            <w:r w:rsidRPr="00CF3D88">
              <w:rPr>
                <w:rFonts w:ascii="Arial Narrow" w:hAnsi="Arial Narrow"/>
                <w:sz w:val="20"/>
              </w:rPr>
              <w:t>No increase in the maximum quantity or number of units may be authorised</w:t>
            </w:r>
          </w:p>
        </w:tc>
      </w:tr>
    </w:tbl>
    <w:p w:rsidR="00743464" w:rsidRPr="00CF3D88" w:rsidRDefault="00743464" w:rsidP="00743464">
      <w:pPr>
        <w:widowControl/>
        <w:jc w:val="left"/>
        <w:rPr>
          <w:i/>
          <w:szCs w:val="22"/>
        </w:rPr>
      </w:pPr>
    </w:p>
    <w:p w:rsidR="00743464" w:rsidRPr="00CF3D88" w:rsidRDefault="00743464" w:rsidP="00954713">
      <w:pPr>
        <w:widowControl/>
        <w:ind w:left="720" w:hanging="720"/>
        <w:jc w:val="left"/>
        <w:rPr>
          <w:szCs w:val="22"/>
        </w:rPr>
      </w:pPr>
    </w:p>
    <w:p w:rsidR="00954713" w:rsidRPr="00CF3D88" w:rsidRDefault="00954713" w:rsidP="009530DB">
      <w:pPr>
        <w:widowControl/>
        <w:numPr>
          <w:ilvl w:val="1"/>
          <w:numId w:val="2"/>
        </w:numPr>
        <w:contextualSpacing/>
        <w:rPr>
          <w:szCs w:val="22"/>
        </w:rPr>
      </w:pPr>
      <w:r w:rsidRPr="00CF3D88">
        <w:rPr>
          <w:szCs w:val="22"/>
        </w:rPr>
        <w:t xml:space="preserve">The </w:t>
      </w:r>
      <w:r w:rsidR="00A8064E" w:rsidRPr="00CF3D88">
        <w:rPr>
          <w:szCs w:val="22"/>
        </w:rPr>
        <w:t xml:space="preserve">resubmission </w:t>
      </w:r>
      <w:r w:rsidRPr="00CF3D88">
        <w:rPr>
          <w:szCs w:val="22"/>
        </w:rPr>
        <w:t>presented a cost-utility analysis compared with salvage chemotherapy (represent</w:t>
      </w:r>
      <w:r w:rsidR="00D94334">
        <w:rPr>
          <w:szCs w:val="22"/>
        </w:rPr>
        <w:t xml:space="preserve">ed by </w:t>
      </w:r>
      <w:proofErr w:type="spellStart"/>
      <w:r w:rsidR="00D94334">
        <w:rPr>
          <w:szCs w:val="22"/>
        </w:rPr>
        <w:t>gemcitabine+vinorelbine</w:t>
      </w:r>
      <w:proofErr w:type="spellEnd"/>
      <w:r w:rsidR="00D94334">
        <w:rPr>
          <w:szCs w:val="22"/>
        </w:rPr>
        <w:t>).</w:t>
      </w:r>
    </w:p>
    <w:p w:rsidR="00954713" w:rsidRPr="00CF3D88" w:rsidRDefault="00954713" w:rsidP="00954713">
      <w:pPr>
        <w:widowControl/>
        <w:ind w:left="720"/>
        <w:contextualSpacing/>
        <w:rPr>
          <w:szCs w:val="22"/>
        </w:rPr>
      </w:pPr>
    </w:p>
    <w:p w:rsidR="00954713" w:rsidRPr="00CF3D88" w:rsidRDefault="00B75841" w:rsidP="009530DB">
      <w:pPr>
        <w:numPr>
          <w:ilvl w:val="1"/>
          <w:numId w:val="2"/>
        </w:numPr>
        <w:contextualSpacing/>
      </w:pPr>
      <w:r w:rsidRPr="00CF3D88">
        <w:t>T</w:t>
      </w:r>
      <w:r w:rsidR="00954713" w:rsidRPr="00CF3D88">
        <w:t xml:space="preserve">he proposed restriction did not limit use to first-line post ASCT (i.e. listing was sought in any line post ASCT) and use was not restricted to patients whose treatment had a curative intent. </w:t>
      </w:r>
      <w:r w:rsidRPr="00CF3D88">
        <w:t xml:space="preserve">This was consistent with the PBAC Minutes from March 2015. </w:t>
      </w:r>
      <w:r w:rsidR="00954713" w:rsidRPr="00CF3D88">
        <w:t xml:space="preserve">Further, the </w:t>
      </w:r>
      <w:r w:rsidR="00A8064E" w:rsidRPr="00CF3D88">
        <w:t xml:space="preserve">resubmission </w:t>
      </w:r>
      <w:r w:rsidR="0054469F" w:rsidRPr="00CF3D88">
        <w:t xml:space="preserve">proposed that patients could continue treatment beyond four cycles if they were progression free (but not necessarily in complete remission). This was less stringent than proposed in the previous submission, which would have restricted </w:t>
      </w:r>
      <w:r w:rsidR="00E0553D" w:rsidRPr="00CF3D88">
        <w:t xml:space="preserve">continued </w:t>
      </w:r>
      <w:r w:rsidR="0054469F" w:rsidRPr="00CF3D88">
        <w:t xml:space="preserve">use to </w:t>
      </w:r>
      <w:r w:rsidR="00A8679D" w:rsidRPr="00CF3D88">
        <w:t xml:space="preserve">only those </w:t>
      </w:r>
      <w:r w:rsidR="0054469F" w:rsidRPr="00CF3D88">
        <w:t xml:space="preserve">patients with </w:t>
      </w:r>
      <w:r w:rsidR="00A8679D" w:rsidRPr="00CF3D88">
        <w:t xml:space="preserve">a </w:t>
      </w:r>
      <w:r w:rsidR="0054469F" w:rsidRPr="00CF3D88">
        <w:t>complete response.</w:t>
      </w:r>
      <w:r w:rsidR="00B77A6A" w:rsidRPr="00CF3D88">
        <w:t xml:space="preserve"> </w:t>
      </w:r>
      <w:r w:rsidR="00784344" w:rsidRPr="00CF3D88">
        <w:t xml:space="preserve">The ESC considered that these </w:t>
      </w:r>
      <w:r w:rsidR="00954713" w:rsidRPr="00CF3D88">
        <w:t>changes were appropriate.</w:t>
      </w:r>
    </w:p>
    <w:p w:rsidR="00954713" w:rsidRPr="00CF3D88" w:rsidRDefault="00954713" w:rsidP="00954713">
      <w:pPr>
        <w:ind w:left="720"/>
        <w:contextualSpacing/>
      </w:pPr>
    </w:p>
    <w:p w:rsidR="00954713" w:rsidRPr="00CF3D88" w:rsidRDefault="00954713" w:rsidP="009530DB">
      <w:pPr>
        <w:widowControl/>
        <w:numPr>
          <w:ilvl w:val="1"/>
          <w:numId w:val="2"/>
        </w:numPr>
        <w:contextualSpacing/>
      </w:pPr>
      <w:r w:rsidRPr="00CF3D88">
        <w:t xml:space="preserve">In March 2015, the PBAC considered that there were other groups of patients with Hodgkin lymphoma who had a high clinical need for treatment options. Thus, </w:t>
      </w:r>
      <w:r w:rsidR="00323DA1" w:rsidRPr="00CF3D88">
        <w:t xml:space="preserve">in November 2016, </w:t>
      </w:r>
      <w:r w:rsidRPr="00CF3D88">
        <w:t xml:space="preserve">a separate submission </w:t>
      </w:r>
      <w:r w:rsidR="00A8679D" w:rsidRPr="00CF3D88">
        <w:t xml:space="preserve">for brentuximab vedotin </w:t>
      </w:r>
      <w:r w:rsidR="00B75841" w:rsidRPr="00CF3D88">
        <w:t xml:space="preserve">(item 6.01) </w:t>
      </w:r>
      <w:r w:rsidRPr="00CF3D88">
        <w:t>w</w:t>
      </w:r>
      <w:r w:rsidR="00323DA1" w:rsidRPr="00CF3D88">
        <w:t>ill also be considered</w:t>
      </w:r>
      <w:r w:rsidRPr="00CF3D88">
        <w:t>, for patients who failed at least two prior therapies when ASCT or multi-agent chemotherapy is not a treatment opt</w:t>
      </w:r>
      <w:r w:rsidR="00D94334">
        <w:t>ion (i.e. ASCT naïve patients).</w:t>
      </w:r>
    </w:p>
    <w:p w:rsidR="008C4BED" w:rsidRPr="00CF3D88" w:rsidRDefault="008C4BED" w:rsidP="008C4BED">
      <w:pPr>
        <w:pStyle w:val="ListParagraph"/>
        <w:widowControl/>
        <w:ind w:left="709"/>
        <w:rPr>
          <w:rFonts w:cs="Times New Roman"/>
          <w:i/>
          <w:snapToGrid/>
          <w:szCs w:val="22"/>
          <w:lang w:eastAsia="en-AU"/>
        </w:rPr>
      </w:pPr>
    </w:p>
    <w:p w:rsidR="008C4BED" w:rsidRPr="00CF3D88" w:rsidRDefault="008C4BED" w:rsidP="008C4BED">
      <w:pPr>
        <w:pStyle w:val="ListParagraph"/>
        <w:widowControl/>
        <w:ind w:left="709"/>
      </w:pPr>
      <w:r w:rsidRPr="00CF3D88">
        <w:rPr>
          <w:rFonts w:cs="Times New Roman"/>
          <w:i/>
          <w:snapToGrid/>
          <w:szCs w:val="22"/>
          <w:lang w:eastAsia="en-AU"/>
        </w:rPr>
        <w:t>For more detail on PBAC’s view, see section 7 “PBAC outcome”</w:t>
      </w:r>
      <w:r w:rsidR="0035195E">
        <w:rPr>
          <w:rFonts w:cs="Times New Roman"/>
          <w:i/>
          <w:snapToGrid/>
          <w:szCs w:val="22"/>
          <w:lang w:eastAsia="en-AU"/>
        </w:rPr>
        <w:t>.</w:t>
      </w:r>
    </w:p>
    <w:p w:rsidR="00954713" w:rsidRPr="00CF3D88" w:rsidRDefault="00954713" w:rsidP="004C1E68">
      <w:pPr>
        <w:widowControl/>
        <w:jc w:val="left"/>
      </w:pPr>
    </w:p>
    <w:p w:rsidR="003948DD" w:rsidRPr="00CF3D88" w:rsidRDefault="003948DD" w:rsidP="004C1E68">
      <w:pPr>
        <w:widowControl/>
        <w:jc w:val="left"/>
      </w:pPr>
    </w:p>
    <w:p w:rsidR="00954713" w:rsidRPr="00CF3D88" w:rsidRDefault="00954713" w:rsidP="007C49BB">
      <w:pPr>
        <w:pStyle w:val="PBACHeading1"/>
      </w:pPr>
      <w:bookmarkStart w:id="8" w:name="_Toc461607677"/>
      <w:r w:rsidRPr="00CF3D88">
        <w:t>Background</w:t>
      </w:r>
      <w:bookmarkEnd w:id="8"/>
    </w:p>
    <w:p w:rsidR="00954713" w:rsidRPr="00CF3D88" w:rsidRDefault="00954713" w:rsidP="00954713">
      <w:pPr>
        <w:rPr>
          <w:szCs w:val="22"/>
        </w:rPr>
      </w:pPr>
    </w:p>
    <w:p w:rsidR="00954713" w:rsidRPr="00CF3D88" w:rsidRDefault="00954713" w:rsidP="009530DB">
      <w:pPr>
        <w:widowControl/>
        <w:numPr>
          <w:ilvl w:val="1"/>
          <w:numId w:val="2"/>
        </w:numPr>
        <w:contextualSpacing/>
        <w:rPr>
          <w:szCs w:val="22"/>
        </w:rPr>
      </w:pPr>
      <w:r w:rsidRPr="00CF3D88">
        <w:rPr>
          <w:szCs w:val="22"/>
        </w:rPr>
        <w:t xml:space="preserve">TGA status </w:t>
      </w:r>
      <w:r w:rsidR="000D69DB" w:rsidRPr="00CF3D88">
        <w:rPr>
          <w:szCs w:val="22"/>
        </w:rPr>
        <w:t xml:space="preserve">for </w:t>
      </w:r>
      <w:r w:rsidRPr="00CF3D88">
        <w:rPr>
          <w:szCs w:val="22"/>
        </w:rPr>
        <w:t>Hodgkin lymphoma: brentuximab vedotin was TGA registered on 19</w:t>
      </w:r>
      <w:r w:rsidR="000D69DB" w:rsidRPr="00CF3D88">
        <w:rPr>
          <w:szCs w:val="22"/>
        </w:rPr>
        <w:t> </w:t>
      </w:r>
      <w:r w:rsidRPr="00CF3D88">
        <w:rPr>
          <w:szCs w:val="22"/>
        </w:rPr>
        <w:t>December 2013 for the treatment of adult patients with relapsed or refractory CD30+ Hodgkin lymphoma:</w:t>
      </w:r>
    </w:p>
    <w:p w:rsidR="00954713" w:rsidRPr="00CF3D88" w:rsidRDefault="00954713" w:rsidP="0035195E">
      <w:pPr>
        <w:pStyle w:val="ListParagraph"/>
        <w:widowControl/>
        <w:numPr>
          <w:ilvl w:val="0"/>
          <w:numId w:val="12"/>
        </w:numPr>
        <w:ind w:left="993" w:hanging="284"/>
        <w:rPr>
          <w:szCs w:val="22"/>
        </w:rPr>
      </w:pPr>
      <w:r w:rsidRPr="00CF3D88">
        <w:rPr>
          <w:szCs w:val="22"/>
        </w:rPr>
        <w:t>Following ASCT</w:t>
      </w:r>
      <w:r w:rsidR="00A8679D" w:rsidRPr="00CF3D88">
        <w:rPr>
          <w:szCs w:val="22"/>
        </w:rPr>
        <w:t>;</w:t>
      </w:r>
      <w:r w:rsidRPr="00CF3D88">
        <w:rPr>
          <w:szCs w:val="22"/>
        </w:rPr>
        <w:t xml:space="preserve"> or</w:t>
      </w:r>
    </w:p>
    <w:p w:rsidR="00954713" w:rsidRPr="0035195E" w:rsidRDefault="00954713" w:rsidP="0035195E">
      <w:pPr>
        <w:pStyle w:val="ListParagraph"/>
        <w:widowControl/>
        <w:numPr>
          <w:ilvl w:val="0"/>
          <w:numId w:val="12"/>
        </w:numPr>
        <w:ind w:left="993" w:hanging="284"/>
        <w:rPr>
          <w:szCs w:val="22"/>
        </w:rPr>
      </w:pPr>
      <w:r w:rsidRPr="0035195E">
        <w:rPr>
          <w:szCs w:val="22"/>
        </w:rPr>
        <w:t>Following at least two prior therapies when ASCT or multi-agent chemotherapy is not a treatment option.</w:t>
      </w:r>
    </w:p>
    <w:p w:rsidR="00954713" w:rsidRPr="00CF3D88" w:rsidRDefault="00954713" w:rsidP="00954713"/>
    <w:p w:rsidR="009F084F" w:rsidRPr="00CF3D88" w:rsidRDefault="00954713" w:rsidP="009530DB">
      <w:pPr>
        <w:widowControl/>
        <w:numPr>
          <w:ilvl w:val="1"/>
          <w:numId w:val="2"/>
        </w:numPr>
        <w:contextualSpacing/>
        <w:rPr>
          <w:szCs w:val="22"/>
        </w:rPr>
      </w:pPr>
      <w:r w:rsidRPr="00CF3D88">
        <w:rPr>
          <w:szCs w:val="22"/>
        </w:rPr>
        <w:t>This item was previously considered at the March 2015 PBAC meeting.</w:t>
      </w:r>
      <w:r w:rsidR="009F084F" w:rsidRPr="00CF3D88">
        <w:rPr>
          <w:szCs w:val="22"/>
        </w:rPr>
        <w:t xml:space="preserve"> The PBAC </w:t>
      </w:r>
      <w:r w:rsidR="00730447" w:rsidRPr="00CF3D88">
        <w:rPr>
          <w:szCs w:val="22"/>
        </w:rPr>
        <w:t xml:space="preserve">considered the following issues would need to be addressed in the </w:t>
      </w:r>
      <w:r w:rsidR="00A8064E" w:rsidRPr="00CF3D88">
        <w:rPr>
          <w:szCs w:val="22"/>
        </w:rPr>
        <w:t>resubmission</w:t>
      </w:r>
      <w:r w:rsidR="009F084F" w:rsidRPr="00CF3D88">
        <w:rPr>
          <w:szCs w:val="22"/>
        </w:rPr>
        <w:t>:</w:t>
      </w:r>
    </w:p>
    <w:p w:rsidR="009F084F" w:rsidRPr="00CF3D88" w:rsidRDefault="00730447" w:rsidP="0035195E">
      <w:pPr>
        <w:pStyle w:val="ListParagraph"/>
        <w:widowControl/>
        <w:numPr>
          <w:ilvl w:val="0"/>
          <w:numId w:val="12"/>
        </w:numPr>
        <w:ind w:left="993" w:hanging="284"/>
        <w:rPr>
          <w:szCs w:val="22"/>
        </w:rPr>
      </w:pPr>
      <w:r w:rsidRPr="00CF3D88">
        <w:rPr>
          <w:szCs w:val="22"/>
        </w:rPr>
        <w:t>Incorporate changes to the proposed restriction (i.e. could provide ‘continuation rule’ for use of brentuximab vedotin);</w:t>
      </w:r>
    </w:p>
    <w:p w:rsidR="00730447" w:rsidRPr="00CF3D88" w:rsidRDefault="00730447" w:rsidP="0035195E">
      <w:pPr>
        <w:pStyle w:val="ListParagraph"/>
        <w:widowControl/>
        <w:numPr>
          <w:ilvl w:val="0"/>
          <w:numId w:val="12"/>
        </w:numPr>
        <w:ind w:left="993" w:hanging="284"/>
        <w:rPr>
          <w:szCs w:val="22"/>
        </w:rPr>
      </w:pPr>
      <w:r w:rsidRPr="00CF3D88">
        <w:rPr>
          <w:szCs w:val="22"/>
        </w:rPr>
        <w:t>Use the combined data from Kaloyannidis and British Columbia registries to inform the effectiveness of salvage chemotherapy in the economic model;</w:t>
      </w:r>
    </w:p>
    <w:p w:rsidR="00730447" w:rsidRPr="00CF3D88" w:rsidRDefault="00730447" w:rsidP="0035195E">
      <w:pPr>
        <w:pStyle w:val="ListParagraph"/>
        <w:widowControl/>
        <w:numPr>
          <w:ilvl w:val="0"/>
          <w:numId w:val="12"/>
        </w:numPr>
        <w:ind w:left="993" w:hanging="284"/>
        <w:rPr>
          <w:szCs w:val="22"/>
        </w:rPr>
      </w:pPr>
      <w:r w:rsidRPr="00CF3D88">
        <w:rPr>
          <w:szCs w:val="22"/>
        </w:rPr>
        <w:t>Use an eight year time horizon in the base case model;</w:t>
      </w:r>
    </w:p>
    <w:p w:rsidR="00730447" w:rsidRPr="00CF3D88" w:rsidRDefault="00730447" w:rsidP="0035195E">
      <w:pPr>
        <w:pStyle w:val="ListParagraph"/>
        <w:widowControl/>
        <w:numPr>
          <w:ilvl w:val="0"/>
          <w:numId w:val="12"/>
        </w:numPr>
        <w:ind w:left="993" w:hanging="284"/>
        <w:rPr>
          <w:szCs w:val="22"/>
        </w:rPr>
      </w:pPr>
      <w:r w:rsidRPr="00CF3D88">
        <w:rPr>
          <w:szCs w:val="22"/>
        </w:rPr>
        <w:t>Provide more reliable data for rates of consolidation with allogeneic SCT;</w:t>
      </w:r>
    </w:p>
    <w:p w:rsidR="00730447" w:rsidRPr="00CF3D88" w:rsidRDefault="00730447" w:rsidP="0035195E">
      <w:pPr>
        <w:pStyle w:val="ListParagraph"/>
        <w:widowControl/>
        <w:numPr>
          <w:ilvl w:val="0"/>
          <w:numId w:val="12"/>
        </w:numPr>
        <w:ind w:left="993" w:hanging="284"/>
        <w:rPr>
          <w:szCs w:val="22"/>
        </w:rPr>
      </w:pPr>
      <w:r w:rsidRPr="00CF3D88">
        <w:rPr>
          <w:szCs w:val="22"/>
        </w:rPr>
        <w:t>The ICER of the re-specified base case be from $50,000 and $60,000 per QALY; and</w:t>
      </w:r>
    </w:p>
    <w:p w:rsidR="00730447" w:rsidRPr="00CF3D88" w:rsidRDefault="00730447" w:rsidP="0035195E">
      <w:pPr>
        <w:pStyle w:val="ListParagraph"/>
        <w:widowControl/>
        <w:numPr>
          <w:ilvl w:val="0"/>
          <w:numId w:val="12"/>
        </w:numPr>
        <w:ind w:left="993" w:hanging="284"/>
        <w:rPr>
          <w:szCs w:val="22"/>
        </w:rPr>
      </w:pPr>
      <w:r w:rsidRPr="00CF3D88">
        <w:rPr>
          <w:szCs w:val="22"/>
        </w:rPr>
        <w:t xml:space="preserve">Update the financial estimates to include a more appropriate uptake rate (Paragraph 7.14, PBAC </w:t>
      </w:r>
      <w:r w:rsidR="005D41ED">
        <w:rPr>
          <w:szCs w:val="22"/>
        </w:rPr>
        <w:t>PSD</w:t>
      </w:r>
      <w:r w:rsidRPr="00CF3D88">
        <w:rPr>
          <w:szCs w:val="22"/>
        </w:rPr>
        <w:t xml:space="preserve">, </w:t>
      </w:r>
      <w:proofErr w:type="gramStart"/>
      <w:r w:rsidRPr="00CF3D88">
        <w:rPr>
          <w:szCs w:val="22"/>
        </w:rPr>
        <w:t>March</w:t>
      </w:r>
      <w:proofErr w:type="gramEnd"/>
      <w:r w:rsidRPr="00CF3D88">
        <w:rPr>
          <w:szCs w:val="22"/>
        </w:rPr>
        <w:t xml:space="preserve"> 2015).</w:t>
      </w:r>
    </w:p>
    <w:p w:rsidR="00730447" w:rsidRPr="00CF3D88" w:rsidRDefault="00730447" w:rsidP="00D94334">
      <w:pPr>
        <w:widowControl/>
        <w:rPr>
          <w:szCs w:val="22"/>
        </w:rPr>
      </w:pPr>
    </w:p>
    <w:p w:rsidR="00954713" w:rsidRPr="00CF3D88" w:rsidRDefault="00A8679D" w:rsidP="009530DB">
      <w:pPr>
        <w:widowControl/>
        <w:numPr>
          <w:ilvl w:val="1"/>
          <w:numId w:val="2"/>
        </w:numPr>
        <w:contextualSpacing/>
        <w:rPr>
          <w:szCs w:val="22"/>
        </w:rPr>
      </w:pPr>
      <w:r w:rsidRPr="00CF3D88">
        <w:rPr>
          <w:szCs w:val="22"/>
        </w:rPr>
        <w:t xml:space="preserve">Table 1 summarises the differences between the previous submission and the </w:t>
      </w:r>
      <w:r w:rsidR="00A8064E" w:rsidRPr="00CF3D88">
        <w:rPr>
          <w:szCs w:val="22"/>
        </w:rPr>
        <w:t>resubmission</w:t>
      </w:r>
      <w:r w:rsidR="00730447" w:rsidRPr="00CF3D88">
        <w:rPr>
          <w:szCs w:val="22"/>
        </w:rPr>
        <w:t xml:space="preserve">, and provides comment </w:t>
      </w:r>
      <w:r w:rsidR="00942A77" w:rsidRPr="00CF3D88">
        <w:rPr>
          <w:szCs w:val="22"/>
        </w:rPr>
        <w:t xml:space="preserve">on </w:t>
      </w:r>
      <w:r w:rsidR="00730447" w:rsidRPr="00CF3D88">
        <w:rPr>
          <w:szCs w:val="22"/>
        </w:rPr>
        <w:t>how the PBAC issues were addressed</w:t>
      </w:r>
      <w:r w:rsidR="00125B96" w:rsidRPr="00CF3D88">
        <w:rPr>
          <w:szCs w:val="22"/>
        </w:rPr>
        <w:t>.</w:t>
      </w:r>
    </w:p>
    <w:p w:rsidR="00954713" w:rsidRPr="00CF3D88" w:rsidRDefault="00954713" w:rsidP="00954713"/>
    <w:p w:rsidR="00954713" w:rsidRPr="00CF3D88" w:rsidRDefault="00954713" w:rsidP="002C7059">
      <w:pPr>
        <w:keepNext/>
        <w:widowControl/>
        <w:ind w:firstLine="720"/>
        <w:rPr>
          <w:rFonts w:ascii="Arial Narrow" w:hAnsi="Arial Narrow"/>
          <w:b/>
          <w:sz w:val="19"/>
          <w:szCs w:val="19"/>
        </w:rPr>
      </w:pPr>
      <w:r w:rsidRPr="00CF3D88">
        <w:rPr>
          <w:rFonts w:ascii="Arial Narrow" w:hAnsi="Arial Narrow"/>
          <w:b/>
          <w:sz w:val="19"/>
          <w:szCs w:val="19"/>
        </w:rPr>
        <w:lastRenderedPageBreak/>
        <w:t xml:space="preserve">Table 1: Summary of the previous submission and current </w:t>
      </w:r>
      <w:r w:rsidR="00A8064E" w:rsidRPr="00CF3D88">
        <w:rPr>
          <w:rFonts w:ascii="Arial Narrow" w:hAnsi="Arial Narrow"/>
          <w:b/>
          <w:sz w:val="19"/>
          <w:szCs w:val="19"/>
        </w:rPr>
        <w:t>resubmission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4"/>
        <w:gridCol w:w="4089"/>
        <w:gridCol w:w="3260"/>
      </w:tblGrid>
      <w:tr w:rsidR="00954713" w:rsidRPr="00CF3D88" w:rsidTr="002C7059">
        <w:trPr>
          <w:cantSplit/>
          <w:trHeight w:val="20"/>
          <w:tblHeader/>
        </w:trPr>
        <w:tc>
          <w:tcPr>
            <w:tcW w:w="1014" w:type="dxa"/>
          </w:tcPr>
          <w:p w:rsidR="00954713" w:rsidRPr="00CF3D88" w:rsidRDefault="00954713" w:rsidP="002C7059">
            <w:pPr>
              <w:keepNext/>
              <w:widowControl/>
              <w:jc w:val="left"/>
              <w:rPr>
                <w:rFonts w:ascii="Arial Narrow" w:hAnsi="Arial Narrow" w:cs="Times New Roman"/>
                <w:snapToGrid/>
                <w:sz w:val="20"/>
              </w:rPr>
            </w:pPr>
          </w:p>
        </w:tc>
        <w:tc>
          <w:tcPr>
            <w:tcW w:w="4089" w:type="dxa"/>
            <w:vAlign w:val="center"/>
          </w:tcPr>
          <w:p w:rsidR="00954713" w:rsidRPr="00CF3D88" w:rsidRDefault="00954713" w:rsidP="002C7059">
            <w:pPr>
              <w:keepNext/>
              <w:widowControl/>
              <w:jc w:val="left"/>
              <w:rPr>
                <w:rFonts w:ascii="Arial Narrow" w:hAnsi="Arial Narrow" w:cs="Times New Roman"/>
                <w:b/>
                <w:snapToGrid/>
                <w:sz w:val="20"/>
              </w:rPr>
            </w:pPr>
            <w:r w:rsidRPr="00CF3D88">
              <w:rPr>
                <w:rFonts w:ascii="Arial Narrow" w:hAnsi="Arial Narrow" w:cs="Times New Roman"/>
                <w:b/>
                <w:snapToGrid/>
                <w:sz w:val="20"/>
              </w:rPr>
              <w:t>Brentuximab vedotin (March 2015)</w:t>
            </w:r>
          </w:p>
        </w:tc>
        <w:tc>
          <w:tcPr>
            <w:tcW w:w="3260" w:type="dxa"/>
            <w:vAlign w:val="center"/>
          </w:tcPr>
          <w:p w:rsidR="00954713" w:rsidRPr="00CF3D88" w:rsidRDefault="00954713" w:rsidP="002C7059">
            <w:pPr>
              <w:keepNext/>
              <w:widowControl/>
              <w:jc w:val="left"/>
              <w:rPr>
                <w:rFonts w:ascii="Arial Narrow" w:hAnsi="Arial Narrow" w:cs="Times New Roman"/>
                <w:b/>
                <w:snapToGrid/>
                <w:sz w:val="20"/>
              </w:rPr>
            </w:pPr>
            <w:r w:rsidRPr="00CF3D88">
              <w:rPr>
                <w:rFonts w:ascii="Arial Narrow" w:hAnsi="Arial Narrow" w:cs="Times New Roman"/>
                <w:b/>
                <w:snapToGrid/>
                <w:sz w:val="20"/>
              </w:rPr>
              <w:t xml:space="preserve">Current </w:t>
            </w:r>
            <w:r w:rsidR="00A8064E" w:rsidRPr="00CF3D88">
              <w:rPr>
                <w:rFonts w:ascii="Arial Narrow" w:hAnsi="Arial Narrow" w:cs="Times New Roman"/>
                <w:b/>
                <w:snapToGrid/>
                <w:sz w:val="20"/>
              </w:rPr>
              <w:t>resubmission</w:t>
            </w:r>
          </w:p>
        </w:tc>
      </w:tr>
      <w:tr w:rsidR="00954713" w:rsidRPr="00CF3D88" w:rsidTr="002C7059">
        <w:trPr>
          <w:cantSplit/>
          <w:trHeight w:val="20"/>
        </w:trPr>
        <w:tc>
          <w:tcPr>
            <w:tcW w:w="1014" w:type="dxa"/>
          </w:tcPr>
          <w:p w:rsidR="00954713" w:rsidRPr="00CF3D88" w:rsidRDefault="00954713" w:rsidP="002C7059">
            <w:pPr>
              <w:keepNext/>
              <w:widowControl/>
              <w:jc w:val="left"/>
              <w:rPr>
                <w:rFonts w:ascii="Arial Narrow" w:hAnsi="Arial Narrow" w:cs="Times New Roman"/>
                <w:snapToGrid/>
                <w:sz w:val="20"/>
              </w:rPr>
            </w:pPr>
            <w:r w:rsidRPr="00CF3D88">
              <w:rPr>
                <w:rFonts w:ascii="Arial Narrow" w:hAnsi="Arial Narrow" w:cs="Times New Roman"/>
                <w:snapToGrid/>
                <w:sz w:val="20"/>
              </w:rPr>
              <w:t>Requested PBS listing</w:t>
            </w:r>
          </w:p>
        </w:tc>
        <w:tc>
          <w:tcPr>
            <w:tcW w:w="4089" w:type="dxa"/>
          </w:tcPr>
          <w:p w:rsidR="00954713" w:rsidRPr="00CF3D88" w:rsidRDefault="00954713" w:rsidP="002C7059">
            <w:pPr>
              <w:keepNext/>
              <w:widowControl/>
              <w:jc w:val="left"/>
              <w:rPr>
                <w:rFonts w:ascii="Arial Narrow" w:hAnsi="Arial Narrow" w:cs="Times New Roman"/>
                <w:snapToGrid/>
                <w:color w:val="0000FF"/>
                <w:sz w:val="20"/>
              </w:rPr>
            </w:pPr>
            <w:r w:rsidRPr="00CF3D88">
              <w:rPr>
                <w:rFonts w:ascii="Arial Narrow" w:hAnsi="Arial Narrow" w:cs="Times New Roman"/>
                <w:snapToGrid/>
                <w:sz w:val="20"/>
              </w:rPr>
              <w:t>Relapsed or refractory Hodgkin lymphoma after ASCT that is suitable for systemic curative salvage therapy. Various options were proposed including restricting: use to first-line post ASCT; use to patients intended for an allogeneic SCT; and continuation beyond the fourth cycle to patients with Complete Response.</w:t>
            </w:r>
          </w:p>
          <w:p w:rsidR="00954713" w:rsidRPr="00CF3D88" w:rsidRDefault="00954713" w:rsidP="002C7059">
            <w:pPr>
              <w:keepNext/>
              <w:widowControl/>
              <w:jc w:val="left"/>
              <w:rPr>
                <w:rFonts w:ascii="Arial Narrow" w:hAnsi="Arial Narrow" w:cs="Times New Roman"/>
                <w:b/>
                <w:snapToGrid/>
                <w:sz w:val="20"/>
              </w:rPr>
            </w:pPr>
          </w:p>
          <w:p w:rsidR="00954713" w:rsidRPr="00CF3D88" w:rsidRDefault="00954713" w:rsidP="002C7059">
            <w:pPr>
              <w:keepNext/>
              <w:widowControl/>
              <w:jc w:val="left"/>
              <w:rPr>
                <w:rFonts w:ascii="Arial Narrow" w:hAnsi="Arial Narrow" w:cs="Times New Roman"/>
                <w:snapToGrid/>
                <w:sz w:val="20"/>
              </w:rPr>
            </w:pPr>
            <w:r w:rsidRPr="00CF3D88">
              <w:rPr>
                <w:rFonts w:ascii="Arial Narrow" w:hAnsi="Arial Narrow" w:cs="Times New Roman"/>
                <w:b/>
                <w:snapToGrid/>
                <w:sz w:val="20"/>
              </w:rPr>
              <w:t xml:space="preserve">PBAC Comment: </w:t>
            </w:r>
            <w:r w:rsidR="00323DA1" w:rsidRPr="00CF3D88">
              <w:rPr>
                <w:rFonts w:ascii="Arial Narrow" w:hAnsi="Arial Narrow" w:cs="Times New Roman"/>
                <w:snapToGrid/>
                <w:sz w:val="20"/>
              </w:rPr>
              <w:t>The proposed r</w:t>
            </w:r>
            <w:r w:rsidRPr="00CF3D88">
              <w:rPr>
                <w:rFonts w:ascii="Arial Narrow" w:hAnsi="Arial Narrow" w:cs="Times New Roman"/>
                <w:snapToGrid/>
                <w:sz w:val="20"/>
              </w:rPr>
              <w:t>estrictions would exclude certain patient groups who could benefit. The restriction should allow use at any line post ASCT. A continuation rule based on a complete response could be included if adequately justified, but the PBAC noted it would di</w:t>
            </w:r>
            <w:r w:rsidR="0035195E">
              <w:rPr>
                <w:rFonts w:ascii="Arial Narrow" w:hAnsi="Arial Narrow" w:cs="Times New Roman"/>
                <w:snapToGrid/>
                <w:sz w:val="20"/>
              </w:rPr>
              <w:t>sadvantage some patients (Para</w:t>
            </w:r>
            <w:r w:rsidRPr="00CF3D88">
              <w:rPr>
                <w:rFonts w:ascii="Arial Narrow" w:hAnsi="Arial Narrow" w:cs="Times New Roman"/>
                <w:snapToGrid/>
                <w:sz w:val="20"/>
              </w:rPr>
              <w:t xml:space="preserve"> 7.2-7.6).</w:t>
            </w:r>
          </w:p>
        </w:tc>
        <w:tc>
          <w:tcPr>
            <w:tcW w:w="3260" w:type="dxa"/>
          </w:tcPr>
          <w:p w:rsidR="00954713" w:rsidRPr="00CF3D88" w:rsidRDefault="00954713" w:rsidP="002C7059">
            <w:pPr>
              <w:keepNext/>
              <w:widowControl/>
              <w:jc w:val="left"/>
              <w:rPr>
                <w:rFonts w:ascii="Arial Narrow" w:hAnsi="Arial Narrow" w:cs="Times New Roman"/>
                <w:snapToGrid/>
                <w:sz w:val="20"/>
              </w:rPr>
            </w:pPr>
            <w:r w:rsidRPr="00CF3D88">
              <w:rPr>
                <w:rFonts w:ascii="Arial Narrow" w:hAnsi="Arial Narrow" w:cs="Times New Roman"/>
                <w:snapToGrid/>
                <w:sz w:val="20"/>
              </w:rPr>
              <w:t xml:space="preserve">Consistent with the PBAC Minutes listing was proposed in </w:t>
            </w:r>
            <w:r w:rsidRPr="00CF3D88">
              <w:rPr>
                <w:rFonts w:ascii="Arial Narrow" w:hAnsi="Arial Narrow" w:cs="Times New Roman"/>
                <w:snapToGrid/>
                <w:sz w:val="20"/>
                <w:u w:val="single"/>
              </w:rPr>
              <w:t>any line</w:t>
            </w:r>
            <w:r w:rsidRPr="00CF3D88">
              <w:rPr>
                <w:rFonts w:ascii="Arial Narrow" w:hAnsi="Arial Narrow" w:cs="Times New Roman"/>
                <w:snapToGrid/>
                <w:sz w:val="20"/>
              </w:rPr>
              <w:t xml:space="preserve"> of treatment after ASCT failure; there was no requirement for treat</w:t>
            </w:r>
            <w:r w:rsidR="00D94334">
              <w:rPr>
                <w:rFonts w:ascii="Arial Narrow" w:hAnsi="Arial Narrow" w:cs="Times New Roman"/>
                <w:snapToGrid/>
                <w:sz w:val="20"/>
              </w:rPr>
              <w:t>ment to have a curative intent.</w:t>
            </w:r>
          </w:p>
          <w:p w:rsidR="000A314F" w:rsidRPr="00CF3D88" w:rsidRDefault="000A314F" w:rsidP="002C7059">
            <w:pPr>
              <w:keepNext/>
              <w:widowControl/>
            </w:pPr>
          </w:p>
          <w:p w:rsidR="00954713" w:rsidRPr="00CF3D88" w:rsidRDefault="00954713" w:rsidP="002C7059">
            <w:pPr>
              <w:keepNext/>
              <w:widowControl/>
            </w:pPr>
            <w:r w:rsidRPr="00CF3D88">
              <w:rPr>
                <w:rFonts w:ascii="Arial Narrow" w:hAnsi="Arial Narrow" w:cs="Times New Roman"/>
                <w:snapToGrid/>
                <w:sz w:val="20"/>
              </w:rPr>
              <w:t>A separate submission was made for the PBAC’s consideration at the November 2016 for ASCT naïve patients</w:t>
            </w:r>
          </w:p>
          <w:p w:rsidR="00954713" w:rsidRPr="00CF3D88" w:rsidRDefault="00954713" w:rsidP="002C7059">
            <w:pPr>
              <w:keepNext/>
              <w:widowControl/>
              <w:jc w:val="left"/>
              <w:rPr>
                <w:rFonts w:ascii="Arial Narrow" w:hAnsi="Arial Narrow" w:cs="Times New Roman"/>
                <w:snapToGrid/>
                <w:sz w:val="20"/>
              </w:rPr>
            </w:pPr>
          </w:p>
          <w:p w:rsidR="00EB171F" w:rsidRPr="00CF3D88" w:rsidRDefault="00EB171F" w:rsidP="00BD3814">
            <w:pPr>
              <w:keepNext/>
              <w:widowControl/>
              <w:rPr>
                <w:rFonts w:ascii="Arial Narrow" w:hAnsi="Arial Narrow"/>
                <w:sz w:val="20"/>
              </w:rPr>
            </w:pPr>
            <w:r w:rsidRPr="00CF3D88">
              <w:rPr>
                <w:rStyle w:val="TableText1"/>
              </w:rPr>
              <w:t xml:space="preserve">There was no requirement for patients to have a complete response to continue treatment beyond </w:t>
            </w:r>
            <w:r w:rsidR="000747E5" w:rsidRPr="00CF3D88">
              <w:rPr>
                <w:rStyle w:val="TableText1"/>
              </w:rPr>
              <w:t>4</w:t>
            </w:r>
            <w:r w:rsidRPr="00CF3D88">
              <w:rPr>
                <w:rStyle w:val="TableText1"/>
              </w:rPr>
              <w:t xml:space="preserve"> cycles. </w:t>
            </w:r>
          </w:p>
        </w:tc>
      </w:tr>
      <w:tr w:rsidR="00954713" w:rsidRPr="00CF3D88" w:rsidTr="002C7059">
        <w:trPr>
          <w:cantSplit/>
          <w:trHeight w:val="20"/>
        </w:trPr>
        <w:tc>
          <w:tcPr>
            <w:tcW w:w="1014"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Requested price</w:t>
            </w:r>
          </w:p>
        </w:tc>
        <w:tc>
          <w:tcPr>
            <w:tcW w:w="4089" w:type="dxa"/>
          </w:tcPr>
          <w:p w:rsidR="00954713" w:rsidRPr="00CF3D88" w:rsidRDefault="00954713" w:rsidP="009A2241">
            <w:pPr>
              <w:widowControl/>
              <w:jc w:val="left"/>
              <w:rPr>
                <w:rFonts w:ascii="Arial Narrow" w:hAnsi="Arial Narrow" w:cs="Times New Roman"/>
                <w:snapToGrid/>
                <w:color w:val="0000FF"/>
                <w:sz w:val="20"/>
              </w:rPr>
            </w:pPr>
            <w:r w:rsidRPr="00CF3D88">
              <w:rPr>
                <w:rFonts w:ascii="Arial Narrow" w:hAnsi="Arial Narrow" w:cs="Times New Roman"/>
                <w:bCs/>
                <w:snapToGrid/>
                <w:sz w:val="20"/>
              </w:rPr>
              <w:t>Public/Private Effective AEMP: $</w:t>
            </w:r>
            <w:r w:rsidR="00526F5C">
              <w:rPr>
                <w:rFonts w:ascii="Arial Narrow" w:hAnsi="Arial Narrow" w:cs="Times New Roman"/>
                <w:bCs/>
                <w:noProof/>
                <w:snapToGrid/>
                <w:color w:val="000000"/>
                <w:sz w:val="20"/>
                <w:highlight w:val="black"/>
              </w:rPr>
              <w:t>''''''''''''''''''''''</w:t>
            </w:r>
            <w:r w:rsidRPr="00CF3D88">
              <w:rPr>
                <w:rFonts w:ascii="Arial Narrow" w:hAnsi="Arial Narrow" w:cs="Times New Roman"/>
                <w:bCs/>
                <w:snapToGrid/>
                <w:sz w:val="20"/>
              </w:rPr>
              <w:t xml:space="preserve"> (1 vial)</w:t>
            </w:r>
          </w:p>
        </w:tc>
        <w:tc>
          <w:tcPr>
            <w:tcW w:w="3260" w:type="dxa"/>
          </w:tcPr>
          <w:p w:rsidR="00954713" w:rsidRPr="00CF3D88" w:rsidRDefault="00954713" w:rsidP="009A2241">
            <w:pPr>
              <w:widowControl/>
              <w:jc w:val="left"/>
              <w:rPr>
                <w:rFonts w:ascii="Arial Narrow" w:hAnsi="Arial Narrow" w:cs="Times New Roman"/>
                <w:snapToGrid/>
                <w:color w:val="0000FF"/>
                <w:sz w:val="20"/>
              </w:rPr>
            </w:pPr>
            <w:r w:rsidRPr="00CF3D88">
              <w:rPr>
                <w:rFonts w:ascii="Arial Narrow" w:hAnsi="Arial Narrow" w:cs="Times New Roman"/>
                <w:bCs/>
                <w:snapToGrid/>
                <w:sz w:val="20"/>
              </w:rPr>
              <w:t>Public/Private Effective AEMP: $</w:t>
            </w:r>
            <w:r w:rsidR="00526F5C">
              <w:rPr>
                <w:rFonts w:ascii="Arial Narrow" w:hAnsi="Arial Narrow" w:cs="Times New Roman"/>
                <w:bCs/>
                <w:noProof/>
                <w:snapToGrid/>
                <w:color w:val="000000"/>
                <w:sz w:val="20"/>
                <w:highlight w:val="black"/>
              </w:rPr>
              <w:t>'''''''''''''''''''''</w:t>
            </w:r>
            <w:r w:rsidRPr="00CF3D88">
              <w:rPr>
                <w:rFonts w:ascii="Arial Narrow" w:hAnsi="Arial Narrow" w:cs="Times New Roman"/>
                <w:bCs/>
                <w:snapToGrid/>
                <w:sz w:val="20"/>
              </w:rPr>
              <w:t xml:space="preserve"> (1</w:t>
            </w:r>
            <w:r w:rsidR="00A8679D" w:rsidRPr="00CF3D88">
              <w:rPr>
                <w:rFonts w:ascii="Arial Narrow" w:hAnsi="Arial Narrow" w:cs="Times New Roman"/>
                <w:bCs/>
                <w:snapToGrid/>
                <w:sz w:val="20"/>
              </w:rPr>
              <w:t> </w:t>
            </w:r>
            <w:r w:rsidRPr="00CF3D88">
              <w:rPr>
                <w:rFonts w:ascii="Arial Narrow" w:hAnsi="Arial Narrow" w:cs="Times New Roman"/>
                <w:bCs/>
                <w:snapToGrid/>
                <w:sz w:val="20"/>
              </w:rPr>
              <w:t>vial</w:t>
            </w:r>
            <w:r w:rsidR="009A2241" w:rsidRPr="00CF3D88">
              <w:rPr>
                <w:rFonts w:ascii="Arial Narrow" w:hAnsi="Arial Narrow" w:cs="Times New Roman"/>
                <w:bCs/>
                <w:snapToGrid/>
                <w:sz w:val="20"/>
              </w:rPr>
              <w:t>, $</w:t>
            </w:r>
            <w:r w:rsidR="00526F5C">
              <w:rPr>
                <w:rFonts w:ascii="Arial Narrow" w:hAnsi="Arial Narrow" w:cs="Times New Roman"/>
                <w:bCs/>
                <w:noProof/>
                <w:snapToGrid/>
                <w:color w:val="000000"/>
                <w:sz w:val="20"/>
                <w:highlight w:val="black"/>
              </w:rPr>
              <w:t>''''''</w:t>
            </w:r>
            <w:r w:rsidR="009A2241" w:rsidRPr="00CF3D88">
              <w:rPr>
                <w:rFonts w:ascii="Arial Narrow" w:hAnsi="Arial Narrow" w:cs="Times New Roman"/>
                <w:bCs/>
                <w:snapToGrid/>
                <w:sz w:val="20"/>
              </w:rPr>
              <w:t xml:space="preserve"> increase</w:t>
            </w:r>
            <w:r w:rsidRPr="00CF3D88">
              <w:rPr>
                <w:rFonts w:ascii="Arial Narrow" w:hAnsi="Arial Narrow" w:cs="Times New Roman"/>
                <w:bCs/>
                <w:snapToGrid/>
                <w:sz w:val="20"/>
              </w:rPr>
              <w:t>)</w:t>
            </w:r>
            <w:r w:rsidR="00A8679D" w:rsidRPr="00CF3D88">
              <w:rPr>
                <w:rFonts w:ascii="Arial Narrow" w:hAnsi="Arial Narrow" w:cs="Times New Roman"/>
                <w:bCs/>
                <w:snapToGrid/>
                <w:sz w:val="20"/>
              </w:rPr>
              <w:t xml:space="preserve">. The </w:t>
            </w:r>
            <w:r w:rsidR="00A8064E" w:rsidRPr="00CF3D88">
              <w:rPr>
                <w:rFonts w:ascii="Arial Narrow" w:hAnsi="Arial Narrow" w:cs="Times New Roman"/>
                <w:bCs/>
                <w:snapToGrid/>
                <w:sz w:val="20"/>
              </w:rPr>
              <w:t xml:space="preserve">resubmission </w:t>
            </w:r>
            <w:r w:rsidR="00A8679D" w:rsidRPr="00CF3D88">
              <w:rPr>
                <w:rFonts w:ascii="Arial Narrow" w:hAnsi="Arial Narrow" w:cs="Times New Roman"/>
                <w:bCs/>
                <w:snapToGrid/>
                <w:sz w:val="20"/>
              </w:rPr>
              <w:t xml:space="preserve">stated the price </w:t>
            </w:r>
            <w:r w:rsidRPr="00CF3D88">
              <w:rPr>
                <w:rFonts w:ascii="Arial Narrow" w:hAnsi="Arial Narrow" w:cs="Times New Roman"/>
                <w:bCs/>
                <w:snapToGrid/>
                <w:sz w:val="20"/>
              </w:rPr>
              <w:t>align</w:t>
            </w:r>
            <w:r w:rsidR="009A2241" w:rsidRPr="00CF3D88">
              <w:rPr>
                <w:rFonts w:ascii="Arial Narrow" w:hAnsi="Arial Narrow" w:cs="Times New Roman"/>
                <w:bCs/>
                <w:snapToGrid/>
                <w:sz w:val="20"/>
              </w:rPr>
              <w:t>ed</w:t>
            </w:r>
            <w:r w:rsidRPr="00CF3D88">
              <w:rPr>
                <w:rFonts w:ascii="Arial Narrow" w:hAnsi="Arial Narrow" w:cs="Times New Roman"/>
                <w:bCs/>
                <w:snapToGrid/>
                <w:sz w:val="20"/>
              </w:rPr>
              <w:t xml:space="preserve"> with price in sALCL.</w:t>
            </w:r>
          </w:p>
        </w:tc>
      </w:tr>
      <w:tr w:rsidR="00954713" w:rsidRPr="00CF3D88" w:rsidTr="002C7059">
        <w:trPr>
          <w:cantSplit/>
          <w:trHeight w:val="20"/>
        </w:trPr>
        <w:tc>
          <w:tcPr>
            <w:tcW w:w="1014"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Main comparator</w:t>
            </w:r>
          </w:p>
        </w:tc>
        <w:tc>
          <w:tcPr>
            <w:tcW w:w="4089" w:type="dxa"/>
          </w:tcPr>
          <w:p w:rsidR="00954713" w:rsidRPr="00CF3D88" w:rsidRDefault="00954713" w:rsidP="00954713">
            <w:pPr>
              <w:widowControl/>
              <w:jc w:val="left"/>
              <w:rPr>
                <w:rFonts w:ascii="Arial Narrow" w:hAnsi="Arial Narrow" w:cs="Times New Roman"/>
                <w:snapToGrid/>
                <w:color w:val="0000FF"/>
                <w:sz w:val="20"/>
              </w:rPr>
            </w:pPr>
            <w:r w:rsidRPr="00CF3D88">
              <w:rPr>
                <w:rFonts w:ascii="Arial Narrow" w:hAnsi="Arial Narrow" w:cs="Times New Roman"/>
                <w:snapToGrid/>
                <w:sz w:val="20"/>
              </w:rPr>
              <w:t>Gemcitabine+vinorelbine salvage chemotherapy and best supportive care/palliative care as a supportive comparator</w:t>
            </w:r>
            <w:r w:rsidR="00A8679D" w:rsidRPr="00CF3D88">
              <w:rPr>
                <w:rFonts w:ascii="Arial Narrow" w:hAnsi="Arial Narrow" w:cs="Times New Roman"/>
                <w:snapToGrid/>
                <w:sz w:val="20"/>
              </w:rPr>
              <w:t>.</w:t>
            </w:r>
          </w:p>
          <w:p w:rsidR="00954713" w:rsidRPr="00CF3D88" w:rsidRDefault="00954713" w:rsidP="00954713">
            <w:pPr>
              <w:widowControl/>
              <w:jc w:val="left"/>
              <w:rPr>
                <w:rFonts w:ascii="Arial Narrow" w:hAnsi="Arial Narrow" w:cs="Times New Roman"/>
                <w:snapToGrid/>
                <w:sz w:val="20"/>
              </w:rPr>
            </w:pP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b/>
                <w:snapToGrid/>
                <w:sz w:val="20"/>
              </w:rPr>
              <w:t>PBAC Comment:</w:t>
            </w:r>
            <w:r w:rsidRPr="00CF3D88">
              <w:rPr>
                <w:rFonts w:ascii="Arial Narrow" w:hAnsi="Arial Narrow" w:cs="Times New Roman"/>
                <w:snapToGrid/>
                <w:sz w:val="20"/>
              </w:rPr>
              <w:t xml:space="preserve"> Gemcitabine+vinorelbine w</w:t>
            </w:r>
            <w:r w:rsidR="0035195E">
              <w:rPr>
                <w:rFonts w:ascii="Arial Narrow" w:hAnsi="Arial Narrow" w:cs="Times New Roman"/>
                <w:snapToGrid/>
                <w:sz w:val="20"/>
              </w:rPr>
              <w:t>ere appropriate comparators (Para</w:t>
            </w:r>
            <w:r w:rsidRPr="00CF3D88">
              <w:rPr>
                <w:rFonts w:ascii="Arial Narrow" w:hAnsi="Arial Narrow" w:cs="Times New Roman"/>
                <w:snapToGrid/>
                <w:sz w:val="20"/>
              </w:rPr>
              <w:t xml:space="preserve"> 7.7). </w:t>
            </w:r>
          </w:p>
        </w:tc>
        <w:tc>
          <w:tcPr>
            <w:tcW w:w="3260" w:type="dxa"/>
          </w:tcPr>
          <w:p w:rsidR="00954713" w:rsidRPr="00CF3D88" w:rsidRDefault="00954713" w:rsidP="00954713">
            <w:pPr>
              <w:widowControl/>
              <w:jc w:val="left"/>
              <w:rPr>
                <w:rFonts w:ascii="Arial Narrow" w:hAnsi="Arial Narrow" w:cs="Times New Roman"/>
                <w:snapToGrid/>
                <w:color w:val="0000FF"/>
                <w:sz w:val="20"/>
              </w:rPr>
            </w:pPr>
            <w:r w:rsidRPr="00CF3D88">
              <w:rPr>
                <w:rFonts w:ascii="Arial Narrow" w:hAnsi="Arial Narrow" w:cs="Times New Roman"/>
                <w:snapToGrid/>
                <w:sz w:val="20"/>
              </w:rPr>
              <w:t xml:space="preserve">The </w:t>
            </w:r>
            <w:r w:rsidR="00A8064E" w:rsidRPr="00CF3D88">
              <w:rPr>
                <w:rFonts w:ascii="Arial Narrow" w:hAnsi="Arial Narrow" w:cs="Times New Roman"/>
                <w:snapToGrid/>
                <w:sz w:val="20"/>
              </w:rPr>
              <w:t xml:space="preserve">resubmission </w:t>
            </w:r>
            <w:r w:rsidRPr="00CF3D88">
              <w:rPr>
                <w:rFonts w:ascii="Arial Narrow" w:hAnsi="Arial Narrow" w:cs="Times New Roman"/>
                <w:snapToGrid/>
                <w:sz w:val="20"/>
              </w:rPr>
              <w:t>expanded the agents for best supportive care / palliative care to include single chemotherapy agents and anti-tumour steroid regimens.</w:t>
            </w:r>
          </w:p>
        </w:tc>
      </w:tr>
      <w:tr w:rsidR="00954713" w:rsidRPr="00CF3D88" w:rsidTr="002C7059">
        <w:trPr>
          <w:cantSplit/>
          <w:trHeight w:val="20"/>
        </w:trPr>
        <w:tc>
          <w:tcPr>
            <w:tcW w:w="1014"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Clinical evidence</w:t>
            </w:r>
          </w:p>
        </w:tc>
        <w:tc>
          <w:tcPr>
            <w:tcW w:w="4089"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A naïve comparison in first-line post ASCT setting between:</w:t>
            </w: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u w:val="single"/>
              </w:rPr>
              <w:t xml:space="preserve">Brentuximab vedotin: </w:t>
            </w:r>
            <w:r w:rsidRPr="00CF3D88">
              <w:rPr>
                <w:rFonts w:ascii="Arial Narrow" w:hAnsi="Arial Narrow" w:cs="Times New Roman"/>
                <w:snapToGrid/>
                <w:sz w:val="20"/>
              </w:rPr>
              <w:t>first-line post ASCT</w:t>
            </w:r>
            <w:r w:rsidRPr="00CF3D88">
              <w:rPr>
                <w:rFonts w:ascii="Arial Narrow" w:hAnsi="Arial Narrow" w:cs="Times New Roman"/>
                <w:snapToGrid/>
                <w:sz w:val="20"/>
                <w:u w:val="single"/>
              </w:rPr>
              <w:t xml:space="preserve"> </w:t>
            </w:r>
            <w:r w:rsidRPr="00CF3D88">
              <w:rPr>
                <w:rFonts w:ascii="Arial Narrow" w:hAnsi="Arial Narrow" w:cs="Times New Roman"/>
                <w:snapToGrid/>
                <w:sz w:val="20"/>
              </w:rPr>
              <w:t>subgroup from the single-arm Study</w:t>
            </w:r>
            <w:r w:rsidR="00535EDA" w:rsidRPr="00CF3D88">
              <w:rPr>
                <w:rFonts w:ascii="Arial Narrow" w:hAnsi="Arial Narrow" w:cs="Times New Roman"/>
                <w:snapToGrid/>
                <w:sz w:val="20"/>
              </w:rPr>
              <w:t xml:space="preserve"> </w:t>
            </w:r>
            <w:r w:rsidRPr="00CF3D88">
              <w:rPr>
                <w:rFonts w:ascii="Arial Narrow" w:hAnsi="Arial Narrow" w:cs="Times New Roman"/>
                <w:snapToGrid/>
                <w:sz w:val="20"/>
              </w:rPr>
              <w:t>0003 (n = 45)</w:t>
            </w:r>
            <w:r w:rsidR="00A8679D" w:rsidRPr="00CF3D88">
              <w:rPr>
                <w:rFonts w:ascii="Arial Narrow" w:hAnsi="Arial Narrow" w:cs="Times New Roman"/>
                <w:snapToGrid/>
                <w:sz w:val="20"/>
              </w:rPr>
              <w:t>.</w:t>
            </w:r>
          </w:p>
          <w:p w:rsidR="00954713" w:rsidRPr="00CF3D88" w:rsidRDefault="00954713" w:rsidP="00954713">
            <w:pPr>
              <w:widowControl/>
              <w:jc w:val="left"/>
              <w:rPr>
                <w:rFonts w:ascii="Arial Narrow" w:hAnsi="Arial Narrow" w:cs="Times New Roman"/>
                <w:snapToGrid/>
                <w:color w:val="0000FF"/>
                <w:sz w:val="20"/>
              </w:rPr>
            </w:pPr>
            <w:r w:rsidRPr="00CF3D88">
              <w:rPr>
                <w:rFonts w:ascii="Arial Narrow" w:hAnsi="Arial Narrow" w:cs="Times New Roman"/>
                <w:snapToGrid/>
                <w:sz w:val="20"/>
                <w:u w:val="single"/>
              </w:rPr>
              <w:t>Salvage chemotherapy:</w:t>
            </w:r>
            <w:r w:rsidRPr="00CF3D88">
              <w:rPr>
                <w:rFonts w:ascii="Arial Narrow" w:hAnsi="Arial Narrow" w:cs="Times New Roman"/>
                <w:snapToGrid/>
                <w:sz w:val="20"/>
              </w:rPr>
              <w:t xml:space="preserve"> the Kaloyannidis study and British Columbia registry</w:t>
            </w:r>
            <w:r w:rsidR="00A8679D" w:rsidRPr="00CF3D88">
              <w:rPr>
                <w:rFonts w:ascii="Arial Narrow" w:hAnsi="Arial Narrow" w:cs="Times New Roman"/>
                <w:snapToGrid/>
                <w:sz w:val="20"/>
              </w:rPr>
              <w:t xml:space="preserve"> </w:t>
            </w:r>
            <w:r w:rsidRPr="00CF3D88">
              <w:rPr>
                <w:rFonts w:ascii="Arial Narrow" w:hAnsi="Arial Narrow" w:cs="Times New Roman"/>
                <w:snapToGrid/>
                <w:sz w:val="20"/>
              </w:rPr>
              <w:t>(pooled n = 109)</w:t>
            </w:r>
            <w:r w:rsidR="00A8679D" w:rsidRPr="00CF3D88">
              <w:rPr>
                <w:rFonts w:ascii="Arial Narrow" w:hAnsi="Arial Narrow" w:cs="Times New Roman"/>
                <w:snapToGrid/>
                <w:sz w:val="20"/>
              </w:rPr>
              <w:t>.</w:t>
            </w:r>
          </w:p>
          <w:p w:rsidR="00954713" w:rsidRPr="00CF3D88" w:rsidRDefault="00954713" w:rsidP="00954713">
            <w:pPr>
              <w:widowControl/>
              <w:jc w:val="left"/>
              <w:rPr>
                <w:rFonts w:ascii="Arial Narrow" w:hAnsi="Arial Narrow" w:cs="Times New Roman"/>
                <w:snapToGrid/>
                <w:sz w:val="20"/>
              </w:rPr>
            </w:pPr>
          </w:p>
          <w:p w:rsidR="00954713" w:rsidRPr="00CF3D88" w:rsidRDefault="00954713" w:rsidP="0035195E">
            <w:pPr>
              <w:widowControl/>
              <w:jc w:val="left"/>
              <w:rPr>
                <w:rFonts w:ascii="Arial Narrow" w:hAnsi="Arial Narrow" w:cs="Times New Roman"/>
                <w:snapToGrid/>
                <w:color w:val="0000FF"/>
                <w:sz w:val="20"/>
              </w:rPr>
            </w:pPr>
            <w:r w:rsidRPr="00CF3D88">
              <w:rPr>
                <w:rFonts w:ascii="Arial Narrow" w:hAnsi="Arial Narrow" w:cs="Times New Roman"/>
                <w:b/>
                <w:snapToGrid/>
                <w:sz w:val="20"/>
              </w:rPr>
              <w:t>PBAC Comment:</w:t>
            </w:r>
            <w:r w:rsidRPr="00CF3D88">
              <w:rPr>
                <w:rFonts w:ascii="Arial Narrow" w:hAnsi="Arial Narrow" w:cs="Times New Roman"/>
                <w:snapToGrid/>
                <w:sz w:val="20"/>
              </w:rPr>
              <w:t xml:space="preserve"> Naïve comparison using data of poor qual</w:t>
            </w:r>
            <w:r w:rsidR="0035195E">
              <w:rPr>
                <w:rFonts w:ascii="Arial Narrow" w:hAnsi="Arial Narrow" w:cs="Times New Roman"/>
                <w:snapToGrid/>
                <w:sz w:val="20"/>
              </w:rPr>
              <w:t>ity with a high risk of bias (Para</w:t>
            </w:r>
            <w:r w:rsidRPr="00CF3D88">
              <w:rPr>
                <w:rFonts w:ascii="Arial Narrow" w:hAnsi="Arial Narrow" w:cs="Times New Roman"/>
                <w:snapToGrid/>
                <w:sz w:val="20"/>
              </w:rPr>
              <w:t xml:space="preserve"> 7.8). Combining the Kaloyannidis and British Columb</w:t>
            </w:r>
            <w:r w:rsidR="0035195E">
              <w:rPr>
                <w:rFonts w:ascii="Arial Narrow" w:hAnsi="Arial Narrow" w:cs="Times New Roman"/>
                <w:snapToGrid/>
                <w:sz w:val="20"/>
              </w:rPr>
              <w:t>ia datasets was appropriate (Para</w:t>
            </w:r>
            <w:r w:rsidRPr="00CF3D88">
              <w:rPr>
                <w:rFonts w:ascii="Arial Narrow" w:hAnsi="Arial Narrow" w:cs="Times New Roman"/>
                <w:snapToGrid/>
                <w:sz w:val="20"/>
              </w:rPr>
              <w:t xml:space="preserve"> 7.14). </w:t>
            </w:r>
          </w:p>
        </w:tc>
        <w:tc>
          <w:tcPr>
            <w:tcW w:w="3260" w:type="dxa"/>
          </w:tcPr>
          <w:p w:rsidR="00954713" w:rsidRPr="00CF3D88" w:rsidRDefault="00A8679D" w:rsidP="00954713">
            <w:pPr>
              <w:widowControl/>
              <w:jc w:val="left"/>
              <w:rPr>
                <w:rFonts w:ascii="Arial Narrow" w:hAnsi="Arial Narrow" w:cs="Times New Roman"/>
                <w:snapToGrid/>
                <w:sz w:val="20"/>
              </w:rPr>
            </w:pPr>
            <w:r w:rsidRPr="00CF3D88">
              <w:rPr>
                <w:rFonts w:ascii="Arial Narrow" w:hAnsi="Arial Narrow" w:cs="Times New Roman"/>
                <w:snapToGrid/>
                <w:sz w:val="20"/>
              </w:rPr>
              <w:t>Also a</w:t>
            </w:r>
            <w:r w:rsidR="00954713" w:rsidRPr="00CF3D88">
              <w:rPr>
                <w:rFonts w:ascii="Arial Narrow" w:hAnsi="Arial Narrow" w:cs="Times New Roman"/>
                <w:snapToGrid/>
                <w:sz w:val="20"/>
              </w:rPr>
              <w:t xml:space="preserve"> naïve comparison,</w:t>
            </w:r>
            <w:r w:rsidR="00D94334">
              <w:rPr>
                <w:rFonts w:ascii="Arial Narrow" w:hAnsi="Arial Narrow" w:cs="Times New Roman"/>
                <w:snapToGrid/>
                <w:sz w:val="20"/>
              </w:rPr>
              <w:t xml:space="preserve"> but with more patients:</w:t>
            </w: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u w:val="single"/>
              </w:rPr>
              <w:t>Brentuximab vedotin:</w:t>
            </w:r>
            <w:r w:rsidRPr="00CF3D88">
              <w:rPr>
                <w:rFonts w:ascii="Arial Narrow" w:hAnsi="Arial Narrow" w:cs="Times New Roman"/>
                <w:snapToGrid/>
                <w:sz w:val="20"/>
              </w:rPr>
              <w:t xml:space="preserve"> Longer follow-up from Study 0003; plus new follow-up data for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patients who relapsed in the placebo arm of the AETHERA trial and received brentuximab vedotin</w:t>
            </w:r>
            <w:r w:rsidR="002F5FCF">
              <w:rPr>
                <w:rFonts w:ascii="Arial Narrow" w:hAnsi="Arial Narrow" w:cs="Times New Roman"/>
                <w:snapToGrid/>
                <w:sz w:val="20"/>
              </w:rPr>
              <w:t xml:space="preserve"> as their 1</w:t>
            </w:r>
            <w:r w:rsidR="002F5FCF" w:rsidRPr="009720D0">
              <w:rPr>
                <w:rFonts w:ascii="Arial Narrow" w:hAnsi="Arial Narrow" w:cs="Times New Roman"/>
                <w:snapToGrid/>
                <w:sz w:val="20"/>
                <w:vertAlign w:val="superscript"/>
              </w:rPr>
              <w:t>st</w:t>
            </w:r>
            <w:r w:rsidR="002F5FCF">
              <w:rPr>
                <w:rFonts w:ascii="Arial Narrow" w:hAnsi="Arial Narrow" w:cs="Times New Roman"/>
                <w:snapToGrid/>
                <w:sz w:val="20"/>
              </w:rPr>
              <w:t xml:space="preserve"> salvage post progression</w:t>
            </w:r>
            <w:r w:rsidRPr="00CF3D88">
              <w:rPr>
                <w:rFonts w:ascii="Arial Narrow" w:hAnsi="Arial Narrow" w:cs="Times New Roman"/>
                <w:snapToGrid/>
                <w:sz w:val="20"/>
              </w:rPr>
              <w:t xml:space="preserve"> (pooled n = </w:t>
            </w:r>
            <w:r w:rsidR="00526F5C">
              <w:rPr>
                <w:rFonts w:ascii="Arial Narrow" w:hAnsi="Arial Narrow" w:cs="Times New Roman"/>
                <w:noProof/>
                <w:snapToGrid/>
                <w:color w:val="000000"/>
                <w:sz w:val="20"/>
                <w:highlight w:val="black"/>
              </w:rPr>
              <w:t>''''''''</w:t>
            </w:r>
            <w:r w:rsidR="00D94334">
              <w:rPr>
                <w:rFonts w:ascii="Arial Narrow" w:hAnsi="Arial Narrow" w:cs="Times New Roman"/>
                <w:snapToGrid/>
                <w:sz w:val="20"/>
              </w:rPr>
              <w:t>).</w:t>
            </w:r>
          </w:p>
          <w:p w:rsidR="00954713" w:rsidRPr="00CF3D88" w:rsidRDefault="00954713" w:rsidP="00954713">
            <w:pPr>
              <w:widowControl/>
              <w:jc w:val="left"/>
              <w:rPr>
                <w:rFonts w:ascii="Arial Narrow" w:hAnsi="Arial Narrow" w:cs="Times New Roman"/>
                <w:snapToGrid/>
                <w:color w:val="0000FF"/>
                <w:sz w:val="20"/>
              </w:rPr>
            </w:pPr>
            <w:r w:rsidRPr="00CF3D88">
              <w:rPr>
                <w:rFonts w:ascii="Arial Narrow" w:hAnsi="Arial Narrow" w:cs="Times New Roman"/>
                <w:snapToGrid/>
                <w:sz w:val="20"/>
                <w:u w:val="single"/>
              </w:rPr>
              <w:t>Salvage chemotherapy:</w:t>
            </w:r>
            <w:r w:rsidRPr="00CF3D88">
              <w:rPr>
                <w:rFonts w:ascii="Arial Narrow" w:hAnsi="Arial Narrow" w:cs="Times New Roman"/>
                <w:snapToGrid/>
                <w:sz w:val="20"/>
              </w:rPr>
              <w:t xml:space="preserve"> Kaloyannidis data unchanged; additional 22 patients from British Columbia registry due to the expanded comparator; plus new follow-up data for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patients who relapsed in the placebo arm of AETHERA trial and received salvage chemotherapy (pooled n =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w:t>
            </w:r>
          </w:p>
        </w:tc>
      </w:tr>
      <w:tr w:rsidR="00954713" w:rsidRPr="00CF3D88" w:rsidTr="002C7059">
        <w:trPr>
          <w:cantSplit/>
          <w:trHeight w:val="20"/>
        </w:trPr>
        <w:tc>
          <w:tcPr>
            <w:tcW w:w="1014"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Key effectiveness data</w:t>
            </w:r>
          </w:p>
        </w:tc>
        <w:tc>
          <w:tcPr>
            <w:tcW w:w="4089" w:type="dxa"/>
          </w:tcPr>
          <w:p w:rsidR="000D69DB" w:rsidRPr="00CF3D88" w:rsidRDefault="00A8679D" w:rsidP="007320B6">
            <w:pPr>
              <w:rPr>
                <w:rFonts w:ascii="Arial Narrow" w:hAnsi="Arial Narrow" w:cs="Times New Roman"/>
                <w:snapToGrid/>
                <w:sz w:val="20"/>
              </w:rPr>
            </w:pPr>
            <w:r w:rsidRPr="00CF3D88">
              <w:rPr>
                <w:rFonts w:ascii="Arial Narrow" w:hAnsi="Arial Narrow" w:cs="Times New Roman"/>
                <w:snapToGrid/>
                <w:sz w:val="20"/>
              </w:rPr>
              <w:t>M</w:t>
            </w:r>
            <w:r w:rsidR="000D69DB" w:rsidRPr="00CF3D88">
              <w:rPr>
                <w:rFonts w:ascii="Arial Narrow" w:hAnsi="Arial Narrow" w:cs="Times New Roman"/>
                <w:snapToGrid/>
                <w:sz w:val="20"/>
              </w:rPr>
              <w:t>edian PFS, months (95% CI)</w:t>
            </w:r>
            <w:r w:rsidR="009A2241" w:rsidRPr="00CF3D88">
              <w:rPr>
                <w:rFonts w:ascii="Arial Narrow" w:hAnsi="Arial Narrow" w:cs="Times New Roman"/>
                <w:snapToGrid/>
                <w:sz w:val="20"/>
              </w:rPr>
              <w:t>:</w:t>
            </w:r>
          </w:p>
          <w:p w:rsidR="000D69DB" w:rsidRPr="00CF3D88" w:rsidRDefault="008A748F" w:rsidP="00A8679D">
            <w:pPr>
              <w:ind w:left="92"/>
              <w:rPr>
                <w:rFonts w:ascii="Arial Narrow" w:hAnsi="Arial Narrow" w:cs="Times New Roman"/>
                <w:snapToGrid/>
                <w:sz w:val="20"/>
              </w:rPr>
            </w:pPr>
            <w:r w:rsidRPr="00CF3D88">
              <w:rPr>
                <w:rFonts w:ascii="Arial Narrow" w:hAnsi="Arial Narrow" w:cs="Times New Roman"/>
                <w:snapToGrid/>
                <w:sz w:val="20"/>
              </w:rPr>
              <w:t>Brentuximab vedotin</w:t>
            </w:r>
            <w:r w:rsidR="000D69DB" w:rsidRPr="00CF3D88">
              <w:rPr>
                <w:rFonts w:ascii="Arial Narrow" w:hAnsi="Arial Narrow" w:cs="Times New Roman"/>
                <w:snapToGrid/>
                <w:sz w:val="20"/>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000D69DB"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00D94334">
              <w:rPr>
                <w:rFonts w:ascii="Arial Narrow" w:hAnsi="Arial Narrow" w:cs="Times New Roman"/>
                <w:snapToGrid/>
                <w:sz w:val="20"/>
              </w:rPr>
              <w:t>, -)</w:t>
            </w:r>
          </w:p>
          <w:p w:rsidR="000D69DB" w:rsidRPr="00CF3D88" w:rsidRDefault="000D69DB" w:rsidP="00A8679D">
            <w:pPr>
              <w:ind w:left="92"/>
              <w:rPr>
                <w:rFonts w:ascii="Arial Narrow" w:hAnsi="Arial Narrow" w:cs="Times New Roman"/>
                <w:snapToGrid/>
                <w:sz w:val="20"/>
              </w:rPr>
            </w:pPr>
            <w:r w:rsidRPr="00CF3D88">
              <w:rPr>
                <w:rFonts w:ascii="Arial Narrow" w:hAnsi="Arial Narrow" w:cs="Times New Roman"/>
                <w:snapToGrid/>
                <w:sz w:val="20"/>
              </w:rPr>
              <w:t xml:space="preserve">Salvage therapy: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w:t>
            </w:r>
          </w:p>
          <w:p w:rsidR="000D69DB" w:rsidRPr="00CF3D88" w:rsidRDefault="000D69DB" w:rsidP="00A8679D">
            <w:pPr>
              <w:ind w:left="92"/>
              <w:rPr>
                <w:rFonts w:ascii="Arial Narrow" w:hAnsi="Arial Narrow" w:cs="Times New Roman"/>
                <w:snapToGrid/>
                <w:sz w:val="20"/>
              </w:rPr>
            </w:pPr>
            <w:r w:rsidRPr="00CF3D88">
              <w:rPr>
                <w:rFonts w:ascii="Arial Narrow" w:hAnsi="Arial Narrow" w:cs="Times New Roman"/>
                <w:snapToGrid/>
                <w:sz w:val="20"/>
              </w:rPr>
              <w:t xml:space="preserve">HR: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w:t>
            </w:r>
          </w:p>
          <w:p w:rsidR="000D69DB" w:rsidRPr="00CF3D88" w:rsidRDefault="000D69DB" w:rsidP="000D69DB">
            <w:pPr>
              <w:rPr>
                <w:rFonts w:ascii="Arial Narrow" w:hAnsi="Arial Narrow" w:cs="Times New Roman"/>
                <w:snapToGrid/>
                <w:sz w:val="20"/>
              </w:rPr>
            </w:pPr>
          </w:p>
          <w:p w:rsidR="000D69DB" w:rsidRPr="00CF3D88" w:rsidRDefault="00A8679D" w:rsidP="000D69DB">
            <w:pPr>
              <w:rPr>
                <w:rFonts w:ascii="Arial Narrow" w:hAnsi="Arial Narrow" w:cs="Times New Roman"/>
                <w:snapToGrid/>
                <w:sz w:val="20"/>
              </w:rPr>
            </w:pPr>
            <w:r w:rsidRPr="00CF3D88">
              <w:rPr>
                <w:rFonts w:ascii="Arial Narrow" w:hAnsi="Arial Narrow" w:cs="Times New Roman"/>
                <w:snapToGrid/>
                <w:sz w:val="20"/>
              </w:rPr>
              <w:t>M</w:t>
            </w:r>
            <w:r w:rsidR="000D69DB" w:rsidRPr="00CF3D88">
              <w:rPr>
                <w:rFonts w:ascii="Arial Narrow" w:hAnsi="Arial Narrow" w:cs="Times New Roman"/>
                <w:snapToGrid/>
                <w:sz w:val="20"/>
              </w:rPr>
              <w:t>edian OS, months (95% CI)</w:t>
            </w:r>
            <w:r w:rsidR="009A2241" w:rsidRPr="00CF3D88">
              <w:rPr>
                <w:rFonts w:ascii="Arial Narrow" w:hAnsi="Arial Narrow" w:cs="Times New Roman"/>
                <w:snapToGrid/>
                <w:sz w:val="20"/>
              </w:rPr>
              <w:t>:</w:t>
            </w:r>
          </w:p>
          <w:p w:rsidR="000D69DB" w:rsidRPr="00CF3D88" w:rsidRDefault="000D69DB" w:rsidP="00A8679D">
            <w:pPr>
              <w:ind w:left="234" w:hanging="142"/>
              <w:rPr>
                <w:rFonts w:ascii="Arial Narrow" w:hAnsi="Arial Narrow" w:cs="Times New Roman"/>
                <w:snapToGrid/>
                <w:sz w:val="20"/>
              </w:rPr>
            </w:pPr>
            <w:r w:rsidRPr="00CF3D88">
              <w:rPr>
                <w:rFonts w:ascii="Arial Narrow" w:hAnsi="Arial Narrow" w:cs="Times New Roman"/>
                <w:snapToGrid/>
                <w:sz w:val="20"/>
              </w:rPr>
              <w:t xml:space="preserve">Brentuximab vedotin: </w:t>
            </w:r>
            <w:r w:rsidR="00DA41EF" w:rsidRPr="00CF3D88">
              <w:rPr>
                <w:rFonts w:ascii="Arial Narrow" w:hAnsi="Arial Narrow" w:cs="Times New Roman"/>
                <w:snapToGrid/>
                <w:sz w:val="20"/>
              </w:rPr>
              <w:t>- (</w:t>
            </w:r>
            <w:r w:rsidR="00526F5C">
              <w:rPr>
                <w:rFonts w:ascii="Arial Narrow" w:hAnsi="Arial Narrow" w:cs="Times New Roman"/>
                <w:noProof/>
                <w:snapToGrid/>
                <w:color w:val="000000"/>
                <w:sz w:val="20"/>
                <w:highlight w:val="black"/>
              </w:rPr>
              <w:t>''''''''''</w:t>
            </w:r>
            <w:r w:rsidR="00DA41EF" w:rsidRPr="00CF3D88">
              <w:rPr>
                <w:rFonts w:ascii="Arial Narrow" w:hAnsi="Arial Narrow" w:cs="Times New Roman"/>
                <w:snapToGrid/>
                <w:sz w:val="20"/>
              </w:rPr>
              <w:t>, -)</w:t>
            </w:r>
          </w:p>
          <w:p w:rsidR="00DA41EF" w:rsidRPr="00CF3D88" w:rsidRDefault="00DA41EF" w:rsidP="00A8679D">
            <w:pPr>
              <w:ind w:left="234" w:hanging="142"/>
              <w:rPr>
                <w:rFonts w:ascii="Arial Narrow" w:hAnsi="Arial Narrow" w:cs="Times New Roman"/>
                <w:snapToGrid/>
                <w:sz w:val="20"/>
              </w:rPr>
            </w:pPr>
            <w:r w:rsidRPr="00CF3D88">
              <w:rPr>
                <w:rFonts w:ascii="Arial Narrow" w:hAnsi="Arial Narrow" w:cs="Times New Roman"/>
                <w:snapToGrid/>
                <w:sz w:val="20"/>
              </w:rPr>
              <w:t xml:space="preserve">Salvage therapy: </w:t>
            </w:r>
            <w:r w:rsidR="00526F5C">
              <w:rPr>
                <w:rFonts w:ascii="Arial Narrow" w:hAnsi="Arial Narrow" w:cs="Times New Roman"/>
                <w:noProof/>
                <w:snapToGrid/>
                <w:color w:val="000000"/>
                <w:sz w:val="20"/>
                <w:highlight w:val="black"/>
              </w:rPr>
              <w:t xml:space="preserve">'''''''''' </w:t>
            </w:r>
            <w:r w:rsidR="009A2241"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r w:rsidR="009A2241"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009A2241" w:rsidRPr="00CF3D88">
              <w:rPr>
                <w:rFonts w:ascii="Arial Narrow" w:hAnsi="Arial Narrow" w:cs="Times New Roman"/>
                <w:snapToGrid/>
                <w:sz w:val="20"/>
              </w:rPr>
              <w:t>)</w:t>
            </w:r>
          </w:p>
          <w:p w:rsidR="00DA41EF" w:rsidRPr="00CF3D88" w:rsidRDefault="00DA41EF" w:rsidP="00A8679D">
            <w:pPr>
              <w:ind w:left="234" w:hanging="142"/>
              <w:rPr>
                <w:rFonts w:ascii="Arial Narrow" w:hAnsi="Arial Narrow" w:cs="Times New Roman"/>
                <w:snapToGrid/>
                <w:sz w:val="20"/>
              </w:rPr>
            </w:pPr>
            <w:r w:rsidRPr="00CF3D88">
              <w:rPr>
                <w:rFonts w:ascii="Arial Narrow" w:hAnsi="Arial Narrow" w:cs="Times New Roman"/>
                <w:snapToGrid/>
                <w:sz w:val="20"/>
              </w:rPr>
              <w:t xml:space="preserve">HR: </w:t>
            </w:r>
            <w:r w:rsidR="00526F5C">
              <w:rPr>
                <w:rFonts w:ascii="Arial Narrow" w:hAnsi="Arial Narrow" w:cs="Times New Roman"/>
                <w:noProof/>
                <w:snapToGrid/>
                <w:color w:val="000000"/>
                <w:sz w:val="20"/>
                <w:highlight w:val="black"/>
              </w:rPr>
              <w:t xml:space="preserve">''''''''''' </w:t>
            </w: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w:t>
            </w:r>
          </w:p>
          <w:p w:rsidR="007320B6" w:rsidRPr="00CF3D88" w:rsidRDefault="007320B6" w:rsidP="002C7059">
            <w:pPr>
              <w:ind w:firstLine="1084"/>
              <w:rPr>
                <w:rFonts w:ascii="Arial Narrow" w:hAnsi="Arial Narrow" w:cs="Times New Roman"/>
                <w:snapToGrid/>
                <w:sz w:val="20"/>
              </w:rPr>
            </w:pPr>
          </w:p>
          <w:p w:rsidR="00954713" w:rsidRPr="00CF3D88" w:rsidRDefault="007320B6" w:rsidP="0035195E">
            <w:pPr>
              <w:widowControl/>
              <w:jc w:val="left"/>
              <w:rPr>
                <w:rFonts w:ascii="Arial Narrow" w:hAnsi="Arial Narrow" w:cs="Times New Roman"/>
                <w:snapToGrid/>
                <w:sz w:val="20"/>
              </w:rPr>
            </w:pPr>
            <w:r w:rsidRPr="00CF3D88">
              <w:rPr>
                <w:rFonts w:ascii="Arial Narrow" w:hAnsi="Arial Narrow" w:cs="Times New Roman"/>
                <w:b/>
                <w:snapToGrid/>
                <w:sz w:val="20"/>
              </w:rPr>
              <w:t>PBAC Comment:</w:t>
            </w:r>
            <w:r w:rsidRPr="00CF3D88">
              <w:rPr>
                <w:rFonts w:ascii="Arial Narrow" w:hAnsi="Arial Narrow" w:cs="Times New Roman"/>
                <w:snapToGrid/>
                <w:sz w:val="20"/>
              </w:rPr>
              <w:t xml:space="preserve"> Brentuximab appears to be effective but the magnitude of survival benefit is difficult to quantify due to the poo</w:t>
            </w:r>
            <w:r w:rsidR="0035195E">
              <w:rPr>
                <w:rFonts w:ascii="Arial Narrow" w:hAnsi="Arial Narrow" w:cs="Times New Roman"/>
                <w:snapToGrid/>
                <w:sz w:val="20"/>
              </w:rPr>
              <w:t>r quality of the evidence. (Para </w:t>
            </w:r>
            <w:r w:rsidRPr="00CF3D88">
              <w:rPr>
                <w:rFonts w:ascii="Arial Narrow" w:hAnsi="Arial Narrow" w:cs="Times New Roman"/>
                <w:snapToGrid/>
                <w:sz w:val="20"/>
              </w:rPr>
              <w:t>7.9)</w:t>
            </w:r>
          </w:p>
        </w:tc>
        <w:tc>
          <w:tcPr>
            <w:tcW w:w="3260" w:type="dxa"/>
          </w:tcPr>
          <w:p w:rsidR="00DA41EF" w:rsidRPr="00CF3D88" w:rsidRDefault="00A8679D" w:rsidP="00DA41EF">
            <w:pPr>
              <w:rPr>
                <w:rFonts w:ascii="Arial Narrow" w:hAnsi="Arial Narrow" w:cs="Times New Roman"/>
                <w:snapToGrid/>
                <w:sz w:val="20"/>
              </w:rPr>
            </w:pPr>
            <w:r w:rsidRPr="00CF3D88">
              <w:rPr>
                <w:rFonts w:ascii="Arial Narrow" w:hAnsi="Arial Narrow" w:cs="Times New Roman"/>
                <w:snapToGrid/>
                <w:sz w:val="20"/>
              </w:rPr>
              <w:t>M</w:t>
            </w:r>
            <w:r w:rsidR="00DA41EF" w:rsidRPr="00CF3D88">
              <w:rPr>
                <w:rFonts w:ascii="Arial Narrow" w:hAnsi="Arial Narrow" w:cs="Times New Roman"/>
                <w:snapToGrid/>
                <w:sz w:val="20"/>
              </w:rPr>
              <w:t>edian PFS, months (95% CI)</w:t>
            </w:r>
            <w:r w:rsidR="009A2241" w:rsidRPr="00CF3D88">
              <w:rPr>
                <w:rFonts w:ascii="Arial Narrow" w:hAnsi="Arial Narrow" w:cs="Times New Roman"/>
                <w:snapToGrid/>
                <w:sz w:val="20"/>
              </w:rPr>
              <w:t>:</w:t>
            </w:r>
          </w:p>
          <w:p w:rsidR="00DA41EF" w:rsidRPr="00CF3D88" w:rsidRDefault="00DA41EF" w:rsidP="00A8679D">
            <w:pPr>
              <w:ind w:left="114"/>
              <w:rPr>
                <w:rFonts w:ascii="Arial Narrow" w:hAnsi="Arial Narrow" w:cs="Times New Roman"/>
                <w:snapToGrid/>
                <w:sz w:val="20"/>
              </w:rPr>
            </w:pPr>
            <w:r w:rsidRPr="00CF3D88">
              <w:rPr>
                <w:rFonts w:ascii="Arial Narrow" w:hAnsi="Arial Narrow" w:cs="Times New Roman"/>
                <w:snapToGrid/>
                <w:sz w:val="20"/>
              </w:rPr>
              <w:t xml:space="preserve">Brentuximab vedotin: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00D94334">
              <w:rPr>
                <w:rFonts w:ascii="Arial Narrow" w:hAnsi="Arial Narrow" w:cs="Times New Roman"/>
                <w:snapToGrid/>
                <w:sz w:val="20"/>
              </w:rPr>
              <w:t>)</w:t>
            </w:r>
          </w:p>
          <w:p w:rsidR="00DA41EF" w:rsidRPr="00CF3D88" w:rsidRDefault="00DA41EF" w:rsidP="00A8679D">
            <w:pPr>
              <w:ind w:left="114"/>
              <w:rPr>
                <w:rFonts w:ascii="Arial Narrow" w:hAnsi="Arial Narrow" w:cs="Times New Roman"/>
                <w:snapToGrid/>
                <w:sz w:val="20"/>
              </w:rPr>
            </w:pPr>
            <w:r w:rsidRPr="00CF3D88">
              <w:rPr>
                <w:rFonts w:ascii="Arial Narrow" w:hAnsi="Arial Narrow" w:cs="Times New Roman"/>
                <w:snapToGrid/>
                <w:sz w:val="20"/>
              </w:rPr>
              <w:t xml:space="preserve">Salvage therapy: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w:t>
            </w:r>
            <w:r w:rsidR="009A2241" w:rsidRPr="00CF3D88">
              <w:rPr>
                <w:rFonts w:ascii="Arial Narrow" w:hAnsi="Arial Narrow" w:cs="Times New Roman"/>
                <w:snapToGrid/>
                <w:sz w:val="20"/>
              </w:rPr>
              <w:t>*</w:t>
            </w:r>
          </w:p>
          <w:p w:rsidR="00DA41EF" w:rsidRPr="00CF3D88" w:rsidRDefault="00DA41EF" w:rsidP="00A8679D">
            <w:pPr>
              <w:ind w:left="114"/>
              <w:rPr>
                <w:rFonts w:ascii="Arial Narrow" w:hAnsi="Arial Narrow" w:cs="Times New Roman"/>
                <w:snapToGrid/>
                <w:sz w:val="20"/>
              </w:rPr>
            </w:pPr>
            <w:r w:rsidRPr="00CF3D88">
              <w:rPr>
                <w:rFonts w:ascii="Arial Narrow" w:hAnsi="Arial Narrow" w:cs="Times New Roman"/>
                <w:snapToGrid/>
                <w:sz w:val="20"/>
              </w:rPr>
              <w:t xml:space="preserve">HR: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w:t>
            </w:r>
          </w:p>
          <w:p w:rsidR="00DA41EF" w:rsidRPr="00CF3D88" w:rsidRDefault="00DA41EF" w:rsidP="00DA41EF">
            <w:pPr>
              <w:rPr>
                <w:rFonts w:ascii="Arial Narrow" w:hAnsi="Arial Narrow" w:cs="Times New Roman"/>
                <w:snapToGrid/>
                <w:sz w:val="20"/>
              </w:rPr>
            </w:pPr>
          </w:p>
          <w:p w:rsidR="00DA41EF" w:rsidRPr="00CF3D88" w:rsidRDefault="00A8679D" w:rsidP="00DA41EF">
            <w:pPr>
              <w:rPr>
                <w:rFonts w:ascii="Arial Narrow" w:hAnsi="Arial Narrow" w:cs="Times New Roman"/>
                <w:snapToGrid/>
                <w:sz w:val="20"/>
              </w:rPr>
            </w:pPr>
            <w:r w:rsidRPr="00CF3D88">
              <w:rPr>
                <w:rFonts w:ascii="Arial Narrow" w:hAnsi="Arial Narrow" w:cs="Times New Roman"/>
                <w:snapToGrid/>
                <w:sz w:val="20"/>
              </w:rPr>
              <w:t>M</w:t>
            </w:r>
            <w:r w:rsidR="00DA41EF" w:rsidRPr="00CF3D88">
              <w:rPr>
                <w:rFonts w:ascii="Arial Narrow" w:hAnsi="Arial Narrow" w:cs="Times New Roman"/>
                <w:snapToGrid/>
                <w:sz w:val="20"/>
              </w:rPr>
              <w:t>edian OS, months (95% CI)</w:t>
            </w:r>
            <w:r w:rsidR="009A2241" w:rsidRPr="00CF3D88">
              <w:rPr>
                <w:rFonts w:ascii="Arial Narrow" w:hAnsi="Arial Narrow" w:cs="Times New Roman"/>
                <w:snapToGrid/>
                <w:sz w:val="20"/>
              </w:rPr>
              <w:t>:</w:t>
            </w:r>
          </w:p>
          <w:p w:rsidR="00DA41EF" w:rsidRPr="00CF3D88" w:rsidRDefault="00DA41EF" w:rsidP="00A8679D">
            <w:pPr>
              <w:ind w:left="114"/>
              <w:rPr>
                <w:rFonts w:ascii="Arial Narrow" w:hAnsi="Arial Narrow" w:cs="Times New Roman"/>
                <w:snapToGrid/>
                <w:sz w:val="20"/>
              </w:rPr>
            </w:pPr>
            <w:r w:rsidRPr="00CF3D88">
              <w:rPr>
                <w:rFonts w:ascii="Arial Narrow" w:hAnsi="Arial Narrow" w:cs="Times New Roman"/>
                <w:snapToGrid/>
                <w:sz w:val="20"/>
              </w:rPr>
              <w:t xml:space="preserve">Brentuximab vedotin: </w:t>
            </w:r>
            <w:r w:rsidR="00B912F3" w:rsidRPr="00CF3D88">
              <w:rPr>
                <w:rFonts w:ascii="Arial Narrow" w:hAnsi="Arial Narrow" w:cs="Times New Roman"/>
                <w:snapToGrid/>
                <w:sz w:val="20"/>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 ^</w:t>
            </w:r>
          </w:p>
          <w:p w:rsidR="00DA41EF" w:rsidRPr="00CF3D88" w:rsidRDefault="00DA41EF" w:rsidP="00A8679D">
            <w:pPr>
              <w:ind w:left="114"/>
              <w:rPr>
                <w:rFonts w:ascii="Arial Narrow" w:hAnsi="Arial Narrow" w:cs="Times New Roman"/>
                <w:snapToGrid/>
                <w:sz w:val="20"/>
              </w:rPr>
            </w:pPr>
            <w:r w:rsidRPr="00CF3D88">
              <w:rPr>
                <w:rFonts w:ascii="Arial Narrow" w:hAnsi="Arial Narrow" w:cs="Times New Roman"/>
                <w:snapToGrid/>
                <w:sz w:val="20"/>
              </w:rPr>
              <w:t xml:space="preserve">Salvage therapy: </w:t>
            </w:r>
            <w:r w:rsidR="00526F5C">
              <w:rPr>
                <w:rFonts w:ascii="Arial Narrow" w:hAnsi="Arial Narrow" w:cs="Times New Roman"/>
                <w:noProof/>
                <w:snapToGrid/>
                <w:color w:val="000000"/>
                <w:sz w:val="20"/>
                <w:highlight w:val="black"/>
              </w:rPr>
              <w:t xml:space="preserve">'''''''''' </w:t>
            </w: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w:t>
            </w:r>
          </w:p>
          <w:p w:rsidR="00DA41EF" w:rsidRPr="00CF3D88" w:rsidRDefault="00DA41EF" w:rsidP="00A8679D">
            <w:pPr>
              <w:ind w:left="114"/>
              <w:rPr>
                <w:rFonts w:ascii="Arial Narrow" w:hAnsi="Arial Narrow" w:cs="Times New Roman"/>
                <w:snapToGrid/>
                <w:sz w:val="20"/>
              </w:rPr>
            </w:pPr>
            <w:r w:rsidRPr="00CF3D88">
              <w:rPr>
                <w:rFonts w:ascii="Arial Narrow" w:hAnsi="Arial Narrow" w:cs="Times New Roman"/>
                <w:snapToGrid/>
                <w:sz w:val="20"/>
              </w:rPr>
              <w:t xml:space="preserve">HR: </w:t>
            </w:r>
            <w:r w:rsidR="00526F5C">
              <w:rPr>
                <w:rFonts w:ascii="Arial Narrow" w:hAnsi="Arial Narrow" w:cs="Times New Roman"/>
                <w:noProof/>
                <w:snapToGrid/>
                <w:color w:val="000000"/>
                <w:sz w:val="20"/>
                <w:highlight w:val="black"/>
              </w:rPr>
              <w:t xml:space="preserve">'''''''''''' </w:t>
            </w: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w:t>
            </w:r>
          </w:p>
          <w:p w:rsidR="00DA41EF" w:rsidRPr="00CF3D88" w:rsidRDefault="00DA41EF" w:rsidP="00954713">
            <w:pPr>
              <w:widowControl/>
              <w:jc w:val="left"/>
              <w:rPr>
                <w:rFonts w:ascii="Arial Narrow" w:hAnsi="Arial Narrow" w:cs="Times New Roman"/>
                <w:snapToGrid/>
                <w:sz w:val="20"/>
              </w:rPr>
            </w:pPr>
          </w:p>
          <w:p w:rsidR="00DA41EF" w:rsidRPr="00CF3D88" w:rsidRDefault="00DA41EF" w:rsidP="00DA41EF">
            <w:pPr>
              <w:widowControl/>
              <w:jc w:val="left"/>
              <w:rPr>
                <w:rFonts w:ascii="Arial Narrow" w:hAnsi="Arial Narrow" w:cs="Times New Roman"/>
                <w:snapToGrid/>
                <w:sz w:val="20"/>
              </w:rPr>
            </w:pPr>
            <w:r w:rsidRPr="00CF3D88">
              <w:rPr>
                <w:rFonts w:ascii="Arial Narrow" w:hAnsi="Arial Narrow" w:cs="Times New Roman"/>
                <w:snapToGrid/>
                <w:sz w:val="20"/>
              </w:rPr>
              <w:t>* BC registry only</w:t>
            </w:r>
          </w:p>
          <w:p w:rsidR="00954713" w:rsidRPr="00CF3D88" w:rsidRDefault="00DA41EF" w:rsidP="00DA41EF">
            <w:pPr>
              <w:widowControl/>
              <w:jc w:val="left"/>
              <w:rPr>
                <w:rFonts w:ascii="Arial Narrow" w:hAnsi="Arial Narrow" w:cs="Times New Roman"/>
                <w:snapToGrid/>
                <w:sz w:val="20"/>
              </w:rPr>
            </w:pPr>
            <w:r w:rsidRPr="00CF3D88">
              <w:rPr>
                <w:rFonts w:ascii="Arial Narrow" w:hAnsi="Arial Narrow" w:cs="Times New Roman"/>
                <w:snapToGrid/>
                <w:sz w:val="20"/>
              </w:rPr>
              <w:t>^ Removal of censoring for subsequent therapies</w:t>
            </w:r>
          </w:p>
        </w:tc>
      </w:tr>
      <w:tr w:rsidR="00954713" w:rsidRPr="00CF3D88" w:rsidTr="002C7059">
        <w:trPr>
          <w:cantSplit/>
          <w:trHeight w:val="20"/>
        </w:trPr>
        <w:tc>
          <w:tcPr>
            <w:tcW w:w="1014"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lastRenderedPageBreak/>
              <w:t>Key safety data</w:t>
            </w:r>
          </w:p>
        </w:tc>
        <w:tc>
          <w:tcPr>
            <w:tcW w:w="4089"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The most common treatment related adverse events were neutrop</w:t>
            </w:r>
            <w:r w:rsidR="00D94334">
              <w:rPr>
                <w:rFonts w:ascii="Arial Narrow" w:hAnsi="Arial Narrow" w:cs="Times New Roman"/>
                <w:snapToGrid/>
                <w:sz w:val="20"/>
              </w:rPr>
              <w:t>enia and peripheral neuropathy.</w:t>
            </w:r>
          </w:p>
          <w:p w:rsidR="00954713" w:rsidRPr="00CF3D88" w:rsidRDefault="00954713" w:rsidP="00954713">
            <w:pPr>
              <w:widowControl/>
              <w:jc w:val="left"/>
              <w:rPr>
                <w:rFonts w:ascii="Arial Narrow" w:hAnsi="Arial Narrow" w:cs="Times New Roman"/>
                <w:b/>
                <w:snapToGrid/>
                <w:sz w:val="20"/>
              </w:rPr>
            </w:pP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b/>
                <w:snapToGrid/>
                <w:sz w:val="20"/>
              </w:rPr>
              <w:t>PBAC Comment:</w:t>
            </w:r>
            <w:r w:rsidRPr="00CF3D88">
              <w:rPr>
                <w:rFonts w:ascii="Arial Narrow" w:hAnsi="Arial Narrow" w:cs="Times New Roman"/>
                <w:snapToGrid/>
                <w:sz w:val="20"/>
              </w:rPr>
              <w:t xml:space="preserve"> Brentuximab vedotin is less t</w:t>
            </w:r>
            <w:r w:rsidR="0035195E">
              <w:rPr>
                <w:rFonts w:ascii="Arial Narrow" w:hAnsi="Arial Narrow" w:cs="Times New Roman"/>
                <w:snapToGrid/>
                <w:sz w:val="20"/>
              </w:rPr>
              <w:t>oxic than salvage therapy. (Para</w:t>
            </w:r>
            <w:r w:rsidRPr="00CF3D88">
              <w:rPr>
                <w:rFonts w:ascii="Arial Narrow" w:hAnsi="Arial Narrow" w:cs="Times New Roman"/>
                <w:snapToGrid/>
                <w:sz w:val="20"/>
              </w:rPr>
              <w:t xml:space="preserve"> 7.10)</w:t>
            </w:r>
          </w:p>
        </w:tc>
        <w:tc>
          <w:tcPr>
            <w:tcW w:w="3260"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Unchanged</w:t>
            </w:r>
          </w:p>
        </w:tc>
      </w:tr>
      <w:tr w:rsidR="00954713" w:rsidRPr="00CF3D88" w:rsidTr="002C7059">
        <w:trPr>
          <w:cantSplit/>
          <w:trHeight w:val="20"/>
        </w:trPr>
        <w:tc>
          <w:tcPr>
            <w:tcW w:w="1014"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Clinical claim</w:t>
            </w:r>
          </w:p>
        </w:tc>
        <w:tc>
          <w:tcPr>
            <w:tcW w:w="4089" w:type="dxa"/>
          </w:tcPr>
          <w:p w:rsidR="00954713" w:rsidRPr="00CF3D88" w:rsidRDefault="00954713" w:rsidP="00954713">
            <w:pPr>
              <w:widowControl/>
              <w:jc w:val="left"/>
              <w:rPr>
                <w:rFonts w:ascii="Arial Narrow" w:hAnsi="Arial Narrow" w:cs="Times New Roman"/>
                <w:snapToGrid/>
                <w:color w:val="0000FF"/>
                <w:sz w:val="20"/>
              </w:rPr>
            </w:pPr>
            <w:r w:rsidRPr="00CF3D88">
              <w:rPr>
                <w:rFonts w:ascii="Arial Narrow" w:hAnsi="Arial Narrow" w:cs="Times New Roman"/>
                <w:snapToGrid/>
                <w:sz w:val="20"/>
              </w:rPr>
              <w:t>Brentuximab vedotin is superior in terms of comparative effectiveness and superior in terms of comparative safety over salvage chemotherapy</w:t>
            </w:r>
            <w:r w:rsidRPr="00CF3D88">
              <w:rPr>
                <w:rFonts w:ascii="Arial Narrow" w:hAnsi="Arial Narrow" w:cs="Times New Roman"/>
                <w:snapToGrid/>
                <w:color w:val="0000FF"/>
                <w:sz w:val="20"/>
              </w:rPr>
              <w:t>.</w:t>
            </w:r>
          </w:p>
          <w:p w:rsidR="00954713" w:rsidRPr="00CF3D88" w:rsidRDefault="00954713" w:rsidP="00954713">
            <w:pPr>
              <w:widowControl/>
              <w:jc w:val="left"/>
              <w:rPr>
                <w:rFonts w:ascii="Arial Narrow" w:hAnsi="Arial Narrow" w:cs="Times New Roman"/>
                <w:b/>
                <w:snapToGrid/>
                <w:sz w:val="20"/>
              </w:rPr>
            </w:pPr>
          </w:p>
          <w:p w:rsidR="00954713" w:rsidRPr="00CF3D88" w:rsidRDefault="00954713" w:rsidP="00B77A6A">
            <w:pPr>
              <w:widowControl/>
              <w:jc w:val="left"/>
              <w:rPr>
                <w:rFonts w:ascii="Arial Narrow" w:hAnsi="Arial Narrow" w:cs="Times New Roman"/>
                <w:snapToGrid/>
                <w:sz w:val="20"/>
              </w:rPr>
            </w:pPr>
            <w:r w:rsidRPr="00CF3D88">
              <w:rPr>
                <w:rFonts w:ascii="Arial Narrow" w:hAnsi="Arial Narrow" w:cs="Times New Roman"/>
                <w:b/>
                <w:snapToGrid/>
                <w:sz w:val="20"/>
              </w:rPr>
              <w:t>PBAC Comment:</w:t>
            </w:r>
            <w:r w:rsidRPr="00CF3D88">
              <w:rPr>
                <w:rFonts w:ascii="Arial Narrow" w:hAnsi="Arial Narrow" w:cs="Times New Roman"/>
                <w:snapToGrid/>
                <w:sz w:val="20"/>
              </w:rPr>
              <w:t xml:space="preserve"> </w:t>
            </w:r>
            <w:r w:rsidR="003340BA" w:rsidRPr="00CF3D88">
              <w:rPr>
                <w:rFonts w:ascii="Arial Narrow" w:hAnsi="Arial Narrow" w:cs="Times New Roman"/>
                <w:snapToGrid/>
                <w:sz w:val="20"/>
              </w:rPr>
              <w:t xml:space="preserve">The claim was reasonable, however </w:t>
            </w:r>
            <w:r w:rsidR="00B77A6A" w:rsidRPr="00CF3D88">
              <w:rPr>
                <w:rFonts w:ascii="Arial Narrow" w:hAnsi="Arial Narrow" w:cs="Times New Roman"/>
                <w:snapToGrid/>
                <w:sz w:val="20"/>
              </w:rPr>
              <w:t>the</w:t>
            </w:r>
            <w:r w:rsidRPr="00CF3D88">
              <w:rPr>
                <w:rFonts w:ascii="Arial Narrow" w:hAnsi="Arial Narrow" w:cs="Times New Roman"/>
                <w:snapToGrid/>
                <w:sz w:val="20"/>
              </w:rPr>
              <w:t xml:space="preserve"> magnitude of survival benefit was difficult to quantify due to th</w:t>
            </w:r>
            <w:r w:rsidR="00D94334">
              <w:rPr>
                <w:rFonts w:ascii="Arial Narrow" w:hAnsi="Arial Narrow" w:cs="Times New Roman"/>
                <w:snapToGrid/>
                <w:sz w:val="20"/>
              </w:rPr>
              <w:t>e poor quality of the evidence.</w:t>
            </w:r>
          </w:p>
          <w:p w:rsidR="00B77A6A" w:rsidRPr="00CF3D88" w:rsidRDefault="00B77A6A" w:rsidP="00CC650A">
            <w:pPr>
              <w:widowControl/>
              <w:jc w:val="left"/>
              <w:rPr>
                <w:rFonts w:ascii="Arial Narrow" w:hAnsi="Arial Narrow" w:cs="Times New Roman"/>
                <w:snapToGrid/>
                <w:sz w:val="20"/>
              </w:rPr>
            </w:pPr>
            <w:r w:rsidRPr="00CF3D88">
              <w:rPr>
                <w:rFonts w:ascii="Arial Narrow" w:hAnsi="Arial Narrow" w:cs="Times New Roman"/>
                <w:snapToGrid/>
                <w:sz w:val="20"/>
              </w:rPr>
              <w:t xml:space="preserve">The PBAC considered that brentuximab vedotin </w:t>
            </w:r>
            <w:r w:rsidR="00CC650A" w:rsidRPr="00CF3D88">
              <w:rPr>
                <w:rFonts w:ascii="Arial Narrow" w:hAnsi="Arial Narrow" w:cs="Times New Roman"/>
                <w:snapToGrid/>
                <w:sz w:val="20"/>
              </w:rPr>
              <w:t>was</w:t>
            </w:r>
            <w:r w:rsidRPr="00CF3D88">
              <w:rPr>
                <w:rFonts w:ascii="Arial Narrow" w:hAnsi="Arial Narrow" w:cs="Times New Roman"/>
                <w:snapToGrid/>
                <w:sz w:val="20"/>
              </w:rPr>
              <w:t xml:space="preserve"> less toxic than salvage therapy</w:t>
            </w:r>
            <w:r w:rsidR="0035195E">
              <w:rPr>
                <w:rFonts w:ascii="Arial Narrow" w:hAnsi="Arial Narrow" w:cs="Times New Roman"/>
                <w:snapToGrid/>
                <w:sz w:val="20"/>
              </w:rPr>
              <w:t xml:space="preserve"> (Para</w:t>
            </w:r>
            <w:r w:rsidR="00CC650A" w:rsidRPr="00CF3D88">
              <w:rPr>
                <w:rFonts w:ascii="Arial Narrow" w:hAnsi="Arial Narrow" w:cs="Times New Roman"/>
                <w:snapToGrid/>
                <w:sz w:val="20"/>
              </w:rPr>
              <w:t xml:space="preserve"> </w:t>
            </w:r>
            <w:r w:rsidRPr="00CF3D88">
              <w:rPr>
                <w:rFonts w:ascii="Arial Narrow" w:hAnsi="Arial Narrow" w:cs="Times New Roman"/>
                <w:snapToGrid/>
                <w:sz w:val="20"/>
              </w:rPr>
              <w:t>7.10</w:t>
            </w:r>
            <w:r w:rsidR="00CC650A" w:rsidRPr="00CF3D88">
              <w:rPr>
                <w:rFonts w:ascii="Arial Narrow" w:hAnsi="Arial Narrow" w:cs="Times New Roman"/>
                <w:snapToGrid/>
                <w:sz w:val="20"/>
              </w:rPr>
              <w:t>)</w:t>
            </w:r>
          </w:p>
        </w:tc>
        <w:tc>
          <w:tcPr>
            <w:tcW w:w="3260" w:type="dxa"/>
          </w:tcPr>
          <w:p w:rsidR="00954713" w:rsidRPr="00CF3D88" w:rsidRDefault="00954713" w:rsidP="00954713">
            <w:pPr>
              <w:widowControl/>
              <w:jc w:val="left"/>
              <w:rPr>
                <w:rFonts w:ascii="Arial Narrow" w:hAnsi="Arial Narrow" w:cs="Times New Roman"/>
                <w:snapToGrid/>
                <w:color w:val="0000FF"/>
                <w:sz w:val="20"/>
              </w:rPr>
            </w:pPr>
            <w:r w:rsidRPr="00CF3D88">
              <w:rPr>
                <w:rFonts w:ascii="Arial Narrow" w:hAnsi="Arial Narrow" w:cs="Times New Roman"/>
                <w:snapToGrid/>
                <w:sz w:val="20"/>
              </w:rPr>
              <w:t xml:space="preserve">Brentuximab vedotin is superior in terms of comparative effectiveness and </w:t>
            </w:r>
            <w:r w:rsidR="00186D56" w:rsidRPr="00CF3D88">
              <w:rPr>
                <w:rFonts w:ascii="Arial Narrow" w:hAnsi="Arial Narrow" w:cs="Times New Roman"/>
                <w:snapToGrid/>
                <w:sz w:val="20"/>
              </w:rPr>
              <w:t>non-inferior</w:t>
            </w:r>
            <w:r w:rsidRPr="00CF3D88">
              <w:rPr>
                <w:rFonts w:ascii="Arial Narrow" w:hAnsi="Arial Narrow" w:cs="Times New Roman"/>
                <w:snapToGrid/>
                <w:sz w:val="20"/>
              </w:rPr>
              <w:t xml:space="preserve"> in terms of comparative safety over salvage chemotherapy.</w:t>
            </w:r>
          </w:p>
        </w:tc>
      </w:tr>
      <w:tr w:rsidR="00954713" w:rsidRPr="00CF3D88" w:rsidTr="002C7059">
        <w:trPr>
          <w:cantSplit/>
          <w:trHeight w:val="20"/>
        </w:trPr>
        <w:tc>
          <w:tcPr>
            <w:tcW w:w="1014"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Economic evaluation</w:t>
            </w:r>
          </w:p>
        </w:tc>
        <w:tc>
          <w:tcPr>
            <w:tcW w:w="4089"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Cost-utility analysis based on a naïve comparison of non-randomised studies.</w:t>
            </w:r>
          </w:p>
          <w:p w:rsidR="00D913BE" w:rsidRPr="00CF3D88" w:rsidRDefault="00D913BE" w:rsidP="00D913BE">
            <w:pPr>
              <w:widowControl/>
              <w:jc w:val="left"/>
              <w:rPr>
                <w:rFonts w:ascii="Arial Narrow" w:hAnsi="Arial Narrow" w:cs="Times New Roman"/>
                <w:snapToGrid/>
                <w:sz w:val="20"/>
              </w:rPr>
            </w:pPr>
            <w:r w:rsidRPr="00CF3D88">
              <w:rPr>
                <w:rFonts w:ascii="Arial Narrow" w:hAnsi="Arial Narrow" w:cs="Times New Roman"/>
                <w:snapToGrid/>
                <w:sz w:val="20"/>
              </w:rPr>
              <w:t>- 13-year time horizon</w:t>
            </w:r>
          </w:p>
          <w:p w:rsidR="00D913BE" w:rsidRPr="00CF3D88" w:rsidRDefault="00D913BE" w:rsidP="00D913BE">
            <w:pPr>
              <w:widowControl/>
              <w:jc w:val="left"/>
              <w:rPr>
                <w:rFonts w:ascii="Arial Narrow" w:hAnsi="Arial Narrow" w:cs="Times New Roman"/>
                <w:snapToGrid/>
                <w:sz w:val="20"/>
              </w:rPr>
            </w:pPr>
            <w:r w:rsidRPr="00CF3D88">
              <w:rPr>
                <w:rFonts w:ascii="Arial Narrow" w:hAnsi="Arial Narrow" w:cs="Times New Roman"/>
                <w:snapToGrid/>
                <w:sz w:val="20"/>
              </w:rPr>
              <w:t>- Proportion of patients receiving allogeneic SCT was assumed at 30%</w:t>
            </w: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 xml:space="preserve">ICER: </w:t>
            </w:r>
            <w:r w:rsidR="00E62049">
              <w:rPr>
                <w:rFonts w:ascii="Arial Narrow" w:hAnsi="Arial Narrow" w:cs="Times New Roman"/>
                <w:snapToGrid/>
                <w:sz w:val="20"/>
              </w:rPr>
              <w:t xml:space="preserve">$75,000 - $105,000 per </w:t>
            </w:r>
            <w:r w:rsidRPr="00CF3D88">
              <w:rPr>
                <w:rFonts w:ascii="Arial Narrow" w:hAnsi="Arial Narrow" w:cs="Times New Roman"/>
                <w:snapToGrid/>
                <w:sz w:val="20"/>
              </w:rPr>
              <w:t>QALY</w:t>
            </w:r>
          </w:p>
          <w:p w:rsidR="00954713" w:rsidRPr="00CF3D88" w:rsidRDefault="00954713" w:rsidP="00954713">
            <w:pPr>
              <w:widowControl/>
              <w:jc w:val="left"/>
              <w:rPr>
                <w:rFonts w:ascii="Arial Narrow" w:hAnsi="Arial Narrow" w:cs="Times New Roman"/>
                <w:b/>
                <w:snapToGrid/>
                <w:sz w:val="20"/>
              </w:rPr>
            </w:pP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b/>
                <w:snapToGrid/>
                <w:sz w:val="20"/>
              </w:rPr>
              <w:t>PBAC Comment:</w:t>
            </w: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The cost-effectiveness analysis was not reliable. Eight-year time horizon would be more appropriate than the submission’s 13-year horizon. Proportion of patients receiving allogenic SCT (30% in each arm) in the model was not sufficiently justified.</w:t>
            </w:r>
          </w:p>
        </w:tc>
        <w:tc>
          <w:tcPr>
            <w:tcW w:w="3260"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 Cost-utility analysis based on a naïve comparison of non-randomised studies.</w:t>
            </w: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- 13-year time horizon</w:t>
            </w:r>
            <w:r w:rsidR="004A20CD" w:rsidRPr="00CF3D88">
              <w:rPr>
                <w:rFonts w:ascii="Arial Narrow" w:hAnsi="Arial Narrow" w:cs="Times New Roman"/>
                <w:snapToGrid/>
                <w:sz w:val="20"/>
              </w:rPr>
              <w:t>. This was not appropriate; the PBAC requested an 8 year time horizon</w:t>
            </w: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 xml:space="preserve">- Proportion of patients </w:t>
            </w:r>
            <w:r w:rsidR="00186D56" w:rsidRPr="00CF3D88">
              <w:rPr>
                <w:rFonts w:ascii="Arial Narrow" w:hAnsi="Arial Narrow" w:cs="Times New Roman"/>
                <w:snapToGrid/>
                <w:sz w:val="20"/>
              </w:rPr>
              <w:t>receiving</w:t>
            </w:r>
            <w:r w:rsidRPr="00CF3D88">
              <w:rPr>
                <w:rFonts w:ascii="Arial Narrow" w:hAnsi="Arial Narrow" w:cs="Times New Roman"/>
                <w:snapToGrid/>
                <w:sz w:val="20"/>
              </w:rPr>
              <w:t xml:space="preserve"> allogeneic SCT was obtained from key evidence studies</w:t>
            </w:r>
            <w:r w:rsidR="009A2241" w:rsidRPr="00CF3D88">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009A2241" w:rsidRPr="00CF3D88">
              <w:rPr>
                <w:rFonts w:ascii="Arial Narrow" w:hAnsi="Arial Narrow" w:cs="Times New Roman"/>
                <w:snapToGrid/>
                <w:sz w:val="20"/>
              </w:rPr>
              <w:t xml:space="preserve">% for brentuximab vedotin vs </w:t>
            </w:r>
            <w:r w:rsidR="00526F5C">
              <w:rPr>
                <w:rFonts w:ascii="Arial Narrow" w:hAnsi="Arial Narrow" w:cs="Times New Roman"/>
                <w:noProof/>
                <w:snapToGrid/>
                <w:color w:val="000000"/>
                <w:sz w:val="20"/>
                <w:highlight w:val="black"/>
              </w:rPr>
              <w:t>'''''''</w:t>
            </w:r>
            <w:r w:rsidR="009A2241" w:rsidRPr="00CF3D88">
              <w:rPr>
                <w:rFonts w:ascii="Arial Narrow" w:hAnsi="Arial Narrow" w:cs="Times New Roman"/>
                <w:snapToGrid/>
                <w:sz w:val="20"/>
              </w:rPr>
              <w:t>% for salvage chemotherapy)</w:t>
            </w:r>
            <w:r w:rsidRPr="00CF3D88">
              <w:rPr>
                <w:rFonts w:ascii="Arial Narrow" w:hAnsi="Arial Narrow" w:cs="Times New Roman"/>
                <w:snapToGrid/>
                <w:sz w:val="20"/>
              </w:rPr>
              <w:t>.</w:t>
            </w:r>
            <w:r w:rsidR="004A20CD" w:rsidRPr="00CF3D88">
              <w:rPr>
                <w:rFonts w:ascii="Arial Narrow" w:hAnsi="Arial Narrow" w:cs="Times New Roman"/>
                <w:snapToGrid/>
                <w:sz w:val="20"/>
              </w:rPr>
              <w:t xml:space="preserve"> This appeared reasonable</w:t>
            </w:r>
          </w:p>
          <w:p w:rsidR="00954713" w:rsidRPr="00CF3D88" w:rsidRDefault="00954713" w:rsidP="00E23C0A">
            <w:pPr>
              <w:widowControl/>
              <w:tabs>
                <w:tab w:val="left" w:pos="2115"/>
              </w:tabs>
              <w:jc w:val="left"/>
              <w:rPr>
                <w:rFonts w:ascii="Arial Narrow" w:hAnsi="Arial Narrow" w:cs="Times New Roman"/>
                <w:snapToGrid/>
                <w:sz w:val="20"/>
              </w:rPr>
            </w:pPr>
            <w:r w:rsidRPr="00CF3D88">
              <w:rPr>
                <w:rFonts w:ascii="Arial Narrow" w:hAnsi="Arial Narrow" w:cs="Times New Roman"/>
                <w:snapToGrid/>
                <w:sz w:val="20"/>
              </w:rPr>
              <w:t xml:space="preserve">- ICER: </w:t>
            </w:r>
            <w:r w:rsidR="00CF75B2">
              <w:rPr>
                <w:rFonts w:ascii="Arial Narrow" w:hAnsi="Arial Narrow" w:cs="Times New Roman"/>
                <w:snapToGrid/>
                <w:sz w:val="20"/>
              </w:rPr>
              <w:t xml:space="preserve">$45,000 - $75,000 per </w:t>
            </w:r>
            <w:r w:rsidRPr="00CF3D88">
              <w:rPr>
                <w:rFonts w:ascii="Arial Narrow" w:hAnsi="Arial Narrow" w:cs="Times New Roman"/>
                <w:snapToGrid/>
                <w:sz w:val="20"/>
              </w:rPr>
              <w:t>QALY</w:t>
            </w:r>
          </w:p>
          <w:p w:rsidR="00E23C0A" w:rsidRPr="00CF3D88" w:rsidRDefault="00E23C0A" w:rsidP="00E23C0A">
            <w:pPr>
              <w:widowControl/>
              <w:tabs>
                <w:tab w:val="left" w:pos="2115"/>
              </w:tabs>
              <w:jc w:val="left"/>
              <w:rPr>
                <w:rFonts w:ascii="Arial Narrow" w:hAnsi="Arial Narrow" w:cs="Times New Roman"/>
                <w:snapToGrid/>
                <w:sz w:val="20"/>
              </w:rPr>
            </w:pPr>
            <w:r w:rsidRPr="00CF3D88">
              <w:rPr>
                <w:rFonts w:ascii="Arial Narrow" w:hAnsi="Arial Narrow" w:cs="Times New Roman"/>
                <w:snapToGrid/>
                <w:sz w:val="20"/>
              </w:rPr>
              <w:t>-</w:t>
            </w:r>
            <w:r w:rsidRPr="00456FA2">
              <w:rPr>
                <w:rFonts w:ascii="Arial Narrow" w:hAnsi="Arial Narrow" w:cs="Times New Roman"/>
                <w:snapToGrid/>
                <w:sz w:val="20"/>
              </w:rPr>
              <w:t xml:space="preserve"> revised ICER in PSCR: </w:t>
            </w:r>
            <w:r w:rsidR="00D94334">
              <w:rPr>
                <w:rFonts w:ascii="Arial Narrow" w:hAnsi="Arial Narrow" w:cs="Times New Roman"/>
                <w:snapToGrid/>
                <w:sz w:val="20"/>
              </w:rPr>
              <w:t xml:space="preserve">$75,000 - </w:t>
            </w:r>
            <w:r w:rsidR="00CF75B2" w:rsidRPr="00456FA2">
              <w:rPr>
                <w:rFonts w:ascii="Arial Narrow" w:hAnsi="Arial Narrow" w:cs="Times New Roman"/>
                <w:snapToGrid/>
                <w:sz w:val="20"/>
              </w:rPr>
              <w:t>$105,000 per QALY</w:t>
            </w:r>
          </w:p>
          <w:p w:rsidR="00954713" w:rsidRPr="00CF3D88" w:rsidRDefault="00954713" w:rsidP="00954713">
            <w:pPr>
              <w:widowControl/>
              <w:jc w:val="left"/>
              <w:rPr>
                <w:rFonts w:ascii="Arial Narrow" w:hAnsi="Arial Narrow" w:cs="Times New Roman"/>
                <w:snapToGrid/>
                <w:color w:val="0000FF"/>
                <w:sz w:val="20"/>
              </w:rPr>
            </w:pPr>
          </w:p>
        </w:tc>
      </w:tr>
      <w:tr w:rsidR="00954713" w:rsidRPr="00CF3D88" w:rsidTr="002C7059">
        <w:trPr>
          <w:cantSplit/>
          <w:trHeight w:val="20"/>
        </w:trPr>
        <w:tc>
          <w:tcPr>
            <w:tcW w:w="1014"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 xml:space="preserve">Number of </w:t>
            </w:r>
            <w:r w:rsidR="00DA41EF" w:rsidRPr="00CF3D88">
              <w:rPr>
                <w:rFonts w:ascii="Arial Narrow" w:hAnsi="Arial Narrow" w:cs="Times New Roman"/>
                <w:snapToGrid/>
                <w:sz w:val="20"/>
              </w:rPr>
              <w:t xml:space="preserve">treated </w:t>
            </w:r>
            <w:r w:rsidRPr="00CF3D88">
              <w:rPr>
                <w:rFonts w:ascii="Arial Narrow" w:hAnsi="Arial Narrow" w:cs="Times New Roman"/>
                <w:snapToGrid/>
                <w:sz w:val="20"/>
              </w:rPr>
              <w:t>patients</w:t>
            </w:r>
          </w:p>
        </w:tc>
        <w:tc>
          <w:tcPr>
            <w:tcW w:w="4089" w:type="dxa"/>
          </w:tcPr>
          <w:p w:rsidR="00954713" w:rsidRPr="00CF3D88" w:rsidRDefault="00CF75B2" w:rsidP="00954713">
            <w:pPr>
              <w:widowControl/>
              <w:jc w:val="left"/>
              <w:rPr>
                <w:rFonts w:ascii="Arial Narrow" w:hAnsi="Arial Narrow" w:cs="Times New Roman"/>
                <w:snapToGrid/>
                <w:sz w:val="20"/>
              </w:rPr>
            </w:pPr>
            <w:r>
              <w:rPr>
                <w:rFonts w:ascii="Arial Narrow" w:hAnsi="Arial Narrow" w:cs="Times New Roman"/>
                <w:snapToGrid/>
                <w:sz w:val="20"/>
              </w:rPr>
              <w:t>Less than 10,000</w:t>
            </w:r>
            <w:r w:rsidR="00DA41EF" w:rsidRPr="00CF3D88">
              <w:rPr>
                <w:rFonts w:ascii="Arial Narrow" w:hAnsi="Arial Narrow" w:cs="Times New Roman"/>
                <w:snapToGrid/>
                <w:sz w:val="20"/>
              </w:rPr>
              <w:t xml:space="preserve"> </w:t>
            </w:r>
            <w:r w:rsidR="00954713" w:rsidRPr="00CF3D88">
              <w:rPr>
                <w:rFonts w:ascii="Arial Narrow" w:hAnsi="Arial Narrow" w:cs="Times New Roman"/>
                <w:snapToGrid/>
                <w:sz w:val="20"/>
              </w:rPr>
              <w:t xml:space="preserve">in Year 1 decreasing to </w:t>
            </w:r>
            <w:r>
              <w:rPr>
                <w:rFonts w:ascii="Arial Narrow" w:hAnsi="Arial Narrow" w:cs="Times New Roman"/>
                <w:snapToGrid/>
                <w:sz w:val="20"/>
              </w:rPr>
              <w:t>less than 10,000</w:t>
            </w:r>
            <w:r w:rsidR="00DA41EF" w:rsidRPr="00CF3D88">
              <w:rPr>
                <w:rFonts w:ascii="Arial Narrow" w:hAnsi="Arial Narrow" w:cs="Times New Roman"/>
                <w:snapToGrid/>
                <w:sz w:val="20"/>
              </w:rPr>
              <w:t xml:space="preserve"> </w:t>
            </w:r>
            <w:r w:rsidR="00954713" w:rsidRPr="00CF3D88">
              <w:rPr>
                <w:rFonts w:ascii="Arial Narrow" w:hAnsi="Arial Narrow" w:cs="Times New Roman"/>
                <w:snapToGrid/>
                <w:sz w:val="20"/>
              </w:rPr>
              <w:t>in Year 5.</w:t>
            </w:r>
          </w:p>
          <w:p w:rsidR="00954713" w:rsidRPr="00CF3D88" w:rsidRDefault="00954713" w:rsidP="00954713">
            <w:pPr>
              <w:widowControl/>
              <w:jc w:val="left"/>
              <w:rPr>
                <w:rFonts w:ascii="Arial Narrow" w:hAnsi="Arial Narrow" w:cs="Times New Roman"/>
                <w:b/>
                <w:snapToGrid/>
                <w:sz w:val="20"/>
              </w:rPr>
            </w:pP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b/>
                <w:snapToGrid/>
                <w:sz w:val="20"/>
              </w:rPr>
              <w:t>PBAC Comment:</w:t>
            </w:r>
            <w:r w:rsidRPr="00CF3D88">
              <w:rPr>
                <w:rFonts w:ascii="Arial Narrow" w:hAnsi="Arial Narrow" w:cs="Times New Roman"/>
                <w:snapToGrid/>
                <w:sz w:val="20"/>
              </w:rPr>
              <w:t xml:space="preserve"> Reasonable except uptake was likely to be </w:t>
            </w:r>
            <w:r w:rsidR="0035195E">
              <w:rPr>
                <w:rFonts w:ascii="Arial Narrow" w:hAnsi="Arial Narrow" w:cs="Times New Roman"/>
                <w:snapToGrid/>
                <w:sz w:val="20"/>
              </w:rPr>
              <w:t>higher than estimated (</w:t>
            </w:r>
            <w:r w:rsidR="00526F5C">
              <w:rPr>
                <w:rFonts w:ascii="Arial Narrow" w:hAnsi="Arial Narrow" w:cs="Times New Roman"/>
                <w:noProof/>
                <w:snapToGrid/>
                <w:color w:val="000000"/>
                <w:sz w:val="20"/>
                <w:highlight w:val="black"/>
              </w:rPr>
              <w:t>'''''</w:t>
            </w:r>
            <w:r w:rsidR="0035195E">
              <w:rPr>
                <w:rFonts w:ascii="Arial Narrow" w:hAnsi="Arial Narrow" w:cs="Times New Roman"/>
                <w:snapToGrid/>
                <w:sz w:val="20"/>
              </w:rPr>
              <w:t>%) (Para</w:t>
            </w:r>
            <w:r w:rsidRPr="00CF3D88">
              <w:rPr>
                <w:rFonts w:ascii="Arial Narrow" w:hAnsi="Arial Narrow" w:cs="Times New Roman"/>
                <w:snapToGrid/>
                <w:sz w:val="20"/>
              </w:rPr>
              <w:t xml:space="preserve"> 7.13)</w:t>
            </w:r>
          </w:p>
        </w:tc>
        <w:tc>
          <w:tcPr>
            <w:tcW w:w="3260" w:type="dxa"/>
          </w:tcPr>
          <w:p w:rsidR="00954713" w:rsidRPr="00CF3D88" w:rsidRDefault="00CF75B2" w:rsidP="00954713">
            <w:pPr>
              <w:widowControl/>
              <w:jc w:val="left"/>
              <w:rPr>
                <w:rFonts w:ascii="Arial Narrow" w:hAnsi="Arial Narrow" w:cs="Times New Roman"/>
                <w:snapToGrid/>
                <w:sz w:val="20"/>
              </w:rPr>
            </w:pPr>
            <w:r>
              <w:rPr>
                <w:rFonts w:ascii="Arial Narrow" w:hAnsi="Arial Narrow" w:cs="Times New Roman"/>
                <w:snapToGrid/>
                <w:sz w:val="20"/>
              </w:rPr>
              <w:t>Less than 10,000</w:t>
            </w:r>
            <w:r w:rsidR="00954713" w:rsidRPr="00CF3D88">
              <w:rPr>
                <w:rFonts w:ascii="Arial Narrow" w:hAnsi="Arial Narrow" w:cs="Times New Roman"/>
                <w:snapToGrid/>
                <w:sz w:val="20"/>
              </w:rPr>
              <w:t xml:space="preserve"> in Year 1 decreasing to </w:t>
            </w:r>
            <w:r>
              <w:rPr>
                <w:rFonts w:ascii="Arial Narrow" w:hAnsi="Arial Narrow" w:cs="Times New Roman"/>
                <w:snapToGrid/>
                <w:sz w:val="20"/>
              </w:rPr>
              <w:t>less than 10,000</w:t>
            </w:r>
            <w:r w:rsidR="00954713" w:rsidRPr="00CF3D88">
              <w:rPr>
                <w:rFonts w:ascii="Arial Narrow" w:hAnsi="Arial Narrow" w:cs="Times New Roman"/>
                <w:snapToGrid/>
                <w:sz w:val="20"/>
              </w:rPr>
              <w:t xml:space="preserve"> in Year 5.</w:t>
            </w:r>
          </w:p>
          <w:p w:rsidR="00954713" w:rsidRPr="00CF3D88" w:rsidRDefault="00954713" w:rsidP="00693FA9">
            <w:pPr>
              <w:widowControl/>
              <w:jc w:val="left"/>
              <w:rPr>
                <w:rFonts w:ascii="Arial Narrow" w:hAnsi="Arial Narrow" w:cs="Times New Roman"/>
                <w:snapToGrid/>
                <w:color w:val="0000FF"/>
                <w:sz w:val="20"/>
              </w:rPr>
            </w:pPr>
            <w:r w:rsidRPr="00CF3D88">
              <w:rPr>
                <w:rFonts w:ascii="Arial Narrow" w:hAnsi="Arial Narrow" w:cs="Times New Roman"/>
                <w:snapToGrid/>
                <w:sz w:val="20"/>
              </w:rPr>
              <w:t xml:space="preserve">Uptake was increased to </w:t>
            </w:r>
            <w:r w:rsidR="00526F5C">
              <w:rPr>
                <w:rFonts w:ascii="Arial Narrow" w:hAnsi="Arial Narrow" w:cs="Times New Roman"/>
                <w:noProof/>
                <w:snapToGrid/>
                <w:color w:val="000000"/>
                <w:sz w:val="20"/>
                <w:highlight w:val="black"/>
              </w:rPr>
              <w:t>''''''</w:t>
            </w:r>
            <w:r w:rsidRPr="00CF3D88">
              <w:rPr>
                <w:rFonts w:ascii="Arial Narrow" w:hAnsi="Arial Narrow" w:cs="Times New Roman"/>
                <w:snapToGrid/>
                <w:sz w:val="20"/>
              </w:rPr>
              <w:t>%</w:t>
            </w:r>
            <w:r w:rsidR="00693FA9" w:rsidRPr="00CF3D88">
              <w:rPr>
                <w:rFonts w:ascii="Arial Narrow" w:hAnsi="Arial Narrow" w:cs="Times New Roman"/>
                <w:snapToGrid/>
                <w:sz w:val="20"/>
              </w:rPr>
              <w:t>, which might be reasonable.</w:t>
            </w:r>
          </w:p>
        </w:tc>
      </w:tr>
      <w:tr w:rsidR="00954713" w:rsidRPr="00CF3D88" w:rsidTr="002C7059">
        <w:trPr>
          <w:cantSplit/>
          <w:trHeight w:val="20"/>
        </w:trPr>
        <w:tc>
          <w:tcPr>
            <w:tcW w:w="1014"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Estimated cost to PBS</w:t>
            </w:r>
            <w:r w:rsidR="00DA41EF" w:rsidRPr="00CF3D88">
              <w:rPr>
                <w:rFonts w:ascii="Arial Narrow" w:hAnsi="Arial Narrow" w:cs="Times New Roman"/>
                <w:snapToGrid/>
                <w:sz w:val="20"/>
              </w:rPr>
              <w:t>/RPBS</w:t>
            </w:r>
          </w:p>
        </w:tc>
        <w:tc>
          <w:tcPr>
            <w:tcW w:w="4089" w:type="dxa"/>
          </w:tcPr>
          <w:p w:rsidR="00954713" w:rsidRPr="00CF3D88" w:rsidRDefault="00CF75B2" w:rsidP="00954713">
            <w:pPr>
              <w:widowControl/>
              <w:jc w:val="left"/>
              <w:rPr>
                <w:rFonts w:ascii="Arial Narrow" w:hAnsi="Arial Narrow" w:cs="Times New Roman"/>
                <w:snapToGrid/>
                <w:sz w:val="20"/>
              </w:rPr>
            </w:pPr>
            <w:r>
              <w:rPr>
                <w:rFonts w:ascii="Arial Narrow" w:hAnsi="Arial Narrow" w:cs="Times New Roman"/>
                <w:snapToGrid/>
                <w:sz w:val="20"/>
              </w:rPr>
              <w:t>Less than $10</w:t>
            </w:r>
            <w:r w:rsidR="00DA41EF" w:rsidRPr="00CF75B2">
              <w:rPr>
                <w:rFonts w:ascii="Arial Narrow" w:hAnsi="Arial Narrow" w:cs="Times New Roman"/>
                <w:snapToGrid/>
                <w:sz w:val="20"/>
              </w:rPr>
              <w:t xml:space="preserve"> million</w:t>
            </w:r>
            <w:r w:rsidR="00954713" w:rsidRPr="00CF3D88">
              <w:rPr>
                <w:rFonts w:ascii="Arial Narrow" w:hAnsi="Arial Narrow" w:cs="Times New Roman"/>
                <w:snapToGrid/>
                <w:sz w:val="20"/>
              </w:rPr>
              <w:t xml:space="preserve"> in Year 1 decreasing to </w:t>
            </w:r>
            <w:r>
              <w:rPr>
                <w:rFonts w:ascii="Arial Narrow" w:hAnsi="Arial Narrow" w:cs="Times New Roman"/>
                <w:snapToGrid/>
                <w:sz w:val="20"/>
              </w:rPr>
              <w:t>less than $10</w:t>
            </w:r>
            <w:r w:rsidR="00DA41EF" w:rsidRPr="00CF75B2">
              <w:rPr>
                <w:rFonts w:ascii="Arial Narrow" w:hAnsi="Arial Narrow" w:cs="Times New Roman"/>
                <w:snapToGrid/>
                <w:sz w:val="20"/>
              </w:rPr>
              <w:t xml:space="preserve"> million</w:t>
            </w:r>
            <w:r w:rsidR="00954713" w:rsidRPr="00CF3D88">
              <w:rPr>
                <w:rFonts w:ascii="Arial Narrow" w:hAnsi="Arial Narrow" w:cs="Times New Roman"/>
                <w:snapToGrid/>
                <w:sz w:val="20"/>
              </w:rPr>
              <w:t xml:space="preserve"> in Year 5 for a total of </w:t>
            </w:r>
            <w:r>
              <w:rPr>
                <w:rFonts w:ascii="Arial Narrow" w:hAnsi="Arial Narrow" w:cs="Times New Roman"/>
                <w:snapToGrid/>
                <w:sz w:val="20"/>
              </w:rPr>
              <w:t>$10 </w:t>
            </w:r>
            <w:r>
              <w:rPr>
                <w:rFonts w:ascii="Arial Narrow" w:hAnsi="Arial Narrow" w:cs="Times New Roman"/>
                <w:snapToGrid/>
                <w:sz w:val="20"/>
              </w:rPr>
              <w:noBreakHyphen/>
              <w:t> $20</w:t>
            </w:r>
            <w:r w:rsidR="00DA41EF" w:rsidRPr="00CF75B2">
              <w:rPr>
                <w:rFonts w:ascii="Arial Narrow" w:hAnsi="Arial Narrow" w:cs="Times New Roman"/>
                <w:snapToGrid/>
                <w:sz w:val="20"/>
              </w:rPr>
              <w:t xml:space="preserve"> million</w:t>
            </w:r>
            <w:r w:rsidR="00954713" w:rsidRPr="00CF3D88">
              <w:rPr>
                <w:rFonts w:ascii="Arial Narrow" w:hAnsi="Arial Narrow" w:cs="Times New Roman"/>
                <w:snapToGrid/>
                <w:sz w:val="20"/>
              </w:rPr>
              <w:t xml:space="preserve"> over the first 5 years of listing.</w:t>
            </w:r>
          </w:p>
          <w:p w:rsidR="00954713" w:rsidRPr="00CF3D88" w:rsidRDefault="00954713" w:rsidP="00954713">
            <w:pPr>
              <w:widowControl/>
              <w:jc w:val="left"/>
              <w:rPr>
                <w:rFonts w:ascii="Arial Narrow" w:hAnsi="Arial Narrow" w:cs="Times New Roman"/>
                <w:snapToGrid/>
                <w:sz w:val="20"/>
              </w:rPr>
            </w:pPr>
          </w:p>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b/>
                <w:snapToGrid/>
                <w:sz w:val="20"/>
              </w:rPr>
              <w:t>PBAC Comment:</w:t>
            </w:r>
            <w:r w:rsidRPr="00CF3D88">
              <w:rPr>
                <w:rFonts w:ascii="Arial Narrow" w:hAnsi="Arial Narrow" w:cs="Times New Roman"/>
                <w:snapToGrid/>
                <w:sz w:val="20"/>
              </w:rPr>
              <w:t xml:space="preserve"> Reasonable </w:t>
            </w:r>
          </w:p>
        </w:tc>
        <w:tc>
          <w:tcPr>
            <w:tcW w:w="3260" w:type="dxa"/>
          </w:tcPr>
          <w:p w:rsidR="00DA41EF" w:rsidRPr="00CF3D88" w:rsidRDefault="00CF75B2" w:rsidP="00BF69A1">
            <w:pPr>
              <w:widowControl/>
              <w:jc w:val="left"/>
              <w:rPr>
                <w:rFonts w:ascii="Arial Narrow" w:hAnsi="Arial Narrow" w:cs="Times New Roman"/>
                <w:snapToGrid/>
                <w:color w:val="0000FF"/>
                <w:sz w:val="20"/>
              </w:rPr>
            </w:pPr>
            <w:r>
              <w:rPr>
                <w:rFonts w:ascii="Arial Narrow" w:hAnsi="Arial Narrow" w:cs="Times New Roman"/>
                <w:snapToGrid/>
                <w:sz w:val="20"/>
              </w:rPr>
              <w:t>Less than $10</w:t>
            </w:r>
            <w:r w:rsidR="00DA41EF" w:rsidRPr="00CF75B2">
              <w:rPr>
                <w:rFonts w:ascii="Arial Narrow" w:hAnsi="Arial Narrow" w:cs="Times New Roman"/>
                <w:snapToGrid/>
                <w:sz w:val="20"/>
              </w:rPr>
              <w:t xml:space="preserve"> million</w:t>
            </w:r>
            <w:r w:rsidR="00954713" w:rsidRPr="00CF3D88">
              <w:rPr>
                <w:rFonts w:ascii="Arial Narrow" w:hAnsi="Arial Narrow" w:cs="Times New Roman"/>
                <w:snapToGrid/>
                <w:sz w:val="20"/>
              </w:rPr>
              <w:t xml:space="preserve"> in Year 1 decreasing to </w:t>
            </w:r>
            <w:r>
              <w:rPr>
                <w:rFonts w:ascii="Arial Narrow" w:hAnsi="Arial Narrow" w:cs="Times New Roman"/>
                <w:snapToGrid/>
                <w:sz w:val="20"/>
              </w:rPr>
              <w:t>less than $10</w:t>
            </w:r>
            <w:r w:rsidR="0035195E" w:rsidRPr="00CF75B2">
              <w:rPr>
                <w:rFonts w:ascii="Arial Narrow" w:hAnsi="Arial Narrow" w:cs="Times New Roman"/>
                <w:snapToGrid/>
                <w:sz w:val="20"/>
              </w:rPr>
              <w:t> </w:t>
            </w:r>
            <w:r w:rsidR="00DA41EF" w:rsidRPr="00CF75B2">
              <w:rPr>
                <w:rFonts w:ascii="Arial Narrow" w:hAnsi="Arial Narrow" w:cs="Times New Roman"/>
                <w:snapToGrid/>
                <w:sz w:val="20"/>
              </w:rPr>
              <w:t>million</w:t>
            </w:r>
            <w:r w:rsidR="00954713" w:rsidRPr="00CF3D88">
              <w:rPr>
                <w:rFonts w:ascii="Arial Narrow" w:hAnsi="Arial Narrow" w:cs="Times New Roman"/>
                <w:snapToGrid/>
                <w:sz w:val="20"/>
              </w:rPr>
              <w:t xml:space="preserve"> in Year 5 for a total of </w:t>
            </w:r>
            <w:r>
              <w:rPr>
                <w:rFonts w:ascii="Arial Narrow" w:hAnsi="Arial Narrow" w:cs="Times New Roman"/>
                <w:snapToGrid/>
                <w:sz w:val="20"/>
              </w:rPr>
              <w:t>$10 - $20</w:t>
            </w:r>
            <w:r w:rsidR="00DA41EF" w:rsidRPr="00CF75B2">
              <w:rPr>
                <w:rFonts w:ascii="Arial Narrow" w:hAnsi="Arial Narrow" w:cs="Times New Roman"/>
                <w:snapToGrid/>
                <w:sz w:val="20"/>
              </w:rPr>
              <w:t xml:space="preserve"> million</w:t>
            </w:r>
            <w:r w:rsidR="00954713" w:rsidRPr="00CF3D88">
              <w:rPr>
                <w:rFonts w:ascii="Arial Narrow" w:hAnsi="Arial Narrow" w:cs="Times New Roman"/>
                <w:snapToGrid/>
                <w:sz w:val="20"/>
              </w:rPr>
              <w:t xml:space="preserve"> over the first 5 years of listing</w:t>
            </w:r>
            <w:r w:rsidR="00DA41EF" w:rsidRPr="00CF3D88">
              <w:rPr>
                <w:rFonts w:ascii="Arial Narrow" w:hAnsi="Arial Narrow" w:cs="Times New Roman"/>
                <w:snapToGrid/>
                <w:sz w:val="20"/>
              </w:rPr>
              <w:t>.</w:t>
            </w:r>
            <w:r w:rsidR="009A2241" w:rsidRPr="00CF3D88">
              <w:rPr>
                <w:rFonts w:ascii="Arial Narrow" w:hAnsi="Arial Narrow" w:cs="Times New Roman"/>
                <w:snapToGrid/>
                <w:sz w:val="20"/>
              </w:rPr>
              <w:t xml:space="preserve"> The increase was due to an extra </w:t>
            </w:r>
            <w:r w:rsidR="00BF69A1">
              <w:rPr>
                <w:rFonts w:ascii="Arial Narrow" w:hAnsi="Arial Narrow" w:cs="Times New Roman"/>
                <w:snapToGrid/>
                <w:sz w:val="20"/>
              </w:rPr>
              <w:t>less than 10,000</w:t>
            </w:r>
            <w:r w:rsidR="009A2241" w:rsidRPr="00CF3D88">
              <w:rPr>
                <w:rFonts w:ascii="Arial Narrow" w:hAnsi="Arial Narrow" w:cs="Times New Roman"/>
                <w:snapToGrid/>
                <w:sz w:val="20"/>
              </w:rPr>
              <w:t xml:space="preserve"> patients being included over 5 years, plus correction of the calculation of G-CSF costs.</w:t>
            </w:r>
          </w:p>
        </w:tc>
      </w:tr>
      <w:tr w:rsidR="00954713" w:rsidRPr="00CF3D88" w:rsidTr="002C7059">
        <w:trPr>
          <w:cantSplit/>
          <w:trHeight w:val="20"/>
        </w:trPr>
        <w:tc>
          <w:tcPr>
            <w:tcW w:w="1014"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br w:type="page"/>
              <w:t>PBAC decision</w:t>
            </w:r>
          </w:p>
        </w:tc>
        <w:tc>
          <w:tcPr>
            <w:tcW w:w="4089" w:type="dxa"/>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Rejected because the clinical place was not adequately defined, the cost-effectiveness estimate was not reliable, and the proposed restrictions would exclude groups of patients who would benefit from the drug.</w:t>
            </w:r>
          </w:p>
        </w:tc>
        <w:tc>
          <w:tcPr>
            <w:tcW w:w="3260" w:type="dxa"/>
          </w:tcPr>
          <w:p w:rsidR="00954713" w:rsidRPr="00CF3D88" w:rsidRDefault="00954713" w:rsidP="00954713">
            <w:pPr>
              <w:widowControl/>
              <w:jc w:val="left"/>
              <w:rPr>
                <w:rFonts w:ascii="Arial Narrow" w:hAnsi="Arial Narrow" w:cs="Times New Roman"/>
                <w:snapToGrid/>
                <w:color w:val="0000FF"/>
                <w:sz w:val="20"/>
              </w:rPr>
            </w:pPr>
            <w:r w:rsidRPr="00CF3D88">
              <w:rPr>
                <w:rFonts w:ascii="Arial Narrow" w:hAnsi="Arial Narrow" w:cs="Times New Roman"/>
                <w:snapToGrid/>
                <w:sz w:val="20"/>
              </w:rPr>
              <w:t>-</w:t>
            </w:r>
          </w:p>
        </w:tc>
      </w:tr>
    </w:tbl>
    <w:p w:rsidR="00954713" w:rsidRPr="00CF3D88" w:rsidRDefault="00954713" w:rsidP="00954713">
      <w:pPr>
        <w:ind w:firstLine="720"/>
        <w:rPr>
          <w:rFonts w:ascii="Arial Narrow" w:hAnsi="Arial Narrow"/>
          <w:i/>
          <w:sz w:val="18"/>
        </w:rPr>
      </w:pPr>
      <w:r w:rsidRPr="00CF3D88">
        <w:rPr>
          <w:rFonts w:ascii="Arial Narrow" w:hAnsi="Arial Narrow"/>
          <w:i/>
          <w:sz w:val="18"/>
        </w:rPr>
        <w:t>Source: Compiled during the evaluation</w:t>
      </w:r>
    </w:p>
    <w:p w:rsidR="00954713" w:rsidRPr="00CF3D88" w:rsidRDefault="00954713" w:rsidP="00954713">
      <w:pPr>
        <w:ind w:left="709"/>
        <w:rPr>
          <w:rFonts w:ascii="Arial Narrow" w:hAnsi="Arial Narrow"/>
          <w:sz w:val="18"/>
        </w:rPr>
      </w:pPr>
      <w:r w:rsidRPr="00CF3D88">
        <w:rPr>
          <w:rFonts w:ascii="Arial Narrow" w:hAnsi="Arial Narrow"/>
          <w:sz w:val="18"/>
        </w:rPr>
        <w:t xml:space="preserve">AEMP = approved ex-manufacturer price; ASCT = autologous stem cell transplant; BC = British Columbia; </w:t>
      </w:r>
      <w:r w:rsidR="002E1268" w:rsidRPr="00CF3D88">
        <w:rPr>
          <w:rFonts w:ascii="Arial Narrow" w:hAnsi="Arial Narrow"/>
          <w:sz w:val="18"/>
        </w:rPr>
        <w:t xml:space="preserve">G-CSF = granulocyte-colony stimulating factor; </w:t>
      </w:r>
      <w:r w:rsidRPr="00CF3D88">
        <w:rPr>
          <w:rFonts w:ascii="Arial Narrow" w:hAnsi="Arial Narrow"/>
          <w:sz w:val="18"/>
        </w:rPr>
        <w:t>ICER = incremental cost-effectiveness ratio; PAR = paragraph; QALY = quality-adjusted life-year; SCT = stem cell transplant; sALCL = systemic anaplastic large cell lymphoma</w:t>
      </w:r>
    </w:p>
    <w:p w:rsidR="00167CF3" w:rsidRPr="00CF3D88" w:rsidRDefault="00167CF3" w:rsidP="000747E5">
      <w:pPr>
        <w:widowControl/>
        <w:contextualSpacing/>
      </w:pPr>
    </w:p>
    <w:p w:rsidR="00954713" w:rsidRPr="00CF3D88" w:rsidRDefault="00954713" w:rsidP="009530DB">
      <w:pPr>
        <w:widowControl/>
        <w:numPr>
          <w:ilvl w:val="1"/>
          <w:numId w:val="2"/>
        </w:numPr>
        <w:contextualSpacing/>
      </w:pPr>
      <w:r w:rsidRPr="00CF3D88">
        <w:rPr>
          <w:szCs w:val="22"/>
        </w:rPr>
        <w:t>Brentuximab vedotin was recommended for listing by the PBAC in March 2014 for the treatment of adult patients with relapsed or refractory systemic anaplastic large cell lymphoma</w:t>
      </w:r>
      <w:r w:rsidR="002F5FCF">
        <w:rPr>
          <w:szCs w:val="22"/>
        </w:rPr>
        <w:t xml:space="preserve"> (sALCL) and was listed on the PBS on 1 December 2014.</w:t>
      </w:r>
    </w:p>
    <w:p w:rsidR="008C4BED" w:rsidRPr="00CF3D88" w:rsidRDefault="008C4BED" w:rsidP="008C4BED">
      <w:pPr>
        <w:pStyle w:val="ListParagraph"/>
        <w:widowControl/>
        <w:ind w:left="709"/>
        <w:rPr>
          <w:rFonts w:cs="Times New Roman"/>
          <w:i/>
          <w:snapToGrid/>
          <w:szCs w:val="22"/>
          <w:lang w:eastAsia="en-AU"/>
        </w:rPr>
      </w:pPr>
    </w:p>
    <w:p w:rsidR="008C4BED" w:rsidRPr="00CF3D88" w:rsidRDefault="008C4BED" w:rsidP="008C4BED">
      <w:pPr>
        <w:pStyle w:val="ListParagraph"/>
        <w:widowControl/>
        <w:ind w:left="709"/>
      </w:pPr>
      <w:r w:rsidRPr="00CF3D88">
        <w:rPr>
          <w:rFonts w:cs="Times New Roman"/>
          <w:i/>
          <w:snapToGrid/>
          <w:szCs w:val="22"/>
          <w:lang w:eastAsia="en-AU"/>
        </w:rPr>
        <w:t>For more detail on PBAC’s view, see section 7 “PBAC outcome”</w:t>
      </w:r>
      <w:r w:rsidR="0035195E">
        <w:rPr>
          <w:rFonts w:cs="Times New Roman"/>
          <w:i/>
          <w:snapToGrid/>
          <w:szCs w:val="22"/>
          <w:lang w:eastAsia="en-AU"/>
        </w:rPr>
        <w:t>.</w:t>
      </w:r>
    </w:p>
    <w:p w:rsidR="008C4BED" w:rsidRDefault="008C4BED" w:rsidP="008C4BED">
      <w:pPr>
        <w:widowControl/>
        <w:ind w:left="720"/>
        <w:contextualSpacing/>
      </w:pPr>
    </w:p>
    <w:p w:rsidR="00545BE9" w:rsidRPr="00CF3D88" w:rsidRDefault="00545BE9" w:rsidP="008C4BED">
      <w:pPr>
        <w:widowControl/>
        <w:ind w:left="720"/>
        <w:contextualSpacing/>
      </w:pPr>
    </w:p>
    <w:p w:rsidR="00954713" w:rsidRPr="00CF3D88" w:rsidRDefault="00954713" w:rsidP="007C49BB">
      <w:pPr>
        <w:pStyle w:val="PBACHeading1"/>
      </w:pPr>
      <w:bookmarkStart w:id="9" w:name="_Toc461607678"/>
      <w:r w:rsidRPr="00CF3D88">
        <w:t>Clinical place for the proposed therapy</w:t>
      </w:r>
      <w:bookmarkEnd w:id="9"/>
    </w:p>
    <w:p w:rsidR="00954713" w:rsidRPr="00CF3D88" w:rsidRDefault="00954713" w:rsidP="00954713">
      <w:pPr>
        <w:rPr>
          <w:szCs w:val="22"/>
        </w:rPr>
      </w:pPr>
    </w:p>
    <w:p w:rsidR="00954713" w:rsidRPr="00CF3D88" w:rsidRDefault="00954713" w:rsidP="009530DB">
      <w:pPr>
        <w:widowControl/>
        <w:numPr>
          <w:ilvl w:val="1"/>
          <w:numId w:val="2"/>
        </w:numPr>
        <w:contextualSpacing/>
        <w:rPr>
          <w:szCs w:val="22"/>
        </w:rPr>
      </w:pPr>
      <w:r w:rsidRPr="00CF3D88">
        <w:t xml:space="preserve">The </w:t>
      </w:r>
      <w:r w:rsidR="00A8064E" w:rsidRPr="00CF3D88">
        <w:t xml:space="preserve">resubmission </w:t>
      </w:r>
      <w:r w:rsidRPr="00CF3D88">
        <w:t xml:space="preserve">proposed that the place in therapy was for the treatment of patients with relapsed or refractory CD30+ Hodgkin lymphoma following ASCT. </w:t>
      </w:r>
      <w:r w:rsidR="0046561D" w:rsidRPr="00CF3D88">
        <w:t xml:space="preserve">The PBAC </w:t>
      </w:r>
      <w:r w:rsidR="00A8064E" w:rsidRPr="00CF3D88">
        <w:t xml:space="preserve">previously </w:t>
      </w:r>
      <w:r w:rsidR="0046561D" w:rsidRPr="00CF3D88">
        <w:t>considered that the restriction should allow use in relapsed/refractory patients at any line post ASCT. The PBAC noted that use in later-lines would diminish once the prevalent population has been treated.</w:t>
      </w:r>
    </w:p>
    <w:p w:rsidR="008C4BED" w:rsidRPr="00CF3D88" w:rsidRDefault="008C4BED" w:rsidP="008C4BED">
      <w:pPr>
        <w:pStyle w:val="ListParagraph"/>
        <w:widowControl/>
        <w:ind w:left="709"/>
        <w:rPr>
          <w:rFonts w:cs="Times New Roman"/>
          <w:i/>
          <w:snapToGrid/>
          <w:szCs w:val="22"/>
          <w:lang w:eastAsia="en-AU"/>
        </w:rPr>
      </w:pPr>
    </w:p>
    <w:p w:rsidR="008C4BED" w:rsidRPr="00CF3D88" w:rsidRDefault="008C4BED" w:rsidP="008C4BED">
      <w:pPr>
        <w:pStyle w:val="ListParagraph"/>
        <w:widowControl/>
        <w:ind w:left="709"/>
      </w:pPr>
      <w:r w:rsidRPr="00CF3D88">
        <w:rPr>
          <w:rFonts w:cs="Times New Roman"/>
          <w:i/>
          <w:snapToGrid/>
          <w:szCs w:val="22"/>
          <w:lang w:eastAsia="en-AU"/>
        </w:rPr>
        <w:t>For more detail on PBAC’s view, see section 7 “PBAC outcome”</w:t>
      </w:r>
      <w:r w:rsidR="00932D1E">
        <w:rPr>
          <w:rFonts w:cs="Times New Roman"/>
          <w:i/>
          <w:snapToGrid/>
          <w:szCs w:val="22"/>
          <w:lang w:eastAsia="en-AU"/>
        </w:rPr>
        <w:t>.</w:t>
      </w:r>
    </w:p>
    <w:p w:rsidR="00535532" w:rsidRDefault="00535532" w:rsidP="00954713">
      <w:pPr>
        <w:widowControl/>
        <w:ind w:left="720"/>
        <w:contextualSpacing/>
        <w:rPr>
          <w:szCs w:val="22"/>
        </w:rPr>
      </w:pPr>
    </w:p>
    <w:p w:rsidR="00535532" w:rsidRPr="00CF3D88" w:rsidRDefault="00535532" w:rsidP="00954713">
      <w:pPr>
        <w:widowControl/>
        <w:ind w:left="720"/>
        <w:contextualSpacing/>
        <w:rPr>
          <w:szCs w:val="22"/>
        </w:rPr>
      </w:pPr>
    </w:p>
    <w:p w:rsidR="00954713" w:rsidRPr="00CF3D88" w:rsidRDefault="00954713" w:rsidP="007C49BB">
      <w:pPr>
        <w:pStyle w:val="PBACHeading1"/>
      </w:pPr>
      <w:bookmarkStart w:id="10" w:name="_Toc461607679"/>
      <w:r w:rsidRPr="00CF3D88">
        <w:t>Comparator</w:t>
      </w:r>
      <w:bookmarkEnd w:id="10"/>
    </w:p>
    <w:p w:rsidR="00954713" w:rsidRPr="00CF3D88" w:rsidRDefault="00954713" w:rsidP="00954713"/>
    <w:p w:rsidR="00954713" w:rsidRPr="00CF3D88" w:rsidRDefault="00A8064E" w:rsidP="009530DB">
      <w:pPr>
        <w:widowControl/>
        <w:numPr>
          <w:ilvl w:val="1"/>
          <w:numId w:val="2"/>
        </w:numPr>
        <w:contextualSpacing/>
        <w:rPr>
          <w:szCs w:val="22"/>
        </w:rPr>
      </w:pPr>
      <w:r w:rsidRPr="00CF3D88">
        <w:t>Consistent with</w:t>
      </w:r>
      <w:r w:rsidR="00CA0769" w:rsidRPr="00CF3D88">
        <w:t xml:space="preserve"> </w:t>
      </w:r>
      <w:r w:rsidR="009F2BFF" w:rsidRPr="00CF3D88">
        <w:t xml:space="preserve">the </w:t>
      </w:r>
      <w:r w:rsidR="00CA0769" w:rsidRPr="00CF3D88">
        <w:t xml:space="preserve">previous submission, the </w:t>
      </w:r>
      <w:r w:rsidRPr="00CF3D88">
        <w:t xml:space="preserve">resubmission </w:t>
      </w:r>
      <w:r w:rsidR="00CA0769" w:rsidRPr="00CF3D88">
        <w:t xml:space="preserve">nominated both the chemotherapy combination of gemcitabine + vinorelbine and best supportive care/palliative care as the relative main comparators to brentuximab vedotin. </w:t>
      </w:r>
      <w:r w:rsidR="00954713" w:rsidRPr="00CF3D88">
        <w:t xml:space="preserve"> This was previously considered appropriate by the PBAC. However, the range of therapies encompassed by best supportive care and palliative care was expanded </w:t>
      </w:r>
      <w:r w:rsidR="00CA0769" w:rsidRPr="00CF3D88">
        <w:t xml:space="preserve">in the </w:t>
      </w:r>
      <w:r w:rsidRPr="00CF3D88">
        <w:t xml:space="preserve">resubmission </w:t>
      </w:r>
      <w:r w:rsidR="00954713" w:rsidRPr="00CF3D88">
        <w:t>to include single chemotherapy and anti-tumour steroid regimens.</w:t>
      </w:r>
      <w:r w:rsidR="000711DE" w:rsidRPr="00CF3D88">
        <w:t xml:space="preserve"> Thus, the </w:t>
      </w:r>
      <w:r w:rsidRPr="00CF3D88">
        <w:t xml:space="preserve">resubmission </w:t>
      </w:r>
      <w:r w:rsidR="000711DE" w:rsidRPr="00CF3D88">
        <w:t>used a mixed comparator of gemcitabine + vinorelbine, single chemotherapy and anti-tumour steroid regimens, which it referred to as “salvage chemotherapy”.</w:t>
      </w:r>
      <w:r w:rsidR="00954713" w:rsidRPr="00CF3D88">
        <w:t xml:space="preserve"> This was reasonable.</w:t>
      </w:r>
    </w:p>
    <w:p w:rsidR="00954713" w:rsidRPr="00CF3D88" w:rsidRDefault="00954713" w:rsidP="00954713"/>
    <w:p w:rsidR="008C4BED" w:rsidRPr="00CF3D88" w:rsidRDefault="008C4BED" w:rsidP="008C4BED">
      <w:pPr>
        <w:rPr>
          <w:i/>
        </w:rPr>
      </w:pPr>
      <w:r w:rsidRPr="00CF3D88">
        <w:rPr>
          <w:i/>
        </w:rPr>
        <w:t>For more detail on PBAC’s view, see section 7 “PBAC outcome”</w:t>
      </w:r>
      <w:r w:rsidR="00932D1E">
        <w:rPr>
          <w:i/>
        </w:rPr>
        <w:t>.</w:t>
      </w:r>
    </w:p>
    <w:p w:rsidR="008C4BED" w:rsidRPr="00CF3D88" w:rsidRDefault="008C4BED" w:rsidP="008C4BED"/>
    <w:p w:rsidR="003948DD" w:rsidRPr="00CF3D88" w:rsidRDefault="003948DD" w:rsidP="00954713"/>
    <w:p w:rsidR="00954713" w:rsidRPr="00CF3D88" w:rsidRDefault="00954713" w:rsidP="007C49BB">
      <w:pPr>
        <w:pStyle w:val="PBACHeading1"/>
      </w:pPr>
      <w:bookmarkStart w:id="11" w:name="_Toc461607680"/>
      <w:r w:rsidRPr="00CF3D88">
        <w:t>Consideration of the evidence</w:t>
      </w:r>
      <w:bookmarkEnd w:id="11"/>
    </w:p>
    <w:p w:rsidR="00954713" w:rsidRPr="00CF3D88" w:rsidRDefault="00954713" w:rsidP="00954713">
      <w:pPr>
        <w:widowControl/>
        <w:ind w:left="720"/>
        <w:jc w:val="left"/>
        <w:rPr>
          <w:b/>
          <w:szCs w:val="22"/>
        </w:rPr>
      </w:pPr>
    </w:p>
    <w:p w:rsidR="008B42F0" w:rsidRPr="000C3D5D" w:rsidRDefault="008B42F0" w:rsidP="00274CB0">
      <w:pPr>
        <w:outlineLvl w:val="1"/>
        <w:rPr>
          <w:b/>
          <w:i/>
        </w:rPr>
      </w:pPr>
      <w:bookmarkStart w:id="12" w:name="_Toc461532374"/>
      <w:r w:rsidRPr="000C3D5D">
        <w:rPr>
          <w:b/>
          <w:i/>
        </w:rPr>
        <w:t>Sponsor hearing</w:t>
      </w:r>
    </w:p>
    <w:p w:rsidR="00274CB0" w:rsidRPr="00CF3D88" w:rsidRDefault="00274CB0" w:rsidP="00D45673">
      <w:pPr>
        <w:rPr>
          <w:b/>
        </w:rPr>
      </w:pPr>
    </w:p>
    <w:p w:rsidR="002D2BE3" w:rsidRPr="00CF3D88" w:rsidRDefault="002D2BE3" w:rsidP="002D2BE3">
      <w:pPr>
        <w:numPr>
          <w:ilvl w:val="1"/>
          <w:numId w:val="2"/>
        </w:numPr>
        <w:contextualSpacing/>
        <w:rPr>
          <w:bCs/>
          <w:szCs w:val="22"/>
        </w:rPr>
      </w:pPr>
      <w:r w:rsidRPr="00CF3D88">
        <w:rPr>
          <w:bCs/>
          <w:szCs w:val="22"/>
        </w:rPr>
        <w:t xml:space="preserve">The sponsor requested a hearing for this item.  At the hearing, a haematologist presented clinical case studies to </w:t>
      </w:r>
      <w:r w:rsidR="00984189" w:rsidRPr="00CF3D88">
        <w:rPr>
          <w:bCs/>
          <w:szCs w:val="22"/>
        </w:rPr>
        <w:t>support</w:t>
      </w:r>
      <w:r w:rsidRPr="00CF3D88">
        <w:rPr>
          <w:bCs/>
          <w:szCs w:val="22"/>
        </w:rPr>
        <w:t xml:space="preserve"> the effectiveness of brentuximab vedotin in providing a ‘bridge’ to an allogeneic stem cell transplant for </w:t>
      </w:r>
      <w:r w:rsidR="009B0180" w:rsidRPr="00CF3D88">
        <w:rPr>
          <w:bCs/>
          <w:szCs w:val="22"/>
        </w:rPr>
        <w:t xml:space="preserve">a </w:t>
      </w:r>
      <w:r w:rsidRPr="00CF3D88">
        <w:rPr>
          <w:bCs/>
          <w:szCs w:val="22"/>
        </w:rPr>
        <w:t>young patient, and addressed other matters in response to the Committee’s questions.  The PBAC considered that the hearing was informative as it provided a clinical perspective on the benefits of brentuximab vedotin with relapsed HL</w:t>
      </w:r>
      <w:r w:rsidR="009B0180" w:rsidRPr="00CF3D88">
        <w:rPr>
          <w:bCs/>
          <w:szCs w:val="22"/>
        </w:rPr>
        <w:t xml:space="preserve"> post ASCT</w:t>
      </w:r>
      <w:r w:rsidRPr="00CF3D88">
        <w:rPr>
          <w:bCs/>
          <w:szCs w:val="22"/>
        </w:rPr>
        <w:t>.</w:t>
      </w:r>
    </w:p>
    <w:p w:rsidR="008B42F0" w:rsidRPr="00CF3D88" w:rsidRDefault="008B42F0" w:rsidP="008B42F0">
      <w:pPr>
        <w:rPr>
          <w:bCs/>
          <w:szCs w:val="22"/>
          <w:highlight w:val="yellow"/>
        </w:rPr>
      </w:pPr>
    </w:p>
    <w:p w:rsidR="008B42F0" w:rsidRPr="00CF3D88" w:rsidRDefault="008B42F0" w:rsidP="008B42F0">
      <w:pPr>
        <w:rPr>
          <w:bCs/>
          <w:szCs w:val="22"/>
          <w:highlight w:val="yellow"/>
        </w:rPr>
      </w:pPr>
    </w:p>
    <w:p w:rsidR="008B42F0" w:rsidRPr="000C3D5D" w:rsidRDefault="008B42F0" w:rsidP="00274CB0">
      <w:pPr>
        <w:outlineLvl w:val="1"/>
        <w:rPr>
          <w:b/>
          <w:i/>
        </w:rPr>
      </w:pPr>
      <w:r w:rsidRPr="000C3D5D">
        <w:rPr>
          <w:b/>
          <w:i/>
        </w:rPr>
        <w:t>Consumer comments</w:t>
      </w:r>
    </w:p>
    <w:p w:rsidR="00274CB0" w:rsidRPr="00CF3D88" w:rsidRDefault="00274CB0" w:rsidP="00D45673">
      <w:pPr>
        <w:widowControl/>
        <w:ind w:left="720"/>
        <w:contextualSpacing/>
        <w:rPr>
          <w:b/>
        </w:rPr>
      </w:pPr>
    </w:p>
    <w:p w:rsidR="008B42F0" w:rsidRPr="00CF3D88" w:rsidRDefault="008B42F0" w:rsidP="008B42F0">
      <w:pPr>
        <w:numPr>
          <w:ilvl w:val="1"/>
          <w:numId w:val="2"/>
        </w:numPr>
        <w:contextualSpacing/>
        <w:rPr>
          <w:bCs/>
          <w:szCs w:val="22"/>
        </w:rPr>
      </w:pPr>
      <w:r w:rsidRPr="00CF3D88">
        <w:rPr>
          <w:bCs/>
          <w:szCs w:val="22"/>
        </w:rPr>
        <w:t>The PBAC noted and welcomed the input from individuals (</w:t>
      </w:r>
      <w:r w:rsidR="005A665A" w:rsidRPr="00CF3D88">
        <w:rPr>
          <w:bCs/>
          <w:szCs w:val="22"/>
        </w:rPr>
        <w:t>8</w:t>
      </w:r>
      <w:r w:rsidRPr="00CF3D88">
        <w:rPr>
          <w:bCs/>
          <w:szCs w:val="22"/>
        </w:rPr>
        <w:t>), health professionals (</w:t>
      </w:r>
      <w:r w:rsidR="005A665A" w:rsidRPr="00CF3D88">
        <w:rPr>
          <w:bCs/>
          <w:szCs w:val="22"/>
        </w:rPr>
        <w:t>5</w:t>
      </w:r>
      <w:r w:rsidRPr="00CF3D88">
        <w:rPr>
          <w:bCs/>
          <w:szCs w:val="22"/>
        </w:rPr>
        <w:t xml:space="preserve">) and organisations (3) via the Consumer Comments facility on the PBS website.  The comments highlighted the tolerability of brentuximab vedotin in heavily pre-treated patients and its </w:t>
      </w:r>
      <w:r w:rsidR="00035AD3" w:rsidRPr="00CF3D88">
        <w:rPr>
          <w:bCs/>
          <w:szCs w:val="22"/>
        </w:rPr>
        <w:t>effectiveness</w:t>
      </w:r>
      <w:r w:rsidR="005A665A" w:rsidRPr="00CF3D88">
        <w:rPr>
          <w:bCs/>
          <w:szCs w:val="22"/>
        </w:rPr>
        <w:t xml:space="preserve"> in patients post ASCT-failure</w:t>
      </w:r>
      <w:r w:rsidRPr="00CF3D88">
        <w:rPr>
          <w:bCs/>
          <w:szCs w:val="22"/>
        </w:rPr>
        <w:t>.</w:t>
      </w:r>
    </w:p>
    <w:p w:rsidR="008B42F0" w:rsidRPr="00CF3D88" w:rsidRDefault="008B42F0" w:rsidP="008B42F0">
      <w:pPr>
        <w:contextualSpacing/>
        <w:rPr>
          <w:bCs/>
          <w:szCs w:val="22"/>
        </w:rPr>
      </w:pPr>
    </w:p>
    <w:p w:rsidR="008B42F0" w:rsidRPr="00CF3D88" w:rsidRDefault="008B42F0" w:rsidP="008B42F0">
      <w:pPr>
        <w:numPr>
          <w:ilvl w:val="1"/>
          <w:numId w:val="2"/>
        </w:numPr>
        <w:contextualSpacing/>
        <w:rPr>
          <w:bCs/>
          <w:szCs w:val="22"/>
        </w:rPr>
      </w:pPr>
      <w:r w:rsidRPr="00CF3D88">
        <w:rPr>
          <w:bCs/>
          <w:szCs w:val="22"/>
        </w:rPr>
        <w:t xml:space="preserve">The PBAC noted advice from </w:t>
      </w:r>
      <w:r w:rsidR="00035AD3" w:rsidRPr="00CF3D88">
        <w:rPr>
          <w:bCs/>
          <w:szCs w:val="22"/>
        </w:rPr>
        <w:t xml:space="preserve">both Lymphoma Australia and the </w:t>
      </w:r>
      <w:r w:rsidRPr="00CF3D88">
        <w:rPr>
          <w:bCs/>
          <w:szCs w:val="22"/>
        </w:rPr>
        <w:t>Leukaemia Foundation that brentuximab vedotin is well tolerated and provides an improved quality of life to patients with H</w:t>
      </w:r>
      <w:r w:rsidR="00977BF9" w:rsidRPr="00CF3D88">
        <w:rPr>
          <w:bCs/>
          <w:szCs w:val="22"/>
        </w:rPr>
        <w:t>odgkin lymphoma</w:t>
      </w:r>
      <w:r w:rsidRPr="00CF3D88">
        <w:rPr>
          <w:bCs/>
          <w:szCs w:val="22"/>
        </w:rPr>
        <w:t xml:space="preserve">. The PBAC also noted Rare Cancer Australia’s support for PBS listing of brentuximab vedotin. The PBAC noted that this </w:t>
      </w:r>
      <w:r w:rsidRPr="00CF3D88">
        <w:rPr>
          <w:bCs/>
          <w:szCs w:val="22"/>
        </w:rPr>
        <w:lastRenderedPageBreak/>
        <w:t xml:space="preserve">advice </w:t>
      </w:r>
      <w:r w:rsidR="009B0180" w:rsidRPr="00CF3D88">
        <w:rPr>
          <w:bCs/>
          <w:szCs w:val="22"/>
        </w:rPr>
        <w:t>was</w:t>
      </w:r>
      <w:r w:rsidRPr="00CF3D88">
        <w:rPr>
          <w:bCs/>
          <w:szCs w:val="22"/>
        </w:rPr>
        <w:t xml:space="preserve"> of the evidence provided in the submission.</w:t>
      </w:r>
    </w:p>
    <w:p w:rsidR="008C4BED" w:rsidRPr="00CF3D88" w:rsidRDefault="008C4BED" w:rsidP="005A665A">
      <w:pPr>
        <w:widowControl/>
        <w:ind w:left="720"/>
        <w:contextualSpacing/>
        <w:rPr>
          <w:b/>
        </w:rPr>
      </w:pPr>
    </w:p>
    <w:p w:rsidR="00954713" w:rsidRPr="000C3D5D" w:rsidRDefault="00954713" w:rsidP="00954713">
      <w:pPr>
        <w:outlineLvl w:val="1"/>
        <w:rPr>
          <w:b/>
          <w:i/>
        </w:rPr>
      </w:pPr>
      <w:r w:rsidRPr="000C3D5D">
        <w:rPr>
          <w:b/>
          <w:i/>
        </w:rPr>
        <w:t>Clinical trials</w:t>
      </w:r>
      <w:bookmarkEnd w:id="12"/>
    </w:p>
    <w:p w:rsidR="00954713" w:rsidRPr="00CF3D88" w:rsidRDefault="00954713" w:rsidP="00954713">
      <w:pPr>
        <w:rPr>
          <w:szCs w:val="22"/>
        </w:rPr>
      </w:pPr>
    </w:p>
    <w:p w:rsidR="00954713" w:rsidRPr="00CF3D88" w:rsidRDefault="00E23C0A" w:rsidP="009530DB">
      <w:pPr>
        <w:widowControl/>
        <w:numPr>
          <w:ilvl w:val="1"/>
          <w:numId w:val="2"/>
        </w:numPr>
        <w:contextualSpacing/>
        <w:rPr>
          <w:szCs w:val="22"/>
        </w:rPr>
      </w:pPr>
      <w:r w:rsidRPr="00CF3D88">
        <w:rPr>
          <w:szCs w:val="24"/>
        </w:rPr>
        <w:t>N</w:t>
      </w:r>
      <w:r w:rsidR="00954713" w:rsidRPr="00CF3D88">
        <w:rPr>
          <w:szCs w:val="24"/>
        </w:rPr>
        <w:t xml:space="preserve">o direct randomised trials were identified in the relevant population. </w:t>
      </w:r>
      <w:r w:rsidR="00942A77" w:rsidRPr="00CF3D88">
        <w:rPr>
          <w:szCs w:val="24"/>
        </w:rPr>
        <w:t>The</w:t>
      </w:r>
      <w:r w:rsidR="00954713" w:rsidRPr="00CF3D88">
        <w:rPr>
          <w:szCs w:val="24"/>
        </w:rPr>
        <w:t xml:space="preserve"> </w:t>
      </w:r>
      <w:r w:rsidR="00A8064E" w:rsidRPr="00CF3D88">
        <w:rPr>
          <w:szCs w:val="24"/>
        </w:rPr>
        <w:t xml:space="preserve">resubmission </w:t>
      </w:r>
      <w:r w:rsidR="00942A77" w:rsidRPr="00CF3D88">
        <w:rPr>
          <w:szCs w:val="24"/>
        </w:rPr>
        <w:t>continued to use a</w:t>
      </w:r>
      <w:r w:rsidR="00954713" w:rsidRPr="00CF3D88">
        <w:rPr>
          <w:szCs w:val="24"/>
        </w:rPr>
        <w:t xml:space="preserve"> naïve comparison in the first-line post ASCT setting</w:t>
      </w:r>
      <w:r w:rsidR="00954713" w:rsidRPr="00CF3D88">
        <w:t xml:space="preserve"> </w:t>
      </w:r>
      <w:r w:rsidR="00954713" w:rsidRPr="00CF3D88">
        <w:rPr>
          <w:szCs w:val="24"/>
        </w:rPr>
        <w:t xml:space="preserve">for the key efficacy assessment and to inform the economic model. The sources of evidence </w:t>
      </w:r>
      <w:r w:rsidR="002E1268" w:rsidRPr="00CF3D88">
        <w:rPr>
          <w:szCs w:val="24"/>
        </w:rPr>
        <w:t xml:space="preserve">for the naïve comparison </w:t>
      </w:r>
      <w:r w:rsidR="00954713" w:rsidRPr="00CF3D88">
        <w:rPr>
          <w:szCs w:val="24"/>
        </w:rPr>
        <w:t>remained Study</w:t>
      </w:r>
      <w:r w:rsidR="00535EDA" w:rsidRPr="00CF3D88">
        <w:rPr>
          <w:szCs w:val="24"/>
        </w:rPr>
        <w:t xml:space="preserve"> </w:t>
      </w:r>
      <w:r w:rsidR="00954713" w:rsidRPr="00CF3D88">
        <w:rPr>
          <w:szCs w:val="24"/>
        </w:rPr>
        <w:t>0003, the British Columbia Registry and Kaloyannidis 2012 (Greek registry), with the addition of patient level follow-up data from a new study, AETHERA</w:t>
      </w:r>
      <w:r w:rsidR="006E3C93" w:rsidRPr="00CF3D88">
        <w:rPr>
          <w:szCs w:val="24"/>
        </w:rPr>
        <w:t xml:space="preserve"> (Table </w:t>
      </w:r>
      <w:r w:rsidR="001E38B8" w:rsidRPr="00CF3D88">
        <w:rPr>
          <w:szCs w:val="24"/>
        </w:rPr>
        <w:t>2</w:t>
      </w:r>
      <w:r w:rsidR="006E3C93" w:rsidRPr="00CF3D88">
        <w:rPr>
          <w:szCs w:val="24"/>
        </w:rPr>
        <w:t>)</w:t>
      </w:r>
      <w:r w:rsidR="00954713" w:rsidRPr="00CF3D88">
        <w:rPr>
          <w:szCs w:val="24"/>
        </w:rPr>
        <w:t>.</w:t>
      </w:r>
    </w:p>
    <w:p w:rsidR="00954713" w:rsidRPr="00CF3D88" w:rsidRDefault="00954713" w:rsidP="00954713">
      <w:pPr>
        <w:widowControl/>
        <w:ind w:left="720"/>
        <w:contextualSpacing/>
        <w:rPr>
          <w:szCs w:val="22"/>
        </w:rPr>
      </w:pPr>
    </w:p>
    <w:p w:rsidR="006E3C93" w:rsidRPr="00CF3D88" w:rsidRDefault="006E3C93" w:rsidP="00BD3814">
      <w:pPr>
        <w:keepNext/>
        <w:keepLines/>
        <w:widowControl/>
        <w:ind w:left="720"/>
        <w:jc w:val="left"/>
        <w:rPr>
          <w:rFonts w:ascii="Arial Narrow" w:hAnsi="Arial Narrow" w:cs="Times New Roman"/>
          <w:b/>
          <w:snapToGrid/>
          <w:sz w:val="20"/>
        </w:rPr>
      </w:pPr>
      <w:r w:rsidRPr="00CF3D88">
        <w:rPr>
          <w:rFonts w:ascii="Arial Narrow" w:hAnsi="Arial Narrow" w:cs="Times New Roman"/>
          <w:b/>
          <w:snapToGrid/>
          <w:sz w:val="20"/>
        </w:rPr>
        <w:t xml:space="preserve">Table </w:t>
      </w:r>
      <w:r w:rsidR="001E38B8" w:rsidRPr="00CF3D88">
        <w:rPr>
          <w:rFonts w:ascii="Arial Narrow" w:hAnsi="Arial Narrow" w:cs="Times New Roman"/>
          <w:b/>
          <w:snapToGrid/>
          <w:sz w:val="20"/>
        </w:rPr>
        <w:t>2</w:t>
      </w:r>
      <w:r w:rsidRPr="00CF3D88">
        <w:rPr>
          <w:rFonts w:ascii="Arial Narrow" w:hAnsi="Arial Narrow" w:cs="Times New Roman"/>
          <w:b/>
          <w:snapToGrid/>
          <w:sz w:val="20"/>
        </w:rPr>
        <w:t xml:space="preserve">: Key clinical evidence in the </w:t>
      </w:r>
      <w:r w:rsidR="00A8064E" w:rsidRPr="00CF3D88">
        <w:rPr>
          <w:rFonts w:ascii="Arial Narrow" w:hAnsi="Arial Narrow" w:cs="Times New Roman"/>
          <w:b/>
          <w:snapToGrid/>
          <w:sz w:val="20"/>
        </w:rPr>
        <w:t>resubmission</w:t>
      </w:r>
      <w:r w:rsidRPr="00CF3D88">
        <w:rPr>
          <w:rFonts w:ascii="Arial Narrow" w:hAnsi="Arial Narrow" w:cs="Times New Roman"/>
          <w:b/>
          <w:snapToGrid/>
          <w:sz w:val="20"/>
        </w:rPr>
        <w:t>: naïve comparison in the</w:t>
      </w:r>
      <w:r w:rsidRPr="00CF3D88">
        <w:rPr>
          <w:rFonts w:ascii="Arial Narrow" w:hAnsi="Arial Narrow" w:cs="Times New Roman"/>
          <w:snapToGrid/>
          <w:sz w:val="20"/>
        </w:rPr>
        <w:t xml:space="preserve"> </w:t>
      </w:r>
      <w:r w:rsidRPr="00CF3D88">
        <w:rPr>
          <w:rFonts w:ascii="Arial Narrow" w:hAnsi="Arial Narrow" w:cs="Times New Roman"/>
          <w:b/>
          <w:snapToGrid/>
          <w:sz w:val="20"/>
        </w:rPr>
        <w:t>first-line post ASCT population</w:t>
      </w:r>
    </w:p>
    <w:tbl>
      <w:tblPr>
        <w:tblStyle w:val="TableGrid"/>
        <w:tblW w:w="4594" w:type="pct"/>
        <w:tblInd w:w="737" w:type="dxa"/>
        <w:tblLayout w:type="fixed"/>
        <w:tblCellMar>
          <w:left w:w="28" w:type="dxa"/>
          <w:right w:w="28" w:type="dxa"/>
        </w:tblCellMar>
        <w:tblLook w:val="04A0" w:firstRow="1" w:lastRow="0" w:firstColumn="1" w:lastColumn="0" w:noHBand="0" w:noVBand="1"/>
        <w:tblCaption w:val="Table 2: Key clinical evidence in the resubmission: naïve comparison in the first-line post ASCT population"/>
      </w:tblPr>
      <w:tblGrid>
        <w:gridCol w:w="1134"/>
        <w:gridCol w:w="1020"/>
        <w:gridCol w:w="4877"/>
        <w:gridCol w:w="58"/>
        <w:gridCol w:w="774"/>
        <w:gridCol w:w="482"/>
      </w:tblGrid>
      <w:tr w:rsidR="006E3C93" w:rsidRPr="00CF3D88" w:rsidTr="00BD3814">
        <w:trPr>
          <w:cantSplit/>
          <w:trHeight w:val="107"/>
          <w:tblHeader/>
        </w:trPr>
        <w:tc>
          <w:tcPr>
            <w:tcW w:w="679" w:type="pct"/>
            <w:vMerge w:val="restart"/>
            <w:tcBorders>
              <w:top w:val="single" w:sz="4" w:space="0" w:color="auto"/>
              <w:left w:val="single" w:sz="4" w:space="0" w:color="auto"/>
              <w:bottom w:val="single" w:sz="4" w:space="0" w:color="auto"/>
              <w:right w:val="single" w:sz="4" w:space="0" w:color="auto"/>
            </w:tcBorders>
            <w:vAlign w:val="center"/>
            <w:hideMark/>
          </w:tcPr>
          <w:p w:rsidR="006E3C93" w:rsidRPr="00CF3D88" w:rsidRDefault="006E3C93" w:rsidP="00BD3814">
            <w:pPr>
              <w:keepNext/>
              <w:widowControl/>
              <w:jc w:val="left"/>
              <w:rPr>
                <w:rFonts w:ascii="Arial Narrow" w:hAnsi="Arial Narrow" w:cs="Times New Roman"/>
                <w:b/>
                <w:snapToGrid/>
                <w:sz w:val="20"/>
              </w:rPr>
            </w:pPr>
            <w:r w:rsidRPr="00CF3D88">
              <w:rPr>
                <w:rFonts w:ascii="Arial Narrow" w:hAnsi="Arial Narrow" w:cs="Times New Roman"/>
                <w:b/>
                <w:snapToGrid/>
                <w:sz w:val="20"/>
              </w:rPr>
              <w:t>Study</w:t>
            </w:r>
          </w:p>
        </w:tc>
        <w:tc>
          <w:tcPr>
            <w:tcW w:w="611" w:type="pct"/>
            <w:tcBorders>
              <w:top w:val="single" w:sz="4" w:space="0" w:color="auto"/>
              <w:left w:val="single" w:sz="4" w:space="0" w:color="auto"/>
              <w:bottom w:val="single" w:sz="4" w:space="0" w:color="auto"/>
              <w:right w:val="single" w:sz="4" w:space="0" w:color="auto"/>
            </w:tcBorders>
            <w:hideMark/>
          </w:tcPr>
          <w:p w:rsidR="006E3C93" w:rsidRPr="00CF3D88" w:rsidRDefault="006E3C93" w:rsidP="00BD3814">
            <w:pPr>
              <w:keepNext/>
              <w:widowControl/>
              <w:jc w:val="center"/>
              <w:rPr>
                <w:rFonts w:ascii="Arial Narrow" w:hAnsi="Arial Narrow" w:cs="Times New Roman"/>
                <w:b/>
                <w:snapToGrid/>
                <w:sz w:val="20"/>
              </w:rPr>
            </w:pPr>
            <w:r w:rsidRPr="00CF3D88">
              <w:rPr>
                <w:rFonts w:ascii="Arial Narrow" w:hAnsi="Arial Narrow" w:cs="Times New Roman"/>
                <w:b/>
                <w:snapToGrid/>
                <w:sz w:val="20"/>
              </w:rPr>
              <w:t>Previous submission</w:t>
            </w:r>
          </w:p>
        </w:tc>
        <w:tc>
          <w:tcPr>
            <w:tcW w:w="3709" w:type="pct"/>
            <w:gridSpan w:val="4"/>
            <w:tcBorders>
              <w:top w:val="single" w:sz="4" w:space="0" w:color="auto"/>
              <w:left w:val="single" w:sz="4" w:space="0" w:color="auto"/>
              <w:bottom w:val="single" w:sz="4" w:space="0" w:color="auto"/>
              <w:right w:val="single" w:sz="4" w:space="0" w:color="auto"/>
            </w:tcBorders>
            <w:vAlign w:val="center"/>
            <w:hideMark/>
          </w:tcPr>
          <w:p w:rsidR="006E3C93" w:rsidRPr="00CF3D88" w:rsidRDefault="00A8064E" w:rsidP="00BD3814">
            <w:pPr>
              <w:keepNext/>
              <w:widowControl/>
              <w:jc w:val="center"/>
              <w:rPr>
                <w:rFonts w:ascii="Arial Narrow" w:hAnsi="Arial Narrow" w:cs="Times New Roman"/>
                <w:b/>
                <w:snapToGrid/>
                <w:sz w:val="20"/>
              </w:rPr>
            </w:pPr>
            <w:r w:rsidRPr="00CF3D88">
              <w:rPr>
                <w:rFonts w:ascii="Arial Narrow" w:hAnsi="Arial Narrow" w:cs="Times New Roman"/>
                <w:b/>
                <w:snapToGrid/>
                <w:sz w:val="20"/>
              </w:rPr>
              <w:t>Resubmission</w:t>
            </w:r>
          </w:p>
        </w:tc>
      </w:tr>
      <w:tr w:rsidR="006E3C93" w:rsidRPr="00CF3D88" w:rsidTr="00BD3814">
        <w:trPr>
          <w:cantSplit/>
          <w:trHeight w:val="107"/>
          <w:tblHeader/>
        </w:trPr>
        <w:tc>
          <w:tcPr>
            <w:tcW w:w="679" w:type="pct"/>
            <w:vMerge/>
            <w:tcBorders>
              <w:top w:val="single" w:sz="4" w:space="0" w:color="auto"/>
              <w:left w:val="single" w:sz="4" w:space="0" w:color="auto"/>
              <w:bottom w:val="single" w:sz="4" w:space="0" w:color="auto"/>
              <w:right w:val="single" w:sz="4" w:space="0" w:color="auto"/>
            </w:tcBorders>
            <w:vAlign w:val="center"/>
            <w:hideMark/>
          </w:tcPr>
          <w:p w:rsidR="006E3C93" w:rsidRPr="00CF3D88" w:rsidRDefault="006E3C93">
            <w:pPr>
              <w:keepNext/>
              <w:widowControl/>
              <w:jc w:val="left"/>
              <w:rPr>
                <w:rFonts w:ascii="Arial Narrow" w:hAnsi="Arial Narrow" w:cs="Times New Roman"/>
                <w:b/>
                <w:snapToGrid/>
                <w:sz w:val="20"/>
              </w:rPr>
            </w:pPr>
          </w:p>
        </w:tc>
        <w:tc>
          <w:tcPr>
            <w:tcW w:w="611" w:type="pct"/>
            <w:tcBorders>
              <w:top w:val="single" w:sz="4" w:space="0" w:color="auto"/>
              <w:left w:val="single" w:sz="4" w:space="0" w:color="auto"/>
              <w:bottom w:val="single" w:sz="4" w:space="0" w:color="auto"/>
              <w:right w:val="single" w:sz="4" w:space="0" w:color="auto"/>
            </w:tcBorders>
            <w:hideMark/>
          </w:tcPr>
          <w:p w:rsidR="006E3C93" w:rsidRPr="00CF3D88" w:rsidRDefault="006E3C93" w:rsidP="00BD3814">
            <w:pPr>
              <w:keepNext/>
              <w:widowControl/>
              <w:jc w:val="center"/>
              <w:rPr>
                <w:rFonts w:ascii="Arial Narrow" w:hAnsi="Arial Narrow" w:cs="Times New Roman"/>
                <w:b/>
                <w:snapToGrid/>
                <w:sz w:val="20"/>
              </w:rPr>
            </w:pPr>
            <w:r w:rsidRPr="00CF3D88">
              <w:rPr>
                <w:rFonts w:ascii="Arial Narrow" w:hAnsi="Arial Narrow" w:cs="Times New Roman"/>
                <w:b/>
                <w:snapToGrid/>
                <w:sz w:val="20"/>
              </w:rPr>
              <w:t>n</w:t>
            </w:r>
          </w:p>
        </w:tc>
        <w:tc>
          <w:tcPr>
            <w:tcW w:w="2956" w:type="pct"/>
            <w:gridSpan w:val="2"/>
            <w:tcBorders>
              <w:top w:val="single" w:sz="4" w:space="0" w:color="auto"/>
              <w:left w:val="single" w:sz="4" w:space="0" w:color="auto"/>
              <w:bottom w:val="single" w:sz="4" w:space="0" w:color="auto"/>
              <w:right w:val="single" w:sz="4" w:space="0" w:color="auto"/>
            </w:tcBorders>
            <w:hideMark/>
          </w:tcPr>
          <w:p w:rsidR="006E3C93" w:rsidRPr="00CF3D88" w:rsidRDefault="006E3C93" w:rsidP="00BD3814">
            <w:pPr>
              <w:keepNext/>
              <w:widowControl/>
              <w:jc w:val="center"/>
              <w:rPr>
                <w:rFonts w:ascii="Arial Narrow" w:hAnsi="Arial Narrow" w:cs="Times New Roman"/>
                <w:b/>
                <w:snapToGrid/>
                <w:sz w:val="20"/>
              </w:rPr>
            </w:pPr>
            <w:r w:rsidRPr="00CF3D88">
              <w:rPr>
                <w:rFonts w:ascii="Arial Narrow" w:hAnsi="Arial Narrow" w:cs="Times New Roman"/>
                <w:b/>
                <w:snapToGrid/>
                <w:sz w:val="20"/>
              </w:rPr>
              <w:t xml:space="preserve">This </w:t>
            </w:r>
            <w:r w:rsidR="00A8064E" w:rsidRPr="00CF3D88">
              <w:rPr>
                <w:rFonts w:ascii="Arial Narrow" w:hAnsi="Arial Narrow" w:cs="Times New Roman"/>
                <w:b/>
                <w:snapToGrid/>
                <w:sz w:val="20"/>
              </w:rPr>
              <w:t>resubmission</w:t>
            </w:r>
          </w:p>
        </w:tc>
        <w:tc>
          <w:tcPr>
            <w:tcW w:w="464" w:type="pct"/>
            <w:tcBorders>
              <w:top w:val="single" w:sz="4" w:space="0" w:color="auto"/>
              <w:left w:val="single" w:sz="4" w:space="0" w:color="auto"/>
              <w:bottom w:val="single" w:sz="4" w:space="0" w:color="auto"/>
              <w:right w:val="single" w:sz="4" w:space="0" w:color="auto"/>
            </w:tcBorders>
            <w:hideMark/>
          </w:tcPr>
          <w:p w:rsidR="006E3C93" w:rsidRPr="00CF3D88" w:rsidRDefault="006E3C93" w:rsidP="00BD3814">
            <w:pPr>
              <w:keepNext/>
              <w:widowControl/>
              <w:jc w:val="center"/>
              <w:rPr>
                <w:rFonts w:ascii="Arial Narrow" w:hAnsi="Arial Narrow" w:cs="Times New Roman"/>
                <w:b/>
                <w:snapToGrid/>
                <w:sz w:val="20"/>
              </w:rPr>
            </w:pPr>
            <w:r w:rsidRPr="00CF3D88">
              <w:rPr>
                <w:rFonts w:ascii="Arial Narrow" w:hAnsi="Arial Narrow" w:cs="Times New Roman"/>
                <w:b/>
                <w:snapToGrid/>
                <w:sz w:val="20"/>
              </w:rPr>
              <w:t>Used for</w:t>
            </w:r>
          </w:p>
        </w:tc>
        <w:tc>
          <w:tcPr>
            <w:tcW w:w="289" w:type="pct"/>
            <w:tcBorders>
              <w:top w:val="single" w:sz="4" w:space="0" w:color="auto"/>
              <w:left w:val="single" w:sz="4" w:space="0" w:color="auto"/>
              <w:bottom w:val="single" w:sz="4" w:space="0" w:color="auto"/>
              <w:right w:val="single" w:sz="4" w:space="0" w:color="auto"/>
            </w:tcBorders>
            <w:hideMark/>
          </w:tcPr>
          <w:p w:rsidR="006E3C93" w:rsidRPr="00CF3D88" w:rsidRDefault="006E3C93" w:rsidP="00BD3814">
            <w:pPr>
              <w:keepNext/>
              <w:widowControl/>
              <w:jc w:val="center"/>
              <w:rPr>
                <w:rFonts w:ascii="Arial Narrow" w:hAnsi="Arial Narrow" w:cs="Times New Roman"/>
                <w:b/>
                <w:snapToGrid/>
                <w:sz w:val="20"/>
              </w:rPr>
            </w:pPr>
            <w:r w:rsidRPr="00CF3D88">
              <w:rPr>
                <w:rFonts w:ascii="Arial Narrow" w:hAnsi="Arial Narrow" w:cs="Times New Roman"/>
                <w:b/>
                <w:snapToGrid/>
                <w:sz w:val="20"/>
              </w:rPr>
              <w:t>n</w:t>
            </w:r>
          </w:p>
        </w:tc>
      </w:tr>
      <w:tr w:rsidR="006E3C93" w:rsidRPr="00CF3D88" w:rsidTr="00BD3814">
        <w:trPr>
          <w:cantSplit/>
        </w:trPr>
        <w:tc>
          <w:tcPr>
            <w:tcW w:w="5000" w:type="pct"/>
            <w:gridSpan w:val="6"/>
            <w:tcBorders>
              <w:top w:val="single" w:sz="4" w:space="0" w:color="auto"/>
              <w:left w:val="single" w:sz="4" w:space="0" w:color="auto"/>
              <w:bottom w:val="single" w:sz="4" w:space="0" w:color="auto"/>
              <w:right w:val="single" w:sz="4" w:space="0" w:color="auto"/>
            </w:tcBorders>
            <w:hideMark/>
          </w:tcPr>
          <w:p w:rsidR="006E3C93" w:rsidRPr="00CF3D88" w:rsidRDefault="006E3C93" w:rsidP="00BD3814">
            <w:pPr>
              <w:keepNext/>
              <w:widowControl/>
              <w:jc w:val="left"/>
              <w:rPr>
                <w:rFonts w:ascii="Arial Narrow" w:hAnsi="Arial Narrow" w:cs="Times New Roman"/>
                <w:b/>
                <w:snapToGrid/>
                <w:sz w:val="20"/>
              </w:rPr>
            </w:pPr>
            <w:r w:rsidRPr="00CF3D88">
              <w:rPr>
                <w:rFonts w:ascii="Arial Narrow" w:hAnsi="Arial Narrow" w:cs="Times New Roman"/>
                <w:b/>
                <w:snapToGrid/>
                <w:sz w:val="20"/>
              </w:rPr>
              <w:t xml:space="preserve">Brentuximab vedotin </w:t>
            </w:r>
          </w:p>
        </w:tc>
      </w:tr>
      <w:tr w:rsidR="006E3C93" w:rsidRPr="00CF3D88" w:rsidTr="00BD3814">
        <w:trPr>
          <w:cantSplit/>
        </w:trPr>
        <w:tc>
          <w:tcPr>
            <w:tcW w:w="679" w:type="pct"/>
            <w:tcBorders>
              <w:top w:val="single" w:sz="4" w:space="0" w:color="auto"/>
              <w:left w:val="single" w:sz="4" w:space="0" w:color="auto"/>
              <w:bottom w:val="single" w:sz="4" w:space="0" w:color="auto"/>
              <w:right w:val="single" w:sz="4" w:space="0" w:color="auto"/>
            </w:tcBorders>
            <w:vAlign w:val="center"/>
            <w:hideMark/>
          </w:tcPr>
          <w:p w:rsidR="006E3C93" w:rsidRPr="00CF3D88" w:rsidRDefault="006E3C93" w:rsidP="00BD3814">
            <w:pPr>
              <w:keepNext/>
              <w:widowControl/>
              <w:jc w:val="left"/>
              <w:rPr>
                <w:rFonts w:ascii="Arial Narrow" w:hAnsi="Arial Narrow" w:cs="Times New Roman"/>
                <w:snapToGrid/>
                <w:sz w:val="20"/>
              </w:rPr>
            </w:pPr>
            <w:r w:rsidRPr="00CF3D88">
              <w:rPr>
                <w:rFonts w:ascii="Arial Narrow" w:hAnsi="Arial Narrow" w:cs="Times New Roman"/>
                <w:snapToGrid/>
                <w:sz w:val="20"/>
              </w:rPr>
              <w:t>Study 0003</w:t>
            </w:r>
          </w:p>
        </w:tc>
        <w:tc>
          <w:tcPr>
            <w:tcW w:w="611" w:type="pct"/>
            <w:tcBorders>
              <w:top w:val="single" w:sz="4" w:space="0" w:color="auto"/>
              <w:left w:val="single" w:sz="4" w:space="0" w:color="auto"/>
              <w:bottom w:val="single" w:sz="4" w:space="0" w:color="auto"/>
              <w:right w:val="single" w:sz="4" w:space="0" w:color="auto"/>
            </w:tcBorders>
            <w:vAlign w:val="center"/>
            <w:hideMark/>
          </w:tcPr>
          <w:p w:rsidR="006E3C93" w:rsidRPr="00CF3D88" w:rsidRDefault="006E3C93" w:rsidP="00BD3814">
            <w:pPr>
              <w:keepNext/>
              <w:widowControl/>
              <w:jc w:val="center"/>
              <w:rPr>
                <w:rFonts w:ascii="Arial Narrow" w:hAnsi="Arial Narrow" w:cs="Times New Roman"/>
                <w:snapToGrid/>
                <w:sz w:val="20"/>
              </w:rPr>
            </w:pPr>
            <w:r w:rsidRPr="00CF3D88">
              <w:rPr>
                <w:rFonts w:ascii="Arial Narrow" w:hAnsi="Arial Narrow" w:cs="Times New Roman"/>
                <w:snapToGrid/>
                <w:sz w:val="20"/>
              </w:rPr>
              <w:t>45 in subgroup (102 in ITT)</w:t>
            </w:r>
          </w:p>
        </w:tc>
        <w:tc>
          <w:tcPr>
            <w:tcW w:w="2957" w:type="pct"/>
            <w:gridSpan w:val="2"/>
            <w:tcBorders>
              <w:top w:val="single" w:sz="4" w:space="0" w:color="auto"/>
              <w:left w:val="single" w:sz="4" w:space="0" w:color="auto"/>
              <w:bottom w:val="single" w:sz="4" w:space="0" w:color="auto"/>
              <w:right w:val="single" w:sz="4" w:space="0" w:color="auto"/>
            </w:tcBorders>
            <w:hideMark/>
          </w:tcPr>
          <w:p w:rsidR="006E3C93" w:rsidRPr="00CF3D88" w:rsidRDefault="006E3C93" w:rsidP="00BD3814">
            <w:pPr>
              <w:keepNext/>
              <w:widowControl/>
              <w:jc w:val="left"/>
              <w:rPr>
                <w:rFonts w:ascii="Arial Narrow" w:hAnsi="Arial Narrow" w:cs="Times New Roman"/>
                <w:snapToGrid/>
                <w:sz w:val="20"/>
              </w:rPr>
            </w:pPr>
            <w:r w:rsidRPr="00CF3D88">
              <w:rPr>
                <w:rFonts w:ascii="Arial Narrow" w:hAnsi="Arial Narrow" w:cs="Times New Roman"/>
                <w:b/>
                <w:snapToGrid/>
                <w:sz w:val="20"/>
              </w:rPr>
              <w:t>Updated data-cut.</w:t>
            </w:r>
            <w:r w:rsidRPr="00CF3D88">
              <w:rPr>
                <w:rFonts w:ascii="Arial Narrow" w:hAnsi="Arial Narrow" w:cs="Times New Roman"/>
                <w:snapToGrid/>
                <w:sz w:val="20"/>
              </w:rPr>
              <w:t xml:space="preserve"> In the subgroup used, median follow-up was </w:t>
            </w:r>
            <w:r w:rsidRPr="00CF3D88">
              <w:rPr>
                <w:rFonts w:ascii="Arial Narrow" w:hAnsi="Arial Narrow" w:cs="Times New Roman"/>
                <w:i/>
                <w:snapToGrid/>
                <w:sz w:val="20"/>
              </w:rPr>
              <w:t xml:space="preserve">62 months </w:t>
            </w:r>
            <w:proofErr w:type="gramStart"/>
            <w:r w:rsidRPr="00CF3D88">
              <w:rPr>
                <w:rFonts w:ascii="Arial Narrow" w:hAnsi="Arial Narrow" w:cs="Times New Roman"/>
                <w:i/>
                <w:snapToGrid/>
                <w:sz w:val="20"/>
                <w:vertAlign w:val="superscript"/>
              </w:rPr>
              <w:t>a</w:t>
            </w:r>
            <w:r w:rsidRPr="00CF3D88">
              <w:rPr>
                <w:rFonts w:ascii="Arial Narrow" w:hAnsi="Arial Narrow" w:cs="Times New Roman"/>
                <w:i/>
                <w:snapToGrid/>
                <w:sz w:val="20"/>
              </w:rPr>
              <w:t xml:space="preserve"> </w:t>
            </w:r>
            <w:r w:rsidRPr="00CF3D88">
              <w:rPr>
                <w:rFonts w:ascii="Arial Narrow" w:hAnsi="Arial Narrow" w:cs="Times New Roman"/>
                <w:snapToGrid/>
                <w:sz w:val="20"/>
              </w:rPr>
              <w:t>vs.</w:t>
            </w:r>
            <w:proofErr w:type="gramEnd"/>
            <w:r w:rsidRPr="00CF3D88">
              <w:rPr>
                <w:rFonts w:ascii="Arial Narrow" w:hAnsi="Arial Narrow" w:cs="Times New Roman"/>
                <w:snapToGrid/>
                <w:sz w:val="20"/>
              </w:rPr>
              <w:t xml:space="preserve"> 37 months in the previous submission</w:t>
            </w:r>
            <w:r w:rsidRPr="00CF3D88">
              <w:rPr>
                <w:rFonts w:ascii="Arial Narrow" w:hAnsi="Arial Narrow" w:cs="Times New Roman"/>
                <w:i/>
                <w:snapToGrid/>
                <w:sz w:val="20"/>
              </w:rPr>
              <w:t>.</w:t>
            </w:r>
            <w:r w:rsidRPr="00CF3D88">
              <w:rPr>
                <w:rFonts w:ascii="Arial Narrow" w:hAnsi="Arial Narrow" w:cs="Times New Roman"/>
                <w:snapToGrid/>
                <w:sz w:val="20"/>
              </w:rPr>
              <w:t xml:space="preserve"> Per the previous submission, only the 1</w:t>
            </w:r>
            <w:r w:rsidRPr="00CF3D88">
              <w:rPr>
                <w:rFonts w:ascii="Arial Narrow" w:hAnsi="Arial Narrow" w:cs="Times New Roman"/>
                <w:snapToGrid/>
                <w:sz w:val="20"/>
                <w:vertAlign w:val="superscript"/>
              </w:rPr>
              <w:t>st</w:t>
            </w:r>
            <w:r w:rsidRPr="00CF3D88">
              <w:rPr>
                <w:rFonts w:ascii="Arial Narrow" w:hAnsi="Arial Narrow" w:cs="Times New Roman"/>
                <w:snapToGrid/>
                <w:sz w:val="20"/>
              </w:rPr>
              <w:t xml:space="preserve"> line post ASCT subgroup was used.</w:t>
            </w:r>
          </w:p>
        </w:tc>
        <w:tc>
          <w:tcPr>
            <w:tcW w:w="464" w:type="pct"/>
            <w:tcBorders>
              <w:top w:val="single" w:sz="4" w:space="0" w:color="auto"/>
              <w:left w:val="single" w:sz="4" w:space="0" w:color="auto"/>
              <w:bottom w:val="single" w:sz="4" w:space="0" w:color="auto"/>
              <w:right w:val="single" w:sz="4" w:space="0" w:color="auto"/>
            </w:tcBorders>
            <w:hideMark/>
          </w:tcPr>
          <w:p w:rsidR="006E3C93" w:rsidRPr="00CF3D88" w:rsidRDefault="006E3C93" w:rsidP="00BD3814">
            <w:pPr>
              <w:keepNext/>
              <w:widowControl/>
              <w:jc w:val="left"/>
              <w:rPr>
                <w:rFonts w:ascii="Arial Narrow" w:hAnsi="Arial Narrow" w:cs="Times New Roman"/>
                <w:snapToGrid/>
                <w:sz w:val="20"/>
              </w:rPr>
            </w:pPr>
            <w:r w:rsidRPr="00CF3D88">
              <w:rPr>
                <w:rFonts w:ascii="Arial Narrow" w:hAnsi="Arial Narrow" w:cs="Times New Roman"/>
                <w:snapToGrid/>
                <w:sz w:val="20"/>
              </w:rPr>
              <w:t>OS</w:t>
            </w:r>
          </w:p>
          <w:p w:rsidR="006E3C93" w:rsidRPr="00CF3D88" w:rsidRDefault="006E3C93" w:rsidP="00BD3814">
            <w:pPr>
              <w:keepNext/>
              <w:widowControl/>
              <w:jc w:val="left"/>
              <w:rPr>
                <w:rFonts w:ascii="Arial Narrow" w:hAnsi="Arial Narrow" w:cs="Times New Roman"/>
                <w:snapToGrid/>
                <w:sz w:val="20"/>
              </w:rPr>
            </w:pPr>
            <w:r w:rsidRPr="00CF3D88">
              <w:rPr>
                <w:rFonts w:ascii="Arial Narrow" w:hAnsi="Arial Narrow" w:cs="Times New Roman"/>
                <w:snapToGrid/>
                <w:sz w:val="20"/>
              </w:rPr>
              <w:t>PFS</w:t>
            </w:r>
          </w:p>
        </w:tc>
        <w:tc>
          <w:tcPr>
            <w:tcW w:w="289" w:type="pct"/>
            <w:tcBorders>
              <w:top w:val="single" w:sz="4" w:space="0" w:color="auto"/>
              <w:left w:val="single" w:sz="4" w:space="0" w:color="auto"/>
              <w:bottom w:val="single" w:sz="4" w:space="0" w:color="auto"/>
              <w:right w:val="single" w:sz="4" w:space="0" w:color="auto"/>
            </w:tcBorders>
            <w:vAlign w:val="center"/>
            <w:hideMark/>
          </w:tcPr>
          <w:p w:rsidR="006E3C93" w:rsidRPr="00CF3D88" w:rsidRDefault="006E3C93" w:rsidP="00BD3814">
            <w:pPr>
              <w:keepNext/>
              <w:widowControl/>
              <w:jc w:val="center"/>
              <w:rPr>
                <w:rFonts w:ascii="Arial Narrow" w:hAnsi="Arial Narrow" w:cs="Times New Roman"/>
                <w:snapToGrid/>
                <w:sz w:val="20"/>
              </w:rPr>
            </w:pPr>
            <w:r w:rsidRPr="00CF3D88">
              <w:rPr>
                <w:rFonts w:ascii="Arial Narrow" w:hAnsi="Arial Narrow" w:cs="Times New Roman"/>
                <w:snapToGrid/>
                <w:sz w:val="20"/>
              </w:rPr>
              <w:t>45</w:t>
            </w:r>
          </w:p>
        </w:tc>
      </w:tr>
      <w:tr w:rsidR="006E3C93" w:rsidRPr="00CF3D88" w:rsidTr="00BD3814">
        <w:trPr>
          <w:cantSplit/>
        </w:trPr>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E3C93" w:rsidRPr="00CF3D88" w:rsidRDefault="006E3C93" w:rsidP="006E3C93">
            <w:pPr>
              <w:keepNext/>
              <w:widowControl/>
              <w:jc w:val="left"/>
              <w:rPr>
                <w:rFonts w:ascii="Arial Narrow" w:hAnsi="Arial Narrow" w:cs="Times New Roman"/>
                <w:snapToGrid/>
                <w:sz w:val="20"/>
              </w:rPr>
            </w:pPr>
            <w:r w:rsidRPr="00CF3D88">
              <w:rPr>
                <w:rFonts w:ascii="Arial Narrow" w:hAnsi="Arial Narrow"/>
                <w:bCs/>
                <w:snapToGrid/>
                <w:sz w:val="20"/>
                <w:lang w:eastAsia="en-GB"/>
              </w:rPr>
              <w:t>AETHERA trial follow-up</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3C93" w:rsidRPr="00CF3D88" w:rsidRDefault="006E3C93" w:rsidP="006E3C93">
            <w:pPr>
              <w:keepNext/>
              <w:widowControl/>
              <w:jc w:val="center"/>
              <w:rPr>
                <w:rFonts w:ascii="Arial Narrow" w:hAnsi="Arial Narrow" w:cs="Times New Roman"/>
                <w:snapToGrid/>
                <w:sz w:val="20"/>
              </w:rPr>
            </w:pPr>
            <w:r w:rsidRPr="00CF3D88">
              <w:rPr>
                <w:rFonts w:ascii="Arial Narrow" w:hAnsi="Arial Narrow" w:cs="Times New Roman"/>
                <w:snapToGrid/>
                <w:sz w:val="20"/>
              </w:rPr>
              <w:t>-</w:t>
            </w:r>
          </w:p>
        </w:tc>
        <w:tc>
          <w:tcPr>
            <w:tcW w:w="29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E3C93" w:rsidRPr="00CF3D88" w:rsidRDefault="006E3C93" w:rsidP="00EF53D5">
            <w:pPr>
              <w:keepNext/>
              <w:widowControl/>
              <w:jc w:val="left"/>
              <w:rPr>
                <w:rFonts w:ascii="Arial Narrow" w:hAnsi="Arial Narrow" w:cs="Times New Roman"/>
                <w:snapToGrid/>
                <w:sz w:val="20"/>
              </w:rPr>
            </w:pPr>
            <w:r w:rsidRPr="00CF3D88">
              <w:rPr>
                <w:rFonts w:ascii="Arial Narrow" w:hAnsi="Arial Narrow" w:cs="Times New Roman"/>
                <w:b/>
                <w:snapToGrid/>
                <w:sz w:val="20"/>
              </w:rPr>
              <w:t>New</w:t>
            </w:r>
            <w:r w:rsidR="008911E6" w:rsidRPr="00CF3D88">
              <w:rPr>
                <w:rFonts w:ascii="Arial Narrow" w:hAnsi="Arial Narrow" w:cs="Times New Roman"/>
                <w:b/>
                <w:snapToGrid/>
                <w:sz w:val="20"/>
              </w:rPr>
              <w:t xml:space="preserve"> study</w:t>
            </w:r>
            <w:r w:rsidRPr="00CF3D88">
              <w:rPr>
                <w:rFonts w:ascii="Arial Narrow" w:hAnsi="Arial Narrow" w:cs="Times New Roman"/>
                <w:snapToGrid/>
                <w:sz w:val="20"/>
              </w:rPr>
              <w:t xml:space="preserve">. </w:t>
            </w:r>
            <w:r w:rsidRPr="00CF3D88">
              <w:rPr>
                <w:rFonts w:ascii="Arial Narrow" w:hAnsi="Arial Narrow" w:cs="Times New Roman"/>
                <w:i/>
                <w:snapToGrid/>
                <w:sz w:val="20"/>
              </w:rPr>
              <w:t>Post-hoc</w:t>
            </w:r>
            <w:r w:rsidRPr="00CF3D88">
              <w:rPr>
                <w:rFonts w:ascii="Arial Narrow" w:hAnsi="Arial Narrow" w:cs="Times New Roman"/>
                <w:snapToGrid/>
                <w:sz w:val="20"/>
              </w:rPr>
              <w:t xml:space="preserve"> analysis of placebo arm pts who, during long term follow-up, received </w:t>
            </w:r>
            <w:r w:rsidRPr="00CF3D88">
              <w:rPr>
                <w:rFonts w:ascii="Arial Narrow" w:hAnsi="Arial Narrow" w:cs="Times New Roman"/>
                <w:snapToGrid/>
                <w:sz w:val="20"/>
                <w:u w:val="single"/>
              </w:rPr>
              <w:t>BV</w:t>
            </w:r>
            <w:r w:rsidRPr="00CF3D88">
              <w:rPr>
                <w:rFonts w:ascii="Arial Narrow" w:hAnsi="Arial Narrow" w:cs="Times New Roman"/>
                <w:snapToGrid/>
                <w:sz w:val="20"/>
              </w:rPr>
              <w:t xml:space="preserve"> 1st-line post ASCT)</w:t>
            </w:r>
          </w:p>
        </w:tc>
        <w:tc>
          <w:tcPr>
            <w:tcW w:w="4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E3C93" w:rsidRPr="00CF3D88" w:rsidRDefault="006E3C93" w:rsidP="00A9600C">
            <w:pPr>
              <w:keepNext/>
              <w:widowControl/>
              <w:jc w:val="left"/>
              <w:rPr>
                <w:rFonts w:ascii="Arial Narrow" w:hAnsi="Arial Narrow" w:cs="Times New Roman"/>
                <w:snapToGrid/>
                <w:sz w:val="20"/>
              </w:rPr>
            </w:pPr>
            <w:r w:rsidRPr="00CF3D88">
              <w:rPr>
                <w:rFonts w:ascii="Arial Narrow" w:hAnsi="Arial Narrow" w:cs="Times New Roman"/>
                <w:snapToGrid/>
                <w:sz w:val="20"/>
              </w:rPr>
              <w:t>OS</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3C93" w:rsidRPr="00526F5C" w:rsidRDefault="00526F5C" w:rsidP="00844085">
            <w:pPr>
              <w:keepNext/>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6E3C93" w:rsidRPr="00CF3D88" w:rsidTr="00BD3814">
        <w:trPr>
          <w:cantSplit/>
        </w:trPr>
        <w:tc>
          <w:tcPr>
            <w:tcW w:w="679" w:type="pct"/>
            <w:tcBorders>
              <w:top w:val="single" w:sz="4" w:space="0" w:color="auto"/>
              <w:left w:val="single" w:sz="4" w:space="0" w:color="auto"/>
              <w:bottom w:val="single" w:sz="4" w:space="0" w:color="auto"/>
              <w:right w:val="single" w:sz="4" w:space="0" w:color="auto"/>
            </w:tcBorders>
            <w:hideMark/>
          </w:tcPr>
          <w:p w:rsidR="006E3C93" w:rsidRPr="00CF3D88" w:rsidRDefault="006E3C93" w:rsidP="006E3C93">
            <w:pPr>
              <w:keepNext/>
              <w:widowControl/>
              <w:jc w:val="right"/>
              <w:rPr>
                <w:rFonts w:ascii="Arial Narrow" w:hAnsi="Arial Narrow" w:cs="Times New Roman"/>
                <w:b/>
                <w:snapToGrid/>
                <w:sz w:val="20"/>
              </w:rPr>
            </w:pPr>
            <w:r w:rsidRPr="00CF3D88">
              <w:rPr>
                <w:rFonts w:ascii="Arial Narrow" w:hAnsi="Arial Narrow" w:cs="Times New Roman"/>
                <w:b/>
                <w:snapToGrid/>
                <w:sz w:val="20"/>
              </w:rPr>
              <w:t xml:space="preserve">Total </w:t>
            </w:r>
          </w:p>
        </w:tc>
        <w:tc>
          <w:tcPr>
            <w:tcW w:w="611" w:type="pct"/>
            <w:tcBorders>
              <w:top w:val="single" w:sz="4" w:space="0" w:color="auto"/>
              <w:left w:val="single" w:sz="4" w:space="0" w:color="auto"/>
              <w:bottom w:val="single" w:sz="4" w:space="0" w:color="auto"/>
              <w:right w:val="single" w:sz="4" w:space="0" w:color="auto"/>
            </w:tcBorders>
            <w:vAlign w:val="center"/>
            <w:hideMark/>
          </w:tcPr>
          <w:p w:rsidR="006E3C93" w:rsidRPr="00CF3D88" w:rsidRDefault="006E3C93" w:rsidP="006E3C93">
            <w:pPr>
              <w:keepNext/>
              <w:widowControl/>
              <w:jc w:val="center"/>
              <w:rPr>
                <w:rFonts w:ascii="Arial Narrow" w:hAnsi="Arial Narrow" w:cs="Times New Roman"/>
                <w:b/>
                <w:snapToGrid/>
                <w:sz w:val="20"/>
              </w:rPr>
            </w:pPr>
            <w:r w:rsidRPr="00CF3D88">
              <w:rPr>
                <w:rFonts w:ascii="Arial Narrow" w:hAnsi="Arial Narrow" w:cs="Times New Roman"/>
                <w:b/>
                <w:snapToGrid/>
                <w:sz w:val="20"/>
              </w:rPr>
              <w:t>45</w:t>
            </w:r>
          </w:p>
        </w:tc>
        <w:tc>
          <w:tcPr>
            <w:tcW w:w="3421" w:type="pct"/>
            <w:gridSpan w:val="3"/>
            <w:tcBorders>
              <w:top w:val="single" w:sz="4" w:space="0" w:color="auto"/>
              <w:left w:val="single" w:sz="4" w:space="0" w:color="auto"/>
              <w:bottom w:val="single" w:sz="4" w:space="0" w:color="auto"/>
              <w:right w:val="single" w:sz="4" w:space="0" w:color="auto"/>
            </w:tcBorders>
          </w:tcPr>
          <w:p w:rsidR="006E3C93" w:rsidRPr="00CF3D88" w:rsidRDefault="006E3C93" w:rsidP="006E3C93">
            <w:pPr>
              <w:keepNext/>
              <w:widowControl/>
              <w:jc w:val="left"/>
              <w:rPr>
                <w:rFonts w:ascii="Arial Narrow" w:hAnsi="Arial Narrow" w:cs="Times New Roman"/>
                <w:b/>
                <w:snapToGrid/>
                <w:sz w:val="20"/>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6E3C93" w:rsidRPr="00526F5C" w:rsidRDefault="00526F5C" w:rsidP="00A9600C">
            <w:pPr>
              <w:keepNext/>
              <w:widowControl/>
              <w:jc w:val="center"/>
              <w:rPr>
                <w:rFonts w:ascii="Arial Narrow" w:hAnsi="Arial Narrow" w:cs="Times New Roman"/>
                <w:b/>
                <w:snapToGrid/>
                <w:sz w:val="20"/>
                <w:highlight w:val="black"/>
              </w:rPr>
            </w:pPr>
            <w:r>
              <w:rPr>
                <w:rFonts w:ascii="Arial Narrow" w:hAnsi="Arial Narrow" w:cs="Times New Roman"/>
                <w:b/>
                <w:noProof/>
                <w:snapToGrid/>
                <w:color w:val="000000"/>
                <w:sz w:val="20"/>
                <w:highlight w:val="black"/>
              </w:rPr>
              <w:t>''''''''</w:t>
            </w:r>
          </w:p>
        </w:tc>
      </w:tr>
      <w:tr w:rsidR="006E3C93" w:rsidRPr="00CF3D88" w:rsidTr="00BD3814">
        <w:trPr>
          <w:cantSplit/>
        </w:trPr>
        <w:tc>
          <w:tcPr>
            <w:tcW w:w="5000" w:type="pct"/>
            <w:gridSpan w:val="6"/>
            <w:tcBorders>
              <w:top w:val="single" w:sz="4" w:space="0" w:color="auto"/>
              <w:left w:val="single" w:sz="4" w:space="0" w:color="auto"/>
              <w:bottom w:val="single" w:sz="4" w:space="0" w:color="auto"/>
              <w:right w:val="single" w:sz="4" w:space="0" w:color="auto"/>
            </w:tcBorders>
            <w:hideMark/>
          </w:tcPr>
          <w:p w:rsidR="006E3C93" w:rsidRPr="00CF3D88" w:rsidRDefault="006E3C93" w:rsidP="006E3C93">
            <w:pPr>
              <w:keepNext/>
              <w:widowControl/>
              <w:jc w:val="left"/>
              <w:rPr>
                <w:rFonts w:ascii="Arial Narrow" w:hAnsi="Arial Narrow" w:cs="Times New Roman"/>
                <w:b/>
                <w:snapToGrid/>
                <w:sz w:val="20"/>
              </w:rPr>
            </w:pPr>
            <w:r w:rsidRPr="00CF3D88">
              <w:rPr>
                <w:rFonts w:ascii="Arial Narrow" w:hAnsi="Arial Narrow" w:cs="Times New Roman"/>
                <w:b/>
                <w:snapToGrid/>
                <w:sz w:val="20"/>
              </w:rPr>
              <w:t>Salvage chemotherapy</w:t>
            </w:r>
          </w:p>
        </w:tc>
      </w:tr>
      <w:tr w:rsidR="006E3C93" w:rsidRPr="00CF3D88" w:rsidTr="00BD3814">
        <w:trPr>
          <w:cantSplit/>
        </w:trPr>
        <w:tc>
          <w:tcPr>
            <w:tcW w:w="679" w:type="pct"/>
            <w:tcBorders>
              <w:top w:val="single" w:sz="4" w:space="0" w:color="auto"/>
              <w:left w:val="single" w:sz="4" w:space="0" w:color="auto"/>
              <w:bottom w:val="single" w:sz="4" w:space="0" w:color="auto"/>
              <w:right w:val="single" w:sz="4" w:space="0" w:color="auto"/>
            </w:tcBorders>
            <w:hideMark/>
          </w:tcPr>
          <w:p w:rsidR="006E3C93" w:rsidRPr="00CF3D88" w:rsidRDefault="006E3C93" w:rsidP="006E3C93">
            <w:pPr>
              <w:keepNext/>
              <w:widowControl/>
              <w:jc w:val="left"/>
              <w:rPr>
                <w:rFonts w:ascii="Arial Narrow" w:hAnsi="Arial Narrow" w:cs="Times New Roman"/>
                <w:snapToGrid/>
                <w:sz w:val="20"/>
              </w:rPr>
            </w:pPr>
            <w:r w:rsidRPr="00CF3D88">
              <w:rPr>
                <w:rFonts w:ascii="Arial Narrow" w:hAnsi="Arial Narrow" w:cs="Times New Roman"/>
                <w:snapToGrid/>
                <w:sz w:val="20"/>
              </w:rPr>
              <w:t>Kaloyannidis 2012 (Greek Registry)</w:t>
            </w:r>
          </w:p>
        </w:tc>
        <w:tc>
          <w:tcPr>
            <w:tcW w:w="611" w:type="pct"/>
            <w:tcBorders>
              <w:top w:val="single" w:sz="4" w:space="0" w:color="auto"/>
              <w:left w:val="single" w:sz="4" w:space="0" w:color="auto"/>
              <w:bottom w:val="single" w:sz="4" w:space="0" w:color="auto"/>
              <w:right w:val="single" w:sz="4" w:space="0" w:color="auto"/>
            </w:tcBorders>
            <w:vAlign w:val="center"/>
            <w:hideMark/>
          </w:tcPr>
          <w:p w:rsidR="006E3C93" w:rsidRPr="00CF3D88" w:rsidRDefault="006E3C93" w:rsidP="006E3C93">
            <w:pPr>
              <w:keepNext/>
              <w:widowControl/>
              <w:jc w:val="center"/>
              <w:rPr>
                <w:rFonts w:ascii="Arial Narrow" w:hAnsi="Arial Narrow" w:cs="Times New Roman"/>
                <w:snapToGrid/>
                <w:sz w:val="20"/>
              </w:rPr>
            </w:pPr>
            <w:r w:rsidRPr="00CF3D88">
              <w:rPr>
                <w:rFonts w:ascii="Arial Narrow" w:hAnsi="Arial Narrow" w:cs="Times New Roman"/>
                <w:snapToGrid/>
                <w:sz w:val="20"/>
              </w:rPr>
              <w:t>87</w:t>
            </w:r>
          </w:p>
        </w:tc>
        <w:tc>
          <w:tcPr>
            <w:tcW w:w="2922" w:type="pct"/>
            <w:tcBorders>
              <w:top w:val="single" w:sz="4" w:space="0" w:color="auto"/>
              <w:left w:val="single" w:sz="4" w:space="0" w:color="auto"/>
              <w:bottom w:val="single" w:sz="4" w:space="0" w:color="auto"/>
              <w:right w:val="single" w:sz="4" w:space="0" w:color="auto"/>
            </w:tcBorders>
            <w:hideMark/>
          </w:tcPr>
          <w:p w:rsidR="006E3C93" w:rsidRPr="00CF3D88" w:rsidRDefault="006E3C93" w:rsidP="006E3C93">
            <w:pPr>
              <w:keepNext/>
              <w:widowControl/>
              <w:jc w:val="left"/>
              <w:rPr>
                <w:rFonts w:ascii="Arial Narrow" w:hAnsi="Arial Narrow" w:cs="Times New Roman"/>
                <w:snapToGrid/>
                <w:sz w:val="20"/>
              </w:rPr>
            </w:pPr>
            <w:r w:rsidRPr="00CF3D88">
              <w:rPr>
                <w:rFonts w:ascii="Arial Narrow" w:hAnsi="Arial Narrow" w:cs="Times New Roman"/>
                <w:snapToGrid/>
                <w:sz w:val="20"/>
              </w:rPr>
              <w:t>Unchanged</w:t>
            </w:r>
          </w:p>
        </w:tc>
        <w:tc>
          <w:tcPr>
            <w:tcW w:w="499" w:type="pct"/>
            <w:gridSpan w:val="2"/>
            <w:tcBorders>
              <w:top w:val="single" w:sz="4" w:space="0" w:color="auto"/>
              <w:left w:val="single" w:sz="4" w:space="0" w:color="auto"/>
              <w:bottom w:val="single" w:sz="4" w:space="0" w:color="auto"/>
              <w:right w:val="single" w:sz="4" w:space="0" w:color="auto"/>
            </w:tcBorders>
            <w:hideMark/>
          </w:tcPr>
          <w:p w:rsidR="006E3C93" w:rsidRPr="00CF3D88" w:rsidRDefault="006E3C93" w:rsidP="00A9600C">
            <w:pPr>
              <w:keepNext/>
              <w:widowControl/>
              <w:jc w:val="left"/>
              <w:rPr>
                <w:rFonts w:ascii="Arial Narrow" w:hAnsi="Arial Narrow" w:cs="Times New Roman"/>
                <w:snapToGrid/>
                <w:sz w:val="20"/>
              </w:rPr>
            </w:pPr>
            <w:r w:rsidRPr="00CF3D88">
              <w:rPr>
                <w:rFonts w:ascii="Arial Narrow" w:hAnsi="Arial Narrow" w:cs="Times New Roman"/>
                <w:snapToGrid/>
                <w:sz w:val="20"/>
              </w:rPr>
              <w:t>OS</w:t>
            </w:r>
          </w:p>
          <w:p w:rsidR="006E3C93" w:rsidRPr="00CF3D88" w:rsidRDefault="006E3C93" w:rsidP="00844085">
            <w:pPr>
              <w:keepNext/>
              <w:widowControl/>
              <w:jc w:val="left"/>
              <w:rPr>
                <w:rFonts w:ascii="Arial Narrow" w:hAnsi="Arial Narrow" w:cs="Times New Roman"/>
                <w:snapToGrid/>
                <w:sz w:val="20"/>
              </w:rPr>
            </w:pPr>
            <w:r w:rsidRPr="00CF3D88">
              <w:rPr>
                <w:rFonts w:ascii="Arial Narrow" w:hAnsi="Arial Narrow" w:cs="Times New Roman"/>
                <w:snapToGrid/>
                <w:sz w:val="20"/>
              </w:rPr>
              <w:t>PFS</w:t>
            </w:r>
          </w:p>
        </w:tc>
        <w:tc>
          <w:tcPr>
            <w:tcW w:w="289" w:type="pct"/>
            <w:tcBorders>
              <w:top w:val="single" w:sz="4" w:space="0" w:color="auto"/>
              <w:left w:val="single" w:sz="4" w:space="0" w:color="auto"/>
              <w:bottom w:val="single" w:sz="4" w:space="0" w:color="auto"/>
              <w:right w:val="single" w:sz="4" w:space="0" w:color="auto"/>
            </w:tcBorders>
            <w:vAlign w:val="center"/>
            <w:hideMark/>
          </w:tcPr>
          <w:p w:rsidR="006E3C93" w:rsidRPr="00CF3D88" w:rsidRDefault="006E3C93" w:rsidP="004A20CD">
            <w:pPr>
              <w:keepNext/>
              <w:widowControl/>
              <w:jc w:val="center"/>
              <w:rPr>
                <w:rFonts w:ascii="Arial Narrow" w:hAnsi="Arial Narrow" w:cs="Times New Roman"/>
                <w:snapToGrid/>
                <w:sz w:val="20"/>
              </w:rPr>
            </w:pPr>
            <w:r w:rsidRPr="00CF3D88">
              <w:rPr>
                <w:rFonts w:ascii="Arial Narrow" w:hAnsi="Arial Narrow" w:cs="Times New Roman"/>
                <w:snapToGrid/>
                <w:sz w:val="20"/>
              </w:rPr>
              <w:t>87</w:t>
            </w:r>
          </w:p>
        </w:tc>
      </w:tr>
      <w:tr w:rsidR="006E3C93" w:rsidRPr="00CF3D88" w:rsidTr="00BD3814">
        <w:trPr>
          <w:cantSplit/>
        </w:trPr>
        <w:tc>
          <w:tcPr>
            <w:tcW w:w="679" w:type="pct"/>
            <w:tcBorders>
              <w:top w:val="single" w:sz="4" w:space="0" w:color="auto"/>
              <w:left w:val="single" w:sz="4" w:space="0" w:color="auto"/>
              <w:bottom w:val="single" w:sz="4" w:space="0" w:color="auto"/>
              <w:right w:val="single" w:sz="4" w:space="0" w:color="auto"/>
            </w:tcBorders>
            <w:hideMark/>
          </w:tcPr>
          <w:p w:rsidR="006E3C93" w:rsidRPr="00CF3D88" w:rsidRDefault="006E3C93" w:rsidP="006E3C93">
            <w:pPr>
              <w:keepNext/>
              <w:widowControl/>
              <w:jc w:val="left"/>
              <w:rPr>
                <w:rFonts w:ascii="Arial Narrow" w:hAnsi="Arial Narrow" w:cs="Times New Roman"/>
                <w:snapToGrid/>
                <w:sz w:val="20"/>
              </w:rPr>
            </w:pPr>
            <w:r w:rsidRPr="00CF3D88">
              <w:rPr>
                <w:rFonts w:ascii="Arial Narrow" w:hAnsi="Arial Narrow" w:cs="Times New Roman"/>
                <w:snapToGrid/>
                <w:sz w:val="20"/>
              </w:rPr>
              <w:t>British Columbia registry</w:t>
            </w:r>
          </w:p>
        </w:tc>
        <w:tc>
          <w:tcPr>
            <w:tcW w:w="611" w:type="pct"/>
            <w:tcBorders>
              <w:top w:val="single" w:sz="4" w:space="0" w:color="auto"/>
              <w:left w:val="single" w:sz="4" w:space="0" w:color="auto"/>
              <w:bottom w:val="single" w:sz="4" w:space="0" w:color="auto"/>
              <w:right w:val="single" w:sz="4" w:space="0" w:color="auto"/>
            </w:tcBorders>
            <w:vAlign w:val="center"/>
            <w:hideMark/>
          </w:tcPr>
          <w:p w:rsidR="006E3C93" w:rsidRPr="00CF3D88" w:rsidRDefault="006E3C93" w:rsidP="006E3C93">
            <w:pPr>
              <w:keepNext/>
              <w:widowControl/>
              <w:jc w:val="center"/>
              <w:rPr>
                <w:rFonts w:ascii="Arial Narrow" w:hAnsi="Arial Narrow" w:cs="Times New Roman"/>
                <w:snapToGrid/>
                <w:sz w:val="20"/>
              </w:rPr>
            </w:pPr>
            <w:r w:rsidRPr="00CF3D88">
              <w:rPr>
                <w:rFonts w:ascii="Arial Narrow" w:hAnsi="Arial Narrow" w:cs="Times New Roman"/>
                <w:snapToGrid/>
                <w:sz w:val="20"/>
              </w:rPr>
              <w:t>22</w:t>
            </w:r>
          </w:p>
        </w:tc>
        <w:tc>
          <w:tcPr>
            <w:tcW w:w="2922" w:type="pct"/>
            <w:tcBorders>
              <w:top w:val="single" w:sz="4" w:space="0" w:color="auto"/>
              <w:left w:val="single" w:sz="4" w:space="0" w:color="auto"/>
              <w:bottom w:val="single" w:sz="4" w:space="0" w:color="auto"/>
              <w:right w:val="single" w:sz="4" w:space="0" w:color="auto"/>
            </w:tcBorders>
            <w:hideMark/>
          </w:tcPr>
          <w:p w:rsidR="006E3C93" w:rsidRPr="00CF3D88" w:rsidRDefault="006E3C93" w:rsidP="006E3C93">
            <w:pPr>
              <w:keepNext/>
              <w:widowControl/>
              <w:jc w:val="left"/>
              <w:rPr>
                <w:rFonts w:ascii="Arial Narrow" w:hAnsi="Arial Narrow" w:cs="Times New Roman"/>
                <w:snapToGrid/>
                <w:sz w:val="20"/>
              </w:rPr>
            </w:pPr>
            <w:r w:rsidRPr="00CF3D88">
              <w:rPr>
                <w:rFonts w:ascii="Arial Narrow" w:hAnsi="Arial Narrow" w:cs="Times New Roman"/>
                <w:b/>
                <w:i/>
                <w:snapToGrid/>
                <w:sz w:val="20"/>
              </w:rPr>
              <w:t>20</w:t>
            </w:r>
            <w:r w:rsidRPr="00CF3D88">
              <w:rPr>
                <w:rFonts w:ascii="Arial Narrow" w:hAnsi="Arial Narrow" w:cs="Times New Roman"/>
                <w:b/>
                <w:snapToGrid/>
                <w:sz w:val="20"/>
              </w:rPr>
              <w:t xml:space="preserve"> additional pts included</w:t>
            </w:r>
            <w:r w:rsidRPr="00CF3D88">
              <w:rPr>
                <w:rFonts w:ascii="Arial Narrow" w:hAnsi="Arial Narrow" w:cs="Times New Roman"/>
                <w:snapToGrid/>
                <w:sz w:val="20"/>
              </w:rPr>
              <w:t>, who received single agents as the comparator was expanded.</w:t>
            </w:r>
          </w:p>
        </w:tc>
        <w:tc>
          <w:tcPr>
            <w:tcW w:w="499" w:type="pct"/>
            <w:gridSpan w:val="2"/>
            <w:tcBorders>
              <w:top w:val="single" w:sz="4" w:space="0" w:color="auto"/>
              <w:left w:val="single" w:sz="4" w:space="0" w:color="auto"/>
              <w:bottom w:val="single" w:sz="4" w:space="0" w:color="auto"/>
              <w:right w:val="single" w:sz="4" w:space="0" w:color="auto"/>
            </w:tcBorders>
            <w:hideMark/>
          </w:tcPr>
          <w:p w:rsidR="006E3C93" w:rsidRPr="00CF3D88" w:rsidRDefault="00D94334" w:rsidP="00A9600C">
            <w:pPr>
              <w:keepNext/>
              <w:widowControl/>
              <w:jc w:val="left"/>
              <w:rPr>
                <w:rFonts w:ascii="Arial Narrow" w:hAnsi="Arial Narrow" w:cs="Times New Roman"/>
                <w:snapToGrid/>
                <w:sz w:val="20"/>
              </w:rPr>
            </w:pPr>
            <w:r>
              <w:rPr>
                <w:rFonts w:ascii="Arial Narrow" w:hAnsi="Arial Narrow" w:cs="Times New Roman"/>
                <w:snapToGrid/>
                <w:sz w:val="20"/>
              </w:rPr>
              <w:t>OS</w:t>
            </w:r>
          </w:p>
          <w:p w:rsidR="006E3C93" w:rsidRPr="00CF3D88" w:rsidRDefault="006E3C93" w:rsidP="00844085">
            <w:pPr>
              <w:keepNext/>
              <w:widowControl/>
              <w:jc w:val="left"/>
              <w:rPr>
                <w:rFonts w:ascii="Arial Narrow" w:hAnsi="Arial Narrow" w:cs="Times New Roman"/>
                <w:snapToGrid/>
                <w:sz w:val="20"/>
              </w:rPr>
            </w:pPr>
            <w:r w:rsidRPr="00CF3D88">
              <w:rPr>
                <w:rFonts w:ascii="Arial Narrow" w:hAnsi="Arial Narrow" w:cs="Times New Roman"/>
                <w:snapToGrid/>
                <w:sz w:val="20"/>
              </w:rPr>
              <w:t>PFS</w:t>
            </w:r>
          </w:p>
        </w:tc>
        <w:tc>
          <w:tcPr>
            <w:tcW w:w="289" w:type="pct"/>
            <w:tcBorders>
              <w:top w:val="single" w:sz="4" w:space="0" w:color="auto"/>
              <w:left w:val="single" w:sz="4" w:space="0" w:color="auto"/>
              <w:bottom w:val="single" w:sz="4" w:space="0" w:color="auto"/>
              <w:right w:val="single" w:sz="4" w:space="0" w:color="auto"/>
            </w:tcBorders>
            <w:vAlign w:val="center"/>
            <w:hideMark/>
          </w:tcPr>
          <w:p w:rsidR="006E3C93" w:rsidRPr="00CF3D88" w:rsidRDefault="006E3C93" w:rsidP="004A20CD">
            <w:pPr>
              <w:keepNext/>
              <w:widowControl/>
              <w:jc w:val="center"/>
              <w:rPr>
                <w:rFonts w:ascii="Arial Narrow" w:hAnsi="Arial Narrow" w:cs="Times New Roman"/>
                <w:snapToGrid/>
                <w:sz w:val="20"/>
              </w:rPr>
            </w:pPr>
            <w:r w:rsidRPr="00CF3D88">
              <w:rPr>
                <w:rFonts w:ascii="Arial Narrow" w:hAnsi="Arial Narrow" w:cs="Times New Roman"/>
                <w:snapToGrid/>
                <w:sz w:val="20"/>
              </w:rPr>
              <w:t>42</w:t>
            </w:r>
          </w:p>
        </w:tc>
      </w:tr>
      <w:tr w:rsidR="006E3C93" w:rsidRPr="00CF3D88" w:rsidTr="00BD3814">
        <w:trPr>
          <w:cantSplit/>
        </w:trPr>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E3C93" w:rsidRPr="00CF3D88" w:rsidRDefault="006E3C93" w:rsidP="006E3C93">
            <w:pPr>
              <w:keepNext/>
              <w:widowControl/>
              <w:jc w:val="left"/>
              <w:rPr>
                <w:rFonts w:ascii="Arial Narrow" w:hAnsi="Arial Narrow" w:cs="Times New Roman"/>
                <w:snapToGrid/>
                <w:sz w:val="20"/>
              </w:rPr>
            </w:pPr>
            <w:r w:rsidRPr="00CF3D88">
              <w:rPr>
                <w:rFonts w:ascii="Arial Narrow" w:hAnsi="Arial Narrow" w:cs="Times New Roman"/>
                <w:snapToGrid/>
                <w:sz w:val="20"/>
              </w:rPr>
              <w:t>AETHERA trial follow-up</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3C93" w:rsidRPr="00CF3D88" w:rsidRDefault="006E3C93" w:rsidP="006E3C93">
            <w:pPr>
              <w:keepNext/>
              <w:widowControl/>
              <w:jc w:val="center"/>
              <w:rPr>
                <w:rFonts w:ascii="Arial Narrow" w:hAnsi="Arial Narrow" w:cs="Times New Roman"/>
                <w:snapToGrid/>
                <w:sz w:val="20"/>
              </w:rPr>
            </w:pPr>
            <w:r w:rsidRPr="00CF3D88">
              <w:rPr>
                <w:rFonts w:ascii="Arial Narrow" w:hAnsi="Arial Narrow" w:cs="Times New Roman"/>
                <w:snapToGrid/>
                <w:sz w:val="20"/>
              </w:rPr>
              <w:t>-</w:t>
            </w:r>
          </w:p>
        </w:tc>
        <w:tc>
          <w:tcPr>
            <w:tcW w:w="29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E3C93" w:rsidRPr="00CF3D88" w:rsidRDefault="006E3C93" w:rsidP="006E3C93">
            <w:pPr>
              <w:keepNext/>
              <w:widowControl/>
              <w:jc w:val="left"/>
              <w:rPr>
                <w:rFonts w:ascii="Arial Narrow" w:hAnsi="Arial Narrow" w:cs="Times New Roman"/>
                <w:snapToGrid/>
                <w:sz w:val="20"/>
              </w:rPr>
            </w:pPr>
            <w:r w:rsidRPr="00CF3D88">
              <w:rPr>
                <w:rFonts w:ascii="Arial Narrow" w:hAnsi="Arial Narrow" w:cs="Times New Roman"/>
                <w:b/>
                <w:snapToGrid/>
                <w:sz w:val="20"/>
              </w:rPr>
              <w:t>New</w:t>
            </w:r>
            <w:r w:rsidR="008911E6" w:rsidRPr="00CF3D88">
              <w:rPr>
                <w:rFonts w:ascii="Arial Narrow" w:hAnsi="Arial Narrow" w:cs="Times New Roman"/>
                <w:b/>
                <w:snapToGrid/>
                <w:sz w:val="20"/>
              </w:rPr>
              <w:t xml:space="preserve"> study</w:t>
            </w:r>
            <w:r w:rsidRPr="00CF3D88">
              <w:rPr>
                <w:rFonts w:ascii="Arial Narrow" w:hAnsi="Arial Narrow" w:cs="Times New Roman"/>
                <w:snapToGrid/>
                <w:sz w:val="20"/>
              </w:rPr>
              <w:t xml:space="preserve">. </w:t>
            </w:r>
            <w:r w:rsidRPr="00CF3D88">
              <w:rPr>
                <w:rFonts w:ascii="Arial Narrow" w:hAnsi="Arial Narrow" w:cs="Times New Roman"/>
                <w:i/>
                <w:snapToGrid/>
                <w:sz w:val="20"/>
              </w:rPr>
              <w:t>Post-hoc</w:t>
            </w:r>
            <w:r w:rsidRPr="00CF3D88">
              <w:rPr>
                <w:rFonts w:ascii="Arial Narrow" w:hAnsi="Arial Narrow" w:cs="Times New Roman"/>
                <w:snapToGrid/>
                <w:sz w:val="20"/>
              </w:rPr>
              <w:t xml:space="preserve"> analysis of placebo arm pts who, during long term follow-up, received </w:t>
            </w:r>
            <w:r w:rsidRPr="00CF3D88">
              <w:rPr>
                <w:rFonts w:ascii="Arial Narrow" w:hAnsi="Arial Narrow" w:cs="Times New Roman"/>
                <w:snapToGrid/>
                <w:sz w:val="20"/>
                <w:u w:val="single"/>
              </w:rPr>
              <w:t>chemotherapy</w:t>
            </w:r>
            <w:r w:rsidRPr="00CF3D88">
              <w:rPr>
                <w:rFonts w:ascii="Arial Narrow" w:hAnsi="Arial Narrow" w:cs="Times New Roman"/>
                <w:snapToGrid/>
                <w:sz w:val="20"/>
              </w:rPr>
              <w:t xml:space="preserve"> 1st-line post ASCT)</w:t>
            </w:r>
          </w:p>
        </w:tc>
        <w:tc>
          <w:tcPr>
            <w:tcW w:w="49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E3C93" w:rsidRPr="00CF3D88" w:rsidRDefault="006E3C93" w:rsidP="00A9600C">
            <w:pPr>
              <w:keepNext/>
              <w:widowControl/>
              <w:jc w:val="left"/>
              <w:rPr>
                <w:rFonts w:ascii="Arial Narrow" w:hAnsi="Arial Narrow" w:cs="Times New Roman"/>
                <w:snapToGrid/>
                <w:sz w:val="20"/>
              </w:rPr>
            </w:pPr>
            <w:r w:rsidRPr="00CF3D88">
              <w:rPr>
                <w:rFonts w:ascii="Arial Narrow" w:hAnsi="Arial Narrow" w:cs="Times New Roman"/>
                <w:snapToGrid/>
                <w:sz w:val="20"/>
              </w:rPr>
              <w:t>OS</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3C93" w:rsidRPr="00526F5C" w:rsidRDefault="00526F5C" w:rsidP="00844085">
            <w:pPr>
              <w:keepNext/>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6E3C93" w:rsidRPr="00CF3D88" w:rsidTr="00BD3814">
        <w:trPr>
          <w:cantSplit/>
        </w:trPr>
        <w:tc>
          <w:tcPr>
            <w:tcW w:w="679" w:type="pct"/>
            <w:tcBorders>
              <w:top w:val="single" w:sz="4" w:space="0" w:color="auto"/>
              <w:left w:val="single" w:sz="4" w:space="0" w:color="auto"/>
              <w:bottom w:val="single" w:sz="4" w:space="0" w:color="auto"/>
              <w:right w:val="single" w:sz="4" w:space="0" w:color="auto"/>
            </w:tcBorders>
            <w:hideMark/>
          </w:tcPr>
          <w:p w:rsidR="006E3C93" w:rsidRPr="00CF3D88" w:rsidRDefault="006E3C93" w:rsidP="006E3C93">
            <w:pPr>
              <w:keepNext/>
              <w:widowControl/>
              <w:jc w:val="right"/>
              <w:rPr>
                <w:rFonts w:ascii="Arial Narrow" w:hAnsi="Arial Narrow" w:cs="Times New Roman"/>
                <w:b/>
                <w:snapToGrid/>
                <w:sz w:val="20"/>
              </w:rPr>
            </w:pPr>
            <w:r w:rsidRPr="00CF3D88">
              <w:rPr>
                <w:rFonts w:ascii="Arial Narrow" w:hAnsi="Arial Narrow" w:cs="Times New Roman"/>
                <w:b/>
                <w:snapToGrid/>
                <w:sz w:val="20"/>
              </w:rPr>
              <w:t xml:space="preserve">Total </w:t>
            </w:r>
          </w:p>
        </w:tc>
        <w:tc>
          <w:tcPr>
            <w:tcW w:w="611" w:type="pct"/>
            <w:tcBorders>
              <w:top w:val="single" w:sz="4" w:space="0" w:color="auto"/>
              <w:left w:val="single" w:sz="4" w:space="0" w:color="auto"/>
              <w:bottom w:val="single" w:sz="4" w:space="0" w:color="auto"/>
              <w:right w:val="single" w:sz="4" w:space="0" w:color="auto"/>
            </w:tcBorders>
            <w:hideMark/>
          </w:tcPr>
          <w:p w:rsidR="006E3C93" w:rsidRPr="00CF3D88" w:rsidRDefault="006E3C93" w:rsidP="006E3C93">
            <w:pPr>
              <w:keepNext/>
              <w:widowControl/>
              <w:jc w:val="center"/>
              <w:rPr>
                <w:rFonts w:ascii="Arial Narrow" w:hAnsi="Arial Narrow" w:cs="Times New Roman"/>
                <w:b/>
                <w:snapToGrid/>
                <w:sz w:val="20"/>
              </w:rPr>
            </w:pPr>
            <w:r w:rsidRPr="00CF3D88">
              <w:rPr>
                <w:rFonts w:ascii="Arial Narrow" w:hAnsi="Arial Narrow" w:cs="Times New Roman"/>
                <w:b/>
                <w:snapToGrid/>
                <w:sz w:val="20"/>
              </w:rPr>
              <w:t>109</w:t>
            </w:r>
          </w:p>
        </w:tc>
        <w:tc>
          <w:tcPr>
            <w:tcW w:w="3421" w:type="pct"/>
            <w:gridSpan w:val="3"/>
            <w:tcBorders>
              <w:top w:val="single" w:sz="4" w:space="0" w:color="auto"/>
              <w:left w:val="single" w:sz="4" w:space="0" w:color="auto"/>
              <w:bottom w:val="single" w:sz="4" w:space="0" w:color="auto"/>
              <w:right w:val="single" w:sz="4" w:space="0" w:color="auto"/>
            </w:tcBorders>
          </w:tcPr>
          <w:p w:rsidR="006E3C93" w:rsidRPr="00CF3D88" w:rsidRDefault="006E3C93" w:rsidP="006E3C93">
            <w:pPr>
              <w:keepNext/>
              <w:widowControl/>
              <w:jc w:val="left"/>
              <w:rPr>
                <w:rFonts w:ascii="Arial Narrow" w:hAnsi="Arial Narrow" w:cs="Times New Roman"/>
                <w:b/>
                <w:snapToGrid/>
                <w:sz w:val="20"/>
              </w:rPr>
            </w:pPr>
          </w:p>
        </w:tc>
        <w:tc>
          <w:tcPr>
            <w:tcW w:w="289" w:type="pct"/>
            <w:tcBorders>
              <w:top w:val="single" w:sz="4" w:space="0" w:color="auto"/>
              <w:left w:val="single" w:sz="4" w:space="0" w:color="auto"/>
              <w:bottom w:val="single" w:sz="4" w:space="0" w:color="auto"/>
              <w:right w:val="single" w:sz="4" w:space="0" w:color="auto"/>
            </w:tcBorders>
            <w:vAlign w:val="center"/>
            <w:hideMark/>
          </w:tcPr>
          <w:p w:rsidR="006E3C93" w:rsidRPr="00526F5C" w:rsidRDefault="00526F5C" w:rsidP="00A9600C">
            <w:pPr>
              <w:keepNext/>
              <w:widowControl/>
              <w:jc w:val="center"/>
              <w:rPr>
                <w:rFonts w:ascii="Arial Narrow" w:hAnsi="Arial Narrow" w:cs="Times New Roman"/>
                <w:b/>
                <w:snapToGrid/>
                <w:sz w:val="20"/>
                <w:highlight w:val="black"/>
              </w:rPr>
            </w:pPr>
            <w:r>
              <w:rPr>
                <w:rFonts w:ascii="Arial Narrow" w:hAnsi="Arial Narrow" w:cs="Times New Roman"/>
                <w:b/>
                <w:noProof/>
                <w:snapToGrid/>
                <w:color w:val="000000"/>
                <w:sz w:val="20"/>
                <w:highlight w:val="black"/>
              </w:rPr>
              <w:t>'''''''</w:t>
            </w:r>
          </w:p>
        </w:tc>
      </w:tr>
    </w:tbl>
    <w:p w:rsidR="006E3C93" w:rsidRPr="00CF3D88" w:rsidRDefault="006E3C93" w:rsidP="00BD3814">
      <w:pPr>
        <w:keepNext/>
        <w:widowControl/>
        <w:snapToGrid w:val="0"/>
        <w:ind w:firstLine="720"/>
        <w:rPr>
          <w:rFonts w:ascii="Arial Narrow" w:hAnsi="Arial Narrow"/>
          <w:i/>
          <w:snapToGrid/>
          <w:sz w:val="18"/>
        </w:rPr>
      </w:pPr>
      <w:r w:rsidRPr="00CF3D88">
        <w:rPr>
          <w:rFonts w:ascii="Arial Narrow" w:hAnsi="Arial Narrow"/>
          <w:snapToGrid/>
          <w:sz w:val="18"/>
        </w:rPr>
        <w:t xml:space="preserve">Source: </w:t>
      </w:r>
      <w:r w:rsidRPr="00CF3D88">
        <w:rPr>
          <w:rFonts w:ascii="Arial Narrow" w:hAnsi="Arial Narrow"/>
          <w:i/>
          <w:snapToGrid/>
          <w:sz w:val="18"/>
        </w:rPr>
        <w:t xml:space="preserve">Compiled during evaluation based on: text on p46; Table B.2-3, pp48 of the </w:t>
      </w:r>
      <w:r w:rsidR="00A8064E" w:rsidRPr="00CF3D88">
        <w:rPr>
          <w:rFonts w:ascii="Arial Narrow" w:hAnsi="Arial Narrow"/>
          <w:i/>
          <w:snapToGrid/>
          <w:sz w:val="18"/>
        </w:rPr>
        <w:t>resubmission</w:t>
      </w:r>
    </w:p>
    <w:p w:rsidR="006E3C93" w:rsidRPr="00CF3D88" w:rsidRDefault="006E3C93" w:rsidP="00BD3814">
      <w:pPr>
        <w:keepNext/>
        <w:widowControl/>
        <w:snapToGrid w:val="0"/>
        <w:ind w:left="720"/>
        <w:rPr>
          <w:rFonts w:ascii="Arial Narrow" w:hAnsi="Arial Narrow"/>
          <w:snapToGrid/>
          <w:sz w:val="18"/>
        </w:rPr>
      </w:pPr>
      <w:r w:rsidRPr="00CF3D88">
        <w:rPr>
          <w:rFonts w:ascii="Arial Narrow" w:hAnsi="Arial Narrow"/>
          <w:snapToGrid/>
          <w:sz w:val="18"/>
        </w:rPr>
        <w:t>ASCT = autologous stem cell transplant; BV = brentuximab vedotin; ITT = intention-to-treat; OS = overall survival; PFS = progression free survi</w:t>
      </w:r>
      <w:r w:rsidR="00D94334">
        <w:rPr>
          <w:rFonts w:ascii="Arial Narrow" w:hAnsi="Arial Narrow"/>
          <w:snapToGrid/>
          <w:sz w:val="18"/>
        </w:rPr>
        <w:t>val; pts = patients vs = versus</w:t>
      </w:r>
    </w:p>
    <w:p w:rsidR="006E3C93" w:rsidRPr="00CF3D88" w:rsidRDefault="006E3C93" w:rsidP="00BD3814">
      <w:pPr>
        <w:keepNext/>
        <w:widowControl/>
        <w:snapToGrid w:val="0"/>
        <w:ind w:firstLine="720"/>
        <w:rPr>
          <w:rFonts w:ascii="Arial Narrow" w:hAnsi="Arial Narrow"/>
          <w:i/>
          <w:snapToGrid/>
          <w:sz w:val="18"/>
        </w:rPr>
      </w:pPr>
      <w:proofErr w:type="gramStart"/>
      <w:r w:rsidRPr="00CF3D88">
        <w:rPr>
          <w:rFonts w:ascii="Arial Narrow" w:hAnsi="Arial Narrow"/>
          <w:i/>
          <w:snapToGrid/>
          <w:sz w:val="18"/>
          <w:vertAlign w:val="superscript"/>
        </w:rPr>
        <w:t>a</w:t>
      </w:r>
      <w:proofErr w:type="gramEnd"/>
      <w:r w:rsidRPr="00CF3D88">
        <w:rPr>
          <w:rFonts w:ascii="Arial Narrow" w:hAnsi="Arial Narrow"/>
          <w:i/>
          <w:snapToGrid/>
          <w:sz w:val="18"/>
        </w:rPr>
        <w:t xml:space="preserve"> Based on time from ‘start date (first exposure to BV)’ until ‘last long-term follow-up date’ in s</w:t>
      </w:r>
      <w:r w:rsidR="00D94334">
        <w:rPr>
          <w:rFonts w:ascii="Arial Narrow" w:hAnsi="Arial Narrow"/>
          <w:i/>
          <w:snapToGrid/>
          <w:sz w:val="18"/>
        </w:rPr>
        <w:t>preadsheet “12B - 2. Censoring”</w:t>
      </w:r>
    </w:p>
    <w:p w:rsidR="006E3C93" w:rsidRPr="00CF3D88" w:rsidRDefault="006E3C93" w:rsidP="00954713">
      <w:pPr>
        <w:widowControl/>
        <w:ind w:left="720"/>
        <w:contextualSpacing/>
        <w:rPr>
          <w:szCs w:val="22"/>
        </w:rPr>
      </w:pPr>
    </w:p>
    <w:p w:rsidR="00F25DD7" w:rsidRPr="00CF3D88" w:rsidRDefault="00F25DD7" w:rsidP="009530DB">
      <w:pPr>
        <w:widowControl/>
        <w:numPr>
          <w:ilvl w:val="1"/>
          <w:numId w:val="2"/>
        </w:numPr>
        <w:contextualSpacing/>
      </w:pPr>
      <w:r w:rsidRPr="00CF3D88">
        <w:t xml:space="preserve">Similar to the previous submission, the </w:t>
      </w:r>
      <w:r w:rsidR="00A8064E" w:rsidRPr="00CF3D88">
        <w:t xml:space="preserve">resubmission </w:t>
      </w:r>
      <w:r w:rsidRPr="00CF3D88">
        <w:t xml:space="preserve">used individual patient data from the key studies (data provided in the </w:t>
      </w:r>
      <w:r w:rsidR="00A8064E" w:rsidRPr="00CF3D88">
        <w:t>resubmission</w:t>
      </w:r>
      <w:r w:rsidRPr="00CF3D88">
        <w:t xml:space="preserve">). </w:t>
      </w:r>
      <w:r w:rsidRPr="00CF3D88">
        <w:rPr>
          <w:szCs w:val="22"/>
        </w:rPr>
        <w:t xml:space="preserve">The </w:t>
      </w:r>
      <w:r w:rsidR="00A8064E" w:rsidRPr="00CF3D88">
        <w:rPr>
          <w:szCs w:val="22"/>
        </w:rPr>
        <w:t xml:space="preserve">resubmission </w:t>
      </w:r>
      <w:r w:rsidRPr="00CF3D88">
        <w:rPr>
          <w:szCs w:val="22"/>
        </w:rPr>
        <w:t xml:space="preserve">included new data </w:t>
      </w:r>
      <w:r w:rsidRPr="00CF3D88">
        <w:t xml:space="preserve">to address concerns about the uncertainty of the incremental benefit. </w:t>
      </w:r>
      <w:r w:rsidRPr="00CF3D88">
        <w:rPr>
          <w:szCs w:val="22"/>
        </w:rPr>
        <w:t>The new or updated key evidence were:</w:t>
      </w:r>
    </w:p>
    <w:p w:rsidR="00F25DD7" w:rsidRPr="00CF3D88" w:rsidRDefault="00F25DD7" w:rsidP="00932D1E">
      <w:pPr>
        <w:widowControl/>
        <w:numPr>
          <w:ilvl w:val="0"/>
          <w:numId w:val="7"/>
        </w:numPr>
        <w:ind w:left="993" w:hanging="284"/>
        <w:contextualSpacing/>
      </w:pPr>
      <w:r w:rsidRPr="00CF3D88">
        <w:t>Updated data from the final-planned follow-up of Study 0003 (62 months</w:t>
      </w:r>
      <w:r w:rsidRPr="00CF3D88">
        <w:rPr>
          <w:i/>
        </w:rPr>
        <w:t xml:space="preserve"> </w:t>
      </w:r>
      <w:r w:rsidRPr="00CF3D88">
        <w:t>versus 37 months in the previous submission);</w:t>
      </w:r>
    </w:p>
    <w:p w:rsidR="00F25DD7" w:rsidRPr="00CF3D88" w:rsidRDefault="00F25DD7" w:rsidP="00932D1E">
      <w:pPr>
        <w:widowControl/>
        <w:numPr>
          <w:ilvl w:val="0"/>
          <w:numId w:val="7"/>
        </w:numPr>
        <w:ind w:left="993" w:hanging="284"/>
        <w:contextualSpacing/>
      </w:pPr>
      <w:r w:rsidRPr="00CF3D88">
        <w:rPr>
          <w:szCs w:val="22"/>
        </w:rPr>
        <w:t>Two cohorts of patients</w:t>
      </w:r>
      <w:r w:rsidRPr="00CF3D88">
        <w:rPr>
          <w:snapToGrid/>
        </w:rPr>
        <w:t xml:space="preserve"> from the long-term follow-up of the placebo group of the AETHERA trial who received either brentuximab vedotin or salvage chemotherapy after relapse. </w:t>
      </w:r>
      <w:r w:rsidRPr="00CF3D88">
        <w:rPr>
          <w:szCs w:val="22"/>
        </w:rPr>
        <w:t xml:space="preserve">This appeared to be unblinded, prospective, post hoc data in which clinicians and patients could </w:t>
      </w:r>
      <w:r w:rsidR="00784344" w:rsidRPr="00CF3D88">
        <w:rPr>
          <w:szCs w:val="22"/>
        </w:rPr>
        <w:t>choose</w:t>
      </w:r>
      <w:r w:rsidRPr="00CF3D88">
        <w:rPr>
          <w:szCs w:val="22"/>
        </w:rPr>
        <w:t xml:space="preserve"> the treatment</w:t>
      </w:r>
      <w:r w:rsidR="00E90D37" w:rsidRPr="00CF3D88">
        <w:rPr>
          <w:szCs w:val="22"/>
        </w:rPr>
        <w:t>.</w:t>
      </w:r>
      <w:r w:rsidR="00E90D37" w:rsidRPr="00CF3D88">
        <w:t xml:space="preserve"> </w:t>
      </w:r>
      <w:r w:rsidR="00E90D37" w:rsidRPr="00CF3D88">
        <w:rPr>
          <w:szCs w:val="22"/>
        </w:rPr>
        <w:t xml:space="preserve">The ESC noted that healthier patients </w:t>
      </w:r>
      <w:r w:rsidR="004C1E68" w:rsidRPr="00CF3D88">
        <w:rPr>
          <w:szCs w:val="22"/>
        </w:rPr>
        <w:t xml:space="preserve">may have been more likely to choose </w:t>
      </w:r>
      <w:r w:rsidR="00E90D37" w:rsidRPr="00CF3D88">
        <w:rPr>
          <w:szCs w:val="22"/>
        </w:rPr>
        <w:t>brentuximab vedotin in the AETHERA trial, especially if they were from a region where it was not reimbursed;</w:t>
      </w:r>
    </w:p>
    <w:p w:rsidR="00F25DD7" w:rsidRPr="00CF3D88" w:rsidRDefault="00F25DD7" w:rsidP="00932D1E">
      <w:pPr>
        <w:widowControl/>
        <w:numPr>
          <w:ilvl w:val="0"/>
          <w:numId w:val="7"/>
        </w:numPr>
        <w:ind w:left="993" w:hanging="284"/>
        <w:contextualSpacing/>
      </w:pPr>
      <w:r w:rsidRPr="00CF3D88">
        <w:t xml:space="preserve">Twenty additional patients were included from the British Columbia registry as the comparator was expanded to include single-agent chemotherapy and steroid </w:t>
      </w:r>
      <w:r w:rsidRPr="00CF3D88">
        <w:lastRenderedPageBreak/>
        <w:t xml:space="preserve">regimens. </w:t>
      </w:r>
      <w:r w:rsidR="00E90D37" w:rsidRPr="00CF3D88">
        <w:t>The ESC noted that survival data in this registry was measured from the time of relapse, rather than the time of the onset of treatment.</w:t>
      </w:r>
    </w:p>
    <w:p w:rsidR="00A47094" w:rsidRPr="00CF3D88" w:rsidRDefault="00A47094" w:rsidP="00D94334">
      <w:pPr>
        <w:widowControl/>
        <w:contextualSpacing/>
      </w:pPr>
    </w:p>
    <w:p w:rsidR="00F25DD7" w:rsidRPr="00CF3D88" w:rsidRDefault="00F25DD7" w:rsidP="00E7615B">
      <w:pPr>
        <w:widowControl/>
        <w:ind w:left="851"/>
        <w:rPr>
          <w:i/>
          <w:szCs w:val="22"/>
        </w:rPr>
      </w:pPr>
      <w:r w:rsidRPr="00CF3D88">
        <w:t>This new data increased the number of patients in the comparison to 249, compared with 164 in the previous submission.</w:t>
      </w:r>
    </w:p>
    <w:p w:rsidR="00F25DD7" w:rsidRPr="00CF3D88" w:rsidRDefault="00F25DD7" w:rsidP="00954713">
      <w:pPr>
        <w:widowControl/>
        <w:ind w:left="720"/>
        <w:contextualSpacing/>
        <w:rPr>
          <w:szCs w:val="22"/>
        </w:rPr>
      </w:pPr>
    </w:p>
    <w:p w:rsidR="00954713" w:rsidRPr="00CF3D88" w:rsidRDefault="00954713" w:rsidP="00954713">
      <w:pPr>
        <w:keepNext/>
        <w:keepLines/>
        <w:widowControl/>
        <w:ind w:left="720"/>
        <w:contextualSpacing/>
        <w:rPr>
          <w:rFonts w:ascii="Arial Narrow" w:hAnsi="Arial Narrow"/>
          <w:b/>
          <w:sz w:val="19"/>
          <w:szCs w:val="19"/>
        </w:rPr>
      </w:pPr>
      <w:r w:rsidRPr="00CF3D88">
        <w:rPr>
          <w:rFonts w:ascii="Arial Narrow" w:hAnsi="Arial Narrow"/>
          <w:b/>
          <w:sz w:val="19"/>
          <w:szCs w:val="19"/>
        </w:rPr>
        <w:t xml:space="preserve">Table </w:t>
      </w:r>
      <w:r w:rsidR="001E38B8" w:rsidRPr="00CF3D88">
        <w:rPr>
          <w:rFonts w:ascii="Arial Narrow" w:hAnsi="Arial Narrow"/>
          <w:b/>
          <w:sz w:val="19"/>
          <w:szCs w:val="19"/>
        </w:rPr>
        <w:t>3</w:t>
      </w:r>
      <w:r w:rsidRPr="00CF3D88">
        <w:rPr>
          <w:rFonts w:ascii="Arial Narrow" w:hAnsi="Arial Narrow"/>
          <w:b/>
          <w:sz w:val="19"/>
          <w:szCs w:val="19"/>
        </w:rPr>
        <w:t xml:space="preserve">: Details of the studies presented in the </w:t>
      </w:r>
      <w:r w:rsidR="00A8064E" w:rsidRPr="00CF3D88">
        <w:rPr>
          <w:rFonts w:ascii="Arial Narrow" w:hAnsi="Arial Narrow"/>
          <w:b/>
          <w:sz w:val="19"/>
          <w:szCs w:val="19"/>
        </w:rPr>
        <w:t xml:space="preserve">resubmission </w:t>
      </w:r>
      <w:r w:rsidRPr="00CF3D88">
        <w:rPr>
          <w:rFonts w:ascii="Arial Narrow" w:hAnsi="Arial Narrow"/>
          <w:b/>
          <w:sz w:val="19"/>
          <w:szCs w:val="19"/>
        </w:rPr>
        <w:t>are provided in the table below.</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0"/>
        <w:gridCol w:w="5364"/>
        <w:gridCol w:w="1821"/>
      </w:tblGrid>
      <w:tr w:rsidR="00954713" w:rsidRPr="00CF3D88" w:rsidTr="002C7059">
        <w:trPr>
          <w:cantSplit/>
          <w:tblHeader/>
        </w:trPr>
        <w:tc>
          <w:tcPr>
            <w:tcW w:w="1160" w:type="dxa"/>
          </w:tcPr>
          <w:p w:rsidR="00954713" w:rsidRPr="00CF3D88" w:rsidRDefault="00954713" w:rsidP="00954713">
            <w:pPr>
              <w:keepNext/>
              <w:keepLines/>
              <w:widowControl/>
              <w:jc w:val="left"/>
              <w:rPr>
                <w:rFonts w:ascii="Arial Narrow" w:hAnsi="Arial Narrow"/>
                <w:b/>
                <w:sz w:val="20"/>
              </w:rPr>
            </w:pPr>
            <w:r w:rsidRPr="00CF3D88">
              <w:rPr>
                <w:rFonts w:ascii="Arial Narrow" w:hAnsi="Arial Narrow"/>
                <w:b/>
                <w:sz w:val="20"/>
              </w:rPr>
              <w:t>Study ID</w:t>
            </w:r>
          </w:p>
        </w:tc>
        <w:tc>
          <w:tcPr>
            <w:tcW w:w="5364" w:type="dxa"/>
          </w:tcPr>
          <w:p w:rsidR="00954713" w:rsidRPr="00CF3D88" w:rsidRDefault="00954713" w:rsidP="00954713">
            <w:pPr>
              <w:keepNext/>
              <w:keepLines/>
              <w:widowControl/>
              <w:jc w:val="center"/>
              <w:rPr>
                <w:rFonts w:ascii="Arial Narrow" w:hAnsi="Arial Narrow"/>
                <w:b/>
                <w:sz w:val="20"/>
              </w:rPr>
            </w:pPr>
            <w:r w:rsidRPr="00CF3D88">
              <w:rPr>
                <w:rFonts w:ascii="Arial Narrow" w:hAnsi="Arial Narrow"/>
                <w:b/>
                <w:sz w:val="20"/>
              </w:rPr>
              <w:t>Protocol title/ Publication title</w:t>
            </w:r>
          </w:p>
        </w:tc>
        <w:tc>
          <w:tcPr>
            <w:tcW w:w="1821" w:type="dxa"/>
          </w:tcPr>
          <w:p w:rsidR="00954713" w:rsidRPr="00CF3D88" w:rsidRDefault="00954713" w:rsidP="00954713">
            <w:pPr>
              <w:keepNext/>
              <w:keepLines/>
              <w:widowControl/>
              <w:jc w:val="center"/>
              <w:rPr>
                <w:rFonts w:ascii="Arial Narrow" w:hAnsi="Arial Narrow"/>
                <w:b/>
                <w:sz w:val="20"/>
              </w:rPr>
            </w:pPr>
            <w:r w:rsidRPr="00CF3D88">
              <w:rPr>
                <w:rFonts w:ascii="Arial Narrow" w:hAnsi="Arial Narrow"/>
                <w:b/>
                <w:sz w:val="20"/>
              </w:rPr>
              <w:t>Publication citation</w:t>
            </w:r>
          </w:p>
        </w:tc>
      </w:tr>
      <w:tr w:rsidR="00954713" w:rsidRPr="00CF3D88" w:rsidTr="002C7059">
        <w:trPr>
          <w:cantSplit/>
        </w:trPr>
        <w:tc>
          <w:tcPr>
            <w:tcW w:w="8345" w:type="dxa"/>
            <w:gridSpan w:val="3"/>
            <w:tcBorders>
              <w:bottom w:val="single" w:sz="4" w:space="0" w:color="auto"/>
            </w:tcBorders>
          </w:tcPr>
          <w:p w:rsidR="00954713" w:rsidRPr="00CF3D88" w:rsidRDefault="00954713" w:rsidP="00954713">
            <w:pPr>
              <w:keepNext/>
              <w:keepLines/>
              <w:widowControl/>
              <w:jc w:val="left"/>
              <w:rPr>
                <w:rFonts w:ascii="Arial Narrow" w:hAnsi="Arial Narrow"/>
                <w:b/>
                <w:sz w:val="20"/>
              </w:rPr>
            </w:pPr>
            <w:r w:rsidRPr="00CF3D88">
              <w:rPr>
                <w:rFonts w:ascii="Arial Narrow" w:hAnsi="Arial Narrow"/>
                <w:b/>
                <w:sz w:val="20"/>
              </w:rPr>
              <w:t>Key evidence: Brentuximab vedotin</w:t>
            </w:r>
          </w:p>
        </w:tc>
      </w:tr>
      <w:tr w:rsidR="00954713" w:rsidRPr="00CF3D88" w:rsidTr="00BD3814">
        <w:trPr>
          <w:cantSplit/>
        </w:trPr>
        <w:tc>
          <w:tcPr>
            <w:tcW w:w="1160" w:type="dxa"/>
            <w:tcBorders>
              <w:bottom w:val="single" w:sz="4" w:space="0" w:color="auto"/>
            </w:tcBorders>
          </w:tcPr>
          <w:p w:rsidR="0046561D" w:rsidRPr="00CF3D88" w:rsidRDefault="00954713" w:rsidP="00535EDA">
            <w:pPr>
              <w:keepNext/>
              <w:keepLines/>
              <w:widowControl/>
              <w:jc w:val="left"/>
              <w:rPr>
                <w:rFonts w:ascii="Arial Narrow" w:hAnsi="Arial Narrow"/>
                <w:sz w:val="20"/>
              </w:rPr>
            </w:pPr>
            <w:r w:rsidRPr="00CF3D88">
              <w:rPr>
                <w:rFonts w:ascii="Arial Narrow" w:hAnsi="Arial Narrow"/>
                <w:sz w:val="20"/>
              </w:rPr>
              <w:t>Study</w:t>
            </w:r>
            <w:r w:rsidR="00535EDA" w:rsidRPr="00CF3D88">
              <w:rPr>
                <w:rFonts w:ascii="Arial Narrow" w:hAnsi="Arial Narrow"/>
                <w:sz w:val="20"/>
              </w:rPr>
              <w:t xml:space="preserve"> </w:t>
            </w:r>
            <w:r w:rsidRPr="00CF3D88">
              <w:rPr>
                <w:rFonts w:ascii="Arial Narrow" w:hAnsi="Arial Narrow"/>
                <w:sz w:val="20"/>
              </w:rPr>
              <w:t>0003</w:t>
            </w:r>
          </w:p>
        </w:tc>
        <w:tc>
          <w:tcPr>
            <w:tcW w:w="5364" w:type="dxa"/>
            <w:tcBorders>
              <w:bottom w:val="single" w:sz="4" w:space="0" w:color="auto"/>
            </w:tcBorders>
          </w:tcPr>
          <w:p w:rsidR="00954713" w:rsidRPr="00CF3D88" w:rsidRDefault="00954713" w:rsidP="00954713">
            <w:pPr>
              <w:keepNext/>
              <w:keepLines/>
              <w:widowControl/>
              <w:jc w:val="left"/>
              <w:rPr>
                <w:rFonts w:ascii="Arial Narrow" w:hAnsi="Arial Narrow"/>
                <w:sz w:val="20"/>
              </w:rPr>
            </w:pPr>
            <w:r w:rsidRPr="00CF3D88">
              <w:rPr>
                <w:rFonts w:ascii="Arial Narrow" w:hAnsi="Arial Narrow"/>
                <w:sz w:val="20"/>
              </w:rPr>
              <w:t xml:space="preserve">A pivotal study of SGN-35 in treatment of patients with relapsed </w:t>
            </w:r>
            <w:r w:rsidR="00D94334">
              <w:rPr>
                <w:rFonts w:ascii="Arial Narrow" w:hAnsi="Arial Narrow"/>
                <w:sz w:val="20"/>
              </w:rPr>
              <w:t>or refractory Hodgkin lymphoma.</w:t>
            </w:r>
          </w:p>
          <w:p w:rsidR="00954713" w:rsidRPr="00CF3D88" w:rsidRDefault="00954713" w:rsidP="00954713">
            <w:pPr>
              <w:keepNext/>
              <w:keepLines/>
              <w:widowControl/>
              <w:jc w:val="left"/>
              <w:rPr>
                <w:rFonts w:ascii="Arial Narrow" w:hAnsi="Arial Narrow"/>
                <w:sz w:val="20"/>
              </w:rPr>
            </w:pPr>
            <w:r w:rsidRPr="00CF3D88">
              <w:rPr>
                <w:rFonts w:ascii="Arial Narrow" w:hAnsi="Arial Narrow"/>
                <w:sz w:val="20"/>
              </w:rPr>
              <w:t>Clinical study report Addendum 1.</w:t>
            </w:r>
          </w:p>
          <w:p w:rsidR="00954713" w:rsidRPr="00CF3D88" w:rsidRDefault="00954713" w:rsidP="00954713">
            <w:pPr>
              <w:keepNext/>
              <w:keepLines/>
              <w:widowControl/>
              <w:jc w:val="left"/>
              <w:rPr>
                <w:rFonts w:ascii="Arial Narrow" w:hAnsi="Arial Narrow"/>
                <w:sz w:val="20"/>
                <w:u w:val="single"/>
              </w:rPr>
            </w:pPr>
            <w:r w:rsidRPr="00CF3D88">
              <w:rPr>
                <w:rFonts w:ascii="Arial Narrow" w:hAnsi="Arial Narrow"/>
                <w:sz w:val="20"/>
                <w:u w:val="single"/>
              </w:rPr>
              <w:t>Key publication</w:t>
            </w:r>
          </w:p>
          <w:p w:rsidR="00954713" w:rsidRPr="00CF3D88" w:rsidRDefault="00954713" w:rsidP="00954713">
            <w:pPr>
              <w:keepNext/>
              <w:keepLines/>
              <w:widowControl/>
              <w:jc w:val="left"/>
              <w:rPr>
                <w:rFonts w:ascii="Arial Narrow" w:hAnsi="Arial Narrow"/>
                <w:i/>
                <w:sz w:val="20"/>
              </w:rPr>
            </w:pPr>
            <w:proofErr w:type="spellStart"/>
            <w:r w:rsidRPr="00CF3D88">
              <w:rPr>
                <w:rFonts w:ascii="Arial Narrow" w:hAnsi="Arial Narrow"/>
                <w:sz w:val="20"/>
              </w:rPr>
              <w:t>Younes</w:t>
            </w:r>
            <w:proofErr w:type="spellEnd"/>
            <w:r w:rsidRPr="00CF3D88">
              <w:rPr>
                <w:rFonts w:ascii="Arial Narrow" w:hAnsi="Arial Narrow"/>
                <w:sz w:val="20"/>
              </w:rPr>
              <w:t xml:space="preserve"> A, Gopal AK, Smith SE, </w:t>
            </w:r>
            <w:r w:rsidRPr="00CF3D88">
              <w:rPr>
                <w:rFonts w:ascii="Arial Narrow" w:hAnsi="Arial Narrow"/>
                <w:i/>
                <w:sz w:val="20"/>
              </w:rPr>
              <w:t>et al</w:t>
            </w:r>
            <w:r w:rsidRPr="00CF3D88">
              <w:rPr>
                <w:rFonts w:ascii="Arial Narrow" w:hAnsi="Arial Narrow"/>
                <w:sz w:val="20"/>
              </w:rPr>
              <w:t>. Results of a pivotal phase II study of brentuximab vedotin for patients with relapsed or refractory Hodgkin's lymphoma.</w:t>
            </w:r>
          </w:p>
        </w:tc>
        <w:tc>
          <w:tcPr>
            <w:tcW w:w="1821" w:type="dxa"/>
            <w:tcBorders>
              <w:bottom w:val="single" w:sz="4" w:space="0" w:color="auto"/>
            </w:tcBorders>
          </w:tcPr>
          <w:p w:rsidR="00954713" w:rsidRPr="00CF3D88" w:rsidRDefault="00954713" w:rsidP="00954713">
            <w:pPr>
              <w:keepNext/>
              <w:keepLines/>
              <w:widowControl/>
              <w:jc w:val="left"/>
              <w:rPr>
                <w:rFonts w:ascii="Arial Narrow" w:hAnsi="Arial Narrow"/>
                <w:sz w:val="20"/>
              </w:rPr>
            </w:pPr>
            <w:r w:rsidRPr="00CF3D88">
              <w:rPr>
                <w:rFonts w:ascii="Arial Narrow" w:hAnsi="Arial Narrow"/>
                <w:sz w:val="20"/>
              </w:rPr>
              <w:t>20 December 2010.</w:t>
            </w:r>
          </w:p>
          <w:p w:rsidR="00954713" w:rsidRPr="00CF3D88" w:rsidRDefault="00954713" w:rsidP="00954713">
            <w:pPr>
              <w:keepNext/>
              <w:keepLines/>
              <w:widowControl/>
              <w:jc w:val="left"/>
              <w:rPr>
                <w:rFonts w:ascii="Arial Narrow" w:hAnsi="Arial Narrow"/>
                <w:sz w:val="20"/>
              </w:rPr>
            </w:pPr>
            <w:r w:rsidRPr="00CF3D88">
              <w:rPr>
                <w:rFonts w:ascii="Arial Narrow" w:hAnsi="Arial Narrow"/>
                <w:sz w:val="20"/>
              </w:rPr>
              <w:t>30 November 2011.</w:t>
            </w:r>
          </w:p>
          <w:p w:rsidR="00954713" w:rsidRPr="00CF3D88" w:rsidRDefault="00954713" w:rsidP="00954713">
            <w:pPr>
              <w:keepNext/>
              <w:keepLines/>
              <w:widowControl/>
              <w:jc w:val="left"/>
              <w:rPr>
                <w:rFonts w:ascii="Arial Narrow" w:hAnsi="Arial Narrow"/>
                <w:i/>
                <w:sz w:val="20"/>
              </w:rPr>
            </w:pPr>
          </w:p>
          <w:p w:rsidR="00954713" w:rsidRPr="00CF3D88" w:rsidRDefault="00954713" w:rsidP="00954713">
            <w:pPr>
              <w:keepNext/>
              <w:keepLines/>
              <w:widowControl/>
              <w:jc w:val="left"/>
              <w:rPr>
                <w:rFonts w:ascii="Arial Narrow" w:hAnsi="Arial Narrow"/>
                <w:i/>
                <w:sz w:val="20"/>
              </w:rPr>
            </w:pPr>
          </w:p>
          <w:p w:rsidR="00954713" w:rsidRPr="00CF3D88" w:rsidRDefault="00954713" w:rsidP="00954713">
            <w:pPr>
              <w:keepNext/>
              <w:keepLines/>
              <w:widowControl/>
              <w:jc w:val="left"/>
              <w:rPr>
                <w:rFonts w:ascii="Arial Narrow" w:hAnsi="Arial Narrow"/>
                <w:b/>
                <w:sz w:val="20"/>
              </w:rPr>
            </w:pPr>
            <w:r w:rsidRPr="00CF3D88">
              <w:rPr>
                <w:rFonts w:ascii="Arial Narrow" w:hAnsi="Arial Narrow"/>
                <w:i/>
                <w:sz w:val="20"/>
              </w:rPr>
              <w:t xml:space="preserve">Journal of Clinical Oncology </w:t>
            </w:r>
            <w:r w:rsidRPr="00CF3D88">
              <w:rPr>
                <w:rFonts w:ascii="Arial Narrow" w:hAnsi="Arial Narrow"/>
                <w:sz w:val="20"/>
              </w:rPr>
              <w:t>2012; 30(18): 2183-2189.</w:t>
            </w:r>
          </w:p>
        </w:tc>
      </w:tr>
      <w:tr w:rsidR="00954713" w:rsidRPr="00CF3D88" w:rsidTr="00BD3814">
        <w:trPr>
          <w:cantSplit/>
        </w:trPr>
        <w:tc>
          <w:tcPr>
            <w:tcW w:w="1160" w:type="dxa"/>
            <w:tcBorders>
              <w:top w:val="single" w:sz="4" w:space="0" w:color="auto"/>
              <w:bottom w:val="nil"/>
            </w:tcBorders>
            <w:shd w:val="clear" w:color="auto" w:fill="FFFFFF" w:themeFill="background1"/>
          </w:tcPr>
          <w:p w:rsidR="0046561D" w:rsidRPr="00CF3D88" w:rsidRDefault="00954713" w:rsidP="004D3483">
            <w:pPr>
              <w:widowControl/>
              <w:jc w:val="left"/>
              <w:rPr>
                <w:rFonts w:ascii="Arial Narrow" w:hAnsi="Arial Narrow"/>
                <w:sz w:val="20"/>
              </w:rPr>
            </w:pPr>
            <w:r w:rsidRPr="00CF3D88">
              <w:rPr>
                <w:rFonts w:ascii="Arial Narrow" w:hAnsi="Arial Narrow"/>
                <w:sz w:val="20"/>
              </w:rPr>
              <w:t xml:space="preserve">AETHERA </w:t>
            </w:r>
          </w:p>
        </w:tc>
        <w:tc>
          <w:tcPr>
            <w:tcW w:w="5364" w:type="dxa"/>
            <w:tcBorders>
              <w:top w:val="single" w:sz="4" w:space="0" w:color="auto"/>
              <w:bottom w:val="nil"/>
            </w:tcBorders>
            <w:shd w:val="clear" w:color="auto" w:fill="FFFFFF" w:themeFill="background1"/>
          </w:tcPr>
          <w:p w:rsidR="00954713" w:rsidRPr="00CF3D88" w:rsidRDefault="00954713" w:rsidP="00954713">
            <w:pPr>
              <w:jc w:val="left"/>
              <w:rPr>
                <w:rFonts w:ascii="Arial Narrow" w:hAnsi="Arial Narrow"/>
                <w:sz w:val="20"/>
                <w:u w:val="single"/>
              </w:rPr>
            </w:pPr>
            <w:r w:rsidRPr="00CF3D88">
              <w:rPr>
                <w:rFonts w:ascii="Arial Narrow" w:hAnsi="Arial Narrow"/>
                <w:sz w:val="20"/>
                <w:u w:val="single"/>
              </w:rPr>
              <w:t>Key publication</w:t>
            </w:r>
          </w:p>
          <w:p w:rsidR="00954713" w:rsidRPr="00CF3D88" w:rsidRDefault="00954713" w:rsidP="00954713">
            <w:pPr>
              <w:shd w:val="clear" w:color="auto" w:fill="FFFFFF"/>
              <w:jc w:val="left"/>
              <w:rPr>
                <w:rFonts w:ascii="Arial Narrow" w:hAnsi="Arial Narrow"/>
                <w:sz w:val="20"/>
              </w:rPr>
            </w:pPr>
            <w:r w:rsidRPr="00CF3D88">
              <w:rPr>
                <w:rFonts w:ascii="Arial Narrow" w:hAnsi="Arial Narrow"/>
                <w:sz w:val="20"/>
              </w:rPr>
              <w:t xml:space="preserve">Moskowitz CH, Nademanee A, Masszi T et al., Brentuximab vedotin as consolidation therapy after autologous stem-cell transplantation in patients with Hodgkin's lymphoma at risk of relapse or progression (AETHERA): a randomised, double-blind, placebo-controlled, phase 3 trial.  </w:t>
            </w:r>
          </w:p>
        </w:tc>
        <w:tc>
          <w:tcPr>
            <w:tcW w:w="1821" w:type="dxa"/>
            <w:tcBorders>
              <w:top w:val="single" w:sz="4" w:space="0" w:color="auto"/>
              <w:bottom w:val="nil"/>
            </w:tcBorders>
            <w:shd w:val="clear" w:color="auto" w:fill="FFFFFF" w:themeFill="background1"/>
          </w:tcPr>
          <w:p w:rsidR="00954713" w:rsidRPr="00CF3D88" w:rsidRDefault="00954713" w:rsidP="00954713">
            <w:pPr>
              <w:widowControl/>
              <w:jc w:val="left"/>
              <w:rPr>
                <w:rFonts w:ascii="Arial Narrow" w:hAnsi="Arial Narrow"/>
                <w:sz w:val="20"/>
              </w:rPr>
            </w:pPr>
          </w:p>
          <w:p w:rsidR="00954713" w:rsidRPr="00CF3D88" w:rsidRDefault="00954713" w:rsidP="00954713">
            <w:pPr>
              <w:widowControl/>
              <w:jc w:val="left"/>
              <w:rPr>
                <w:rFonts w:ascii="Arial Narrow" w:hAnsi="Arial Narrow"/>
                <w:sz w:val="20"/>
              </w:rPr>
            </w:pPr>
            <w:r w:rsidRPr="00CF3D88">
              <w:rPr>
                <w:rFonts w:ascii="Arial Narrow" w:hAnsi="Arial Narrow"/>
                <w:i/>
                <w:sz w:val="20"/>
              </w:rPr>
              <w:t xml:space="preserve">Lancet. </w:t>
            </w:r>
            <w:proofErr w:type="gramStart"/>
            <w:r w:rsidRPr="00CF3D88">
              <w:rPr>
                <w:rFonts w:ascii="Arial Narrow" w:hAnsi="Arial Narrow"/>
                <w:sz w:val="20"/>
              </w:rPr>
              <w:t>2015 ;</w:t>
            </w:r>
            <w:proofErr w:type="gramEnd"/>
            <w:r w:rsidRPr="00CF3D88">
              <w:rPr>
                <w:rFonts w:ascii="Arial Narrow" w:hAnsi="Arial Narrow"/>
                <w:sz w:val="20"/>
              </w:rPr>
              <w:t xml:space="preserve"> 9; 385 (9980): 1853–62. </w:t>
            </w:r>
          </w:p>
        </w:tc>
      </w:tr>
      <w:tr w:rsidR="00954713" w:rsidRPr="00CF3D88" w:rsidTr="002C7059">
        <w:trPr>
          <w:cantSplit/>
        </w:trPr>
        <w:tc>
          <w:tcPr>
            <w:tcW w:w="8345" w:type="dxa"/>
            <w:gridSpan w:val="3"/>
          </w:tcPr>
          <w:p w:rsidR="00954713" w:rsidRPr="00CF3D88" w:rsidRDefault="00954713" w:rsidP="00954713">
            <w:pPr>
              <w:widowControl/>
              <w:jc w:val="left"/>
              <w:rPr>
                <w:rFonts w:ascii="Arial Narrow" w:hAnsi="Arial Narrow"/>
                <w:b/>
                <w:sz w:val="20"/>
              </w:rPr>
            </w:pPr>
            <w:r w:rsidRPr="00CF3D88">
              <w:rPr>
                <w:rFonts w:ascii="Arial Narrow" w:hAnsi="Arial Narrow"/>
                <w:b/>
                <w:sz w:val="20"/>
              </w:rPr>
              <w:t xml:space="preserve">Key evidence: Salvage chemotherapy </w:t>
            </w:r>
          </w:p>
        </w:tc>
      </w:tr>
      <w:tr w:rsidR="00954713" w:rsidRPr="00CF3D88" w:rsidTr="002C7059">
        <w:trPr>
          <w:cantSplit/>
        </w:trPr>
        <w:tc>
          <w:tcPr>
            <w:tcW w:w="1160" w:type="dxa"/>
            <w:tcBorders>
              <w:bottom w:val="single" w:sz="4" w:space="0" w:color="auto"/>
            </w:tcBorders>
          </w:tcPr>
          <w:p w:rsidR="00954713" w:rsidRPr="00CF3D88" w:rsidRDefault="00954713" w:rsidP="00954713">
            <w:pPr>
              <w:widowControl/>
              <w:jc w:val="left"/>
              <w:rPr>
                <w:rFonts w:ascii="Arial Narrow" w:hAnsi="Arial Narrow"/>
                <w:sz w:val="20"/>
              </w:rPr>
            </w:pPr>
            <w:r w:rsidRPr="00CF3D88">
              <w:rPr>
                <w:rFonts w:ascii="Arial Narrow" w:hAnsi="Arial Narrow"/>
                <w:sz w:val="20"/>
              </w:rPr>
              <w:t>Kaloyannidis 2012</w:t>
            </w:r>
          </w:p>
          <w:p w:rsidR="00954713" w:rsidRPr="00CF3D88" w:rsidRDefault="00954713" w:rsidP="00954713">
            <w:pPr>
              <w:widowControl/>
              <w:jc w:val="left"/>
              <w:rPr>
                <w:rFonts w:ascii="Arial Narrow" w:hAnsi="Arial Narrow"/>
                <w:sz w:val="20"/>
              </w:rPr>
            </w:pPr>
            <w:r w:rsidRPr="00CF3D88">
              <w:rPr>
                <w:rFonts w:ascii="Arial Narrow" w:hAnsi="Arial Narrow"/>
                <w:sz w:val="20"/>
              </w:rPr>
              <w:t>(Greek Registry)</w:t>
            </w:r>
          </w:p>
        </w:tc>
        <w:tc>
          <w:tcPr>
            <w:tcW w:w="5364" w:type="dxa"/>
            <w:tcBorders>
              <w:bottom w:val="single" w:sz="4" w:space="0" w:color="auto"/>
            </w:tcBorders>
          </w:tcPr>
          <w:p w:rsidR="00954713" w:rsidRPr="00CF3D88" w:rsidRDefault="00954713" w:rsidP="00954713">
            <w:pPr>
              <w:widowControl/>
              <w:jc w:val="left"/>
              <w:rPr>
                <w:rFonts w:ascii="Arial Narrow" w:hAnsi="Arial Narrow"/>
                <w:sz w:val="20"/>
              </w:rPr>
            </w:pPr>
            <w:r w:rsidRPr="00CF3D88">
              <w:rPr>
                <w:rFonts w:ascii="Arial Narrow" w:hAnsi="Arial Narrow"/>
                <w:sz w:val="20"/>
              </w:rPr>
              <w:t xml:space="preserve">Kaloyannidis P, Voutiadou G, Baltadakis I, </w:t>
            </w:r>
            <w:r w:rsidRPr="00CF3D88">
              <w:rPr>
                <w:rFonts w:ascii="Arial Narrow" w:hAnsi="Arial Narrow"/>
                <w:i/>
                <w:sz w:val="20"/>
              </w:rPr>
              <w:t>et al</w:t>
            </w:r>
            <w:r w:rsidRPr="00CF3D88">
              <w:rPr>
                <w:rFonts w:ascii="Arial Narrow" w:hAnsi="Arial Narrow"/>
                <w:sz w:val="20"/>
              </w:rPr>
              <w:t>. Outcomes of Hodgkin's lymphoma patients with relapse or progression following autologous hematopoietic cell transplantation.</w:t>
            </w:r>
          </w:p>
        </w:tc>
        <w:tc>
          <w:tcPr>
            <w:tcW w:w="1821" w:type="dxa"/>
            <w:tcBorders>
              <w:bottom w:val="single" w:sz="4" w:space="0" w:color="auto"/>
            </w:tcBorders>
          </w:tcPr>
          <w:p w:rsidR="00954713" w:rsidRPr="00CF3D88" w:rsidRDefault="00954713" w:rsidP="00954713">
            <w:pPr>
              <w:widowControl/>
              <w:jc w:val="left"/>
              <w:rPr>
                <w:rFonts w:ascii="Arial Narrow" w:hAnsi="Arial Narrow"/>
                <w:b/>
                <w:sz w:val="20"/>
              </w:rPr>
            </w:pPr>
            <w:r w:rsidRPr="00CF3D88">
              <w:rPr>
                <w:rFonts w:ascii="Arial Narrow" w:hAnsi="Arial Narrow"/>
                <w:i/>
                <w:sz w:val="20"/>
              </w:rPr>
              <w:t>Biol Blood Marrow Transplant.</w:t>
            </w:r>
            <w:r w:rsidRPr="00CF3D88">
              <w:rPr>
                <w:rFonts w:ascii="Arial Narrow" w:hAnsi="Arial Narrow"/>
                <w:sz w:val="20"/>
              </w:rPr>
              <w:t xml:space="preserve"> March 2012; 18(3): 451-457.</w:t>
            </w:r>
          </w:p>
        </w:tc>
      </w:tr>
      <w:tr w:rsidR="00954713" w:rsidRPr="00CF3D88" w:rsidTr="002C7059">
        <w:trPr>
          <w:cantSplit/>
        </w:trPr>
        <w:tc>
          <w:tcPr>
            <w:tcW w:w="1160" w:type="dxa"/>
            <w:tcBorders>
              <w:bottom w:val="single" w:sz="4" w:space="0" w:color="auto"/>
            </w:tcBorders>
          </w:tcPr>
          <w:p w:rsidR="00954713" w:rsidRPr="00CF3D88" w:rsidRDefault="00954713" w:rsidP="00954713">
            <w:pPr>
              <w:widowControl/>
              <w:jc w:val="left"/>
              <w:rPr>
                <w:rFonts w:ascii="Arial Narrow" w:hAnsi="Arial Narrow"/>
                <w:sz w:val="20"/>
              </w:rPr>
            </w:pPr>
            <w:r w:rsidRPr="00CF3D88">
              <w:rPr>
                <w:rFonts w:ascii="Arial Narrow" w:hAnsi="Arial Narrow"/>
                <w:sz w:val="20"/>
              </w:rPr>
              <w:t>Connors 2013 (British Columbia Registry)</w:t>
            </w:r>
          </w:p>
        </w:tc>
        <w:tc>
          <w:tcPr>
            <w:tcW w:w="5364" w:type="dxa"/>
            <w:tcBorders>
              <w:bottom w:val="single" w:sz="4" w:space="0" w:color="auto"/>
            </w:tcBorders>
          </w:tcPr>
          <w:p w:rsidR="00954713" w:rsidRPr="00CF3D88" w:rsidRDefault="00954713" w:rsidP="00954713">
            <w:pPr>
              <w:widowControl/>
              <w:jc w:val="left"/>
              <w:rPr>
                <w:rFonts w:ascii="Arial Narrow" w:hAnsi="Arial Narrow"/>
                <w:sz w:val="20"/>
              </w:rPr>
            </w:pPr>
            <w:r w:rsidRPr="00CF3D88">
              <w:rPr>
                <w:rFonts w:ascii="Arial Narrow" w:hAnsi="Arial Narrow"/>
                <w:sz w:val="20"/>
              </w:rPr>
              <w:t>Connors JM, MD. Clinical Director, BC Cancer Agency Centre for Lymphoid Cancer</w:t>
            </w:r>
          </w:p>
          <w:p w:rsidR="00954713" w:rsidRPr="00CF3D88" w:rsidRDefault="00954713" w:rsidP="00954713">
            <w:pPr>
              <w:widowControl/>
              <w:jc w:val="left"/>
              <w:rPr>
                <w:rFonts w:ascii="Arial Narrow" w:hAnsi="Arial Narrow"/>
                <w:b/>
                <w:sz w:val="20"/>
              </w:rPr>
            </w:pPr>
            <w:r w:rsidRPr="00CF3D88">
              <w:rPr>
                <w:rFonts w:ascii="Arial Narrow" w:hAnsi="Arial Narrow"/>
                <w:sz w:val="20"/>
              </w:rPr>
              <w:t xml:space="preserve">Acting Head, Division of Medical Oncology, University of British Columbia. “Clinical Characteristics and Outcome for Patients with Relapse of Hodgkin Lymphoma after High Dose Chemotherapy and Autologous Hematopoietic Stem Cell Transplantation (ASCT) in British Columbia” </w:t>
            </w:r>
          </w:p>
        </w:tc>
        <w:tc>
          <w:tcPr>
            <w:tcW w:w="1821" w:type="dxa"/>
            <w:tcBorders>
              <w:bottom w:val="single" w:sz="4" w:space="0" w:color="auto"/>
            </w:tcBorders>
          </w:tcPr>
          <w:p w:rsidR="00954713" w:rsidRPr="00CF3D88" w:rsidRDefault="00954713" w:rsidP="00954713">
            <w:pPr>
              <w:widowControl/>
              <w:jc w:val="left"/>
              <w:rPr>
                <w:rFonts w:ascii="Arial Narrow" w:hAnsi="Arial Narrow"/>
                <w:b/>
                <w:sz w:val="20"/>
              </w:rPr>
            </w:pPr>
            <w:r w:rsidRPr="00CF3D88">
              <w:rPr>
                <w:rFonts w:ascii="Arial Narrow" w:hAnsi="Arial Narrow"/>
                <w:sz w:val="20"/>
              </w:rPr>
              <w:t>Unpublished report dated 5 February 201</w:t>
            </w:r>
            <w:r w:rsidRPr="00CF3D88">
              <w:rPr>
                <w:rFonts w:ascii="Arial Narrow" w:hAnsi="Arial Narrow"/>
                <w:i/>
                <w:sz w:val="20"/>
              </w:rPr>
              <w:t>4</w:t>
            </w:r>
            <w:r w:rsidRPr="00CF3D88">
              <w:rPr>
                <w:rFonts w:ascii="Arial Narrow" w:hAnsi="Arial Narrow"/>
                <w:sz w:val="20"/>
              </w:rPr>
              <w:t xml:space="preserve">. </w:t>
            </w:r>
          </w:p>
          <w:p w:rsidR="00954713" w:rsidRPr="00CF3D88" w:rsidRDefault="00954713" w:rsidP="00954713">
            <w:pPr>
              <w:widowControl/>
              <w:jc w:val="left"/>
              <w:rPr>
                <w:rFonts w:ascii="Arial Narrow" w:hAnsi="Arial Narrow"/>
                <w:b/>
                <w:sz w:val="20"/>
              </w:rPr>
            </w:pPr>
          </w:p>
        </w:tc>
      </w:tr>
      <w:tr w:rsidR="0046561D" w:rsidRPr="00CF3D88" w:rsidTr="003B3A77">
        <w:trPr>
          <w:cantSplit/>
        </w:trPr>
        <w:tc>
          <w:tcPr>
            <w:tcW w:w="8345" w:type="dxa"/>
            <w:gridSpan w:val="3"/>
          </w:tcPr>
          <w:p w:rsidR="0046561D" w:rsidRPr="00CF3D88" w:rsidRDefault="0046561D" w:rsidP="00FD1830">
            <w:pPr>
              <w:widowControl/>
              <w:jc w:val="left"/>
              <w:rPr>
                <w:rFonts w:ascii="Arial Narrow" w:hAnsi="Arial Narrow"/>
                <w:b/>
                <w:sz w:val="20"/>
              </w:rPr>
            </w:pPr>
            <w:r w:rsidRPr="00CF3D88">
              <w:rPr>
                <w:rFonts w:ascii="Arial Narrow" w:hAnsi="Arial Narrow" w:cs="Arial Narrow"/>
                <w:b/>
                <w:snapToGrid/>
                <w:sz w:val="20"/>
              </w:rPr>
              <w:t xml:space="preserve">Supplementary evidence – </w:t>
            </w:r>
            <w:r w:rsidR="00FD1830" w:rsidRPr="00CF3D88">
              <w:rPr>
                <w:rFonts w:ascii="Arial Narrow" w:hAnsi="Arial Narrow" w:cs="Arial Narrow"/>
                <w:b/>
                <w:snapToGrid/>
                <w:sz w:val="20"/>
              </w:rPr>
              <w:t>brentuximab vedotin</w:t>
            </w:r>
          </w:p>
        </w:tc>
      </w:tr>
      <w:tr w:rsidR="00954713" w:rsidRPr="00CF3D88" w:rsidTr="002C7059">
        <w:trPr>
          <w:cantSplit/>
        </w:trPr>
        <w:tc>
          <w:tcPr>
            <w:tcW w:w="1160" w:type="dxa"/>
          </w:tcPr>
          <w:p w:rsidR="00954713" w:rsidRPr="00CF3D88" w:rsidRDefault="00954713" w:rsidP="003340BA">
            <w:pPr>
              <w:widowControl/>
              <w:jc w:val="left"/>
              <w:rPr>
                <w:rFonts w:ascii="Arial Narrow" w:hAnsi="Arial Narrow"/>
                <w:snapToGrid/>
                <w:sz w:val="20"/>
              </w:rPr>
            </w:pPr>
            <w:r w:rsidRPr="00CF3D88">
              <w:rPr>
                <w:rFonts w:ascii="Arial Narrow" w:hAnsi="Arial Narrow" w:cs="Arial Narrow"/>
                <w:snapToGrid/>
                <w:sz w:val="20"/>
              </w:rPr>
              <w:t xml:space="preserve">Zagadailov </w:t>
            </w:r>
            <w:r w:rsidRPr="00CF3D88">
              <w:rPr>
                <w:rFonts w:ascii="Arial Narrow" w:hAnsi="Arial Narrow" w:cs="Arial Narrow"/>
                <w:i/>
                <w:snapToGrid/>
                <w:sz w:val="20"/>
              </w:rPr>
              <w:t>et al</w:t>
            </w:r>
            <w:r w:rsidR="004D3483" w:rsidRPr="00CF3D88">
              <w:rPr>
                <w:rFonts w:ascii="Arial Narrow" w:hAnsi="Arial Narrow" w:cs="Arial Narrow"/>
                <w:i/>
                <w:snapToGrid/>
                <w:sz w:val="20"/>
              </w:rPr>
              <w:t xml:space="preserve"> </w:t>
            </w:r>
            <w:r w:rsidR="004D3483" w:rsidRPr="00CF3D88">
              <w:rPr>
                <w:rFonts w:ascii="Arial Narrow" w:hAnsi="Arial Narrow" w:cs="Arial Narrow"/>
                <w:snapToGrid/>
                <w:sz w:val="20"/>
              </w:rPr>
              <w:t>2016</w:t>
            </w:r>
          </w:p>
        </w:tc>
        <w:tc>
          <w:tcPr>
            <w:tcW w:w="5364" w:type="dxa"/>
          </w:tcPr>
          <w:p w:rsidR="00954713" w:rsidRPr="00CF3D88" w:rsidRDefault="00954713" w:rsidP="00954713">
            <w:pPr>
              <w:widowControl/>
              <w:jc w:val="left"/>
              <w:rPr>
                <w:rFonts w:ascii="Arial Narrow" w:hAnsi="Arial Narrow"/>
                <w:sz w:val="20"/>
              </w:rPr>
            </w:pPr>
            <w:r w:rsidRPr="00CF3D88">
              <w:rPr>
                <w:rFonts w:ascii="Arial Narrow" w:hAnsi="Arial Narrow"/>
                <w:sz w:val="20"/>
              </w:rPr>
              <w:t xml:space="preserve">Zagadailov EA, Corman S, Hagan M, </w:t>
            </w:r>
            <w:r w:rsidRPr="00CF3D88">
              <w:rPr>
                <w:rFonts w:ascii="Arial Narrow" w:hAnsi="Arial Narrow"/>
                <w:i/>
                <w:sz w:val="20"/>
              </w:rPr>
              <w:t>et al.</w:t>
            </w:r>
            <w:r w:rsidRPr="00CF3D88">
              <w:rPr>
                <w:rFonts w:ascii="Arial Narrow" w:hAnsi="Arial Narrow"/>
                <w:sz w:val="20"/>
              </w:rPr>
              <w:t xml:space="preserve"> Real-world effectiveness of brentuximab vedotin (BV) vs. other treatments in patients with relapsed/refractory hodgkin lymphoma (rrhl) post autologous stem-cell transplantation (ASCT). </w:t>
            </w:r>
          </w:p>
        </w:tc>
        <w:tc>
          <w:tcPr>
            <w:tcW w:w="1821" w:type="dxa"/>
          </w:tcPr>
          <w:p w:rsidR="00954713" w:rsidRPr="00CF3D88" w:rsidRDefault="00954713" w:rsidP="00954713">
            <w:pPr>
              <w:widowControl/>
              <w:jc w:val="left"/>
              <w:rPr>
                <w:rFonts w:ascii="Arial Narrow" w:hAnsi="Arial Narrow"/>
                <w:i/>
                <w:sz w:val="20"/>
              </w:rPr>
            </w:pPr>
            <w:r w:rsidRPr="00CF3D88">
              <w:rPr>
                <w:rFonts w:ascii="Arial Narrow" w:hAnsi="Arial Narrow"/>
                <w:sz w:val="20"/>
              </w:rPr>
              <w:t>Poster presentation at the European Haematology Association meeting, Copenhagen, Denmark, 10</w:t>
            </w:r>
            <w:r w:rsidRPr="00CF3D88">
              <w:rPr>
                <w:rFonts w:ascii="Arial Narrow" w:hAnsi="Arial Narrow"/>
                <w:sz w:val="20"/>
                <w:vertAlign w:val="superscript"/>
              </w:rPr>
              <w:t>th</w:t>
            </w:r>
            <w:r w:rsidRPr="00CF3D88">
              <w:rPr>
                <w:rFonts w:ascii="Arial Narrow" w:hAnsi="Arial Narrow"/>
                <w:sz w:val="20"/>
              </w:rPr>
              <w:t xml:space="preserve"> June 2016.</w:t>
            </w:r>
          </w:p>
        </w:tc>
      </w:tr>
      <w:tr w:rsidR="00954713" w:rsidRPr="00CF3D88" w:rsidTr="002C7059">
        <w:trPr>
          <w:cantSplit/>
        </w:trPr>
        <w:tc>
          <w:tcPr>
            <w:tcW w:w="1160" w:type="dxa"/>
          </w:tcPr>
          <w:p w:rsidR="00954713" w:rsidRPr="00CF3D88" w:rsidRDefault="00954713" w:rsidP="003340BA">
            <w:pPr>
              <w:widowControl/>
              <w:jc w:val="left"/>
              <w:rPr>
                <w:rFonts w:ascii="Arial Narrow" w:hAnsi="Arial Narrow"/>
                <w:snapToGrid/>
                <w:sz w:val="20"/>
              </w:rPr>
            </w:pPr>
            <w:r w:rsidRPr="00CF3D88">
              <w:rPr>
                <w:rFonts w:ascii="Arial Narrow" w:hAnsi="Arial Narrow" w:cs="Arial Narrow"/>
                <w:snapToGrid/>
                <w:sz w:val="20"/>
              </w:rPr>
              <w:t xml:space="preserve">Garciaz  </w:t>
            </w:r>
            <w:r w:rsidRPr="00CF3D88">
              <w:rPr>
                <w:rFonts w:ascii="Arial Narrow" w:hAnsi="Arial Narrow" w:cs="Arial Narrow"/>
                <w:i/>
                <w:snapToGrid/>
                <w:sz w:val="20"/>
              </w:rPr>
              <w:t>et al</w:t>
            </w:r>
            <w:r w:rsidRPr="00CF3D88">
              <w:rPr>
                <w:rFonts w:ascii="Arial Narrow" w:hAnsi="Arial Narrow" w:cs="Arial Narrow"/>
                <w:snapToGrid/>
                <w:sz w:val="20"/>
              </w:rPr>
              <w:t>, 2013</w:t>
            </w:r>
          </w:p>
        </w:tc>
        <w:tc>
          <w:tcPr>
            <w:tcW w:w="5364" w:type="dxa"/>
          </w:tcPr>
          <w:p w:rsidR="00954713" w:rsidRPr="00CF3D88" w:rsidRDefault="00954713" w:rsidP="00954713">
            <w:pPr>
              <w:widowControl/>
              <w:jc w:val="left"/>
              <w:rPr>
                <w:rFonts w:ascii="Arial Narrow" w:hAnsi="Arial Narrow"/>
                <w:sz w:val="20"/>
              </w:rPr>
            </w:pPr>
            <w:r w:rsidRPr="00CF3D88">
              <w:rPr>
                <w:rFonts w:ascii="Arial Narrow" w:hAnsi="Arial Narrow"/>
                <w:sz w:val="20"/>
              </w:rPr>
              <w:t xml:space="preserve">Garciaz S, Coso D, Peyrade F, </w:t>
            </w:r>
            <w:r w:rsidRPr="00CF3D88">
              <w:rPr>
                <w:rFonts w:ascii="Arial Narrow" w:hAnsi="Arial Narrow"/>
                <w:i/>
                <w:sz w:val="20"/>
              </w:rPr>
              <w:t>et al</w:t>
            </w:r>
            <w:r w:rsidRPr="00CF3D88">
              <w:rPr>
                <w:rFonts w:ascii="Arial Narrow" w:hAnsi="Arial Narrow"/>
                <w:sz w:val="20"/>
              </w:rPr>
              <w:t xml:space="preserve">. Brentuximab vedotin followed by allogeneic transplantation as salvage regimen in patients with relapsed and/or refractory Hodgkin’s lymphoma. </w:t>
            </w:r>
          </w:p>
        </w:tc>
        <w:tc>
          <w:tcPr>
            <w:tcW w:w="1821" w:type="dxa"/>
          </w:tcPr>
          <w:p w:rsidR="00954713" w:rsidRPr="00CF3D88" w:rsidRDefault="00954713" w:rsidP="00954713">
            <w:pPr>
              <w:widowControl/>
              <w:jc w:val="left"/>
              <w:rPr>
                <w:rFonts w:ascii="Arial Narrow" w:hAnsi="Arial Narrow"/>
                <w:i/>
                <w:sz w:val="20"/>
              </w:rPr>
            </w:pPr>
            <w:r w:rsidRPr="00CF3D88">
              <w:rPr>
                <w:rFonts w:ascii="Arial Narrow" w:hAnsi="Arial Narrow"/>
                <w:i/>
                <w:sz w:val="20"/>
              </w:rPr>
              <w:t>Hematol Oncol</w:t>
            </w:r>
            <w:r w:rsidRPr="00CF3D88">
              <w:rPr>
                <w:rFonts w:ascii="Arial Narrow" w:hAnsi="Arial Narrow"/>
                <w:sz w:val="20"/>
              </w:rPr>
              <w:t xml:space="preserve">. 2013; 32(4): 187-191.  </w:t>
            </w:r>
          </w:p>
        </w:tc>
      </w:tr>
      <w:tr w:rsidR="00954713" w:rsidRPr="00CF3D88" w:rsidTr="002C7059">
        <w:trPr>
          <w:cantSplit/>
        </w:trPr>
        <w:tc>
          <w:tcPr>
            <w:tcW w:w="1160" w:type="dxa"/>
          </w:tcPr>
          <w:p w:rsidR="00954713" w:rsidRPr="00CF3D88" w:rsidRDefault="00954713" w:rsidP="003340BA">
            <w:pPr>
              <w:widowControl/>
              <w:jc w:val="left"/>
              <w:rPr>
                <w:rFonts w:ascii="Arial Narrow" w:hAnsi="Arial Narrow"/>
                <w:snapToGrid/>
                <w:sz w:val="20"/>
              </w:rPr>
            </w:pPr>
            <w:r w:rsidRPr="00CF3D88">
              <w:rPr>
                <w:rFonts w:ascii="Arial Narrow" w:hAnsi="Arial Narrow" w:cs="Arial Narrow"/>
                <w:snapToGrid/>
                <w:sz w:val="20"/>
              </w:rPr>
              <w:t xml:space="preserve">Salihoglu  </w:t>
            </w:r>
            <w:r w:rsidRPr="00CF3D88">
              <w:rPr>
                <w:rFonts w:ascii="Arial Narrow" w:hAnsi="Arial Narrow" w:cs="Arial Narrow"/>
                <w:i/>
                <w:snapToGrid/>
                <w:sz w:val="20"/>
              </w:rPr>
              <w:t xml:space="preserve">et al, </w:t>
            </w:r>
            <w:r w:rsidRPr="00CF3D88">
              <w:rPr>
                <w:rFonts w:ascii="Arial Narrow" w:hAnsi="Arial Narrow" w:cs="Arial Narrow"/>
                <w:snapToGrid/>
                <w:sz w:val="20"/>
              </w:rPr>
              <w:t>2015</w:t>
            </w:r>
          </w:p>
        </w:tc>
        <w:tc>
          <w:tcPr>
            <w:tcW w:w="5364" w:type="dxa"/>
          </w:tcPr>
          <w:p w:rsidR="00954713" w:rsidRPr="00CF3D88" w:rsidRDefault="00954713" w:rsidP="00954713">
            <w:pPr>
              <w:widowControl/>
              <w:jc w:val="left"/>
              <w:rPr>
                <w:rFonts w:ascii="Arial Narrow" w:hAnsi="Arial Narrow"/>
                <w:sz w:val="20"/>
              </w:rPr>
            </w:pPr>
            <w:r w:rsidRPr="00CF3D88">
              <w:rPr>
                <w:rFonts w:ascii="Arial Narrow" w:hAnsi="Arial Narrow"/>
                <w:sz w:val="20"/>
              </w:rPr>
              <w:t xml:space="preserve">Salihoglu A, Elverdi T, Karadogan I, </w:t>
            </w:r>
            <w:r w:rsidRPr="00CF3D88">
              <w:rPr>
                <w:rFonts w:ascii="Arial Narrow" w:hAnsi="Arial Narrow"/>
                <w:i/>
                <w:sz w:val="20"/>
              </w:rPr>
              <w:t>et al</w:t>
            </w:r>
            <w:r w:rsidRPr="00CF3D88">
              <w:rPr>
                <w:rFonts w:ascii="Arial Narrow" w:hAnsi="Arial Narrow"/>
                <w:sz w:val="20"/>
              </w:rPr>
              <w:t xml:space="preserve">. Brentuximab vedotin for relapsed or refractory Hodgkin lymphoma: experience in Turkey. </w:t>
            </w:r>
          </w:p>
        </w:tc>
        <w:tc>
          <w:tcPr>
            <w:tcW w:w="1821" w:type="dxa"/>
          </w:tcPr>
          <w:p w:rsidR="00954713" w:rsidRPr="00CF3D88" w:rsidRDefault="00954713" w:rsidP="00954713">
            <w:pPr>
              <w:widowControl/>
              <w:jc w:val="left"/>
              <w:rPr>
                <w:rFonts w:ascii="Arial Narrow" w:hAnsi="Arial Narrow"/>
                <w:i/>
                <w:sz w:val="20"/>
              </w:rPr>
            </w:pPr>
            <w:r w:rsidRPr="00CF3D88">
              <w:rPr>
                <w:rFonts w:ascii="Arial Narrow" w:hAnsi="Arial Narrow"/>
                <w:i/>
                <w:sz w:val="20"/>
              </w:rPr>
              <w:t>Ann Hematol</w:t>
            </w:r>
            <w:r w:rsidRPr="00CF3D88">
              <w:rPr>
                <w:rFonts w:ascii="Arial Narrow" w:hAnsi="Arial Narrow"/>
                <w:sz w:val="20"/>
              </w:rPr>
              <w:t xml:space="preserve">. March 2015; 94(3):415-20. </w:t>
            </w:r>
          </w:p>
        </w:tc>
      </w:tr>
      <w:tr w:rsidR="00954713" w:rsidRPr="00CF3D88" w:rsidTr="002C7059">
        <w:trPr>
          <w:cantSplit/>
        </w:trPr>
        <w:tc>
          <w:tcPr>
            <w:tcW w:w="1160" w:type="dxa"/>
          </w:tcPr>
          <w:p w:rsidR="00954713" w:rsidRPr="00CF3D88" w:rsidRDefault="00954713" w:rsidP="003340BA">
            <w:pPr>
              <w:widowControl/>
              <w:jc w:val="left"/>
              <w:rPr>
                <w:rFonts w:ascii="Arial Narrow" w:hAnsi="Arial Narrow"/>
                <w:snapToGrid/>
                <w:sz w:val="20"/>
              </w:rPr>
            </w:pPr>
            <w:r w:rsidRPr="00CF3D88">
              <w:rPr>
                <w:rFonts w:ascii="Arial Narrow" w:hAnsi="Arial Narrow" w:cs="Arial Narrow"/>
                <w:snapToGrid/>
                <w:sz w:val="20"/>
              </w:rPr>
              <w:t xml:space="preserve">Yang </w:t>
            </w:r>
            <w:r w:rsidRPr="00CF3D88">
              <w:rPr>
                <w:rFonts w:ascii="Arial Narrow" w:hAnsi="Arial Narrow" w:cs="Arial Narrow"/>
                <w:i/>
                <w:snapToGrid/>
                <w:sz w:val="20"/>
              </w:rPr>
              <w:t xml:space="preserve">et al, </w:t>
            </w:r>
            <w:r w:rsidRPr="00CF3D88">
              <w:rPr>
                <w:rFonts w:ascii="Arial Narrow" w:hAnsi="Arial Narrow" w:cs="Arial Narrow"/>
                <w:snapToGrid/>
                <w:sz w:val="20"/>
              </w:rPr>
              <w:t>2014</w:t>
            </w:r>
          </w:p>
        </w:tc>
        <w:tc>
          <w:tcPr>
            <w:tcW w:w="5364" w:type="dxa"/>
          </w:tcPr>
          <w:p w:rsidR="00954713" w:rsidRPr="00CF3D88" w:rsidRDefault="00954713" w:rsidP="00954713">
            <w:pPr>
              <w:widowControl/>
              <w:jc w:val="left"/>
              <w:rPr>
                <w:rFonts w:ascii="Arial Narrow" w:hAnsi="Arial Narrow"/>
                <w:sz w:val="20"/>
              </w:rPr>
            </w:pPr>
            <w:r w:rsidRPr="00CF3D88">
              <w:rPr>
                <w:rFonts w:ascii="Arial Narrow" w:hAnsi="Arial Narrow"/>
                <w:sz w:val="20"/>
              </w:rPr>
              <w:t xml:space="preserve">Yang QM, Hong JY, Ko YH, </w:t>
            </w:r>
            <w:r w:rsidRPr="00CF3D88">
              <w:rPr>
                <w:rFonts w:ascii="Arial Narrow" w:hAnsi="Arial Narrow"/>
                <w:i/>
                <w:sz w:val="20"/>
              </w:rPr>
              <w:t>et al</w:t>
            </w:r>
            <w:r w:rsidRPr="00CF3D88">
              <w:rPr>
                <w:rFonts w:ascii="Arial Narrow" w:hAnsi="Arial Narrow"/>
                <w:sz w:val="20"/>
              </w:rPr>
              <w:t xml:space="preserve">. Brentuximab vedotin for relapsed or refractory CD30+ Hodgkin lymphoma: a multicenter analysis from Asia. </w:t>
            </w:r>
          </w:p>
        </w:tc>
        <w:tc>
          <w:tcPr>
            <w:tcW w:w="1821" w:type="dxa"/>
          </w:tcPr>
          <w:p w:rsidR="00954713" w:rsidRPr="00CF3D88" w:rsidRDefault="00954713" w:rsidP="00954713">
            <w:pPr>
              <w:widowControl/>
              <w:jc w:val="left"/>
              <w:rPr>
                <w:rFonts w:ascii="Arial Narrow" w:hAnsi="Arial Narrow"/>
                <w:i/>
                <w:sz w:val="20"/>
              </w:rPr>
            </w:pPr>
            <w:r w:rsidRPr="00CF3D88">
              <w:rPr>
                <w:rFonts w:ascii="Arial Narrow" w:hAnsi="Arial Narrow"/>
                <w:i/>
                <w:sz w:val="20"/>
              </w:rPr>
              <w:t>Onco Targets Ther.</w:t>
            </w:r>
            <w:r w:rsidRPr="00CF3D88">
              <w:rPr>
                <w:rFonts w:ascii="Arial Narrow" w:hAnsi="Arial Narrow"/>
                <w:sz w:val="20"/>
              </w:rPr>
              <w:t xml:space="preserve"> 2014; 7:1717-1722.</w:t>
            </w:r>
          </w:p>
        </w:tc>
      </w:tr>
      <w:tr w:rsidR="00954713" w:rsidRPr="00CF3D88" w:rsidTr="002C7059">
        <w:trPr>
          <w:cantSplit/>
        </w:trPr>
        <w:tc>
          <w:tcPr>
            <w:tcW w:w="1160" w:type="dxa"/>
          </w:tcPr>
          <w:p w:rsidR="00954713" w:rsidRPr="00CF3D88" w:rsidRDefault="00954713" w:rsidP="003340BA">
            <w:pPr>
              <w:widowControl/>
              <w:jc w:val="left"/>
              <w:rPr>
                <w:rFonts w:ascii="Arial Narrow" w:hAnsi="Arial Narrow"/>
                <w:snapToGrid/>
                <w:sz w:val="20"/>
              </w:rPr>
            </w:pPr>
            <w:r w:rsidRPr="00CF3D88">
              <w:rPr>
                <w:rFonts w:ascii="Arial Narrow" w:hAnsi="Arial Narrow" w:cs="Arial Narrow"/>
                <w:snapToGrid/>
                <w:sz w:val="20"/>
              </w:rPr>
              <w:t xml:space="preserve">Viviani  </w:t>
            </w:r>
            <w:r w:rsidRPr="00CF3D88">
              <w:rPr>
                <w:rFonts w:ascii="Arial Narrow" w:hAnsi="Arial Narrow" w:cs="Arial Narrow"/>
                <w:i/>
                <w:snapToGrid/>
                <w:sz w:val="20"/>
              </w:rPr>
              <w:t xml:space="preserve">et al, </w:t>
            </w:r>
            <w:r w:rsidRPr="00CF3D88">
              <w:rPr>
                <w:rFonts w:ascii="Arial Narrow" w:hAnsi="Arial Narrow" w:cs="Arial Narrow"/>
                <w:snapToGrid/>
                <w:sz w:val="20"/>
              </w:rPr>
              <w:t>2015</w:t>
            </w:r>
          </w:p>
        </w:tc>
        <w:tc>
          <w:tcPr>
            <w:tcW w:w="5364" w:type="dxa"/>
          </w:tcPr>
          <w:p w:rsidR="00954713" w:rsidRPr="00CF3D88" w:rsidRDefault="00954713" w:rsidP="00954713">
            <w:pPr>
              <w:widowControl/>
              <w:jc w:val="left"/>
              <w:rPr>
                <w:rFonts w:ascii="Arial Narrow" w:hAnsi="Arial Narrow"/>
                <w:sz w:val="20"/>
              </w:rPr>
            </w:pPr>
            <w:r w:rsidRPr="00CF3D88">
              <w:rPr>
                <w:rFonts w:ascii="Arial Narrow" w:hAnsi="Arial Narrow"/>
                <w:sz w:val="20"/>
              </w:rPr>
              <w:t xml:space="preserve">Viviani S, Guidetti A, Dalto S, </w:t>
            </w:r>
            <w:r w:rsidRPr="00CF3D88">
              <w:rPr>
                <w:rFonts w:ascii="Arial Narrow" w:hAnsi="Arial Narrow"/>
                <w:i/>
                <w:sz w:val="20"/>
              </w:rPr>
              <w:t>et al</w:t>
            </w:r>
            <w:r w:rsidRPr="00CF3D88">
              <w:rPr>
                <w:rFonts w:ascii="Arial Narrow" w:hAnsi="Arial Narrow"/>
                <w:sz w:val="20"/>
              </w:rPr>
              <w:t xml:space="preserve">. Brentuximab vedotin (BV) an effective treatment for transplant ineligible patients with relapsed/refractory (R/R) Hodgkin lymphoma (HL). </w:t>
            </w:r>
          </w:p>
        </w:tc>
        <w:tc>
          <w:tcPr>
            <w:tcW w:w="1821" w:type="dxa"/>
          </w:tcPr>
          <w:p w:rsidR="00954713" w:rsidRPr="00CF3D88" w:rsidRDefault="00954713" w:rsidP="00954713">
            <w:pPr>
              <w:widowControl/>
              <w:jc w:val="left"/>
              <w:rPr>
                <w:rFonts w:ascii="Arial Narrow" w:hAnsi="Arial Narrow"/>
                <w:i/>
                <w:sz w:val="20"/>
              </w:rPr>
            </w:pPr>
            <w:r w:rsidRPr="00CF3D88">
              <w:rPr>
                <w:rFonts w:ascii="Arial Narrow" w:hAnsi="Arial Narrow"/>
                <w:i/>
                <w:sz w:val="20"/>
              </w:rPr>
              <w:t xml:space="preserve">Haematologica. </w:t>
            </w:r>
            <w:r w:rsidRPr="00CF3D88">
              <w:rPr>
                <w:rFonts w:ascii="Arial Narrow" w:hAnsi="Arial Narrow"/>
                <w:sz w:val="20"/>
              </w:rPr>
              <w:t>2015; 100:455-456. (</w:t>
            </w:r>
            <w:proofErr w:type="gramStart"/>
            <w:r w:rsidRPr="00CF3D88">
              <w:rPr>
                <w:rFonts w:ascii="Arial Narrow" w:hAnsi="Arial Narrow"/>
                <w:sz w:val="20"/>
              </w:rPr>
              <w:t>abstract</w:t>
            </w:r>
            <w:proofErr w:type="gramEnd"/>
            <w:r w:rsidRPr="00CF3D88">
              <w:rPr>
                <w:rFonts w:ascii="Arial Narrow" w:hAnsi="Arial Narrow"/>
                <w:sz w:val="20"/>
              </w:rPr>
              <w:t xml:space="preserve"> only).</w:t>
            </w:r>
          </w:p>
        </w:tc>
      </w:tr>
      <w:tr w:rsidR="00FD1830" w:rsidRPr="00CF3D88" w:rsidTr="00A02BE9">
        <w:trPr>
          <w:cantSplit/>
        </w:trPr>
        <w:tc>
          <w:tcPr>
            <w:tcW w:w="8345" w:type="dxa"/>
            <w:gridSpan w:val="3"/>
          </w:tcPr>
          <w:p w:rsidR="00FD1830" w:rsidRPr="00CF3D88" w:rsidRDefault="00FD1830" w:rsidP="00954713">
            <w:pPr>
              <w:widowControl/>
              <w:jc w:val="left"/>
              <w:rPr>
                <w:rFonts w:ascii="Arial Narrow" w:hAnsi="Arial Narrow"/>
                <w:b/>
                <w:i/>
                <w:sz w:val="20"/>
              </w:rPr>
            </w:pPr>
            <w:r w:rsidRPr="00CF3D88">
              <w:rPr>
                <w:rFonts w:ascii="Arial Narrow" w:hAnsi="Arial Narrow"/>
                <w:b/>
                <w:snapToGrid/>
                <w:sz w:val="20"/>
              </w:rPr>
              <w:t>Supportive evidence – salvage therapy</w:t>
            </w:r>
          </w:p>
        </w:tc>
      </w:tr>
      <w:tr w:rsidR="00954713" w:rsidRPr="00CF3D88" w:rsidTr="002C7059">
        <w:trPr>
          <w:cantSplit/>
        </w:trPr>
        <w:tc>
          <w:tcPr>
            <w:tcW w:w="1160" w:type="dxa"/>
          </w:tcPr>
          <w:p w:rsidR="00954713" w:rsidRPr="00CF3D88" w:rsidRDefault="00954713" w:rsidP="00954713">
            <w:pPr>
              <w:widowControl/>
              <w:jc w:val="left"/>
              <w:rPr>
                <w:rFonts w:ascii="Arial Narrow" w:hAnsi="Arial Narrow"/>
                <w:snapToGrid/>
                <w:sz w:val="20"/>
              </w:rPr>
            </w:pPr>
            <w:r w:rsidRPr="00CF3D88">
              <w:rPr>
                <w:rFonts w:ascii="Arial Narrow" w:hAnsi="Arial Narrow"/>
                <w:snapToGrid/>
                <w:sz w:val="20"/>
              </w:rPr>
              <w:t xml:space="preserve">Bartlett </w:t>
            </w:r>
            <w:r w:rsidRPr="00CF3D88">
              <w:rPr>
                <w:rFonts w:ascii="Arial Narrow" w:hAnsi="Arial Narrow"/>
                <w:i/>
                <w:snapToGrid/>
                <w:sz w:val="20"/>
              </w:rPr>
              <w:t>et al</w:t>
            </w:r>
            <w:r w:rsidRPr="00CF3D88">
              <w:rPr>
                <w:rFonts w:ascii="Arial Narrow" w:hAnsi="Arial Narrow"/>
                <w:snapToGrid/>
                <w:sz w:val="20"/>
              </w:rPr>
              <w:t>, 2007</w:t>
            </w:r>
          </w:p>
        </w:tc>
        <w:tc>
          <w:tcPr>
            <w:tcW w:w="5364" w:type="dxa"/>
          </w:tcPr>
          <w:p w:rsidR="00954713" w:rsidRPr="00CF3D88" w:rsidRDefault="00954713" w:rsidP="00954713">
            <w:pPr>
              <w:widowControl/>
              <w:jc w:val="left"/>
              <w:rPr>
                <w:rFonts w:ascii="Arial Narrow" w:hAnsi="Arial Narrow"/>
                <w:sz w:val="20"/>
              </w:rPr>
            </w:pPr>
            <w:r w:rsidRPr="00CF3D88">
              <w:rPr>
                <w:rFonts w:ascii="Arial Narrow" w:hAnsi="Arial Narrow"/>
                <w:sz w:val="20"/>
              </w:rPr>
              <w:t xml:space="preserve">Bartlett NL, Niedzwiecki D, Johnson J, </w:t>
            </w:r>
            <w:r w:rsidRPr="00CF3D88">
              <w:rPr>
                <w:rFonts w:ascii="Arial Narrow" w:hAnsi="Arial Narrow"/>
                <w:i/>
                <w:sz w:val="20"/>
              </w:rPr>
              <w:t>et al</w:t>
            </w:r>
            <w:r w:rsidRPr="00CF3D88">
              <w:rPr>
                <w:rFonts w:ascii="Arial Narrow" w:hAnsi="Arial Narrow"/>
                <w:sz w:val="20"/>
              </w:rPr>
              <w:t>. Gemcitabine, vinorelbine, and pegylated liposomal doxorubicin (GVD), a salvage regimen in relapsed Hodgkin lymphoma: CALGB 59804.</w:t>
            </w:r>
          </w:p>
        </w:tc>
        <w:tc>
          <w:tcPr>
            <w:tcW w:w="1821" w:type="dxa"/>
          </w:tcPr>
          <w:p w:rsidR="00954713" w:rsidRPr="00CF3D88" w:rsidRDefault="00954713" w:rsidP="00954713">
            <w:pPr>
              <w:widowControl/>
              <w:jc w:val="left"/>
              <w:rPr>
                <w:rFonts w:ascii="Arial Narrow" w:hAnsi="Arial Narrow"/>
                <w:sz w:val="20"/>
              </w:rPr>
            </w:pPr>
            <w:r w:rsidRPr="00CF3D88">
              <w:rPr>
                <w:rFonts w:ascii="Arial Narrow" w:hAnsi="Arial Narrow"/>
                <w:i/>
                <w:sz w:val="20"/>
              </w:rPr>
              <w:t>Ann of Oncology.</w:t>
            </w:r>
            <w:r w:rsidRPr="00CF3D88">
              <w:rPr>
                <w:rFonts w:ascii="Arial Narrow" w:hAnsi="Arial Narrow"/>
                <w:sz w:val="20"/>
              </w:rPr>
              <w:t xml:space="preserve"> 2007; 18(6):1071-1079.</w:t>
            </w:r>
          </w:p>
        </w:tc>
      </w:tr>
      <w:tr w:rsidR="00954713" w:rsidRPr="00CF3D88" w:rsidTr="002C7059">
        <w:trPr>
          <w:cantSplit/>
        </w:trPr>
        <w:tc>
          <w:tcPr>
            <w:tcW w:w="1160" w:type="dxa"/>
          </w:tcPr>
          <w:p w:rsidR="00954713" w:rsidRPr="00CF3D88" w:rsidRDefault="00954713" w:rsidP="00954713">
            <w:pPr>
              <w:widowControl/>
              <w:jc w:val="left"/>
              <w:rPr>
                <w:rFonts w:ascii="Arial Narrow" w:hAnsi="Arial Narrow"/>
                <w:snapToGrid/>
                <w:sz w:val="20"/>
              </w:rPr>
            </w:pPr>
            <w:r w:rsidRPr="00CF3D88">
              <w:rPr>
                <w:rFonts w:ascii="Arial Narrow" w:hAnsi="Arial Narrow"/>
                <w:snapToGrid/>
                <w:sz w:val="20"/>
              </w:rPr>
              <w:lastRenderedPageBreak/>
              <w:t xml:space="preserve">Czyz </w:t>
            </w:r>
            <w:r w:rsidRPr="00CF3D88">
              <w:rPr>
                <w:rFonts w:ascii="Arial Narrow" w:hAnsi="Arial Narrow"/>
                <w:i/>
                <w:snapToGrid/>
                <w:sz w:val="20"/>
              </w:rPr>
              <w:t>et al</w:t>
            </w:r>
            <w:r w:rsidRPr="00CF3D88">
              <w:rPr>
                <w:rFonts w:ascii="Arial Narrow" w:hAnsi="Arial Narrow"/>
                <w:snapToGrid/>
                <w:sz w:val="20"/>
              </w:rPr>
              <w:t>, 2013</w:t>
            </w:r>
          </w:p>
        </w:tc>
        <w:tc>
          <w:tcPr>
            <w:tcW w:w="5364" w:type="dxa"/>
          </w:tcPr>
          <w:p w:rsidR="00954713" w:rsidRPr="00CF3D88" w:rsidRDefault="00954713" w:rsidP="00954713">
            <w:pPr>
              <w:widowControl/>
              <w:jc w:val="left"/>
              <w:rPr>
                <w:rFonts w:ascii="Arial Narrow" w:hAnsi="Arial Narrow"/>
                <w:sz w:val="20"/>
              </w:rPr>
            </w:pPr>
            <w:r w:rsidRPr="00CF3D88">
              <w:rPr>
                <w:rFonts w:ascii="Arial Narrow" w:hAnsi="Arial Narrow"/>
                <w:sz w:val="20"/>
              </w:rPr>
              <w:t xml:space="preserve">Czyz A, Romejko-Jarosinska J, Knopinska-Posluszny W </w:t>
            </w:r>
            <w:r w:rsidRPr="00CF3D88">
              <w:rPr>
                <w:rFonts w:ascii="Arial Narrow" w:hAnsi="Arial Narrow"/>
                <w:i/>
                <w:sz w:val="20"/>
              </w:rPr>
              <w:t>et al.</w:t>
            </w:r>
            <w:r w:rsidRPr="00CF3D88">
              <w:rPr>
                <w:rFonts w:ascii="Arial Narrow" w:hAnsi="Arial Narrow"/>
                <w:sz w:val="20"/>
              </w:rPr>
              <w:t xml:space="preserve"> Treatment strategy based on gemcitabine-containing salvage chemotherapy used with intent to proceed to second stem cell transplant for patients with Hodgkin lymphoma relapsing after a prior autologous transplant.</w:t>
            </w:r>
          </w:p>
        </w:tc>
        <w:tc>
          <w:tcPr>
            <w:tcW w:w="1821" w:type="dxa"/>
          </w:tcPr>
          <w:p w:rsidR="00954713" w:rsidRPr="00CF3D88" w:rsidRDefault="00954713" w:rsidP="00954713">
            <w:pPr>
              <w:widowControl/>
              <w:jc w:val="left"/>
              <w:rPr>
                <w:rFonts w:ascii="Arial Narrow" w:hAnsi="Arial Narrow"/>
                <w:sz w:val="20"/>
              </w:rPr>
            </w:pPr>
            <w:r w:rsidRPr="00CF3D88">
              <w:rPr>
                <w:rFonts w:ascii="Arial Narrow" w:hAnsi="Arial Narrow"/>
                <w:i/>
                <w:sz w:val="20"/>
              </w:rPr>
              <w:t>Leukemia and Lymphoma.</w:t>
            </w:r>
            <w:r w:rsidRPr="00CF3D88">
              <w:rPr>
                <w:rFonts w:ascii="Arial Narrow" w:hAnsi="Arial Narrow"/>
                <w:sz w:val="20"/>
              </w:rPr>
              <w:t xml:space="preserve"> 2013; 54(5):973-978.</w:t>
            </w:r>
          </w:p>
        </w:tc>
      </w:tr>
      <w:tr w:rsidR="00954713" w:rsidRPr="00CF3D88" w:rsidTr="002C7059">
        <w:trPr>
          <w:cantSplit/>
        </w:trPr>
        <w:tc>
          <w:tcPr>
            <w:tcW w:w="1160" w:type="dxa"/>
          </w:tcPr>
          <w:p w:rsidR="00954713" w:rsidRPr="00CF3D88" w:rsidRDefault="00954713" w:rsidP="00954713">
            <w:pPr>
              <w:widowControl/>
              <w:jc w:val="left"/>
              <w:rPr>
                <w:rFonts w:ascii="Arial Narrow" w:hAnsi="Arial Narrow"/>
                <w:snapToGrid/>
                <w:sz w:val="20"/>
              </w:rPr>
            </w:pPr>
            <w:r w:rsidRPr="00CF3D88">
              <w:rPr>
                <w:rFonts w:ascii="Arial Narrow" w:hAnsi="Arial Narrow"/>
                <w:snapToGrid/>
                <w:sz w:val="20"/>
              </w:rPr>
              <w:t xml:space="preserve">Czyz </w:t>
            </w:r>
            <w:r w:rsidRPr="00CF3D88">
              <w:rPr>
                <w:rFonts w:ascii="Arial Narrow" w:hAnsi="Arial Narrow"/>
                <w:i/>
                <w:snapToGrid/>
                <w:sz w:val="20"/>
              </w:rPr>
              <w:t xml:space="preserve">et al, </w:t>
            </w:r>
            <w:r w:rsidRPr="00CF3D88">
              <w:rPr>
                <w:rFonts w:ascii="Arial Narrow" w:hAnsi="Arial Narrow"/>
                <w:snapToGrid/>
                <w:sz w:val="20"/>
              </w:rPr>
              <w:t>2014</w:t>
            </w:r>
          </w:p>
        </w:tc>
        <w:tc>
          <w:tcPr>
            <w:tcW w:w="5364" w:type="dxa"/>
          </w:tcPr>
          <w:p w:rsidR="00954713" w:rsidRPr="00CF3D88" w:rsidRDefault="00954713" w:rsidP="00954713">
            <w:pPr>
              <w:widowControl/>
              <w:jc w:val="left"/>
              <w:rPr>
                <w:rFonts w:ascii="Arial Narrow" w:hAnsi="Arial Narrow"/>
                <w:sz w:val="20"/>
              </w:rPr>
            </w:pPr>
            <w:r w:rsidRPr="00CF3D88">
              <w:rPr>
                <w:rFonts w:ascii="Arial Narrow" w:hAnsi="Arial Narrow"/>
                <w:sz w:val="20"/>
              </w:rPr>
              <w:t xml:space="preserve">Czyz A, Romejko-Jarosinka J, Manko J, </w:t>
            </w:r>
            <w:r w:rsidRPr="00CF3D88">
              <w:rPr>
                <w:rFonts w:ascii="Arial Narrow" w:hAnsi="Arial Narrow"/>
                <w:i/>
                <w:sz w:val="20"/>
              </w:rPr>
              <w:t>et al</w:t>
            </w:r>
            <w:r w:rsidRPr="00CF3D88">
              <w:rPr>
                <w:rFonts w:ascii="Arial Narrow" w:hAnsi="Arial Narrow"/>
                <w:sz w:val="20"/>
              </w:rPr>
              <w:t>. Treatment Of Patients With Hodgkin Lymphoma Relapsing After Autologous Haematopoietic Stem Cell Transplantation- A Polish Lymphoma Research Group (Plrg) Multicenter Retrospective Analysis Of Prognostic Factors And Long-Term Outcome.</w:t>
            </w:r>
          </w:p>
        </w:tc>
        <w:tc>
          <w:tcPr>
            <w:tcW w:w="1821" w:type="dxa"/>
          </w:tcPr>
          <w:p w:rsidR="00954713" w:rsidRPr="00CF3D88" w:rsidRDefault="00954713" w:rsidP="00954713">
            <w:pPr>
              <w:widowControl/>
              <w:jc w:val="left"/>
              <w:rPr>
                <w:rFonts w:ascii="Arial Narrow" w:hAnsi="Arial Narrow"/>
                <w:i/>
                <w:sz w:val="20"/>
              </w:rPr>
            </w:pPr>
            <w:r w:rsidRPr="00CF3D88">
              <w:rPr>
                <w:rFonts w:ascii="Arial Narrow" w:hAnsi="Arial Narrow"/>
                <w:i/>
                <w:sz w:val="20"/>
              </w:rPr>
              <w:t xml:space="preserve">Supplement Bone Marrow Transplantation. </w:t>
            </w:r>
            <w:r w:rsidRPr="00CF3D88">
              <w:rPr>
                <w:rFonts w:ascii="Arial Narrow" w:hAnsi="Arial Narrow"/>
                <w:sz w:val="20"/>
              </w:rPr>
              <w:t>2014; (Poster abstract only):_PH-P166.</w:t>
            </w:r>
          </w:p>
        </w:tc>
      </w:tr>
    </w:tbl>
    <w:p w:rsidR="00954713" w:rsidRPr="00CF3D88" w:rsidRDefault="00954713" w:rsidP="00954713">
      <w:pPr>
        <w:ind w:firstLine="720"/>
        <w:rPr>
          <w:rFonts w:ascii="Arial Narrow" w:hAnsi="Arial Narrow"/>
          <w:sz w:val="18"/>
          <w:szCs w:val="18"/>
        </w:rPr>
      </w:pPr>
      <w:r w:rsidRPr="00CF3D88">
        <w:rPr>
          <w:rFonts w:ascii="Arial Narrow" w:hAnsi="Arial Narrow"/>
          <w:sz w:val="18"/>
          <w:szCs w:val="18"/>
        </w:rPr>
        <w:t xml:space="preserve">Source: Table B.2-2, pp 42-45 in the </w:t>
      </w:r>
      <w:r w:rsidR="00A8064E" w:rsidRPr="00CF3D88">
        <w:rPr>
          <w:rFonts w:ascii="Arial Narrow" w:hAnsi="Arial Narrow"/>
          <w:sz w:val="18"/>
          <w:szCs w:val="18"/>
        </w:rPr>
        <w:t>resubmission</w:t>
      </w:r>
    </w:p>
    <w:p w:rsidR="00954713" w:rsidRPr="00CF3D88" w:rsidRDefault="00954713" w:rsidP="00954713">
      <w:pPr>
        <w:ind w:firstLine="720"/>
        <w:rPr>
          <w:rFonts w:ascii="Arial Narrow" w:hAnsi="Arial Narrow"/>
          <w:b/>
          <w:sz w:val="20"/>
          <w:szCs w:val="16"/>
        </w:rPr>
      </w:pPr>
    </w:p>
    <w:p w:rsidR="00954713" w:rsidRPr="00CF3D88" w:rsidRDefault="00954713" w:rsidP="009530DB">
      <w:pPr>
        <w:widowControl/>
        <w:numPr>
          <w:ilvl w:val="1"/>
          <w:numId w:val="2"/>
        </w:numPr>
        <w:contextualSpacing/>
        <w:rPr>
          <w:szCs w:val="22"/>
        </w:rPr>
      </w:pPr>
      <w:r w:rsidRPr="00CF3D88">
        <w:rPr>
          <w:szCs w:val="22"/>
        </w:rPr>
        <w:t xml:space="preserve">The key features of the </w:t>
      </w:r>
      <w:r w:rsidR="002E1268" w:rsidRPr="00CF3D88">
        <w:rPr>
          <w:szCs w:val="22"/>
        </w:rPr>
        <w:t xml:space="preserve">evidence used in the naïve comparison </w:t>
      </w:r>
      <w:r w:rsidRPr="00CF3D88">
        <w:rPr>
          <w:szCs w:val="22"/>
        </w:rPr>
        <w:t xml:space="preserve">are summarised in Table </w:t>
      </w:r>
      <w:r w:rsidR="001E38B8" w:rsidRPr="00CF3D88">
        <w:rPr>
          <w:szCs w:val="22"/>
        </w:rPr>
        <w:t>4</w:t>
      </w:r>
      <w:r w:rsidRPr="00CF3D88">
        <w:rPr>
          <w:szCs w:val="22"/>
        </w:rPr>
        <w:t>.</w:t>
      </w:r>
      <w:r w:rsidR="004D3483" w:rsidRPr="00CF3D88">
        <w:rPr>
          <w:szCs w:val="22"/>
        </w:rPr>
        <w:t xml:space="preserve"> Details on the supplementary </w:t>
      </w:r>
      <w:r w:rsidR="00C44FD6" w:rsidRPr="00CF3D88">
        <w:rPr>
          <w:szCs w:val="22"/>
        </w:rPr>
        <w:t>evidence</w:t>
      </w:r>
      <w:r w:rsidR="004D3483" w:rsidRPr="00CF3D88">
        <w:rPr>
          <w:szCs w:val="22"/>
        </w:rPr>
        <w:t xml:space="preserve"> were </w:t>
      </w:r>
      <w:r w:rsidR="00161EC3" w:rsidRPr="00CF3D88">
        <w:rPr>
          <w:szCs w:val="22"/>
        </w:rPr>
        <w:t>not presented in the executive summary</w:t>
      </w:r>
      <w:r w:rsidR="002E1268" w:rsidRPr="00CF3D88">
        <w:rPr>
          <w:szCs w:val="22"/>
        </w:rPr>
        <w:t xml:space="preserve"> because they were not used in the key efficacy assessment o</w:t>
      </w:r>
      <w:r w:rsidR="00C44FD6" w:rsidRPr="00CF3D88">
        <w:rPr>
          <w:szCs w:val="22"/>
        </w:rPr>
        <w:t>r</w:t>
      </w:r>
      <w:r w:rsidR="002E1268" w:rsidRPr="00CF3D88">
        <w:rPr>
          <w:szCs w:val="22"/>
        </w:rPr>
        <w:t xml:space="preserve"> the economic evaluation</w:t>
      </w:r>
      <w:r w:rsidR="00161EC3" w:rsidRPr="00CF3D88">
        <w:rPr>
          <w:szCs w:val="22"/>
        </w:rPr>
        <w:t>.</w:t>
      </w:r>
    </w:p>
    <w:p w:rsidR="004D3483" w:rsidRPr="00CF3D88" w:rsidRDefault="004D3483" w:rsidP="002C7059">
      <w:pPr>
        <w:widowControl/>
        <w:ind w:left="720"/>
        <w:contextualSpacing/>
        <w:rPr>
          <w:szCs w:val="22"/>
        </w:rPr>
      </w:pPr>
    </w:p>
    <w:p w:rsidR="00954713" w:rsidRPr="00CF3D88" w:rsidRDefault="00954713" w:rsidP="00954713">
      <w:pPr>
        <w:keepNext/>
        <w:widowControl/>
        <w:ind w:firstLine="720"/>
        <w:rPr>
          <w:rFonts w:ascii="Arial Narrow" w:hAnsi="Arial Narrow"/>
          <w:b/>
          <w:sz w:val="20"/>
          <w:szCs w:val="16"/>
        </w:rPr>
      </w:pPr>
      <w:r w:rsidRPr="00CF3D88">
        <w:rPr>
          <w:rFonts w:ascii="Arial Narrow" w:hAnsi="Arial Narrow"/>
          <w:b/>
          <w:sz w:val="20"/>
          <w:szCs w:val="16"/>
        </w:rPr>
        <w:t xml:space="preserve">Table </w:t>
      </w:r>
      <w:r w:rsidR="001E38B8" w:rsidRPr="00CF3D88">
        <w:rPr>
          <w:rFonts w:ascii="Arial Narrow" w:hAnsi="Arial Narrow"/>
          <w:b/>
          <w:sz w:val="20"/>
          <w:szCs w:val="16"/>
        </w:rPr>
        <w:t>4</w:t>
      </w:r>
      <w:r w:rsidRPr="00CF3D88">
        <w:rPr>
          <w:rFonts w:ascii="Arial Narrow" w:hAnsi="Arial Narrow"/>
          <w:b/>
          <w:sz w:val="20"/>
          <w:szCs w:val="16"/>
        </w:rPr>
        <w:t>: Key features of the included evidence – naïve comparison</w:t>
      </w:r>
    </w:p>
    <w:tbl>
      <w:tblPr>
        <w:tblW w:w="455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1"/>
        <w:gridCol w:w="701"/>
        <w:gridCol w:w="8"/>
        <w:gridCol w:w="1558"/>
        <w:gridCol w:w="711"/>
        <w:gridCol w:w="1419"/>
        <w:gridCol w:w="990"/>
        <w:gridCol w:w="1903"/>
      </w:tblGrid>
      <w:tr w:rsidR="00954713" w:rsidRPr="00CF3D88" w:rsidTr="00954713">
        <w:trPr>
          <w:tblHeader/>
        </w:trPr>
        <w:tc>
          <w:tcPr>
            <w:tcW w:w="598" w:type="pct"/>
            <w:shd w:val="clear" w:color="auto" w:fill="auto"/>
            <w:vAlign w:val="center"/>
          </w:tcPr>
          <w:p w:rsidR="00954713" w:rsidRPr="00CF3D88" w:rsidRDefault="00954713" w:rsidP="00954713">
            <w:pPr>
              <w:keepNext/>
              <w:widowControl/>
              <w:jc w:val="left"/>
              <w:rPr>
                <w:rFonts w:ascii="Arial Narrow" w:hAnsi="Arial Narrow"/>
                <w:b/>
                <w:sz w:val="20"/>
              </w:rPr>
            </w:pPr>
            <w:r w:rsidRPr="00CF3D88">
              <w:rPr>
                <w:rFonts w:ascii="Arial Narrow" w:hAnsi="Arial Narrow"/>
                <w:b/>
                <w:sz w:val="20"/>
              </w:rPr>
              <w:t>Study</w:t>
            </w:r>
          </w:p>
        </w:tc>
        <w:tc>
          <w:tcPr>
            <w:tcW w:w="428" w:type="pct"/>
            <w:gridSpan w:val="2"/>
            <w:shd w:val="clear" w:color="auto" w:fill="auto"/>
            <w:vAlign w:val="center"/>
          </w:tcPr>
          <w:p w:rsidR="00954713" w:rsidRPr="00CF3D88" w:rsidRDefault="00954713" w:rsidP="00954713">
            <w:pPr>
              <w:keepNext/>
              <w:widowControl/>
              <w:jc w:val="center"/>
              <w:rPr>
                <w:rFonts w:ascii="Arial Narrow" w:hAnsi="Arial Narrow"/>
                <w:b/>
                <w:sz w:val="20"/>
              </w:rPr>
            </w:pPr>
            <w:r w:rsidRPr="00CF3D88">
              <w:rPr>
                <w:rFonts w:ascii="Arial Narrow" w:hAnsi="Arial Narrow"/>
                <w:b/>
                <w:sz w:val="20"/>
              </w:rPr>
              <w:t>n used (ITT)</w:t>
            </w:r>
          </w:p>
        </w:tc>
        <w:tc>
          <w:tcPr>
            <w:tcW w:w="941" w:type="pct"/>
            <w:shd w:val="clear" w:color="auto" w:fill="auto"/>
            <w:vAlign w:val="center"/>
          </w:tcPr>
          <w:p w:rsidR="00954713" w:rsidRPr="00CF3D88" w:rsidRDefault="00954713" w:rsidP="00954713">
            <w:pPr>
              <w:keepNext/>
              <w:widowControl/>
              <w:jc w:val="center"/>
              <w:rPr>
                <w:rFonts w:ascii="Arial Narrow" w:hAnsi="Arial Narrow"/>
                <w:b/>
                <w:sz w:val="20"/>
              </w:rPr>
            </w:pPr>
            <w:r w:rsidRPr="00CF3D88">
              <w:rPr>
                <w:rFonts w:ascii="Arial Narrow" w:hAnsi="Arial Narrow"/>
                <w:b/>
                <w:sz w:val="20"/>
              </w:rPr>
              <w:t>Design/ median follow-up or study period</w:t>
            </w:r>
          </w:p>
        </w:tc>
        <w:tc>
          <w:tcPr>
            <w:tcW w:w="429" w:type="pct"/>
            <w:shd w:val="clear" w:color="auto" w:fill="auto"/>
            <w:vAlign w:val="center"/>
          </w:tcPr>
          <w:p w:rsidR="00954713" w:rsidRPr="00CF3D88" w:rsidRDefault="00954713" w:rsidP="00954713">
            <w:pPr>
              <w:keepNext/>
              <w:widowControl/>
              <w:jc w:val="center"/>
              <w:rPr>
                <w:rFonts w:ascii="Arial Narrow" w:hAnsi="Arial Narrow"/>
                <w:b/>
                <w:sz w:val="20"/>
              </w:rPr>
            </w:pPr>
            <w:r w:rsidRPr="00CF3D88">
              <w:rPr>
                <w:rFonts w:ascii="Arial Narrow" w:hAnsi="Arial Narrow"/>
                <w:b/>
                <w:sz w:val="20"/>
              </w:rPr>
              <w:t>Risk of bias</w:t>
            </w:r>
          </w:p>
        </w:tc>
        <w:tc>
          <w:tcPr>
            <w:tcW w:w="857" w:type="pct"/>
            <w:shd w:val="clear" w:color="auto" w:fill="auto"/>
            <w:vAlign w:val="center"/>
          </w:tcPr>
          <w:p w:rsidR="00954713" w:rsidRPr="00CF3D88" w:rsidRDefault="00954713" w:rsidP="00954713">
            <w:pPr>
              <w:keepNext/>
              <w:widowControl/>
              <w:jc w:val="center"/>
              <w:rPr>
                <w:rFonts w:ascii="Arial Narrow" w:hAnsi="Arial Narrow"/>
                <w:b/>
                <w:sz w:val="20"/>
              </w:rPr>
            </w:pPr>
            <w:r w:rsidRPr="00CF3D88">
              <w:rPr>
                <w:rFonts w:ascii="Arial Narrow" w:hAnsi="Arial Narrow"/>
                <w:b/>
                <w:sz w:val="20"/>
              </w:rPr>
              <w:t>Patient population</w:t>
            </w:r>
          </w:p>
        </w:tc>
        <w:tc>
          <w:tcPr>
            <w:tcW w:w="598" w:type="pct"/>
            <w:shd w:val="clear" w:color="auto" w:fill="auto"/>
            <w:vAlign w:val="center"/>
          </w:tcPr>
          <w:p w:rsidR="00954713" w:rsidRPr="00CF3D88" w:rsidRDefault="00954713" w:rsidP="00954713">
            <w:pPr>
              <w:keepNext/>
              <w:widowControl/>
              <w:jc w:val="center"/>
              <w:rPr>
                <w:rFonts w:ascii="Arial Narrow" w:hAnsi="Arial Narrow"/>
                <w:b/>
                <w:sz w:val="20"/>
              </w:rPr>
            </w:pPr>
            <w:r w:rsidRPr="00CF3D88">
              <w:rPr>
                <w:rFonts w:ascii="Arial Narrow" w:hAnsi="Arial Narrow"/>
                <w:b/>
                <w:sz w:val="20"/>
              </w:rPr>
              <w:t>Outcomes</w:t>
            </w:r>
          </w:p>
        </w:tc>
        <w:tc>
          <w:tcPr>
            <w:tcW w:w="1149" w:type="pct"/>
            <w:shd w:val="clear" w:color="auto" w:fill="auto"/>
            <w:vAlign w:val="center"/>
          </w:tcPr>
          <w:p w:rsidR="00954713" w:rsidRPr="00CF3D88" w:rsidRDefault="00954713" w:rsidP="00954713">
            <w:pPr>
              <w:keepNext/>
              <w:widowControl/>
              <w:jc w:val="center"/>
              <w:rPr>
                <w:rFonts w:ascii="Arial Narrow" w:hAnsi="Arial Narrow"/>
                <w:b/>
                <w:sz w:val="20"/>
              </w:rPr>
            </w:pPr>
            <w:r w:rsidRPr="00CF3D88">
              <w:rPr>
                <w:rFonts w:ascii="Arial Narrow" w:hAnsi="Arial Narrow"/>
                <w:b/>
                <w:sz w:val="20"/>
              </w:rPr>
              <w:t>Use in modelled evaluation</w:t>
            </w:r>
          </w:p>
        </w:tc>
      </w:tr>
      <w:tr w:rsidR="00954713" w:rsidRPr="00CF3D88" w:rsidTr="00954713">
        <w:tc>
          <w:tcPr>
            <w:tcW w:w="5000" w:type="pct"/>
            <w:gridSpan w:val="8"/>
            <w:shd w:val="clear" w:color="auto" w:fill="auto"/>
            <w:vAlign w:val="center"/>
          </w:tcPr>
          <w:p w:rsidR="00954713" w:rsidRPr="00CF3D88" w:rsidRDefault="00954713" w:rsidP="00954713">
            <w:pPr>
              <w:keepNext/>
              <w:widowControl/>
              <w:jc w:val="left"/>
              <w:rPr>
                <w:rFonts w:ascii="Arial Narrow" w:hAnsi="Arial Narrow"/>
                <w:b/>
                <w:sz w:val="20"/>
              </w:rPr>
            </w:pPr>
            <w:r w:rsidRPr="00CF3D88">
              <w:rPr>
                <w:rFonts w:ascii="Arial Narrow" w:hAnsi="Arial Narrow"/>
                <w:b/>
                <w:sz w:val="20"/>
              </w:rPr>
              <w:t>Brentuximab vedotin</w:t>
            </w:r>
          </w:p>
        </w:tc>
      </w:tr>
      <w:tr w:rsidR="00954713" w:rsidRPr="00CF3D88" w:rsidTr="00435D40">
        <w:tc>
          <w:tcPr>
            <w:tcW w:w="598" w:type="pct"/>
            <w:tcBorders>
              <w:bottom w:val="single" w:sz="4" w:space="0" w:color="auto"/>
            </w:tcBorders>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Study 0003</w:t>
            </w:r>
          </w:p>
        </w:tc>
        <w:tc>
          <w:tcPr>
            <w:tcW w:w="428" w:type="pct"/>
            <w:gridSpan w:val="2"/>
            <w:tcBorders>
              <w:bottom w:val="single" w:sz="4" w:space="0" w:color="auto"/>
            </w:tcBorders>
            <w:shd w:val="clear" w:color="auto" w:fill="auto"/>
          </w:tcPr>
          <w:p w:rsidR="00954713" w:rsidRPr="00CF3D88" w:rsidRDefault="00954713" w:rsidP="00954713">
            <w:pPr>
              <w:keepNext/>
              <w:widowControl/>
              <w:jc w:val="center"/>
              <w:rPr>
                <w:rFonts w:ascii="Arial Narrow" w:hAnsi="Arial Narrow"/>
                <w:sz w:val="20"/>
              </w:rPr>
            </w:pPr>
            <w:r w:rsidRPr="00CF3D88">
              <w:rPr>
                <w:rFonts w:ascii="Arial Narrow" w:hAnsi="Arial Narrow"/>
                <w:sz w:val="20"/>
              </w:rPr>
              <w:t>45</w:t>
            </w:r>
          </w:p>
          <w:p w:rsidR="00954713" w:rsidRPr="00CF3D88" w:rsidRDefault="00954713" w:rsidP="00954713">
            <w:pPr>
              <w:keepNext/>
              <w:widowControl/>
              <w:jc w:val="center"/>
              <w:rPr>
                <w:rFonts w:ascii="Arial Narrow" w:hAnsi="Arial Narrow"/>
                <w:sz w:val="20"/>
              </w:rPr>
            </w:pPr>
            <w:r w:rsidRPr="00CF3D88">
              <w:rPr>
                <w:rFonts w:ascii="Arial Narrow" w:hAnsi="Arial Narrow"/>
                <w:sz w:val="20"/>
              </w:rPr>
              <w:t>(102)</w:t>
            </w:r>
          </w:p>
        </w:tc>
        <w:tc>
          <w:tcPr>
            <w:tcW w:w="941" w:type="pct"/>
            <w:tcBorders>
              <w:bottom w:val="single" w:sz="4" w:space="0" w:color="auto"/>
            </w:tcBorders>
            <w:shd w:val="clear" w:color="auto" w:fill="auto"/>
          </w:tcPr>
          <w:p w:rsidR="00BF6726" w:rsidRPr="00CF3D88" w:rsidRDefault="00954713" w:rsidP="00954713">
            <w:pPr>
              <w:keepNext/>
              <w:widowControl/>
              <w:jc w:val="left"/>
              <w:rPr>
                <w:rFonts w:ascii="Arial Narrow" w:hAnsi="Arial Narrow"/>
                <w:sz w:val="20"/>
              </w:rPr>
            </w:pPr>
            <w:r w:rsidRPr="00CF3D88">
              <w:rPr>
                <w:rFonts w:ascii="Arial Narrow" w:hAnsi="Arial Narrow"/>
                <w:sz w:val="20"/>
              </w:rPr>
              <w:t xml:space="preserve">Prospective single-arm cohort; MC </w:t>
            </w:r>
          </w:p>
          <w:p w:rsidR="00954713" w:rsidRPr="00CF3D88" w:rsidRDefault="00954713" w:rsidP="00954713">
            <w:pPr>
              <w:keepNext/>
              <w:widowControl/>
              <w:jc w:val="left"/>
              <w:rPr>
                <w:rFonts w:ascii="Arial Narrow" w:hAnsi="Arial Narrow"/>
                <w:sz w:val="20"/>
                <w:vertAlign w:val="superscript"/>
              </w:rPr>
            </w:pPr>
            <w:r w:rsidRPr="00CF3D88">
              <w:rPr>
                <w:rFonts w:ascii="Arial Narrow" w:hAnsi="Arial Narrow"/>
                <w:sz w:val="20"/>
              </w:rPr>
              <w:t xml:space="preserve">62 months </w:t>
            </w:r>
            <w:r w:rsidRPr="00CF3D88">
              <w:rPr>
                <w:rFonts w:ascii="Arial Narrow" w:hAnsi="Arial Narrow"/>
                <w:sz w:val="20"/>
                <w:vertAlign w:val="superscript"/>
              </w:rPr>
              <w:t>a</w:t>
            </w:r>
          </w:p>
        </w:tc>
        <w:tc>
          <w:tcPr>
            <w:tcW w:w="429" w:type="pct"/>
            <w:tcBorders>
              <w:bottom w:val="single" w:sz="4" w:space="0" w:color="auto"/>
            </w:tcBorders>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High</w:t>
            </w:r>
          </w:p>
        </w:tc>
        <w:tc>
          <w:tcPr>
            <w:tcW w:w="857" w:type="pct"/>
            <w:tcBorders>
              <w:bottom w:val="single" w:sz="4" w:space="0" w:color="auto"/>
            </w:tcBorders>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Relapsed HL post-ASCT, any line</w:t>
            </w:r>
            <w:r w:rsidR="002E1268" w:rsidRPr="00CF3D88">
              <w:rPr>
                <w:rFonts w:ascii="Arial Narrow" w:hAnsi="Arial Narrow"/>
                <w:sz w:val="20"/>
              </w:rPr>
              <w:t xml:space="preserve"> (ITT)</w:t>
            </w:r>
          </w:p>
        </w:tc>
        <w:tc>
          <w:tcPr>
            <w:tcW w:w="598" w:type="pct"/>
            <w:tcBorders>
              <w:bottom w:val="single" w:sz="4" w:space="0" w:color="auto"/>
            </w:tcBorders>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OS, PFS,ORR</w:t>
            </w:r>
          </w:p>
        </w:tc>
        <w:tc>
          <w:tcPr>
            <w:tcW w:w="1149" w:type="pct"/>
            <w:tcBorders>
              <w:bottom w:val="single" w:sz="4" w:space="0" w:color="auto"/>
            </w:tcBorders>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Sub-group who received BV in 1st line post ASCT (n=45)</w:t>
            </w:r>
          </w:p>
        </w:tc>
      </w:tr>
      <w:tr w:rsidR="00954713" w:rsidRPr="00CF3D88" w:rsidTr="00435D40">
        <w:tc>
          <w:tcPr>
            <w:tcW w:w="598" w:type="pct"/>
            <w:shd w:val="clear" w:color="auto" w:fill="FFFFFF" w:themeFill="background1"/>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AETHERA</w:t>
            </w:r>
          </w:p>
        </w:tc>
        <w:tc>
          <w:tcPr>
            <w:tcW w:w="428" w:type="pct"/>
            <w:gridSpan w:val="2"/>
            <w:shd w:val="clear" w:color="auto" w:fill="FFFFFF" w:themeFill="background1"/>
          </w:tcPr>
          <w:p w:rsidR="00954713" w:rsidRPr="00526F5C" w:rsidRDefault="00526F5C" w:rsidP="00954713">
            <w:pPr>
              <w:keepNext/>
              <w:widowControl/>
              <w:jc w:val="center"/>
              <w:rPr>
                <w:rFonts w:ascii="Arial Narrow" w:hAnsi="Arial Narrow"/>
                <w:sz w:val="20"/>
                <w:highlight w:val="black"/>
              </w:rPr>
            </w:pPr>
            <w:r>
              <w:rPr>
                <w:rFonts w:ascii="Arial Narrow" w:hAnsi="Arial Narrow"/>
                <w:noProof/>
                <w:color w:val="000000"/>
                <w:sz w:val="20"/>
                <w:highlight w:val="black"/>
              </w:rPr>
              <w:t>''''''</w:t>
            </w:r>
          </w:p>
          <w:p w:rsidR="00954713" w:rsidRPr="00CF3D88" w:rsidRDefault="00954713" w:rsidP="00954713">
            <w:pPr>
              <w:keepNext/>
              <w:widowControl/>
              <w:jc w:val="center"/>
              <w:rPr>
                <w:rFonts w:ascii="Arial Narrow" w:hAnsi="Arial Narrow"/>
                <w:sz w:val="20"/>
              </w:rPr>
            </w:pPr>
            <w:r w:rsidRPr="00CF3D88">
              <w:rPr>
                <w:rFonts w:ascii="Arial Narrow" w:hAnsi="Arial Narrow"/>
                <w:sz w:val="20"/>
              </w:rPr>
              <w:t>(329)</w:t>
            </w:r>
          </w:p>
        </w:tc>
        <w:tc>
          <w:tcPr>
            <w:tcW w:w="941" w:type="pct"/>
            <w:shd w:val="clear" w:color="auto" w:fill="FFFFFF" w:themeFill="background1"/>
          </w:tcPr>
          <w:p w:rsidR="00BF6726" w:rsidRPr="00CF3D88" w:rsidRDefault="00954713" w:rsidP="00BF6726">
            <w:pPr>
              <w:keepNext/>
              <w:widowControl/>
              <w:jc w:val="left"/>
              <w:rPr>
                <w:rFonts w:ascii="Arial Narrow" w:hAnsi="Arial Narrow"/>
                <w:sz w:val="20"/>
              </w:rPr>
            </w:pPr>
            <w:r w:rsidRPr="00CF3D88">
              <w:rPr>
                <w:rFonts w:ascii="Arial Narrow" w:hAnsi="Arial Narrow"/>
                <w:sz w:val="20"/>
              </w:rPr>
              <w:t>Prospective, randomised, double-blind, placebo-controlled, MC</w:t>
            </w:r>
          </w:p>
          <w:p w:rsidR="00954713" w:rsidRPr="00CF3D88" w:rsidRDefault="00954713" w:rsidP="00BF6726">
            <w:pPr>
              <w:keepNext/>
              <w:widowControl/>
              <w:jc w:val="left"/>
              <w:rPr>
                <w:rFonts w:ascii="Arial Narrow" w:hAnsi="Arial Narrow"/>
                <w:sz w:val="20"/>
                <w:vertAlign w:val="superscript"/>
              </w:rPr>
            </w:pPr>
            <w:r w:rsidRPr="00CF3D88">
              <w:rPr>
                <w:rFonts w:ascii="Arial Narrow" w:hAnsi="Arial Narrow"/>
                <w:sz w:val="20"/>
              </w:rPr>
              <w:t xml:space="preserve">21 months </w:t>
            </w:r>
            <w:r w:rsidRPr="00CF3D88">
              <w:rPr>
                <w:rFonts w:ascii="Arial Narrow" w:hAnsi="Arial Narrow"/>
                <w:sz w:val="20"/>
                <w:vertAlign w:val="superscript"/>
              </w:rPr>
              <w:t>a</w:t>
            </w:r>
          </w:p>
        </w:tc>
        <w:tc>
          <w:tcPr>
            <w:tcW w:w="429" w:type="pct"/>
            <w:shd w:val="clear" w:color="auto" w:fill="FFFFFF" w:themeFill="background1"/>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High</w:t>
            </w:r>
          </w:p>
        </w:tc>
        <w:tc>
          <w:tcPr>
            <w:tcW w:w="857" w:type="pct"/>
            <w:shd w:val="clear" w:color="auto" w:fill="FFFFFF" w:themeFill="background1"/>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HL with high risk for relapse or progression post ASCT</w:t>
            </w:r>
          </w:p>
        </w:tc>
        <w:tc>
          <w:tcPr>
            <w:tcW w:w="598" w:type="pct"/>
            <w:shd w:val="clear" w:color="auto" w:fill="FFFFFF" w:themeFill="background1"/>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OS, PFS</w:t>
            </w:r>
            <w:r w:rsidR="0024619B" w:rsidRPr="00CF3D88">
              <w:rPr>
                <w:rFonts w:ascii="Arial Narrow" w:hAnsi="Arial Narrow"/>
                <w:sz w:val="20"/>
              </w:rPr>
              <w:t xml:space="preserve"> </w:t>
            </w:r>
            <w:r w:rsidR="00161EC3" w:rsidRPr="00CF3D88">
              <w:rPr>
                <w:rFonts w:ascii="Arial Narrow" w:hAnsi="Arial Narrow"/>
                <w:sz w:val="20"/>
                <w:vertAlign w:val="superscript"/>
              </w:rPr>
              <w:t>b</w:t>
            </w:r>
            <w:r w:rsidRPr="00CF3D88">
              <w:rPr>
                <w:rFonts w:ascii="Arial Narrow" w:hAnsi="Arial Narrow"/>
                <w:sz w:val="20"/>
              </w:rPr>
              <w:t>, ORR</w:t>
            </w:r>
          </w:p>
        </w:tc>
        <w:tc>
          <w:tcPr>
            <w:tcW w:w="1149" w:type="pct"/>
            <w:shd w:val="clear" w:color="auto" w:fill="FFFFFF" w:themeFill="background1"/>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Cohort of patients from the long term follow-up of the placebo arm who received BV post progression (n=</w:t>
            </w:r>
            <w:r w:rsidR="00526F5C">
              <w:rPr>
                <w:rFonts w:ascii="Arial Narrow" w:hAnsi="Arial Narrow"/>
                <w:noProof/>
                <w:color w:val="000000"/>
                <w:sz w:val="20"/>
                <w:highlight w:val="black"/>
              </w:rPr>
              <w:t>'''''</w:t>
            </w:r>
            <w:r w:rsidRPr="00CF3D88">
              <w:rPr>
                <w:rFonts w:ascii="Arial Narrow" w:hAnsi="Arial Narrow"/>
                <w:sz w:val="20"/>
              </w:rPr>
              <w:t>)</w:t>
            </w:r>
          </w:p>
        </w:tc>
      </w:tr>
      <w:tr w:rsidR="00954713" w:rsidRPr="00CF3D88" w:rsidTr="00954713">
        <w:tc>
          <w:tcPr>
            <w:tcW w:w="5000" w:type="pct"/>
            <w:gridSpan w:val="8"/>
            <w:shd w:val="clear" w:color="auto" w:fill="auto"/>
          </w:tcPr>
          <w:p w:rsidR="00954713" w:rsidRPr="00CF3D88" w:rsidRDefault="00954713" w:rsidP="00954713">
            <w:pPr>
              <w:keepNext/>
              <w:widowControl/>
              <w:jc w:val="left"/>
              <w:rPr>
                <w:rFonts w:ascii="Arial Narrow" w:hAnsi="Arial Narrow"/>
                <w:b/>
                <w:sz w:val="20"/>
              </w:rPr>
            </w:pPr>
            <w:r w:rsidRPr="00CF3D88">
              <w:rPr>
                <w:rFonts w:ascii="Arial Narrow" w:hAnsi="Arial Narrow"/>
                <w:b/>
                <w:sz w:val="20"/>
              </w:rPr>
              <w:t>Salvage chemotherapy</w:t>
            </w:r>
          </w:p>
        </w:tc>
      </w:tr>
      <w:tr w:rsidR="00954713" w:rsidRPr="00CF3D88" w:rsidTr="00954713">
        <w:tc>
          <w:tcPr>
            <w:tcW w:w="598" w:type="pct"/>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Kaloyannidis dataset</w:t>
            </w:r>
          </w:p>
        </w:tc>
        <w:tc>
          <w:tcPr>
            <w:tcW w:w="428" w:type="pct"/>
            <w:gridSpan w:val="2"/>
            <w:shd w:val="clear" w:color="auto" w:fill="auto"/>
          </w:tcPr>
          <w:p w:rsidR="00954713" w:rsidRPr="00CF3D88" w:rsidRDefault="00954713" w:rsidP="00954713">
            <w:pPr>
              <w:keepNext/>
              <w:widowControl/>
              <w:jc w:val="center"/>
              <w:rPr>
                <w:rFonts w:ascii="Arial Narrow" w:hAnsi="Arial Narrow"/>
                <w:sz w:val="20"/>
              </w:rPr>
            </w:pPr>
            <w:r w:rsidRPr="00CF3D88">
              <w:rPr>
                <w:rFonts w:ascii="Arial Narrow" w:hAnsi="Arial Narrow"/>
                <w:sz w:val="20"/>
              </w:rPr>
              <w:t>87</w:t>
            </w:r>
          </w:p>
        </w:tc>
        <w:tc>
          <w:tcPr>
            <w:tcW w:w="941" w:type="pct"/>
            <w:shd w:val="clear" w:color="auto" w:fill="auto"/>
          </w:tcPr>
          <w:p w:rsidR="00BF6726" w:rsidRPr="00CF3D88" w:rsidRDefault="00954713" w:rsidP="00BF6726">
            <w:pPr>
              <w:keepNext/>
              <w:widowControl/>
              <w:jc w:val="left"/>
              <w:rPr>
                <w:rFonts w:ascii="Arial Narrow" w:hAnsi="Arial Narrow"/>
                <w:sz w:val="20"/>
              </w:rPr>
            </w:pPr>
            <w:r w:rsidRPr="00CF3D88">
              <w:rPr>
                <w:rFonts w:ascii="Arial Narrow" w:hAnsi="Arial Narrow"/>
                <w:sz w:val="20"/>
              </w:rPr>
              <w:t xml:space="preserve">IPD; R; MC </w:t>
            </w:r>
          </w:p>
          <w:p w:rsidR="00954713" w:rsidRPr="00CF3D88" w:rsidRDefault="00954713" w:rsidP="00BF6726">
            <w:pPr>
              <w:keepNext/>
              <w:widowControl/>
              <w:jc w:val="left"/>
              <w:rPr>
                <w:rFonts w:ascii="Arial Narrow" w:hAnsi="Arial Narrow"/>
                <w:sz w:val="20"/>
              </w:rPr>
            </w:pPr>
            <w:r w:rsidRPr="00CF3D88">
              <w:rPr>
                <w:rFonts w:ascii="Arial Narrow" w:hAnsi="Arial Narrow"/>
                <w:sz w:val="20"/>
              </w:rPr>
              <w:t>17 months</w:t>
            </w:r>
          </w:p>
        </w:tc>
        <w:tc>
          <w:tcPr>
            <w:tcW w:w="429" w:type="pct"/>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High</w:t>
            </w:r>
          </w:p>
        </w:tc>
        <w:tc>
          <w:tcPr>
            <w:tcW w:w="857" w:type="pct"/>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Relapsed HL post-ASCT, 1</w:t>
            </w:r>
            <w:r w:rsidRPr="00CF3D88">
              <w:rPr>
                <w:rFonts w:ascii="Arial Narrow" w:hAnsi="Arial Narrow"/>
                <w:sz w:val="20"/>
                <w:vertAlign w:val="superscript"/>
              </w:rPr>
              <w:t>st</w:t>
            </w:r>
            <w:r w:rsidRPr="00CF3D88">
              <w:rPr>
                <w:rFonts w:ascii="Arial Narrow" w:hAnsi="Arial Narrow"/>
                <w:sz w:val="20"/>
              </w:rPr>
              <w:t>-line</w:t>
            </w:r>
          </w:p>
        </w:tc>
        <w:tc>
          <w:tcPr>
            <w:tcW w:w="598" w:type="pct"/>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OS; PFS</w:t>
            </w:r>
          </w:p>
        </w:tc>
        <w:tc>
          <w:tcPr>
            <w:tcW w:w="1149" w:type="pct"/>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Used</w:t>
            </w:r>
          </w:p>
        </w:tc>
      </w:tr>
      <w:tr w:rsidR="00954713" w:rsidRPr="00CF3D88" w:rsidTr="00435D40">
        <w:tc>
          <w:tcPr>
            <w:tcW w:w="598" w:type="pct"/>
            <w:tcBorders>
              <w:bottom w:val="single" w:sz="4" w:space="0" w:color="auto"/>
            </w:tcBorders>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British Columbia</w:t>
            </w:r>
          </w:p>
        </w:tc>
        <w:tc>
          <w:tcPr>
            <w:tcW w:w="428" w:type="pct"/>
            <w:gridSpan w:val="2"/>
            <w:tcBorders>
              <w:bottom w:val="single" w:sz="4" w:space="0" w:color="auto"/>
            </w:tcBorders>
            <w:shd w:val="clear" w:color="auto" w:fill="auto"/>
          </w:tcPr>
          <w:p w:rsidR="00954713" w:rsidRPr="00CF3D88" w:rsidRDefault="00954713" w:rsidP="00954713">
            <w:pPr>
              <w:keepNext/>
              <w:widowControl/>
              <w:jc w:val="center"/>
              <w:rPr>
                <w:rFonts w:ascii="Arial Narrow" w:hAnsi="Arial Narrow"/>
                <w:sz w:val="20"/>
              </w:rPr>
            </w:pPr>
            <w:r w:rsidRPr="00CF3D88">
              <w:rPr>
                <w:rFonts w:ascii="Arial Narrow" w:hAnsi="Arial Narrow"/>
                <w:sz w:val="20"/>
              </w:rPr>
              <w:t>42</w:t>
            </w:r>
          </w:p>
        </w:tc>
        <w:tc>
          <w:tcPr>
            <w:tcW w:w="941" w:type="pct"/>
            <w:tcBorders>
              <w:bottom w:val="single" w:sz="4" w:space="0" w:color="auto"/>
            </w:tcBorders>
            <w:shd w:val="clear" w:color="auto" w:fill="auto"/>
          </w:tcPr>
          <w:p w:rsidR="00BF6726" w:rsidRPr="00CF3D88" w:rsidRDefault="00954713" w:rsidP="00BF6726">
            <w:pPr>
              <w:keepNext/>
              <w:widowControl/>
              <w:jc w:val="left"/>
              <w:rPr>
                <w:rFonts w:ascii="Arial Narrow" w:hAnsi="Arial Narrow"/>
                <w:sz w:val="20"/>
              </w:rPr>
            </w:pPr>
            <w:r w:rsidRPr="00CF3D88">
              <w:rPr>
                <w:rFonts w:ascii="Arial Narrow" w:hAnsi="Arial Narrow"/>
                <w:sz w:val="20"/>
              </w:rPr>
              <w:t>IPD; R</w:t>
            </w:r>
          </w:p>
          <w:p w:rsidR="00954713" w:rsidRPr="00CF3D88" w:rsidRDefault="00954713" w:rsidP="00BF6726">
            <w:pPr>
              <w:keepNext/>
              <w:widowControl/>
              <w:jc w:val="left"/>
              <w:rPr>
                <w:rFonts w:ascii="Arial Narrow" w:hAnsi="Arial Narrow"/>
                <w:sz w:val="20"/>
                <w:vertAlign w:val="superscript"/>
              </w:rPr>
            </w:pPr>
            <w:r w:rsidRPr="00CF3D88">
              <w:rPr>
                <w:rFonts w:ascii="Arial Narrow" w:hAnsi="Arial Narrow"/>
                <w:sz w:val="20"/>
              </w:rPr>
              <w:t xml:space="preserve">13 months </w:t>
            </w:r>
            <w:r w:rsidRPr="00CF3D88">
              <w:rPr>
                <w:rFonts w:ascii="Arial Narrow" w:hAnsi="Arial Narrow"/>
                <w:sz w:val="20"/>
                <w:vertAlign w:val="superscript"/>
              </w:rPr>
              <w:t>a</w:t>
            </w:r>
          </w:p>
        </w:tc>
        <w:tc>
          <w:tcPr>
            <w:tcW w:w="429" w:type="pct"/>
            <w:tcBorders>
              <w:bottom w:val="single" w:sz="4" w:space="0" w:color="auto"/>
            </w:tcBorders>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High</w:t>
            </w:r>
          </w:p>
        </w:tc>
        <w:tc>
          <w:tcPr>
            <w:tcW w:w="857" w:type="pct"/>
            <w:tcBorders>
              <w:bottom w:val="single" w:sz="4" w:space="0" w:color="auto"/>
            </w:tcBorders>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Relapsed HL post-ASCT, 1</w:t>
            </w:r>
            <w:r w:rsidRPr="00CF3D88">
              <w:rPr>
                <w:rFonts w:ascii="Arial Narrow" w:hAnsi="Arial Narrow"/>
                <w:sz w:val="20"/>
                <w:vertAlign w:val="superscript"/>
              </w:rPr>
              <w:t>st</w:t>
            </w:r>
            <w:r w:rsidRPr="00CF3D88">
              <w:rPr>
                <w:rFonts w:ascii="Arial Narrow" w:hAnsi="Arial Narrow"/>
                <w:sz w:val="20"/>
              </w:rPr>
              <w:t xml:space="preserve"> line</w:t>
            </w:r>
          </w:p>
        </w:tc>
        <w:tc>
          <w:tcPr>
            <w:tcW w:w="598" w:type="pct"/>
            <w:tcBorders>
              <w:bottom w:val="single" w:sz="4" w:space="0" w:color="auto"/>
            </w:tcBorders>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OS; PFS</w:t>
            </w:r>
          </w:p>
        </w:tc>
        <w:tc>
          <w:tcPr>
            <w:tcW w:w="1149" w:type="pct"/>
            <w:tcBorders>
              <w:bottom w:val="single" w:sz="4" w:space="0" w:color="auto"/>
            </w:tcBorders>
            <w:shd w:val="clear" w:color="auto" w:fill="auto"/>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Used</w:t>
            </w:r>
          </w:p>
        </w:tc>
      </w:tr>
      <w:tr w:rsidR="00954713" w:rsidRPr="00CF3D88" w:rsidTr="00435D40">
        <w:tc>
          <w:tcPr>
            <w:tcW w:w="598" w:type="pct"/>
            <w:shd w:val="clear" w:color="auto" w:fill="FFFFFF" w:themeFill="background1"/>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AETHERA</w:t>
            </w:r>
          </w:p>
        </w:tc>
        <w:tc>
          <w:tcPr>
            <w:tcW w:w="423" w:type="pct"/>
            <w:shd w:val="clear" w:color="auto" w:fill="FFFFFF" w:themeFill="background1"/>
          </w:tcPr>
          <w:p w:rsidR="00954713" w:rsidRPr="00CF3D88" w:rsidRDefault="00526F5C" w:rsidP="00954713">
            <w:pPr>
              <w:keepNext/>
              <w:widowControl/>
              <w:jc w:val="center"/>
              <w:rPr>
                <w:rFonts w:ascii="Arial Narrow" w:hAnsi="Arial Narrow"/>
                <w:sz w:val="20"/>
              </w:rPr>
            </w:pPr>
            <w:r>
              <w:rPr>
                <w:rFonts w:ascii="Arial Narrow" w:hAnsi="Arial Narrow"/>
                <w:noProof/>
                <w:color w:val="000000"/>
                <w:sz w:val="20"/>
                <w:highlight w:val="black"/>
              </w:rPr>
              <w:t>'''''</w:t>
            </w:r>
            <w:r w:rsidR="00954713" w:rsidRPr="00CF3D88">
              <w:rPr>
                <w:rFonts w:ascii="Arial Narrow" w:hAnsi="Arial Narrow"/>
                <w:sz w:val="20"/>
              </w:rPr>
              <w:t xml:space="preserve"> (329)</w:t>
            </w:r>
          </w:p>
        </w:tc>
        <w:tc>
          <w:tcPr>
            <w:tcW w:w="2829" w:type="pct"/>
            <w:gridSpan w:val="5"/>
            <w:shd w:val="clear" w:color="auto" w:fill="FFFFFF" w:themeFill="background1"/>
          </w:tcPr>
          <w:p w:rsidR="00954713" w:rsidRPr="00CF3D88" w:rsidRDefault="00954713" w:rsidP="00954713">
            <w:pPr>
              <w:keepNext/>
              <w:widowControl/>
              <w:jc w:val="left"/>
              <w:rPr>
                <w:rFonts w:ascii="Arial Narrow" w:hAnsi="Arial Narrow"/>
                <w:sz w:val="20"/>
                <w:vertAlign w:val="superscript"/>
              </w:rPr>
            </w:pPr>
            <w:r w:rsidRPr="00CF3D88">
              <w:rPr>
                <w:rFonts w:ascii="Arial Narrow" w:hAnsi="Arial Narrow"/>
                <w:sz w:val="20"/>
              </w:rPr>
              <w:t xml:space="preserve">As above, 18 months </w:t>
            </w:r>
            <w:r w:rsidRPr="00CF3D88">
              <w:rPr>
                <w:rFonts w:ascii="Arial Narrow" w:hAnsi="Arial Narrow"/>
                <w:sz w:val="20"/>
                <w:vertAlign w:val="superscript"/>
              </w:rPr>
              <w:t>a</w:t>
            </w:r>
          </w:p>
        </w:tc>
        <w:tc>
          <w:tcPr>
            <w:tcW w:w="1149" w:type="pct"/>
            <w:shd w:val="clear" w:color="auto" w:fill="FFFFFF" w:themeFill="background1"/>
          </w:tcPr>
          <w:p w:rsidR="00954713" w:rsidRPr="00CF3D88" w:rsidRDefault="00954713" w:rsidP="00954713">
            <w:pPr>
              <w:keepNext/>
              <w:widowControl/>
              <w:jc w:val="left"/>
              <w:rPr>
                <w:rFonts w:ascii="Arial Narrow" w:hAnsi="Arial Narrow"/>
                <w:sz w:val="20"/>
              </w:rPr>
            </w:pPr>
            <w:r w:rsidRPr="00CF3D88">
              <w:rPr>
                <w:rFonts w:ascii="Arial Narrow" w:hAnsi="Arial Narrow"/>
                <w:sz w:val="20"/>
              </w:rPr>
              <w:t xml:space="preserve">Cohort of patients from the long term follow-up of the placebo arm who received </w:t>
            </w:r>
            <w:r w:rsidR="004D3483" w:rsidRPr="00CF3D88">
              <w:rPr>
                <w:rFonts w:ascii="Arial Narrow" w:hAnsi="Arial Narrow"/>
                <w:sz w:val="20"/>
              </w:rPr>
              <w:t>chemotherapy</w:t>
            </w:r>
            <w:r w:rsidRPr="00CF3D88">
              <w:rPr>
                <w:rFonts w:ascii="Arial Narrow" w:hAnsi="Arial Narrow"/>
                <w:sz w:val="20"/>
              </w:rPr>
              <w:t xml:space="preserve"> post progression (n=</w:t>
            </w:r>
            <w:r w:rsidR="00526F5C">
              <w:rPr>
                <w:rFonts w:ascii="Arial Narrow" w:hAnsi="Arial Narrow"/>
                <w:noProof/>
                <w:color w:val="000000"/>
                <w:sz w:val="20"/>
                <w:highlight w:val="black"/>
              </w:rPr>
              <w:t>'''''</w:t>
            </w:r>
            <w:r w:rsidRPr="00CF3D88">
              <w:rPr>
                <w:rFonts w:ascii="Arial Narrow" w:hAnsi="Arial Narrow"/>
                <w:sz w:val="20"/>
              </w:rPr>
              <w:t>)</w:t>
            </w:r>
          </w:p>
        </w:tc>
      </w:tr>
    </w:tbl>
    <w:p w:rsidR="00954713" w:rsidRPr="00CF3D88" w:rsidRDefault="00954713" w:rsidP="00954713">
      <w:pPr>
        <w:keepNext/>
        <w:widowControl/>
        <w:ind w:firstLine="720"/>
        <w:rPr>
          <w:rFonts w:ascii="Arial Narrow" w:hAnsi="Arial Narrow"/>
          <w:sz w:val="18"/>
          <w:szCs w:val="18"/>
        </w:rPr>
      </w:pPr>
      <w:r w:rsidRPr="00CF3D88">
        <w:rPr>
          <w:rFonts w:ascii="Arial Narrow" w:hAnsi="Arial Narrow"/>
          <w:sz w:val="18"/>
          <w:szCs w:val="18"/>
        </w:rPr>
        <w:t>Source: compiled during the evaluation</w:t>
      </w:r>
    </w:p>
    <w:p w:rsidR="00954713" w:rsidRPr="00CF3D88" w:rsidRDefault="00954713" w:rsidP="00954713">
      <w:pPr>
        <w:keepNext/>
        <w:widowControl/>
        <w:ind w:left="709" w:firstLine="11"/>
        <w:rPr>
          <w:rFonts w:ascii="Arial Narrow" w:hAnsi="Arial Narrow"/>
          <w:sz w:val="18"/>
        </w:rPr>
      </w:pPr>
      <w:r w:rsidRPr="00CF3D88">
        <w:rPr>
          <w:rFonts w:ascii="Arial Narrow" w:hAnsi="Arial Narrow"/>
          <w:sz w:val="18"/>
        </w:rPr>
        <w:t>ASCT = autologous stem cell transplant; BV = brentuximab vedotin; HL = Hodgkin lymphoma; IPD = individual patient data; ITT = intention-to-treat; MC=multi-centre; ORR = overall response rate; OS=overall survival; PFS=progression-fr</w:t>
      </w:r>
      <w:r w:rsidR="00D94334">
        <w:rPr>
          <w:rFonts w:ascii="Arial Narrow" w:hAnsi="Arial Narrow"/>
          <w:sz w:val="18"/>
        </w:rPr>
        <w:t>ee survival; R = retrospective.</w:t>
      </w:r>
    </w:p>
    <w:p w:rsidR="00954713" w:rsidRPr="00CF3D88" w:rsidRDefault="00954713" w:rsidP="00954713">
      <w:pPr>
        <w:keepNext/>
        <w:widowControl/>
        <w:ind w:left="709" w:firstLine="11"/>
        <w:rPr>
          <w:rFonts w:ascii="Arial Narrow" w:hAnsi="Arial Narrow"/>
          <w:i/>
          <w:sz w:val="18"/>
        </w:rPr>
      </w:pPr>
      <w:proofErr w:type="gramStart"/>
      <w:r w:rsidRPr="00CF3D88">
        <w:rPr>
          <w:rFonts w:ascii="Arial Narrow" w:hAnsi="Arial Narrow"/>
          <w:sz w:val="18"/>
          <w:vertAlign w:val="superscript"/>
        </w:rPr>
        <w:t>a</w:t>
      </w:r>
      <w:proofErr w:type="gramEnd"/>
      <w:r w:rsidRPr="00CF3D88">
        <w:rPr>
          <w:rFonts w:ascii="Arial Narrow" w:hAnsi="Arial Narrow"/>
          <w:sz w:val="18"/>
        </w:rPr>
        <w:t xml:space="preserve"> Follow-up was calculated during evaluation based on Individual Patient Data</w:t>
      </w:r>
    </w:p>
    <w:p w:rsidR="00161EC3" w:rsidRPr="00CF3D88" w:rsidRDefault="00161EC3" w:rsidP="00954713">
      <w:pPr>
        <w:keepNext/>
        <w:widowControl/>
        <w:ind w:left="709" w:firstLine="11"/>
        <w:rPr>
          <w:rFonts w:ascii="Arial Narrow" w:hAnsi="Arial Narrow"/>
          <w:sz w:val="18"/>
        </w:rPr>
      </w:pPr>
      <w:proofErr w:type="gramStart"/>
      <w:r w:rsidRPr="00CF3D88">
        <w:rPr>
          <w:rFonts w:ascii="Arial Narrow" w:hAnsi="Arial Narrow"/>
          <w:sz w:val="18"/>
          <w:vertAlign w:val="superscript"/>
        </w:rPr>
        <w:t>b</w:t>
      </w:r>
      <w:proofErr w:type="gramEnd"/>
      <w:r w:rsidR="00535EDA" w:rsidRPr="00CF3D88">
        <w:rPr>
          <w:rFonts w:ascii="Arial Narrow" w:hAnsi="Arial Narrow"/>
          <w:sz w:val="18"/>
          <w:vertAlign w:val="superscript"/>
        </w:rPr>
        <w:t xml:space="preserve"> </w:t>
      </w:r>
      <w:r w:rsidRPr="00CF3D88">
        <w:rPr>
          <w:rFonts w:ascii="Arial Narrow" w:hAnsi="Arial Narrow"/>
          <w:sz w:val="18"/>
        </w:rPr>
        <w:t>Progression free survival data were not available for the AETHERA follow-up cohorts</w:t>
      </w:r>
    </w:p>
    <w:p w:rsidR="00954713" w:rsidRPr="00CF3D88" w:rsidRDefault="00161EC3" w:rsidP="00954713">
      <w:pPr>
        <w:widowControl/>
        <w:rPr>
          <w:szCs w:val="22"/>
          <w:vertAlign w:val="superscript"/>
        </w:rPr>
      </w:pPr>
      <w:r w:rsidRPr="00CF3D88">
        <w:rPr>
          <w:szCs w:val="22"/>
        </w:rPr>
        <w:tab/>
      </w:r>
    </w:p>
    <w:p w:rsidR="00423119" w:rsidRPr="00CF3D88" w:rsidRDefault="00517AA4" w:rsidP="009530DB">
      <w:pPr>
        <w:widowControl/>
        <w:numPr>
          <w:ilvl w:val="1"/>
          <w:numId w:val="2"/>
        </w:numPr>
        <w:contextualSpacing/>
      </w:pPr>
      <w:bookmarkStart w:id="13" w:name="_Toc461532375"/>
      <w:bookmarkStart w:id="14" w:name="_Toc461607681"/>
      <w:r w:rsidRPr="00CF3D88">
        <w:t xml:space="preserve">The PSCR </w:t>
      </w:r>
      <w:r w:rsidR="00E909A8">
        <w:t>(p</w:t>
      </w:r>
      <w:r w:rsidR="00325154" w:rsidRPr="00CF3D88">
        <w:t>1-2</w:t>
      </w:r>
      <w:r w:rsidRPr="00CF3D88">
        <w:t xml:space="preserve">) acknowledged the limitations in the evidence presented; however, it argued that in the absence of any controlled comparative data, a naïve indirect comparison was the only possible approach to assessing the comparative effectiveness of brentuximab vedotin versus salvage chemotherapy. The PSCR also </w:t>
      </w:r>
      <w:r w:rsidR="00E33FE3" w:rsidRPr="00CF3D88">
        <w:t>contended that “</w:t>
      </w:r>
      <w:r w:rsidR="00E33FE3" w:rsidRPr="00CF3D88">
        <w:rPr>
          <w:rFonts w:cstheme="minorHAnsi"/>
          <w:szCs w:val="22"/>
        </w:rPr>
        <w:t xml:space="preserve">the addition of the AETHERA data is important because not only does it provide additional efficacy data (particularly for BV), but these recent data demonstrating BV’s efficacy (which align with BV’s benefit seen in the controlled trial </w:t>
      </w:r>
      <w:r w:rsidR="00E33FE3" w:rsidRPr="00CF3D88">
        <w:rPr>
          <w:rFonts w:cstheme="minorHAnsi"/>
          <w:szCs w:val="22"/>
        </w:rPr>
        <w:lastRenderedPageBreak/>
        <w:t>environment) are informative to the PBAC’s consideration of BV’s use and effectiveness in the real word”</w:t>
      </w:r>
      <w:r w:rsidR="00D94334">
        <w:t>.</w:t>
      </w:r>
    </w:p>
    <w:p w:rsidR="00A47094" w:rsidRPr="00CF3D88" w:rsidRDefault="00A47094" w:rsidP="00A47094">
      <w:pPr>
        <w:widowControl/>
        <w:ind w:firstLine="720"/>
        <w:contextualSpacing/>
      </w:pPr>
    </w:p>
    <w:p w:rsidR="00423119" w:rsidRPr="00CF3D88" w:rsidRDefault="00517AA4" w:rsidP="00456FA2">
      <w:pPr>
        <w:widowControl/>
        <w:numPr>
          <w:ilvl w:val="1"/>
          <w:numId w:val="2"/>
        </w:numPr>
        <w:contextualSpacing/>
      </w:pPr>
      <w:r w:rsidRPr="00CF3D88">
        <w:t xml:space="preserve">The ESC noted that the AETHERA study included patients who were older and more heavily pre-treated but with less refractory disease than patients in the other studies. Thus, the ESC considered that including AETHERA in the naïve comparison introduced additional heterogeneity. The overall impact </w:t>
      </w:r>
      <w:r w:rsidR="004C1E68" w:rsidRPr="00CF3D88">
        <w:t xml:space="preserve">of this </w:t>
      </w:r>
      <w:r w:rsidRPr="00CF3D88">
        <w:t xml:space="preserve">was difficult to determine, particularly as AETHERA contributed significantly more patients to the brentuximab vedotin group than the salvage chemotherapy group </w:t>
      </w:r>
      <w:r w:rsidR="002556A5" w:rsidRPr="00CF3D88">
        <w:t xml:space="preserve">for </w:t>
      </w:r>
      <w:r w:rsidRPr="00CF3D88">
        <w:t>the naïve comparison (</w:t>
      </w:r>
      <w:r w:rsidR="00526F5C">
        <w:rPr>
          <w:noProof/>
          <w:color w:val="000000"/>
          <w:highlight w:val="black"/>
        </w:rPr>
        <w:t>''''''</w:t>
      </w:r>
      <w:r w:rsidRPr="00CF3D88">
        <w:t xml:space="preserve">% of all patients in the brentuximab vedotin group versus </w:t>
      </w:r>
      <w:r w:rsidR="00526F5C">
        <w:rPr>
          <w:noProof/>
          <w:color w:val="000000"/>
          <w:highlight w:val="black"/>
        </w:rPr>
        <w:t>'''</w:t>
      </w:r>
      <w:r w:rsidRPr="00CF3D88">
        <w:t xml:space="preserve">% for salvage chemotherapy). </w:t>
      </w:r>
      <w:r w:rsidR="00423119" w:rsidRPr="00CF3D88">
        <w:t xml:space="preserve">The ESC considered that this </w:t>
      </w:r>
      <w:r w:rsidR="002556A5" w:rsidRPr="00CF3D88">
        <w:t xml:space="preserve">can </w:t>
      </w:r>
      <w:r w:rsidR="00423119" w:rsidRPr="00CF3D88">
        <w:t>potentially increase the PBAC’s previous concerns about the high risk of bias</w:t>
      </w:r>
      <w:r w:rsidR="002556A5" w:rsidRPr="00CF3D88">
        <w:t>, although the direction of the bias is unclear</w:t>
      </w:r>
      <w:r w:rsidR="00D94334">
        <w:t>.</w:t>
      </w:r>
    </w:p>
    <w:p w:rsidR="00E33FE3" w:rsidRPr="00CF3D88" w:rsidRDefault="00E33FE3" w:rsidP="00A47094">
      <w:pPr>
        <w:widowControl/>
        <w:ind w:left="709"/>
        <w:contextualSpacing/>
      </w:pPr>
    </w:p>
    <w:p w:rsidR="00517AA4" w:rsidRPr="00CF3D88" w:rsidRDefault="002556A5" w:rsidP="00456FA2">
      <w:pPr>
        <w:widowControl/>
        <w:numPr>
          <w:ilvl w:val="1"/>
          <w:numId w:val="2"/>
        </w:numPr>
        <w:contextualSpacing/>
      </w:pPr>
      <w:r w:rsidRPr="00CF3D88">
        <w:t>T</w:t>
      </w:r>
      <w:r w:rsidR="00517AA4" w:rsidRPr="00CF3D88">
        <w:t xml:space="preserve">he ESC noted that </w:t>
      </w:r>
      <w:r w:rsidR="005B03D9" w:rsidRPr="00CF3D88">
        <w:t>the re</w:t>
      </w:r>
      <w:r w:rsidR="00517AA4" w:rsidRPr="00CF3D88">
        <w:t>submission did not discuss the applicability of the AETHERA follow-up data to the proposed PBS population.</w:t>
      </w:r>
    </w:p>
    <w:p w:rsidR="003948DD" w:rsidRPr="00CF3D88" w:rsidRDefault="003948DD" w:rsidP="00517AA4">
      <w:pPr>
        <w:widowControl/>
        <w:ind w:left="720"/>
        <w:contextualSpacing/>
        <w:rPr>
          <w:i/>
        </w:rPr>
      </w:pPr>
    </w:p>
    <w:p w:rsidR="00954713" w:rsidRPr="000C3D5D" w:rsidRDefault="00954713" w:rsidP="00A71B36">
      <w:pPr>
        <w:pStyle w:val="Heading2"/>
        <w:rPr>
          <w:i/>
        </w:rPr>
      </w:pPr>
      <w:r w:rsidRPr="000C3D5D">
        <w:rPr>
          <w:i/>
        </w:rPr>
        <w:t>Comparative effectiveness</w:t>
      </w:r>
      <w:bookmarkEnd w:id="13"/>
      <w:bookmarkEnd w:id="14"/>
    </w:p>
    <w:p w:rsidR="00193E19" w:rsidRPr="00CF3D88" w:rsidRDefault="00193E19" w:rsidP="00BD3814"/>
    <w:p w:rsidR="00954713" w:rsidRPr="00CF3D88" w:rsidRDefault="00D94334" w:rsidP="00954713">
      <w:pPr>
        <w:rPr>
          <w:szCs w:val="22"/>
          <w:u w:val="single"/>
        </w:rPr>
      </w:pPr>
      <w:r>
        <w:rPr>
          <w:u w:val="single"/>
        </w:rPr>
        <w:t>Overall-survival</w:t>
      </w:r>
    </w:p>
    <w:p w:rsidR="00E23C0A" w:rsidRPr="00CF3D88" w:rsidRDefault="00954713" w:rsidP="009530DB">
      <w:pPr>
        <w:widowControl/>
        <w:numPr>
          <w:ilvl w:val="1"/>
          <w:numId w:val="2"/>
        </w:numPr>
        <w:contextualSpacing/>
      </w:pPr>
      <w:r w:rsidRPr="00CF3D88">
        <w:t>The</w:t>
      </w:r>
      <w:r w:rsidRPr="00CF3D88">
        <w:rPr>
          <w:szCs w:val="22"/>
        </w:rPr>
        <w:t xml:space="preserve"> </w:t>
      </w:r>
      <w:r w:rsidR="00A8064E" w:rsidRPr="00CF3D88">
        <w:rPr>
          <w:szCs w:val="22"/>
        </w:rPr>
        <w:t xml:space="preserve">resubmission </w:t>
      </w:r>
      <w:r w:rsidRPr="00CF3D88">
        <w:rPr>
          <w:szCs w:val="22"/>
        </w:rPr>
        <w:t>presented overall survival outcomes from the combined cohorts for brentuximab vedotin (Study 0003 first-line post ASCT subgroup + AETHERA follow-up cohort) versus salvage chemotherapy (British Columbia + Kaloyannidis + AETHERA follow-up cohort).</w:t>
      </w:r>
      <w:r w:rsidRPr="00CF3D88">
        <w:t xml:space="preserve"> </w:t>
      </w:r>
      <w:r w:rsidR="00BD3904" w:rsidRPr="00CF3D88">
        <w:t xml:space="preserve">The </w:t>
      </w:r>
      <w:r w:rsidR="00A8064E" w:rsidRPr="00CF3D88">
        <w:t>resubmission</w:t>
      </w:r>
      <w:r w:rsidR="00BD3904" w:rsidRPr="00CF3D88">
        <w:t>’s methods for conducting the survival analy</w:t>
      </w:r>
      <w:r w:rsidR="00E32658" w:rsidRPr="00CF3D88">
        <w:t>ses were inappropriate because</w:t>
      </w:r>
      <w:r w:rsidR="00E23C0A" w:rsidRPr="00CF3D88">
        <w:t>:</w:t>
      </w:r>
    </w:p>
    <w:p w:rsidR="00E23C0A" w:rsidRPr="00CF3D88" w:rsidRDefault="00E23C0A" w:rsidP="00812287">
      <w:pPr>
        <w:pStyle w:val="ListParagraph"/>
        <w:widowControl/>
        <w:numPr>
          <w:ilvl w:val="0"/>
          <w:numId w:val="26"/>
        </w:numPr>
      </w:pPr>
      <w:r w:rsidRPr="00CF3D88">
        <w:t xml:space="preserve">In the overall survival analysis, </w:t>
      </w:r>
      <w:r w:rsidR="00BD3904" w:rsidRPr="00CF3D88">
        <w:t>some patients were censored when they commenced a subsequent treatment deemed “experimental”. However, this was not a valid reason to censor overall survival data. Patients commence subsequent therapies as their condition worsens, so this was informative censoring. Further, use of subsequent therapies would reflect use in Australian clinical practice. The rates of censoring were significantly higher in the brentuximab vedotin group (</w:t>
      </w:r>
      <w:r w:rsidR="00526F5C">
        <w:rPr>
          <w:noProof/>
          <w:color w:val="000000"/>
          <w:highlight w:val="black"/>
        </w:rPr>
        <w:t>'''''''</w:t>
      </w:r>
      <w:r w:rsidR="00BD3904" w:rsidRPr="00CF3D88">
        <w:t xml:space="preserve">% versus </w:t>
      </w:r>
      <w:r w:rsidR="00526F5C">
        <w:rPr>
          <w:noProof/>
          <w:color w:val="000000"/>
          <w:highlight w:val="black"/>
        </w:rPr>
        <w:t>''''''</w:t>
      </w:r>
      <w:r w:rsidR="00BD3904" w:rsidRPr="00CF3D88">
        <w:t xml:space="preserve">% in the chemotherapy studies). </w:t>
      </w:r>
    </w:p>
    <w:p w:rsidR="00325154" w:rsidRPr="00CF3D88" w:rsidRDefault="00E23C0A" w:rsidP="00812287">
      <w:pPr>
        <w:pStyle w:val="ListParagraph"/>
        <w:widowControl/>
        <w:numPr>
          <w:ilvl w:val="0"/>
          <w:numId w:val="26"/>
        </w:numPr>
      </w:pPr>
      <w:r w:rsidRPr="00CF3D88">
        <w:t>In the progression free survival analysis, patients with missing data in the Kaloyannidis study (salvage chemotherapy) were assumed to have 15 days of progression free survival. This affected 74% of patients in this study, many of whom had stable disease or a complete or partial response. This significantly underestimated progression free survival in the salvage chemotherapy arm.</w:t>
      </w:r>
      <w:r w:rsidR="00325154" w:rsidRPr="00CF3D88">
        <w:rPr>
          <w:rFonts w:cs="Calibri"/>
          <w:szCs w:val="22"/>
        </w:rPr>
        <w:t xml:space="preserve"> T</w:t>
      </w:r>
      <w:r w:rsidR="00E909A8">
        <w:rPr>
          <w:rFonts w:cs="Calibri"/>
          <w:szCs w:val="22"/>
        </w:rPr>
        <w:t>he PSCR (p</w:t>
      </w:r>
      <w:r w:rsidR="00BB2D76" w:rsidRPr="00CF3D88">
        <w:rPr>
          <w:rFonts w:cs="Calibri"/>
          <w:szCs w:val="22"/>
        </w:rPr>
        <w:t>3</w:t>
      </w:r>
      <w:r w:rsidR="00325154" w:rsidRPr="00CF3D88">
        <w:rPr>
          <w:rFonts w:cs="Calibri"/>
          <w:szCs w:val="22"/>
        </w:rPr>
        <w:t xml:space="preserve">) </w:t>
      </w:r>
      <w:r w:rsidR="00BB2D76" w:rsidRPr="00CF3D88">
        <w:rPr>
          <w:rFonts w:cs="Calibri"/>
          <w:szCs w:val="22"/>
        </w:rPr>
        <w:t>notes that “</w:t>
      </w:r>
      <w:r w:rsidR="002556A5" w:rsidRPr="00CF3D88">
        <w:rPr>
          <w:rFonts w:cs="Calibri"/>
          <w:szCs w:val="22"/>
        </w:rPr>
        <w:t>…</w:t>
      </w:r>
      <w:r w:rsidR="00BB2D76" w:rsidRPr="00CF3D88">
        <w:rPr>
          <w:rFonts w:cs="Calibri"/>
          <w:szCs w:val="22"/>
        </w:rPr>
        <w:t>the date of relapse was located for an additional 25 patients, meaning the total number of patients with 15 days of PFS is 40 out of 87 patients, or 46%, not 74% as stated in the evaluation.” The additional PFS data were incorporated into the revised economic analysis presented in the PSCR.</w:t>
      </w:r>
    </w:p>
    <w:p w:rsidR="00BD3904" w:rsidRPr="00CF3D88" w:rsidRDefault="00BD3904" w:rsidP="00BD3814">
      <w:pPr>
        <w:widowControl/>
        <w:ind w:left="1080"/>
        <w:contextualSpacing/>
      </w:pPr>
    </w:p>
    <w:p w:rsidR="00954713" w:rsidRPr="00CF3D88" w:rsidRDefault="00954713" w:rsidP="00BD3814">
      <w:pPr>
        <w:widowControl/>
        <w:ind w:left="720"/>
        <w:contextualSpacing/>
        <w:rPr>
          <w:szCs w:val="22"/>
        </w:rPr>
      </w:pPr>
      <w:r w:rsidRPr="00CF3D88">
        <w:t>Figure 1 shows t</w:t>
      </w:r>
      <w:r w:rsidR="002E1268" w:rsidRPr="00CF3D88">
        <w:rPr>
          <w:szCs w:val="22"/>
        </w:rPr>
        <w:t xml:space="preserve">he Kaplan-Meier curve for </w:t>
      </w:r>
      <w:r w:rsidRPr="00CF3D88">
        <w:rPr>
          <w:szCs w:val="22"/>
        </w:rPr>
        <w:t xml:space="preserve">overall survival, as presented in the </w:t>
      </w:r>
      <w:r w:rsidR="00A8064E" w:rsidRPr="00CF3D88">
        <w:rPr>
          <w:szCs w:val="22"/>
        </w:rPr>
        <w:t xml:space="preserve">resubmission </w:t>
      </w:r>
      <w:r w:rsidRPr="00CF3D88">
        <w:rPr>
          <w:szCs w:val="22"/>
        </w:rPr>
        <w:t>(A) and without censoring for subsequent therapies as constructed during evaluation (B).</w:t>
      </w:r>
      <w:r w:rsidR="00566E8B" w:rsidRPr="00CF3D88">
        <w:rPr>
          <w:szCs w:val="22"/>
        </w:rPr>
        <w:t xml:space="preserve"> Table </w:t>
      </w:r>
      <w:r w:rsidR="001A124B" w:rsidRPr="00CF3D88">
        <w:rPr>
          <w:szCs w:val="22"/>
        </w:rPr>
        <w:t>5</w:t>
      </w:r>
      <w:r w:rsidR="00566E8B" w:rsidRPr="00CF3D88">
        <w:rPr>
          <w:szCs w:val="22"/>
        </w:rPr>
        <w:t xml:space="preserve"> presents a comparison of the overall survival </w:t>
      </w:r>
      <w:r w:rsidR="002E1268" w:rsidRPr="00CF3D88">
        <w:rPr>
          <w:szCs w:val="22"/>
        </w:rPr>
        <w:t xml:space="preserve">results </w:t>
      </w:r>
      <w:r w:rsidR="00566E8B" w:rsidRPr="00CF3D88">
        <w:rPr>
          <w:szCs w:val="22"/>
        </w:rPr>
        <w:t xml:space="preserve">as presented in the previous submission, the </w:t>
      </w:r>
      <w:r w:rsidR="00A8064E" w:rsidRPr="00CF3D88">
        <w:rPr>
          <w:szCs w:val="22"/>
        </w:rPr>
        <w:t xml:space="preserve">resubmission </w:t>
      </w:r>
      <w:r w:rsidR="00566E8B" w:rsidRPr="00CF3D88">
        <w:rPr>
          <w:szCs w:val="22"/>
        </w:rPr>
        <w:t>and without censoring for subsequent therapies.</w:t>
      </w:r>
    </w:p>
    <w:p w:rsidR="00954713" w:rsidRPr="00CF3D88" w:rsidRDefault="00954713" w:rsidP="00954713">
      <w:pPr>
        <w:widowControl/>
        <w:ind w:left="720"/>
        <w:contextualSpacing/>
        <w:rPr>
          <w:szCs w:val="22"/>
        </w:rPr>
      </w:pPr>
    </w:p>
    <w:p w:rsidR="00954713" w:rsidRPr="00CF3D88" w:rsidRDefault="00954713" w:rsidP="00954713">
      <w:pPr>
        <w:keepNext/>
        <w:keepLines/>
        <w:ind w:left="720"/>
        <w:rPr>
          <w:rFonts w:ascii="Arial Narrow" w:hAnsi="Arial Narrow"/>
          <w:b/>
          <w:sz w:val="20"/>
          <w:szCs w:val="16"/>
        </w:rPr>
      </w:pPr>
      <w:r w:rsidRPr="00CF3D88">
        <w:rPr>
          <w:rFonts w:ascii="Arial Narrow" w:hAnsi="Arial Narrow"/>
          <w:b/>
          <w:sz w:val="20"/>
          <w:szCs w:val="16"/>
        </w:rPr>
        <w:lastRenderedPageBreak/>
        <w:t xml:space="preserve">Figure 1: Overall survival curves for brentuximab vedotin and salvage chemotherapy (A) as presented in the </w:t>
      </w:r>
      <w:r w:rsidR="00A8064E" w:rsidRPr="00CF3D88">
        <w:rPr>
          <w:rFonts w:ascii="Arial Narrow" w:hAnsi="Arial Narrow"/>
          <w:b/>
          <w:sz w:val="20"/>
          <w:szCs w:val="16"/>
        </w:rPr>
        <w:t xml:space="preserve">resubmission </w:t>
      </w:r>
      <w:r w:rsidRPr="00CF3D88">
        <w:rPr>
          <w:rFonts w:ascii="Arial Narrow" w:hAnsi="Arial Narrow"/>
          <w:b/>
          <w:sz w:val="20"/>
          <w:szCs w:val="16"/>
        </w:rPr>
        <w:t>(B) with censoring for subsequent treatment removed (constructed during evaluation)</w:t>
      </w:r>
    </w:p>
    <w:p w:rsidR="00954713" w:rsidRPr="00526F5C" w:rsidRDefault="00526F5C" w:rsidP="00954713">
      <w:pPr>
        <w:keepNext/>
        <w:keepLines/>
        <w:ind w:left="720"/>
        <w:rPr>
          <w:rFonts w:ascii="Arial Narrow" w:hAnsi="Arial Narrow"/>
          <w:b/>
          <w:i/>
          <w:sz w:val="20"/>
          <w:szCs w:val="16"/>
          <w:highlight w:val="black"/>
        </w:rPr>
      </w:pPr>
      <w:r>
        <w:rPr>
          <w:rFonts w:ascii="Arial Narrow" w:hAnsi="Arial Narrow"/>
          <w:b/>
          <w:i/>
          <w:noProof/>
          <w:snapToGrid/>
          <w:sz w:val="20"/>
          <w:szCs w:val="16"/>
          <w:lang w:eastAsia="en-AU"/>
        </w:rPr>
        <w:drawing>
          <wp:inline distT="0" distB="0" distL="0" distR="0" wp14:anchorId="4C905DC4" wp14:editId="596A0064">
            <wp:extent cx="2419350" cy="2057400"/>
            <wp:effectExtent l="0" t="0" r="0" b="0"/>
            <wp:docPr id="8" name="Picture 8" descr="Figure 1: Overall survival curves for brentuximab vedotin and salvage chemotherapy (A) as presented in the resubmission (B) with censoring for subsequent treatment removed (constructed during evaluation)" title="Figure 1: Overall survival curves for brentuximab vedotin and salvage chemotherapy (A) as presented in the resubmission (B) with censoring for subsequent treatment removed (constructed during evalu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23830" cy="2061210"/>
                    </a:xfrm>
                    <a:prstGeom prst="rect">
                      <a:avLst/>
                    </a:prstGeom>
                  </pic:spPr>
                </pic:pic>
              </a:graphicData>
            </a:graphic>
          </wp:inline>
        </w:drawing>
      </w:r>
      <w:r>
        <w:rPr>
          <w:rFonts w:ascii="Arial Narrow" w:hAnsi="Arial Narrow"/>
          <w:b/>
          <w:i/>
          <w:noProof/>
          <w:snapToGrid/>
          <w:sz w:val="20"/>
          <w:szCs w:val="16"/>
          <w:lang w:eastAsia="en-AU"/>
        </w:rPr>
        <w:drawing>
          <wp:inline distT="0" distB="0" distL="0" distR="0" wp14:anchorId="529DF483" wp14:editId="10BA2CEB">
            <wp:extent cx="2718167" cy="2057400"/>
            <wp:effectExtent l="0" t="0" r="6350" b="0"/>
            <wp:docPr id="7" name="Picture 7" descr="Figure 1: Overall survival curves for brentuximab vedotin and salvage chemotherapy (A) as presented in the resubmission (B) with censoring for subsequent treatment removed (constructed during evaluation)" title="Figure 1: Overall survival curves for brentuximab vedotin and salvage chemotherapy (A) as presented in the resubmission (B) with censoring for subsequent treatment removed (constructed during evalu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24150" cy="2061929"/>
                    </a:xfrm>
                    <a:prstGeom prst="rect">
                      <a:avLst/>
                    </a:prstGeom>
                  </pic:spPr>
                </pic:pic>
              </a:graphicData>
            </a:graphic>
          </wp:inline>
        </w:drawing>
      </w:r>
    </w:p>
    <w:p w:rsidR="00954713" w:rsidRPr="00CF3D88" w:rsidRDefault="00954713" w:rsidP="00954713">
      <w:pPr>
        <w:ind w:left="720"/>
        <w:rPr>
          <w:rFonts w:ascii="Arial Narrow" w:hAnsi="Arial Narrow"/>
          <w:i/>
          <w:sz w:val="18"/>
        </w:rPr>
      </w:pPr>
      <w:r w:rsidRPr="00CF3D88">
        <w:rPr>
          <w:rFonts w:ascii="Arial Narrow" w:hAnsi="Arial Narrow"/>
          <w:sz w:val="18"/>
        </w:rPr>
        <w:t xml:space="preserve">Source: Figure B.6-4, p106 of the </w:t>
      </w:r>
      <w:r w:rsidR="00A8064E" w:rsidRPr="00CF3D88">
        <w:rPr>
          <w:rFonts w:ascii="Arial Narrow" w:hAnsi="Arial Narrow"/>
          <w:sz w:val="18"/>
        </w:rPr>
        <w:t>resubmission</w:t>
      </w:r>
      <w:r w:rsidRPr="00CF3D88">
        <w:rPr>
          <w:rFonts w:ascii="Arial Narrow" w:hAnsi="Arial Narrow"/>
          <w:sz w:val="18"/>
        </w:rPr>
        <w:t xml:space="preserve">; </w:t>
      </w:r>
      <w:r w:rsidRPr="00CF3D88">
        <w:rPr>
          <w:rFonts w:ascii="Arial Narrow" w:hAnsi="Arial Narrow"/>
          <w:i/>
          <w:sz w:val="18"/>
        </w:rPr>
        <w:t xml:space="preserve">and constructed during evaluation: using Spreadsheets 12.B - 2. </w:t>
      </w:r>
      <w:proofErr w:type="gramStart"/>
      <w:r w:rsidRPr="00CF3D88">
        <w:rPr>
          <w:rFonts w:ascii="Arial Narrow" w:hAnsi="Arial Narrow"/>
          <w:i/>
          <w:sz w:val="18"/>
        </w:rPr>
        <w:t>Censoring”, and “12C - 3.</w:t>
      </w:r>
      <w:proofErr w:type="gramEnd"/>
      <w:r w:rsidRPr="00CF3D88">
        <w:rPr>
          <w:rFonts w:ascii="Arial Narrow" w:hAnsi="Arial Narrow"/>
          <w:i/>
          <w:sz w:val="18"/>
        </w:rPr>
        <w:t xml:space="preserve"> </w:t>
      </w:r>
      <w:proofErr w:type="gramStart"/>
      <w:r w:rsidRPr="00CF3D88">
        <w:rPr>
          <w:rFonts w:ascii="Arial Narrow" w:hAnsi="Arial Narrow"/>
          <w:i/>
          <w:sz w:val="18"/>
        </w:rPr>
        <w:t>Survival Analyses”.</w:t>
      </w:r>
      <w:proofErr w:type="gramEnd"/>
    </w:p>
    <w:p w:rsidR="00954713" w:rsidRPr="00CF3D88" w:rsidRDefault="00954713" w:rsidP="00954713">
      <w:pPr>
        <w:ind w:left="720"/>
        <w:rPr>
          <w:rFonts w:ascii="Arial Narrow" w:hAnsi="Arial Narrow"/>
          <w:i/>
          <w:sz w:val="18"/>
        </w:rPr>
      </w:pPr>
    </w:p>
    <w:p w:rsidR="00566E8B" w:rsidRPr="00CF3D88" w:rsidRDefault="00566E8B" w:rsidP="002E1268">
      <w:pPr>
        <w:keepNext/>
        <w:keepLines/>
        <w:widowControl/>
        <w:snapToGrid w:val="0"/>
        <w:ind w:left="720"/>
        <w:rPr>
          <w:rFonts w:ascii="Arial Narrow" w:hAnsi="Arial Narrow"/>
          <w:b/>
          <w:snapToGrid/>
          <w:sz w:val="20"/>
          <w:szCs w:val="16"/>
        </w:rPr>
      </w:pPr>
      <w:r w:rsidRPr="00CF3D88">
        <w:rPr>
          <w:rFonts w:ascii="Arial Narrow" w:hAnsi="Arial Narrow"/>
          <w:b/>
          <w:snapToGrid/>
          <w:sz w:val="20"/>
          <w:szCs w:val="16"/>
        </w:rPr>
        <w:t xml:space="preserve">Table </w:t>
      </w:r>
      <w:r w:rsidR="001E38B8" w:rsidRPr="00CF3D88">
        <w:rPr>
          <w:rFonts w:ascii="Arial Narrow" w:hAnsi="Arial Narrow"/>
          <w:b/>
          <w:snapToGrid/>
          <w:sz w:val="20"/>
          <w:szCs w:val="16"/>
        </w:rPr>
        <w:t>5</w:t>
      </w:r>
      <w:r w:rsidRPr="00CF3D88">
        <w:rPr>
          <w:rFonts w:ascii="Arial Narrow" w:hAnsi="Arial Narrow"/>
          <w:b/>
          <w:snapToGrid/>
          <w:sz w:val="20"/>
          <w:szCs w:val="16"/>
        </w:rPr>
        <w:t>: Overall survival results from the key evidence versus the previous submission: with and without censoring for subsequent therapies</w:t>
      </w:r>
    </w:p>
    <w:tbl>
      <w:tblPr>
        <w:tblStyle w:val="TableGrid"/>
        <w:tblW w:w="4614" w:type="pct"/>
        <w:tblInd w:w="720" w:type="dxa"/>
        <w:tblLayout w:type="fixed"/>
        <w:tblCellMar>
          <w:left w:w="28" w:type="dxa"/>
          <w:right w:w="28" w:type="dxa"/>
        </w:tblCellMar>
        <w:tblLook w:val="04A0" w:firstRow="1" w:lastRow="0" w:firstColumn="1" w:lastColumn="0" w:noHBand="0" w:noVBand="1"/>
        <w:tblCaption w:val="Table 5: Overall survival results from the key evidence versus the previous submission: with and without censoring for subsequent therapies"/>
      </w:tblPr>
      <w:tblGrid>
        <w:gridCol w:w="1861"/>
        <w:gridCol w:w="850"/>
        <w:gridCol w:w="1276"/>
        <w:gridCol w:w="992"/>
        <w:gridCol w:w="1136"/>
        <w:gridCol w:w="994"/>
        <w:gridCol w:w="1272"/>
      </w:tblGrid>
      <w:tr w:rsidR="00566E8B" w:rsidRPr="00CF3D88" w:rsidTr="00566E8B">
        <w:trPr>
          <w:cantSplit/>
          <w:tblHeader/>
        </w:trPr>
        <w:tc>
          <w:tcPr>
            <w:tcW w:w="1110" w:type="pct"/>
            <w:vMerge w:val="restart"/>
            <w:tcBorders>
              <w:top w:val="single" w:sz="4" w:space="0" w:color="auto"/>
              <w:left w:val="single" w:sz="4" w:space="0" w:color="auto"/>
              <w:bottom w:val="single" w:sz="4" w:space="0" w:color="auto"/>
              <w:right w:val="single" w:sz="4" w:space="0" w:color="auto"/>
            </w:tcBorders>
          </w:tcPr>
          <w:p w:rsidR="00566E8B" w:rsidRPr="00CF3D88" w:rsidRDefault="00566E8B" w:rsidP="002E1268">
            <w:pPr>
              <w:keepNext/>
              <w:keepLines/>
              <w:widowControl/>
              <w:jc w:val="left"/>
              <w:rPr>
                <w:rFonts w:ascii="Arial Narrow" w:hAnsi="Arial Narrow" w:cs="Times New Roman"/>
                <w:snapToGrid/>
                <w:sz w:val="20"/>
              </w:rPr>
            </w:pPr>
          </w:p>
        </w:tc>
        <w:tc>
          <w:tcPr>
            <w:tcW w:w="126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Previous submission</w:t>
            </w:r>
          </w:p>
        </w:tc>
        <w:tc>
          <w:tcPr>
            <w:tcW w:w="2622" w:type="pct"/>
            <w:gridSpan w:val="4"/>
            <w:tcBorders>
              <w:top w:val="single" w:sz="4" w:space="0" w:color="auto"/>
              <w:left w:val="single" w:sz="4" w:space="0" w:color="auto"/>
              <w:bottom w:val="single" w:sz="4" w:space="0" w:color="auto"/>
              <w:right w:val="single" w:sz="4" w:space="0" w:color="auto"/>
            </w:tcBorders>
            <w:vAlign w:val="center"/>
            <w:hideMark/>
          </w:tcPr>
          <w:p w:rsidR="00566E8B" w:rsidRPr="00CF3D88" w:rsidRDefault="00A8064E"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Resubmission</w:t>
            </w:r>
          </w:p>
        </w:tc>
      </w:tr>
      <w:tr w:rsidR="00566E8B" w:rsidRPr="00CF3D88" w:rsidTr="002C7059">
        <w:trPr>
          <w:cantSplit/>
          <w:tblHeader/>
        </w:trPr>
        <w:tc>
          <w:tcPr>
            <w:tcW w:w="1110" w:type="pct"/>
            <w:vMerge/>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2E1268">
            <w:pPr>
              <w:keepNext/>
              <w:keepLines/>
              <w:widowControl/>
              <w:jc w:val="left"/>
              <w:rPr>
                <w:rFonts w:ascii="Arial Narrow" w:hAnsi="Arial Narrow" w:cs="Times New Roman"/>
                <w:snapToGrid/>
                <w:sz w:val="20"/>
              </w:rPr>
            </w:pPr>
          </w:p>
        </w:tc>
        <w:tc>
          <w:tcPr>
            <w:tcW w:w="1268" w:type="pct"/>
            <w:gridSpan w:val="2"/>
            <w:vMerge/>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2E1268">
            <w:pPr>
              <w:keepNext/>
              <w:keepLines/>
              <w:widowControl/>
              <w:jc w:val="left"/>
              <w:rPr>
                <w:rFonts w:ascii="Arial Narrow" w:hAnsi="Arial Narrow" w:cs="Times New Roman"/>
                <w:b/>
                <w:snapToGrid/>
                <w:sz w:val="20"/>
              </w:rPr>
            </w:pPr>
          </w:p>
        </w:tc>
        <w:tc>
          <w:tcPr>
            <w:tcW w:w="1270" w:type="pct"/>
            <w:gridSpan w:val="2"/>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As presented</w:t>
            </w:r>
          </w:p>
        </w:tc>
        <w:tc>
          <w:tcPr>
            <w:tcW w:w="1352" w:type="pct"/>
            <w:gridSpan w:val="2"/>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 xml:space="preserve">Remove censoring </w:t>
            </w:r>
          </w:p>
          <w:p w:rsidR="00566E8B" w:rsidRPr="00CF3D88" w:rsidRDefault="00566E8B" w:rsidP="002E1268">
            <w:pPr>
              <w:keepNext/>
              <w:keepLines/>
              <w:widowControl/>
              <w:jc w:val="center"/>
              <w:rPr>
                <w:rFonts w:ascii="Arial Narrow" w:hAnsi="Arial Narrow" w:cs="Times New Roman"/>
                <w:snapToGrid/>
                <w:sz w:val="20"/>
              </w:rPr>
            </w:pPr>
            <w:r w:rsidRPr="00CF3D88">
              <w:rPr>
                <w:rFonts w:ascii="Arial Narrow" w:hAnsi="Arial Narrow" w:cs="Times New Roman"/>
                <w:b/>
                <w:snapToGrid/>
                <w:sz w:val="20"/>
              </w:rPr>
              <w:t xml:space="preserve">for subsequent therapies </w:t>
            </w:r>
          </w:p>
        </w:tc>
      </w:tr>
      <w:tr w:rsidR="00566E8B" w:rsidRPr="00CF3D88" w:rsidTr="002C7059">
        <w:trPr>
          <w:cantSplit/>
          <w:tblHeader/>
        </w:trPr>
        <w:tc>
          <w:tcPr>
            <w:tcW w:w="1110" w:type="pct"/>
            <w:vMerge/>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2E1268">
            <w:pPr>
              <w:keepNext/>
              <w:keepLines/>
              <w:widowControl/>
              <w:jc w:val="left"/>
              <w:rPr>
                <w:rFonts w:ascii="Arial Narrow" w:hAnsi="Arial Narrow" w:cs="Times New Roman"/>
                <w:snapToGrid/>
                <w:sz w:val="20"/>
              </w:rPr>
            </w:pPr>
          </w:p>
        </w:tc>
        <w:tc>
          <w:tcPr>
            <w:tcW w:w="507" w:type="pct"/>
            <w:tcBorders>
              <w:top w:val="single" w:sz="4" w:space="0" w:color="auto"/>
              <w:left w:val="single" w:sz="4" w:space="0" w:color="auto"/>
              <w:bottom w:val="single" w:sz="4" w:space="0" w:color="auto"/>
              <w:right w:val="single" w:sz="4" w:space="0" w:color="auto"/>
            </w:tcBorders>
            <w:hideMark/>
          </w:tcPr>
          <w:p w:rsidR="00566E8B" w:rsidRPr="00CF3D88" w:rsidRDefault="00566E8B"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BV</w:t>
            </w:r>
          </w:p>
        </w:tc>
        <w:tc>
          <w:tcPr>
            <w:tcW w:w="761" w:type="pct"/>
            <w:tcBorders>
              <w:top w:val="single" w:sz="4" w:space="0" w:color="auto"/>
              <w:left w:val="single" w:sz="4" w:space="0" w:color="auto"/>
              <w:bottom w:val="single" w:sz="4" w:space="0" w:color="auto"/>
              <w:right w:val="single" w:sz="4" w:space="0" w:color="auto"/>
            </w:tcBorders>
            <w:hideMark/>
          </w:tcPr>
          <w:p w:rsidR="00566E8B" w:rsidRPr="00CF3D88" w:rsidRDefault="00566E8B"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Salvage</w:t>
            </w:r>
          </w:p>
          <w:p w:rsidR="00566E8B" w:rsidRPr="00CF3D88" w:rsidRDefault="0005338C"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C</w:t>
            </w:r>
            <w:r w:rsidR="00566E8B" w:rsidRPr="00CF3D88">
              <w:rPr>
                <w:rFonts w:ascii="Arial Narrow" w:hAnsi="Arial Narrow" w:cs="Times New Roman"/>
                <w:b/>
                <w:snapToGrid/>
                <w:sz w:val="20"/>
              </w:rPr>
              <w:t>hemo</w:t>
            </w:r>
          </w:p>
        </w:tc>
        <w:tc>
          <w:tcPr>
            <w:tcW w:w="592" w:type="pct"/>
            <w:tcBorders>
              <w:top w:val="single" w:sz="4" w:space="0" w:color="auto"/>
              <w:left w:val="single" w:sz="4" w:space="0" w:color="auto"/>
              <w:bottom w:val="single" w:sz="4" w:space="0" w:color="auto"/>
              <w:right w:val="single" w:sz="4" w:space="0" w:color="auto"/>
            </w:tcBorders>
            <w:hideMark/>
          </w:tcPr>
          <w:p w:rsidR="00566E8B" w:rsidRPr="00CF3D88" w:rsidRDefault="00566E8B"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BV</w:t>
            </w:r>
          </w:p>
        </w:tc>
        <w:tc>
          <w:tcPr>
            <w:tcW w:w="678" w:type="pct"/>
            <w:tcBorders>
              <w:top w:val="single" w:sz="4" w:space="0" w:color="auto"/>
              <w:left w:val="single" w:sz="4" w:space="0" w:color="auto"/>
              <w:bottom w:val="single" w:sz="4" w:space="0" w:color="auto"/>
              <w:right w:val="single" w:sz="4" w:space="0" w:color="auto"/>
            </w:tcBorders>
            <w:hideMark/>
          </w:tcPr>
          <w:p w:rsidR="00566E8B" w:rsidRPr="00CF3D88" w:rsidRDefault="00566E8B"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Salvage chemo</w:t>
            </w:r>
          </w:p>
        </w:tc>
        <w:tc>
          <w:tcPr>
            <w:tcW w:w="593" w:type="pct"/>
            <w:tcBorders>
              <w:top w:val="single" w:sz="4" w:space="0" w:color="auto"/>
              <w:left w:val="single" w:sz="4" w:space="0" w:color="auto"/>
              <w:bottom w:val="single" w:sz="4" w:space="0" w:color="auto"/>
              <w:right w:val="single" w:sz="4" w:space="0" w:color="auto"/>
            </w:tcBorders>
            <w:hideMark/>
          </w:tcPr>
          <w:p w:rsidR="00566E8B" w:rsidRPr="00CF3D88" w:rsidRDefault="00566E8B"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BV</w:t>
            </w:r>
          </w:p>
        </w:tc>
        <w:tc>
          <w:tcPr>
            <w:tcW w:w="759" w:type="pct"/>
            <w:tcBorders>
              <w:top w:val="single" w:sz="4" w:space="0" w:color="auto"/>
              <w:left w:val="single" w:sz="4" w:space="0" w:color="auto"/>
              <w:bottom w:val="single" w:sz="4" w:space="0" w:color="auto"/>
              <w:right w:val="single" w:sz="4" w:space="0" w:color="auto"/>
            </w:tcBorders>
            <w:hideMark/>
          </w:tcPr>
          <w:p w:rsidR="00566E8B" w:rsidRPr="00CF3D88" w:rsidRDefault="00566E8B"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 xml:space="preserve">Salvage </w:t>
            </w:r>
          </w:p>
          <w:p w:rsidR="00566E8B" w:rsidRPr="00CF3D88" w:rsidRDefault="00566E8B" w:rsidP="002E1268">
            <w:pPr>
              <w:keepNext/>
              <w:keepLines/>
              <w:widowControl/>
              <w:jc w:val="center"/>
              <w:rPr>
                <w:rFonts w:ascii="Arial Narrow" w:hAnsi="Arial Narrow" w:cs="Times New Roman"/>
                <w:b/>
                <w:snapToGrid/>
                <w:sz w:val="20"/>
              </w:rPr>
            </w:pPr>
            <w:r w:rsidRPr="00CF3D88">
              <w:rPr>
                <w:rFonts w:ascii="Arial Narrow" w:hAnsi="Arial Narrow" w:cs="Times New Roman"/>
                <w:b/>
                <w:snapToGrid/>
                <w:sz w:val="20"/>
              </w:rPr>
              <w:t>chemo</w:t>
            </w:r>
          </w:p>
        </w:tc>
      </w:tr>
      <w:tr w:rsidR="00566E8B" w:rsidRPr="00CF3D88" w:rsidTr="002C7059">
        <w:trPr>
          <w:cantSplit/>
        </w:trPr>
        <w:tc>
          <w:tcPr>
            <w:tcW w:w="1110" w:type="pct"/>
            <w:tcBorders>
              <w:top w:val="single" w:sz="4" w:space="0" w:color="auto"/>
              <w:left w:val="single" w:sz="4" w:space="0" w:color="auto"/>
              <w:bottom w:val="single" w:sz="4" w:space="0" w:color="auto"/>
              <w:right w:val="single" w:sz="4" w:space="0" w:color="auto"/>
            </w:tcBorders>
            <w:hideMark/>
          </w:tcPr>
          <w:p w:rsidR="00566E8B" w:rsidRPr="00CF3D88" w:rsidRDefault="000760B9" w:rsidP="002E1268">
            <w:pPr>
              <w:keepNext/>
              <w:keepLines/>
              <w:widowControl/>
              <w:jc w:val="left"/>
              <w:rPr>
                <w:rFonts w:ascii="Arial Narrow" w:hAnsi="Arial Narrow" w:cs="Times New Roman"/>
                <w:snapToGrid/>
                <w:sz w:val="20"/>
              </w:rPr>
            </w:pPr>
            <w:r w:rsidRPr="00CF3D88">
              <w:rPr>
                <w:rFonts w:ascii="Arial Narrow" w:hAnsi="Arial Narrow" w:cs="Times New Roman"/>
                <w:snapToGrid/>
                <w:sz w:val="20"/>
              </w:rPr>
              <w:t>N</w:t>
            </w:r>
          </w:p>
        </w:tc>
        <w:tc>
          <w:tcPr>
            <w:tcW w:w="507" w:type="pct"/>
            <w:tcBorders>
              <w:top w:val="single" w:sz="4" w:space="0" w:color="auto"/>
              <w:left w:val="single" w:sz="4" w:space="0" w:color="auto"/>
              <w:bottom w:val="single" w:sz="4" w:space="0" w:color="auto"/>
              <w:right w:val="single" w:sz="4" w:space="0" w:color="auto"/>
            </w:tcBorders>
            <w:vAlign w:val="center"/>
            <w:hideMark/>
          </w:tcPr>
          <w:p w:rsidR="00566E8B" w:rsidRPr="00526F5C" w:rsidRDefault="00526F5C" w:rsidP="002E1268">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19"/>
                <w:szCs w:val="19"/>
                <w:highlight w:val="black"/>
              </w:rPr>
              <w:t>''''''</w:t>
            </w:r>
          </w:p>
        </w:tc>
        <w:tc>
          <w:tcPr>
            <w:tcW w:w="761" w:type="pct"/>
            <w:tcBorders>
              <w:top w:val="single" w:sz="4" w:space="0" w:color="auto"/>
              <w:left w:val="single" w:sz="4" w:space="0" w:color="auto"/>
              <w:bottom w:val="single" w:sz="4" w:space="0" w:color="auto"/>
              <w:right w:val="single" w:sz="4" w:space="0" w:color="auto"/>
            </w:tcBorders>
            <w:vAlign w:val="center"/>
            <w:hideMark/>
          </w:tcPr>
          <w:p w:rsidR="00566E8B" w:rsidRPr="00526F5C" w:rsidRDefault="00526F5C" w:rsidP="002E1268">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19"/>
                <w:szCs w:val="19"/>
                <w:highlight w:val="black"/>
              </w:rPr>
              <w:t>''''''''</w:t>
            </w:r>
          </w:p>
        </w:tc>
        <w:tc>
          <w:tcPr>
            <w:tcW w:w="592" w:type="pct"/>
            <w:tcBorders>
              <w:top w:val="single" w:sz="4" w:space="0" w:color="auto"/>
              <w:left w:val="single" w:sz="4" w:space="0" w:color="auto"/>
              <w:bottom w:val="single" w:sz="4" w:space="0" w:color="auto"/>
              <w:right w:val="single" w:sz="4" w:space="0" w:color="auto"/>
            </w:tcBorders>
            <w:hideMark/>
          </w:tcPr>
          <w:p w:rsidR="00566E8B" w:rsidRPr="00526F5C" w:rsidRDefault="00526F5C" w:rsidP="002E1268">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hideMark/>
          </w:tcPr>
          <w:p w:rsidR="00566E8B" w:rsidRPr="00526F5C" w:rsidRDefault="00526F5C" w:rsidP="002E1268">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593" w:type="pct"/>
            <w:tcBorders>
              <w:top w:val="single" w:sz="4" w:space="0" w:color="auto"/>
              <w:left w:val="single" w:sz="4" w:space="0" w:color="auto"/>
              <w:bottom w:val="single" w:sz="4" w:space="0" w:color="auto"/>
              <w:right w:val="single" w:sz="4" w:space="0" w:color="auto"/>
            </w:tcBorders>
            <w:hideMark/>
          </w:tcPr>
          <w:p w:rsidR="00566E8B" w:rsidRPr="00526F5C" w:rsidRDefault="00526F5C" w:rsidP="002E1268">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759" w:type="pct"/>
            <w:tcBorders>
              <w:top w:val="single" w:sz="4" w:space="0" w:color="auto"/>
              <w:left w:val="single" w:sz="4" w:space="0" w:color="auto"/>
              <w:bottom w:val="single" w:sz="4" w:space="0" w:color="auto"/>
              <w:right w:val="single" w:sz="4" w:space="0" w:color="auto"/>
            </w:tcBorders>
            <w:hideMark/>
          </w:tcPr>
          <w:p w:rsidR="00566E8B" w:rsidRPr="00526F5C" w:rsidRDefault="00526F5C" w:rsidP="002E1268">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566E8B" w:rsidRPr="00CF3D88" w:rsidTr="002C7059">
        <w:trPr>
          <w:cantSplit/>
        </w:trPr>
        <w:tc>
          <w:tcPr>
            <w:tcW w:w="1110" w:type="pct"/>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2E1268">
            <w:pPr>
              <w:keepNext/>
              <w:keepLines/>
              <w:widowControl/>
              <w:jc w:val="left"/>
              <w:rPr>
                <w:rFonts w:ascii="Arial Narrow" w:hAnsi="Arial Narrow" w:cs="Times New Roman"/>
                <w:snapToGrid/>
                <w:sz w:val="19"/>
                <w:szCs w:val="19"/>
              </w:rPr>
            </w:pPr>
            <w:r w:rsidRPr="00CF3D88">
              <w:rPr>
                <w:rFonts w:ascii="Arial Narrow" w:hAnsi="Arial Narrow" w:cs="Times New Roman"/>
                <w:snapToGrid/>
                <w:sz w:val="19"/>
                <w:szCs w:val="19"/>
              </w:rPr>
              <w:t xml:space="preserve">Median follow-up, </w:t>
            </w:r>
          </w:p>
          <w:p w:rsidR="00566E8B" w:rsidRPr="00CF3D88" w:rsidRDefault="00566E8B" w:rsidP="002E1268">
            <w:pPr>
              <w:keepNext/>
              <w:keepLines/>
              <w:widowControl/>
              <w:jc w:val="left"/>
              <w:rPr>
                <w:rFonts w:ascii="Arial Narrow" w:hAnsi="Arial Narrow" w:cs="Times New Roman"/>
                <w:snapToGrid/>
                <w:sz w:val="19"/>
                <w:szCs w:val="19"/>
              </w:rPr>
            </w:pPr>
            <w:r w:rsidRPr="00CF3D88">
              <w:rPr>
                <w:rFonts w:ascii="Arial Narrow" w:hAnsi="Arial Narrow" w:cs="Times New Roman"/>
                <w:snapToGrid/>
                <w:sz w:val="19"/>
                <w:szCs w:val="19"/>
              </w:rPr>
              <w:t>months (95% CI)</w:t>
            </w:r>
          </w:p>
        </w:tc>
        <w:tc>
          <w:tcPr>
            <w:tcW w:w="507" w:type="pct"/>
            <w:tcBorders>
              <w:top w:val="single" w:sz="4" w:space="0" w:color="auto"/>
              <w:left w:val="single" w:sz="4" w:space="0" w:color="auto"/>
              <w:bottom w:val="single" w:sz="4" w:space="0" w:color="auto"/>
              <w:right w:val="single" w:sz="4" w:space="0" w:color="auto"/>
            </w:tcBorders>
            <w:vAlign w:val="center"/>
            <w:hideMark/>
          </w:tcPr>
          <w:p w:rsidR="00566E8B" w:rsidRPr="004A1699" w:rsidRDefault="00526F5C" w:rsidP="002E1268">
            <w:pPr>
              <w:keepNext/>
              <w:keepLines/>
              <w:widowControl/>
              <w:jc w:val="center"/>
              <w:rPr>
                <w:rFonts w:ascii="Arial Narrow" w:hAnsi="Arial Narrow" w:cs="Times New Roman"/>
                <w:snapToGrid/>
                <w:sz w:val="19"/>
                <w:szCs w:val="19"/>
              </w:rPr>
            </w:pPr>
            <w:r>
              <w:rPr>
                <w:rFonts w:ascii="Arial Narrow" w:hAnsi="Arial Narrow" w:cs="Times New Roman"/>
                <w:noProof/>
                <w:snapToGrid/>
                <w:color w:val="000000"/>
                <w:sz w:val="19"/>
                <w:szCs w:val="19"/>
                <w:highlight w:val="black"/>
              </w:rPr>
              <w:t xml:space="preserve">'''''' </w:t>
            </w:r>
            <w:r w:rsidR="00566E8B" w:rsidRPr="004A1699">
              <w:rPr>
                <w:rFonts w:ascii="Arial Narrow" w:hAnsi="Arial Narrow" w:cs="Times New Roman"/>
                <w:snapToGrid/>
                <w:sz w:val="19"/>
                <w:szCs w:val="19"/>
              </w:rPr>
              <w:t>(</w:t>
            </w:r>
            <w:r>
              <w:rPr>
                <w:rFonts w:ascii="Arial Narrow" w:hAnsi="Arial Narrow" w:cs="Times New Roman"/>
                <w:noProof/>
                <w:snapToGrid/>
                <w:color w:val="000000"/>
                <w:sz w:val="19"/>
                <w:szCs w:val="19"/>
                <w:highlight w:val="black"/>
              </w:rPr>
              <w:t>'''</w:t>
            </w:r>
            <w:r w:rsidR="00566E8B" w:rsidRPr="004A1699">
              <w:rPr>
                <w:rFonts w:ascii="Arial Narrow" w:hAnsi="Arial Narrow" w:cs="Times New Roman"/>
                <w:snapToGrid/>
                <w:sz w:val="19"/>
                <w:szCs w:val="19"/>
              </w:rPr>
              <w:t xml:space="preserve">, </w:t>
            </w:r>
            <w:r>
              <w:rPr>
                <w:rFonts w:ascii="Arial Narrow" w:hAnsi="Arial Narrow" w:cs="Times New Roman"/>
                <w:noProof/>
                <w:snapToGrid/>
                <w:color w:val="000000"/>
                <w:sz w:val="19"/>
                <w:szCs w:val="19"/>
                <w:highlight w:val="black"/>
              </w:rPr>
              <w:t>'''''''</w:t>
            </w:r>
            <w:r w:rsidR="00566E8B" w:rsidRPr="004A1699">
              <w:rPr>
                <w:rFonts w:ascii="Arial Narrow" w:hAnsi="Arial Narrow" w:cs="Times New Roman"/>
                <w:snapToGrid/>
                <w:sz w:val="19"/>
                <w:szCs w:val="19"/>
              </w:rPr>
              <w:t>)</w:t>
            </w:r>
          </w:p>
        </w:tc>
        <w:tc>
          <w:tcPr>
            <w:tcW w:w="761" w:type="pct"/>
            <w:tcBorders>
              <w:top w:val="single" w:sz="4" w:space="0" w:color="auto"/>
              <w:left w:val="single" w:sz="4" w:space="0" w:color="auto"/>
              <w:bottom w:val="single" w:sz="4" w:space="0" w:color="auto"/>
              <w:right w:val="single" w:sz="4" w:space="0" w:color="auto"/>
            </w:tcBorders>
            <w:vAlign w:val="center"/>
            <w:hideMark/>
          </w:tcPr>
          <w:p w:rsidR="00566E8B" w:rsidRPr="004A1699" w:rsidRDefault="00526F5C" w:rsidP="002E1268">
            <w:pPr>
              <w:keepNext/>
              <w:keepLines/>
              <w:widowControl/>
              <w:jc w:val="center"/>
              <w:rPr>
                <w:rFonts w:ascii="Arial Narrow" w:hAnsi="Arial Narrow" w:cs="Times New Roman"/>
                <w:snapToGrid/>
                <w:sz w:val="19"/>
                <w:szCs w:val="19"/>
                <w:vertAlign w:val="superscript"/>
              </w:rPr>
            </w:pPr>
            <w:r>
              <w:rPr>
                <w:rFonts w:ascii="Arial Narrow" w:hAnsi="Arial Narrow" w:cs="Times New Roman"/>
                <w:noProof/>
                <w:snapToGrid/>
                <w:color w:val="000000"/>
                <w:sz w:val="19"/>
                <w:szCs w:val="19"/>
                <w:highlight w:val="black"/>
              </w:rPr>
              <w:t>'''''''</w:t>
            </w:r>
            <w:r w:rsidR="00566E8B" w:rsidRPr="004A1699">
              <w:rPr>
                <w:rFonts w:ascii="Arial Narrow" w:hAnsi="Arial Narrow" w:cs="Times New Roman"/>
                <w:snapToGrid/>
                <w:sz w:val="19"/>
                <w:szCs w:val="19"/>
              </w:rPr>
              <w:t>-</w:t>
            </w:r>
            <w:r>
              <w:rPr>
                <w:rFonts w:ascii="Arial Narrow" w:hAnsi="Arial Narrow" w:cs="Times New Roman"/>
                <w:noProof/>
                <w:snapToGrid/>
                <w:color w:val="000000"/>
                <w:sz w:val="19"/>
                <w:szCs w:val="19"/>
                <w:highlight w:val="black"/>
              </w:rPr>
              <w:t xml:space="preserve">'''''' </w:t>
            </w:r>
            <w:r w:rsidR="002E1268" w:rsidRPr="004A1699">
              <w:rPr>
                <w:rFonts w:ascii="Arial Narrow" w:hAnsi="Arial Narrow" w:cs="Times New Roman"/>
                <w:snapToGrid/>
                <w:sz w:val="19"/>
                <w:szCs w:val="19"/>
                <w:vertAlign w:val="superscript"/>
              </w:rPr>
              <w:t>a</w:t>
            </w:r>
          </w:p>
        </w:tc>
        <w:tc>
          <w:tcPr>
            <w:tcW w:w="592" w:type="pct"/>
            <w:tcBorders>
              <w:top w:val="single" w:sz="4" w:space="0" w:color="auto"/>
              <w:left w:val="single" w:sz="4" w:space="0" w:color="auto"/>
              <w:bottom w:val="single" w:sz="4" w:space="0" w:color="auto"/>
              <w:right w:val="single" w:sz="4" w:space="0" w:color="auto"/>
            </w:tcBorders>
            <w:vAlign w:val="center"/>
            <w:hideMark/>
          </w:tcPr>
          <w:p w:rsidR="00566E8B" w:rsidRPr="004A1699" w:rsidRDefault="00526F5C" w:rsidP="002E1268">
            <w:pPr>
              <w:keepNext/>
              <w:keepLines/>
              <w:widowControl/>
              <w:jc w:val="center"/>
              <w:rPr>
                <w:rFonts w:ascii="Arial Narrow" w:hAnsi="Arial Narrow" w:cs="Times New Roman"/>
                <w:snapToGrid/>
                <w:sz w:val="20"/>
                <w:vertAlign w:val="superscript"/>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sidR="002E1268" w:rsidRPr="004A1699">
              <w:rPr>
                <w:rFonts w:ascii="Arial Narrow" w:hAnsi="Arial Narrow" w:cs="Times New Roman"/>
                <w:snapToGrid/>
                <w:sz w:val="20"/>
                <w:vertAlign w:val="superscript"/>
              </w:rPr>
              <w:t>b</w:t>
            </w:r>
          </w:p>
        </w:tc>
        <w:tc>
          <w:tcPr>
            <w:tcW w:w="678" w:type="pct"/>
            <w:tcBorders>
              <w:top w:val="single" w:sz="4" w:space="0" w:color="auto"/>
              <w:left w:val="single" w:sz="4" w:space="0" w:color="auto"/>
              <w:bottom w:val="single" w:sz="4" w:space="0" w:color="auto"/>
              <w:right w:val="single" w:sz="4" w:space="0" w:color="auto"/>
            </w:tcBorders>
            <w:vAlign w:val="center"/>
            <w:hideMark/>
          </w:tcPr>
          <w:p w:rsidR="00566E8B" w:rsidRPr="004A1699" w:rsidRDefault="00526F5C" w:rsidP="002E1268">
            <w:pPr>
              <w:keepNext/>
              <w:keepLines/>
              <w:widowControl/>
              <w:jc w:val="center"/>
              <w:rPr>
                <w:rFonts w:ascii="Arial Narrow" w:hAnsi="Arial Narrow" w:cs="Times New Roman"/>
                <w:snapToGrid/>
                <w:sz w:val="20"/>
                <w:vertAlign w:val="superscript"/>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sidR="002E1268" w:rsidRPr="004A1699">
              <w:rPr>
                <w:rFonts w:ascii="Arial Narrow" w:hAnsi="Arial Narrow" w:cs="Times New Roman"/>
                <w:snapToGrid/>
                <w:sz w:val="20"/>
                <w:vertAlign w:val="superscript"/>
              </w:rPr>
              <w:t>b</w:t>
            </w:r>
          </w:p>
        </w:tc>
        <w:tc>
          <w:tcPr>
            <w:tcW w:w="593" w:type="pct"/>
            <w:tcBorders>
              <w:top w:val="single" w:sz="4" w:space="0" w:color="auto"/>
              <w:left w:val="single" w:sz="4" w:space="0" w:color="auto"/>
              <w:bottom w:val="single" w:sz="4" w:space="0" w:color="auto"/>
              <w:right w:val="single" w:sz="4" w:space="0" w:color="auto"/>
            </w:tcBorders>
            <w:vAlign w:val="center"/>
            <w:hideMark/>
          </w:tcPr>
          <w:p w:rsidR="00566E8B" w:rsidRPr="004A1699" w:rsidRDefault="00526F5C" w:rsidP="002E1268">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sidR="002E1268" w:rsidRPr="004A1699">
              <w:rPr>
                <w:rFonts w:ascii="Arial Narrow" w:hAnsi="Arial Narrow" w:cs="Times New Roman"/>
                <w:snapToGrid/>
                <w:sz w:val="20"/>
                <w:vertAlign w:val="superscript"/>
              </w:rPr>
              <w:t>b</w:t>
            </w:r>
          </w:p>
        </w:tc>
        <w:tc>
          <w:tcPr>
            <w:tcW w:w="759" w:type="pct"/>
            <w:tcBorders>
              <w:top w:val="single" w:sz="4" w:space="0" w:color="auto"/>
              <w:left w:val="single" w:sz="4" w:space="0" w:color="auto"/>
              <w:bottom w:val="single" w:sz="4" w:space="0" w:color="auto"/>
              <w:right w:val="single" w:sz="4" w:space="0" w:color="auto"/>
            </w:tcBorders>
            <w:vAlign w:val="center"/>
            <w:hideMark/>
          </w:tcPr>
          <w:p w:rsidR="00566E8B" w:rsidRPr="004A1699" w:rsidRDefault="00526F5C" w:rsidP="002E1268">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sidR="002E1268" w:rsidRPr="004A1699">
              <w:rPr>
                <w:rFonts w:ascii="Arial Narrow" w:hAnsi="Arial Narrow" w:cs="Times New Roman"/>
                <w:snapToGrid/>
                <w:sz w:val="20"/>
                <w:vertAlign w:val="superscript"/>
              </w:rPr>
              <w:t>b</w:t>
            </w:r>
          </w:p>
        </w:tc>
      </w:tr>
      <w:tr w:rsidR="00566E8B" w:rsidRPr="00CF3D88" w:rsidTr="002C7059">
        <w:trPr>
          <w:cantSplit/>
        </w:trPr>
        <w:tc>
          <w:tcPr>
            <w:tcW w:w="1110" w:type="pct"/>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2E1268">
            <w:pPr>
              <w:keepNext/>
              <w:keepLines/>
              <w:widowControl/>
              <w:jc w:val="left"/>
              <w:rPr>
                <w:rFonts w:ascii="Arial Narrow" w:hAnsi="Arial Narrow" w:cs="Times New Roman"/>
                <w:snapToGrid/>
                <w:sz w:val="19"/>
                <w:szCs w:val="19"/>
              </w:rPr>
            </w:pPr>
            <w:r w:rsidRPr="00CF3D88">
              <w:rPr>
                <w:rFonts w:ascii="Arial Narrow" w:hAnsi="Arial Narrow" w:cs="Times New Roman"/>
                <w:snapToGrid/>
                <w:sz w:val="19"/>
                <w:szCs w:val="19"/>
              </w:rPr>
              <w:t xml:space="preserve">Number of events </w:t>
            </w:r>
            <w:r w:rsidR="00647D8D" w:rsidRPr="00CF3D88">
              <w:rPr>
                <w:rFonts w:ascii="Arial Narrow" w:hAnsi="Arial Narrow" w:cs="Times New Roman"/>
                <w:snapToGrid/>
                <w:sz w:val="19"/>
                <w:szCs w:val="19"/>
              </w:rPr>
              <w:t>*</w:t>
            </w:r>
          </w:p>
        </w:tc>
        <w:tc>
          <w:tcPr>
            <w:tcW w:w="507" w:type="pct"/>
            <w:tcBorders>
              <w:top w:val="single" w:sz="4" w:space="0" w:color="auto"/>
              <w:left w:val="single" w:sz="4" w:space="0" w:color="auto"/>
              <w:bottom w:val="single" w:sz="4" w:space="0" w:color="auto"/>
              <w:right w:val="single" w:sz="4" w:space="0" w:color="auto"/>
            </w:tcBorders>
            <w:vAlign w:val="center"/>
            <w:hideMark/>
          </w:tcPr>
          <w:p w:rsidR="00566E8B" w:rsidRPr="004A1699" w:rsidRDefault="00526F5C" w:rsidP="002E1268">
            <w:pPr>
              <w:keepNext/>
              <w:keepLines/>
              <w:widowControl/>
              <w:jc w:val="center"/>
              <w:rPr>
                <w:rFonts w:ascii="Arial Narrow" w:hAnsi="Arial Narrow" w:cs="Times New Roman"/>
                <w:snapToGrid/>
                <w:sz w:val="19"/>
                <w:szCs w:val="19"/>
              </w:rPr>
            </w:pPr>
            <w:r>
              <w:rPr>
                <w:rFonts w:ascii="Arial Narrow" w:hAnsi="Arial Narrow" w:cs="Times New Roman"/>
                <w:noProof/>
                <w:snapToGrid/>
                <w:color w:val="000000"/>
                <w:sz w:val="19"/>
                <w:szCs w:val="19"/>
                <w:highlight w:val="black"/>
              </w:rPr>
              <w:t xml:space="preserve">''' </w:t>
            </w:r>
            <w:r w:rsidR="00566E8B" w:rsidRPr="004A1699">
              <w:rPr>
                <w:rFonts w:ascii="Arial Narrow" w:hAnsi="Arial Narrow" w:cs="Times New Roman"/>
                <w:snapToGrid/>
                <w:sz w:val="19"/>
                <w:szCs w:val="19"/>
              </w:rPr>
              <w:t>(</w:t>
            </w:r>
            <w:r>
              <w:rPr>
                <w:rFonts w:ascii="Arial Narrow" w:hAnsi="Arial Narrow" w:cs="Times New Roman"/>
                <w:noProof/>
                <w:snapToGrid/>
                <w:color w:val="000000"/>
                <w:sz w:val="19"/>
                <w:szCs w:val="19"/>
                <w:highlight w:val="black"/>
              </w:rPr>
              <w:t>'''''''</w:t>
            </w:r>
            <w:r w:rsidR="00566E8B" w:rsidRPr="004A1699">
              <w:rPr>
                <w:rFonts w:ascii="Arial Narrow" w:hAnsi="Arial Narrow" w:cs="Times New Roman"/>
                <w:snapToGrid/>
                <w:sz w:val="19"/>
                <w:szCs w:val="19"/>
              </w:rPr>
              <w:t>%)</w:t>
            </w:r>
          </w:p>
        </w:tc>
        <w:tc>
          <w:tcPr>
            <w:tcW w:w="761" w:type="pct"/>
            <w:tcBorders>
              <w:top w:val="single" w:sz="4" w:space="0" w:color="auto"/>
              <w:left w:val="single" w:sz="4" w:space="0" w:color="auto"/>
              <w:bottom w:val="single" w:sz="4" w:space="0" w:color="auto"/>
              <w:right w:val="single" w:sz="4" w:space="0" w:color="auto"/>
            </w:tcBorders>
            <w:vAlign w:val="center"/>
            <w:hideMark/>
          </w:tcPr>
          <w:p w:rsidR="00566E8B" w:rsidRPr="004A1699" w:rsidRDefault="00526F5C" w:rsidP="002E1268">
            <w:pPr>
              <w:keepNext/>
              <w:keepLines/>
              <w:widowControl/>
              <w:jc w:val="center"/>
              <w:rPr>
                <w:rFonts w:ascii="Arial Narrow" w:hAnsi="Arial Narrow" w:cs="Times New Roman"/>
                <w:snapToGrid/>
                <w:sz w:val="19"/>
                <w:szCs w:val="19"/>
              </w:rPr>
            </w:pPr>
            <w:r>
              <w:rPr>
                <w:rFonts w:ascii="Arial Narrow" w:hAnsi="Arial Narrow" w:cs="Times New Roman"/>
                <w:noProof/>
                <w:snapToGrid/>
                <w:color w:val="000000"/>
                <w:sz w:val="19"/>
                <w:szCs w:val="19"/>
                <w:highlight w:val="black"/>
              </w:rPr>
              <w:t xml:space="preserve">'''''' </w:t>
            </w:r>
            <w:r w:rsidR="00566E8B" w:rsidRPr="004A1699">
              <w:rPr>
                <w:rFonts w:ascii="Arial Narrow" w:hAnsi="Arial Narrow" w:cs="Times New Roman"/>
                <w:snapToGrid/>
                <w:sz w:val="19"/>
                <w:szCs w:val="19"/>
              </w:rPr>
              <w:t>(</w:t>
            </w:r>
            <w:r>
              <w:rPr>
                <w:rFonts w:ascii="Arial Narrow" w:hAnsi="Arial Narrow" w:cs="Times New Roman"/>
                <w:noProof/>
                <w:snapToGrid/>
                <w:color w:val="000000"/>
                <w:sz w:val="19"/>
                <w:szCs w:val="19"/>
                <w:highlight w:val="black"/>
              </w:rPr>
              <w:t>''''''</w:t>
            </w:r>
            <w:r w:rsidR="00566E8B" w:rsidRPr="004A1699">
              <w:rPr>
                <w:rFonts w:ascii="Arial Narrow" w:hAnsi="Arial Narrow" w:cs="Times New Roman"/>
                <w:snapToGrid/>
                <w:sz w:val="19"/>
                <w:szCs w:val="19"/>
              </w:rPr>
              <w:t>%)</w:t>
            </w:r>
          </w:p>
        </w:tc>
        <w:tc>
          <w:tcPr>
            <w:tcW w:w="592" w:type="pct"/>
            <w:tcBorders>
              <w:top w:val="single" w:sz="4" w:space="0" w:color="auto"/>
              <w:left w:val="single" w:sz="4" w:space="0" w:color="auto"/>
              <w:bottom w:val="single" w:sz="4" w:space="0" w:color="auto"/>
              <w:right w:val="single" w:sz="4" w:space="0" w:color="auto"/>
            </w:tcBorders>
            <w:hideMark/>
          </w:tcPr>
          <w:p w:rsidR="00566E8B" w:rsidRPr="004A1699" w:rsidRDefault="00526F5C" w:rsidP="002E1268">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w:t>
            </w:r>
          </w:p>
        </w:tc>
        <w:tc>
          <w:tcPr>
            <w:tcW w:w="678" w:type="pct"/>
            <w:tcBorders>
              <w:top w:val="single" w:sz="4" w:space="0" w:color="auto"/>
              <w:left w:val="single" w:sz="4" w:space="0" w:color="auto"/>
              <w:bottom w:val="single" w:sz="4" w:space="0" w:color="auto"/>
              <w:right w:val="single" w:sz="4" w:space="0" w:color="auto"/>
            </w:tcBorders>
            <w:hideMark/>
          </w:tcPr>
          <w:p w:rsidR="00566E8B" w:rsidRPr="004A1699" w:rsidRDefault="00526F5C" w:rsidP="002E1268">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w:t>
            </w:r>
          </w:p>
        </w:tc>
        <w:tc>
          <w:tcPr>
            <w:tcW w:w="593" w:type="pct"/>
            <w:tcBorders>
              <w:top w:val="single" w:sz="4" w:space="0" w:color="auto"/>
              <w:left w:val="single" w:sz="4" w:space="0" w:color="auto"/>
              <w:bottom w:val="single" w:sz="4" w:space="0" w:color="auto"/>
              <w:right w:val="single" w:sz="4" w:space="0" w:color="auto"/>
            </w:tcBorders>
            <w:hideMark/>
          </w:tcPr>
          <w:p w:rsidR="00566E8B" w:rsidRPr="004A1699" w:rsidRDefault="00526F5C" w:rsidP="002E1268">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w:t>
            </w:r>
          </w:p>
        </w:tc>
        <w:tc>
          <w:tcPr>
            <w:tcW w:w="759" w:type="pct"/>
            <w:tcBorders>
              <w:top w:val="single" w:sz="4" w:space="0" w:color="auto"/>
              <w:left w:val="single" w:sz="4" w:space="0" w:color="auto"/>
              <w:bottom w:val="single" w:sz="4" w:space="0" w:color="auto"/>
              <w:right w:val="single" w:sz="4" w:space="0" w:color="auto"/>
            </w:tcBorders>
            <w:hideMark/>
          </w:tcPr>
          <w:p w:rsidR="00566E8B" w:rsidRPr="004A1699" w:rsidRDefault="00526F5C" w:rsidP="002E1268">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w:t>
            </w:r>
          </w:p>
        </w:tc>
      </w:tr>
      <w:tr w:rsidR="00566E8B" w:rsidRPr="00CF3D88" w:rsidTr="002C7059">
        <w:trPr>
          <w:cantSplit/>
        </w:trPr>
        <w:tc>
          <w:tcPr>
            <w:tcW w:w="1110" w:type="pct"/>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3B3A77">
            <w:pPr>
              <w:keepNext/>
              <w:keepLines/>
              <w:widowControl/>
              <w:jc w:val="left"/>
              <w:rPr>
                <w:rFonts w:ascii="Arial Narrow" w:hAnsi="Arial Narrow" w:cs="Times New Roman"/>
                <w:snapToGrid/>
                <w:sz w:val="19"/>
                <w:szCs w:val="19"/>
              </w:rPr>
            </w:pPr>
            <w:r w:rsidRPr="00CF3D88">
              <w:rPr>
                <w:rFonts w:ascii="Arial Narrow" w:hAnsi="Arial Narrow" w:cs="Times New Roman"/>
                <w:snapToGrid/>
                <w:sz w:val="19"/>
                <w:szCs w:val="19"/>
              </w:rPr>
              <w:t>Patients censored, n (%)</w:t>
            </w:r>
          </w:p>
          <w:p w:rsidR="00566E8B" w:rsidRPr="00CF3D88" w:rsidRDefault="00566E8B" w:rsidP="009530DB">
            <w:pPr>
              <w:keepNext/>
              <w:keepLines/>
              <w:widowControl/>
              <w:numPr>
                <w:ilvl w:val="0"/>
                <w:numId w:val="8"/>
              </w:numPr>
              <w:snapToGrid w:val="0"/>
              <w:ind w:left="142" w:hanging="142"/>
              <w:jc w:val="left"/>
              <w:rPr>
                <w:rFonts w:ascii="Arial Narrow" w:hAnsi="Arial Narrow" w:cs="Times New Roman"/>
                <w:snapToGrid/>
                <w:sz w:val="19"/>
                <w:szCs w:val="19"/>
              </w:rPr>
            </w:pPr>
            <w:r w:rsidRPr="00CF3D88">
              <w:rPr>
                <w:rFonts w:ascii="Arial Narrow" w:hAnsi="Arial Narrow" w:cs="Times New Roman"/>
                <w:snapToGrid/>
                <w:sz w:val="19"/>
                <w:szCs w:val="19"/>
              </w:rPr>
              <w:t>subsequent therapies</w:t>
            </w:r>
            <w:r w:rsidR="00647D8D" w:rsidRPr="00CF3D88">
              <w:rPr>
                <w:rFonts w:ascii="Arial Narrow" w:hAnsi="Arial Narrow" w:cs="Times New Roman"/>
                <w:snapToGrid/>
                <w:sz w:val="19"/>
                <w:szCs w:val="19"/>
              </w:rPr>
              <w:t>*</w:t>
            </w:r>
          </w:p>
          <w:p w:rsidR="00566E8B" w:rsidRPr="00CF3D88" w:rsidRDefault="00566E8B" w:rsidP="009530DB">
            <w:pPr>
              <w:keepNext/>
              <w:keepLines/>
              <w:widowControl/>
              <w:numPr>
                <w:ilvl w:val="0"/>
                <w:numId w:val="8"/>
              </w:numPr>
              <w:snapToGrid w:val="0"/>
              <w:ind w:left="142" w:hanging="142"/>
              <w:jc w:val="left"/>
              <w:rPr>
                <w:rFonts w:ascii="Arial Narrow" w:hAnsi="Arial Narrow" w:cs="Times New Roman"/>
                <w:snapToGrid/>
                <w:sz w:val="19"/>
                <w:szCs w:val="19"/>
              </w:rPr>
            </w:pPr>
            <w:r w:rsidRPr="00CF3D88">
              <w:rPr>
                <w:rFonts w:ascii="Arial Narrow" w:hAnsi="Arial Narrow" w:cs="Times New Roman"/>
                <w:snapToGrid/>
                <w:sz w:val="19"/>
                <w:szCs w:val="19"/>
              </w:rPr>
              <w:t>alive</w:t>
            </w:r>
            <w:r w:rsidR="00647D8D" w:rsidRPr="00CF3D88">
              <w:rPr>
                <w:rFonts w:ascii="Arial Narrow" w:hAnsi="Arial Narrow" w:cs="Times New Roman"/>
                <w:snapToGrid/>
                <w:sz w:val="19"/>
                <w:szCs w:val="19"/>
              </w:rPr>
              <w:t>*</w:t>
            </w:r>
          </w:p>
        </w:tc>
        <w:tc>
          <w:tcPr>
            <w:tcW w:w="507" w:type="pct"/>
            <w:tcBorders>
              <w:top w:val="single" w:sz="4" w:space="0" w:color="auto"/>
              <w:left w:val="single" w:sz="4" w:space="0" w:color="auto"/>
              <w:bottom w:val="single" w:sz="4" w:space="0" w:color="auto"/>
              <w:right w:val="single" w:sz="4" w:space="0" w:color="auto"/>
            </w:tcBorders>
            <w:vAlign w:val="center"/>
          </w:tcPr>
          <w:p w:rsidR="00566E8B" w:rsidRPr="00526F5C" w:rsidRDefault="00526F5C" w:rsidP="003B3A77">
            <w:pPr>
              <w:keepNext/>
              <w:keepLines/>
              <w:widowControl/>
              <w:jc w:val="center"/>
              <w:rPr>
                <w:rFonts w:ascii="Arial Narrow" w:hAnsi="Arial Narrow" w:cs="Times New Roman"/>
                <w:snapToGrid/>
                <w:sz w:val="19"/>
                <w:szCs w:val="19"/>
                <w:highlight w:val="black"/>
              </w:rPr>
            </w:pPr>
            <w:r>
              <w:rPr>
                <w:rFonts w:ascii="Arial Narrow" w:hAnsi="Arial Narrow" w:cs="Times New Roman"/>
                <w:noProof/>
                <w:snapToGrid/>
                <w:color w:val="000000"/>
                <w:sz w:val="19"/>
                <w:szCs w:val="19"/>
                <w:highlight w:val="black"/>
              </w:rPr>
              <w:t>''''''''</w:t>
            </w:r>
          </w:p>
        </w:tc>
        <w:tc>
          <w:tcPr>
            <w:tcW w:w="761" w:type="pct"/>
            <w:tcBorders>
              <w:top w:val="single" w:sz="4" w:space="0" w:color="auto"/>
              <w:left w:val="single" w:sz="4" w:space="0" w:color="auto"/>
              <w:bottom w:val="single" w:sz="4" w:space="0" w:color="auto"/>
              <w:right w:val="single" w:sz="4" w:space="0" w:color="auto"/>
            </w:tcBorders>
            <w:vAlign w:val="center"/>
          </w:tcPr>
          <w:p w:rsidR="00566E8B" w:rsidRPr="00526F5C" w:rsidRDefault="00526F5C" w:rsidP="003B3A77">
            <w:pPr>
              <w:keepNext/>
              <w:keepLines/>
              <w:widowControl/>
              <w:jc w:val="center"/>
              <w:rPr>
                <w:rFonts w:ascii="Arial Narrow" w:hAnsi="Arial Narrow" w:cs="Times New Roman"/>
                <w:snapToGrid/>
                <w:sz w:val="19"/>
                <w:szCs w:val="19"/>
                <w:highlight w:val="black"/>
              </w:rPr>
            </w:pPr>
            <w:r>
              <w:rPr>
                <w:rFonts w:ascii="Arial Narrow" w:hAnsi="Arial Narrow" w:cs="Times New Roman"/>
                <w:noProof/>
                <w:snapToGrid/>
                <w:color w:val="000000"/>
                <w:sz w:val="19"/>
                <w:szCs w:val="19"/>
                <w:highlight w:val="black"/>
              </w:rPr>
              <w:t>''''''''</w:t>
            </w:r>
          </w:p>
        </w:tc>
        <w:tc>
          <w:tcPr>
            <w:tcW w:w="592" w:type="pct"/>
            <w:tcBorders>
              <w:top w:val="single" w:sz="4" w:space="0" w:color="auto"/>
              <w:left w:val="single" w:sz="4" w:space="0" w:color="auto"/>
              <w:bottom w:val="single" w:sz="4" w:space="0" w:color="auto"/>
              <w:right w:val="single" w:sz="4" w:space="0" w:color="auto"/>
            </w:tcBorders>
          </w:tcPr>
          <w:p w:rsidR="00566E8B" w:rsidRPr="004A1699" w:rsidRDefault="00566E8B" w:rsidP="003B3A77">
            <w:pPr>
              <w:keepNext/>
              <w:keepLines/>
              <w:widowControl/>
              <w:jc w:val="center"/>
              <w:rPr>
                <w:rFonts w:ascii="Arial Narrow" w:hAnsi="Arial Narrow" w:cs="Times New Roman"/>
                <w:snapToGrid/>
                <w:sz w:val="20"/>
              </w:rPr>
            </w:pPr>
          </w:p>
          <w:p w:rsidR="00566E8B" w:rsidRPr="004A1699" w:rsidRDefault="00526F5C" w:rsidP="003B3A77">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w:t>
            </w:r>
          </w:p>
          <w:p w:rsidR="00566E8B" w:rsidRPr="004A1699" w:rsidRDefault="00526F5C" w:rsidP="003B3A77">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w:t>
            </w:r>
          </w:p>
        </w:tc>
        <w:tc>
          <w:tcPr>
            <w:tcW w:w="678" w:type="pct"/>
            <w:tcBorders>
              <w:top w:val="single" w:sz="4" w:space="0" w:color="auto"/>
              <w:left w:val="single" w:sz="4" w:space="0" w:color="auto"/>
              <w:bottom w:val="single" w:sz="4" w:space="0" w:color="auto"/>
              <w:right w:val="single" w:sz="4" w:space="0" w:color="auto"/>
            </w:tcBorders>
          </w:tcPr>
          <w:p w:rsidR="00566E8B" w:rsidRPr="004A1699" w:rsidRDefault="00566E8B" w:rsidP="003B3A77">
            <w:pPr>
              <w:keepNext/>
              <w:keepLines/>
              <w:widowControl/>
              <w:jc w:val="center"/>
              <w:rPr>
                <w:rFonts w:ascii="Arial Narrow" w:hAnsi="Arial Narrow" w:cs="Times New Roman"/>
                <w:snapToGrid/>
                <w:sz w:val="20"/>
              </w:rPr>
            </w:pPr>
          </w:p>
          <w:p w:rsidR="00566E8B" w:rsidRPr="004A1699" w:rsidRDefault="00526F5C" w:rsidP="003B3A77">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w:t>
            </w:r>
          </w:p>
          <w:p w:rsidR="00566E8B" w:rsidRPr="004A1699" w:rsidRDefault="00526F5C" w:rsidP="003B3A77">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w:t>
            </w:r>
          </w:p>
        </w:tc>
        <w:tc>
          <w:tcPr>
            <w:tcW w:w="593" w:type="pct"/>
            <w:tcBorders>
              <w:top w:val="single" w:sz="4" w:space="0" w:color="auto"/>
              <w:left w:val="single" w:sz="4" w:space="0" w:color="auto"/>
              <w:bottom w:val="single" w:sz="4" w:space="0" w:color="auto"/>
              <w:right w:val="single" w:sz="4" w:space="0" w:color="auto"/>
            </w:tcBorders>
          </w:tcPr>
          <w:p w:rsidR="00566E8B" w:rsidRPr="004A1699" w:rsidRDefault="00566E8B" w:rsidP="003B3A77">
            <w:pPr>
              <w:keepNext/>
              <w:keepLines/>
              <w:widowControl/>
              <w:jc w:val="center"/>
              <w:rPr>
                <w:rFonts w:ascii="Arial Narrow" w:hAnsi="Arial Narrow" w:cs="Times New Roman"/>
                <w:snapToGrid/>
                <w:sz w:val="20"/>
              </w:rPr>
            </w:pPr>
          </w:p>
          <w:p w:rsidR="00566E8B" w:rsidRPr="00526F5C" w:rsidRDefault="00526F5C" w:rsidP="003B3A77">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p w:rsidR="00566E8B" w:rsidRPr="004A1699" w:rsidRDefault="00526F5C" w:rsidP="003B3A77">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w:t>
            </w:r>
          </w:p>
        </w:tc>
        <w:tc>
          <w:tcPr>
            <w:tcW w:w="759" w:type="pct"/>
            <w:tcBorders>
              <w:top w:val="single" w:sz="4" w:space="0" w:color="auto"/>
              <w:left w:val="single" w:sz="4" w:space="0" w:color="auto"/>
              <w:bottom w:val="single" w:sz="4" w:space="0" w:color="auto"/>
              <w:right w:val="single" w:sz="4" w:space="0" w:color="auto"/>
            </w:tcBorders>
          </w:tcPr>
          <w:p w:rsidR="00566E8B" w:rsidRPr="004A1699" w:rsidRDefault="00566E8B" w:rsidP="003B3A77">
            <w:pPr>
              <w:keepNext/>
              <w:keepLines/>
              <w:widowControl/>
              <w:jc w:val="center"/>
              <w:rPr>
                <w:rFonts w:ascii="Arial Narrow" w:hAnsi="Arial Narrow" w:cs="Times New Roman"/>
                <w:snapToGrid/>
                <w:sz w:val="20"/>
              </w:rPr>
            </w:pPr>
          </w:p>
          <w:p w:rsidR="00566E8B" w:rsidRPr="00526F5C" w:rsidRDefault="00526F5C" w:rsidP="003B3A77">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p w:rsidR="00566E8B" w:rsidRPr="004A1699" w:rsidRDefault="00526F5C" w:rsidP="003B3A77">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w:t>
            </w:r>
          </w:p>
        </w:tc>
      </w:tr>
      <w:tr w:rsidR="00566E8B" w:rsidRPr="00CF3D88" w:rsidTr="002C7059">
        <w:trPr>
          <w:cantSplit/>
        </w:trPr>
        <w:tc>
          <w:tcPr>
            <w:tcW w:w="1110" w:type="pct"/>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566E8B">
            <w:pPr>
              <w:keepNext/>
              <w:keepLines/>
              <w:widowControl/>
              <w:jc w:val="left"/>
              <w:rPr>
                <w:rFonts w:ascii="Arial Narrow" w:hAnsi="Arial Narrow" w:cs="Times New Roman"/>
                <w:snapToGrid/>
                <w:sz w:val="20"/>
              </w:rPr>
            </w:pPr>
            <w:r w:rsidRPr="00CF3D88">
              <w:rPr>
                <w:rFonts w:ascii="Arial Narrow" w:hAnsi="Arial Narrow" w:cs="Times New Roman"/>
                <w:snapToGrid/>
                <w:sz w:val="19"/>
                <w:szCs w:val="19"/>
              </w:rPr>
              <w:t>Median OS, m</w:t>
            </w:r>
          </w:p>
        </w:tc>
        <w:tc>
          <w:tcPr>
            <w:tcW w:w="507" w:type="pct"/>
            <w:tcBorders>
              <w:top w:val="single" w:sz="4" w:space="0" w:color="auto"/>
              <w:left w:val="single" w:sz="4" w:space="0" w:color="auto"/>
              <w:bottom w:val="single" w:sz="4" w:space="0" w:color="auto"/>
              <w:right w:val="single" w:sz="4" w:space="0" w:color="auto"/>
            </w:tcBorders>
            <w:vAlign w:val="center"/>
            <w:hideMark/>
          </w:tcPr>
          <w:p w:rsidR="00065355" w:rsidRPr="00526F5C" w:rsidRDefault="00526F5C" w:rsidP="00566E8B">
            <w:pPr>
              <w:keepNext/>
              <w:keepLines/>
              <w:widowControl/>
              <w:jc w:val="center"/>
              <w:rPr>
                <w:rFonts w:ascii="Arial Narrow" w:hAnsi="Arial Narrow" w:cs="Times New Roman"/>
                <w:snapToGrid/>
                <w:sz w:val="19"/>
                <w:szCs w:val="19"/>
                <w:highlight w:val="black"/>
              </w:rPr>
            </w:pPr>
            <w:r>
              <w:rPr>
                <w:rFonts w:ascii="Arial Narrow" w:hAnsi="Arial Narrow" w:cs="Times New Roman"/>
                <w:noProof/>
                <w:snapToGrid/>
                <w:color w:val="000000"/>
                <w:sz w:val="19"/>
                <w:szCs w:val="19"/>
                <w:highlight w:val="black"/>
              </w:rPr>
              <w:t>''</w:t>
            </w:r>
            <w:r w:rsidR="00566E8B" w:rsidRPr="00526F5C">
              <w:rPr>
                <w:rFonts w:ascii="Arial Narrow" w:hAnsi="Arial Narrow" w:cs="Times New Roman"/>
                <w:snapToGrid/>
                <w:sz w:val="19"/>
                <w:szCs w:val="19"/>
                <w:highlight w:val="black"/>
              </w:rPr>
              <w:t xml:space="preserve"> </w:t>
            </w:r>
          </w:p>
          <w:p w:rsidR="00566E8B" w:rsidRPr="004A1699" w:rsidRDefault="00566E8B" w:rsidP="00566E8B">
            <w:pPr>
              <w:keepNext/>
              <w:keepLines/>
              <w:widowControl/>
              <w:jc w:val="center"/>
              <w:rPr>
                <w:rFonts w:ascii="Arial Narrow" w:hAnsi="Arial Narrow" w:cs="Times New Roman"/>
                <w:snapToGrid/>
                <w:sz w:val="20"/>
              </w:rPr>
            </w:pPr>
            <w:r w:rsidRPr="004A1699">
              <w:rPr>
                <w:rFonts w:ascii="Arial Narrow" w:hAnsi="Arial Narrow" w:cs="Times New Roman"/>
                <w:snapToGrid/>
                <w:sz w:val="19"/>
                <w:szCs w:val="19"/>
              </w:rPr>
              <w:t>(</w:t>
            </w:r>
            <w:r w:rsidR="00526F5C">
              <w:rPr>
                <w:rFonts w:ascii="Arial Narrow" w:hAnsi="Arial Narrow" w:cs="Times New Roman"/>
                <w:noProof/>
                <w:snapToGrid/>
                <w:color w:val="000000"/>
                <w:sz w:val="19"/>
                <w:szCs w:val="19"/>
                <w:highlight w:val="black"/>
              </w:rPr>
              <w:t>''''''''''</w:t>
            </w:r>
            <w:r w:rsidRPr="004A1699">
              <w:rPr>
                <w:rFonts w:ascii="Arial Narrow" w:hAnsi="Arial Narrow" w:cs="Times New Roman"/>
                <w:snapToGrid/>
                <w:sz w:val="19"/>
                <w:szCs w:val="19"/>
              </w:rPr>
              <w:t xml:space="preserve">; </w:t>
            </w:r>
            <w:r w:rsidR="00526F5C">
              <w:rPr>
                <w:rFonts w:ascii="Arial Narrow" w:hAnsi="Arial Narrow" w:cs="Times New Roman"/>
                <w:noProof/>
                <w:snapToGrid/>
                <w:color w:val="000000"/>
                <w:sz w:val="19"/>
                <w:szCs w:val="19"/>
                <w:highlight w:val="black"/>
              </w:rPr>
              <w:t>''</w:t>
            </w:r>
            <w:r w:rsidRPr="004A1699">
              <w:rPr>
                <w:rFonts w:ascii="Arial Narrow" w:hAnsi="Arial Narrow" w:cs="Times New Roman"/>
                <w:snapToGrid/>
                <w:sz w:val="19"/>
                <w:szCs w:val="19"/>
              </w:rPr>
              <w:t>)</w:t>
            </w:r>
          </w:p>
        </w:tc>
        <w:tc>
          <w:tcPr>
            <w:tcW w:w="761" w:type="pct"/>
            <w:tcBorders>
              <w:top w:val="single" w:sz="4" w:space="0" w:color="auto"/>
              <w:left w:val="single" w:sz="4" w:space="0" w:color="auto"/>
              <w:bottom w:val="single" w:sz="4" w:space="0" w:color="auto"/>
              <w:right w:val="single" w:sz="4" w:space="0" w:color="auto"/>
            </w:tcBorders>
            <w:vAlign w:val="center"/>
            <w:hideMark/>
          </w:tcPr>
          <w:p w:rsidR="00065355" w:rsidRPr="00526F5C" w:rsidRDefault="00526F5C" w:rsidP="00566E8B">
            <w:pPr>
              <w:keepNext/>
              <w:keepLines/>
              <w:widowControl/>
              <w:jc w:val="center"/>
              <w:rPr>
                <w:rFonts w:ascii="Arial Narrow" w:hAnsi="Arial Narrow" w:cs="Times New Roman"/>
                <w:snapToGrid/>
                <w:sz w:val="19"/>
                <w:szCs w:val="19"/>
                <w:highlight w:val="black"/>
              </w:rPr>
            </w:pPr>
            <w:r>
              <w:rPr>
                <w:rFonts w:ascii="Arial Narrow" w:hAnsi="Arial Narrow" w:cs="Times New Roman"/>
                <w:noProof/>
                <w:snapToGrid/>
                <w:color w:val="000000"/>
                <w:sz w:val="19"/>
                <w:szCs w:val="19"/>
                <w:highlight w:val="black"/>
              </w:rPr>
              <w:t xml:space="preserve">'''''''''' </w:t>
            </w:r>
          </w:p>
          <w:p w:rsidR="00566E8B" w:rsidRPr="004A1699" w:rsidRDefault="00566E8B" w:rsidP="00566E8B">
            <w:pPr>
              <w:keepNext/>
              <w:keepLines/>
              <w:widowControl/>
              <w:jc w:val="center"/>
              <w:rPr>
                <w:rFonts w:ascii="Arial Narrow" w:hAnsi="Arial Narrow" w:cs="Times New Roman"/>
                <w:snapToGrid/>
                <w:sz w:val="20"/>
              </w:rPr>
            </w:pPr>
            <w:r w:rsidRPr="004A1699">
              <w:rPr>
                <w:rFonts w:ascii="Arial Narrow" w:hAnsi="Arial Narrow" w:cs="Times New Roman"/>
                <w:snapToGrid/>
                <w:sz w:val="19"/>
                <w:szCs w:val="19"/>
              </w:rPr>
              <w:t>(</w:t>
            </w:r>
            <w:r w:rsidR="00526F5C">
              <w:rPr>
                <w:rFonts w:ascii="Arial Narrow" w:hAnsi="Arial Narrow" w:cs="Times New Roman"/>
                <w:noProof/>
                <w:snapToGrid/>
                <w:color w:val="000000"/>
                <w:sz w:val="19"/>
                <w:szCs w:val="19"/>
                <w:highlight w:val="black"/>
              </w:rPr>
              <w:t>''''''''''''</w:t>
            </w:r>
            <w:r w:rsidRPr="004A1699">
              <w:rPr>
                <w:rFonts w:ascii="Arial Narrow" w:hAnsi="Arial Narrow" w:cs="Times New Roman"/>
                <w:snapToGrid/>
                <w:sz w:val="19"/>
                <w:szCs w:val="19"/>
              </w:rPr>
              <w:t xml:space="preserve">; </w:t>
            </w:r>
            <w:r w:rsidR="00526F5C">
              <w:rPr>
                <w:rFonts w:ascii="Arial Narrow" w:hAnsi="Arial Narrow" w:cs="Times New Roman"/>
                <w:noProof/>
                <w:snapToGrid/>
                <w:color w:val="000000"/>
                <w:sz w:val="19"/>
                <w:szCs w:val="19"/>
                <w:highlight w:val="black"/>
              </w:rPr>
              <w:t>''''''''''''</w:t>
            </w:r>
            <w:r w:rsidRPr="004A1699">
              <w:rPr>
                <w:rFonts w:ascii="Arial Narrow" w:hAnsi="Arial Narrow" w:cs="Times New Roman"/>
                <w:snapToGrid/>
                <w:sz w:val="19"/>
                <w:szCs w:val="19"/>
              </w:rPr>
              <w:t>)</w:t>
            </w:r>
          </w:p>
        </w:tc>
        <w:tc>
          <w:tcPr>
            <w:tcW w:w="592" w:type="pct"/>
            <w:tcBorders>
              <w:top w:val="single" w:sz="4" w:space="0" w:color="auto"/>
              <w:left w:val="single" w:sz="4" w:space="0" w:color="auto"/>
              <w:bottom w:val="single" w:sz="4" w:space="0" w:color="auto"/>
              <w:right w:val="single" w:sz="4" w:space="0" w:color="auto"/>
            </w:tcBorders>
            <w:vAlign w:val="center"/>
            <w:hideMark/>
          </w:tcPr>
          <w:p w:rsidR="00566E8B" w:rsidRPr="00526F5C" w:rsidRDefault="00526F5C" w:rsidP="00566E8B">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center"/>
            <w:hideMark/>
          </w:tcPr>
          <w:p w:rsidR="00566E8B" w:rsidRPr="004A1699" w:rsidRDefault="00526F5C" w:rsidP="002E1268">
            <w:pPr>
              <w:keepNext/>
              <w:keepLines/>
              <w:widowControl/>
              <w:jc w:val="center"/>
              <w:rPr>
                <w:rFonts w:ascii="Arial Narrow" w:hAnsi="Arial Narrow" w:cs="Times New Roman"/>
                <w:snapToGrid/>
                <w:sz w:val="20"/>
                <w:vertAlign w:val="superscript"/>
              </w:rPr>
            </w:pPr>
            <w:r>
              <w:rPr>
                <w:rFonts w:ascii="Arial Narrow" w:hAnsi="Arial Narrow" w:cs="Times New Roman"/>
                <w:noProof/>
                <w:snapToGrid/>
                <w:color w:val="000000"/>
                <w:sz w:val="20"/>
                <w:highlight w:val="black"/>
              </w:rPr>
              <w:t>'''''''''''</w:t>
            </w:r>
            <w:r w:rsidR="00566E8B" w:rsidRPr="004A1699">
              <w:rPr>
                <w:rFonts w:ascii="Arial Narrow" w:hAnsi="Arial Narrow" w:cs="Times New Roman"/>
                <w:snapToGrid/>
                <w:sz w:val="20"/>
              </w:rPr>
              <w:t xml:space="preserve"> </w:t>
            </w:r>
            <w:r w:rsidR="002E1268" w:rsidRPr="004A1699">
              <w:rPr>
                <w:rFonts w:ascii="Arial Narrow" w:hAnsi="Arial Narrow" w:cs="Times New Roman"/>
                <w:snapToGrid/>
                <w:sz w:val="20"/>
                <w:vertAlign w:val="superscript"/>
              </w:rPr>
              <w:t>d</w:t>
            </w:r>
          </w:p>
        </w:tc>
        <w:tc>
          <w:tcPr>
            <w:tcW w:w="593" w:type="pct"/>
            <w:tcBorders>
              <w:top w:val="single" w:sz="4" w:space="0" w:color="auto"/>
              <w:left w:val="single" w:sz="4" w:space="0" w:color="auto"/>
              <w:bottom w:val="single" w:sz="4" w:space="0" w:color="auto"/>
              <w:right w:val="single" w:sz="4" w:space="0" w:color="auto"/>
            </w:tcBorders>
            <w:vAlign w:val="center"/>
            <w:hideMark/>
          </w:tcPr>
          <w:p w:rsidR="00065355" w:rsidRPr="00526F5C" w:rsidRDefault="00526F5C" w:rsidP="00566E8B">
            <w:pPr>
              <w:keepNext/>
              <w:keepLines/>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p w:rsidR="00566E8B" w:rsidRPr="004A1699" w:rsidRDefault="00065355" w:rsidP="008852D1">
            <w:pPr>
              <w:keepNext/>
              <w:keepLines/>
              <w:widowControl/>
              <w:jc w:val="center"/>
              <w:rPr>
                <w:rFonts w:ascii="Arial Narrow" w:hAnsi="Arial Narrow" w:cs="Times New Roman"/>
                <w:snapToGrid/>
                <w:sz w:val="20"/>
                <w:vertAlign w:val="superscript"/>
              </w:rPr>
            </w:pPr>
            <w:r w:rsidRPr="004A1699">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r w:rsidRPr="004A1699">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4A1699">
              <w:rPr>
                <w:rFonts w:ascii="Arial Narrow" w:hAnsi="Arial Narrow" w:cs="Times New Roman"/>
                <w:snapToGrid/>
                <w:sz w:val="20"/>
              </w:rPr>
              <w:t>)</w:t>
            </w:r>
            <w:r w:rsidR="00647D8D" w:rsidRPr="004A1699">
              <w:rPr>
                <w:rFonts w:ascii="Arial Narrow" w:hAnsi="Arial Narrow" w:cs="Times New Roman"/>
                <w:snapToGrid/>
                <w:sz w:val="20"/>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065355" w:rsidRPr="004A1699" w:rsidRDefault="00526F5C" w:rsidP="00566E8B">
            <w:pPr>
              <w:keepNext/>
              <w:keepLines/>
              <w:widowControl/>
              <w:jc w:val="center"/>
              <w:rPr>
                <w:rFonts w:ascii="Arial Narrow" w:hAnsi="Arial Narrow" w:cs="Times New Roman"/>
                <w:snapToGrid/>
                <w:sz w:val="20"/>
              </w:rPr>
            </w:pPr>
            <w:r>
              <w:rPr>
                <w:rFonts w:ascii="Arial Narrow" w:hAnsi="Arial Narrow" w:cs="Times New Roman"/>
                <w:noProof/>
                <w:snapToGrid/>
                <w:color w:val="000000"/>
                <w:sz w:val="20"/>
                <w:highlight w:val="black"/>
              </w:rPr>
              <w:t>''''''''''''</w:t>
            </w:r>
            <w:r w:rsidR="00647D8D" w:rsidRPr="004A1699">
              <w:rPr>
                <w:rFonts w:ascii="Arial Narrow" w:hAnsi="Arial Narrow" w:cs="Times New Roman"/>
                <w:snapToGrid/>
                <w:sz w:val="20"/>
              </w:rPr>
              <w:t>*</w:t>
            </w:r>
            <w:r w:rsidR="00065355" w:rsidRPr="004A1699">
              <w:rPr>
                <w:rFonts w:ascii="Arial Narrow" w:hAnsi="Arial Narrow" w:cs="Times New Roman"/>
                <w:snapToGrid/>
                <w:sz w:val="20"/>
              </w:rPr>
              <w:t xml:space="preserve"> </w:t>
            </w:r>
          </w:p>
          <w:p w:rsidR="00566E8B" w:rsidRPr="004A1699" w:rsidRDefault="00065355" w:rsidP="008852D1">
            <w:pPr>
              <w:keepNext/>
              <w:keepLines/>
              <w:widowControl/>
              <w:jc w:val="center"/>
              <w:rPr>
                <w:rFonts w:ascii="Arial Narrow" w:hAnsi="Arial Narrow" w:cs="Times New Roman"/>
                <w:snapToGrid/>
                <w:sz w:val="20"/>
              </w:rPr>
            </w:pPr>
            <w:r w:rsidRPr="004A1699">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r w:rsidRPr="004A1699">
              <w:rPr>
                <w:rFonts w:ascii="Arial Narrow" w:hAnsi="Arial Narrow" w:cs="Times New Roman"/>
                <w:snapToGrid/>
                <w:sz w:val="20"/>
              </w:rPr>
              <w:t xml:space="preserve">, </w:t>
            </w:r>
            <w:r w:rsidR="00526F5C">
              <w:rPr>
                <w:rFonts w:ascii="Arial Narrow" w:hAnsi="Arial Narrow" w:cs="Times New Roman"/>
                <w:noProof/>
                <w:snapToGrid/>
                <w:color w:val="000000"/>
                <w:sz w:val="20"/>
                <w:highlight w:val="black"/>
              </w:rPr>
              <w:t>''''''''''</w:t>
            </w:r>
            <w:r w:rsidRPr="004A1699">
              <w:rPr>
                <w:rFonts w:ascii="Arial Narrow" w:hAnsi="Arial Narrow" w:cs="Times New Roman"/>
                <w:snapToGrid/>
                <w:sz w:val="20"/>
              </w:rPr>
              <w:t>)</w:t>
            </w:r>
            <w:r w:rsidR="00647D8D" w:rsidRPr="004A1699">
              <w:rPr>
                <w:rFonts w:ascii="Arial Narrow" w:hAnsi="Arial Narrow" w:cs="Times New Roman"/>
                <w:snapToGrid/>
                <w:sz w:val="20"/>
              </w:rPr>
              <w:t>*</w:t>
            </w:r>
          </w:p>
        </w:tc>
      </w:tr>
      <w:tr w:rsidR="00566E8B" w:rsidRPr="00CF3D88" w:rsidTr="002C7059">
        <w:trPr>
          <w:cantSplit/>
        </w:trPr>
        <w:tc>
          <w:tcPr>
            <w:tcW w:w="1110" w:type="pct"/>
            <w:tcBorders>
              <w:top w:val="single" w:sz="4" w:space="0" w:color="auto"/>
              <w:left w:val="single" w:sz="4" w:space="0" w:color="auto"/>
              <w:bottom w:val="single" w:sz="4" w:space="0" w:color="auto"/>
              <w:right w:val="single" w:sz="4" w:space="0" w:color="auto"/>
            </w:tcBorders>
            <w:vAlign w:val="center"/>
            <w:hideMark/>
          </w:tcPr>
          <w:p w:rsidR="00566E8B" w:rsidRPr="00CF3D88" w:rsidRDefault="00566E8B" w:rsidP="003B3A77">
            <w:pPr>
              <w:keepNext/>
              <w:keepLines/>
              <w:widowControl/>
              <w:jc w:val="left"/>
              <w:rPr>
                <w:rFonts w:ascii="Arial Narrow" w:hAnsi="Arial Narrow" w:cs="Times New Roman"/>
                <w:snapToGrid/>
                <w:sz w:val="19"/>
                <w:szCs w:val="19"/>
              </w:rPr>
            </w:pPr>
            <w:r w:rsidRPr="00CF3D88">
              <w:rPr>
                <w:rFonts w:ascii="Arial Narrow" w:hAnsi="Arial Narrow" w:cs="Times New Roman"/>
                <w:snapToGrid/>
                <w:sz w:val="19"/>
                <w:szCs w:val="19"/>
              </w:rPr>
              <w:t>Hazard ratio (95% CI)</w:t>
            </w:r>
          </w:p>
        </w:tc>
        <w:tc>
          <w:tcPr>
            <w:tcW w:w="1268" w:type="pct"/>
            <w:gridSpan w:val="2"/>
            <w:tcBorders>
              <w:top w:val="single" w:sz="4" w:space="0" w:color="auto"/>
              <w:left w:val="single" w:sz="4" w:space="0" w:color="auto"/>
              <w:bottom w:val="single" w:sz="4" w:space="0" w:color="auto"/>
              <w:right w:val="single" w:sz="4" w:space="0" w:color="auto"/>
            </w:tcBorders>
            <w:vAlign w:val="center"/>
            <w:hideMark/>
          </w:tcPr>
          <w:p w:rsidR="00566E8B" w:rsidRPr="004A1699" w:rsidRDefault="00526F5C" w:rsidP="002E1268">
            <w:pPr>
              <w:keepNext/>
              <w:keepLines/>
              <w:widowControl/>
              <w:jc w:val="center"/>
              <w:rPr>
                <w:rFonts w:ascii="Arial Narrow" w:hAnsi="Arial Narrow" w:cs="Times New Roman"/>
                <w:b/>
                <w:snapToGrid/>
                <w:sz w:val="20"/>
              </w:rPr>
            </w:pPr>
            <w:r>
              <w:rPr>
                <w:rFonts w:ascii="Arial Narrow" w:hAnsi="Arial Narrow" w:cs="Times New Roman"/>
                <w:b/>
                <w:noProof/>
                <w:snapToGrid/>
                <w:color w:val="000000"/>
                <w:sz w:val="20"/>
                <w:highlight w:val="black"/>
              </w:rPr>
              <w:t>''''''''</w:t>
            </w:r>
            <w:r w:rsidR="00566E8B" w:rsidRPr="004A1699">
              <w:rPr>
                <w:rFonts w:ascii="Arial Narrow" w:hAnsi="Arial Narrow" w:cs="Times New Roman"/>
                <w:b/>
                <w:snapToGrid/>
                <w:sz w:val="20"/>
              </w:rPr>
              <w:t xml:space="preserve"> (</w:t>
            </w:r>
            <w:r>
              <w:rPr>
                <w:rFonts w:ascii="Arial Narrow" w:hAnsi="Arial Narrow" w:cs="Times New Roman"/>
                <w:b/>
                <w:noProof/>
                <w:snapToGrid/>
                <w:color w:val="000000"/>
                <w:sz w:val="20"/>
                <w:highlight w:val="black"/>
              </w:rPr>
              <w:t>'''''''''</w:t>
            </w:r>
            <w:r w:rsidR="00566E8B" w:rsidRPr="004A1699">
              <w:rPr>
                <w:rFonts w:ascii="Arial Narrow" w:hAnsi="Arial Narrow" w:cs="Times New Roman"/>
                <w:b/>
                <w:snapToGrid/>
                <w:sz w:val="20"/>
              </w:rPr>
              <w:t xml:space="preserve">, </w:t>
            </w:r>
            <w:r>
              <w:rPr>
                <w:rFonts w:ascii="Arial Narrow" w:hAnsi="Arial Narrow" w:cs="Times New Roman"/>
                <w:b/>
                <w:noProof/>
                <w:snapToGrid/>
                <w:color w:val="000000"/>
                <w:sz w:val="20"/>
                <w:highlight w:val="black"/>
              </w:rPr>
              <w:t>'''''''''</w:t>
            </w:r>
            <w:r w:rsidR="00566E8B" w:rsidRPr="004A1699">
              <w:rPr>
                <w:rFonts w:ascii="Arial Narrow" w:hAnsi="Arial Narrow" w:cs="Times New Roman"/>
                <w:b/>
                <w:snapToGrid/>
                <w:sz w:val="20"/>
              </w:rPr>
              <w:t>)</w:t>
            </w:r>
            <w:r w:rsidR="00065355" w:rsidRPr="004A1699">
              <w:rPr>
                <w:rFonts w:ascii="Arial Narrow" w:hAnsi="Arial Narrow" w:cs="Times New Roman"/>
                <w:b/>
                <w:snapToGrid/>
                <w:sz w:val="20"/>
              </w:rPr>
              <w:t xml:space="preserve"> </w:t>
            </w:r>
            <w:r w:rsidR="002E1268" w:rsidRPr="004A1699">
              <w:rPr>
                <w:rFonts w:ascii="Arial Narrow" w:hAnsi="Arial Narrow" w:cs="Times New Roman"/>
                <w:b/>
                <w:snapToGrid/>
                <w:sz w:val="20"/>
                <w:vertAlign w:val="superscript"/>
              </w:rPr>
              <w:t>c</w:t>
            </w:r>
          </w:p>
        </w:tc>
        <w:tc>
          <w:tcPr>
            <w:tcW w:w="1270" w:type="pct"/>
            <w:gridSpan w:val="2"/>
            <w:tcBorders>
              <w:top w:val="single" w:sz="4" w:space="0" w:color="auto"/>
              <w:left w:val="single" w:sz="4" w:space="0" w:color="auto"/>
              <w:bottom w:val="single" w:sz="4" w:space="0" w:color="auto"/>
              <w:right w:val="single" w:sz="4" w:space="0" w:color="auto"/>
            </w:tcBorders>
            <w:shd w:val="clear" w:color="auto" w:fill="auto"/>
            <w:hideMark/>
          </w:tcPr>
          <w:p w:rsidR="00566E8B" w:rsidRPr="004A1699" w:rsidRDefault="00566E8B" w:rsidP="003B3A77">
            <w:pPr>
              <w:keepNext/>
              <w:keepLines/>
              <w:widowControl/>
              <w:jc w:val="center"/>
              <w:rPr>
                <w:rFonts w:ascii="Arial Narrow" w:hAnsi="Arial Narrow" w:cs="Times New Roman"/>
                <w:snapToGrid/>
                <w:sz w:val="20"/>
              </w:rPr>
            </w:pPr>
          </w:p>
        </w:tc>
        <w:tc>
          <w:tcPr>
            <w:tcW w:w="1352" w:type="pct"/>
            <w:gridSpan w:val="2"/>
            <w:tcBorders>
              <w:top w:val="single" w:sz="4" w:space="0" w:color="auto"/>
              <w:left w:val="single" w:sz="4" w:space="0" w:color="auto"/>
              <w:bottom w:val="single" w:sz="4" w:space="0" w:color="auto"/>
              <w:right w:val="single" w:sz="4" w:space="0" w:color="auto"/>
            </w:tcBorders>
            <w:shd w:val="clear" w:color="auto" w:fill="auto"/>
          </w:tcPr>
          <w:p w:rsidR="00566E8B" w:rsidRPr="004A1699" w:rsidRDefault="00526F5C" w:rsidP="003B3A77">
            <w:pPr>
              <w:keepNext/>
              <w:keepLines/>
              <w:widowControl/>
              <w:jc w:val="center"/>
              <w:rPr>
                <w:rFonts w:ascii="Arial Narrow" w:hAnsi="Arial Narrow" w:cs="Times New Roman"/>
                <w:b/>
                <w:snapToGrid/>
                <w:sz w:val="20"/>
                <w:vertAlign w:val="superscript"/>
              </w:rPr>
            </w:pPr>
            <w:r>
              <w:rPr>
                <w:rFonts w:ascii="Arial Narrow" w:hAnsi="Arial Narrow" w:cs="Times New Roman"/>
                <w:b/>
                <w:noProof/>
                <w:snapToGrid/>
                <w:color w:val="000000"/>
                <w:sz w:val="20"/>
                <w:highlight w:val="black"/>
              </w:rPr>
              <w:t>''''''''</w:t>
            </w:r>
            <w:r w:rsidR="008852D1" w:rsidRPr="004A1699">
              <w:rPr>
                <w:rFonts w:ascii="Arial Narrow" w:hAnsi="Arial Narrow" w:cs="Times New Roman"/>
                <w:b/>
                <w:snapToGrid/>
                <w:sz w:val="20"/>
              </w:rPr>
              <w:t xml:space="preserve"> (</w:t>
            </w:r>
            <w:r>
              <w:rPr>
                <w:rFonts w:ascii="Arial Narrow" w:hAnsi="Arial Narrow" w:cs="Times New Roman"/>
                <w:b/>
                <w:noProof/>
                <w:snapToGrid/>
                <w:color w:val="000000"/>
                <w:sz w:val="20"/>
                <w:highlight w:val="black"/>
              </w:rPr>
              <w:t>''''''''</w:t>
            </w:r>
            <w:r w:rsidR="008852D1" w:rsidRPr="004A1699">
              <w:rPr>
                <w:rFonts w:ascii="Arial Narrow" w:hAnsi="Arial Narrow" w:cs="Times New Roman"/>
                <w:b/>
                <w:snapToGrid/>
                <w:sz w:val="20"/>
              </w:rPr>
              <w:t xml:space="preserve">, </w:t>
            </w:r>
            <w:r>
              <w:rPr>
                <w:rFonts w:ascii="Arial Narrow" w:hAnsi="Arial Narrow" w:cs="Times New Roman"/>
                <w:b/>
                <w:noProof/>
                <w:snapToGrid/>
                <w:color w:val="000000"/>
                <w:sz w:val="20"/>
                <w:highlight w:val="black"/>
              </w:rPr>
              <w:t>'''''''''</w:t>
            </w:r>
            <w:r w:rsidR="008852D1" w:rsidRPr="004A1699">
              <w:rPr>
                <w:rFonts w:ascii="Arial Narrow" w:hAnsi="Arial Narrow" w:cs="Times New Roman"/>
                <w:b/>
                <w:snapToGrid/>
                <w:sz w:val="20"/>
              </w:rPr>
              <w:t>)</w:t>
            </w:r>
            <w:r w:rsidR="002E1268" w:rsidRPr="004A1699">
              <w:rPr>
                <w:rFonts w:ascii="Arial Narrow" w:hAnsi="Arial Narrow" w:cs="Times New Roman"/>
                <w:b/>
                <w:snapToGrid/>
                <w:sz w:val="20"/>
              </w:rPr>
              <w:t xml:space="preserve"> </w:t>
            </w:r>
            <w:r w:rsidR="002E1268" w:rsidRPr="004A1699">
              <w:rPr>
                <w:rFonts w:ascii="Arial Narrow" w:hAnsi="Arial Narrow" w:cs="Times New Roman"/>
                <w:b/>
                <w:snapToGrid/>
                <w:sz w:val="20"/>
                <w:vertAlign w:val="superscript"/>
              </w:rPr>
              <w:t>d</w:t>
            </w:r>
            <w:r w:rsidR="00647D8D" w:rsidRPr="004A1699">
              <w:rPr>
                <w:rFonts w:ascii="Arial Narrow" w:hAnsi="Arial Narrow" w:cs="Times New Roman"/>
                <w:b/>
                <w:snapToGrid/>
                <w:sz w:val="20"/>
                <w:vertAlign w:val="superscript"/>
              </w:rPr>
              <w:t>*</w:t>
            </w:r>
          </w:p>
        </w:tc>
      </w:tr>
    </w:tbl>
    <w:p w:rsidR="00647D8D" w:rsidRPr="00CF3D88" w:rsidRDefault="00566E8B" w:rsidP="00566E8B">
      <w:pPr>
        <w:keepNext/>
        <w:keepLines/>
        <w:widowControl/>
        <w:snapToGrid w:val="0"/>
        <w:ind w:left="720"/>
        <w:rPr>
          <w:rFonts w:ascii="Arial Narrow" w:hAnsi="Arial Narrow"/>
          <w:snapToGrid/>
          <w:sz w:val="18"/>
          <w:szCs w:val="24"/>
        </w:rPr>
      </w:pPr>
      <w:r w:rsidRPr="00CF3D88">
        <w:rPr>
          <w:rFonts w:ascii="Arial Narrow" w:hAnsi="Arial Narrow"/>
          <w:snapToGrid/>
          <w:sz w:val="18"/>
          <w:szCs w:val="24"/>
        </w:rPr>
        <w:t xml:space="preserve">Source: compiled during evaluation based on Table </w:t>
      </w:r>
      <w:proofErr w:type="gramStart"/>
      <w:r w:rsidRPr="00CF3D88">
        <w:rPr>
          <w:rFonts w:ascii="Arial Narrow" w:hAnsi="Arial Narrow"/>
          <w:snapToGrid/>
          <w:sz w:val="18"/>
          <w:szCs w:val="24"/>
        </w:rPr>
        <w:t>B(</w:t>
      </w:r>
      <w:proofErr w:type="gramEnd"/>
      <w:r w:rsidRPr="00CF3D88">
        <w:rPr>
          <w:rFonts w:ascii="Arial Narrow" w:hAnsi="Arial Narrow"/>
          <w:snapToGrid/>
          <w:sz w:val="18"/>
          <w:szCs w:val="24"/>
        </w:rPr>
        <w:t xml:space="preserve">ii).6.2, p.6.02.COM.31 of the previous submission; </w:t>
      </w:r>
    </w:p>
    <w:p w:rsidR="00566E8B" w:rsidRPr="00CF3D88" w:rsidRDefault="00647D8D" w:rsidP="00566E8B">
      <w:pPr>
        <w:keepNext/>
        <w:keepLines/>
        <w:widowControl/>
        <w:snapToGrid w:val="0"/>
        <w:ind w:left="720"/>
        <w:rPr>
          <w:rFonts w:ascii="Arial Narrow" w:hAnsi="Arial Narrow"/>
          <w:snapToGrid/>
          <w:sz w:val="18"/>
          <w:szCs w:val="24"/>
        </w:rPr>
      </w:pPr>
      <w:r w:rsidRPr="00CF3D88">
        <w:rPr>
          <w:rFonts w:ascii="Arial Narrow" w:hAnsi="Arial Narrow"/>
          <w:snapToGrid/>
          <w:sz w:val="18"/>
          <w:szCs w:val="24"/>
        </w:rPr>
        <w:t>*</w:t>
      </w:r>
      <w:r w:rsidR="00566E8B" w:rsidRPr="00CF3D88">
        <w:rPr>
          <w:rFonts w:ascii="Arial Narrow" w:hAnsi="Arial Narrow"/>
          <w:snapToGrid/>
          <w:sz w:val="18"/>
          <w:szCs w:val="24"/>
        </w:rPr>
        <w:t xml:space="preserve">calculated during evaluation using method described under Figure </w:t>
      </w:r>
      <w:proofErr w:type="gramStart"/>
      <w:r w:rsidR="00566E8B" w:rsidRPr="00CF3D88">
        <w:rPr>
          <w:rFonts w:ascii="Arial Narrow" w:hAnsi="Arial Narrow"/>
          <w:snapToGrid/>
          <w:sz w:val="18"/>
          <w:szCs w:val="24"/>
        </w:rPr>
        <w:t>B(</w:t>
      </w:r>
      <w:proofErr w:type="gramEnd"/>
      <w:r w:rsidR="00566E8B" w:rsidRPr="00CF3D88">
        <w:rPr>
          <w:rFonts w:ascii="Arial Narrow" w:hAnsi="Arial Narrow"/>
          <w:snapToGrid/>
          <w:sz w:val="18"/>
          <w:szCs w:val="24"/>
        </w:rPr>
        <w:t>ii).6.2.</w:t>
      </w:r>
    </w:p>
    <w:p w:rsidR="00566E8B" w:rsidRPr="00CF3D88" w:rsidRDefault="00566E8B" w:rsidP="00566E8B">
      <w:pPr>
        <w:keepNext/>
        <w:keepLines/>
        <w:widowControl/>
        <w:snapToGrid w:val="0"/>
        <w:ind w:left="720"/>
        <w:rPr>
          <w:rFonts w:ascii="Arial Narrow" w:hAnsi="Arial Narrow"/>
          <w:snapToGrid/>
          <w:sz w:val="18"/>
          <w:szCs w:val="24"/>
        </w:rPr>
      </w:pPr>
      <w:r w:rsidRPr="00CF3D88">
        <w:rPr>
          <w:rFonts w:ascii="Arial Narrow" w:hAnsi="Arial Narrow"/>
          <w:snapToGrid/>
          <w:sz w:val="18"/>
          <w:szCs w:val="24"/>
        </w:rPr>
        <w:t xml:space="preserve">BV = brentuximab vedotin; CI = confidence interval; OS = overall survival; </w:t>
      </w:r>
      <w:r w:rsidR="00065355" w:rsidRPr="00CF3D88">
        <w:rPr>
          <w:rFonts w:ascii="Arial Narrow" w:hAnsi="Arial Narrow"/>
          <w:snapToGrid/>
          <w:sz w:val="18"/>
          <w:szCs w:val="24"/>
        </w:rPr>
        <w:t xml:space="preserve">NA = not available; </w:t>
      </w:r>
      <w:r w:rsidRPr="00CF3D88">
        <w:rPr>
          <w:rFonts w:ascii="Arial Narrow" w:hAnsi="Arial Narrow"/>
          <w:snapToGrid/>
          <w:sz w:val="18"/>
          <w:szCs w:val="24"/>
        </w:rPr>
        <w:t>NR = not reached</w:t>
      </w:r>
      <w:r w:rsidR="00065355" w:rsidRPr="00CF3D88">
        <w:rPr>
          <w:rFonts w:ascii="Arial Narrow" w:hAnsi="Arial Narrow"/>
          <w:snapToGrid/>
          <w:sz w:val="18"/>
          <w:szCs w:val="24"/>
        </w:rPr>
        <w:t xml:space="preserve">; </w:t>
      </w:r>
      <w:r w:rsidR="00065355" w:rsidRPr="00CF3D88">
        <w:rPr>
          <w:rFonts w:ascii="Arial Narrow" w:hAnsi="Arial Narrow"/>
          <w:b/>
          <w:snapToGrid/>
          <w:sz w:val="18"/>
          <w:szCs w:val="24"/>
        </w:rPr>
        <w:t xml:space="preserve">bold </w:t>
      </w:r>
      <w:r w:rsidR="00065355" w:rsidRPr="00CF3D88">
        <w:rPr>
          <w:rFonts w:ascii="Arial Narrow" w:hAnsi="Arial Narrow"/>
          <w:snapToGrid/>
          <w:sz w:val="18"/>
          <w:szCs w:val="24"/>
        </w:rPr>
        <w:t>= statistically significant</w:t>
      </w:r>
    </w:p>
    <w:p w:rsidR="00566E8B" w:rsidRPr="00CF3D88" w:rsidRDefault="002E1268" w:rsidP="00566E8B">
      <w:pPr>
        <w:keepNext/>
        <w:keepLines/>
        <w:widowControl/>
        <w:snapToGrid w:val="0"/>
        <w:ind w:left="720"/>
        <w:rPr>
          <w:rFonts w:ascii="Arial Narrow" w:hAnsi="Arial Narrow"/>
          <w:snapToGrid/>
          <w:sz w:val="18"/>
          <w:szCs w:val="24"/>
        </w:rPr>
      </w:pPr>
      <w:proofErr w:type="gramStart"/>
      <w:r w:rsidRPr="00CF3D88">
        <w:rPr>
          <w:rFonts w:ascii="Arial Narrow" w:hAnsi="Arial Narrow"/>
          <w:snapToGrid/>
          <w:sz w:val="18"/>
          <w:szCs w:val="24"/>
          <w:vertAlign w:val="superscript"/>
        </w:rPr>
        <w:t>a</w:t>
      </w:r>
      <w:proofErr w:type="gramEnd"/>
      <w:r w:rsidR="00566E8B" w:rsidRPr="00CF3D88">
        <w:rPr>
          <w:rFonts w:ascii="Arial Narrow" w:hAnsi="Arial Narrow"/>
          <w:snapToGrid/>
          <w:sz w:val="18"/>
          <w:szCs w:val="24"/>
          <w:vertAlign w:val="superscript"/>
        </w:rPr>
        <w:t xml:space="preserve"> </w:t>
      </w:r>
      <w:r w:rsidR="00566E8B" w:rsidRPr="00CF3D88">
        <w:rPr>
          <w:rFonts w:ascii="Arial Narrow" w:hAnsi="Arial Narrow"/>
          <w:snapToGrid/>
          <w:sz w:val="18"/>
          <w:szCs w:val="24"/>
        </w:rPr>
        <w:t>17 months for Kaloyannidis and 36 months for the British Columbia registry</w:t>
      </w:r>
    </w:p>
    <w:p w:rsidR="00566E8B" w:rsidRPr="00CF3D88" w:rsidRDefault="002E1268" w:rsidP="00566E8B">
      <w:pPr>
        <w:widowControl/>
        <w:ind w:left="720"/>
        <w:contextualSpacing/>
        <w:rPr>
          <w:rFonts w:ascii="Arial Narrow" w:hAnsi="Arial Narrow"/>
          <w:snapToGrid/>
          <w:sz w:val="18"/>
        </w:rPr>
      </w:pPr>
      <w:proofErr w:type="gramStart"/>
      <w:r w:rsidRPr="00CF3D88">
        <w:rPr>
          <w:rFonts w:ascii="Arial Narrow" w:hAnsi="Arial Narrow"/>
          <w:snapToGrid/>
          <w:sz w:val="18"/>
          <w:vertAlign w:val="superscript"/>
        </w:rPr>
        <w:t>b</w:t>
      </w:r>
      <w:proofErr w:type="gramEnd"/>
      <w:r w:rsidR="00566E8B" w:rsidRPr="00CF3D88">
        <w:rPr>
          <w:rFonts w:ascii="Arial Narrow" w:hAnsi="Arial Narrow"/>
          <w:snapToGrid/>
          <w:sz w:val="18"/>
        </w:rPr>
        <w:t xml:space="preserve"> Based on time from ‘start date (first exposure to BV)’ until ‘last long-term follow-up date’ in spreadsheet “12B - 2. Censoring”</w:t>
      </w:r>
    </w:p>
    <w:p w:rsidR="00065355" w:rsidRPr="00CF3D88" w:rsidRDefault="002E1268" w:rsidP="00566E8B">
      <w:pPr>
        <w:widowControl/>
        <w:ind w:left="720"/>
        <w:contextualSpacing/>
        <w:rPr>
          <w:rFonts w:ascii="Arial Narrow" w:hAnsi="Arial Narrow"/>
          <w:snapToGrid/>
          <w:sz w:val="18"/>
        </w:rPr>
      </w:pPr>
      <w:proofErr w:type="gramStart"/>
      <w:r w:rsidRPr="00CF3D88">
        <w:rPr>
          <w:rFonts w:ascii="Arial Narrow" w:hAnsi="Arial Narrow"/>
          <w:snapToGrid/>
          <w:sz w:val="18"/>
          <w:vertAlign w:val="superscript"/>
        </w:rPr>
        <w:t>c</w:t>
      </w:r>
      <w:proofErr w:type="gramEnd"/>
      <w:r w:rsidR="00065355" w:rsidRPr="00CF3D88">
        <w:rPr>
          <w:rFonts w:ascii="Arial Narrow" w:hAnsi="Arial Narrow"/>
          <w:snapToGrid/>
          <w:sz w:val="18"/>
        </w:rPr>
        <w:t xml:space="preserve"> Calculated in the previous Commentary</w:t>
      </w:r>
    </w:p>
    <w:p w:rsidR="002E1268" w:rsidRPr="00CF3D88" w:rsidRDefault="002E1268" w:rsidP="002E1268">
      <w:pPr>
        <w:keepNext/>
        <w:keepLines/>
        <w:widowControl/>
        <w:snapToGrid w:val="0"/>
        <w:ind w:left="720"/>
        <w:rPr>
          <w:snapToGrid/>
        </w:rPr>
      </w:pPr>
      <w:proofErr w:type="gramStart"/>
      <w:r w:rsidRPr="00CF3D88">
        <w:rPr>
          <w:rFonts w:ascii="Arial Narrow" w:hAnsi="Arial Narrow"/>
          <w:snapToGrid/>
          <w:sz w:val="18"/>
          <w:szCs w:val="24"/>
          <w:vertAlign w:val="superscript"/>
        </w:rPr>
        <w:t>d</w:t>
      </w:r>
      <w:proofErr w:type="gramEnd"/>
      <w:r w:rsidRPr="00CF3D88">
        <w:rPr>
          <w:rFonts w:ascii="Arial Narrow" w:hAnsi="Arial Narrow"/>
          <w:snapToGrid/>
          <w:sz w:val="18"/>
          <w:szCs w:val="24"/>
          <w:vertAlign w:val="superscript"/>
        </w:rPr>
        <w:t xml:space="preserve"> </w:t>
      </w:r>
      <w:r w:rsidRPr="00CF3D88">
        <w:rPr>
          <w:rFonts w:ascii="Arial Narrow" w:hAnsi="Arial Narrow"/>
          <w:snapToGrid/>
          <w:sz w:val="18"/>
          <w:szCs w:val="24"/>
        </w:rPr>
        <w:t>Calculated with STATA 13.0</w:t>
      </w:r>
      <w:r w:rsidR="008852D1" w:rsidRPr="00CF3D88">
        <w:rPr>
          <w:rFonts w:ascii="Arial Narrow" w:hAnsi="Arial Narrow"/>
          <w:snapToGrid/>
          <w:sz w:val="18"/>
          <w:szCs w:val="24"/>
        </w:rPr>
        <w:t>, using Cox regression (Breslow method)</w:t>
      </w:r>
    </w:p>
    <w:p w:rsidR="00566E8B" w:rsidRPr="00CF3D88" w:rsidRDefault="00566E8B" w:rsidP="002C7059">
      <w:pPr>
        <w:widowControl/>
        <w:ind w:left="720"/>
        <w:contextualSpacing/>
        <w:rPr>
          <w:szCs w:val="22"/>
        </w:rPr>
      </w:pPr>
    </w:p>
    <w:p w:rsidR="00942A77" w:rsidRPr="00CF3D88" w:rsidRDefault="00942A77" w:rsidP="009530DB">
      <w:pPr>
        <w:widowControl/>
        <w:numPr>
          <w:ilvl w:val="1"/>
          <w:numId w:val="2"/>
        </w:numPr>
        <w:contextualSpacing/>
        <w:rPr>
          <w:szCs w:val="22"/>
        </w:rPr>
      </w:pPr>
      <w:r w:rsidRPr="00CF3D88">
        <w:t>Median overall survival for salvage chemotherapy was lower than that presented previously. This was likely due to the inclusion of patients on single agent therapies from the British Columbia registry, while in the previous submission only patients on gemcitabine-vinorelbine were included.</w:t>
      </w:r>
    </w:p>
    <w:p w:rsidR="00942A77" w:rsidRPr="00CF3D88" w:rsidRDefault="00942A77" w:rsidP="00BD3814">
      <w:pPr>
        <w:widowControl/>
        <w:ind w:left="720"/>
        <w:contextualSpacing/>
        <w:rPr>
          <w:szCs w:val="22"/>
        </w:rPr>
      </w:pPr>
    </w:p>
    <w:p w:rsidR="00EA600E" w:rsidRPr="00CF3D88" w:rsidRDefault="00942A77" w:rsidP="009530DB">
      <w:pPr>
        <w:widowControl/>
        <w:numPr>
          <w:ilvl w:val="1"/>
          <w:numId w:val="2"/>
        </w:numPr>
        <w:contextualSpacing/>
        <w:rPr>
          <w:szCs w:val="22"/>
        </w:rPr>
      </w:pPr>
      <w:r w:rsidRPr="00CF3D88">
        <w:t>In the survival analysis</w:t>
      </w:r>
      <w:r w:rsidR="00E52C47" w:rsidRPr="00CF3D88">
        <w:t xml:space="preserve"> </w:t>
      </w:r>
      <w:r w:rsidR="00F25DD7" w:rsidRPr="00CF3D88">
        <w:t>presented in the</w:t>
      </w:r>
      <w:r w:rsidR="00954713" w:rsidRPr="00CF3D88">
        <w:t xml:space="preserve"> </w:t>
      </w:r>
      <w:r w:rsidR="00A8064E" w:rsidRPr="00CF3D88">
        <w:t>resubmission</w:t>
      </w:r>
      <w:r w:rsidR="00F25DD7" w:rsidRPr="00CF3D88">
        <w:t>,</w:t>
      </w:r>
      <w:r w:rsidR="00954713" w:rsidRPr="00CF3D88">
        <w:t xml:space="preserve"> median overall survival was not reached for the brentuximab vedotin. However </w:t>
      </w:r>
      <w:r w:rsidR="00064D2B" w:rsidRPr="00CF3D88">
        <w:t xml:space="preserve">due to censoring of patients who moved on to further lines of treatment, </w:t>
      </w:r>
      <w:r w:rsidR="00954713" w:rsidRPr="00CF3D88">
        <w:t xml:space="preserve">only </w:t>
      </w:r>
      <w:r w:rsidR="00526F5C">
        <w:rPr>
          <w:noProof/>
          <w:color w:val="000000"/>
          <w:highlight w:val="black"/>
        </w:rPr>
        <w:t xml:space="preserve">''' </w:t>
      </w:r>
      <w:r w:rsidR="00566E8B" w:rsidRPr="00CF3D88">
        <w:t>(</w:t>
      </w:r>
      <w:r w:rsidR="00526F5C">
        <w:rPr>
          <w:noProof/>
          <w:color w:val="000000"/>
          <w:highlight w:val="black"/>
        </w:rPr>
        <w:t>'''</w:t>
      </w:r>
      <w:r w:rsidR="00566E8B" w:rsidRPr="00CF3D88">
        <w:t>%)</w:t>
      </w:r>
      <w:r w:rsidR="00954713" w:rsidRPr="00CF3D88">
        <w:t xml:space="preserve"> deaths </w:t>
      </w:r>
      <w:r w:rsidR="00064D2B" w:rsidRPr="00CF3D88">
        <w:t xml:space="preserve">were included </w:t>
      </w:r>
      <w:r w:rsidR="00EE693B" w:rsidRPr="00CF3D88">
        <w:t xml:space="preserve">for brentuximab vedotin </w:t>
      </w:r>
      <w:r w:rsidR="00954713" w:rsidRPr="00CF3D88">
        <w:t xml:space="preserve">versus </w:t>
      </w:r>
      <w:r w:rsidR="00526F5C">
        <w:rPr>
          <w:noProof/>
          <w:color w:val="000000"/>
          <w:highlight w:val="black"/>
        </w:rPr>
        <w:t>''''''</w:t>
      </w:r>
      <w:r w:rsidR="00566E8B" w:rsidRPr="00CF3D88">
        <w:t xml:space="preserve"> (</w:t>
      </w:r>
      <w:proofErr w:type="gramStart"/>
      <w:r w:rsidR="00526F5C">
        <w:rPr>
          <w:noProof/>
          <w:color w:val="000000"/>
          <w:highlight w:val="black"/>
        </w:rPr>
        <w:t>''''''</w:t>
      </w:r>
      <w:r w:rsidR="00566E8B" w:rsidRPr="00CF3D88">
        <w:t>%</w:t>
      </w:r>
      <w:proofErr w:type="gramEnd"/>
      <w:r w:rsidR="00566E8B" w:rsidRPr="00CF3D88">
        <w:t>)</w:t>
      </w:r>
      <w:r w:rsidR="00954713" w:rsidRPr="00CF3D88">
        <w:t xml:space="preserve"> deaths when censoring for subsequent therapies was removed. Median overall survival was </w:t>
      </w:r>
      <w:r w:rsidR="008852D1" w:rsidRPr="00CF3D88">
        <w:t>not estimable</w:t>
      </w:r>
      <w:r w:rsidR="00064D2B" w:rsidRPr="00CF3D88">
        <w:t> </w:t>
      </w:r>
      <w:r w:rsidR="009560F2" w:rsidRPr="00CF3D88">
        <w:t>(95</w:t>
      </w:r>
      <w:r w:rsidR="00EE693B" w:rsidRPr="00CF3D88">
        <w:t>%</w:t>
      </w:r>
      <w:r w:rsidR="009560F2" w:rsidRPr="00CF3D88">
        <w:t xml:space="preserve"> confidence </w:t>
      </w:r>
      <w:r w:rsidR="009560F2" w:rsidRPr="00CF3D88">
        <w:lastRenderedPageBreak/>
        <w:t xml:space="preserve">interval (CI): </w:t>
      </w:r>
      <w:r w:rsidR="008852D1" w:rsidRPr="00CF3D88">
        <w:t>41.0</w:t>
      </w:r>
      <w:r w:rsidR="009560F2" w:rsidRPr="00CF3D88">
        <w:t xml:space="preserve"> months to not estimable)</w:t>
      </w:r>
      <w:r w:rsidR="00954713" w:rsidRPr="00CF3D88">
        <w:t xml:space="preserve"> with appropriate censoring. For the salvage chemotherapy arm, censoring made little difference to median overall survival, which was </w:t>
      </w:r>
      <w:r w:rsidR="00064D2B" w:rsidRPr="00CF3D88">
        <w:t xml:space="preserve">approximately </w:t>
      </w:r>
      <w:r w:rsidR="00526F5C">
        <w:rPr>
          <w:noProof/>
          <w:color w:val="000000"/>
          <w:highlight w:val="black"/>
        </w:rPr>
        <w:t>''''''</w:t>
      </w:r>
      <w:r w:rsidR="00064D2B" w:rsidRPr="00CF3D88">
        <w:t> </w:t>
      </w:r>
      <w:r w:rsidR="00954713" w:rsidRPr="00CF3D88">
        <w:t>months in both analyses.</w:t>
      </w:r>
    </w:p>
    <w:p w:rsidR="00EA600E" w:rsidRPr="00CF3D88" w:rsidRDefault="00EA600E" w:rsidP="00EA600E">
      <w:pPr>
        <w:widowControl/>
        <w:ind w:left="720"/>
        <w:contextualSpacing/>
        <w:rPr>
          <w:szCs w:val="22"/>
        </w:rPr>
      </w:pPr>
    </w:p>
    <w:p w:rsidR="00954713" w:rsidRPr="00CF3D88" w:rsidRDefault="00954713" w:rsidP="009530DB">
      <w:pPr>
        <w:widowControl/>
        <w:numPr>
          <w:ilvl w:val="1"/>
          <w:numId w:val="2"/>
        </w:numPr>
        <w:contextualSpacing/>
      </w:pPr>
      <w:r w:rsidRPr="00CF3D88">
        <w:t>With censoring adjusted</w:t>
      </w:r>
      <w:r w:rsidR="00942A77" w:rsidRPr="00CF3D88">
        <w:t xml:space="preserve"> during the evaluation</w:t>
      </w:r>
      <w:r w:rsidR="00F25DD7" w:rsidRPr="00CF3D88">
        <w:t xml:space="preserve"> of the </w:t>
      </w:r>
      <w:r w:rsidR="00A8064E" w:rsidRPr="00CF3D88">
        <w:t>resubmission</w:t>
      </w:r>
      <w:r w:rsidRPr="00CF3D88">
        <w:t xml:space="preserve">, there </w:t>
      </w:r>
      <w:r w:rsidR="002556A5" w:rsidRPr="00CF3D88">
        <w:t xml:space="preserve">continued to be </w:t>
      </w:r>
      <w:r w:rsidRPr="00CF3D88">
        <w:t xml:space="preserve"> improved survival with brentuximab vedotin</w:t>
      </w:r>
      <w:r w:rsidR="002556A5" w:rsidRPr="00CF3D88">
        <w:t xml:space="preserve"> compared to salvage chemotherapy</w:t>
      </w:r>
      <w:r w:rsidRPr="00CF3D88">
        <w:t xml:space="preserve">; albeit the effect size </w:t>
      </w:r>
      <w:r w:rsidR="002556A5" w:rsidRPr="00CF3D88">
        <w:t>was reduced</w:t>
      </w:r>
      <w:r w:rsidR="00A8064E" w:rsidRPr="00CF3D88">
        <w:t xml:space="preserve"> </w:t>
      </w:r>
      <w:r w:rsidR="00566364" w:rsidRPr="00CF3D88">
        <w:t>(</w:t>
      </w:r>
      <w:r w:rsidR="00EE693B" w:rsidRPr="00CF3D88">
        <w:t>h</w:t>
      </w:r>
      <w:r w:rsidR="00566364" w:rsidRPr="00CF3D88">
        <w:t xml:space="preserve">azard ratio </w:t>
      </w:r>
      <w:r w:rsidR="00526F5C">
        <w:rPr>
          <w:noProof/>
          <w:color w:val="000000"/>
          <w:highlight w:val="black"/>
        </w:rPr>
        <w:t>''''''''''</w:t>
      </w:r>
      <w:r w:rsidR="00566364" w:rsidRPr="00CF3D88">
        <w:t xml:space="preserve">; </w:t>
      </w:r>
      <w:r w:rsidR="00526F5C">
        <w:rPr>
          <w:noProof/>
          <w:color w:val="000000"/>
          <w:highlight w:val="black"/>
        </w:rPr>
        <w:t>'''''''</w:t>
      </w:r>
      <w:r w:rsidR="00566364" w:rsidRPr="00CF3D88">
        <w:t xml:space="preserve">% confidence interval: </w:t>
      </w:r>
      <w:r w:rsidR="00526F5C">
        <w:rPr>
          <w:noProof/>
          <w:color w:val="000000"/>
          <w:highlight w:val="black"/>
        </w:rPr>
        <w:t>'''''''''''</w:t>
      </w:r>
      <w:r w:rsidR="00566364" w:rsidRPr="00CF3D88">
        <w:t xml:space="preserve"> to </w:t>
      </w:r>
      <w:r w:rsidR="00526F5C">
        <w:rPr>
          <w:noProof/>
          <w:color w:val="000000"/>
          <w:highlight w:val="black"/>
        </w:rPr>
        <w:t>'''''''''''</w:t>
      </w:r>
      <w:r w:rsidR="00566364" w:rsidRPr="00CF3D88">
        <w:t>)</w:t>
      </w:r>
      <w:r w:rsidRPr="00CF3D88">
        <w:t xml:space="preserve">. </w:t>
      </w:r>
      <w:r w:rsidR="00065355" w:rsidRPr="00CF3D88">
        <w:t>The results from this analysis should be interpreted with caution</w:t>
      </w:r>
      <w:r w:rsidRPr="00CF3D88">
        <w:t xml:space="preserve"> due to the low quality of evidence and heterogeneity between </w:t>
      </w:r>
      <w:r w:rsidR="00064D2B" w:rsidRPr="00CF3D88">
        <w:t xml:space="preserve">the </w:t>
      </w:r>
      <w:r w:rsidRPr="00CF3D88">
        <w:t>studies</w:t>
      </w:r>
      <w:r w:rsidR="00064D2B" w:rsidRPr="00CF3D88">
        <w:t xml:space="preserve"> included in the analysis.</w:t>
      </w:r>
    </w:p>
    <w:p w:rsidR="00566E8B" w:rsidRPr="00CF3D88" w:rsidRDefault="00566E8B" w:rsidP="002C7059">
      <w:pPr>
        <w:widowControl/>
        <w:ind w:left="720"/>
        <w:contextualSpacing/>
        <w:rPr>
          <w:i/>
        </w:rPr>
      </w:pPr>
    </w:p>
    <w:p w:rsidR="00954713" w:rsidRPr="00CF3D88" w:rsidRDefault="00954713" w:rsidP="00954713">
      <w:pPr>
        <w:rPr>
          <w:u w:val="single"/>
        </w:rPr>
      </w:pPr>
      <w:r w:rsidRPr="00CF3D88">
        <w:rPr>
          <w:u w:val="single"/>
        </w:rPr>
        <w:t>Progression free survival</w:t>
      </w:r>
    </w:p>
    <w:p w:rsidR="00954713" w:rsidRPr="00CF3D88" w:rsidRDefault="00954713" w:rsidP="009530DB">
      <w:pPr>
        <w:widowControl/>
        <w:numPr>
          <w:ilvl w:val="1"/>
          <w:numId w:val="2"/>
        </w:numPr>
        <w:contextualSpacing/>
      </w:pPr>
      <w:r w:rsidRPr="00CF3D88">
        <w:t xml:space="preserve">Progression free survival </w:t>
      </w:r>
      <w:r w:rsidR="00221A22" w:rsidRPr="00CF3D88">
        <w:t xml:space="preserve">presented in the resubmission </w:t>
      </w:r>
      <w:r w:rsidRPr="00CF3D88">
        <w:t>was based on Study 0003, Kaloyannidis and the British Columbia registry</w:t>
      </w:r>
      <w:r w:rsidR="009560F2" w:rsidRPr="00CF3D88">
        <w:t>,</w:t>
      </w:r>
      <w:r w:rsidRPr="00CF3D88">
        <w:t xml:space="preserve"> as results were not available from the AETH</w:t>
      </w:r>
      <w:r w:rsidR="00EE693B" w:rsidRPr="00CF3D88">
        <w:t>ERA follow-up data. Figure 2</w:t>
      </w:r>
      <w:r w:rsidRPr="00CF3D88">
        <w:t xml:space="preserve"> presents the Kaplan-Meier curve as </w:t>
      </w:r>
      <w:r w:rsidR="00C44FD6" w:rsidRPr="00CF3D88">
        <w:t>used</w:t>
      </w:r>
      <w:r w:rsidRPr="00CF3D88">
        <w:t xml:space="preserve"> in the </w:t>
      </w:r>
      <w:r w:rsidR="00A8064E" w:rsidRPr="00CF3D88">
        <w:t>resubmission</w:t>
      </w:r>
      <w:r w:rsidR="00C44FD6" w:rsidRPr="00CF3D88">
        <w:t>’s</w:t>
      </w:r>
      <w:r w:rsidRPr="00CF3D88">
        <w:t xml:space="preserve"> </w:t>
      </w:r>
      <w:r w:rsidR="00C44FD6" w:rsidRPr="00CF3D88">
        <w:t xml:space="preserve">economic model </w:t>
      </w:r>
      <w:r w:rsidRPr="00CF3D88">
        <w:t xml:space="preserve">(A) and only using data from the British Columbia registry (i.e. </w:t>
      </w:r>
      <w:r w:rsidR="00116484">
        <w:t xml:space="preserve">without </w:t>
      </w:r>
      <w:proofErr w:type="spellStart"/>
      <w:r w:rsidR="00116484">
        <w:t>Kaloyannidis</w:t>
      </w:r>
      <w:proofErr w:type="spellEnd"/>
      <w:r w:rsidR="00116484">
        <w:t xml:space="preserve"> data) (B).</w:t>
      </w:r>
    </w:p>
    <w:p w:rsidR="00954713" w:rsidRPr="00CF3D88" w:rsidRDefault="00954713" w:rsidP="00954713">
      <w:pPr>
        <w:ind w:left="720"/>
        <w:rPr>
          <w:i/>
        </w:rPr>
      </w:pPr>
    </w:p>
    <w:p w:rsidR="00C44FD6" w:rsidRPr="00CF3D88" w:rsidRDefault="00954713" w:rsidP="007C6C79">
      <w:pPr>
        <w:keepNext/>
        <w:keepLines/>
        <w:ind w:left="720"/>
        <w:rPr>
          <w:rFonts w:ascii="Arial Narrow" w:hAnsi="Arial Narrow"/>
          <w:b/>
          <w:sz w:val="20"/>
          <w:szCs w:val="16"/>
        </w:rPr>
      </w:pPr>
      <w:r w:rsidRPr="00CF3D88">
        <w:rPr>
          <w:rFonts w:ascii="Arial Narrow" w:hAnsi="Arial Narrow"/>
          <w:b/>
          <w:sz w:val="20"/>
          <w:szCs w:val="16"/>
        </w:rPr>
        <w:t xml:space="preserve">Figure </w:t>
      </w:r>
      <w:r w:rsidR="00F25DD7" w:rsidRPr="00CF3D88">
        <w:rPr>
          <w:rFonts w:ascii="Arial Narrow" w:hAnsi="Arial Narrow"/>
          <w:b/>
          <w:sz w:val="20"/>
          <w:szCs w:val="16"/>
        </w:rPr>
        <w:t>2</w:t>
      </w:r>
      <w:r w:rsidRPr="00CF3D88">
        <w:rPr>
          <w:rFonts w:ascii="Arial Narrow" w:hAnsi="Arial Narrow"/>
          <w:b/>
          <w:sz w:val="20"/>
          <w:szCs w:val="16"/>
        </w:rPr>
        <w:t xml:space="preserve">: Progression free survival for brentuximab vedotin and salvage chemotherapy </w:t>
      </w:r>
      <w:r w:rsidRPr="00CF3D88">
        <w:rPr>
          <w:snapToGrid/>
        </w:rPr>
        <w:t>(</w:t>
      </w:r>
      <w:r w:rsidRPr="00CF3D88">
        <w:rPr>
          <w:rFonts w:ascii="Arial Narrow" w:hAnsi="Arial Narrow"/>
          <w:b/>
          <w:sz w:val="20"/>
          <w:szCs w:val="16"/>
        </w:rPr>
        <w:t xml:space="preserve">A) </w:t>
      </w:r>
      <w:r w:rsidR="00C44FD6" w:rsidRPr="00CF3D88">
        <w:rPr>
          <w:rFonts w:ascii="Arial Narrow" w:hAnsi="Arial Narrow"/>
          <w:b/>
          <w:sz w:val="20"/>
          <w:szCs w:val="16"/>
        </w:rPr>
        <w:t>per</w:t>
      </w:r>
      <w:r w:rsidRPr="00CF3D88">
        <w:rPr>
          <w:rFonts w:ascii="Arial Narrow" w:hAnsi="Arial Narrow"/>
          <w:b/>
          <w:sz w:val="20"/>
          <w:szCs w:val="16"/>
        </w:rPr>
        <w:t xml:space="preserve"> the </w:t>
      </w:r>
      <w:r w:rsidR="00A8064E" w:rsidRPr="00CF3D88">
        <w:rPr>
          <w:rFonts w:ascii="Arial Narrow" w:hAnsi="Arial Narrow"/>
          <w:b/>
          <w:sz w:val="20"/>
          <w:szCs w:val="16"/>
        </w:rPr>
        <w:t xml:space="preserve">resubmission </w:t>
      </w:r>
      <w:r w:rsidR="00C44FD6" w:rsidRPr="00CF3D88">
        <w:rPr>
          <w:rFonts w:ascii="Arial Narrow" w:hAnsi="Arial Narrow"/>
          <w:b/>
          <w:sz w:val="20"/>
          <w:szCs w:val="16"/>
        </w:rPr>
        <w:t>(based on Kaloy + British Columbia registry)</w:t>
      </w:r>
      <w:r w:rsidRPr="00CF3D88">
        <w:rPr>
          <w:rFonts w:ascii="Arial Narrow" w:hAnsi="Arial Narrow"/>
          <w:b/>
          <w:sz w:val="20"/>
          <w:szCs w:val="16"/>
        </w:rPr>
        <w:t xml:space="preserve"> (B) salvage chemotherapy based on</w:t>
      </w:r>
      <w:r w:rsidR="00116484">
        <w:rPr>
          <w:rFonts w:ascii="Arial Narrow" w:hAnsi="Arial Narrow"/>
          <w:b/>
          <w:sz w:val="20"/>
          <w:szCs w:val="16"/>
        </w:rPr>
        <w:t>ly on British Columbia registry</w:t>
      </w:r>
    </w:p>
    <w:p w:rsidR="00954713" w:rsidRPr="00526F5C" w:rsidRDefault="00526F5C" w:rsidP="00954713">
      <w:pPr>
        <w:keepNext/>
        <w:keepLines/>
        <w:ind w:left="720"/>
        <w:jc w:val="left"/>
        <w:rPr>
          <w:rFonts w:ascii="Arial Narrow" w:hAnsi="Arial Narrow"/>
          <w:b/>
          <w:sz w:val="20"/>
          <w:szCs w:val="16"/>
          <w:highlight w:val="black"/>
        </w:rPr>
      </w:pPr>
      <w:r>
        <w:rPr>
          <w:rFonts w:ascii="Arial Narrow" w:hAnsi="Arial Narrow"/>
          <w:b/>
          <w:noProof/>
          <w:snapToGrid/>
          <w:sz w:val="20"/>
          <w:szCs w:val="16"/>
          <w:lang w:eastAsia="en-AU"/>
        </w:rPr>
        <w:drawing>
          <wp:inline distT="0" distB="0" distL="0" distR="0" wp14:anchorId="0751DA1A" wp14:editId="6A28D569">
            <wp:extent cx="2638425" cy="1940674"/>
            <wp:effectExtent l="0" t="0" r="0" b="2540"/>
            <wp:docPr id="3" name="Picture 3" descr="Figure 2: Progression free survival for brentuximab vedotin and salvage chemotherapy (A) per the resubmission (based on Kaloy + British Columbia registry) (B) salvage chemotherapy based only on British Columbia registry " title="Figure 2: Progression free survival for brentuximab vedotin and salvage chemotherapy (A) per the resubmission (based on Kaloy + British Columbia registry) (B) salvage chemotherapy based only on British Columbia registry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42870" cy="1943943"/>
                    </a:xfrm>
                    <a:prstGeom prst="rect">
                      <a:avLst/>
                    </a:prstGeom>
                  </pic:spPr>
                </pic:pic>
              </a:graphicData>
            </a:graphic>
          </wp:inline>
        </w:drawing>
      </w:r>
      <w:r>
        <w:rPr>
          <w:rFonts w:ascii="Arial Narrow" w:hAnsi="Arial Narrow"/>
          <w:b/>
          <w:noProof/>
          <w:snapToGrid/>
          <w:sz w:val="20"/>
          <w:szCs w:val="16"/>
          <w:lang w:eastAsia="en-AU"/>
        </w:rPr>
        <w:drawing>
          <wp:inline distT="0" distB="0" distL="0" distR="0">
            <wp:extent cx="2609850" cy="1942005"/>
            <wp:effectExtent l="0" t="0" r="0" b="1270"/>
            <wp:docPr id="2" name="Picture 2" descr="Figure 2: Progression free survival for brentuximab vedotin and salvage chemotherapy (A) per the resubmission (based on Kaloy + British Columbia registry) (B) salvage chemotherapy based only on British Columbia registry " title="Figure 2: Progression free survival for brentuximab vedotin and salvage chemotherapy (A) per the resubmission (based on Kaloy + British Columbia registry) (B) salvage chemotherapy based only on British Columbia registry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07055" cy="1939925"/>
                    </a:xfrm>
                    <a:prstGeom prst="rect">
                      <a:avLst/>
                    </a:prstGeom>
                  </pic:spPr>
                </pic:pic>
              </a:graphicData>
            </a:graphic>
          </wp:inline>
        </w:drawing>
      </w:r>
    </w:p>
    <w:p w:rsidR="00125B96" w:rsidRPr="00CF3D88" w:rsidRDefault="00125B96" w:rsidP="00954713">
      <w:pPr>
        <w:ind w:left="720"/>
        <w:rPr>
          <w:rFonts w:ascii="Arial Narrow" w:hAnsi="Arial Narrow"/>
          <w:sz w:val="18"/>
        </w:rPr>
      </w:pPr>
    </w:p>
    <w:p w:rsidR="00954713" w:rsidRPr="00CF3D88" w:rsidRDefault="00954713" w:rsidP="00954713">
      <w:pPr>
        <w:ind w:left="720"/>
        <w:rPr>
          <w:rFonts w:ascii="Arial Narrow" w:hAnsi="Arial Narrow"/>
          <w:sz w:val="18"/>
        </w:rPr>
      </w:pPr>
      <w:r w:rsidRPr="00CF3D88">
        <w:rPr>
          <w:rFonts w:ascii="Arial Narrow" w:hAnsi="Arial Narrow"/>
          <w:sz w:val="18"/>
        </w:rPr>
        <w:t xml:space="preserve">Source: Spreadsheet “12C -3. </w:t>
      </w:r>
      <w:proofErr w:type="gramStart"/>
      <w:r w:rsidRPr="00CF3D88">
        <w:rPr>
          <w:rFonts w:ascii="Arial Narrow" w:hAnsi="Arial Narrow"/>
          <w:sz w:val="18"/>
        </w:rPr>
        <w:t>survival</w:t>
      </w:r>
      <w:proofErr w:type="gramEnd"/>
      <w:r w:rsidRPr="00CF3D88">
        <w:rPr>
          <w:rFonts w:ascii="Arial Narrow" w:hAnsi="Arial Narrow"/>
          <w:sz w:val="18"/>
        </w:rPr>
        <w:t xml:space="preserve"> analyses” worksheet “KM Charts (with at risk)”</w:t>
      </w:r>
    </w:p>
    <w:p w:rsidR="00954713" w:rsidRPr="00CF3D88" w:rsidRDefault="00954713" w:rsidP="00954713">
      <w:pPr>
        <w:ind w:left="720"/>
        <w:rPr>
          <w:rFonts w:ascii="Arial Narrow" w:hAnsi="Arial Narrow"/>
          <w:sz w:val="18"/>
        </w:rPr>
      </w:pPr>
      <w:r w:rsidRPr="00CF3D88">
        <w:rPr>
          <w:rFonts w:ascii="Arial Narrow" w:hAnsi="Arial Narrow"/>
          <w:sz w:val="18"/>
        </w:rPr>
        <w:t xml:space="preserve">BC = British Columbia; BV = brentuximab vedotin; Kaloy = Kaloyannidis; </w:t>
      </w:r>
      <w:r w:rsidR="00116484">
        <w:rPr>
          <w:rFonts w:ascii="Arial Narrow" w:hAnsi="Arial Narrow"/>
          <w:sz w:val="18"/>
        </w:rPr>
        <w:t>PFS = progression free survival</w:t>
      </w:r>
    </w:p>
    <w:p w:rsidR="00954713" w:rsidRPr="00CF3D88" w:rsidRDefault="00954713" w:rsidP="00954713">
      <w:pPr>
        <w:ind w:left="720"/>
        <w:rPr>
          <w:i/>
        </w:rPr>
      </w:pPr>
    </w:p>
    <w:p w:rsidR="00B87279" w:rsidRPr="00CF3D88" w:rsidRDefault="00954713" w:rsidP="00B87279">
      <w:pPr>
        <w:widowControl/>
        <w:numPr>
          <w:ilvl w:val="1"/>
          <w:numId w:val="2"/>
        </w:numPr>
        <w:contextualSpacing/>
      </w:pPr>
      <w:r w:rsidRPr="00CF3D88">
        <w:t xml:space="preserve">As shown in Figure </w:t>
      </w:r>
      <w:r w:rsidR="004E3309" w:rsidRPr="00CF3D88">
        <w:t>2</w:t>
      </w:r>
      <w:r w:rsidRPr="00CF3D88">
        <w:t>(A), over half of patients in the salvage chemotherapy group progressed after 15 days.</w:t>
      </w:r>
      <w:r w:rsidR="00EE693B" w:rsidRPr="00CF3D88">
        <w:t xml:space="preserve"> Thus median progression free survival was 15 days</w:t>
      </w:r>
      <w:r w:rsidR="00C44FD6" w:rsidRPr="00CF3D88">
        <w:t xml:space="preserve">, due to the assumption that </w:t>
      </w:r>
      <w:r w:rsidRPr="00CF3D88">
        <w:t xml:space="preserve">patients in </w:t>
      </w:r>
      <w:r w:rsidR="009560F2" w:rsidRPr="00CF3D88">
        <w:t xml:space="preserve">the </w:t>
      </w:r>
      <w:r w:rsidRPr="00CF3D88">
        <w:t>Kaloyannidis</w:t>
      </w:r>
      <w:r w:rsidR="00566364" w:rsidRPr="00CF3D88">
        <w:t xml:space="preserve"> study</w:t>
      </w:r>
      <w:r w:rsidRPr="00CF3D88">
        <w:t xml:space="preserve"> with missing data </w:t>
      </w:r>
      <w:r w:rsidR="00C44FD6" w:rsidRPr="00CF3D88">
        <w:t xml:space="preserve">had </w:t>
      </w:r>
      <w:r w:rsidRPr="00CF3D88">
        <w:t>progression free survival of 15</w:t>
      </w:r>
      <w:r w:rsidR="00566364" w:rsidRPr="00CF3D88">
        <w:t> </w:t>
      </w:r>
      <w:r w:rsidRPr="00CF3D88">
        <w:t>days</w:t>
      </w:r>
      <w:r w:rsidR="00566364" w:rsidRPr="00CF3D88">
        <w:t xml:space="preserve"> only</w:t>
      </w:r>
      <w:r w:rsidRPr="00CF3D88">
        <w:t>. This significantly underestimated progression free survival in the salvage chemotherapy group</w:t>
      </w:r>
      <w:r w:rsidR="00C44FD6" w:rsidRPr="00CF3D88">
        <w:t>.</w:t>
      </w:r>
      <w:r w:rsidR="00E909A8">
        <w:t xml:space="preserve"> The PSCR (p</w:t>
      </w:r>
      <w:r w:rsidR="00221A22" w:rsidRPr="00CF3D88">
        <w:t xml:space="preserve">2) that progression free survival was biased against brentuximab vedotin because of the different definition of progression free survival in the British Columbia registry and the expansion of the comparator to include single-agent chemotherapy and disease-directed steroid regimens. </w:t>
      </w:r>
      <w:r w:rsidR="00423119" w:rsidRPr="00CF3D88">
        <w:t xml:space="preserve">The ESC disagreed, and considered that the differences in the time </w:t>
      </w:r>
      <w:r w:rsidR="0005338C" w:rsidRPr="00CF3D88">
        <w:t>taken to relapse</w:t>
      </w:r>
      <w:r w:rsidR="00423119" w:rsidRPr="00CF3D88">
        <w:t xml:space="preserve"> in the two datasets reduced the perceived bias against brentuximab vedotin. </w:t>
      </w:r>
      <w:r w:rsidR="00221A22" w:rsidRPr="00CF3D88">
        <w:t xml:space="preserve">The ESC noted that using only the British Columbia registry data, progression free survival for salvage chemotherapy increased from </w:t>
      </w:r>
      <w:r w:rsidR="00526F5C">
        <w:rPr>
          <w:noProof/>
          <w:color w:val="000000"/>
          <w:highlight w:val="black"/>
        </w:rPr>
        <w:t>'''''''</w:t>
      </w:r>
      <w:r w:rsidR="00221A22" w:rsidRPr="00CF3D88">
        <w:t xml:space="preserve"> months to </w:t>
      </w:r>
      <w:r w:rsidR="00526F5C">
        <w:rPr>
          <w:noProof/>
          <w:color w:val="000000"/>
          <w:highlight w:val="black"/>
        </w:rPr>
        <w:t>'''''''</w:t>
      </w:r>
      <w:r w:rsidR="00221A22" w:rsidRPr="00CF3D88">
        <w:t xml:space="preserve"> months</w:t>
      </w:r>
      <w:r w:rsidR="00B87279" w:rsidRPr="00CF3D88">
        <w:t xml:space="preserve"> although half these patients received steroid regimens or single-agent </w:t>
      </w:r>
      <w:r w:rsidR="00B87279" w:rsidRPr="00CF3D88">
        <w:lastRenderedPageBreak/>
        <w:t>chemotherapy (due to the changed comparator definition). Thus, the British Columbia data might also underestimate progression free survival for salvage chemotherapy.</w:t>
      </w:r>
    </w:p>
    <w:p w:rsidR="003B0277" w:rsidRDefault="003B0277" w:rsidP="00D03D13">
      <w:pPr>
        <w:ind w:firstLine="709"/>
        <w:rPr>
          <w:rFonts w:ascii="Arial Narrow" w:hAnsi="Arial Narrow"/>
          <w:b/>
        </w:rPr>
      </w:pPr>
    </w:p>
    <w:p w:rsidR="003B0277" w:rsidRDefault="003B0277" w:rsidP="00D03D13">
      <w:pPr>
        <w:ind w:firstLine="709"/>
        <w:rPr>
          <w:rFonts w:ascii="Arial Narrow" w:hAnsi="Arial Narrow"/>
          <w:b/>
        </w:rPr>
      </w:pPr>
    </w:p>
    <w:p w:rsidR="00FE7E92" w:rsidRPr="00CF3D88" w:rsidRDefault="00FE7E92" w:rsidP="00D03D13">
      <w:pPr>
        <w:ind w:firstLine="709"/>
        <w:rPr>
          <w:rFonts w:ascii="Arial Narrow" w:hAnsi="Arial Narrow"/>
          <w:b/>
        </w:rPr>
      </w:pPr>
      <w:r w:rsidRPr="00CF3D88">
        <w:rPr>
          <w:rFonts w:ascii="Arial Narrow" w:hAnsi="Arial Narrow"/>
          <w:b/>
        </w:rPr>
        <w:t>Figure 3: Overall survival and progression free survival presented in the resubmission</w:t>
      </w:r>
    </w:p>
    <w:p w:rsidR="00FE7E92" w:rsidRPr="00CF3D88" w:rsidRDefault="00526F5C" w:rsidP="00D03D13">
      <w:pPr>
        <w:jc w:val="right"/>
      </w:pPr>
      <w:r>
        <w:rPr>
          <w:noProof/>
          <w:snapToGrid/>
          <w:lang w:eastAsia="en-AU"/>
        </w:rPr>
        <w:drawing>
          <wp:inline distT="0" distB="0" distL="0" distR="0">
            <wp:extent cx="5233670" cy="1986280"/>
            <wp:effectExtent l="0" t="0" r="5080" b="0"/>
            <wp:docPr id="1" name="Picture 1" descr="Figure 2: Progression free survival for brentuximab vedotin and salvage chemotherapy (A) per the resubmission (based on Kaloy + British Columbia registry) (B) salvage chemotherapy based only on British Columbia registry " title="Figure 2: Progression free survival for brentuximab vedotin and salvage chemotherapy (A) per the resubmission (based on Kaloy + British Columbia registry) (B) salvage chemotherapy based only on British Columbia registry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33670" cy="1986280"/>
                    </a:xfrm>
                    <a:prstGeom prst="rect">
                      <a:avLst/>
                    </a:prstGeom>
                  </pic:spPr>
                </pic:pic>
              </a:graphicData>
            </a:graphic>
          </wp:inline>
        </w:drawing>
      </w:r>
    </w:p>
    <w:p w:rsidR="00FE7E92" w:rsidRPr="00CF3D88" w:rsidRDefault="00FE7E92" w:rsidP="00FE7E92">
      <w:pPr>
        <w:ind w:left="720"/>
        <w:rPr>
          <w:rFonts w:ascii="Arial Narrow" w:hAnsi="Arial Narrow"/>
          <w:sz w:val="18"/>
        </w:rPr>
      </w:pPr>
      <w:r w:rsidRPr="00CF3D88">
        <w:rPr>
          <w:rFonts w:ascii="Arial Narrow" w:hAnsi="Arial Narrow"/>
          <w:sz w:val="18"/>
        </w:rPr>
        <w:t>Source: Section D_BV_Adcetris_RR HL Post ASCT.xlsm</w:t>
      </w:r>
    </w:p>
    <w:p w:rsidR="00FE7E92" w:rsidRPr="00CF3D88" w:rsidRDefault="00FE7E92" w:rsidP="00FE7E92">
      <w:pPr>
        <w:ind w:left="720"/>
        <w:rPr>
          <w:rFonts w:ascii="Arial Narrow" w:hAnsi="Arial Narrow"/>
          <w:sz w:val="18"/>
        </w:rPr>
      </w:pPr>
      <w:r w:rsidRPr="00CF3D88">
        <w:rPr>
          <w:rFonts w:ascii="Arial Narrow" w:hAnsi="Arial Narrow"/>
          <w:sz w:val="18"/>
        </w:rPr>
        <w:t>BV = brentuximab vedotin; PSCR = pre-Sub-Committee Response; SC = salvage chemotherapy</w:t>
      </w:r>
    </w:p>
    <w:p w:rsidR="00BB2D76" w:rsidRPr="00CF3D88" w:rsidRDefault="00BB2D76" w:rsidP="002C12B3">
      <w:pPr>
        <w:widowControl/>
        <w:ind w:left="720"/>
        <w:contextualSpacing/>
      </w:pPr>
    </w:p>
    <w:p w:rsidR="00BB2D76" w:rsidRPr="00CF3D88" w:rsidRDefault="00BB2D76" w:rsidP="00BB2D76">
      <w:pPr>
        <w:pStyle w:val="ListParagraph"/>
        <w:ind w:left="0"/>
        <w:rPr>
          <w:u w:val="single"/>
        </w:rPr>
      </w:pPr>
      <w:r w:rsidRPr="00CF3D88">
        <w:rPr>
          <w:u w:val="single"/>
        </w:rPr>
        <w:t>Revised OS and PFS as presented in the PSCR</w:t>
      </w:r>
    </w:p>
    <w:p w:rsidR="00221A22" w:rsidRPr="00CF3D88" w:rsidRDefault="00E909A8" w:rsidP="009530DB">
      <w:pPr>
        <w:widowControl/>
        <w:numPr>
          <w:ilvl w:val="1"/>
          <w:numId w:val="2"/>
        </w:numPr>
        <w:contextualSpacing/>
        <w:rPr>
          <w:szCs w:val="22"/>
        </w:rPr>
      </w:pPr>
      <w:r>
        <w:rPr>
          <w:snapToGrid/>
        </w:rPr>
        <w:t>The PSCR (p</w:t>
      </w:r>
      <w:r w:rsidR="00221A22" w:rsidRPr="00CF3D88">
        <w:rPr>
          <w:snapToGrid/>
        </w:rPr>
        <w:t>5) presented revised overall survival and progression free survival</w:t>
      </w:r>
      <w:r w:rsidR="00221A22" w:rsidRPr="00CF3D88">
        <w:rPr>
          <w:szCs w:val="22"/>
        </w:rPr>
        <w:t xml:space="preserve"> analyses. Overall survival was revised by removing the censoring for patients who started subsequent therapies. For progression free survival, the revised analysis was based on British Columbia patients plus the </w:t>
      </w:r>
      <w:r w:rsidR="00767A99" w:rsidRPr="00CF3D88">
        <w:rPr>
          <w:szCs w:val="22"/>
        </w:rPr>
        <w:t xml:space="preserve">full </w:t>
      </w:r>
      <w:r w:rsidR="00864DFE" w:rsidRPr="00CF3D88">
        <w:rPr>
          <w:szCs w:val="22"/>
        </w:rPr>
        <w:t xml:space="preserve">revised </w:t>
      </w:r>
      <w:r w:rsidR="00221A22" w:rsidRPr="00CF3D88">
        <w:rPr>
          <w:szCs w:val="22"/>
        </w:rPr>
        <w:t xml:space="preserve">Kaloyannidis </w:t>
      </w:r>
      <w:r w:rsidR="00864DFE" w:rsidRPr="00CF3D88">
        <w:rPr>
          <w:szCs w:val="22"/>
        </w:rPr>
        <w:t xml:space="preserve">datasets </w:t>
      </w:r>
      <w:r w:rsidR="00767A99" w:rsidRPr="00CF3D88">
        <w:rPr>
          <w:szCs w:val="22"/>
        </w:rPr>
        <w:t>(</w:t>
      </w:r>
      <w:r w:rsidR="00FE7E92" w:rsidRPr="00CF3D88">
        <w:rPr>
          <w:szCs w:val="22"/>
        </w:rPr>
        <w:t>i.e.</w:t>
      </w:r>
      <w:r w:rsidR="00767A99" w:rsidRPr="00CF3D88">
        <w:rPr>
          <w:szCs w:val="22"/>
        </w:rPr>
        <w:t xml:space="preserve"> </w:t>
      </w:r>
      <w:r w:rsidR="00864DFE" w:rsidRPr="00CF3D88">
        <w:rPr>
          <w:szCs w:val="22"/>
        </w:rPr>
        <w:t>inclu</w:t>
      </w:r>
      <w:r w:rsidR="00767A99" w:rsidRPr="00CF3D88">
        <w:rPr>
          <w:szCs w:val="22"/>
        </w:rPr>
        <w:t>ding</w:t>
      </w:r>
      <w:r w:rsidR="00864DFE" w:rsidRPr="00CF3D88">
        <w:rPr>
          <w:szCs w:val="22"/>
        </w:rPr>
        <w:t xml:space="preserve"> the 25 patients </w:t>
      </w:r>
      <w:r w:rsidR="00221A22" w:rsidRPr="00CF3D88">
        <w:rPr>
          <w:szCs w:val="22"/>
        </w:rPr>
        <w:t>whose dates of relapsed were identified in the PSCR</w:t>
      </w:r>
      <w:r w:rsidR="00767A99" w:rsidRPr="00CF3D88">
        <w:rPr>
          <w:szCs w:val="22"/>
        </w:rPr>
        <w:t>)</w:t>
      </w:r>
      <w:r w:rsidR="00116484">
        <w:rPr>
          <w:szCs w:val="22"/>
        </w:rPr>
        <w:t>.</w:t>
      </w:r>
    </w:p>
    <w:p w:rsidR="00954713" w:rsidRPr="00CF3D88" w:rsidRDefault="00954713" w:rsidP="00954713">
      <w:pPr>
        <w:keepNext/>
        <w:keepLines/>
        <w:widowControl/>
        <w:rPr>
          <w:rFonts w:ascii="Arial Narrow" w:hAnsi="Arial Narrow"/>
          <w:sz w:val="18"/>
          <w:szCs w:val="24"/>
        </w:rPr>
      </w:pPr>
    </w:p>
    <w:p w:rsidR="00954713" w:rsidRPr="000C3D5D" w:rsidRDefault="00954713" w:rsidP="00A71B36">
      <w:pPr>
        <w:pStyle w:val="Heading2"/>
        <w:rPr>
          <w:i/>
        </w:rPr>
      </w:pPr>
      <w:bookmarkStart w:id="15" w:name="_Toc461532376"/>
      <w:bookmarkStart w:id="16" w:name="_Toc461607682"/>
      <w:r w:rsidRPr="000C3D5D">
        <w:rPr>
          <w:i/>
        </w:rPr>
        <w:t>Comparative harms</w:t>
      </w:r>
      <w:bookmarkEnd w:id="15"/>
      <w:bookmarkEnd w:id="16"/>
    </w:p>
    <w:p w:rsidR="00954713" w:rsidRPr="00CF3D88" w:rsidRDefault="00954713" w:rsidP="00954713">
      <w:pPr>
        <w:ind w:left="720" w:right="-23"/>
        <w:rPr>
          <w:rFonts w:ascii="Arial Narrow" w:hAnsi="Arial Narrow"/>
          <w:sz w:val="20"/>
        </w:rPr>
      </w:pPr>
    </w:p>
    <w:p w:rsidR="00954713" w:rsidRPr="00CF3D88" w:rsidRDefault="00EB0665" w:rsidP="009530DB">
      <w:pPr>
        <w:keepNext/>
        <w:widowControl/>
        <w:numPr>
          <w:ilvl w:val="1"/>
          <w:numId w:val="2"/>
        </w:numPr>
        <w:contextualSpacing/>
        <w:rPr>
          <w:szCs w:val="22"/>
        </w:rPr>
      </w:pPr>
      <w:r w:rsidRPr="00CF3D88">
        <w:rPr>
          <w:szCs w:val="22"/>
        </w:rPr>
        <w:t xml:space="preserve">Compared </w:t>
      </w:r>
      <w:r w:rsidR="00EE693B" w:rsidRPr="00CF3D88">
        <w:rPr>
          <w:szCs w:val="22"/>
        </w:rPr>
        <w:t>with</w:t>
      </w:r>
      <w:r w:rsidRPr="00CF3D88">
        <w:rPr>
          <w:szCs w:val="22"/>
        </w:rPr>
        <w:t xml:space="preserve"> the data considered by the PBAC previously, the </w:t>
      </w:r>
      <w:r w:rsidR="00A8064E" w:rsidRPr="00CF3D88">
        <w:rPr>
          <w:szCs w:val="22"/>
        </w:rPr>
        <w:t xml:space="preserve">resubmission </w:t>
      </w:r>
      <w:r w:rsidRPr="00CF3D88">
        <w:rPr>
          <w:szCs w:val="22"/>
        </w:rPr>
        <w:t xml:space="preserve">presented some limited additional information on the comparative safety of brentuximab vedotin and salvage chemotherapy. </w:t>
      </w:r>
      <w:r w:rsidR="00954713" w:rsidRPr="00CF3D88">
        <w:rPr>
          <w:szCs w:val="22"/>
        </w:rPr>
        <w:t xml:space="preserve">The PBAC previously considered that brentuximab vedotin was “less toxic than salvage chemotherapy”. The new safety data presented in the </w:t>
      </w:r>
      <w:r w:rsidR="00A8064E" w:rsidRPr="00CF3D88">
        <w:rPr>
          <w:szCs w:val="22"/>
        </w:rPr>
        <w:t xml:space="preserve">resubmission </w:t>
      </w:r>
      <w:r w:rsidR="00DB7902" w:rsidRPr="00CF3D88">
        <w:rPr>
          <w:szCs w:val="22"/>
        </w:rPr>
        <w:t>were consistent with</w:t>
      </w:r>
      <w:r w:rsidR="00954713" w:rsidRPr="00CF3D88">
        <w:rPr>
          <w:szCs w:val="22"/>
        </w:rPr>
        <w:t xml:space="preserve"> the PBAC’s previous conclusions.</w:t>
      </w:r>
    </w:p>
    <w:p w:rsidR="00C618CA" w:rsidRPr="00CF3D88" w:rsidRDefault="00C618CA" w:rsidP="00954713">
      <w:pPr>
        <w:contextualSpacing/>
        <w:rPr>
          <w:rFonts w:ascii="Arial Narrow" w:hAnsi="Arial Narrow"/>
          <w:sz w:val="20"/>
        </w:rPr>
      </w:pPr>
    </w:p>
    <w:p w:rsidR="00954713" w:rsidRPr="000C3D5D" w:rsidRDefault="00954713" w:rsidP="00A71B36">
      <w:pPr>
        <w:pStyle w:val="Heading2"/>
        <w:rPr>
          <w:i/>
          <w:szCs w:val="22"/>
        </w:rPr>
      </w:pPr>
      <w:bookmarkStart w:id="17" w:name="_Toc461532377"/>
      <w:bookmarkStart w:id="18" w:name="_Toc461607683"/>
      <w:r w:rsidRPr="000C3D5D">
        <w:rPr>
          <w:i/>
        </w:rPr>
        <w:t>Benefits/harms</w:t>
      </w:r>
      <w:bookmarkEnd w:id="17"/>
      <w:bookmarkEnd w:id="18"/>
    </w:p>
    <w:p w:rsidR="00954713" w:rsidRPr="00CF3D88" w:rsidRDefault="00954713" w:rsidP="00954713">
      <w:pPr>
        <w:contextualSpacing/>
        <w:rPr>
          <w:szCs w:val="22"/>
        </w:rPr>
      </w:pPr>
    </w:p>
    <w:p w:rsidR="00954713" w:rsidRPr="00CF3D88" w:rsidRDefault="00EE693B" w:rsidP="009530DB">
      <w:pPr>
        <w:widowControl/>
        <w:numPr>
          <w:ilvl w:val="1"/>
          <w:numId w:val="2"/>
        </w:numPr>
        <w:contextualSpacing/>
        <w:rPr>
          <w:szCs w:val="22"/>
        </w:rPr>
      </w:pPr>
      <w:r w:rsidRPr="00CF3D88">
        <w:rPr>
          <w:szCs w:val="22"/>
        </w:rPr>
        <w:t xml:space="preserve">Table </w:t>
      </w:r>
      <w:r w:rsidR="001A124B" w:rsidRPr="00CF3D88">
        <w:rPr>
          <w:szCs w:val="22"/>
        </w:rPr>
        <w:t>6</w:t>
      </w:r>
      <w:r w:rsidRPr="00CF3D88">
        <w:rPr>
          <w:szCs w:val="22"/>
        </w:rPr>
        <w:t xml:space="preserve"> summarises </w:t>
      </w:r>
      <w:r w:rsidR="00954713" w:rsidRPr="00CF3D88">
        <w:rPr>
          <w:szCs w:val="22"/>
        </w:rPr>
        <w:t xml:space="preserve">the comparative benefits </w:t>
      </w:r>
      <w:r w:rsidRPr="00CF3D88">
        <w:rPr>
          <w:szCs w:val="22"/>
        </w:rPr>
        <w:t>of</w:t>
      </w:r>
      <w:r w:rsidR="00954713" w:rsidRPr="00CF3D88">
        <w:rPr>
          <w:szCs w:val="22"/>
        </w:rPr>
        <w:t xml:space="preserve"> brentuximab vedotin versus salvage chemotherapy</w:t>
      </w:r>
      <w:r w:rsidRPr="00CF3D88">
        <w:rPr>
          <w:szCs w:val="22"/>
        </w:rPr>
        <w:t xml:space="preserve"> as calculated during evaluation</w:t>
      </w:r>
      <w:r w:rsidR="00954713" w:rsidRPr="00CF3D88">
        <w:rPr>
          <w:szCs w:val="22"/>
        </w:rPr>
        <w:t>.</w:t>
      </w:r>
      <w:r w:rsidR="00EB0665" w:rsidRPr="00CF3D88">
        <w:rPr>
          <w:szCs w:val="22"/>
        </w:rPr>
        <w:t xml:space="preserve"> The PBAC ha</w:t>
      </w:r>
      <w:r w:rsidRPr="00CF3D88">
        <w:rPr>
          <w:szCs w:val="22"/>
        </w:rPr>
        <w:t>d</w:t>
      </w:r>
      <w:r w:rsidR="00EB0665" w:rsidRPr="00CF3D88">
        <w:rPr>
          <w:szCs w:val="22"/>
        </w:rPr>
        <w:t xml:space="preserve"> previously accepted the claim of superior safety for brentuximab vedotin compared with salvage </w:t>
      </w:r>
      <w:r w:rsidRPr="00CF3D88">
        <w:rPr>
          <w:szCs w:val="22"/>
        </w:rPr>
        <w:t>chemo</w:t>
      </w:r>
      <w:r w:rsidR="00EB0665" w:rsidRPr="00CF3D88">
        <w:rPr>
          <w:szCs w:val="22"/>
        </w:rPr>
        <w:t>therapy.</w:t>
      </w:r>
    </w:p>
    <w:p w:rsidR="00954713" w:rsidRPr="00CF3D88" w:rsidRDefault="00954713" w:rsidP="00954713">
      <w:pPr>
        <w:widowControl/>
        <w:ind w:left="720" w:hanging="720"/>
        <w:jc w:val="left"/>
        <w:rPr>
          <w:szCs w:val="22"/>
        </w:rPr>
      </w:pPr>
    </w:p>
    <w:p w:rsidR="00954713" w:rsidRPr="00CF3D88" w:rsidRDefault="00954713" w:rsidP="002C7059">
      <w:pPr>
        <w:keepNext/>
        <w:widowControl/>
        <w:ind w:left="720"/>
        <w:rPr>
          <w:rFonts w:ascii="Arial Narrow" w:hAnsi="Arial Narrow"/>
          <w:b/>
          <w:sz w:val="20"/>
          <w:szCs w:val="16"/>
        </w:rPr>
      </w:pPr>
      <w:r w:rsidRPr="00CF3D88">
        <w:rPr>
          <w:rFonts w:ascii="Arial Narrow" w:hAnsi="Arial Narrow"/>
          <w:b/>
          <w:sz w:val="20"/>
          <w:szCs w:val="16"/>
        </w:rPr>
        <w:lastRenderedPageBreak/>
        <w:t xml:space="preserve">Table </w:t>
      </w:r>
      <w:r w:rsidR="001A124B" w:rsidRPr="00CF3D88">
        <w:rPr>
          <w:rFonts w:ascii="Arial Narrow" w:hAnsi="Arial Narrow"/>
          <w:b/>
          <w:sz w:val="20"/>
          <w:szCs w:val="16"/>
        </w:rPr>
        <w:t>6</w:t>
      </w:r>
      <w:r w:rsidRPr="00CF3D88">
        <w:rPr>
          <w:rFonts w:ascii="Arial Narrow" w:hAnsi="Arial Narrow"/>
          <w:b/>
          <w:sz w:val="20"/>
          <w:szCs w:val="16"/>
        </w:rPr>
        <w:t xml:space="preserve">: </w:t>
      </w:r>
      <w:r w:rsidR="0079342A" w:rsidRPr="00CF3D88">
        <w:rPr>
          <w:rFonts w:ascii="Arial Narrow" w:hAnsi="Arial Narrow"/>
          <w:b/>
          <w:sz w:val="20"/>
          <w:szCs w:val="16"/>
        </w:rPr>
        <w:t xml:space="preserve">Summary of comparative benefits for brentuximab vedotin and salvage </w:t>
      </w:r>
      <w:r w:rsidR="00EE693B" w:rsidRPr="00CF3D88">
        <w:rPr>
          <w:rFonts w:ascii="Arial Narrow" w:hAnsi="Arial Narrow"/>
          <w:b/>
          <w:sz w:val="20"/>
          <w:szCs w:val="16"/>
        </w:rPr>
        <w:t>chemo</w:t>
      </w:r>
      <w:r w:rsidR="0079342A" w:rsidRPr="00CF3D88">
        <w:rPr>
          <w:rFonts w:ascii="Arial Narrow" w:hAnsi="Arial Narrow"/>
          <w:b/>
          <w:sz w:val="20"/>
          <w:szCs w:val="16"/>
        </w:rPr>
        <w:t>therapy</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6: Summary of comparative benefits for brentuximab vedotin and salvage chemotherapy"/>
      </w:tblPr>
      <w:tblGrid>
        <w:gridCol w:w="1868"/>
        <w:gridCol w:w="1480"/>
        <w:gridCol w:w="1644"/>
        <w:gridCol w:w="1759"/>
        <w:gridCol w:w="1786"/>
      </w:tblGrid>
      <w:tr w:rsidR="0079342A" w:rsidRPr="00CF3D88" w:rsidTr="00A77C07">
        <w:trPr>
          <w:tblHeader/>
        </w:trPr>
        <w:tc>
          <w:tcPr>
            <w:tcW w:w="5000" w:type="pct"/>
            <w:gridSpan w:val="5"/>
            <w:shd w:val="clear" w:color="auto" w:fill="auto"/>
            <w:vAlign w:val="center"/>
          </w:tcPr>
          <w:p w:rsidR="0079342A" w:rsidRPr="00CF3D88" w:rsidRDefault="0079342A" w:rsidP="002C7059">
            <w:pPr>
              <w:keepNext/>
              <w:widowControl/>
              <w:jc w:val="left"/>
              <w:rPr>
                <w:rFonts w:ascii="Arial Narrow" w:hAnsi="Arial Narrow"/>
                <w:b/>
                <w:color w:val="000000"/>
                <w:sz w:val="20"/>
                <w:szCs w:val="18"/>
              </w:rPr>
            </w:pPr>
            <w:r w:rsidRPr="00CF3D88">
              <w:rPr>
                <w:rFonts w:ascii="Arial Narrow" w:hAnsi="Arial Narrow"/>
                <w:b/>
                <w:color w:val="000000"/>
                <w:sz w:val="20"/>
                <w:szCs w:val="18"/>
              </w:rPr>
              <w:t>Benefits</w:t>
            </w:r>
          </w:p>
        </w:tc>
      </w:tr>
      <w:tr w:rsidR="0079342A" w:rsidRPr="00CF3D88" w:rsidTr="002C7059">
        <w:tc>
          <w:tcPr>
            <w:tcW w:w="1094" w:type="pct"/>
            <w:shd w:val="clear" w:color="auto" w:fill="auto"/>
            <w:vAlign w:val="center"/>
          </w:tcPr>
          <w:p w:rsidR="0079342A" w:rsidRPr="003B0277" w:rsidRDefault="0079342A" w:rsidP="002C7059">
            <w:pPr>
              <w:keepNext/>
              <w:widowControl/>
              <w:jc w:val="left"/>
              <w:rPr>
                <w:rFonts w:ascii="Arial Narrow" w:hAnsi="Arial Narrow"/>
                <w:color w:val="000000"/>
                <w:sz w:val="20"/>
                <w:szCs w:val="18"/>
              </w:rPr>
            </w:pPr>
          </w:p>
        </w:tc>
        <w:tc>
          <w:tcPr>
            <w:tcW w:w="867" w:type="pct"/>
            <w:vAlign w:val="center"/>
          </w:tcPr>
          <w:p w:rsidR="0079342A" w:rsidRPr="003B0277" w:rsidRDefault="0079342A" w:rsidP="002C7059">
            <w:pPr>
              <w:keepNext/>
              <w:widowControl/>
              <w:jc w:val="center"/>
              <w:rPr>
                <w:rFonts w:ascii="Arial Narrow" w:hAnsi="Arial Narrow"/>
                <w:sz w:val="20"/>
              </w:rPr>
            </w:pPr>
            <w:r w:rsidRPr="003B0277">
              <w:rPr>
                <w:rFonts w:ascii="Arial Narrow" w:hAnsi="Arial Narrow"/>
                <w:b/>
                <w:color w:val="000000"/>
                <w:sz w:val="20"/>
                <w:szCs w:val="18"/>
              </w:rPr>
              <w:t>BV</w:t>
            </w:r>
          </w:p>
        </w:tc>
        <w:tc>
          <w:tcPr>
            <w:tcW w:w="963" w:type="pct"/>
            <w:vAlign w:val="center"/>
          </w:tcPr>
          <w:p w:rsidR="0079342A" w:rsidRPr="003B0277" w:rsidRDefault="0079342A" w:rsidP="002C7059">
            <w:pPr>
              <w:keepNext/>
              <w:widowControl/>
              <w:jc w:val="center"/>
              <w:rPr>
                <w:rFonts w:ascii="Arial Narrow" w:hAnsi="Arial Narrow"/>
                <w:sz w:val="20"/>
              </w:rPr>
            </w:pPr>
            <w:r w:rsidRPr="003B0277">
              <w:rPr>
                <w:rFonts w:ascii="Arial Narrow" w:hAnsi="Arial Narrow"/>
                <w:b/>
                <w:color w:val="000000"/>
                <w:sz w:val="20"/>
                <w:szCs w:val="18"/>
              </w:rPr>
              <w:t>Salvage chemo</w:t>
            </w:r>
          </w:p>
        </w:tc>
        <w:tc>
          <w:tcPr>
            <w:tcW w:w="1030" w:type="pct"/>
            <w:vAlign w:val="center"/>
          </w:tcPr>
          <w:p w:rsidR="0079342A" w:rsidRPr="003B0277" w:rsidRDefault="0079342A" w:rsidP="002C7059">
            <w:pPr>
              <w:keepNext/>
              <w:widowControl/>
              <w:jc w:val="center"/>
              <w:rPr>
                <w:rFonts w:ascii="Arial Narrow" w:hAnsi="Arial Narrow"/>
                <w:color w:val="000000"/>
                <w:sz w:val="20"/>
                <w:szCs w:val="18"/>
              </w:rPr>
            </w:pPr>
            <w:r w:rsidRPr="003B0277">
              <w:rPr>
                <w:rFonts w:ascii="Arial Narrow" w:hAnsi="Arial Narrow"/>
                <w:b/>
                <w:color w:val="000000"/>
                <w:sz w:val="20"/>
                <w:szCs w:val="18"/>
              </w:rPr>
              <w:t>Absolute Difference</w:t>
            </w:r>
          </w:p>
        </w:tc>
        <w:tc>
          <w:tcPr>
            <w:tcW w:w="1046" w:type="pct"/>
            <w:vAlign w:val="center"/>
          </w:tcPr>
          <w:p w:rsidR="0079342A" w:rsidRPr="003B0277" w:rsidRDefault="0079342A" w:rsidP="002C7059">
            <w:pPr>
              <w:keepNext/>
              <w:widowControl/>
              <w:jc w:val="center"/>
              <w:rPr>
                <w:rFonts w:ascii="Arial Narrow" w:hAnsi="Arial Narrow"/>
                <w:color w:val="000000"/>
                <w:sz w:val="20"/>
                <w:szCs w:val="18"/>
              </w:rPr>
            </w:pPr>
            <w:r w:rsidRPr="003B0277">
              <w:rPr>
                <w:rFonts w:ascii="Arial Narrow" w:hAnsi="Arial Narrow"/>
                <w:b/>
                <w:color w:val="000000"/>
                <w:sz w:val="20"/>
                <w:szCs w:val="18"/>
              </w:rPr>
              <w:t>HR (95% CI)</w:t>
            </w:r>
          </w:p>
        </w:tc>
      </w:tr>
      <w:tr w:rsidR="0079342A" w:rsidRPr="00CF3D88" w:rsidTr="003B3A77">
        <w:tc>
          <w:tcPr>
            <w:tcW w:w="5000" w:type="pct"/>
            <w:gridSpan w:val="5"/>
            <w:shd w:val="clear" w:color="auto" w:fill="auto"/>
            <w:vAlign w:val="center"/>
          </w:tcPr>
          <w:p w:rsidR="0079342A" w:rsidRPr="003B0277" w:rsidRDefault="0079342A" w:rsidP="002C7059">
            <w:pPr>
              <w:keepNext/>
              <w:widowControl/>
              <w:jc w:val="left"/>
              <w:rPr>
                <w:rFonts w:ascii="Arial Narrow" w:hAnsi="Arial Narrow"/>
                <w:b/>
                <w:color w:val="000000"/>
                <w:sz w:val="20"/>
                <w:szCs w:val="18"/>
              </w:rPr>
            </w:pPr>
            <w:r w:rsidRPr="003B0277">
              <w:rPr>
                <w:rFonts w:ascii="Arial Narrow" w:hAnsi="Arial Narrow"/>
                <w:b/>
                <w:color w:val="000000"/>
                <w:sz w:val="20"/>
                <w:szCs w:val="18"/>
              </w:rPr>
              <w:t>PFS – excluding Kaloyannidis</w:t>
            </w:r>
            <w:r w:rsidR="001071CB" w:rsidRPr="003B0277">
              <w:rPr>
                <w:rFonts w:ascii="Arial Narrow" w:hAnsi="Arial Narrow"/>
                <w:b/>
                <w:color w:val="000000"/>
                <w:sz w:val="20"/>
                <w:szCs w:val="18"/>
              </w:rPr>
              <w:t xml:space="preserve"> study</w:t>
            </w:r>
            <w:r w:rsidRPr="003B0277">
              <w:rPr>
                <w:rFonts w:ascii="Arial Narrow" w:hAnsi="Arial Narrow"/>
                <w:b/>
                <w:color w:val="000000"/>
                <w:sz w:val="20"/>
                <w:szCs w:val="18"/>
              </w:rPr>
              <w:t xml:space="preserve"> </w:t>
            </w:r>
            <w:r w:rsidRPr="003B0277">
              <w:rPr>
                <w:rFonts w:ascii="Arial Narrow" w:hAnsi="Arial Narrow"/>
                <w:b/>
                <w:color w:val="000000"/>
                <w:sz w:val="20"/>
                <w:szCs w:val="18"/>
                <w:vertAlign w:val="superscript"/>
              </w:rPr>
              <w:t>a</w:t>
            </w:r>
          </w:p>
        </w:tc>
      </w:tr>
      <w:tr w:rsidR="0079342A" w:rsidRPr="00CF3D88" w:rsidTr="002C7059">
        <w:tc>
          <w:tcPr>
            <w:tcW w:w="1094" w:type="pct"/>
            <w:shd w:val="clear" w:color="auto" w:fill="auto"/>
            <w:vAlign w:val="center"/>
          </w:tcPr>
          <w:p w:rsidR="0079342A" w:rsidRPr="003B0277" w:rsidRDefault="0079342A" w:rsidP="002C7059">
            <w:pPr>
              <w:keepNext/>
              <w:widowControl/>
              <w:jc w:val="left"/>
              <w:rPr>
                <w:rFonts w:ascii="Arial Narrow" w:hAnsi="Arial Narrow"/>
                <w:color w:val="000000"/>
                <w:sz w:val="20"/>
                <w:szCs w:val="18"/>
              </w:rPr>
            </w:pPr>
            <w:r w:rsidRPr="003B0277">
              <w:rPr>
                <w:rFonts w:ascii="Arial Narrow" w:hAnsi="Arial Narrow"/>
                <w:color w:val="000000"/>
                <w:sz w:val="20"/>
                <w:szCs w:val="18"/>
              </w:rPr>
              <w:t>Progressed</w:t>
            </w:r>
          </w:p>
        </w:tc>
        <w:tc>
          <w:tcPr>
            <w:tcW w:w="867" w:type="pct"/>
          </w:tcPr>
          <w:p w:rsidR="0079342A" w:rsidRPr="003B0277" w:rsidRDefault="00526F5C" w:rsidP="002C7059">
            <w:pPr>
              <w:keepNext/>
              <w:widowControl/>
              <w:jc w:val="center"/>
              <w:rPr>
                <w:rFonts w:ascii="Arial Narrow" w:hAnsi="Arial Narrow"/>
                <w:b/>
                <w:color w:val="000000"/>
                <w:sz w:val="20"/>
                <w:szCs w:val="18"/>
              </w:rPr>
            </w:pPr>
            <w:r>
              <w:rPr>
                <w:rFonts w:ascii="Arial Narrow" w:hAnsi="Arial Narrow"/>
                <w:noProof/>
                <w:color w:val="000000"/>
                <w:sz w:val="20"/>
                <w:highlight w:val="black"/>
              </w:rPr>
              <w:t>''''''</w:t>
            </w:r>
            <w:r w:rsidR="0079342A" w:rsidRPr="003B0277">
              <w:rPr>
                <w:rFonts w:ascii="Arial Narrow" w:hAnsi="Arial Narrow"/>
                <w:sz w:val="20"/>
              </w:rPr>
              <w:t>/</w:t>
            </w:r>
            <w:r>
              <w:rPr>
                <w:rFonts w:ascii="Arial Narrow" w:hAnsi="Arial Narrow"/>
                <w:noProof/>
                <w:color w:val="000000"/>
                <w:sz w:val="20"/>
                <w:highlight w:val="black"/>
              </w:rPr>
              <w:t>'''''''</w:t>
            </w:r>
          </w:p>
        </w:tc>
        <w:tc>
          <w:tcPr>
            <w:tcW w:w="963" w:type="pct"/>
          </w:tcPr>
          <w:p w:rsidR="0079342A" w:rsidRPr="003B0277" w:rsidRDefault="00526F5C" w:rsidP="002C7059">
            <w:pPr>
              <w:keepNext/>
              <w:widowControl/>
              <w:jc w:val="center"/>
              <w:rPr>
                <w:rFonts w:ascii="Arial Narrow" w:hAnsi="Arial Narrow"/>
                <w:b/>
                <w:color w:val="000000"/>
                <w:sz w:val="20"/>
                <w:szCs w:val="18"/>
              </w:rPr>
            </w:pPr>
            <w:r>
              <w:rPr>
                <w:rFonts w:ascii="Arial Narrow" w:hAnsi="Arial Narrow"/>
                <w:noProof/>
                <w:color w:val="000000"/>
                <w:sz w:val="20"/>
                <w:highlight w:val="black"/>
              </w:rPr>
              <w:t>''''''</w:t>
            </w:r>
            <w:r w:rsidR="0079342A" w:rsidRPr="003B0277">
              <w:rPr>
                <w:rFonts w:ascii="Arial Narrow" w:hAnsi="Arial Narrow"/>
                <w:sz w:val="20"/>
              </w:rPr>
              <w:t>/</w:t>
            </w:r>
            <w:r>
              <w:rPr>
                <w:rFonts w:ascii="Arial Narrow" w:hAnsi="Arial Narrow"/>
                <w:noProof/>
                <w:color w:val="000000"/>
                <w:sz w:val="20"/>
                <w:highlight w:val="black"/>
              </w:rPr>
              <w:t xml:space="preserve">'''''' </w:t>
            </w:r>
          </w:p>
        </w:tc>
        <w:tc>
          <w:tcPr>
            <w:tcW w:w="1030" w:type="pct"/>
            <w:vAlign w:val="center"/>
          </w:tcPr>
          <w:p w:rsidR="0079342A" w:rsidRPr="00526F5C" w:rsidRDefault="00526F5C" w:rsidP="002C7059">
            <w:pPr>
              <w:keepNext/>
              <w:widowControl/>
              <w:jc w:val="center"/>
              <w:rPr>
                <w:rFonts w:ascii="Arial Narrow" w:hAnsi="Arial Narrow"/>
                <w:b/>
                <w:color w:val="000000"/>
                <w:sz w:val="20"/>
                <w:szCs w:val="18"/>
                <w:highlight w:val="black"/>
              </w:rPr>
            </w:pPr>
            <w:r>
              <w:rPr>
                <w:rFonts w:ascii="Arial Narrow" w:hAnsi="Arial Narrow"/>
                <w:noProof/>
                <w:color w:val="000000"/>
                <w:sz w:val="20"/>
                <w:szCs w:val="18"/>
                <w:highlight w:val="black"/>
              </w:rPr>
              <w:t>''</w:t>
            </w:r>
          </w:p>
        </w:tc>
        <w:tc>
          <w:tcPr>
            <w:tcW w:w="1046" w:type="pct"/>
            <w:vAlign w:val="center"/>
          </w:tcPr>
          <w:p w:rsidR="0079342A" w:rsidRPr="003B0277" w:rsidRDefault="00526F5C" w:rsidP="002C7059">
            <w:pPr>
              <w:keepNext/>
              <w:widowControl/>
              <w:jc w:val="center"/>
              <w:rPr>
                <w:rFonts w:ascii="Arial Narrow" w:hAnsi="Arial Narrow"/>
                <w:b/>
                <w:color w:val="000000"/>
                <w:sz w:val="20"/>
                <w:szCs w:val="18"/>
              </w:rPr>
            </w:pPr>
            <w:r>
              <w:rPr>
                <w:rFonts w:ascii="Arial Narrow" w:hAnsi="Arial Narrow"/>
                <w:b/>
                <w:noProof/>
                <w:color w:val="000000"/>
                <w:sz w:val="20"/>
                <w:szCs w:val="18"/>
                <w:highlight w:val="black"/>
              </w:rPr>
              <w:t>'''''''''</w:t>
            </w:r>
            <w:r w:rsidR="0079342A" w:rsidRPr="003B0277">
              <w:rPr>
                <w:rFonts w:ascii="Arial Narrow" w:hAnsi="Arial Narrow"/>
                <w:b/>
                <w:color w:val="000000"/>
                <w:sz w:val="20"/>
                <w:szCs w:val="18"/>
              </w:rPr>
              <w:t xml:space="preserve"> (</w:t>
            </w:r>
            <w:r>
              <w:rPr>
                <w:rFonts w:ascii="Arial Narrow" w:hAnsi="Arial Narrow"/>
                <w:b/>
                <w:noProof/>
                <w:color w:val="000000"/>
                <w:sz w:val="20"/>
                <w:szCs w:val="18"/>
                <w:highlight w:val="black"/>
              </w:rPr>
              <w:t>''''''''</w:t>
            </w:r>
            <w:r w:rsidR="0079342A" w:rsidRPr="003B0277">
              <w:rPr>
                <w:rFonts w:ascii="Arial Narrow" w:hAnsi="Arial Narrow"/>
                <w:b/>
                <w:color w:val="000000"/>
                <w:sz w:val="20"/>
                <w:szCs w:val="18"/>
              </w:rPr>
              <w:t xml:space="preserve">, </w:t>
            </w:r>
            <w:r>
              <w:rPr>
                <w:rFonts w:ascii="Arial Narrow" w:hAnsi="Arial Narrow"/>
                <w:b/>
                <w:noProof/>
                <w:color w:val="000000"/>
                <w:sz w:val="20"/>
                <w:szCs w:val="18"/>
                <w:highlight w:val="black"/>
              </w:rPr>
              <w:t>'''''''''</w:t>
            </w:r>
            <w:r w:rsidR="0079342A" w:rsidRPr="003B0277">
              <w:rPr>
                <w:rFonts w:ascii="Arial Narrow" w:hAnsi="Arial Narrow"/>
                <w:b/>
                <w:color w:val="000000"/>
                <w:sz w:val="20"/>
                <w:szCs w:val="18"/>
              </w:rPr>
              <w:t>)</w:t>
            </w:r>
          </w:p>
        </w:tc>
      </w:tr>
      <w:tr w:rsidR="0079342A" w:rsidRPr="00CF3D88" w:rsidTr="002C7059">
        <w:tc>
          <w:tcPr>
            <w:tcW w:w="1094" w:type="pct"/>
            <w:shd w:val="clear" w:color="auto" w:fill="auto"/>
            <w:vAlign w:val="center"/>
          </w:tcPr>
          <w:p w:rsidR="0079342A" w:rsidRPr="003B0277" w:rsidRDefault="0079342A" w:rsidP="002C7059">
            <w:pPr>
              <w:keepNext/>
              <w:widowControl/>
              <w:jc w:val="left"/>
              <w:rPr>
                <w:rFonts w:ascii="Arial Narrow" w:hAnsi="Arial Narrow"/>
                <w:color w:val="000000"/>
                <w:sz w:val="20"/>
                <w:szCs w:val="18"/>
              </w:rPr>
            </w:pPr>
            <w:r w:rsidRPr="003B0277">
              <w:rPr>
                <w:rFonts w:ascii="Arial Narrow" w:hAnsi="Arial Narrow"/>
                <w:color w:val="000000"/>
                <w:sz w:val="20"/>
                <w:szCs w:val="18"/>
              </w:rPr>
              <w:t>Median (months)</w:t>
            </w:r>
          </w:p>
        </w:tc>
        <w:tc>
          <w:tcPr>
            <w:tcW w:w="867" w:type="pct"/>
          </w:tcPr>
          <w:p w:rsidR="0079342A" w:rsidRPr="003B0277" w:rsidRDefault="00526F5C" w:rsidP="002C7059">
            <w:pPr>
              <w:keepNext/>
              <w:widowControl/>
              <w:jc w:val="center"/>
              <w:rPr>
                <w:rFonts w:ascii="Arial Narrow" w:hAnsi="Arial Narrow"/>
                <w:b/>
                <w:color w:val="000000"/>
                <w:sz w:val="20"/>
                <w:szCs w:val="18"/>
              </w:rPr>
            </w:pPr>
            <w:r>
              <w:rPr>
                <w:rFonts w:ascii="Arial Narrow" w:hAnsi="Arial Narrow"/>
                <w:noProof/>
                <w:color w:val="000000"/>
                <w:sz w:val="20"/>
                <w:highlight w:val="black"/>
              </w:rPr>
              <w:t xml:space="preserve">'''''''''' </w:t>
            </w:r>
            <w:r w:rsidR="0079342A" w:rsidRPr="003B0277">
              <w:rPr>
                <w:rFonts w:ascii="Arial Narrow" w:hAnsi="Arial Narrow"/>
                <w:sz w:val="20"/>
              </w:rPr>
              <w:t>(</w:t>
            </w:r>
            <w:r>
              <w:rPr>
                <w:rFonts w:ascii="Arial Narrow" w:hAnsi="Arial Narrow"/>
                <w:noProof/>
                <w:color w:val="000000"/>
                <w:sz w:val="20"/>
                <w:highlight w:val="black"/>
              </w:rPr>
              <w:t>''''''''</w:t>
            </w:r>
            <w:r w:rsidR="0079342A" w:rsidRPr="003B0277">
              <w:rPr>
                <w:rFonts w:ascii="Arial Narrow" w:hAnsi="Arial Narrow"/>
                <w:sz w:val="20"/>
              </w:rPr>
              <w:t xml:space="preserve">, </w:t>
            </w:r>
            <w:r>
              <w:rPr>
                <w:rFonts w:ascii="Arial Narrow" w:hAnsi="Arial Narrow"/>
                <w:noProof/>
                <w:color w:val="000000"/>
                <w:sz w:val="20"/>
                <w:highlight w:val="black"/>
              </w:rPr>
              <w:t>'''''''''''</w:t>
            </w:r>
            <w:r w:rsidR="0079342A" w:rsidRPr="003B0277">
              <w:rPr>
                <w:rFonts w:ascii="Arial Narrow" w:hAnsi="Arial Narrow"/>
                <w:sz w:val="20"/>
              </w:rPr>
              <w:t>)</w:t>
            </w:r>
          </w:p>
        </w:tc>
        <w:tc>
          <w:tcPr>
            <w:tcW w:w="963" w:type="pct"/>
          </w:tcPr>
          <w:p w:rsidR="0079342A" w:rsidRPr="003B0277" w:rsidRDefault="00526F5C" w:rsidP="002C7059">
            <w:pPr>
              <w:keepNext/>
              <w:widowControl/>
              <w:jc w:val="center"/>
              <w:rPr>
                <w:rFonts w:ascii="Arial Narrow" w:hAnsi="Arial Narrow"/>
                <w:b/>
                <w:color w:val="000000"/>
                <w:sz w:val="20"/>
                <w:szCs w:val="18"/>
              </w:rPr>
            </w:pPr>
            <w:r>
              <w:rPr>
                <w:rFonts w:ascii="Arial Narrow" w:hAnsi="Arial Narrow"/>
                <w:noProof/>
                <w:color w:val="000000"/>
                <w:sz w:val="20"/>
                <w:highlight w:val="black"/>
              </w:rPr>
              <w:t xml:space="preserve">'''''''' </w:t>
            </w:r>
            <w:r w:rsidR="0079342A" w:rsidRPr="003B0277">
              <w:rPr>
                <w:rFonts w:ascii="Arial Narrow" w:hAnsi="Arial Narrow"/>
                <w:sz w:val="20"/>
              </w:rPr>
              <w:t>(</w:t>
            </w:r>
            <w:r>
              <w:rPr>
                <w:rFonts w:ascii="Arial Narrow" w:hAnsi="Arial Narrow"/>
                <w:noProof/>
                <w:color w:val="000000"/>
                <w:sz w:val="20"/>
                <w:highlight w:val="black"/>
              </w:rPr>
              <w:t>''''''''</w:t>
            </w:r>
            <w:r w:rsidR="0079342A" w:rsidRPr="003B0277">
              <w:rPr>
                <w:rFonts w:ascii="Arial Narrow" w:hAnsi="Arial Narrow"/>
                <w:sz w:val="20"/>
              </w:rPr>
              <w:t xml:space="preserve">, </w:t>
            </w:r>
            <w:r>
              <w:rPr>
                <w:rFonts w:ascii="Arial Narrow" w:hAnsi="Arial Narrow"/>
                <w:noProof/>
                <w:color w:val="000000"/>
                <w:sz w:val="20"/>
                <w:highlight w:val="black"/>
              </w:rPr>
              <w:t>''''''''''</w:t>
            </w:r>
            <w:r w:rsidR="0079342A" w:rsidRPr="003B0277">
              <w:rPr>
                <w:rFonts w:ascii="Arial Narrow" w:hAnsi="Arial Narrow"/>
                <w:sz w:val="20"/>
              </w:rPr>
              <w:t>)</w:t>
            </w:r>
          </w:p>
        </w:tc>
        <w:tc>
          <w:tcPr>
            <w:tcW w:w="1030" w:type="pct"/>
            <w:vAlign w:val="center"/>
          </w:tcPr>
          <w:p w:rsidR="0079342A" w:rsidRPr="00526F5C" w:rsidRDefault="00526F5C" w:rsidP="002C7059">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046" w:type="pct"/>
            <w:vAlign w:val="center"/>
          </w:tcPr>
          <w:p w:rsidR="0079342A" w:rsidRPr="00526F5C" w:rsidRDefault="00526F5C" w:rsidP="002C7059">
            <w:pPr>
              <w:keepNext/>
              <w:widowControl/>
              <w:jc w:val="center"/>
              <w:rPr>
                <w:rFonts w:ascii="Arial Narrow" w:hAnsi="Arial Narrow"/>
                <w:b/>
                <w:color w:val="000000"/>
                <w:sz w:val="20"/>
                <w:szCs w:val="18"/>
                <w:highlight w:val="black"/>
              </w:rPr>
            </w:pPr>
            <w:r>
              <w:rPr>
                <w:rFonts w:ascii="Arial Narrow" w:hAnsi="Arial Narrow"/>
                <w:noProof/>
                <w:color w:val="000000"/>
                <w:sz w:val="20"/>
                <w:szCs w:val="18"/>
                <w:highlight w:val="black"/>
              </w:rPr>
              <w:t>''</w:t>
            </w:r>
          </w:p>
        </w:tc>
      </w:tr>
      <w:tr w:rsidR="0079342A" w:rsidRPr="00CF3D88" w:rsidTr="0079342A">
        <w:tc>
          <w:tcPr>
            <w:tcW w:w="5000" w:type="pct"/>
            <w:gridSpan w:val="5"/>
            <w:shd w:val="clear" w:color="auto" w:fill="auto"/>
            <w:vAlign w:val="center"/>
          </w:tcPr>
          <w:p w:rsidR="0079342A" w:rsidRPr="003B0277" w:rsidRDefault="0079342A" w:rsidP="002C7059">
            <w:pPr>
              <w:keepNext/>
              <w:widowControl/>
              <w:jc w:val="left"/>
              <w:rPr>
                <w:rFonts w:ascii="Arial Narrow" w:hAnsi="Arial Narrow"/>
                <w:b/>
                <w:color w:val="000000"/>
                <w:sz w:val="20"/>
                <w:szCs w:val="18"/>
              </w:rPr>
            </w:pPr>
            <w:r w:rsidRPr="003B0277">
              <w:rPr>
                <w:rFonts w:ascii="Arial Narrow" w:hAnsi="Arial Narrow"/>
                <w:b/>
                <w:color w:val="000000"/>
                <w:sz w:val="20"/>
                <w:szCs w:val="18"/>
              </w:rPr>
              <w:t xml:space="preserve">OS – remove censoring for subsequent therapies </w:t>
            </w:r>
            <w:r w:rsidRPr="003B0277">
              <w:rPr>
                <w:rFonts w:ascii="Arial Narrow" w:hAnsi="Arial Narrow"/>
                <w:b/>
                <w:color w:val="000000"/>
                <w:sz w:val="20"/>
                <w:szCs w:val="18"/>
                <w:vertAlign w:val="superscript"/>
              </w:rPr>
              <w:t>a</w:t>
            </w:r>
          </w:p>
        </w:tc>
      </w:tr>
      <w:tr w:rsidR="0079342A" w:rsidRPr="00CF3D88" w:rsidTr="003B3A77">
        <w:tc>
          <w:tcPr>
            <w:tcW w:w="1094" w:type="pct"/>
            <w:shd w:val="clear" w:color="auto" w:fill="auto"/>
            <w:vAlign w:val="center"/>
          </w:tcPr>
          <w:p w:rsidR="0079342A" w:rsidRPr="003B0277" w:rsidRDefault="001071CB" w:rsidP="002C7059">
            <w:pPr>
              <w:keepNext/>
              <w:widowControl/>
              <w:jc w:val="left"/>
              <w:rPr>
                <w:rFonts w:ascii="Arial Narrow" w:hAnsi="Arial Narrow"/>
                <w:color w:val="000000"/>
                <w:sz w:val="20"/>
                <w:szCs w:val="18"/>
              </w:rPr>
            </w:pPr>
            <w:r w:rsidRPr="003B0277">
              <w:rPr>
                <w:rFonts w:ascii="Arial Narrow" w:hAnsi="Arial Narrow"/>
                <w:color w:val="000000"/>
                <w:sz w:val="20"/>
                <w:szCs w:val="18"/>
              </w:rPr>
              <w:t>Died</w:t>
            </w:r>
          </w:p>
        </w:tc>
        <w:tc>
          <w:tcPr>
            <w:tcW w:w="867" w:type="pct"/>
          </w:tcPr>
          <w:p w:rsidR="0079342A" w:rsidRPr="003B0277" w:rsidRDefault="00526F5C" w:rsidP="002C7059">
            <w:pPr>
              <w:keepNext/>
              <w:widowControl/>
              <w:jc w:val="center"/>
              <w:rPr>
                <w:rFonts w:ascii="Arial Narrow" w:hAnsi="Arial Narrow"/>
                <w:sz w:val="20"/>
              </w:rPr>
            </w:pPr>
            <w:r>
              <w:rPr>
                <w:rFonts w:ascii="Arial Narrow" w:hAnsi="Arial Narrow"/>
                <w:noProof/>
                <w:color w:val="000000"/>
                <w:sz w:val="20"/>
                <w:highlight w:val="black"/>
              </w:rPr>
              <w:t>''''''</w:t>
            </w:r>
            <w:r w:rsidR="0079342A" w:rsidRPr="003B0277">
              <w:rPr>
                <w:rFonts w:ascii="Arial Narrow" w:hAnsi="Arial Narrow"/>
                <w:sz w:val="20"/>
              </w:rPr>
              <w:t>/</w:t>
            </w:r>
            <w:r>
              <w:rPr>
                <w:rFonts w:ascii="Arial Narrow" w:hAnsi="Arial Narrow"/>
                <w:noProof/>
                <w:color w:val="000000"/>
                <w:sz w:val="20"/>
                <w:highlight w:val="black"/>
              </w:rPr>
              <w:t>'''''''''</w:t>
            </w:r>
          </w:p>
        </w:tc>
        <w:tc>
          <w:tcPr>
            <w:tcW w:w="963" w:type="pct"/>
          </w:tcPr>
          <w:p w:rsidR="0079342A" w:rsidRPr="003B0277" w:rsidRDefault="00526F5C" w:rsidP="002C7059">
            <w:pPr>
              <w:keepNext/>
              <w:widowControl/>
              <w:jc w:val="center"/>
              <w:rPr>
                <w:rFonts w:ascii="Arial Narrow" w:hAnsi="Arial Narrow"/>
                <w:sz w:val="20"/>
              </w:rPr>
            </w:pPr>
            <w:r>
              <w:rPr>
                <w:rFonts w:ascii="Arial Narrow" w:hAnsi="Arial Narrow"/>
                <w:noProof/>
                <w:color w:val="000000"/>
                <w:sz w:val="20"/>
                <w:highlight w:val="black"/>
              </w:rPr>
              <w:t>''''''</w:t>
            </w:r>
            <w:r w:rsidR="0079342A" w:rsidRPr="003B0277">
              <w:rPr>
                <w:rFonts w:ascii="Arial Narrow" w:hAnsi="Arial Narrow"/>
                <w:sz w:val="20"/>
              </w:rPr>
              <w:t>/</w:t>
            </w:r>
            <w:r>
              <w:rPr>
                <w:rFonts w:ascii="Arial Narrow" w:hAnsi="Arial Narrow"/>
                <w:noProof/>
                <w:color w:val="000000"/>
                <w:sz w:val="20"/>
                <w:highlight w:val="black"/>
              </w:rPr>
              <w:t xml:space="preserve">''''''''' </w:t>
            </w:r>
          </w:p>
        </w:tc>
        <w:tc>
          <w:tcPr>
            <w:tcW w:w="1030" w:type="pct"/>
            <w:vAlign w:val="center"/>
          </w:tcPr>
          <w:p w:rsidR="0079342A" w:rsidRPr="00526F5C" w:rsidRDefault="00526F5C" w:rsidP="002C7059">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046" w:type="pct"/>
            <w:vAlign w:val="center"/>
          </w:tcPr>
          <w:p w:rsidR="0079342A" w:rsidRPr="003B0277" w:rsidRDefault="00526F5C" w:rsidP="008852D1">
            <w:pPr>
              <w:keepNext/>
              <w:widowControl/>
              <w:jc w:val="center"/>
              <w:rPr>
                <w:rFonts w:ascii="Arial Narrow" w:hAnsi="Arial Narrow"/>
                <w:b/>
                <w:color w:val="000000"/>
                <w:sz w:val="20"/>
                <w:szCs w:val="18"/>
              </w:rPr>
            </w:pPr>
            <w:r>
              <w:rPr>
                <w:rFonts w:ascii="Arial Narrow" w:hAnsi="Arial Narrow"/>
                <w:b/>
                <w:noProof/>
                <w:color w:val="000000"/>
                <w:sz w:val="20"/>
                <w:highlight w:val="black"/>
              </w:rPr>
              <w:t>''''''''''</w:t>
            </w:r>
            <w:r w:rsidR="0079342A" w:rsidRPr="003B0277">
              <w:rPr>
                <w:rFonts w:ascii="Arial Narrow" w:hAnsi="Arial Narrow"/>
                <w:b/>
                <w:sz w:val="20"/>
              </w:rPr>
              <w:t xml:space="preserve"> (</w:t>
            </w:r>
            <w:r>
              <w:rPr>
                <w:rFonts w:ascii="Arial Narrow" w:hAnsi="Arial Narrow"/>
                <w:b/>
                <w:noProof/>
                <w:color w:val="000000"/>
                <w:sz w:val="20"/>
                <w:highlight w:val="black"/>
              </w:rPr>
              <w:t>'''''''''</w:t>
            </w:r>
            <w:r w:rsidR="0079342A" w:rsidRPr="003B0277">
              <w:rPr>
                <w:rFonts w:ascii="Arial Narrow" w:hAnsi="Arial Narrow"/>
                <w:b/>
                <w:sz w:val="20"/>
              </w:rPr>
              <w:t xml:space="preserve">, </w:t>
            </w:r>
            <w:r>
              <w:rPr>
                <w:rFonts w:ascii="Arial Narrow" w:hAnsi="Arial Narrow"/>
                <w:b/>
                <w:noProof/>
                <w:color w:val="000000"/>
                <w:sz w:val="20"/>
                <w:highlight w:val="black"/>
              </w:rPr>
              <w:t>'''''''''</w:t>
            </w:r>
            <w:r w:rsidR="0079342A" w:rsidRPr="003B0277">
              <w:rPr>
                <w:rFonts w:ascii="Arial Narrow" w:hAnsi="Arial Narrow"/>
                <w:b/>
                <w:sz w:val="20"/>
              </w:rPr>
              <w:t>)</w:t>
            </w:r>
          </w:p>
        </w:tc>
      </w:tr>
      <w:tr w:rsidR="0079342A" w:rsidRPr="00CF3D88" w:rsidTr="003B3A77">
        <w:tc>
          <w:tcPr>
            <w:tcW w:w="1094" w:type="pct"/>
            <w:shd w:val="clear" w:color="auto" w:fill="auto"/>
            <w:vAlign w:val="center"/>
          </w:tcPr>
          <w:p w:rsidR="0079342A" w:rsidRPr="003B0277" w:rsidRDefault="0079342A" w:rsidP="002C7059">
            <w:pPr>
              <w:keepNext/>
              <w:widowControl/>
              <w:jc w:val="left"/>
              <w:rPr>
                <w:rFonts w:ascii="Arial Narrow" w:hAnsi="Arial Narrow"/>
                <w:color w:val="000000"/>
                <w:sz w:val="20"/>
                <w:szCs w:val="18"/>
              </w:rPr>
            </w:pPr>
            <w:r w:rsidRPr="003B0277">
              <w:rPr>
                <w:rFonts w:ascii="Arial Narrow" w:hAnsi="Arial Narrow"/>
                <w:color w:val="000000"/>
                <w:sz w:val="20"/>
                <w:szCs w:val="18"/>
              </w:rPr>
              <w:t>Median (months)</w:t>
            </w:r>
          </w:p>
        </w:tc>
        <w:tc>
          <w:tcPr>
            <w:tcW w:w="867" w:type="pct"/>
          </w:tcPr>
          <w:p w:rsidR="0079342A" w:rsidRPr="003B0277" w:rsidRDefault="00526F5C" w:rsidP="008852D1">
            <w:pPr>
              <w:keepNext/>
              <w:widowControl/>
              <w:jc w:val="center"/>
              <w:rPr>
                <w:rFonts w:ascii="Arial Narrow" w:hAnsi="Arial Narrow"/>
                <w:sz w:val="20"/>
              </w:rPr>
            </w:pPr>
            <w:r>
              <w:rPr>
                <w:rFonts w:ascii="Arial Narrow" w:hAnsi="Arial Narrow"/>
                <w:noProof/>
                <w:color w:val="000000"/>
                <w:sz w:val="20"/>
                <w:highlight w:val="black"/>
              </w:rPr>
              <w:t>'''</w:t>
            </w:r>
            <w:r w:rsidR="0079342A" w:rsidRPr="003B0277">
              <w:rPr>
                <w:rFonts w:ascii="Arial Narrow" w:hAnsi="Arial Narrow"/>
                <w:sz w:val="20"/>
              </w:rPr>
              <w:t xml:space="preserve"> (</w:t>
            </w:r>
            <w:r>
              <w:rPr>
                <w:rFonts w:ascii="Arial Narrow" w:hAnsi="Arial Narrow"/>
                <w:noProof/>
                <w:color w:val="000000"/>
                <w:sz w:val="20"/>
                <w:highlight w:val="black"/>
              </w:rPr>
              <w:t>''''''''''</w:t>
            </w:r>
            <w:r w:rsidR="0079342A" w:rsidRPr="003B0277">
              <w:rPr>
                <w:rFonts w:ascii="Arial Narrow" w:hAnsi="Arial Narrow"/>
                <w:sz w:val="20"/>
              </w:rPr>
              <w:t xml:space="preserve">, </w:t>
            </w:r>
            <w:r>
              <w:rPr>
                <w:rFonts w:ascii="Arial Narrow" w:hAnsi="Arial Narrow"/>
                <w:noProof/>
                <w:color w:val="000000"/>
                <w:sz w:val="20"/>
                <w:highlight w:val="black"/>
              </w:rPr>
              <w:t>'''</w:t>
            </w:r>
            <w:r w:rsidR="0079342A" w:rsidRPr="003B0277">
              <w:rPr>
                <w:rFonts w:ascii="Arial Narrow" w:hAnsi="Arial Narrow"/>
                <w:sz w:val="20"/>
              </w:rPr>
              <w:t>)</w:t>
            </w:r>
          </w:p>
        </w:tc>
        <w:tc>
          <w:tcPr>
            <w:tcW w:w="963" w:type="pct"/>
          </w:tcPr>
          <w:p w:rsidR="0079342A" w:rsidRPr="003B0277" w:rsidRDefault="00526F5C" w:rsidP="008852D1">
            <w:pPr>
              <w:keepNext/>
              <w:widowControl/>
              <w:jc w:val="center"/>
              <w:rPr>
                <w:rFonts w:ascii="Arial Narrow" w:hAnsi="Arial Narrow"/>
                <w:sz w:val="20"/>
              </w:rPr>
            </w:pPr>
            <w:r>
              <w:rPr>
                <w:rFonts w:ascii="Arial Narrow" w:hAnsi="Arial Narrow"/>
                <w:noProof/>
                <w:color w:val="000000"/>
                <w:sz w:val="20"/>
                <w:highlight w:val="black"/>
              </w:rPr>
              <w:t xml:space="preserve">'''''''''' </w:t>
            </w:r>
            <w:r w:rsidR="0079342A" w:rsidRPr="003B0277">
              <w:rPr>
                <w:rFonts w:ascii="Arial Narrow" w:hAnsi="Arial Narrow"/>
                <w:sz w:val="20"/>
              </w:rPr>
              <w:t>(</w:t>
            </w:r>
            <w:r>
              <w:rPr>
                <w:rFonts w:ascii="Arial Narrow" w:hAnsi="Arial Narrow"/>
                <w:noProof/>
                <w:color w:val="000000"/>
                <w:sz w:val="20"/>
                <w:highlight w:val="black"/>
              </w:rPr>
              <w:t>'''''''''''</w:t>
            </w:r>
            <w:r w:rsidR="0079342A" w:rsidRPr="003B0277">
              <w:rPr>
                <w:rFonts w:ascii="Arial Narrow" w:hAnsi="Arial Narrow"/>
                <w:sz w:val="20"/>
              </w:rPr>
              <w:t xml:space="preserve">, </w:t>
            </w:r>
            <w:r>
              <w:rPr>
                <w:rFonts w:ascii="Arial Narrow" w:hAnsi="Arial Narrow"/>
                <w:noProof/>
                <w:color w:val="000000"/>
                <w:sz w:val="20"/>
                <w:highlight w:val="black"/>
              </w:rPr>
              <w:t>'''''''''''</w:t>
            </w:r>
            <w:r w:rsidR="0079342A" w:rsidRPr="003B0277">
              <w:rPr>
                <w:rFonts w:ascii="Arial Narrow" w:hAnsi="Arial Narrow"/>
                <w:sz w:val="20"/>
              </w:rPr>
              <w:t>)</w:t>
            </w:r>
          </w:p>
        </w:tc>
        <w:tc>
          <w:tcPr>
            <w:tcW w:w="1030" w:type="pct"/>
            <w:vAlign w:val="center"/>
          </w:tcPr>
          <w:p w:rsidR="0079342A" w:rsidRPr="00526F5C" w:rsidRDefault="00526F5C" w:rsidP="002C7059">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1046" w:type="pct"/>
            <w:vAlign w:val="center"/>
          </w:tcPr>
          <w:p w:rsidR="0079342A" w:rsidRPr="00526F5C" w:rsidRDefault="00526F5C" w:rsidP="002C7059">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bl>
    <w:p w:rsidR="00954713" w:rsidRPr="00CF3D88" w:rsidRDefault="00954713" w:rsidP="00954713">
      <w:pPr>
        <w:keepNext/>
        <w:keepLines/>
        <w:widowControl/>
        <w:ind w:left="720"/>
        <w:rPr>
          <w:rFonts w:ascii="Arial Narrow" w:hAnsi="Arial Narrow"/>
          <w:sz w:val="18"/>
          <w:szCs w:val="24"/>
        </w:rPr>
      </w:pPr>
      <w:r w:rsidRPr="00CF3D88">
        <w:rPr>
          <w:rFonts w:ascii="Arial Narrow" w:hAnsi="Arial Narrow"/>
          <w:sz w:val="18"/>
          <w:szCs w:val="24"/>
        </w:rPr>
        <w:t xml:space="preserve">Source: calculated during evaluation using method described under Figure </w:t>
      </w:r>
      <w:proofErr w:type="gramStart"/>
      <w:r w:rsidRPr="00CF3D88">
        <w:rPr>
          <w:rFonts w:ascii="Arial Narrow" w:hAnsi="Arial Narrow"/>
          <w:sz w:val="18"/>
          <w:szCs w:val="24"/>
        </w:rPr>
        <w:t>B(</w:t>
      </w:r>
      <w:proofErr w:type="gramEnd"/>
      <w:r w:rsidRPr="00CF3D88">
        <w:rPr>
          <w:rFonts w:ascii="Arial Narrow" w:hAnsi="Arial Narrow"/>
          <w:sz w:val="18"/>
          <w:szCs w:val="24"/>
        </w:rPr>
        <w:t>ii).6.2.</w:t>
      </w:r>
    </w:p>
    <w:p w:rsidR="00954713" w:rsidRPr="00CF3D88" w:rsidRDefault="00954713" w:rsidP="00954713">
      <w:pPr>
        <w:keepNext/>
        <w:keepLines/>
        <w:widowControl/>
        <w:ind w:left="720"/>
        <w:rPr>
          <w:rFonts w:ascii="Arial Narrow" w:hAnsi="Arial Narrow"/>
          <w:sz w:val="18"/>
          <w:szCs w:val="24"/>
        </w:rPr>
      </w:pPr>
      <w:r w:rsidRPr="00CF3D88">
        <w:rPr>
          <w:rFonts w:ascii="Arial Narrow" w:hAnsi="Arial Narrow"/>
          <w:sz w:val="18"/>
          <w:szCs w:val="24"/>
        </w:rPr>
        <w:t xml:space="preserve">BV = brentuximab vedotin; </w:t>
      </w:r>
      <w:r w:rsidR="00EE693B" w:rsidRPr="00CF3D88">
        <w:rPr>
          <w:rFonts w:ascii="Arial Narrow" w:hAnsi="Arial Narrow"/>
          <w:sz w:val="18"/>
          <w:szCs w:val="24"/>
        </w:rPr>
        <w:t xml:space="preserve">chemo = chemotherapy; </w:t>
      </w:r>
      <w:r w:rsidRPr="00CF3D88">
        <w:rPr>
          <w:rFonts w:ascii="Arial Narrow" w:hAnsi="Arial Narrow"/>
          <w:sz w:val="18"/>
          <w:szCs w:val="24"/>
        </w:rPr>
        <w:t xml:space="preserve">CI = confidence interval; HR = hazard ratio; OS = overall survival; PFS = progression free survival; </w:t>
      </w:r>
    </w:p>
    <w:p w:rsidR="00954713" w:rsidRPr="00CF3D88" w:rsidRDefault="00EE79DC" w:rsidP="002C7059">
      <w:pPr>
        <w:ind w:firstLine="720"/>
      </w:pPr>
      <w:proofErr w:type="gramStart"/>
      <w:r w:rsidRPr="00CF3D88">
        <w:rPr>
          <w:rFonts w:ascii="Arial Narrow" w:hAnsi="Arial Narrow"/>
          <w:sz w:val="18"/>
          <w:szCs w:val="24"/>
          <w:vertAlign w:val="superscript"/>
        </w:rPr>
        <w:t>a</w:t>
      </w:r>
      <w:proofErr w:type="gramEnd"/>
      <w:r w:rsidRPr="00CF3D88">
        <w:rPr>
          <w:rFonts w:ascii="Arial Narrow" w:hAnsi="Arial Narrow"/>
          <w:sz w:val="18"/>
        </w:rPr>
        <w:t xml:space="preserve"> </w:t>
      </w:r>
      <w:r w:rsidR="0079342A" w:rsidRPr="00CF3D88">
        <w:rPr>
          <w:rFonts w:ascii="Arial Narrow" w:hAnsi="Arial Narrow"/>
          <w:sz w:val="18"/>
        </w:rPr>
        <w:t>Calculated during evaluation using STATA 13.0</w:t>
      </w:r>
    </w:p>
    <w:p w:rsidR="00954713" w:rsidRPr="00CF3D88" w:rsidRDefault="00954713" w:rsidP="00954713">
      <w:pPr>
        <w:widowControl/>
        <w:ind w:left="720" w:hanging="720"/>
        <w:jc w:val="left"/>
        <w:rPr>
          <w:szCs w:val="22"/>
        </w:rPr>
      </w:pPr>
    </w:p>
    <w:p w:rsidR="00BB2D76" w:rsidRPr="00CF3D88" w:rsidRDefault="00BB2D76" w:rsidP="00BB2D76">
      <w:pPr>
        <w:numPr>
          <w:ilvl w:val="1"/>
          <w:numId w:val="2"/>
        </w:numPr>
        <w:rPr>
          <w:i/>
        </w:rPr>
      </w:pPr>
      <w:r w:rsidRPr="00CF3D88">
        <w:t>The ESC considered that it was difficult to make a reliable estimate of the incremental benefit and harms on the basis of the naïve indirect comparison presented in the submission.</w:t>
      </w:r>
    </w:p>
    <w:p w:rsidR="00BE6E31" w:rsidRPr="00CF3D88" w:rsidRDefault="00BE6E31" w:rsidP="00BE6E31">
      <w:pPr>
        <w:ind w:left="720"/>
        <w:rPr>
          <w:i/>
        </w:rPr>
      </w:pPr>
    </w:p>
    <w:p w:rsidR="00BE6E31" w:rsidRPr="00CF3D88" w:rsidRDefault="00BE6E31" w:rsidP="00BB2D76">
      <w:pPr>
        <w:numPr>
          <w:ilvl w:val="1"/>
          <w:numId w:val="2"/>
        </w:numPr>
      </w:pPr>
      <w:r w:rsidRPr="00CF3D88">
        <w:t>The</w:t>
      </w:r>
      <w:r w:rsidR="00E909A8">
        <w:t xml:space="preserve"> sponsor’s pre-PBAC response (p</w:t>
      </w:r>
      <w:r w:rsidRPr="00CF3D88">
        <w:t>1) highlighted the key differences between brentuximab vedotin and salvage chemotherapy, with respect to its selective mechanism of action, and superior safety and tolerability profile. Further, brentuximab vedotin had a</w:t>
      </w:r>
      <w:r w:rsidR="00EB03CB" w:rsidRPr="00CF3D88">
        <w:t xml:space="preserve"> simple and short administration protocol, requiring a 30-minute </w:t>
      </w:r>
      <w:proofErr w:type="spellStart"/>
      <w:r w:rsidR="00EB03CB" w:rsidRPr="00CF3D88">
        <w:t>i.v.</w:t>
      </w:r>
      <w:proofErr w:type="spellEnd"/>
      <w:r w:rsidR="00EB03CB" w:rsidRPr="00CF3D88">
        <w:t xml:space="preserve"> infusion once in three weeks without concomitant medication, contrary to standard salvage chemotherapy that involves multiple infusions in every cycle of treatment with additional medication to manage side effec</w:t>
      </w:r>
      <w:r w:rsidR="00116484">
        <w:t>ts.</w:t>
      </w:r>
    </w:p>
    <w:p w:rsidR="0079342A" w:rsidRPr="00CF3D88" w:rsidRDefault="0079342A" w:rsidP="002C7059"/>
    <w:p w:rsidR="00954713" w:rsidRPr="000C3D5D" w:rsidRDefault="00954713" w:rsidP="00A71B36">
      <w:pPr>
        <w:pStyle w:val="Heading2"/>
        <w:rPr>
          <w:i/>
        </w:rPr>
      </w:pPr>
      <w:bookmarkStart w:id="19" w:name="_Toc461532378"/>
      <w:bookmarkStart w:id="20" w:name="_Toc461607684"/>
      <w:r w:rsidRPr="000C3D5D">
        <w:rPr>
          <w:i/>
        </w:rPr>
        <w:t>Clinical claim</w:t>
      </w:r>
      <w:bookmarkEnd w:id="19"/>
      <w:bookmarkEnd w:id="20"/>
    </w:p>
    <w:p w:rsidR="00954713" w:rsidRPr="00CF3D88" w:rsidRDefault="00954713" w:rsidP="00954713">
      <w:pPr>
        <w:jc w:val="left"/>
      </w:pPr>
    </w:p>
    <w:p w:rsidR="001C1566" w:rsidRPr="00CF3D88" w:rsidRDefault="001C1566" w:rsidP="009530DB">
      <w:pPr>
        <w:widowControl/>
        <w:numPr>
          <w:ilvl w:val="1"/>
          <w:numId w:val="2"/>
        </w:numPr>
        <w:contextualSpacing/>
        <w:rPr>
          <w:snapToGrid/>
        </w:rPr>
      </w:pPr>
      <w:r w:rsidRPr="00CF3D88">
        <w:rPr>
          <w:snapToGrid/>
        </w:rPr>
        <w:t xml:space="preserve">The </w:t>
      </w:r>
      <w:r w:rsidR="00A8064E" w:rsidRPr="00CF3D88">
        <w:rPr>
          <w:snapToGrid/>
        </w:rPr>
        <w:t xml:space="preserve">resubmission </w:t>
      </w:r>
      <w:r w:rsidRPr="00CF3D88">
        <w:rPr>
          <w:snapToGrid/>
        </w:rPr>
        <w:t>described brentuximab vedotin as superior in terms of comparative eff</w:t>
      </w:r>
      <w:r w:rsidR="00EF3225" w:rsidRPr="00CF3D88">
        <w:rPr>
          <w:snapToGrid/>
        </w:rPr>
        <w:t>icacy</w:t>
      </w:r>
      <w:r w:rsidRPr="00CF3D88">
        <w:rPr>
          <w:snapToGrid/>
        </w:rPr>
        <w:t xml:space="preserve"> and non-inferior in terms of comparative safety over salvage chemotherapy.</w:t>
      </w:r>
      <w:r w:rsidR="00786E0D" w:rsidRPr="00CF3D88">
        <w:rPr>
          <w:snapToGrid/>
        </w:rPr>
        <w:t xml:space="preserve"> </w:t>
      </w:r>
      <w:r w:rsidRPr="00CF3D88">
        <w:rPr>
          <w:snapToGrid/>
        </w:rPr>
        <w:t>Key concerns w</w:t>
      </w:r>
      <w:r w:rsidR="001E45E6" w:rsidRPr="00CF3D88">
        <w:rPr>
          <w:snapToGrid/>
        </w:rPr>
        <w:t>ith the claim of superior eff</w:t>
      </w:r>
      <w:r w:rsidR="00EF3225" w:rsidRPr="00CF3D88">
        <w:rPr>
          <w:snapToGrid/>
        </w:rPr>
        <w:t>i</w:t>
      </w:r>
      <w:r w:rsidR="001E45E6" w:rsidRPr="00CF3D88">
        <w:rPr>
          <w:snapToGrid/>
        </w:rPr>
        <w:t>c</w:t>
      </w:r>
      <w:r w:rsidR="00EF3225" w:rsidRPr="00CF3D88">
        <w:rPr>
          <w:snapToGrid/>
        </w:rPr>
        <w:t>acy</w:t>
      </w:r>
      <w:r w:rsidR="001E45E6" w:rsidRPr="00CF3D88">
        <w:rPr>
          <w:snapToGrid/>
        </w:rPr>
        <w:t xml:space="preserve"> were</w:t>
      </w:r>
      <w:r w:rsidRPr="00CF3D88">
        <w:rPr>
          <w:snapToGrid/>
        </w:rPr>
        <w:t>:</w:t>
      </w:r>
    </w:p>
    <w:p w:rsidR="001C1566" w:rsidRPr="00CF3D88" w:rsidRDefault="001C1566" w:rsidP="00812287">
      <w:pPr>
        <w:widowControl/>
        <w:numPr>
          <w:ilvl w:val="0"/>
          <w:numId w:val="9"/>
        </w:numPr>
        <w:snapToGrid w:val="0"/>
        <w:ind w:left="993" w:hanging="284"/>
        <w:contextualSpacing/>
        <w:rPr>
          <w:snapToGrid/>
        </w:rPr>
      </w:pPr>
      <w:r w:rsidRPr="00CF3D88">
        <w:rPr>
          <w:snapToGrid/>
        </w:rPr>
        <w:t xml:space="preserve">The </w:t>
      </w:r>
      <w:r w:rsidR="00A8064E" w:rsidRPr="00CF3D88">
        <w:rPr>
          <w:snapToGrid/>
        </w:rPr>
        <w:t xml:space="preserve">resubmission </w:t>
      </w:r>
      <w:r w:rsidRPr="00CF3D88">
        <w:rPr>
          <w:snapToGrid/>
        </w:rPr>
        <w:t xml:space="preserve">censored overall survival when patients commenced certain subsequent therapies, except in </w:t>
      </w:r>
      <w:r w:rsidR="0079342A" w:rsidRPr="00CF3D88">
        <w:rPr>
          <w:snapToGrid/>
        </w:rPr>
        <w:t xml:space="preserve">the </w:t>
      </w:r>
      <w:r w:rsidRPr="00CF3D88">
        <w:rPr>
          <w:snapToGrid/>
        </w:rPr>
        <w:t>Kaloyannidis</w:t>
      </w:r>
      <w:r w:rsidR="0079342A" w:rsidRPr="00CF3D88">
        <w:rPr>
          <w:snapToGrid/>
        </w:rPr>
        <w:t xml:space="preserve"> study</w:t>
      </w:r>
      <w:r w:rsidRPr="00CF3D88">
        <w:rPr>
          <w:snapToGrid/>
        </w:rPr>
        <w:t>. This was inappropriate and meant that overall survival in the brentuximab vedotin group was based on only five events. Patients commence</w:t>
      </w:r>
      <w:r w:rsidR="00EB0665" w:rsidRPr="00CF3D88">
        <w:rPr>
          <w:snapToGrid/>
        </w:rPr>
        <w:t>d</w:t>
      </w:r>
      <w:r w:rsidRPr="00CF3D88">
        <w:rPr>
          <w:snapToGrid/>
        </w:rPr>
        <w:t xml:space="preserve"> subsequent therapies as their condition worsen</w:t>
      </w:r>
      <w:r w:rsidR="009560F2" w:rsidRPr="00CF3D88">
        <w:rPr>
          <w:snapToGrid/>
        </w:rPr>
        <w:t>ed</w:t>
      </w:r>
      <w:r w:rsidRPr="00CF3D88">
        <w:rPr>
          <w:snapToGrid/>
        </w:rPr>
        <w:t xml:space="preserve">, so this was informative censoring. </w:t>
      </w:r>
      <w:r w:rsidR="007C1EE2" w:rsidRPr="00CF3D88">
        <w:rPr>
          <w:snapToGrid/>
        </w:rPr>
        <w:t xml:space="preserve">The ESC </w:t>
      </w:r>
      <w:r w:rsidR="00CB26BC" w:rsidRPr="00CF3D88">
        <w:rPr>
          <w:snapToGrid/>
        </w:rPr>
        <w:t>consider</w:t>
      </w:r>
      <w:r w:rsidR="007C1EE2" w:rsidRPr="00CF3D88">
        <w:rPr>
          <w:snapToGrid/>
        </w:rPr>
        <w:t xml:space="preserve">ed that removal </w:t>
      </w:r>
      <w:r w:rsidRPr="00CF3D88">
        <w:rPr>
          <w:snapToGrid/>
        </w:rPr>
        <w:t>of censoring for subsequent therapies provide</w:t>
      </w:r>
      <w:r w:rsidR="00EB0665" w:rsidRPr="00CF3D88">
        <w:rPr>
          <w:snapToGrid/>
        </w:rPr>
        <w:t>d</w:t>
      </w:r>
      <w:r w:rsidRPr="00CF3D88">
        <w:rPr>
          <w:snapToGrid/>
        </w:rPr>
        <w:t xml:space="preserve"> a more reliable estimate of comparative overall survival.</w:t>
      </w:r>
    </w:p>
    <w:p w:rsidR="001C1566" w:rsidRPr="00CF3D88" w:rsidRDefault="001C1566" w:rsidP="00812287">
      <w:pPr>
        <w:widowControl/>
        <w:numPr>
          <w:ilvl w:val="0"/>
          <w:numId w:val="9"/>
        </w:numPr>
        <w:snapToGrid w:val="0"/>
        <w:ind w:left="993" w:hanging="284"/>
        <w:contextualSpacing/>
        <w:rPr>
          <w:snapToGrid/>
        </w:rPr>
      </w:pPr>
      <w:r w:rsidRPr="00CF3D88">
        <w:rPr>
          <w:snapToGrid/>
        </w:rPr>
        <w:t xml:space="preserve">For progression free survival, the </w:t>
      </w:r>
      <w:r w:rsidR="00A8064E" w:rsidRPr="00CF3D88">
        <w:rPr>
          <w:snapToGrid/>
        </w:rPr>
        <w:t xml:space="preserve">resubmission </w:t>
      </w:r>
      <w:r w:rsidRPr="00CF3D88">
        <w:rPr>
          <w:snapToGrid/>
        </w:rPr>
        <w:t>assumed that 50% of patients on salvage chemoth</w:t>
      </w:r>
      <w:r w:rsidR="00116484">
        <w:rPr>
          <w:snapToGrid/>
        </w:rPr>
        <w:t>erapy progressed after 15 days.</w:t>
      </w:r>
    </w:p>
    <w:p w:rsidR="001C1566" w:rsidRPr="00CF3D88" w:rsidRDefault="001C1566" w:rsidP="00812287">
      <w:pPr>
        <w:widowControl/>
        <w:numPr>
          <w:ilvl w:val="0"/>
          <w:numId w:val="9"/>
        </w:numPr>
        <w:snapToGrid w:val="0"/>
        <w:ind w:left="993" w:hanging="284"/>
        <w:contextualSpacing/>
        <w:rPr>
          <w:snapToGrid/>
        </w:rPr>
      </w:pPr>
      <w:r w:rsidRPr="00CF3D88">
        <w:rPr>
          <w:snapToGrid/>
        </w:rPr>
        <w:t xml:space="preserve">Inclusion of the new data from the AETHERA trial (for overall survival) </w:t>
      </w:r>
      <w:r w:rsidR="00405B23" w:rsidRPr="00CF3D88">
        <w:rPr>
          <w:i/>
          <w:snapToGrid/>
        </w:rPr>
        <w:t xml:space="preserve">possibly </w:t>
      </w:r>
      <w:r w:rsidRPr="00CF3D88">
        <w:rPr>
          <w:snapToGrid/>
        </w:rPr>
        <w:t>increased the heterogeneity within the comparison in terms of both patient characteristics and time when the studies were conducted. In addition, limited information was provided about the patients and methods of the post hoc analysis. Overall, this would increase PBAC’s previous concer</w:t>
      </w:r>
      <w:r w:rsidR="00116484">
        <w:rPr>
          <w:snapToGrid/>
        </w:rPr>
        <w:t>ns about the high risk of bias.</w:t>
      </w:r>
    </w:p>
    <w:p w:rsidR="008C4BED" w:rsidRPr="00CF3D88" w:rsidRDefault="008C4BED" w:rsidP="00812287">
      <w:pPr>
        <w:widowControl/>
        <w:contextualSpacing/>
      </w:pPr>
    </w:p>
    <w:p w:rsidR="00954713" w:rsidRPr="00CF3D88" w:rsidRDefault="001E45E6" w:rsidP="005D1552">
      <w:pPr>
        <w:widowControl/>
        <w:numPr>
          <w:ilvl w:val="1"/>
          <w:numId w:val="2"/>
        </w:numPr>
        <w:contextualSpacing/>
        <w:rPr>
          <w:szCs w:val="22"/>
        </w:rPr>
      </w:pPr>
      <w:r w:rsidRPr="00CF3D88">
        <w:rPr>
          <w:bCs/>
          <w:szCs w:val="22"/>
        </w:rPr>
        <w:t xml:space="preserve">Overall, the PBAC </w:t>
      </w:r>
      <w:r w:rsidR="005D1552" w:rsidRPr="00CF3D88">
        <w:rPr>
          <w:bCs/>
          <w:szCs w:val="22"/>
        </w:rPr>
        <w:t xml:space="preserve">considered that </w:t>
      </w:r>
      <w:r w:rsidRPr="00CF3D88">
        <w:rPr>
          <w:bCs/>
          <w:szCs w:val="22"/>
        </w:rPr>
        <w:t>the</w:t>
      </w:r>
      <w:r w:rsidR="005D1552" w:rsidRPr="00CF3D88">
        <w:rPr>
          <w:bCs/>
          <w:szCs w:val="22"/>
        </w:rPr>
        <w:t xml:space="preserve"> claim of superior </w:t>
      </w:r>
      <w:r w:rsidRPr="00CF3D88">
        <w:rPr>
          <w:bCs/>
          <w:szCs w:val="22"/>
        </w:rPr>
        <w:t xml:space="preserve">comparative </w:t>
      </w:r>
      <w:r w:rsidR="005D1552" w:rsidRPr="00CF3D88">
        <w:rPr>
          <w:bCs/>
          <w:szCs w:val="22"/>
        </w:rPr>
        <w:t>efficacy over salvage chemotherapy was reasonable</w:t>
      </w:r>
      <w:r w:rsidRPr="00CF3D88">
        <w:rPr>
          <w:bCs/>
          <w:szCs w:val="22"/>
        </w:rPr>
        <w:t>, although</w:t>
      </w:r>
      <w:r w:rsidR="005D1552" w:rsidRPr="00CF3D88">
        <w:rPr>
          <w:bCs/>
          <w:szCs w:val="22"/>
        </w:rPr>
        <w:t xml:space="preserve"> the magnitude of the comparative benefit was difficult to determine from the data provided in the resubmission. The claim of non-inferior comparat</w:t>
      </w:r>
      <w:r w:rsidR="00783DEF">
        <w:rPr>
          <w:bCs/>
          <w:szCs w:val="22"/>
        </w:rPr>
        <w:t>ive safety was</w:t>
      </w:r>
      <w:r w:rsidRPr="00CF3D88">
        <w:rPr>
          <w:bCs/>
          <w:szCs w:val="22"/>
        </w:rPr>
        <w:t xml:space="preserve"> consistent with the PBAC’s previous consideration </w:t>
      </w:r>
      <w:r w:rsidR="005D1552" w:rsidRPr="00CF3D88">
        <w:rPr>
          <w:bCs/>
          <w:szCs w:val="22"/>
        </w:rPr>
        <w:t xml:space="preserve">that brentuximab vedotin was less toxic than salvage chemotherapy in </w:t>
      </w:r>
      <w:r w:rsidR="005D1552" w:rsidRPr="00CF3D88">
        <w:rPr>
          <w:bCs/>
          <w:szCs w:val="22"/>
        </w:rPr>
        <w:lastRenderedPageBreak/>
        <w:t>the post ASCT setting (paragraph 7.10, brentuximab vedotin Public Summary Document, March 2015 PBAC meeting).</w:t>
      </w:r>
    </w:p>
    <w:p w:rsidR="003948DD" w:rsidRPr="00CF3D88" w:rsidRDefault="003948DD" w:rsidP="00954713">
      <w:pPr>
        <w:ind w:left="720" w:hanging="720"/>
        <w:rPr>
          <w:szCs w:val="22"/>
        </w:rPr>
      </w:pPr>
    </w:p>
    <w:p w:rsidR="00954713" w:rsidRPr="000C3D5D" w:rsidRDefault="00954713" w:rsidP="00A71B36">
      <w:pPr>
        <w:pStyle w:val="Heading2"/>
        <w:rPr>
          <w:i/>
        </w:rPr>
      </w:pPr>
      <w:bookmarkStart w:id="21" w:name="_Toc461532379"/>
      <w:bookmarkStart w:id="22" w:name="_Toc461607685"/>
      <w:r w:rsidRPr="000C3D5D">
        <w:rPr>
          <w:i/>
        </w:rPr>
        <w:t>Economic analysis</w:t>
      </w:r>
      <w:bookmarkEnd w:id="21"/>
      <w:bookmarkEnd w:id="22"/>
    </w:p>
    <w:p w:rsidR="00954713" w:rsidRPr="00CF3D88" w:rsidRDefault="00954713" w:rsidP="00954713">
      <w:pPr>
        <w:ind w:left="720" w:hanging="720"/>
        <w:rPr>
          <w:szCs w:val="22"/>
        </w:rPr>
      </w:pPr>
    </w:p>
    <w:p w:rsidR="00954713" w:rsidRPr="00CF3D88" w:rsidRDefault="00954713" w:rsidP="009530DB">
      <w:pPr>
        <w:widowControl/>
        <w:numPr>
          <w:ilvl w:val="1"/>
          <w:numId w:val="2"/>
        </w:numPr>
        <w:contextualSpacing/>
      </w:pPr>
      <w:r w:rsidRPr="00CF3D88">
        <w:t xml:space="preserve">The </w:t>
      </w:r>
      <w:r w:rsidR="00A8064E" w:rsidRPr="00CF3D88">
        <w:t xml:space="preserve">resubmission </w:t>
      </w:r>
      <w:r w:rsidRPr="00CF3D88">
        <w:t>presented an update</w:t>
      </w:r>
      <w:r w:rsidR="00116484">
        <w:t>d modelled economic evaluation.</w:t>
      </w:r>
    </w:p>
    <w:p w:rsidR="00954713" w:rsidRPr="00CF3D88" w:rsidRDefault="00954713" w:rsidP="00954713">
      <w:pPr>
        <w:widowControl/>
        <w:snapToGrid w:val="0"/>
        <w:ind w:left="1429"/>
        <w:contextualSpacing/>
        <w:rPr>
          <w:snapToGrid/>
          <w:szCs w:val="22"/>
        </w:rPr>
      </w:pPr>
    </w:p>
    <w:p w:rsidR="00954713" w:rsidRPr="00CF3D88" w:rsidRDefault="00954713" w:rsidP="00954713">
      <w:pPr>
        <w:keepNext/>
        <w:keepLines/>
        <w:widowControl/>
        <w:ind w:left="709"/>
        <w:jc w:val="left"/>
        <w:rPr>
          <w:rFonts w:ascii="Arial Narrow" w:hAnsi="Arial Narrow" w:cs="Times New Roman"/>
          <w:b/>
          <w:snapToGrid/>
          <w:sz w:val="20"/>
        </w:rPr>
      </w:pPr>
      <w:r w:rsidRPr="00CF3D88">
        <w:rPr>
          <w:rFonts w:ascii="Arial Narrow" w:hAnsi="Arial Narrow" w:cs="Times New Roman"/>
          <w:b/>
          <w:snapToGrid/>
          <w:sz w:val="20"/>
        </w:rPr>
        <w:t xml:space="preserve">Table </w:t>
      </w:r>
      <w:r w:rsidR="001A124B" w:rsidRPr="00CF3D88">
        <w:rPr>
          <w:rFonts w:ascii="Arial Narrow" w:hAnsi="Arial Narrow" w:cs="Times New Roman"/>
          <w:b/>
          <w:snapToGrid/>
          <w:sz w:val="20"/>
        </w:rPr>
        <w:t>7</w:t>
      </w:r>
      <w:r w:rsidRPr="00CF3D88">
        <w:rPr>
          <w:rFonts w:ascii="Arial Narrow" w:hAnsi="Arial Narrow" w:cs="Times New Roman"/>
          <w:b/>
          <w:snapToGrid/>
          <w:sz w:val="20"/>
        </w:rPr>
        <w:t xml:space="preserve">: Comparison of the economic evaluation in the current </w:t>
      </w:r>
      <w:r w:rsidR="00A8064E" w:rsidRPr="00CF3D88">
        <w:rPr>
          <w:rFonts w:ascii="Arial Narrow" w:hAnsi="Arial Narrow" w:cs="Times New Roman"/>
          <w:b/>
          <w:snapToGrid/>
          <w:sz w:val="20"/>
        </w:rPr>
        <w:t xml:space="preserve">resubmission </w:t>
      </w:r>
      <w:r w:rsidRPr="00CF3D88">
        <w:rPr>
          <w:rFonts w:ascii="Arial Narrow" w:hAnsi="Arial Narrow" w:cs="Times New Roman"/>
          <w:b/>
          <w:snapToGrid/>
          <w:sz w:val="20"/>
        </w:rPr>
        <w:t>and the previous 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9"/>
        <w:gridCol w:w="1233"/>
        <w:gridCol w:w="1177"/>
        <w:gridCol w:w="948"/>
        <w:gridCol w:w="1178"/>
        <w:gridCol w:w="1276"/>
        <w:gridCol w:w="992"/>
      </w:tblGrid>
      <w:tr w:rsidR="00954713" w:rsidRPr="00CF3D88" w:rsidTr="00954713">
        <w:trPr>
          <w:cantSplit/>
          <w:trHeight w:val="233"/>
          <w:tblHeader/>
        </w:trPr>
        <w:tc>
          <w:tcPr>
            <w:tcW w:w="1559" w:type="dxa"/>
            <w:tcBorders>
              <w:top w:val="single" w:sz="4" w:space="0" w:color="auto"/>
              <w:left w:val="single" w:sz="4" w:space="0" w:color="auto"/>
              <w:bottom w:val="single" w:sz="4" w:space="0" w:color="auto"/>
              <w:right w:val="single" w:sz="4" w:space="0" w:color="auto"/>
            </w:tcBorders>
          </w:tcPr>
          <w:p w:rsidR="00954713" w:rsidRPr="00CF3D88" w:rsidRDefault="00954713" w:rsidP="00954713">
            <w:pPr>
              <w:keepNext/>
              <w:keepLines/>
              <w:widowControl/>
              <w:snapToGrid w:val="0"/>
              <w:jc w:val="left"/>
              <w:rPr>
                <w:rFonts w:ascii="Arial Narrow" w:hAnsi="Arial Narrow" w:cs="Times New Roman"/>
                <w:sz w:val="20"/>
                <w:lang w:eastAsia="en-AU"/>
              </w:rPr>
            </w:pPr>
          </w:p>
        </w:tc>
        <w:tc>
          <w:tcPr>
            <w:tcW w:w="3358"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b/>
                <w:sz w:val="20"/>
                <w:lang w:eastAsia="en-AU"/>
              </w:rPr>
            </w:pPr>
            <w:r w:rsidRPr="00CF3D88">
              <w:rPr>
                <w:rFonts w:ascii="Arial Narrow" w:hAnsi="Arial Narrow" w:cs="Times New Roman"/>
                <w:b/>
                <w:sz w:val="20"/>
                <w:lang w:eastAsia="en-AU"/>
              </w:rPr>
              <w:t>Previous submission</w:t>
            </w:r>
          </w:p>
        </w:tc>
        <w:tc>
          <w:tcPr>
            <w:tcW w:w="3446"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b/>
                <w:sz w:val="20"/>
                <w:lang w:eastAsia="en-AU"/>
              </w:rPr>
            </w:pPr>
            <w:r w:rsidRPr="00CF3D88">
              <w:rPr>
                <w:rFonts w:ascii="Arial Narrow" w:hAnsi="Arial Narrow" w:cs="Times New Roman"/>
                <w:b/>
                <w:sz w:val="20"/>
                <w:lang w:eastAsia="en-AU"/>
              </w:rPr>
              <w:t xml:space="preserve">This </w:t>
            </w:r>
            <w:r w:rsidR="00A8064E" w:rsidRPr="00CF3D88">
              <w:rPr>
                <w:rFonts w:ascii="Arial Narrow" w:hAnsi="Arial Narrow" w:cs="Times New Roman"/>
                <w:b/>
                <w:sz w:val="20"/>
                <w:lang w:eastAsia="en-AU"/>
              </w:rPr>
              <w:t>resubmission</w:t>
            </w:r>
          </w:p>
        </w:tc>
      </w:tr>
      <w:tr w:rsidR="00954713" w:rsidRPr="00CF3D88" w:rsidTr="00954713">
        <w:trPr>
          <w:cantSplit/>
          <w:trHeight w:val="267"/>
        </w:trPr>
        <w:tc>
          <w:tcPr>
            <w:tcW w:w="1559"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lang w:eastAsia="en-AU"/>
              </w:rPr>
              <w:t>Time horizon</w:t>
            </w:r>
          </w:p>
        </w:tc>
        <w:tc>
          <w:tcPr>
            <w:tcW w:w="3358"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lang w:eastAsia="en-AU"/>
              </w:rPr>
              <w:t>13 years</w:t>
            </w:r>
          </w:p>
        </w:tc>
        <w:tc>
          <w:tcPr>
            <w:tcW w:w="3446"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BB2D76">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lang w:eastAsia="en-AU"/>
              </w:rPr>
              <w:t xml:space="preserve">13 years. </w:t>
            </w:r>
            <w:r w:rsidR="004676EA" w:rsidRPr="00CF3D88">
              <w:rPr>
                <w:rFonts w:ascii="Arial Narrow" w:hAnsi="Arial Narrow" w:cs="Times New Roman"/>
                <w:sz w:val="20"/>
                <w:lang w:eastAsia="en-AU"/>
              </w:rPr>
              <w:t xml:space="preserve">The PBAC previously requested a model with an eight year time horizon. </w:t>
            </w:r>
          </w:p>
        </w:tc>
      </w:tr>
      <w:tr w:rsidR="00954713" w:rsidRPr="00CF3D88" w:rsidTr="00954713">
        <w:trPr>
          <w:cantSplit/>
          <w:trHeight w:val="267"/>
        </w:trPr>
        <w:tc>
          <w:tcPr>
            <w:tcW w:w="1559"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snapToGrid w:val="0"/>
              <w:jc w:val="left"/>
              <w:rPr>
                <w:rFonts w:ascii="Arial Narrow" w:hAnsi="Arial Narrow" w:cs="Times New Roman"/>
                <w:sz w:val="20"/>
                <w:lang w:eastAsia="en-AU"/>
              </w:rPr>
            </w:pPr>
            <w:r w:rsidRPr="00CF3D88">
              <w:rPr>
                <w:rFonts w:ascii="Arial Narrow" w:hAnsi="Arial Narrow" w:cs="Times New Roman"/>
                <w:sz w:val="20"/>
                <w:lang w:eastAsia="en-AU"/>
              </w:rPr>
              <w:t>Source of clinical evidence</w:t>
            </w:r>
          </w:p>
        </w:tc>
        <w:tc>
          <w:tcPr>
            <w:tcW w:w="3358" w:type="dxa"/>
            <w:gridSpan w:val="3"/>
            <w:tcBorders>
              <w:top w:val="single" w:sz="4" w:space="0" w:color="auto"/>
              <w:left w:val="single" w:sz="4" w:space="0" w:color="auto"/>
              <w:bottom w:val="single" w:sz="4" w:space="0" w:color="auto"/>
              <w:right w:val="single" w:sz="4" w:space="0" w:color="auto"/>
            </w:tcBorders>
          </w:tcPr>
          <w:p w:rsidR="00954713" w:rsidRPr="00CF3D88" w:rsidRDefault="00954713" w:rsidP="00954713">
            <w:pPr>
              <w:widowControl/>
              <w:jc w:val="left"/>
              <w:rPr>
                <w:rFonts w:ascii="Arial Narrow" w:hAnsi="Arial Narrow" w:cs="Times New Roman"/>
                <w:sz w:val="20"/>
                <w:lang w:eastAsia="en-AU"/>
              </w:rPr>
            </w:pPr>
            <w:r w:rsidRPr="00CF3D88">
              <w:rPr>
                <w:rFonts w:ascii="Arial Narrow" w:hAnsi="Arial Narrow" w:cs="Times New Roman"/>
                <w:sz w:val="20"/>
                <w:lang w:eastAsia="en-AU"/>
              </w:rPr>
              <w:t>BV: Study 0003 (n = 45)</w:t>
            </w:r>
          </w:p>
          <w:p w:rsidR="00954713" w:rsidRPr="00CF3D88" w:rsidRDefault="00954713" w:rsidP="00954713">
            <w:pPr>
              <w:widowControl/>
              <w:jc w:val="left"/>
              <w:rPr>
                <w:rFonts w:ascii="Arial Narrow" w:hAnsi="Arial Narrow" w:cs="Times New Roman"/>
                <w:sz w:val="20"/>
                <w:lang w:eastAsia="en-AU"/>
              </w:rPr>
            </w:pPr>
            <w:r w:rsidRPr="00CF3D88">
              <w:rPr>
                <w:rFonts w:ascii="Arial Narrow" w:hAnsi="Arial Narrow" w:cs="Times New Roman"/>
                <w:sz w:val="20"/>
                <w:lang w:eastAsia="en-AU"/>
              </w:rPr>
              <w:t>Salvage Chemotherapy: Kaloyannidis and British Columbia registry (pooled n = 109)</w:t>
            </w:r>
          </w:p>
          <w:p w:rsidR="00954713" w:rsidRPr="00CF3D88" w:rsidRDefault="00954713" w:rsidP="00954713">
            <w:pPr>
              <w:widowControl/>
              <w:snapToGrid w:val="0"/>
              <w:jc w:val="left"/>
              <w:rPr>
                <w:rFonts w:ascii="Arial Narrow" w:hAnsi="Arial Narrow" w:cs="Times New Roman"/>
                <w:sz w:val="20"/>
                <w:lang w:eastAsia="en-AU"/>
              </w:rPr>
            </w:pPr>
          </w:p>
        </w:tc>
        <w:tc>
          <w:tcPr>
            <w:tcW w:w="3446"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jc w:val="left"/>
              <w:rPr>
                <w:rFonts w:ascii="Arial Narrow" w:hAnsi="Arial Narrow" w:cs="Times New Roman"/>
                <w:sz w:val="20"/>
                <w:lang w:eastAsia="en-AU"/>
              </w:rPr>
            </w:pPr>
            <w:r w:rsidRPr="00CF3D88">
              <w:rPr>
                <w:rFonts w:ascii="Arial Narrow" w:hAnsi="Arial Narrow" w:cs="Times New Roman"/>
                <w:sz w:val="20"/>
                <w:lang w:eastAsia="en-AU"/>
              </w:rPr>
              <w:t xml:space="preserve">BV: Study 0003, AETHRA follow-up cohort on BV (pooled n = </w:t>
            </w:r>
            <w:r w:rsidR="00526F5C">
              <w:rPr>
                <w:rFonts w:ascii="Arial Narrow" w:hAnsi="Arial Narrow" w:cs="Times New Roman"/>
                <w:noProof/>
                <w:color w:val="000000"/>
                <w:sz w:val="20"/>
                <w:highlight w:val="black"/>
                <w:lang w:eastAsia="en-AU"/>
              </w:rPr>
              <w:t>''''''''''</w:t>
            </w:r>
            <w:r w:rsidRPr="00CF3D88">
              <w:rPr>
                <w:rFonts w:ascii="Arial Narrow" w:hAnsi="Arial Narrow" w:cs="Times New Roman"/>
                <w:sz w:val="20"/>
                <w:lang w:eastAsia="en-AU"/>
              </w:rPr>
              <w:t>)</w:t>
            </w:r>
          </w:p>
          <w:p w:rsidR="00954713" w:rsidRPr="00CF3D88" w:rsidRDefault="00954713" w:rsidP="00954713">
            <w:pPr>
              <w:widowControl/>
              <w:snapToGrid w:val="0"/>
              <w:jc w:val="left"/>
              <w:rPr>
                <w:rFonts w:ascii="Arial Narrow" w:hAnsi="Arial Narrow" w:cs="Times New Roman"/>
                <w:sz w:val="20"/>
                <w:lang w:eastAsia="en-AU"/>
              </w:rPr>
            </w:pPr>
            <w:r w:rsidRPr="00CF3D88">
              <w:rPr>
                <w:rFonts w:ascii="Arial Narrow" w:hAnsi="Arial Narrow" w:cs="Times New Roman"/>
                <w:sz w:val="20"/>
                <w:lang w:eastAsia="en-AU"/>
              </w:rPr>
              <w:t>Salvage Chemotherapy: Kaloyannidis and British Columbia registry, AETHERA follow-up cohort on chemotherapy</w:t>
            </w:r>
            <w:r w:rsidRPr="00CF3D88">
              <w:t xml:space="preserve"> </w:t>
            </w:r>
            <w:r w:rsidRPr="00CF3D88">
              <w:rPr>
                <w:rFonts w:ascii="Arial Narrow" w:hAnsi="Arial Narrow"/>
                <w:sz w:val="20"/>
              </w:rPr>
              <w:t>(</w:t>
            </w:r>
            <w:r w:rsidRPr="00CF3D88">
              <w:rPr>
                <w:rFonts w:ascii="Arial Narrow" w:hAnsi="Arial Narrow" w:cs="Times New Roman"/>
                <w:sz w:val="20"/>
                <w:lang w:eastAsia="en-AU"/>
              </w:rPr>
              <w:t xml:space="preserve">pooled n = </w:t>
            </w:r>
            <w:r w:rsidR="00526F5C">
              <w:rPr>
                <w:rFonts w:ascii="Arial Narrow" w:hAnsi="Arial Narrow" w:cs="Times New Roman"/>
                <w:noProof/>
                <w:color w:val="000000"/>
                <w:sz w:val="20"/>
                <w:highlight w:val="black"/>
                <w:lang w:eastAsia="en-AU"/>
              </w:rPr>
              <w:t>''''''''</w:t>
            </w:r>
            <w:r w:rsidRPr="00CF3D88">
              <w:rPr>
                <w:rFonts w:ascii="Arial Narrow" w:hAnsi="Arial Narrow" w:cs="Times New Roman"/>
                <w:sz w:val="20"/>
                <w:lang w:eastAsia="en-AU"/>
              </w:rPr>
              <w:t>)</w:t>
            </w:r>
          </w:p>
        </w:tc>
      </w:tr>
      <w:tr w:rsidR="00954713" w:rsidRPr="00CF3D88" w:rsidTr="00954713">
        <w:trPr>
          <w:cantSplit/>
          <w:trHeight w:val="267"/>
        </w:trPr>
        <w:tc>
          <w:tcPr>
            <w:tcW w:w="1559" w:type="dxa"/>
            <w:tcBorders>
              <w:top w:val="single" w:sz="4" w:space="0" w:color="auto"/>
              <w:left w:val="single" w:sz="4" w:space="0" w:color="auto"/>
              <w:bottom w:val="single" w:sz="4" w:space="0" w:color="auto"/>
              <w:right w:val="single" w:sz="4" w:space="0" w:color="auto"/>
            </w:tcBorders>
          </w:tcPr>
          <w:p w:rsidR="00954713" w:rsidRPr="00CF3D88" w:rsidRDefault="00954713" w:rsidP="00954713">
            <w:pPr>
              <w:widowControl/>
              <w:snapToGrid w:val="0"/>
              <w:jc w:val="left"/>
              <w:rPr>
                <w:rFonts w:ascii="Arial Narrow" w:hAnsi="Arial Narrow" w:cs="Times New Roman"/>
                <w:sz w:val="20"/>
                <w:lang w:eastAsia="en-AU"/>
              </w:rPr>
            </w:pPr>
            <w:r w:rsidRPr="00CF3D88">
              <w:rPr>
                <w:rFonts w:ascii="Arial Narrow" w:hAnsi="Arial Narrow" w:cs="Times New Roman"/>
                <w:sz w:val="20"/>
                <w:lang w:eastAsia="en-AU"/>
              </w:rPr>
              <w:t xml:space="preserve">Rates of second stem cell transplant </w:t>
            </w:r>
          </w:p>
        </w:tc>
        <w:tc>
          <w:tcPr>
            <w:tcW w:w="3358" w:type="dxa"/>
            <w:gridSpan w:val="3"/>
            <w:tcBorders>
              <w:top w:val="single" w:sz="4" w:space="0" w:color="auto"/>
              <w:left w:val="single" w:sz="4" w:space="0" w:color="auto"/>
              <w:bottom w:val="single" w:sz="4" w:space="0" w:color="auto"/>
              <w:right w:val="single" w:sz="4" w:space="0" w:color="auto"/>
            </w:tcBorders>
          </w:tcPr>
          <w:p w:rsidR="00954713" w:rsidRPr="00CF3D88" w:rsidRDefault="00954713" w:rsidP="00A85608">
            <w:pPr>
              <w:widowControl/>
              <w:jc w:val="left"/>
              <w:rPr>
                <w:rFonts w:ascii="Arial Narrow" w:hAnsi="Arial Narrow" w:cs="Times New Roman"/>
                <w:sz w:val="20"/>
                <w:lang w:eastAsia="en-AU"/>
              </w:rPr>
            </w:pPr>
            <w:r w:rsidRPr="00CF3D88">
              <w:rPr>
                <w:rFonts w:ascii="Arial Narrow" w:hAnsi="Arial Narrow" w:cs="Times New Roman"/>
                <w:sz w:val="20"/>
                <w:lang w:eastAsia="en-AU"/>
              </w:rPr>
              <w:t xml:space="preserve">30% in each arm in the base case. </w:t>
            </w:r>
          </w:p>
        </w:tc>
        <w:tc>
          <w:tcPr>
            <w:tcW w:w="3446" w:type="dxa"/>
            <w:gridSpan w:val="3"/>
            <w:tcBorders>
              <w:top w:val="single" w:sz="4" w:space="0" w:color="auto"/>
              <w:left w:val="single" w:sz="4" w:space="0" w:color="auto"/>
              <w:bottom w:val="single" w:sz="4" w:space="0" w:color="auto"/>
              <w:right w:val="single" w:sz="4" w:space="0" w:color="auto"/>
            </w:tcBorders>
          </w:tcPr>
          <w:p w:rsidR="00954713" w:rsidRPr="00CF3D88" w:rsidRDefault="00526F5C" w:rsidP="00954713">
            <w:pPr>
              <w:widowControl/>
              <w:jc w:val="left"/>
              <w:rPr>
                <w:rFonts w:ascii="Arial Narrow" w:hAnsi="Arial Narrow" w:cs="Times New Roman"/>
                <w:sz w:val="20"/>
                <w:lang w:eastAsia="en-AU"/>
              </w:rPr>
            </w:pPr>
            <w:r>
              <w:rPr>
                <w:rFonts w:ascii="Arial Narrow" w:hAnsi="Arial Narrow" w:cs="Times New Roman"/>
                <w:noProof/>
                <w:color w:val="000000"/>
                <w:sz w:val="20"/>
                <w:highlight w:val="black"/>
                <w:lang w:eastAsia="en-AU"/>
              </w:rPr>
              <w:t>''''''</w:t>
            </w:r>
            <w:r w:rsidR="00954713" w:rsidRPr="00CF3D88">
              <w:rPr>
                <w:rFonts w:ascii="Arial Narrow" w:hAnsi="Arial Narrow" w:cs="Times New Roman"/>
                <w:sz w:val="20"/>
                <w:lang w:eastAsia="en-AU"/>
              </w:rPr>
              <w:t xml:space="preserve">% for BV; </w:t>
            </w:r>
            <w:r>
              <w:rPr>
                <w:rFonts w:ascii="Arial Narrow" w:hAnsi="Arial Narrow" w:cs="Times New Roman"/>
                <w:noProof/>
                <w:color w:val="000000"/>
                <w:sz w:val="20"/>
                <w:highlight w:val="black"/>
                <w:lang w:eastAsia="en-AU"/>
              </w:rPr>
              <w:t>''''''</w:t>
            </w:r>
            <w:r w:rsidR="00954713" w:rsidRPr="00CF3D88">
              <w:rPr>
                <w:rFonts w:ascii="Arial Narrow" w:hAnsi="Arial Narrow" w:cs="Times New Roman"/>
                <w:sz w:val="20"/>
                <w:lang w:eastAsia="en-AU"/>
              </w:rPr>
              <w:t xml:space="preserve">% for salvage chemotherapy based on the naïve comparison studies. This appeared reasonable. </w:t>
            </w:r>
          </w:p>
        </w:tc>
      </w:tr>
      <w:tr w:rsidR="00954713" w:rsidRPr="00CF3D88" w:rsidTr="00954713">
        <w:trPr>
          <w:cantSplit/>
          <w:trHeight w:val="667"/>
        </w:trPr>
        <w:tc>
          <w:tcPr>
            <w:tcW w:w="1559"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lang w:eastAsia="en-AU"/>
              </w:rPr>
              <w:t xml:space="preserve">Extrapolation </w:t>
            </w:r>
          </w:p>
        </w:tc>
        <w:tc>
          <w:tcPr>
            <w:tcW w:w="3358"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snapToGrid w:val="0"/>
              <w:jc w:val="left"/>
              <w:rPr>
                <w:rFonts w:ascii="Arial Narrow" w:hAnsi="Arial Narrow" w:cs="Times New Roman"/>
                <w:sz w:val="20"/>
                <w:lang w:eastAsia="en-AU"/>
              </w:rPr>
            </w:pPr>
            <w:r w:rsidRPr="00CF3D88">
              <w:rPr>
                <w:rFonts w:ascii="Arial Narrow" w:hAnsi="Arial Narrow" w:cs="Times New Roman"/>
                <w:sz w:val="20"/>
              </w:rPr>
              <w:t>Applied the same rate of decline in salvage chemotherapy to BV until 13 years</w:t>
            </w:r>
          </w:p>
        </w:tc>
        <w:tc>
          <w:tcPr>
            <w:tcW w:w="3446" w:type="dxa"/>
            <w:gridSpan w:val="3"/>
            <w:tcBorders>
              <w:top w:val="single" w:sz="4" w:space="0" w:color="auto"/>
              <w:left w:val="single" w:sz="4" w:space="0" w:color="auto"/>
              <w:bottom w:val="single" w:sz="4" w:space="0" w:color="auto"/>
              <w:right w:val="single" w:sz="4" w:space="0" w:color="auto"/>
            </w:tcBorders>
            <w:hideMark/>
          </w:tcPr>
          <w:p w:rsidR="00791840" w:rsidRPr="00CF3D88" w:rsidRDefault="00791840" w:rsidP="00791840">
            <w:pPr>
              <w:widowControl/>
              <w:snapToGrid w:val="0"/>
              <w:jc w:val="left"/>
              <w:rPr>
                <w:rFonts w:ascii="Arial Narrow" w:hAnsi="Arial Narrow" w:cs="Times New Roman"/>
                <w:sz w:val="20"/>
              </w:rPr>
            </w:pPr>
            <w:r w:rsidRPr="00CF3D88">
              <w:rPr>
                <w:rFonts w:ascii="Arial Narrow" w:hAnsi="Arial Narrow" w:cs="Times New Roman"/>
                <w:sz w:val="20"/>
              </w:rPr>
              <w:t xml:space="preserve">- Used KM curve until the end of follow-up </w:t>
            </w:r>
            <w:r w:rsidR="00870F5E" w:rsidRPr="00CF3D88">
              <w:rPr>
                <w:rFonts w:ascii="Arial Narrow" w:hAnsi="Arial Narrow" w:cs="Times New Roman"/>
                <w:sz w:val="20"/>
              </w:rPr>
              <w:t>(</w:t>
            </w:r>
            <w:r w:rsidRPr="00CF3D88">
              <w:rPr>
                <w:rFonts w:ascii="Arial Narrow" w:hAnsi="Arial Narrow" w:cs="Times New Roman"/>
                <w:sz w:val="20"/>
              </w:rPr>
              <w:t>BV</w:t>
            </w:r>
            <w:r w:rsidR="00112008" w:rsidRPr="00CF3D88">
              <w:rPr>
                <w:rFonts w:ascii="Arial Narrow" w:hAnsi="Arial Narrow" w:cs="Times New Roman"/>
                <w:sz w:val="20"/>
              </w:rPr>
              <w:t xml:space="preserve"> OS</w:t>
            </w:r>
            <w:r w:rsidR="00870F5E" w:rsidRPr="00CF3D88">
              <w:rPr>
                <w:rFonts w:ascii="Arial Narrow" w:hAnsi="Arial Narrow" w:cs="Times New Roman"/>
                <w:sz w:val="20"/>
              </w:rPr>
              <w:t xml:space="preserve">: </w:t>
            </w:r>
            <w:r w:rsidRPr="00CF3D88">
              <w:rPr>
                <w:rFonts w:ascii="Arial Narrow" w:hAnsi="Arial Narrow" w:cs="Times New Roman"/>
                <w:sz w:val="20"/>
              </w:rPr>
              <w:t xml:space="preserve">6 yrs vs median follow-up of 2 </w:t>
            </w:r>
            <w:proofErr w:type="spellStart"/>
            <w:r w:rsidRPr="00CF3D88">
              <w:rPr>
                <w:rFonts w:ascii="Arial Narrow" w:hAnsi="Arial Narrow" w:cs="Times New Roman"/>
                <w:sz w:val="20"/>
              </w:rPr>
              <w:t>yrs</w:t>
            </w:r>
            <w:proofErr w:type="spellEnd"/>
            <w:r w:rsidR="00870F5E" w:rsidRPr="00CF3D88">
              <w:rPr>
                <w:rFonts w:ascii="Arial Narrow" w:hAnsi="Arial Narrow" w:cs="Times New Roman"/>
                <w:sz w:val="20"/>
              </w:rPr>
              <w:t xml:space="preserve">); </w:t>
            </w:r>
            <w:r w:rsidR="00116484">
              <w:rPr>
                <w:rFonts w:ascii="Arial Narrow" w:hAnsi="Arial Narrow" w:cs="Times New Roman"/>
                <w:sz w:val="20"/>
              </w:rPr>
              <w:t>then</w:t>
            </w:r>
          </w:p>
          <w:p w:rsidR="00791840" w:rsidRPr="00CF3D88" w:rsidRDefault="00791840" w:rsidP="00791840">
            <w:pPr>
              <w:widowControl/>
              <w:snapToGrid w:val="0"/>
              <w:jc w:val="left"/>
              <w:rPr>
                <w:rFonts w:ascii="Arial Narrow" w:hAnsi="Arial Narrow" w:cs="Times New Roman"/>
                <w:sz w:val="20"/>
              </w:rPr>
            </w:pPr>
            <w:r w:rsidRPr="00CF3D88">
              <w:rPr>
                <w:rFonts w:ascii="Arial Narrow" w:hAnsi="Arial Narrow" w:cs="Times New Roman"/>
                <w:sz w:val="20"/>
              </w:rPr>
              <w:t xml:space="preserve">- </w:t>
            </w:r>
            <w:r w:rsidR="00112008" w:rsidRPr="00CF3D88">
              <w:rPr>
                <w:rFonts w:ascii="Arial Narrow" w:hAnsi="Arial Narrow" w:cs="Times New Roman"/>
                <w:sz w:val="20"/>
              </w:rPr>
              <w:t>a</w:t>
            </w:r>
            <w:r w:rsidR="00954713" w:rsidRPr="00CF3D88">
              <w:rPr>
                <w:rFonts w:ascii="Arial Narrow" w:hAnsi="Arial Narrow" w:cs="Times New Roman"/>
                <w:sz w:val="20"/>
              </w:rPr>
              <w:t xml:space="preserve">pplied the same rate of decline in salvage chemotherapy to BV until </w:t>
            </w:r>
            <w:r w:rsidR="00870F5E" w:rsidRPr="00CF3D88">
              <w:rPr>
                <w:rFonts w:ascii="Arial Narrow" w:hAnsi="Arial Narrow" w:cs="Times New Roman"/>
                <w:sz w:val="20"/>
              </w:rPr>
              <w:t>1</w:t>
            </w:r>
            <w:r w:rsidR="00313E5D" w:rsidRPr="00CF3D88">
              <w:rPr>
                <w:rFonts w:ascii="Arial Narrow" w:hAnsi="Arial Narrow" w:cs="Times New Roman"/>
                <w:sz w:val="20"/>
              </w:rPr>
              <w:t>1</w:t>
            </w:r>
            <w:r w:rsidR="00870F5E" w:rsidRPr="00CF3D88">
              <w:rPr>
                <w:rFonts w:ascii="Arial Narrow" w:hAnsi="Arial Narrow" w:cs="Times New Roman"/>
                <w:sz w:val="20"/>
              </w:rPr>
              <w:t xml:space="preserve"> years</w:t>
            </w:r>
            <w:r w:rsidR="00112008" w:rsidRPr="00CF3D88">
              <w:rPr>
                <w:rFonts w:ascii="Arial Narrow" w:hAnsi="Arial Narrow" w:cs="Times New Roman"/>
                <w:sz w:val="20"/>
              </w:rPr>
              <w:t xml:space="preserve"> (for OS only)</w:t>
            </w:r>
            <w:r w:rsidRPr="00CF3D88">
              <w:rPr>
                <w:rFonts w:ascii="Arial Narrow" w:hAnsi="Arial Narrow" w:cs="Times New Roman"/>
                <w:sz w:val="20"/>
              </w:rPr>
              <w:t>;</w:t>
            </w:r>
            <w:r w:rsidR="00954713" w:rsidRPr="00CF3D88">
              <w:rPr>
                <w:rFonts w:ascii="Arial Narrow" w:hAnsi="Arial Narrow" w:cs="Times New Roman"/>
                <w:sz w:val="20"/>
              </w:rPr>
              <w:t xml:space="preserve"> then </w:t>
            </w:r>
          </w:p>
          <w:p w:rsidR="00954713" w:rsidRPr="00CF3D88" w:rsidRDefault="00791840" w:rsidP="00791840">
            <w:pPr>
              <w:widowControl/>
              <w:snapToGrid w:val="0"/>
              <w:jc w:val="left"/>
              <w:rPr>
                <w:rFonts w:ascii="Arial Narrow" w:hAnsi="Arial Narrow" w:cs="Times New Roman"/>
                <w:sz w:val="20"/>
                <w:lang w:eastAsia="en-AU"/>
              </w:rPr>
            </w:pPr>
            <w:r w:rsidRPr="00CF3D88">
              <w:rPr>
                <w:rFonts w:ascii="Arial Narrow" w:hAnsi="Arial Narrow" w:cs="Times New Roman"/>
                <w:sz w:val="20"/>
              </w:rPr>
              <w:t>- S</w:t>
            </w:r>
            <w:r w:rsidR="00954713" w:rsidRPr="00CF3D88">
              <w:rPr>
                <w:rFonts w:ascii="Arial Narrow" w:hAnsi="Arial Narrow" w:cs="Times New Roman"/>
                <w:sz w:val="20"/>
              </w:rPr>
              <w:t>urvival declined linearly until it was 0% at 13 years</w:t>
            </w:r>
          </w:p>
        </w:tc>
      </w:tr>
      <w:tr w:rsidR="00954713" w:rsidRPr="00CF3D88" w:rsidTr="00954713">
        <w:trPr>
          <w:cantSplit/>
          <w:trHeight w:val="267"/>
        </w:trPr>
        <w:tc>
          <w:tcPr>
            <w:tcW w:w="1559"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lang w:eastAsia="en-AU"/>
              </w:rPr>
              <w:t>Post progression disease mngt</w:t>
            </w:r>
          </w:p>
        </w:tc>
        <w:tc>
          <w:tcPr>
            <w:tcW w:w="3358"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jc w:val="left"/>
              <w:rPr>
                <w:rFonts w:ascii="Arial Narrow" w:hAnsi="Arial Narrow" w:cs="Times New Roman"/>
                <w:sz w:val="20"/>
              </w:rPr>
            </w:pPr>
            <w:r w:rsidRPr="00CF3D88">
              <w:rPr>
                <w:rFonts w:ascii="Arial Narrow" w:hAnsi="Arial Narrow" w:cs="Times New Roman"/>
                <w:sz w:val="20"/>
              </w:rPr>
              <w:t>BV: $</w:t>
            </w:r>
            <w:r w:rsidR="00526F5C">
              <w:rPr>
                <w:rFonts w:ascii="Arial Narrow" w:hAnsi="Arial Narrow" w:cs="Times New Roman"/>
                <w:noProof/>
                <w:color w:val="000000"/>
                <w:sz w:val="20"/>
                <w:highlight w:val="black"/>
              </w:rPr>
              <w:t>''''''''''''</w:t>
            </w:r>
            <w:r w:rsidRPr="00CF3D88">
              <w:rPr>
                <w:rFonts w:ascii="Arial Narrow" w:hAnsi="Arial Narrow" w:cs="Times New Roman"/>
                <w:sz w:val="20"/>
              </w:rPr>
              <w:t xml:space="preserve"> </w:t>
            </w:r>
          </w:p>
          <w:p w:rsidR="00954713" w:rsidRPr="00CF3D88" w:rsidRDefault="00954713" w:rsidP="00954713">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rPr>
              <w:t>Salvage chemotherapy: $</w:t>
            </w:r>
            <w:r w:rsidR="00526F5C">
              <w:rPr>
                <w:rFonts w:ascii="Arial Narrow" w:hAnsi="Arial Narrow" w:cs="Times New Roman"/>
                <w:noProof/>
                <w:color w:val="000000"/>
                <w:sz w:val="20"/>
                <w:highlight w:val="black"/>
              </w:rPr>
              <w:t>'''''''''''''</w:t>
            </w:r>
            <w:r w:rsidRPr="00CF3D88">
              <w:t xml:space="preserve"> </w:t>
            </w:r>
          </w:p>
        </w:tc>
        <w:tc>
          <w:tcPr>
            <w:tcW w:w="3446"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jc w:val="left"/>
              <w:rPr>
                <w:rFonts w:ascii="Arial Narrow" w:hAnsi="Arial Narrow" w:cs="Times New Roman"/>
                <w:sz w:val="20"/>
              </w:rPr>
            </w:pPr>
            <w:r w:rsidRPr="00CF3D88">
              <w:rPr>
                <w:rFonts w:ascii="Arial Narrow" w:hAnsi="Arial Narrow" w:cs="Times New Roman"/>
                <w:sz w:val="20"/>
              </w:rPr>
              <w:t>BV: $</w:t>
            </w:r>
            <w:r w:rsidR="00526F5C">
              <w:rPr>
                <w:rFonts w:ascii="Arial Narrow" w:hAnsi="Arial Narrow" w:cs="Times New Roman"/>
                <w:noProof/>
                <w:color w:val="000000"/>
                <w:sz w:val="20"/>
                <w:highlight w:val="black"/>
              </w:rPr>
              <w:t>'''''''''''''''</w:t>
            </w:r>
            <w:r w:rsidRPr="00CF3D88">
              <w:rPr>
                <w:rFonts w:ascii="Arial Narrow" w:hAnsi="Arial Narrow" w:cs="Times New Roman"/>
                <w:sz w:val="20"/>
              </w:rPr>
              <w:t xml:space="preserve"> </w:t>
            </w:r>
          </w:p>
          <w:p w:rsidR="00954713" w:rsidRPr="00CF3D88" w:rsidRDefault="00954713" w:rsidP="00954713">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rPr>
              <w:t>Salvage chemotherapy: $</w:t>
            </w:r>
            <w:r w:rsidR="00526F5C">
              <w:rPr>
                <w:rFonts w:ascii="Arial Narrow" w:hAnsi="Arial Narrow" w:cs="Times New Roman"/>
                <w:noProof/>
                <w:color w:val="000000"/>
                <w:sz w:val="20"/>
                <w:highlight w:val="black"/>
              </w:rPr>
              <w:t>''''''''''''''</w:t>
            </w:r>
            <w:r w:rsidRPr="00CF3D88">
              <w:rPr>
                <w:rFonts w:ascii="Arial Narrow" w:hAnsi="Arial Narrow" w:cs="Times New Roman"/>
                <w:sz w:val="20"/>
              </w:rPr>
              <w:t xml:space="preserve"> </w:t>
            </w:r>
          </w:p>
        </w:tc>
      </w:tr>
      <w:tr w:rsidR="00954713" w:rsidRPr="00CF3D88" w:rsidTr="00954713">
        <w:trPr>
          <w:cantSplit/>
          <w:trHeight w:val="267"/>
        </w:trPr>
        <w:tc>
          <w:tcPr>
            <w:tcW w:w="1559"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lang w:eastAsia="en-AU"/>
              </w:rPr>
              <w:t xml:space="preserve">Adverse event costs </w:t>
            </w:r>
          </w:p>
        </w:tc>
        <w:tc>
          <w:tcPr>
            <w:tcW w:w="3358"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jc w:val="left"/>
              <w:rPr>
                <w:rFonts w:ascii="Arial Narrow" w:hAnsi="Arial Narrow" w:cs="Times New Roman"/>
                <w:sz w:val="20"/>
              </w:rPr>
            </w:pPr>
            <w:r w:rsidRPr="00CF3D88">
              <w:rPr>
                <w:rFonts w:ascii="Arial Narrow" w:hAnsi="Arial Narrow" w:cs="Times New Roman"/>
                <w:sz w:val="20"/>
              </w:rPr>
              <w:t>BV: $</w:t>
            </w:r>
            <w:r w:rsidR="00526F5C">
              <w:rPr>
                <w:rFonts w:ascii="Arial Narrow" w:hAnsi="Arial Narrow" w:cs="Times New Roman"/>
                <w:noProof/>
                <w:color w:val="000000"/>
                <w:sz w:val="20"/>
                <w:highlight w:val="black"/>
              </w:rPr>
              <w:t>''''''</w:t>
            </w:r>
            <w:r w:rsidRPr="00CF3D88">
              <w:rPr>
                <w:rFonts w:ascii="Arial Narrow" w:hAnsi="Arial Narrow" w:cs="Times New Roman"/>
                <w:sz w:val="20"/>
              </w:rPr>
              <w:t xml:space="preserve">/course </w:t>
            </w:r>
          </w:p>
          <w:p w:rsidR="00954713" w:rsidRPr="00CF3D88" w:rsidRDefault="00954713" w:rsidP="00954713">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rPr>
              <w:t>Salvage chemotherapy: $</w:t>
            </w:r>
            <w:r w:rsidR="00526F5C">
              <w:rPr>
                <w:rFonts w:ascii="Arial Narrow" w:hAnsi="Arial Narrow" w:cs="Times New Roman"/>
                <w:noProof/>
                <w:color w:val="000000"/>
                <w:sz w:val="20"/>
                <w:highlight w:val="black"/>
              </w:rPr>
              <w:t>''''''''''''''</w:t>
            </w:r>
            <w:r w:rsidRPr="00CF3D88">
              <w:rPr>
                <w:rFonts w:ascii="Arial Narrow" w:hAnsi="Arial Narrow" w:cs="Times New Roman"/>
                <w:sz w:val="20"/>
              </w:rPr>
              <w:t>/course</w:t>
            </w:r>
          </w:p>
        </w:tc>
        <w:tc>
          <w:tcPr>
            <w:tcW w:w="3446"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jc w:val="left"/>
              <w:rPr>
                <w:rFonts w:ascii="Arial Narrow" w:hAnsi="Arial Narrow" w:cs="Times New Roman"/>
                <w:sz w:val="20"/>
              </w:rPr>
            </w:pPr>
            <w:r w:rsidRPr="00CF3D88">
              <w:rPr>
                <w:rFonts w:ascii="Arial Narrow" w:hAnsi="Arial Narrow" w:cs="Times New Roman"/>
                <w:sz w:val="20"/>
              </w:rPr>
              <w:t>BV: $</w:t>
            </w:r>
            <w:r w:rsidR="00526F5C">
              <w:rPr>
                <w:rFonts w:ascii="Arial Narrow" w:hAnsi="Arial Narrow" w:cs="Times New Roman"/>
                <w:noProof/>
                <w:color w:val="000000"/>
                <w:sz w:val="20"/>
                <w:highlight w:val="black"/>
              </w:rPr>
              <w:t>'''''''''''''</w:t>
            </w:r>
            <w:r w:rsidRPr="00CF3D88">
              <w:rPr>
                <w:rFonts w:ascii="Arial Narrow" w:hAnsi="Arial Narrow" w:cs="Times New Roman"/>
                <w:sz w:val="20"/>
              </w:rPr>
              <w:t xml:space="preserve">/course </w:t>
            </w:r>
          </w:p>
          <w:p w:rsidR="00954713" w:rsidRPr="00CF3D88" w:rsidRDefault="00954713" w:rsidP="00954713">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rPr>
              <w:t>Salvage chemotherapy: $</w:t>
            </w:r>
            <w:r w:rsidR="00526F5C">
              <w:rPr>
                <w:rFonts w:ascii="Arial Narrow" w:hAnsi="Arial Narrow" w:cs="Times New Roman"/>
                <w:noProof/>
                <w:color w:val="000000"/>
                <w:sz w:val="20"/>
                <w:highlight w:val="black"/>
              </w:rPr>
              <w:t>'''''''''''''''</w:t>
            </w:r>
            <w:r w:rsidRPr="00CF3D88">
              <w:rPr>
                <w:rFonts w:ascii="Arial Narrow" w:hAnsi="Arial Narrow" w:cs="Times New Roman"/>
                <w:sz w:val="20"/>
              </w:rPr>
              <w:t>/course</w:t>
            </w:r>
          </w:p>
        </w:tc>
      </w:tr>
      <w:tr w:rsidR="00954713" w:rsidRPr="00CF3D88" w:rsidTr="00954713">
        <w:trPr>
          <w:cantSplit/>
          <w:trHeight w:val="240"/>
        </w:trPr>
        <w:tc>
          <w:tcPr>
            <w:tcW w:w="1559"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sz w:val="20"/>
                <w:lang w:eastAsia="en-AU"/>
              </w:rPr>
            </w:pPr>
            <w:r w:rsidRPr="00CF3D88">
              <w:rPr>
                <w:rFonts w:ascii="Arial Narrow" w:hAnsi="Arial Narrow" w:cs="Times New Roman"/>
                <w:sz w:val="20"/>
                <w:lang w:eastAsia="en-AU"/>
              </w:rPr>
              <w:t xml:space="preserve">Adverse event </w:t>
            </w:r>
            <w:r w:rsidR="00125B96" w:rsidRPr="00CF3D88">
              <w:rPr>
                <w:rFonts w:ascii="Arial Narrow" w:hAnsi="Arial Narrow" w:cs="Times New Roman"/>
                <w:sz w:val="20"/>
                <w:lang w:eastAsia="en-AU"/>
              </w:rPr>
              <w:t>Disutilities</w:t>
            </w:r>
          </w:p>
        </w:tc>
        <w:tc>
          <w:tcPr>
            <w:tcW w:w="3358"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jc w:val="left"/>
              <w:rPr>
                <w:rFonts w:ascii="Arial Narrow" w:hAnsi="Arial Narrow" w:cs="Times New Roman"/>
                <w:sz w:val="20"/>
              </w:rPr>
            </w:pPr>
            <w:r w:rsidRPr="00CF3D88">
              <w:rPr>
                <w:rFonts w:ascii="Arial Narrow" w:hAnsi="Arial Narrow" w:cs="Times New Roman"/>
                <w:sz w:val="20"/>
              </w:rPr>
              <w:t xml:space="preserve">BV: -0.0025/course </w:t>
            </w:r>
          </w:p>
          <w:p w:rsidR="00954713" w:rsidRPr="00CF3D88" w:rsidRDefault="00954713" w:rsidP="00954713">
            <w:pPr>
              <w:keepNext/>
              <w:keepLines/>
              <w:widowControl/>
              <w:snapToGrid w:val="0"/>
              <w:jc w:val="left"/>
              <w:rPr>
                <w:rFonts w:ascii="Arial Narrow" w:hAnsi="Arial Narrow" w:cs="Times New Roman"/>
                <w:sz w:val="20"/>
              </w:rPr>
            </w:pPr>
            <w:r w:rsidRPr="00CF3D88">
              <w:rPr>
                <w:rFonts w:ascii="Arial Narrow" w:hAnsi="Arial Narrow" w:cs="Times New Roman"/>
                <w:sz w:val="20"/>
              </w:rPr>
              <w:t>Salvage chemotherapy: -0.0033/course</w:t>
            </w:r>
          </w:p>
        </w:tc>
        <w:tc>
          <w:tcPr>
            <w:tcW w:w="3446" w:type="dxa"/>
            <w:gridSpan w:val="3"/>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jc w:val="left"/>
              <w:rPr>
                <w:rFonts w:ascii="Arial Narrow" w:hAnsi="Arial Narrow" w:cs="Times New Roman"/>
                <w:sz w:val="20"/>
              </w:rPr>
            </w:pPr>
            <w:r w:rsidRPr="00CF3D88">
              <w:rPr>
                <w:rFonts w:ascii="Arial Narrow" w:hAnsi="Arial Narrow" w:cs="Times New Roman"/>
                <w:sz w:val="20"/>
              </w:rPr>
              <w:t xml:space="preserve">BV: -0.098/course </w:t>
            </w:r>
          </w:p>
          <w:p w:rsidR="00954713" w:rsidRPr="00CF3D88" w:rsidRDefault="00954713" w:rsidP="00954713">
            <w:pPr>
              <w:keepNext/>
              <w:keepLines/>
              <w:widowControl/>
              <w:snapToGrid w:val="0"/>
              <w:jc w:val="left"/>
              <w:rPr>
                <w:rFonts w:ascii="Arial Narrow" w:hAnsi="Arial Narrow" w:cs="Times New Roman"/>
                <w:sz w:val="20"/>
                <w:vertAlign w:val="superscript"/>
              </w:rPr>
            </w:pPr>
            <w:r w:rsidRPr="00CF3D88">
              <w:rPr>
                <w:rFonts w:ascii="Arial Narrow" w:hAnsi="Arial Narrow" w:cs="Times New Roman"/>
                <w:sz w:val="20"/>
              </w:rPr>
              <w:t>Salvage chemotherapy: -0.018/course</w:t>
            </w:r>
          </w:p>
        </w:tc>
      </w:tr>
      <w:tr w:rsidR="00954713" w:rsidRPr="00CF3D88" w:rsidTr="00954713">
        <w:trPr>
          <w:cantSplit/>
          <w:trHeight w:val="143"/>
        </w:trPr>
        <w:tc>
          <w:tcPr>
            <w:tcW w:w="1559" w:type="dxa"/>
            <w:tcBorders>
              <w:top w:val="single" w:sz="4" w:space="0" w:color="auto"/>
              <w:left w:val="single" w:sz="4" w:space="0" w:color="auto"/>
              <w:bottom w:val="single" w:sz="4" w:space="0" w:color="auto"/>
              <w:right w:val="single" w:sz="4" w:space="0" w:color="auto"/>
            </w:tcBorders>
          </w:tcPr>
          <w:p w:rsidR="00954713" w:rsidRPr="00CF3D88" w:rsidRDefault="00954713" w:rsidP="00954713">
            <w:pPr>
              <w:keepNext/>
              <w:keepLines/>
              <w:widowControl/>
              <w:snapToGrid w:val="0"/>
              <w:jc w:val="left"/>
              <w:rPr>
                <w:rFonts w:ascii="Arial Narrow" w:hAnsi="Arial Narrow" w:cs="Times New Roman"/>
                <w:sz w:val="20"/>
                <w:lang w:eastAsia="en-AU"/>
              </w:rPr>
            </w:pPr>
          </w:p>
        </w:tc>
        <w:tc>
          <w:tcPr>
            <w:tcW w:w="1233"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b/>
                <w:sz w:val="20"/>
                <w:lang w:eastAsia="en-AU"/>
              </w:rPr>
            </w:pPr>
            <w:r w:rsidRPr="00CF3D88">
              <w:rPr>
                <w:rFonts w:ascii="Arial Narrow" w:hAnsi="Arial Narrow" w:cs="Times New Roman"/>
                <w:b/>
                <w:sz w:val="20"/>
                <w:lang w:eastAsia="en-AU"/>
              </w:rPr>
              <w:t>BV</w:t>
            </w:r>
          </w:p>
        </w:tc>
        <w:tc>
          <w:tcPr>
            <w:tcW w:w="1177"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b/>
                <w:sz w:val="20"/>
                <w:lang w:eastAsia="en-AU"/>
              </w:rPr>
            </w:pPr>
            <w:r w:rsidRPr="00CF3D88">
              <w:rPr>
                <w:rFonts w:ascii="Arial Narrow" w:hAnsi="Arial Narrow" w:cs="Times New Roman"/>
                <w:b/>
                <w:sz w:val="20"/>
                <w:lang w:eastAsia="en-AU"/>
              </w:rPr>
              <w:t>Salvage chemotherapy</w:t>
            </w:r>
          </w:p>
        </w:tc>
        <w:tc>
          <w:tcPr>
            <w:tcW w:w="948"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b/>
                <w:sz w:val="20"/>
                <w:lang w:eastAsia="en-AU"/>
              </w:rPr>
            </w:pPr>
            <w:r w:rsidRPr="00CF3D88">
              <w:rPr>
                <w:rFonts w:ascii="Lucida Grande" w:hAnsi="Lucida Grande" w:cs="Lucida Grande"/>
                <w:b/>
                <w:color w:val="000000"/>
              </w:rPr>
              <w:t>Δ</w:t>
            </w:r>
          </w:p>
        </w:tc>
        <w:tc>
          <w:tcPr>
            <w:tcW w:w="1178"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b/>
                <w:sz w:val="20"/>
                <w:lang w:eastAsia="en-AU"/>
              </w:rPr>
            </w:pPr>
            <w:r w:rsidRPr="00CF3D88">
              <w:rPr>
                <w:rFonts w:ascii="Arial Narrow" w:hAnsi="Arial Narrow" w:cs="Times New Roman"/>
                <w:b/>
                <w:sz w:val="20"/>
                <w:lang w:eastAsia="en-AU"/>
              </w:rPr>
              <w:t>BV</w:t>
            </w:r>
          </w:p>
        </w:tc>
        <w:tc>
          <w:tcPr>
            <w:tcW w:w="1276"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b/>
                <w:sz w:val="20"/>
                <w:lang w:eastAsia="en-AU"/>
              </w:rPr>
            </w:pPr>
            <w:r w:rsidRPr="00CF3D88">
              <w:rPr>
                <w:rFonts w:ascii="Arial Narrow" w:hAnsi="Arial Narrow" w:cs="Times New Roman"/>
                <w:b/>
                <w:sz w:val="20"/>
                <w:lang w:eastAsia="en-AU"/>
              </w:rPr>
              <w:t>Salvage chemotherapy</w:t>
            </w:r>
          </w:p>
        </w:tc>
        <w:tc>
          <w:tcPr>
            <w:tcW w:w="992"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keepLines/>
              <w:widowControl/>
              <w:snapToGrid w:val="0"/>
              <w:jc w:val="left"/>
              <w:rPr>
                <w:rFonts w:ascii="Arial Narrow" w:hAnsi="Arial Narrow" w:cs="Times New Roman"/>
                <w:b/>
                <w:sz w:val="20"/>
                <w:lang w:eastAsia="en-AU"/>
              </w:rPr>
            </w:pPr>
            <w:r w:rsidRPr="00CF3D88">
              <w:rPr>
                <w:rFonts w:ascii="Lucida Grande" w:hAnsi="Lucida Grande" w:cs="Lucida Grande"/>
                <w:b/>
                <w:color w:val="000000"/>
              </w:rPr>
              <w:t>Δ</w:t>
            </w:r>
          </w:p>
        </w:tc>
      </w:tr>
      <w:tr w:rsidR="00954713" w:rsidRPr="00CF3D88" w:rsidTr="00954713">
        <w:trPr>
          <w:cantSplit/>
          <w:trHeight w:val="269"/>
        </w:trPr>
        <w:tc>
          <w:tcPr>
            <w:tcW w:w="1559"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snapToGrid w:val="0"/>
              <w:jc w:val="left"/>
              <w:rPr>
                <w:rFonts w:ascii="Arial Narrow" w:hAnsi="Arial Narrow" w:cs="Times New Roman"/>
                <w:sz w:val="20"/>
                <w:lang w:eastAsia="en-AU"/>
              </w:rPr>
            </w:pPr>
            <w:r w:rsidRPr="00CF3D88">
              <w:rPr>
                <w:rFonts w:ascii="Arial Narrow" w:hAnsi="Arial Narrow" w:cs="Times New Roman"/>
                <w:sz w:val="20"/>
                <w:lang w:eastAsia="en-AU"/>
              </w:rPr>
              <w:t>Cost</w:t>
            </w:r>
          </w:p>
        </w:tc>
        <w:tc>
          <w:tcPr>
            <w:tcW w:w="1233"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snapToGrid w:val="0"/>
              <w:jc w:val="right"/>
              <w:rPr>
                <w:rFonts w:ascii="Arial Narrow" w:hAnsi="Arial Narrow" w:cs="Times New Roman"/>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1177"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456FA2">
            <w:pPr>
              <w:keepNext/>
              <w:widowControl/>
              <w:snapToGrid w:val="0"/>
              <w:jc w:val="center"/>
              <w:rPr>
                <w:rFonts w:ascii="Arial Narrow" w:hAnsi="Arial Narrow" w:cs="Times New Roman"/>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948"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keepNext/>
              <w:widowControl/>
              <w:snapToGrid w:val="0"/>
              <w:jc w:val="right"/>
              <w:rPr>
                <w:rFonts w:ascii="Arial Narrow" w:hAnsi="Arial Narrow" w:cs="Times New Roman"/>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1178"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snapToGrid w:val="0"/>
              <w:ind w:firstLineChars="100" w:firstLine="200"/>
              <w:jc w:val="right"/>
              <w:rPr>
                <w:rFonts w:ascii="Arial Narrow" w:hAnsi="Arial Narrow" w:cs="Times New Roman"/>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456FA2">
            <w:pPr>
              <w:snapToGrid w:val="0"/>
              <w:ind w:firstLineChars="100" w:firstLine="200"/>
              <w:rPr>
                <w:rFonts w:ascii="Arial Narrow" w:hAnsi="Arial Narrow" w:cs="Times New Roman"/>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456FA2">
            <w:pPr>
              <w:snapToGrid w:val="0"/>
              <w:ind w:firstLineChars="100" w:firstLine="200"/>
              <w:rPr>
                <w:rFonts w:ascii="Arial Narrow" w:hAnsi="Arial Narrow" w:cs="Times New Roman"/>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r>
      <w:tr w:rsidR="00954713" w:rsidRPr="00CF3D88" w:rsidTr="00954713">
        <w:trPr>
          <w:cantSplit/>
          <w:trHeight w:val="269"/>
        </w:trPr>
        <w:tc>
          <w:tcPr>
            <w:tcW w:w="1559"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snapToGrid w:val="0"/>
              <w:jc w:val="left"/>
              <w:rPr>
                <w:rFonts w:ascii="Arial Narrow" w:hAnsi="Arial Narrow" w:cs="Times New Roman"/>
                <w:sz w:val="20"/>
                <w:lang w:eastAsia="en-AU"/>
              </w:rPr>
            </w:pPr>
            <w:r w:rsidRPr="00CF3D88">
              <w:rPr>
                <w:rFonts w:ascii="Arial Narrow" w:hAnsi="Arial Narrow" w:cs="Times New Roman"/>
                <w:sz w:val="20"/>
                <w:lang w:eastAsia="en-AU"/>
              </w:rPr>
              <w:t>LY</w:t>
            </w:r>
          </w:p>
        </w:tc>
        <w:tc>
          <w:tcPr>
            <w:tcW w:w="1233"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snapToGrid w:val="0"/>
              <w:jc w:val="center"/>
              <w:rPr>
                <w:rFonts w:ascii="Arial Narrow" w:hAnsi="Arial Narrow" w:cs="Times New Roman"/>
                <w:sz w:val="20"/>
              </w:rPr>
            </w:pPr>
            <w:r w:rsidRPr="00CF3D88">
              <w:rPr>
                <w:rFonts w:ascii="Arial Narrow" w:hAnsi="Arial Narrow" w:cs="Times New Roman"/>
                <w:sz w:val="20"/>
              </w:rPr>
              <w:t>5.03</w:t>
            </w:r>
          </w:p>
        </w:tc>
        <w:tc>
          <w:tcPr>
            <w:tcW w:w="1177"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snapToGrid w:val="0"/>
              <w:jc w:val="center"/>
              <w:rPr>
                <w:rFonts w:ascii="Arial Narrow" w:hAnsi="Arial Narrow" w:cs="Times New Roman"/>
                <w:sz w:val="20"/>
              </w:rPr>
            </w:pPr>
            <w:r w:rsidRPr="00CF3D88">
              <w:rPr>
                <w:rFonts w:ascii="Arial Narrow" w:hAnsi="Arial Narrow" w:cs="Times New Roman"/>
                <w:sz w:val="20"/>
              </w:rPr>
              <w:t>3.40</w:t>
            </w:r>
          </w:p>
        </w:tc>
        <w:tc>
          <w:tcPr>
            <w:tcW w:w="948"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snapToGrid w:val="0"/>
              <w:jc w:val="center"/>
              <w:rPr>
                <w:rFonts w:ascii="Arial Narrow" w:hAnsi="Arial Narrow" w:cs="Times New Roman"/>
                <w:sz w:val="20"/>
              </w:rPr>
            </w:pPr>
            <w:r w:rsidRPr="00CF3D88">
              <w:rPr>
                <w:rFonts w:ascii="Arial Narrow" w:hAnsi="Arial Narrow" w:cs="Times New Roman"/>
                <w:sz w:val="20"/>
              </w:rPr>
              <w:t>1.64</w:t>
            </w:r>
          </w:p>
        </w:tc>
        <w:tc>
          <w:tcPr>
            <w:tcW w:w="1178"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snapToGrid w:val="0"/>
              <w:jc w:val="center"/>
              <w:rPr>
                <w:rFonts w:ascii="Arial Narrow" w:hAnsi="Arial Narrow" w:cs="Times New Roman"/>
                <w:sz w:val="20"/>
              </w:rPr>
            </w:pPr>
            <w:r w:rsidRPr="00CF3D88">
              <w:rPr>
                <w:rFonts w:ascii="Arial Narrow" w:hAnsi="Arial Narrow" w:cs="Times New Roman"/>
                <w:sz w:val="20"/>
              </w:rPr>
              <w:t>7.79</w:t>
            </w:r>
          </w:p>
        </w:tc>
        <w:tc>
          <w:tcPr>
            <w:tcW w:w="1276"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snapToGrid w:val="0"/>
              <w:jc w:val="center"/>
              <w:rPr>
                <w:rFonts w:ascii="Arial Narrow" w:hAnsi="Arial Narrow" w:cs="Times New Roman"/>
                <w:sz w:val="20"/>
              </w:rPr>
            </w:pPr>
            <w:r w:rsidRPr="00CF3D88">
              <w:rPr>
                <w:rFonts w:ascii="Arial Narrow" w:hAnsi="Arial Narrow" w:cs="Times New Roman"/>
                <w:sz w:val="20"/>
              </w:rPr>
              <w:t>3.36</w:t>
            </w:r>
          </w:p>
        </w:tc>
        <w:tc>
          <w:tcPr>
            <w:tcW w:w="992"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widowControl/>
              <w:snapToGrid w:val="0"/>
              <w:jc w:val="center"/>
              <w:rPr>
                <w:rFonts w:ascii="Arial Narrow" w:hAnsi="Arial Narrow" w:cs="Times New Roman"/>
                <w:sz w:val="20"/>
              </w:rPr>
            </w:pPr>
            <w:r w:rsidRPr="00CF3D88">
              <w:rPr>
                <w:rFonts w:ascii="Arial Narrow" w:hAnsi="Arial Narrow" w:cs="Times New Roman"/>
                <w:sz w:val="20"/>
              </w:rPr>
              <w:t>4.43</w:t>
            </w:r>
          </w:p>
        </w:tc>
      </w:tr>
      <w:tr w:rsidR="00954713" w:rsidRPr="00CF3D88" w:rsidTr="00954713">
        <w:trPr>
          <w:cantSplit/>
          <w:trHeight w:val="255"/>
        </w:trPr>
        <w:tc>
          <w:tcPr>
            <w:tcW w:w="1559"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snapToGrid w:val="0"/>
              <w:jc w:val="left"/>
              <w:rPr>
                <w:rFonts w:ascii="Arial Narrow" w:hAnsi="Arial Narrow" w:cs="Times New Roman"/>
                <w:sz w:val="20"/>
                <w:lang w:eastAsia="en-AU"/>
              </w:rPr>
            </w:pPr>
            <w:r w:rsidRPr="00CF3D88">
              <w:rPr>
                <w:rFonts w:ascii="Arial Narrow" w:hAnsi="Arial Narrow" w:cs="Times New Roman"/>
                <w:sz w:val="20"/>
                <w:lang w:eastAsia="en-AU"/>
              </w:rPr>
              <w:t>QALYs</w:t>
            </w:r>
          </w:p>
        </w:tc>
        <w:tc>
          <w:tcPr>
            <w:tcW w:w="1233"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widowControl/>
              <w:snapToGrid w:val="0"/>
              <w:jc w:val="center"/>
              <w:rPr>
                <w:rFonts w:ascii="Arial Narrow" w:hAnsi="Arial Narrow" w:cs="Times New Roman"/>
                <w:sz w:val="20"/>
              </w:rPr>
            </w:pPr>
            <w:r w:rsidRPr="00CF3D88">
              <w:rPr>
                <w:rFonts w:ascii="Arial Narrow" w:hAnsi="Arial Narrow" w:cs="Times New Roman"/>
                <w:sz w:val="20"/>
              </w:rPr>
              <w:t>2.85</w:t>
            </w:r>
          </w:p>
        </w:tc>
        <w:tc>
          <w:tcPr>
            <w:tcW w:w="1177"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keepNext/>
              <w:widowControl/>
              <w:snapToGrid w:val="0"/>
              <w:jc w:val="center"/>
              <w:rPr>
                <w:rFonts w:ascii="Arial Narrow" w:hAnsi="Arial Narrow" w:cs="Times New Roman"/>
                <w:sz w:val="20"/>
              </w:rPr>
            </w:pPr>
            <w:r w:rsidRPr="00CF3D88">
              <w:rPr>
                <w:rFonts w:ascii="Arial Narrow" w:hAnsi="Arial Narrow" w:cs="Times New Roman"/>
                <w:sz w:val="20"/>
              </w:rPr>
              <w:t>1.85</w:t>
            </w:r>
          </w:p>
        </w:tc>
        <w:tc>
          <w:tcPr>
            <w:tcW w:w="948" w:type="dxa"/>
            <w:tcBorders>
              <w:top w:val="single" w:sz="4" w:space="0" w:color="auto"/>
              <w:left w:val="single" w:sz="4" w:space="0" w:color="auto"/>
              <w:bottom w:val="single" w:sz="4" w:space="0" w:color="auto"/>
              <w:right w:val="single" w:sz="4" w:space="0" w:color="auto"/>
            </w:tcBorders>
            <w:hideMark/>
          </w:tcPr>
          <w:p w:rsidR="00954713" w:rsidRPr="00CF3D88" w:rsidRDefault="00954713" w:rsidP="00954713">
            <w:pPr>
              <w:keepNext/>
              <w:widowControl/>
              <w:snapToGrid w:val="0"/>
              <w:jc w:val="center"/>
              <w:rPr>
                <w:rFonts w:ascii="Arial Narrow" w:hAnsi="Arial Narrow" w:cs="Times New Roman"/>
                <w:sz w:val="20"/>
              </w:rPr>
            </w:pPr>
            <w:r w:rsidRPr="00CF3D88">
              <w:rPr>
                <w:rFonts w:ascii="Arial Narrow" w:hAnsi="Arial Narrow" w:cs="Times New Roman"/>
                <w:sz w:val="20"/>
              </w:rPr>
              <w:t>1.00</w:t>
            </w:r>
          </w:p>
        </w:tc>
        <w:tc>
          <w:tcPr>
            <w:tcW w:w="1178"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keepNext/>
              <w:widowControl/>
              <w:snapToGrid w:val="0"/>
              <w:jc w:val="center"/>
              <w:rPr>
                <w:rFonts w:ascii="Arial Narrow" w:hAnsi="Arial Narrow" w:cs="Times New Roman"/>
                <w:sz w:val="20"/>
              </w:rPr>
            </w:pPr>
            <w:r w:rsidRPr="00CF3D88">
              <w:rPr>
                <w:rFonts w:ascii="Arial Narrow" w:hAnsi="Arial Narrow" w:cs="Times New Roman"/>
                <w:sz w:val="20"/>
              </w:rPr>
              <w:t>4.05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keepNext/>
              <w:widowControl/>
              <w:snapToGrid w:val="0"/>
              <w:jc w:val="center"/>
              <w:rPr>
                <w:rFonts w:ascii="Arial Narrow" w:hAnsi="Arial Narrow" w:cs="Times New Roman"/>
                <w:sz w:val="20"/>
              </w:rPr>
            </w:pPr>
            <w:r w:rsidRPr="00CF3D88">
              <w:rPr>
                <w:rFonts w:ascii="Arial Narrow" w:hAnsi="Arial Narrow" w:cs="Times New Roman"/>
                <w:sz w:val="20"/>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keepNext/>
              <w:widowControl/>
              <w:snapToGrid w:val="0"/>
              <w:jc w:val="center"/>
              <w:rPr>
                <w:rFonts w:ascii="Arial Narrow" w:hAnsi="Arial Narrow" w:cs="Times New Roman"/>
                <w:sz w:val="20"/>
              </w:rPr>
            </w:pPr>
            <w:r w:rsidRPr="00CF3D88">
              <w:rPr>
                <w:rFonts w:ascii="Arial Narrow" w:hAnsi="Arial Narrow" w:cs="Times New Roman"/>
                <w:sz w:val="20"/>
              </w:rPr>
              <w:t>2.65</w:t>
            </w:r>
          </w:p>
        </w:tc>
      </w:tr>
      <w:tr w:rsidR="006D4567" w:rsidRPr="00CF3D88" w:rsidTr="00AE0E35">
        <w:trPr>
          <w:cantSplit/>
          <w:trHeight w:val="255"/>
        </w:trPr>
        <w:tc>
          <w:tcPr>
            <w:tcW w:w="1559" w:type="dxa"/>
            <w:tcBorders>
              <w:top w:val="single" w:sz="4" w:space="0" w:color="auto"/>
              <w:left w:val="single" w:sz="4" w:space="0" w:color="auto"/>
              <w:bottom w:val="single" w:sz="4" w:space="0" w:color="auto"/>
              <w:right w:val="single" w:sz="4" w:space="0" w:color="auto"/>
            </w:tcBorders>
            <w:vAlign w:val="center"/>
          </w:tcPr>
          <w:p w:rsidR="006D4567" w:rsidRPr="00CF3D88" w:rsidRDefault="006D4567" w:rsidP="00AE0E35">
            <w:pPr>
              <w:snapToGrid w:val="0"/>
              <w:jc w:val="left"/>
              <w:rPr>
                <w:rFonts w:ascii="Arial Narrow" w:hAnsi="Arial Narrow" w:cs="Times New Roman"/>
                <w:sz w:val="20"/>
                <w:lang w:eastAsia="en-AU"/>
              </w:rPr>
            </w:pPr>
            <w:r w:rsidRPr="00CF3D88">
              <w:rPr>
                <w:rFonts w:ascii="Arial Narrow" w:hAnsi="Arial Narrow" w:cs="Times New Roman"/>
                <w:sz w:val="20"/>
                <w:lang w:eastAsia="en-AU"/>
              </w:rPr>
              <w:t xml:space="preserve">ICER/QALY </w:t>
            </w:r>
          </w:p>
        </w:tc>
        <w:tc>
          <w:tcPr>
            <w:tcW w:w="3358" w:type="dxa"/>
            <w:gridSpan w:val="3"/>
            <w:tcBorders>
              <w:top w:val="single" w:sz="4" w:space="0" w:color="auto"/>
              <w:left w:val="single" w:sz="4" w:space="0" w:color="auto"/>
              <w:bottom w:val="single" w:sz="4" w:space="0" w:color="auto"/>
              <w:right w:val="single" w:sz="4" w:space="0" w:color="auto"/>
            </w:tcBorders>
            <w:vAlign w:val="center"/>
          </w:tcPr>
          <w:p w:rsidR="006D4567" w:rsidRPr="00CF3D88" w:rsidRDefault="006D4567" w:rsidP="00AE0E35">
            <w:pPr>
              <w:keepNext/>
              <w:keepLines/>
              <w:widowControl/>
              <w:snapToGrid w:val="0"/>
              <w:jc w:val="right"/>
              <w:rPr>
                <w:rFonts w:ascii="Arial Narrow" w:hAnsi="Arial Narrow" w:cs="Times New Roman"/>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3446" w:type="dxa"/>
            <w:gridSpan w:val="3"/>
            <w:tcBorders>
              <w:top w:val="single" w:sz="4" w:space="0" w:color="auto"/>
              <w:left w:val="single" w:sz="4" w:space="0" w:color="auto"/>
              <w:bottom w:val="single" w:sz="4" w:space="0" w:color="auto"/>
              <w:right w:val="single" w:sz="4" w:space="0" w:color="auto"/>
            </w:tcBorders>
            <w:vAlign w:val="center"/>
          </w:tcPr>
          <w:p w:rsidR="006D4567" w:rsidRPr="00456FA2" w:rsidRDefault="006D4567" w:rsidP="00AE0E35">
            <w:pPr>
              <w:keepNext/>
              <w:keepLines/>
              <w:widowControl/>
              <w:snapToGrid w:val="0"/>
              <w:jc w:val="right"/>
              <w:rPr>
                <w:rFonts w:ascii="Arial Narrow" w:hAnsi="Arial Narrow" w:cs="Times New Roman"/>
                <w:sz w:val="20"/>
              </w:rPr>
            </w:pPr>
            <w:r w:rsidRPr="00456FA2">
              <w:rPr>
                <w:rFonts w:ascii="Arial Narrow" w:hAnsi="Arial Narrow" w:cs="Times New Roman"/>
                <w:b/>
                <w:sz w:val="20"/>
              </w:rPr>
              <w:t>Resubmission base case</w:t>
            </w:r>
            <w:r w:rsidRPr="00456FA2">
              <w:rPr>
                <w:rFonts w:ascii="Arial Narrow" w:hAnsi="Arial Narrow" w:cs="Times New Roman"/>
                <w:sz w:val="20"/>
              </w:rPr>
              <w:t>: $</w:t>
            </w:r>
            <w:r w:rsidR="00526F5C">
              <w:rPr>
                <w:rFonts w:ascii="Arial Narrow" w:hAnsi="Arial Narrow" w:cs="Times New Roman"/>
                <w:noProof/>
                <w:color w:val="000000"/>
                <w:sz w:val="20"/>
                <w:highlight w:val="black"/>
              </w:rPr>
              <w:t>''''''''''''''''</w:t>
            </w:r>
          </w:p>
        </w:tc>
      </w:tr>
      <w:tr w:rsidR="006D4567" w:rsidRPr="00CF3D88" w:rsidTr="00AE0E35">
        <w:trPr>
          <w:cantSplit/>
          <w:trHeight w:val="255"/>
        </w:trPr>
        <w:tc>
          <w:tcPr>
            <w:tcW w:w="1559" w:type="dxa"/>
            <w:tcBorders>
              <w:top w:val="single" w:sz="4" w:space="0" w:color="auto"/>
              <w:left w:val="single" w:sz="4" w:space="0" w:color="auto"/>
              <w:bottom w:val="single" w:sz="4" w:space="0" w:color="auto"/>
              <w:right w:val="single" w:sz="4" w:space="0" w:color="auto"/>
            </w:tcBorders>
            <w:vAlign w:val="center"/>
          </w:tcPr>
          <w:p w:rsidR="006D4567" w:rsidRPr="00CF3D88" w:rsidRDefault="006D4567" w:rsidP="00AE0E35">
            <w:pPr>
              <w:snapToGrid w:val="0"/>
              <w:jc w:val="left"/>
              <w:rPr>
                <w:rFonts w:ascii="Arial Narrow" w:hAnsi="Arial Narrow" w:cs="Times New Roman"/>
                <w:sz w:val="20"/>
                <w:lang w:eastAsia="en-AU"/>
              </w:rPr>
            </w:pPr>
          </w:p>
        </w:tc>
        <w:tc>
          <w:tcPr>
            <w:tcW w:w="3358" w:type="dxa"/>
            <w:gridSpan w:val="3"/>
            <w:tcBorders>
              <w:top w:val="single" w:sz="4" w:space="0" w:color="auto"/>
              <w:left w:val="single" w:sz="4" w:space="0" w:color="auto"/>
              <w:bottom w:val="single" w:sz="4" w:space="0" w:color="auto"/>
              <w:right w:val="single" w:sz="4" w:space="0" w:color="auto"/>
            </w:tcBorders>
            <w:vAlign w:val="center"/>
          </w:tcPr>
          <w:p w:rsidR="006D4567" w:rsidRPr="00CF3D88" w:rsidRDefault="006D4567" w:rsidP="00AE0E35">
            <w:pPr>
              <w:keepNext/>
              <w:keepLines/>
              <w:widowControl/>
              <w:snapToGrid w:val="0"/>
              <w:jc w:val="right"/>
              <w:rPr>
                <w:rFonts w:ascii="Arial Narrow" w:hAnsi="Arial Narrow" w:cs="Times New Roman"/>
                <w:sz w:val="20"/>
              </w:rPr>
            </w:pPr>
          </w:p>
        </w:tc>
        <w:tc>
          <w:tcPr>
            <w:tcW w:w="3446" w:type="dxa"/>
            <w:gridSpan w:val="3"/>
            <w:tcBorders>
              <w:top w:val="single" w:sz="4" w:space="0" w:color="auto"/>
              <w:left w:val="single" w:sz="4" w:space="0" w:color="auto"/>
              <w:bottom w:val="single" w:sz="4" w:space="0" w:color="auto"/>
              <w:right w:val="single" w:sz="4" w:space="0" w:color="auto"/>
            </w:tcBorders>
            <w:vAlign w:val="center"/>
          </w:tcPr>
          <w:p w:rsidR="006D4567" w:rsidRPr="00456FA2" w:rsidRDefault="006D4567" w:rsidP="00AE0E35">
            <w:pPr>
              <w:keepNext/>
              <w:keepLines/>
              <w:widowControl/>
              <w:snapToGrid w:val="0"/>
              <w:jc w:val="right"/>
              <w:rPr>
                <w:rFonts w:ascii="Arial Narrow" w:hAnsi="Arial Narrow" w:cs="Times New Roman"/>
                <w:b/>
                <w:sz w:val="20"/>
              </w:rPr>
            </w:pPr>
            <w:r w:rsidRPr="00456FA2">
              <w:rPr>
                <w:rFonts w:ascii="Arial Narrow" w:hAnsi="Arial Narrow" w:cs="Times New Roman"/>
                <w:b/>
                <w:sz w:val="20"/>
              </w:rPr>
              <w:t>Revised base case presented in PSCR</w:t>
            </w:r>
          </w:p>
          <w:p w:rsidR="006D4567" w:rsidRPr="00456FA2" w:rsidRDefault="006D4567" w:rsidP="006D4567">
            <w:pPr>
              <w:keepNext/>
              <w:keepLines/>
              <w:widowControl/>
              <w:snapToGrid w:val="0"/>
              <w:jc w:val="right"/>
              <w:rPr>
                <w:rFonts w:ascii="Arial Narrow" w:hAnsi="Arial Narrow" w:cs="Times New Roman"/>
                <w:b/>
                <w:sz w:val="20"/>
              </w:rPr>
            </w:pPr>
            <w:r w:rsidRPr="00456FA2">
              <w:rPr>
                <w:rFonts w:ascii="Arial Narrow" w:hAnsi="Arial Narrow" w:cs="Times New Roman"/>
                <w:b/>
                <w:sz w:val="20"/>
              </w:rPr>
              <w:t>$</w:t>
            </w:r>
            <w:r w:rsidR="00526F5C">
              <w:rPr>
                <w:rFonts w:ascii="Arial Narrow" w:hAnsi="Arial Narrow" w:cs="Times New Roman"/>
                <w:b/>
                <w:noProof/>
                <w:color w:val="000000"/>
                <w:sz w:val="20"/>
                <w:highlight w:val="black"/>
              </w:rPr>
              <w:t>''''''''''''</w:t>
            </w:r>
          </w:p>
        </w:tc>
      </w:tr>
    </w:tbl>
    <w:p w:rsidR="00954713" w:rsidRPr="00CF3D88" w:rsidRDefault="00954713" w:rsidP="00954713">
      <w:pPr>
        <w:ind w:left="720"/>
        <w:rPr>
          <w:rFonts w:ascii="Arial Narrow" w:hAnsi="Arial Narrow"/>
          <w:i/>
          <w:sz w:val="18"/>
        </w:rPr>
      </w:pPr>
      <w:r w:rsidRPr="00CF3D88">
        <w:rPr>
          <w:rFonts w:ascii="Arial Narrow" w:hAnsi="Arial Narrow"/>
          <w:sz w:val="18"/>
        </w:rPr>
        <w:t>Source: compiled during the evaluation</w:t>
      </w:r>
      <w:r w:rsidR="00BB2D76" w:rsidRPr="00CF3D88">
        <w:rPr>
          <w:rFonts w:ascii="Arial Narrow" w:hAnsi="Arial Narrow"/>
          <w:sz w:val="18"/>
        </w:rPr>
        <w:t xml:space="preserve">, </w:t>
      </w:r>
      <w:r w:rsidR="00BB2D76" w:rsidRPr="00CF3D88">
        <w:rPr>
          <w:rFonts w:ascii="Arial Narrow" w:hAnsi="Arial Narrow"/>
          <w:i/>
          <w:sz w:val="18"/>
        </w:rPr>
        <w:t>updated analyses provided in PSCR</w:t>
      </w:r>
    </w:p>
    <w:p w:rsidR="00954713" w:rsidRPr="00CF3D88" w:rsidRDefault="00954713" w:rsidP="00954713">
      <w:pPr>
        <w:ind w:left="720"/>
        <w:rPr>
          <w:rFonts w:ascii="Arial Narrow" w:hAnsi="Arial Narrow"/>
          <w:sz w:val="18"/>
        </w:rPr>
      </w:pPr>
      <w:r w:rsidRPr="00CF3D88">
        <w:rPr>
          <w:rFonts w:ascii="Arial Narrow" w:hAnsi="Arial Narrow"/>
          <w:sz w:val="18"/>
        </w:rPr>
        <w:t>BV= brentuximab vedotin; LY = life year; ICER = incremental cost-effectiveness ratio; mngt = management; QALY = quality-adjusted life year</w:t>
      </w:r>
      <w:r w:rsidR="00791840" w:rsidRPr="00CF3D88">
        <w:rPr>
          <w:rFonts w:ascii="Arial Narrow" w:hAnsi="Arial Narrow"/>
          <w:sz w:val="18"/>
        </w:rPr>
        <w:t>; yrs = years</w:t>
      </w:r>
      <w:r w:rsidRPr="00CF3D88">
        <w:rPr>
          <w:rFonts w:ascii="Arial Narrow" w:hAnsi="Arial Narrow"/>
          <w:sz w:val="18"/>
        </w:rPr>
        <w:t xml:space="preserve"> </w:t>
      </w:r>
    </w:p>
    <w:p w:rsidR="00954713" w:rsidRPr="00CF3D88" w:rsidRDefault="00954713" w:rsidP="00954713">
      <w:pPr>
        <w:snapToGrid w:val="0"/>
        <w:ind w:left="709"/>
        <w:rPr>
          <w:rFonts w:ascii="Arial Narrow" w:hAnsi="Arial Narrow"/>
          <w:snapToGrid/>
          <w:sz w:val="18"/>
        </w:rPr>
      </w:pPr>
    </w:p>
    <w:p w:rsidR="00954713" w:rsidRPr="00CF3D88" w:rsidRDefault="00954713" w:rsidP="009530DB">
      <w:pPr>
        <w:widowControl/>
        <w:numPr>
          <w:ilvl w:val="1"/>
          <w:numId w:val="2"/>
        </w:numPr>
        <w:contextualSpacing/>
        <w:rPr>
          <w:szCs w:val="22"/>
        </w:rPr>
      </w:pPr>
      <w:r w:rsidRPr="00CF3D88">
        <w:rPr>
          <w:szCs w:val="22"/>
        </w:rPr>
        <w:t xml:space="preserve">The </w:t>
      </w:r>
      <w:r w:rsidR="00A8064E" w:rsidRPr="00CF3D88">
        <w:rPr>
          <w:szCs w:val="22"/>
        </w:rPr>
        <w:t xml:space="preserve">resubmission </w:t>
      </w:r>
      <w:r w:rsidRPr="00CF3D88">
        <w:rPr>
          <w:szCs w:val="22"/>
        </w:rPr>
        <w:t xml:space="preserve">used a three-health state model, comprising the following health states: stable disease; progressive disease; and death. The structure was unchanged from the previous submission. The </w:t>
      </w:r>
      <w:r w:rsidR="00020ACE" w:rsidRPr="00CF3D88">
        <w:rPr>
          <w:szCs w:val="22"/>
        </w:rPr>
        <w:t xml:space="preserve">ESC </w:t>
      </w:r>
      <w:r w:rsidR="00FB130F" w:rsidRPr="00CF3D88">
        <w:rPr>
          <w:szCs w:val="22"/>
        </w:rPr>
        <w:t xml:space="preserve">noted that the structure of the model was unchanged from the previous submission, and </w:t>
      </w:r>
      <w:r w:rsidR="00CB26BC" w:rsidRPr="00CF3D88">
        <w:rPr>
          <w:szCs w:val="22"/>
        </w:rPr>
        <w:t>agre</w:t>
      </w:r>
      <w:r w:rsidR="00020ACE" w:rsidRPr="00CF3D88">
        <w:rPr>
          <w:szCs w:val="22"/>
        </w:rPr>
        <w:t xml:space="preserve">ed that the </w:t>
      </w:r>
      <w:r w:rsidRPr="00CF3D88">
        <w:rPr>
          <w:szCs w:val="22"/>
        </w:rPr>
        <w:t>use of a three health state model was reasonable.</w:t>
      </w:r>
    </w:p>
    <w:p w:rsidR="00954713" w:rsidRPr="00CF3D88" w:rsidRDefault="00954713" w:rsidP="00954713">
      <w:pPr>
        <w:widowControl/>
        <w:ind w:left="720"/>
        <w:contextualSpacing/>
        <w:rPr>
          <w:szCs w:val="22"/>
        </w:rPr>
      </w:pPr>
    </w:p>
    <w:p w:rsidR="00954713" w:rsidRPr="00CF3D88" w:rsidRDefault="00954713" w:rsidP="009530DB">
      <w:pPr>
        <w:widowControl/>
        <w:numPr>
          <w:ilvl w:val="1"/>
          <w:numId w:val="2"/>
        </w:numPr>
        <w:contextualSpacing/>
      </w:pPr>
      <w:r w:rsidRPr="00CF3D88">
        <w:t>A summary of the key drivers of the model is presented in the table below.</w:t>
      </w:r>
    </w:p>
    <w:p w:rsidR="00954713" w:rsidRPr="00CF3D88" w:rsidRDefault="00954713" w:rsidP="00954713">
      <w:pPr>
        <w:widowControl/>
        <w:rPr>
          <w:szCs w:val="22"/>
        </w:rPr>
      </w:pPr>
    </w:p>
    <w:p w:rsidR="00954713" w:rsidRPr="00CF3D88" w:rsidRDefault="00954713" w:rsidP="002C7059">
      <w:pPr>
        <w:keepNext/>
        <w:widowControl/>
        <w:ind w:firstLine="720"/>
        <w:rPr>
          <w:rFonts w:ascii="Arial Narrow" w:hAnsi="Arial Narrow"/>
          <w:b/>
          <w:sz w:val="20"/>
          <w:szCs w:val="16"/>
        </w:rPr>
      </w:pPr>
      <w:r w:rsidRPr="00CF3D88">
        <w:rPr>
          <w:rFonts w:ascii="Arial Narrow" w:hAnsi="Arial Narrow"/>
          <w:b/>
          <w:sz w:val="20"/>
          <w:szCs w:val="16"/>
        </w:rPr>
        <w:lastRenderedPageBreak/>
        <w:t xml:space="preserve">Table </w:t>
      </w:r>
      <w:r w:rsidR="001A124B" w:rsidRPr="00CF3D88">
        <w:rPr>
          <w:rFonts w:ascii="Arial Narrow" w:hAnsi="Arial Narrow"/>
          <w:b/>
          <w:sz w:val="20"/>
          <w:szCs w:val="16"/>
        </w:rPr>
        <w:t>8</w:t>
      </w:r>
      <w:r w:rsidRPr="00CF3D88">
        <w:rPr>
          <w:rFonts w:ascii="Arial Narrow" w:hAnsi="Arial Narrow"/>
          <w:b/>
          <w:sz w:val="20"/>
          <w:szCs w:val="16"/>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0"/>
        <w:gridCol w:w="4253"/>
        <w:gridCol w:w="2392"/>
      </w:tblGrid>
      <w:tr w:rsidR="00954713" w:rsidRPr="00CF3D88" w:rsidTr="00CE07BE">
        <w:trPr>
          <w:tblHeader/>
        </w:trPr>
        <w:tc>
          <w:tcPr>
            <w:tcW w:w="1019" w:type="pct"/>
            <w:shd w:val="clear" w:color="auto" w:fill="auto"/>
            <w:vAlign w:val="center"/>
          </w:tcPr>
          <w:p w:rsidR="00954713" w:rsidRPr="00CF3D88" w:rsidRDefault="00954713" w:rsidP="002C7059">
            <w:pPr>
              <w:keepNext/>
              <w:widowControl/>
              <w:jc w:val="left"/>
              <w:rPr>
                <w:rFonts w:ascii="Arial Narrow" w:hAnsi="Arial Narrow"/>
                <w:b/>
                <w:sz w:val="20"/>
              </w:rPr>
            </w:pPr>
            <w:r w:rsidRPr="00CF3D88">
              <w:rPr>
                <w:rFonts w:ascii="Arial Narrow" w:hAnsi="Arial Narrow"/>
                <w:b/>
                <w:sz w:val="20"/>
              </w:rPr>
              <w:t>Description</w:t>
            </w:r>
          </w:p>
        </w:tc>
        <w:tc>
          <w:tcPr>
            <w:tcW w:w="2548" w:type="pct"/>
            <w:shd w:val="clear" w:color="auto" w:fill="auto"/>
            <w:vAlign w:val="center"/>
          </w:tcPr>
          <w:p w:rsidR="00954713" w:rsidRPr="00CF3D88" w:rsidRDefault="00954713" w:rsidP="002C7059">
            <w:pPr>
              <w:keepNext/>
              <w:widowControl/>
              <w:jc w:val="center"/>
              <w:rPr>
                <w:rFonts w:ascii="Arial Narrow" w:hAnsi="Arial Narrow"/>
                <w:b/>
                <w:sz w:val="20"/>
              </w:rPr>
            </w:pPr>
            <w:r w:rsidRPr="00CF3D88">
              <w:rPr>
                <w:rFonts w:ascii="Arial Narrow" w:hAnsi="Arial Narrow"/>
                <w:b/>
                <w:sz w:val="20"/>
              </w:rPr>
              <w:t>Method/Value</w:t>
            </w:r>
          </w:p>
        </w:tc>
        <w:tc>
          <w:tcPr>
            <w:tcW w:w="1433" w:type="pct"/>
            <w:shd w:val="clear" w:color="auto" w:fill="auto"/>
            <w:vAlign w:val="center"/>
          </w:tcPr>
          <w:p w:rsidR="00954713" w:rsidRPr="00CF3D88" w:rsidRDefault="00954713" w:rsidP="002C7059">
            <w:pPr>
              <w:keepNext/>
              <w:widowControl/>
              <w:jc w:val="center"/>
              <w:rPr>
                <w:rFonts w:ascii="Arial Narrow" w:hAnsi="Arial Narrow"/>
                <w:b/>
                <w:sz w:val="20"/>
              </w:rPr>
            </w:pPr>
            <w:r w:rsidRPr="00CF3D88">
              <w:rPr>
                <w:rFonts w:ascii="Arial Narrow" w:hAnsi="Arial Narrow"/>
                <w:b/>
                <w:sz w:val="20"/>
              </w:rPr>
              <w:t>Impact</w:t>
            </w:r>
          </w:p>
        </w:tc>
      </w:tr>
      <w:tr w:rsidR="00954713" w:rsidRPr="00CF3D88" w:rsidTr="00CE07BE">
        <w:tc>
          <w:tcPr>
            <w:tcW w:w="1019" w:type="pct"/>
            <w:shd w:val="clear" w:color="auto" w:fill="auto"/>
            <w:vAlign w:val="center"/>
          </w:tcPr>
          <w:p w:rsidR="00954713" w:rsidRPr="00CF3D88" w:rsidRDefault="00954713" w:rsidP="002C7059">
            <w:pPr>
              <w:keepNext/>
              <w:widowControl/>
              <w:jc w:val="left"/>
              <w:rPr>
                <w:rFonts w:ascii="Arial Narrow" w:hAnsi="Arial Narrow"/>
                <w:sz w:val="20"/>
              </w:rPr>
            </w:pPr>
            <w:r w:rsidRPr="00CF3D88">
              <w:rPr>
                <w:rFonts w:ascii="Arial Narrow" w:hAnsi="Arial Narrow"/>
                <w:sz w:val="20"/>
              </w:rPr>
              <w:t xml:space="preserve">Time horizon </w:t>
            </w:r>
          </w:p>
        </w:tc>
        <w:tc>
          <w:tcPr>
            <w:tcW w:w="2548" w:type="pct"/>
            <w:shd w:val="clear" w:color="auto" w:fill="auto"/>
          </w:tcPr>
          <w:p w:rsidR="00954713" w:rsidRPr="00CF3D88" w:rsidRDefault="00954713" w:rsidP="002C7059">
            <w:pPr>
              <w:keepNext/>
              <w:widowControl/>
              <w:jc w:val="left"/>
              <w:rPr>
                <w:rFonts w:ascii="Arial Narrow" w:hAnsi="Arial Narrow"/>
                <w:sz w:val="20"/>
              </w:rPr>
            </w:pPr>
            <w:r w:rsidRPr="00CF3D88">
              <w:rPr>
                <w:rFonts w:ascii="Arial Narrow" w:hAnsi="Arial Narrow"/>
                <w:sz w:val="20"/>
              </w:rPr>
              <w:t xml:space="preserve">Assumed 13 years </w:t>
            </w:r>
          </w:p>
        </w:tc>
        <w:tc>
          <w:tcPr>
            <w:tcW w:w="1433" w:type="pct"/>
            <w:shd w:val="clear" w:color="auto" w:fill="auto"/>
          </w:tcPr>
          <w:p w:rsidR="00954713" w:rsidRPr="00CF3D88" w:rsidRDefault="00954713" w:rsidP="002C7059">
            <w:pPr>
              <w:keepNext/>
              <w:widowControl/>
              <w:jc w:val="left"/>
              <w:rPr>
                <w:rFonts w:ascii="Arial Narrow" w:hAnsi="Arial Narrow"/>
                <w:sz w:val="20"/>
              </w:rPr>
            </w:pPr>
            <w:r w:rsidRPr="00CF3D88">
              <w:rPr>
                <w:rFonts w:ascii="Arial Narrow" w:hAnsi="Arial Narrow"/>
                <w:sz w:val="20"/>
              </w:rPr>
              <w:t>High, favoured brentuximab vedotin</w:t>
            </w:r>
          </w:p>
        </w:tc>
      </w:tr>
      <w:tr w:rsidR="006006D2" w:rsidRPr="00CF3D88" w:rsidTr="00CE07BE">
        <w:tc>
          <w:tcPr>
            <w:tcW w:w="1019" w:type="pct"/>
            <w:shd w:val="clear" w:color="auto" w:fill="auto"/>
          </w:tcPr>
          <w:p w:rsidR="006006D2" w:rsidRPr="00CF3D88" w:rsidRDefault="006006D2" w:rsidP="006006D2">
            <w:pPr>
              <w:keepNext/>
              <w:widowControl/>
              <w:jc w:val="left"/>
              <w:rPr>
                <w:rFonts w:ascii="Arial Narrow" w:hAnsi="Arial Narrow"/>
                <w:sz w:val="20"/>
              </w:rPr>
            </w:pPr>
            <w:r w:rsidRPr="00CF3D88">
              <w:rPr>
                <w:rFonts w:ascii="Arial Narrow" w:hAnsi="Arial Narrow"/>
                <w:sz w:val="20"/>
              </w:rPr>
              <w:t>OS and PFS analyses</w:t>
            </w:r>
          </w:p>
        </w:tc>
        <w:tc>
          <w:tcPr>
            <w:tcW w:w="2548" w:type="pct"/>
            <w:shd w:val="clear" w:color="auto" w:fill="auto"/>
          </w:tcPr>
          <w:p w:rsidR="006006D2" w:rsidRPr="00CF3D88" w:rsidRDefault="006006D2" w:rsidP="00365F9A">
            <w:pPr>
              <w:keepNext/>
              <w:widowControl/>
              <w:jc w:val="left"/>
              <w:rPr>
                <w:rFonts w:ascii="Arial Narrow" w:hAnsi="Arial Narrow"/>
                <w:sz w:val="20"/>
              </w:rPr>
            </w:pPr>
            <w:r w:rsidRPr="00CF3D88">
              <w:rPr>
                <w:rFonts w:ascii="Arial Narrow" w:hAnsi="Arial Narrow"/>
                <w:sz w:val="20"/>
              </w:rPr>
              <w:t>OS: Censor</w:t>
            </w:r>
            <w:r w:rsidR="00791840" w:rsidRPr="00CF3D88">
              <w:rPr>
                <w:rFonts w:ascii="Arial Narrow" w:hAnsi="Arial Narrow"/>
                <w:sz w:val="20"/>
              </w:rPr>
              <w:t>ed</w:t>
            </w:r>
            <w:r w:rsidRPr="00CF3D88">
              <w:rPr>
                <w:rFonts w:ascii="Arial Narrow" w:hAnsi="Arial Narrow"/>
                <w:sz w:val="20"/>
              </w:rPr>
              <w:t xml:space="preserve"> patients who started subsequent therapy, except for patients from the Kaloyannidis study</w:t>
            </w:r>
          </w:p>
          <w:p w:rsidR="006006D2" w:rsidRPr="00CF3D88" w:rsidRDefault="006006D2" w:rsidP="00791840">
            <w:pPr>
              <w:keepNext/>
              <w:widowControl/>
              <w:jc w:val="left"/>
              <w:rPr>
                <w:rFonts w:ascii="Arial Narrow" w:hAnsi="Arial Narrow"/>
                <w:sz w:val="20"/>
              </w:rPr>
            </w:pPr>
            <w:r w:rsidRPr="00CF3D88">
              <w:rPr>
                <w:rFonts w:ascii="Arial Narrow" w:hAnsi="Arial Narrow"/>
                <w:sz w:val="20"/>
              </w:rPr>
              <w:t>PFS: assum</w:t>
            </w:r>
            <w:r w:rsidR="00791840" w:rsidRPr="00CF3D88">
              <w:rPr>
                <w:rFonts w:ascii="Arial Narrow" w:hAnsi="Arial Narrow"/>
                <w:sz w:val="20"/>
              </w:rPr>
              <w:t>ed</w:t>
            </w:r>
            <w:r w:rsidRPr="00CF3D88">
              <w:rPr>
                <w:rFonts w:ascii="Arial Narrow" w:hAnsi="Arial Narrow"/>
                <w:sz w:val="20"/>
              </w:rPr>
              <w:t xml:space="preserve"> patients in the Kaloyannidis study had 15-day PFS when data on progression was missing</w:t>
            </w:r>
          </w:p>
        </w:tc>
        <w:tc>
          <w:tcPr>
            <w:tcW w:w="1433" w:type="pct"/>
            <w:shd w:val="clear" w:color="auto" w:fill="auto"/>
          </w:tcPr>
          <w:p w:rsidR="00BF3DC4" w:rsidRPr="00506CAC" w:rsidRDefault="00CE07BE" w:rsidP="00365F9A">
            <w:pPr>
              <w:keepNext/>
              <w:widowControl/>
              <w:jc w:val="left"/>
              <w:rPr>
                <w:rFonts w:ascii="Arial Narrow" w:hAnsi="Arial Narrow"/>
                <w:sz w:val="20"/>
              </w:rPr>
            </w:pPr>
            <w:r w:rsidRPr="00506CAC">
              <w:rPr>
                <w:rFonts w:ascii="Arial Narrow" w:hAnsi="Arial Narrow"/>
                <w:sz w:val="20"/>
              </w:rPr>
              <w:t xml:space="preserve">OS : </w:t>
            </w:r>
            <w:r w:rsidR="00BF3DC4" w:rsidRPr="00506CAC">
              <w:rPr>
                <w:rFonts w:ascii="Arial Narrow" w:hAnsi="Arial Narrow"/>
                <w:sz w:val="20"/>
              </w:rPr>
              <w:t>does not impact the ICER</w:t>
            </w:r>
          </w:p>
          <w:p w:rsidR="006006D2" w:rsidRPr="00CF3D88" w:rsidRDefault="00CE07BE" w:rsidP="00365F9A">
            <w:pPr>
              <w:keepNext/>
              <w:widowControl/>
              <w:jc w:val="left"/>
              <w:rPr>
                <w:rFonts w:ascii="Arial Narrow" w:hAnsi="Arial Narrow"/>
                <w:sz w:val="20"/>
              </w:rPr>
            </w:pPr>
            <w:r w:rsidRPr="00506CAC">
              <w:rPr>
                <w:rFonts w:ascii="Arial Narrow" w:hAnsi="Arial Narrow"/>
                <w:sz w:val="20"/>
              </w:rPr>
              <w:t xml:space="preserve">PFS: </w:t>
            </w:r>
            <w:r w:rsidR="006006D2" w:rsidRPr="00506CAC">
              <w:rPr>
                <w:rFonts w:ascii="Arial Narrow" w:hAnsi="Arial Narrow"/>
                <w:sz w:val="20"/>
              </w:rPr>
              <w:t>High , favoured brentuximab vedotin</w:t>
            </w:r>
          </w:p>
        </w:tc>
      </w:tr>
      <w:tr w:rsidR="00313E5D" w:rsidRPr="00CF3D88" w:rsidTr="00CE07BE">
        <w:tc>
          <w:tcPr>
            <w:tcW w:w="1019" w:type="pct"/>
            <w:shd w:val="clear" w:color="auto" w:fill="auto"/>
          </w:tcPr>
          <w:p w:rsidR="00313E5D" w:rsidRPr="00CF3D88" w:rsidRDefault="00313E5D" w:rsidP="006006D2">
            <w:pPr>
              <w:keepNext/>
              <w:widowControl/>
              <w:jc w:val="left"/>
              <w:rPr>
                <w:rFonts w:ascii="Arial Narrow" w:hAnsi="Arial Narrow"/>
                <w:sz w:val="20"/>
              </w:rPr>
            </w:pPr>
            <w:r w:rsidRPr="00CF3D88">
              <w:rPr>
                <w:rFonts w:ascii="Arial Narrow" w:hAnsi="Arial Narrow"/>
                <w:sz w:val="20"/>
              </w:rPr>
              <w:t xml:space="preserve">Extrapolation </w:t>
            </w:r>
          </w:p>
        </w:tc>
        <w:tc>
          <w:tcPr>
            <w:tcW w:w="2548" w:type="pct"/>
            <w:shd w:val="clear" w:color="auto" w:fill="auto"/>
          </w:tcPr>
          <w:p w:rsidR="00313E5D" w:rsidRPr="00CF3D88" w:rsidRDefault="00313E5D" w:rsidP="00791840">
            <w:pPr>
              <w:keepNext/>
              <w:widowControl/>
              <w:jc w:val="left"/>
              <w:rPr>
                <w:rFonts w:ascii="Arial Narrow" w:hAnsi="Arial Narrow"/>
                <w:sz w:val="20"/>
              </w:rPr>
            </w:pPr>
            <w:r w:rsidRPr="00CF3D88">
              <w:rPr>
                <w:rFonts w:ascii="Arial Narrow" w:hAnsi="Arial Narrow"/>
                <w:sz w:val="20"/>
              </w:rPr>
              <w:t>3 phases</w:t>
            </w:r>
            <w:r w:rsidR="00535921" w:rsidRPr="00CF3D88">
              <w:rPr>
                <w:rFonts w:ascii="Arial Narrow" w:hAnsi="Arial Narrow"/>
                <w:sz w:val="20"/>
              </w:rPr>
              <w:t xml:space="preserve"> for OS</w:t>
            </w:r>
            <w:r w:rsidRPr="00CF3D88">
              <w:rPr>
                <w:rFonts w:ascii="Arial Narrow" w:hAnsi="Arial Narrow"/>
                <w:sz w:val="20"/>
              </w:rPr>
              <w:t>:</w:t>
            </w:r>
          </w:p>
          <w:p w:rsidR="00313E5D" w:rsidRPr="00CF3D88" w:rsidRDefault="00313E5D" w:rsidP="009530DB">
            <w:pPr>
              <w:pStyle w:val="ListParagraph"/>
              <w:keepNext/>
              <w:widowControl/>
              <w:numPr>
                <w:ilvl w:val="0"/>
                <w:numId w:val="3"/>
              </w:numPr>
              <w:ind w:left="221" w:hanging="142"/>
              <w:jc w:val="left"/>
              <w:rPr>
                <w:rFonts w:ascii="Arial Narrow" w:hAnsi="Arial Narrow"/>
                <w:sz w:val="20"/>
              </w:rPr>
            </w:pPr>
            <w:r w:rsidRPr="00CF3D88">
              <w:rPr>
                <w:rFonts w:ascii="Arial Narrow" w:hAnsi="Arial Narrow"/>
                <w:sz w:val="20"/>
              </w:rPr>
              <w:t>Use of full KM curve until end of follow-up (6 yrs for BV);</w:t>
            </w:r>
          </w:p>
          <w:p w:rsidR="00313E5D" w:rsidRPr="00CF3D88" w:rsidRDefault="00313E5D" w:rsidP="009530DB">
            <w:pPr>
              <w:pStyle w:val="ListParagraph"/>
              <w:keepNext/>
              <w:widowControl/>
              <w:numPr>
                <w:ilvl w:val="0"/>
                <w:numId w:val="3"/>
              </w:numPr>
              <w:ind w:left="221" w:hanging="142"/>
              <w:jc w:val="left"/>
              <w:rPr>
                <w:rFonts w:ascii="Arial Narrow" w:hAnsi="Arial Narrow"/>
                <w:sz w:val="20"/>
              </w:rPr>
            </w:pPr>
            <w:r w:rsidRPr="00CF3D88">
              <w:rPr>
                <w:rFonts w:ascii="Arial Narrow" w:hAnsi="Arial Narrow"/>
                <w:sz w:val="20"/>
              </w:rPr>
              <w:t xml:space="preserve">for BV, the rate of survival decline was assumed to be the same as with salvage chemotherapy until </w:t>
            </w:r>
            <w:r w:rsidR="005303CC" w:rsidRPr="00CF3D88">
              <w:rPr>
                <w:rFonts w:ascii="Arial Narrow" w:hAnsi="Arial Narrow"/>
                <w:sz w:val="20"/>
              </w:rPr>
              <w:t>11 years;</w:t>
            </w:r>
          </w:p>
          <w:p w:rsidR="005303CC" w:rsidRPr="00CF3D88" w:rsidRDefault="005303CC" w:rsidP="009530DB">
            <w:pPr>
              <w:pStyle w:val="ListParagraph"/>
              <w:keepNext/>
              <w:widowControl/>
              <w:numPr>
                <w:ilvl w:val="0"/>
                <w:numId w:val="3"/>
              </w:numPr>
              <w:ind w:left="221" w:hanging="142"/>
              <w:jc w:val="left"/>
              <w:rPr>
                <w:rFonts w:ascii="Arial Narrow" w:hAnsi="Arial Narrow"/>
                <w:sz w:val="20"/>
              </w:rPr>
            </w:pPr>
            <w:proofErr w:type="gramStart"/>
            <w:r w:rsidRPr="00CF3D88">
              <w:rPr>
                <w:rFonts w:ascii="Arial Narrow" w:hAnsi="Arial Narrow"/>
                <w:sz w:val="20"/>
              </w:rPr>
              <w:t>beyond</w:t>
            </w:r>
            <w:proofErr w:type="gramEnd"/>
            <w:r w:rsidRPr="00CF3D88">
              <w:rPr>
                <w:rFonts w:ascii="Arial Narrow" w:hAnsi="Arial Narrow"/>
                <w:sz w:val="20"/>
              </w:rPr>
              <w:t xml:space="preserve"> 11 yrs </w:t>
            </w:r>
            <w:r w:rsidR="00535921" w:rsidRPr="00CF3D88">
              <w:rPr>
                <w:rFonts w:ascii="Arial Narrow" w:hAnsi="Arial Narrow"/>
                <w:sz w:val="20"/>
              </w:rPr>
              <w:t xml:space="preserve">OS in </w:t>
            </w:r>
            <w:r w:rsidRPr="00CF3D88">
              <w:rPr>
                <w:rFonts w:ascii="Arial Narrow" w:hAnsi="Arial Narrow"/>
                <w:sz w:val="20"/>
              </w:rPr>
              <w:t xml:space="preserve">both groups </w:t>
            </w:r>
            <w:r w:rsidR="00535921" w:rsidRPr="00CF3D88">
              <w:rPr>
                <w:rFonts w:ascii="Arial Narrow" w:hAnsi="Arial Narrow"/>
                <w:sz w:val="20"/>
              </w:rPr>
              <w:t>declined linearly to 0% at 13 yrs.</w:t>
            </w:r>
          </w:p>
          <w:p w:rsidR="00313E5D" w:rsidRPr="00CF3D88" w:rsidRDefault="00535921" w:rsidP="00535921">
            <w:pPr>
              <w:keepNext/>
              <w:widowControl/>
              <w:ind w:left="79"/>
              <w:jc w:val="left"/>
              <w:rPr>
                <w:rFonts w:ascii="Arial Narrow" w:hAnsi="Arial Narrow"/>
                <w:sz w:val="20"/>
              </w:rPr>
            </w:pPr>
            <w:r w:rsidRPr="00CF3D88">
              <w:rPr>
                <w:rFonts w:ascii="Arial Narrow" w:hAnsi="Arial Narrow"/>
                <w:sz w:val="20"/>
              </w:rPr>
              <w:t>For PFS, beyond 6.5 yrs, survival in both groups declined linearly to 0% at 13 yrs.</w:t>
            </w:r>
          </w:p>
        </w:tc>
        <w:tc>
          <w:tcPr>
            <w:tcW w:w="1433" w:type="pct"/>
            <w:shd w:val="clear" w:color="auto" w:fill="auto"/>
          </w:tcPr>
          <w:p w:rsidR="00313E5D" w:rsidRPr="00CF3D88" w:rsidRDefault="00535921" w:rsidP="00365F9A">
            <w:pPr>
              <w:keepNext/>
              <w:widowControl/>
              <w:jc w:val="left"/>
              <w:rPr>
                <w:rFonts w:ascii="Arial Narrow" w:hAnsi="Arial Narrow"/>
                <w:sz w:val="20"/>
              </w:rPr>
            </w:pPr>
            <w:r w:rsidRPr="00CF3D88">
              <w:rPr>
                <w:rFonts w:ascii="Arial Narrow" w:hAnsi="Arial Narrow"/>
                <w:sz w:val="20"/>
              </w:rPr>
              <w:t>High, favoured brentuximab vedotin</w:t>
            </w:r>
          </w:p>
          <w:p w:rsidR="00112008" w:rsidRPr="00CF3D88" w:rsidRDefault="00112008" w:rsidP="00365F9A">
            <w:pPr>
              <w:keepNext/>
              <w:widowControl/>
              <w:jc w:val="left"/>
              <w:rPr>
                <w:rFonts w:ascii="Arial Narrow" w:hAnsi="Arial Narrow"/>
                <w:sz w:val="20"/>
              </w:rPr>
            </w:pPr>
            <w:r w:rsidRPr="00CF3D88">
              <w:rPr>
                <w:rFonts w:ascii="Arial Narrow" w:hAnsi="Arial Narrow"/>
                <w:sz w:val="20"/>
              </w:rPr>
              <w:t>(however only the linear survival decline could be tested in sensitivity analyses)</w:t>
            </w:r>
          </w:p>
        </w:tc>
      </w:tr>
    </w:tbl>
    <w:p w:rsidR="00954713" w:rsidRPr="00CF3D88" w:rsidRDefault="00954713" w:rsidP="002C7059">
      <w:pPr>
        <w:keepNext/>
        <w:widowControl/>
        <w:ind w:firstLine="720"/>
        <w:rPr>
          <w:rFonts w:ascii="Arial Narrow" w:hAnsi="Arial Narrow"/>
          <w:sz w:val="18"/>
        </w:rPr>
      </w:pPr>
      <w:r w:rsidRPr="00CF3D88">
        <w:rPr>
          <w:rFonts w:ascii="Arial Narrow" w:hAnsi="Arial Narrow"/>
          <w:sz w:val="18"/>
        </w:rPr>
        <w:t>Source: compiled during the evaluation</w:t>
      </w:r>
    </w:p>
    <w:p w:rsidR="00954713" w:rsidRPr="00CF3D88" w:rsidRDefault="00313E5D" w:rsidP="00313E5D">
      <w:pPr>
        <w:keepNext/>
        <w:widowControl/>
        <w:ind w:left="709" w:firstLine="11"/>
        <w:rPr>
          <w:rFonts w:ascii="Arial Narrow" w:hAnsi="Arial Narrow"/>
          <w:sz w:val="18"/>
        </w:rPr>
      </w:pPr>
      <w:r w:rsidRPr="00CF3D88">
        <w:rPr>
          <w:rFonts w:ascii="Arial Narrow" w:hAnsi="Arial Narrow"/>
          <w:sz w:val="18"/>
          <w:szCs w:val="24"/>
        </w:rPr>
        <w:t xml:space="preserve">BV = brentuximab vedotin; chemo = chemotherapy; KM = Kaplan-Meier; </w:t>
      </w:r>
      <w:r w:rsidR="00954713" w:rsidRPr="00CF3D88">
        <w:rPr>
          <w:rFonts w:ascii="Arial Narrow" w:hAnsi="Arial Narrow"/>
          <w:sz w:val="18"/>
          <w:szCs w:val="24"/>
        </w:rPr>
        <w:t>OS = overall survival; PFS = progression free survival</w:t>
      </w:r>
      <w:r w:rsidRPr="00CF3D88">
        <w:rPr>
          <w:rFonts w:ascii="Arial Narrow" w:hAnsi="Arial Narrow"/>
          <w:sz w:val="18"/>
          <w:szCs w:val="24"/>
        </w:rPr>
        <w:t>; yrs = years</w:t>
      </w:r>
    </w:p>
    <w:p w:rsidR="00954713" w:rsidRPr="00CF3D88" w:rsidRDefault="00954713" w:rsidP="00020ACE">
      <w:pPr>
        <w:widowControl/>
        <w:ind w:left="720"/>
        <w:contextualSpacing/>
        <w:rPr>
          <w:szCs w:val="22"/>
        </w:rPr>
      </w:pPr>
    </w:p>
    <w:p w:rsidR="00020ACE" w:rsidRPr="00CF3D88" w:rsidRDefault="00020ACE" w:rsidP="009530DB">
      <w:pPr>
        <w:widowControl/>
        <w:numPr>
          <w:ilvl w:val="1"/>
          <w:numId w:val="2"/>
        </w:numPr>
        <w:contextualSpacing/>
        <w:rPr>
          <w:szCs w:val="22"/>
        </w:rPr>
      </w:pPr>
      <w:r w:rsidRPr="00CF3D88">
        <w:rPr>
          <w:szCs w:val="22"/>
        </w:rPr>
        <w:t>On the extrapolation of overall survival beyon</w:t>
      </w:r>
      <w:r w:rsidR="00E909A8">
        <w:rPr>
          <w:szCs w:val="22"/>
        </w:rPr>
        <w:t>d the study period, the PSCR (p</w:t>
      </w:r>
      <w:r w:rsidRPr="00CF3D88">
        <w:rPr>
          <w:szCs w:val="22"/>
        </w:rPr>
        <w:t xml:space="preserve">2-3) argued that the approach in the resubmission was conservative, as it would be unlikely </w:t>
      </w:r>
      <w:r w:rsidR="00405B23" w:rsidRPr="00CF3D88">
        <w:rPr>
          <w:szCs w:val="22"/>
        </w:rPr>
        <w:t>that</w:t>
      </w:r>
      <w:r w:rsidRPr="00CF3D88">
        <w:rPr>
          <w:szCs w:val="22"/>
        </w:rPr>
        <w:t xml:space="preserve"> risk of death after the end of study follow-up </w:t>
      </w:r>
      <w:r w:rsidR="00405B23" w:rsidRPr="00CF3D88">
        <w:rPr>
          <w:szCs w:val="22"/>
        </w:rPr>
        <w:t xml:space="preserve">would </w:t>
      </w:r>
      <w:r w:rsidRPr="00CF3D88">
        <w:rPr>
          <w:szCs w:val="22"/>
        </w:rPr>
        <w:t xml:space="preserve">be the same for both brentuximab vedotin and salvage chemotherapy. The ESC </w:t>
      </w:r>
      <w:r w:rsidR="002C588A" w:rsidRPr="00CF3D88">
        <w:rPr>
          <w:szCs w:val="22"/>
        </w:rPr>
        <w:t xml:space="preserve">noted </w:t>
      </w:r>
      <w:r w:rsidRPr="00CF3D88">
        <w:rPr>
          <w:szCs w:val="22"/>
        </w:rPr>
        <w:t xml:space="preserve">that although the rate of decline was assumed to be the same between the two groups, the starting point </w:t>
      </w:r>
      <w:r w:rsidR="002C588A" w:rsidRPr="00CF3D88">
        <w:rPr>
          <w:szCs w:val="22"/>
        </w:rPr>
        <w:t xml:space="preserve">in the brentuximab vedotin arm </w:t>
      </w:r>
      <w:r w:rsidRPr="00CF3D88">
        <w:rPr>
          <w:szCs w:val="22"/>
        </w:rPr>
        <w:t xml:space="preserve">was higher. As </w:t>
      </w:r>
      <w:r w:rsidR="007C1EE2" w:rsidRPr="00CF3D88">
        <w:rPr>
          <w:szCs w:val="22"/>
        </w:rPr>
        <w:t xml:space="preserve">the </w:t>
      </w:r>
      <w:r w:rsidRPr="00CF3D88">
        <w:rPr>
          <w:szCs w:val="22"/>
        </w:rPr>
        <w:t>ESC had previously noted, this implied that the</w:t>
      </w:r>
      <w:r w:rsidR="002F2B7E" w:rsidRPr="00CF3D88">
        <w:rPr>
          <w:szCs w:val="22"/>
        </w:rPr>
        <w:t>re is some continued benefit</w:t>
      </w:r>
      <w:r w:rsidRPr="00CF3D88">
        <w:rPr>
          <w:szCs w:val="22"/>
        </w:rPr>
        <w:t xml:space="preserve"> from brentuximab vedotin beyond the study duration</w:t>
      </w:r>
      <w:r w:rsidR="002F2B7E" w:rsidRPr="00CF3D88">
        <w:rPr>
          <w:szCs w:val="22"/>
        </w:rPr>
        <w:t>,</w:t>
      </w:r>
      <w:r w:rsidRPr="00CF3D88">
        <w:rPr>
          <w:szCs w:val="22"/>
        </w:rPr>
        <w:t xml:space="preserve"> </w:t>
      </w:r>
      <w:r w:rsidR="002F2B7E" w:rsidRPr="00CF3D88">
        <w:rPr>
          <w:szCs w:val="22"/>
        </w:rPr>
        <w:t>al</w:t>
      </w:r>
      <w:r w:rsidRPr="00CF3D88">
        <w:rPr>
          <w:szCs w:val="22"/>
        </w:rPr>
        <w:t>though the survival curves do eventually merge (paragraph 6.26, March 2015 Public Summary Document).</w:t>
      </w:r>
    </w:p>
    <w:p w:rsidR="00020ACE" w:rsidRPr="00CF3D88" w:rsidRDefault="00020ACE" w:rsidP="002C588A">
      <w:pPr>
        <w:widowControl/>
        <w:contextualSpacing/>
        <w:rPr>
          <w:szCs w:val="22"/>
        </w:rPr>
      </w:pPr>
    </w:p>
    <w:p w:rsidR="001B4061" w:rsidRPr="00CF3D88" w:rsidRDefault="00E909A8" w:rsidP="009530DB">
      <w:pPr>
        <w:widowControl/>
        <w:numPr>
          <w:ilvl w:val="1"/>
          <w:numId w:val="2"/>
        </w:numPr>
        <w:contextualSpacing/>
        <w:rPr>
          <w:szCs w:val="22"/>
        </w:rPr>
      </w:pPr>
      <w:r>
        <w:rPr>
          <w:szCs w:val="22"/>
        </w:rPr>
        <w:t>The PSCR (p</w:t>
      </w:r>
      <w:r w:rsidR="001B4061" w:rsidRPr="00CF3D88">
        <w:rPr>
          <w:szCs w:val="22"/>
        </w:rPr>
        <w:t xml:space="preserve">4) contended that 13 years was the appropriate time horizon, presenting survival data from Martinez 2013 and Arai 2013 as supportive evidence. </w:t>
      </w:r>
      <w:r w:rsidR="009530DB" w:rsidRPr="00CF3D88">
        <w:rPr>
          <w:rFonts w:cstheme="minorHAnsi"/>
          <w:szCs w:val="22"/>
        </w:rPr>
        <w:t xml:space="preserve">The PSCR also presented additional sensitivity analyses to test the effect of reducing the time horizon from 13 to 8 years and varying the cost of post progression disease management. </w:t>
      </w:r>
      <w:r w:rsidR="00CF4CF2" w:rsidRPr="00CF3D88">
        <w:rPr>
          <w:rFonts w:cstheme="minorHAnsi"/>
          <w:szCs w:val="22"/>
        </w:rPr>
        <w:t xml:space="preserve">The ESC noted these arguments but </w:t>
      </w:r>
      <w:r w:rsidR="006D4567" w:rsidRPr="00CF3D88">
        <w:rPr>
          <w:rFonts w:cstheme="minorHAnsi"/>
          <w:szCs w:val="22"/>
        </w:rPr>
        <w:t>considered that the issue remained unresolved.</w:t>
      </w:r>
    </w:p>
    <w:p w:rsidR="001B4061" w:rsidRPr="00CF3D88" w:rsidRDefault="001B4061" w:rsidP="001B4061">
      <w:pPr>
        <w:pStyle w:val="ListParagraph"/>
        <w:rPr>
          <w:szCs w:val="22"/>
        </w:rPr>
      </w:pPr>
    </w:p>
    <w:p w:rsidR="00954713" w:rsidRPr="00CF3D88" w:rsidRDefault="00954713" w:rsidP="009530DB">
      <w:pPr>
        <w:widowControl/>
        <w:numPr>
          <w:ilvl w:val="1"/>
          <w:numId w:val="2"/>
        </w:numPr>
        <w:contextualSpacing/>
        <w:rPr>
          <w:szCs w:val="22"/>
        </w:rPr>
      </w:pPr>
      <w:r w:rsidRPr="00CF3D88">
        <w:rPr>
          <w:szCs w:val="22"/>
        </w:rPr>
        <w:t xml:space="preserve">Table </w:t>
      </w:r>
      <w:r w:rsidR="001A124B" w:rsidRPr="00CF3D88">
        <w:rPr>
          <w:szCs w:val="22"/>
        </w:rPr>
        <w:t>9</w:t>
      </w:r>
      <w:r w:rsidRPr="00CF3D88">
        <w:rPr>
          <w:szCs w:val="22"/>
        </w:rPr>
        <w:t xml:space="preserve"> presents the results of the stepped economic evaluation.</w:t>
      </w:r>
    </w:p>
    <w:p w:rsidR="00954713" w:rsidRPr="00CF3D88" w:rsidRDefault="00954713" w:rsidP="00954713">
      <w:pPr>
        <w:widowControl/>
        <w:ind w:left="720"/>
        <w:rPr>
          <w:szCs w:val="22"/>
        </w:rPr>
      </w:pPr>
    </w:p>
    <w:p w:rsidR="00BB7F88" w:rsidRPr="00CF3D88" w:rsidRDefault="00BB7F88" w:rsidP="00BB7F88">
      <w:pPr>
        <w:keepNext/>
        <w:widowControl/>
        <w:ind w:right="465" w:firstLine="720"/>
        <w:jc w:val="left"/>
        <w:rPr>
          <w:rFonts w:ascii="Arial Narrow" w:hAnsi="Arial Narrow"/>
          <w:b/>
          <w:sz w:val="20"/>
          <w:szCs w:val="16"/>
        </w:rPr>
      </w:pPr>
      <w:r w:rsidRPr="00CF3D88">
        <w:rPr>
          <w:rFonts w:ascii="Arial Narrow" w:hAnsi="Arial Narrow"/>
          <w:b/>
          <w:sz w:val="20"/>
          <w:szCs w:val="16"/>
        </w:rPr>
        <w:lastRenderedPageBreak/>
        <w:t xml:space="preserve">Table 9: Results of </w:t>
      </w:r>
      <w:r w:rsidR="00116484">
        <w:rPr>
          <w:rFonts w:ascii="Arial Narrow" w:hAnsi="Arial Narrow"/>
          <w:b/>
          <w:sz w:val="20"/>
          <w:szCs w:val="16"/>
        </w:rPr>
        <w:t>the stepped economic evaluation</w:t>
      </w:r>
    </w:p>
    <w:tbl>
      <w:tblPr>
        <w:tblW w:w="4598" w:type="pct"/>
        <w:tblInd w:w="7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6"/>
        <w:gridCol w:w="1913"/>
        <w:gridCol w:w="1677"/>
        <w:gridCol w:w="1416"/>
      </w:tblGrid>
      <w:tr w:rsidR="00BB7F88" w:rsidRPr="00CF3D88" w:rsidTr="00BF3DC4">
        <w:trPr>
          <w:tblHeader/>
        </w:trPr>
        <w:tc>
          <w:tcPr>
            <w:tcW w:w="200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b/>
                <w:bCs/>
                <w:snapToGrid/>
                <w:sz w:val="20"/>
                <w:lang w:eastAsia="en-GB"/>
              </w:rPr>
              <w:t>Step and component</w:t>
            </w:r>
          </w:p>
        </w:tc>
        <w:tc>
          <w:tcPr>
            <w:tcW w:w="114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b/>
                <w:bCs/>
                <w:snapToGrid/>
                <w:sz w:val="20"/>
                <w:lang w:eastAsia="en-GB"/>
              </w:rPr>
              <w:t>Brentuximab vedotin</w:t>
            </w:r>
          </w:p>
        </w:tc>
        <w:tc>
          <w:tcPr>
            <w:tcW w:w="100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b/>
                <w:bCs/>
                <w:snapToGrid/>
                <w:sz w:val="20"/>
                <w:lang w:eastAsia="en-GB"/>
              </w:rPr>
              <w:t>Salvage chemotherapy</w:t>
            </w:r>
          </w:p>
        </w:tc>
        <w:tc>
          <w:tcPr>
            <w:tcW w:w="84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b/>
                <w:bCs/>
                <w:snapToGrid/>
                <w:sz w:val="20"/>
                <w:lang w:eastAsia="en-GB"/>
              </w:rPr>
              <w:t>Increment</w:t>
            </w:r>
          </w:p>
        </w:tc>
      </w:tr>
      <w:tr w:rsidR="00BB7F88" w:rsidRPr="00CF3D88" w:rsidTr="00BF3DC4">
        <w:tc>
          <w:tcPr>
            <w:tcW w:w="5000" w:type="pct"/>
            <w:gridSpan w:val="4"/>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b/>
                <w:bCs/>
                <w:snapToGrid/>
                <w:sz w:val="20"/>
                <w:lang w:eastAsia="en-GB"/>
              </w:rPr>
              <w:t>Step 1: trial-based costs and outcomes</w:t>
            </w:r>
          </w:p>
        </w:tc>
      </w:tr>
      <w:tr w:rsidR="00BB7F88" w:rsidRPr="00CF3D88" w:rsidTr="00BF3DC4">
        <w:tc>
          <w:tcPr>
            <w:tcW w:w="200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snapToGrid/>
                <w:sz w:val="20"/>
                <w:lang w:eastAsia="en-GB"/>
              </w:rPr>
              <w:t>Costs</w:t>
            </w:r>
          </w:p>
        </w:tc>
        <w:tc>
          <w:tcPr>
            <w:tcW w:w="1145"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c>
          <w:tcPr>
            <w:tcW w:w="100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c>
          <w:tcPr>
            <w:tcW w:w="848"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r>
      <w:tr w:rsidR="00BB7F88" w:rsidRPr="00CF3D88" w:rsidTr="00BF3DC4">
        <w:tc>
          <w:tcPr>
            <w:tcW w:w="200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snapToGrid/>
                <w:sz w:val="20"/>
                <w:lang w:eastAsia="en-GB"/>
              </w:rPr>
              <w:t>Life year gained</w:t>
            </w:r>
          </w:p>
        </w:tc>
        <w:tc>
          <w:tcPr>
            <w:tcW w:w="1145"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3.89</w:t>
            </w:r>
          </w:p>
        </w:tc>
        <w:tc>
          <w:tcPr>
            <w:tcW w:w="1004"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2.53</w:t>
            </w:r>
          </w:p>
        </w:tc>
        <w:tc>
          <w:tcPr>
            <w:tcW w:w="848"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1.35</w:t>
            </w:r>
          </w:p>
        </w:tc>
      </w:tr>
      <w:tr w:rsidR="00BB7F88" w:rsidRPr="00CF3D88" w:rsidTr="00BF3DC4">
        <w:tc>
          <w:tcPr>
            <w:tcW w:w="4152" w:type="pct"/>
            <w:gridSpan w:val="3"/>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b/>
                <w:bCs/>
                <w:snapToGrid/>
                <w:sz w:val="20"/>
                <w:lang w:eastAsia="en-GB"/>
              </w:rPr>
              <w:t>Incremental cost/extra life year gained</w:t>
            </w:r>
          </w:p>
        </w:tc>
        <w:tc>
          <w:tcPr>
            <w:tcW w:w="848"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b/>
                <w:bCs/>
                <w:snapToGrid/>
                <w:sz w:val="20"/>
                <w:lang w:eastAsia="en-GB"/>
              </w:rPr>
              <w:t>$</w:t>
            </w:r>
            <w:r w:rsidR="00526F5C">
              <w:rPr>
                <w:rFonts w:ascii="Arial Narrow" w:hAnsi="Arial Narrow"/>
                <w:b/>
                <w:bCs/>
                <w:noProof/>
                <w:snapToGrid/>
                <w:color w:val="000000"/>
                <w:sz w:val="20"/>
                <w:highlight w:val="black"/>
                <w:lang w:eastAsia="en-GB"/>
              </w:rPr>
              <w:t>''''''''''''</w:t>
            </w:r>
          </w:p>
        </w:tc>
      </w:tr>
      <w:tr w:rsidR="00BB7F88" w:rsidRPr="00CF3D88" w:rsidTr="00BF3DC4">
        <w:tc>
          <w:tcPr>
            <w:tcW w:w="5000" w:type="pct"/>
            <w:gridSpan w:val="4"/>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b/>
                <w:bCs/>
                <w:snapToGrid/>
                <w:sz w:val="20"/>
                <w:lang w:eastAsia="en-GB"/>
              </w:rPr>
              <w:t>Step 2: Modelled economic evaluation including extrapolation to time horizon</w:t>
            </w:r>
          </w:p>
        </w:tc>
      </w:tr>
      <w:tr w:rsidR="00BB7F88" w:rsidRPr="00CF3D88" w:rsidTr="00BF3DC4">
        <w:tc>
          <w:tcPr>
            <w:tcW w:w="200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snapToGrid/>
                <w:sz w:val="20"/>
                <w:lang w:eastAsia="en-GB"/>
              </w:rPr>
              <w:t>Costs</w:t>
            </w:r>
          </w:p>
        </w:tc>
        <w:tc>
          <w:tcPr>
            <w:tcW w:w="1145"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c>
          <w:tcPr>
            <w:tcW w:w="100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c>
          <w:tcPr>
            <w:tcW w:w="848"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r>
      <w:tr w:rsidR="00BB7F88" w:rsidRPr="00CF3D88" w:rsidTr="00BF3DC4">
        <w:tc>
          <w:tcPr>
            <w:tcW w:w="200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snapToGrid/>
                <w:sz w:val="20"/>
                <w:lang w:eastAsia="en-GB"/>
              </w:rPr>
              <w:t>Life year gained</w:t>
            </w:r>
          </w:p>
        </w:tc>
        <w:tc>
          <w:tcPr>
            <w:tcW w:w="1145"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jc w:val="center"/>
              <w:rPr>
                <w:rFonts w:ascii="Arial Narrow" w:hAnsi="Arial Narrow"/>
                <w:snapToGrid/>
                <w:sz w:val="20"/>
                <w:lang w:eastAsia="en-GB"/>
              </w:rPr>
            </w:pPr>
            <w:r w:rsidRPr="00CF3D88">
              <w:rPr>
                <w:rFonts w:ascii="Arial Narrow" w:hAnsi="Arial Narrow"/>
                <w:snapToGrid/>
                <w:sz w:val="20"/>
                <w:lang w:eastAsia="en-GB"/>
              </w:rPr>
              <w:t>5.68</w:t>
            </w:r>
          </w:p>
        </w:tc>
        <w:tc>
          <w:tcPr>
            <w:tcW w:w="1004"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jc w:val="center"/>
              <w:rPr>
                <w:rFonts w:ascii="Arial Narrow" w:hAnsi="Arial Narrow"/>
                <w:snapToGrid/>
                <w:sz w:val="20"/>
                <w:lang w:eastAsia="en-GB"/>
              </w:rPr>
            </w:pPr>
            <w:r w:rsidRPr="00CF3D88">
              <w:rPr>
                <w:rFonts w:ascii="Arial Narrow" w:hAnsi="Arial Narrow"/>
                <w:snapToGrid/>
                <w:sz w:val="20"/>
                <w:lang w:eastAsia="en-GB"/>
              </w:rPr>
              <w:t>3.27</w:t>
            </w:r>
          </w:p>
        </w:tc>
        <w:tc>
          <w:tcPr>
            <w:tcW w:w="848"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jc w:val="center"/>
              <w:rPr>
                <w:rFonts w:ascii="Arial Narrow" w:hAnsi="Arial Narrow"/>
                <w:snapToGrid/>
                <w:sz w:val="20"/>
                <w:lang w:eastAsia="en-GB"/>
              </w:rPr>
            </w:pPr>
            <w:r w:rsidRPr="00CF3D88">
              <w:rPr>
                <w:rFonts w:ascii="Arial Narrow" w:hAnsi="Arial Narrow"/>
                <w:snapToGrid/>
                <w:sz w:val="20"/>
                <w:lang w:eastAsia="en-GB"/>
              </w:rPr>
              <w:t>2.41</w:t>
            </w:r>
          </w:p>
        </w:tc>
      </w:tr>
      <w:tr w:rsidR="00BB7F88" w:rsidRPr="00CF3D88" w:rsidTr="00BF3DC4">
        <w:trPr>
          <w:trHeight w:val="70"/>
        </w:trPr>
        <w:tc>
          <w:tcPr>
            <w:tcW w:w="4152" w:type="pct"/>
            <w:gridSpan w:val="3"/>
            <w:tcBorders>
              <w:top w:val="nil"/>
              <w:left w:val="single" w:sz="8" w:space="0" w:color="auto"/>
              <w:bottom w:val="nil"/>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70" w:lineRule="atLeast"/>
              <w:jc w:val="left"/>
              <w:rPr>
                <w:rFonts w:ascii="Arial Narrow" w:hAnsi="Arial Narrow"/>
                <w:snapToGrid/>
                <w:sz w:val="20"/>
                <w:lang w:eastAsia="en-GB"/>
              </w:rPr>
            </w:pPr>
            <w:r w:rsidRPr="00CF3D88">
              <w:rPr>
                <w:rFonts w:ascii="Arial Narrow" w:hAnsi="Arial Narrow"/>
                <w:b/>
                <w:bCs/>
                <w:snapToGrid/>
                <w:sz w:val="20"/>
                <w:lang w:eastAsia="en-GB"/>
              </w:rPr>
              <w:t>Incremental cost/extra life year gained</w:t>
            </w:r>
          </w:p>
        </w:tc>
        <w:tc>
          <w:tcPr>
            <w:tcW w:w="848"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70" w:lineRule="atLeast"/>
              <w:jc w:val="center"/>
              <w:rPr>
                <w:rFonts w:ascii="Arial Narrow" w:hAnsi="Arial Narrow"/>
                <w:snapToGrid/>
                <w:sz w:val="20"/>
                <w:lang w:eastAsia="en-GB"/>
              </w:rPr>
            </w:pPr>
            <w:r w:rsidRPr="00CF3D88">
              <w:rPr>
                <w:rFonts w:ascii="Arial Narrow" w:hAnsi="Arial Narrow"/>
                <w:b/>
                <w:bCs/>
                <w:snapToGrid/>
                <w:sz w:val="20"/>
                <w:lang w:eastAsia="en-GB"/>
              </w:rPr>
              <w:t>$</w:t>
            </w:r>
            <w:r w:rsidR="00526F5C">
              <w:rPr>
                <w:rFonts w:ascii="Arial Narrow" w:hAnsi="Arial Narrow"/>
                <w:b/>
                <w:bCs/>
                <w:noProof/>
                <w:snapToGrid/>
                <w:color w:val="000000"/>
                <w:sz w:val="20"/>
                <w:highlight w:val="black"/>
                <w:lang w:eastAsia="en-GB"/>
              </w:rPr>
              <w:t>'''''''''''''</w:t>
            </w:r>
          </w:p>
        </w:tc>
      </w:tr>
      <w:tr w:rsidR="00BB7F88" w:rsidRPr="00CF3D88" w:rsidTr="00BF3DC4">
        <w:trPr>
          <w:trHeight w:val="70"/>
        </w:trPr>
        <w:tc>
          <w:tcPr>
            <w:tcW w:w="5000" w:type="pct"/>
            <w:gridSpan w:val="4"/>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70" w:lineRule="atLeast"/>
              <w:rPr>
                <w:rFonts w:ascii="Arial Narrow" w:hAnsi="Arial Narrow"/>
                <w:snapToGrid/>
                <w:sz w:val="20"/>
                <w:lang w:eastAsia="en-GB"/>
              </w:rPr>
            </w:pPr>
            <w:r w:rsidRPr="00CF3D88">
              <w:rPr>
                <w:rFonts w:ascii="Arial Narrow" w:hAnsi="Arial Narrow"/>
                <w:b/>
                <w:bCs/>
                <w:snapToGrid/>
                <w:sz w:val="20"/>
                <w:lang w:eastAsia="en-GB"/>
              </w:rPr>
              <w:t>Step 3: Modelled economic evaluation including all healthcare resource utilisation</w:t>
            </w:r>
          </w:p>
        </w:tc>
      </w:tr>
      <w:tr w:rsidR="00BB7F88" w:rsidRPr="00CF3D88" w:rsidTr="00BF3DC4">
        <w:trPr>
          <w:trHeight w:val="70"/>
        </w:trPr>
        <w:tc>
          <w:tcPr>
            <w:tcW w:w="200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70" w:lineRule="atLeast"/>
              <w:jc w:val="left"/>
              <w:rPr>
                <w:rFonts w:ascii="Arial Narrow" w:hAnsi="Arial Narrow"/>
                <w:snapToGrid/>
                <w:sz w:val="20"/>
                <w:lang w:eastAsia="en-GB"/>
              </w:rPr>
            </w:pPr>
            <w:r w:rsidRPr="00CF3D88">
              <w:rPr>
                <w:rFonts w:ascii="Arial Narrow" w:hAnsi="Arial Narrow"/>
                <w:snapToGrid/>
                <w:sz w:val="20"/>
                <w:lang w:eastAsia="en-GB"/>
              </w:rPr>
              <w:t>Costs</w:t>
            </w:r>
          </w:p>
        </w:tc>
        <w:tc>
          <w:tcPr>
            <w:tcW w:w="1145"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c>
          <w:tcPr>
            <w:tcW w:w="1004"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c>
          <w:tcPr>
            <w:tcW w:w="848"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254" w:lineRule="auto"/>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r>
      <w:tr w:rsidR="00BB7F88" w:rsidRPr="00CF3D88" w:rsidTr="00BF3DC4">
        <w:trPr>
          <w:trHeight w:val="70"/>
        </w:trPr>
        <w:tc>
          <w:tcPr>
            <w:tcW w:w="200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70" w:lineRule="atLeast"/>
              <w:jc w:val="left"/>
              <w:rPr>
                <w:rFonts w:ascii="Arial Narrow" w:hAnsi="Arial Narrow"/>
                <w:snapToGrid/>
                <w:sz w:val="20"/>
                <w:lang w:eastAsia="en-GB"/>
              </w:rPr>
            </w:pPr>
            <w:r w:rsidRPr="00CF3D88">
              <w:rPr>
                <w:rFonts w:ascii="Arial Narrow" w:hAnsi="Arial Narrow"/>
                <w:snapToGrid/>
                <w:sz w:val="20"/>
                <w:lang w:eastAsia="en-GB"/>
              </w:rPr>
              <w:t>Life year gained</w:t>
            </w:r>
          </w:p>
        </w:tc>
        <w:tc>
          <w:tcPr>
            <w:tcW w:w="1145"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jc w:val="center"/>
              <w:rPr>
                <w:rFonts w:ascii="Arial Narrow" w:hAnsi="Arial Narrow"/>
                <w:snapToGrid/>
                <w:sz w:val="20"/>
                <w:lang w:eastAsia="en-GB"/>
              </w:rPr>
            </w:pPr>
            <w:r w:rsidRPr="00CF3D88">
              <w:rPr>
                <w:rFonts w:ascii="Arial Narrow" w:hAnsi="Arial Narrow"/>
                <w:snapToGrid/>
                <w:sz w:val="20"/>
                <w:lang w:eastAsia="en-GB"/>
              </w:rPr>
              <w:t>5.68</w:t>
            </w:r>
          </w:p>
        </w:tc>
        <w:tc>
          <w:tcPr>
            <w:tcW w:w="1004"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jc w:val="center"/>
              <w:rPr>
                <w:rFonts w:ascii="Arial Narrow" w:hAnsi="Arial Narrow"/>
                <w:snapToGrid/>
                <w:sz w:val="20"/>
                <w:lang w:eastAsia="en-GB"/>
              </w:rPr>
            </w:pPr>
            <w:r w:rsidRPr="00CF3D88">
              <w:rPr>
                <w:rFonts w:ascii="Arial Narrow" w:hAnsi="Arial Narrow"/>
                <w:snapToGrid/>
                <w:sz w:val="20"/>
                <w:lang w:eastAsia="en-GB"/>
              </w:rPr>
              <w:t>3.27</w:t>
            </w:r>
          </w:p>
        </w:tc>
        <w:tc>
          <w:tcPr>
            <w:tcW w:w="848"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jc w:val="center"/>
              <w:rPr>
                <w:rFonts w:ascii="Arial Narrow" w:hAnsi="Arial Narrow"/>
                <w:snapToGrid/>
                <w:sz w:val="20"/>
                <w:lang w:eastAsia="en-GB"/>
              </w:rPr>
            </w:pPr>
            <w:r w:rsidRPr="00CF3D88">
              <w:rPr>
                <w:rFonts w:ascii="Arial Narrow" w:hAnsi="Arial Narrow"/>
                <w:snapToGrid/>
                <w:sz w:val="20"/>
                <w:lang w:eastAsia="en-GB"/>
              </w:rPr>
              <w:t>2.41</w:t>
            </w:r>
          </w:p>
        </w:tc>
      </w:tr>
      <w:tr w:rsidR="00BB7F88" w:rsidRPr="00CF3D88" w:rsidTr="00BF3DC4">
        <w:trPr>
          <w:trHeight w:val="70"/>
        </w:trPr>
        <w:tc>
          <w:tcPr>
            <w:tcW w:w="4152" w:type="pct"/>
            <w:gridSpan w:val="3"/>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70" w:lineRule="atLeast"/>
              <w:rPr>
                <w:rFonts w:ascii="Arial Narrow" w:hAnsi="Arial Narrow"/>
                <w:snapToGrid/>
                <w:sz w:val="20"/>
                <w:lang w:eastAsia="en-GB"/>
              </w:rPr>
            </w:pPr>
            <w:r w:rsidRPr="00CF3D88">
              <w:rPr>
                <w:rFonts w:ascii="Arial Narrow" w:hAnsi="Arial Narrow"/>
                <w:b/>
                <w:bCs/>
                <w:snapToGrid/>
                <w:sz w:val="20"/>
                <w:lang w:eastAsia="en-GB"/>
              </w:rPr>
              <w:t>Incremental cost/extra life year gained</w:t>
            </w:r>
          </w:p>
        </w:tc>
        <w:tc>
          <w:tcPr>
            <w:tcW w:w="848"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keepNext/>
              <w:widowControl/>
              <w:spacing w:line="70" w:lineRule="atLeast"/>
              <w:jc w:val="center"/>
              <w:rPr>
                <w:rFonts w:ascii="Arial Narrow" w:hAnsi="Arial Narrow"/>
                <w:snapToGrid/>
                <w:sz w:val="20"/>
                <w:lang w:eastAsia="en-GB"/>
              </w:rPr>
            </w:pPr>
            <w:r w:rsidRPr="00CF3D88">
              <w:rPr>
                <w:rFonts w:ascii="Arial Narrow" w:hAnsi="Arial Narrow"/>
                <w:b/>
                <w:bCs/>
                <w:snapToGrid/>
                <w:sz w:val="20"/>
                <w:lang w:eastAsia="en-GB"/>
              </w:rPr>
              <w:t>$</w:t>
            </w:r>
            <w:r w:rsidR="00526F5C">
              <w:rPr>
                <w:rFonts w:ascii="Arial Narrow" w:hAnsi="Arial Narrow"/>
                <w:b/>
                <w:bCs/>
                <w:noProof/>
                <w:snapToGrid/>
                <w:color w:val="000000"/>
                <w:sz w:val="20"/>
                <w:highlight w:val="black"/>
                <w:lang w:eastAsia="en-GB"/>
              </w:rPr>
              <w:t>''''''''''''</w:t>
            </w:r>
          </w:p>
        </w:tc>
      </w:tr>
      <w:tr w:rsidR="00BB7F88" w:rsidRPr="00CF3D88" w:rsidTr="00BF3DC4">
        <w:tc>
          <w:tcPr>
            <w:tcW w:w="5000" w:type="pct"/>
            <w:gridSpan w:val="4"/>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widowControl/>
              <w:spacing w:line="254" w:lineRule="auto"/>
              <w:rPr>
                <w:rFonts w:ascii="Arial Narrow" w:hAnsi="Arial Narrow"/>
                <w:snapToGrid/>
                <w:sz w:val="20"/>
                <w:lang w:eastAsia="en-GB"/>
              </w:rPr>
            </w:pPr>
            <w:bookmarkStart w:id="23" w:name="m_-2020796990206748826_m_-11420654978079"/>
            <w:r w:rsidRPr="00CF3D88">
              <w:rPr>
                <w:rFonts w:ascii="Arial Narrow" w:hAnsi="Arial Narrow"/>
                <w:b/>
                <w:bCs/>
                <w:snapToGrid/>
                <w:sz w:val="20"/>
                <w:lang w:eastAsia="en-GB"/>
              </w:rPr>
              <w:t>Step 4: Modelled economic evaluation including utilities</w:t>
            </w:r>
            <w:bookmarkEnd w:id="23"/>
          </w:p>
        </w:tc>
      </w:tr>
      <w:tr w:rsidR="00BB7F88" w:rsidRPr="00CF3D88" w:rsidTr="00BF3DC4">
        <w:tc>
          <w:tcPr>
            <w:tcW w:w="200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snapToGrid/>
                <w:sz w:val="20"/>
                <w:lang w:eastAsia="en-GB"/>
              </w:rPr>
              <w:t>Costs</w:t>
            </w:r>
          </w:p>
        </w:tc>
        <w:tc>
          <w:tcPr>
            <w:tcW w:w="1145"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c>
          <w:tcPr>
            <w:tcW w:w="1004"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c>
          <w:tcPr>
            <w:tcW w:w="848" w:type="pct"/>
            <w:tcBorders>
              <w:top w:val="nil"/>
              <w:left w:val="nil"/>
              <w:bottom w:val="single" w:sz="8" w:space="0" w:color="auto"/>
              <w:right w:val="single" w:sz="8" w:space="0" w:color="auto"/>
            </w:tcBorders>
            <w:tcMar>
              <w:top w:w="0" w:type="dxa"/>
              <w:left w:w="28" w:type="dxa"/>
              <w:bottom w:w="0" w:type="dxa"/>
              <w:right w:w="28" w:type="dxa"/>
            </w:tcMar>
            <w:hideMark/>
          </w:tcPr>
          <w:p w:rsidR="00BB7F88" w:rsidRPr="00CF3D88" w:rsidRDefault="00BB7F88" w:rsidP="00BF3DC4">
            <w:pPr>
              <w:jc w:val="center"/>
              <w:rPr>
                <w:rFonts w:ascii="Arial Narrow" w:hAnsi="Arial Narrow"/>
                <w:snapToGrid/>
                <w:sz w:val="20"/>
                <w:lang w:eastAsia="en-GB"/>
              </w:rPr>
            </w:pPr>
            <w:r w:rsidRPr="00CF3D88">
              <w:rPr>
                <w:rFonts w:ascii="Arial Narrow" w:hAnsi="Arial Narrow"/>
                <w:snapToGrid/>
                <w:sz w:val="20"/>
                <w:lang w:eastAsia="en-GB"/>
              </w:rPr>
              <w:t>$</w:t>
            </w:r>
            <w:r w:rsidR="00526F5C">
              <w:rPr>
                <w:rFonts w:ascii="Arial Narrow" w:hAnsi="Arial Narrow"/>
                <w:noProof/>
                <w:snapToGrid/>
                <w:color w:val="000000"/>
                <w:sz w:val="20"/>
                <w:highlight w:val="black"/>
                <w:lang w:eastAsia="en-GB"/>
              </w:rPr>
              <w:t>'''''''''''''''''''''</w:t>
            </w:r>
          </w:p>
        </w:tc>
      </w:tr>
      <w:tr w:rsidR="00BB7F88" w:rsidRPr="00CF3D88" w:rsidTr="00BF3DC4">
        <w:tc>
          <w:tcPr>
            <w:tcW w:w="2003"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snapToGrid/>
                <w:sz w:val="20"/>
                <w:lang w:eastAsia="en-GB"/>
              </w:rPr>
              <w:t>QALY</w:t>
            </w:r>
          </w:p>
        </w:tc>
        <w:tc>
          <w:tcPr>
            <w:tcW w:w="114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jc w:val="center"/>
              <w:rPr>
                <w:rFonts w:ascii="Arial Narrow" w:hAnsi="Arial Narrow"/>
                <w:snapToGrid/>
                <w:sz w:val="20"/>
                <w:lang w:eastAsia="en-GB"/>
              </w:rPr>
            </w:pPr>
            <w:bookmarkStart w:id="24" w:name="RANGE!D24"/>
            <w:r w:rsidRPr="00CF3D88">
              <w:rPr>
                <w:rFonts w:ascii="Arial Narrow" w:hAnsi="Arial Narrow"/>
                <w:snapToGrid/>
                <w:sz w:val="20"/>
                <w:lang w:eastAsia="en-GB"/>
              </w:rPr>
              <w:t>3.16</w:t>
            </w:r>
            <w:bookmarkEnd w:id="24"/>
          </w:p>
        </w:tc>
        <w:tc>
          <w:tcPr>
            <w:tcW w:w="100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jc w:val="center"/>
              <w:rPr>
                <w:rFonts w:ascii="Arial Narrow" w:hAnsi="Arial Narrow"/>
                <w:snapToGrid/>
                <w:sz w:val="20"/>
                <w:lang w:eastAsia="en-GB"/>
              </w:rPr>
            </w:pPr>
            <w:bookmarkStart w:id="25" w:name="RANGE!E24"/>
            <w:r w:rsidRPr="00CF3D88">
              <w:rPr>
                <w:rFonts w:ascii="Arial Narrow" w:hAnsi="Arial Narrow"/>
                <w:snapToGrid/>
                <w:sz w:val="20"/>
                <w:lang w:eastAsia="en-GB"/>
              </w:rPr>
              <w:t>1.60</w:t>
            </w:r>
            <w:bookmarkEnd w:id="25"/>
          </w:p>
        </w:tc>
        <w:tc>
          <w:tcPr>
            <w:tcW w:w="848"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jc w:val="center"/>
              <w:rPr>
                <w:rFonts w:ascii="Arial Narrow" w:hAnsi="Arial Narrow"/>
                <w:snapToGrid/>
                <w:sz w:val="20"/>
                <w:lang w:eastAsia="en-GB"/>
              </w:rPr>
            </w:pPr>
            <w:bookmarkStart w:id="26" w:name="RANGE!F24"/>
            <w:r w:rsidRPr="00CF3D88">
              <w:rPr>
                <w:rFonts w:ascii="Arial Narrow" w:hAnsi="Arial Narrow"/>
                <w:snapToGrid/>
                <w:sz w:val="20"/>
                <w:lang w:eastAsia="en-GB"/>
              </w:rPr>
              <w:t>1.56</w:t>
            </w:r>
            <w:bookmarkEnd w:id="26"/>
          </w:p>
        </w:tc>
      </w:tr>
      <w:tr w:rsidR="00BB7F88" w:rsidRPr="00CF3D88" w:rsidTr="00BF3DC4">
        <w:tc>
          <w:tcPr>
            <w:tcW w:w="4152" w:type="pct"/>
            <w:gridSpan w:val="3"/>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jc w:val="left"/>
              <w:rPr>
                <w:rFonts w:ascii="Arial Narrow" w:hAnsi="Arial Narrow"/>
                <w:snapToGrid/>
                <w:sz w:val="20"/>
                <w:lang w:eastAsia="en-GB"/>
              </w:rPr>
            </w:pPr>
            <w:r w:rsidRPr="00CF3D88">
              <w:rPr>
                <w:rFonts w:ascii="Arial Narrow" w:hAnsi="Arial Narrow"/>
                <w:snapToGrid/>
                <w:sz w:val="20"/>
                <w:lang w:eastAsia="en-GB"/>
              </w:rPr>
              <w:t>ICER/QALY</w:t>
            </w:r>
          </w:p>
        </w:tc>
        <w:tc>
          <w:tcPr>
            <w:tcW w:w="848"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BB7F88" w:rsidRPr="00CF3D88" w:rsidRDefault="00BB7F88" w:rsidP="00BF3DC4">
            <w:pPr>
              <w:keepNext/>
              <w:widowControl/>
              <w:spacing w:line="254" w:lineRule="auto"/>
              <w:ind w:firstLine="114"/>
              <w:jc w:val="center"/>
              <w:rPr>
                <w:rFonts w:ascii="Arial Narrow" w:hAnsi="Arial Narrow"/>
                <w:snapToGrid/>
                <w:sz w:val="20"/>
                <w:lang w:eastAsia="en-GB"/>
              </w:rPr>
            </w:pPr>
            <w:r w:rsidRPr="00CF3D88">
              <w:rPr>
                <w:rFonts w:ascii="Arial Narrow" w:hAnsi="Arial Narrow"/>
                <w:b/>
                <w:bCs/>
                <w:snapToGrid/>
                <w:sz w:val="20"/>
                <w:lang w:eastAsia="en-GB"/>
              </w:rPr>
              <w:t>$</w:t>
            </w:r>
            <w:r w:rsidR="00526F5C">
              <w:rPr>
                <w:rFonts w:ascii="Arial Narrow" w:hAnsi="Arial Narrow"/>
                <w:b/>
                <w:bCs/>
                <w:noProof/>
                <w:snapToGrid/>
                <w:color w:val="000000"/>
                <w:sz w:val="20"/>
                <w:highlight w:val="black"/>
                <w:lang w:eastAsia="en-GB"/>
              </w:rPr>
              <w:t>'''''''''''''</w:t>
            </w:r>
          </w:p>
        </w:tc>
      </w:tr>
    </w:tbl>
    <w:p w:rsidR="00BB7F88" w:rsidRPr="0043689A" w:rsidRDefault="00BB7F88" w:rsidP="00BB7F88">
      <w:pPr>
        <w:widowControl/>
        <w:ind w:right="465" w:firstLine="720"/>
        <w:jc w:val="left"/>
        <w:rPr>
          <w:rFonts w:ascii="Arial Narrow" w:hAnsi="Arial Narrow"/>
          <w:bCs/>
          <w:snapToGrid/>
          <w:sz w:val="18"/>
          <w:szCs w:val="18"/>
          <w:lang w:eastAsia="en-GB"/>
        </w:rPr>
      </w:pPr>
      <w:r w:rsidRPr="0043689A">
        <w:rPr>
          <w:rFonts w:ascii="Arial Narrow" w:hAnsi="Arial Narrow"/>
          <w:bCs/>
          <w:snapToGrid/>
          <w:sz w:val="18"/>
          <w:szCs w:val="18"/>
          <w:lang w:eastAsia="en-GB"/>
        </w:rPr>
        <w:t>Source: BV Post ASCT Economic Evaluation Censoring Revised Sept 2016.xlsm</w:t>
      </w:r>
    </w:p>
    <w:p w:rsidR="00BB7F88" w:rsidRPr="0043689A" w:rsidRDefault="00BB7F88" w:rsidP="00BB7F88">
      <w:pPr>
        <w:widowControl/>
        <w:ind w:right="465" w:firstLine="720"/>
        <w:jc w:val="left"/>
        <w:rPr>
          <w:bCs/>
          <w:snapToGrid/>
          <w:szCs w:val="24"/>
          <w:lang w:eastAsia="en-GB"/>
        </w:rPr>
      </w:pPr>
      <w:r w:rsidRPr="0043689A">
        <w:rPr>
          <w:rFonts w:ascii="Arial Narrow" w:hAnsi="Arial Narrow"/>
          <w:bCs/>
          <w:snapToGrid/>
          <w:sz w:val="18"/>
          <w:szCs w:val="18"/>
          <w:lang w:eastAsia="en-GB"/>
        </w:rPr>
        <w:t>ICER = incremental cost effectiveness ratio; QALY = quality adjusted life years</w:t>
      </w:r>
    </w:p>
    <w:p w:rsidR="00954713" w:rsidRPr="00CF3D88" w:rsidRDefault="00954713" w:rsidP="00D876B3">
      <w:pPr>
        <w:widowControl/>
        <w:rPr>
          <w:szCs w:val="22"/>
        </w:rPr>
      </w:pPr>
    </w:p>
    <w:p w:rsidR="001B4061" w:rsidRPr="00CF3D88" w:rsidRDefault="00E909A8" w:rsidP="009530DB">
      <w:pPr>
        <w:widowControl/>
        <w:numPr>
          <w:ilvl w:val="1"/>
          <w:numId w:val="2"/>
        </w:numPr>
        <w:contextualSpacing/>
      </w:pPr>
      <w:r>
        <w:rPr>
          <w:rFonts w:cstheme="minorHAnsi"/>
          <w:szCs w:val="22"/>
        </w:rPr>
        <w:t>The PSCR (p</w:t>
      </w:r>
      <w:r w:rsidR="001B4061" w:rsidRPr="00CF3D88">
        <w:rPr>
          <w:rFonts w:cstheme="minorHAnsi"/>
          <w:szCs w:val="22"/>
        </w:rPr>
        <w:t xml:space="preserve">4) presented an updated </w:t>
      </w:r>
      <w:r w:rsidR="007C1EE2" w:rsidRPr="00CF3D88">
        <w:rPr>
          <w:rFonts w:cstheme="minorHAnsi"/>
          <w:szCs w:val="22"/>
        </w:rPr>
        <w:t>base case</w:t>
      </w:r>
      <w:r w:rsidR="001B4061" w:rsidRPr="00CF3D88">
        <w:rPr>
          <w:rFonts w:cstheme="minorHAnsi"/>
          <w:szCs w:val="22"/>
        </w:rPr>
        <w:t xml:space="preserve"> to account for the revised censoring of overall survival, the additional 25 patients from the Kaloyannidis dataset for whom PFS data was located</w:t>
      </w:r>
      <w:r w:rsidR="009530DB" w:rsidRPr="00CF3D88">
        <w:rPr>
          <w:rFonts w:cstheme="minorHAnsi"/>
          <w:szCs w:val="22"/>
        </w:rPr>
        <w:t xml:space="preserve">, updated costs, </w:t>
      </w:r>
      <w:r w:rsidR="001B4061" w:rsidRPr="00CF3D88">
        <w:rPr>
          <w:rFonts w:cstheme="minorHAnsi"/>
          <w:szCs w:val="22"/>
        </w:rPr>
        <w:t xml:space="preserve">and </w:t>
      </w:r>
      <w:r w:rsidR="009530DB" w:rsidRPr="00CF3D88">
        <w:rPr>
          <w:rFonts w:cstheme="minorHAnsi"/>
          <w:szCs w:val="22"/>
        </w:rPr>
        <w:t>corrected</w:t>
      </w:r>
      <w:r w:rsidR="001B4061" w:rsidRPr="00CF3D88">
        <w:rPr>
          <w:rFonts w:cstheme="minorHAnsi"/>
          <w:szCs w:val="22"/>
        </w:rPr>
        <w:t xml:space="preserve"> disutilities associated with adverse events (AE</w:t>
      </w:r>
      <w:r w:rsidR="006D4567" w:rsidRPr="00CF3D88">
        <w:rPr>
          <w:rFonts w:cstheme="minorHAnsi"/>
          <w:szCs w:val="22"/>
        </w:rPr>
        <w:t xml:space="preserve">s). In the revised base </w:t>
      </w:r>
      <w:r w:rsidR="00CF3D88" w:rsidRPr="00CF3D88">
        <w:rPr>
          <w:rFonts w:cstheme="minorHAnsi"/>
          <w:szCs w:val="22"/>
        </w:rPr>
        <w:t>case,</w:t>
      </w:r>
      <w:r w:rsidR="006D4567" w:rsidRPr="00CF3D88">
        <w:rPr>
          <w:rFonts w:cstheme="minorHAnsi"/>
          <w:szCs w:val="22"/>
        </w:rPr>
        <w:t xml:space="preserve"> the ICER</w:t>
      </w:r>
      <w:r w:rsidR="001B4061" w:rsidRPr="00CF3D88">
        <w:rPr>
          <w:rFonts w:cstheme="minorHAnsi"/>
          <w:szCs w:val="22"/>
        </w:rPr>
        <w:t xml:space="preserve"> </w:t>
      </w:r>
      <w:r w:rsidR="00CB180D" w:rsidRPr="00CF3D88">
        <w:rPr>
          <w:rFonts w:cstheme="minorHAnsi"/>
          <w:szCs w:val="22"/>
        </w:rPr>
        <w:t xml:space="preserve">increased </w:t>
      </w:r>
      <w:r w:rsidR="001B4061" w:rsidRPr="00CF3D88">
        <w:rPr>
          <w:rFonts w:cstheme="minorHAnsi"/>
          <w:szCs w:val="22"/>
        </w:rPr>
        <w:t>to $</w:t>
      </w:r>
      <w:r w:rsidR="00375964">
        <w:rPr>
          <w:rFonts w:cstheme="minorHAnsi"/>
          <w:szCs w:val="22"/>
        </w:rPr>
        <w:t>75,000</w:t>
      </w:r>
      <w:r w:rsidR="00B7208E">
        <w:rPr>
          <w:rFonts w:cstheme="minorHAnsi"/>
          <w:szCs w:val="22"/>
        </w:rPr>
        <w:t>/QALY</w:t>
      </w:r>
      <w:r w:rsidR="00375964">
        <w:rPr>
          <w:rFonts w:cstheme="minorHAnsi"/>
          <w:szCs w:val="22"/>
        </w:rPr>
        <w:t xml:space="preserve"> - $105,000</w:t>
      </w:r>
      <w:r w:rsidR="001B4061" w:rsidRPr="00CF3D88">
        <w:rPr>
          <w:rFonts w:cstheme="minorHAnsi"/>
          <w:szCs w:val="22"/>
        </w:rPr>
        <w:t>/QALY</w:t>
      </w:r>
      <w:r w:rsidR="007C1EE2" w:rsidRPr="00CF3D88">
        <w:rPr>
          <w:rFonts w:cstheme="minorHAnsi"/>
          <w:szCs w:val="22"/>
        </w:rPr>
        <w:t>. The updated base case and sensitivity analyses are presented in Table 10.</w:t>
      </w:r>
    </w:p>
    <w:p w:rsidR="001B4061" w:rsidRPr="00CF3D88" w:rsidRDefault="001B4061" w:rsidP="00D03D13"/>
    <w:p w:rsidR="001B4061" w:rsidRPr="00CF3D88" w:rsidRDefault="001B4061" w:rsidP="001B4061">
      <w:pPr>
        <w:ind w:firstLine="720"/>
        <w:rPr>
          <w:rFonts w:ascii="Arial Narrow" w:hAnsi="Arial Narrow"/>
          <w:b/>
          <w:sz w:val="20"/>
          <w:szCs w:val="16"/>
        </w:rPr>
      </w:pPr>
      <w:r w:rsidRPr="00CF3D88">
        <w:rPr>
          <w:rFonts w:ascii="Arial Narrow" w:hAnsi="Arial Narrow"/>
          <w:b/>
          <w:sz w:val="20"/>
          <w:szCs w:val="16"/>
        </w:rPr>
        <w:t>Table 10: Base case and revised ICERs as presented in the PSCR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134"/>
        <w:gridCol w:w="850"/>
        <w:gridCol w:w="1054"/>
      </w:tblGrid>
      <w:tr w:rsidR="001B4061" w:rsidRPr="00375964" w:rsidTr="00260AE3">
        <w:trPr>
          <w:trHeight w:val="20"/>
        </w:trPr>
        <w:tc>
          <w:tcPr>
            <w:tcW w:w="5387" w:type="dxa"/>
            <w:shd w:val="clear" w:color="auto" w:fill="auto"/>
          </w:tcPr>
          <w:p w:rsidR="001B4061" w:rsidRPr="00375964" w:rsidRDefault="001B4061" w:rsidP="00E90D37">
            <w:pPr>
              <w:pStyle w:val="Caption"/>
              <w:spacing w:after="0"/>
              <w:rPr>
                <w:rFonts w:ascii="Arial Narrow" w:hAnsi="Arial Narrow" w:cs="Calibri"/>
                <w:color w:val="auto"/>
                <w:sz w:val="20"/>
                <w:szCs w:val="20"/>
              </w:rPr>
            </w:pPr>
          </w:p>
        </w:tc>
        <w:tc>
          <w:tcPr>
            <w:tcW w:w="1134" w:type="dxa"/>
            <w:shd w:val="clear" w:color="auto" w:fill="auto"/>
          </w:tcPr>
          <w:p w:rsidR="001B4061" w:rsidRPr="00375964" w:rsidRDefault="001B4061" w:rsidP="00E90D37">
            <w:pPr>
              <w:jc w:val="center"/>
              <w:rPr>
                <w:rFonts w:ascii="Arial Narrow" w:hAnsi="Arial Narrow"/>
                <w:b/>
                <w:sz w:val="20"/>
              </w:rPr>
            </w:pPr>
            <w:r w:rsidRPr="00375964">
              <w:rPr>
                <w:rFonts w:ascii="Arial Narrow" w:hAnsi="Arial Narrow"/>
                <w:b/>
                <w:sz w:val="20"/>
              </w:rPr>
              <w:t>∆ costs</w:t>
            </w:r>
          </w:p>
        </w:tc>
        <w:tc>
          <w:tcPr>
            <w:tcW w:w="850" w:type="dxa"/>
          </w:tcPr>
          <w:p w:rsidR="001B4061" w:rsidRPr="00375964" w:rsidRDefault="001B4061" w:rsidP="00E90D37">
            <w:pPr>
              <w:jc w:val="center"/>
              <w:rPr>
                <w:rFonts w:ascii="Arial Narrow" w:hAnsi="Arial Narrow"/>
                <w:b/>
                <w:sz w:val="20"/>
              </w:rPr>
            </w:pPr>
            <w:r w:rsidRPr="00375964">
              <w:rPr>
                <w:rFonts w:ascii="Arial Narrow" w:hAnsi="Arial Narrow"/>
                <w:b/>
                <w:sz w:val="20"/>
              </w:rPr>
              <w:t>∆ QALY</w:t>
            </w:r>
          </w:p>
        </w:tc>
        <w:tc>
          <w:tcPr>
            <w:tcW w:w="1054" w:type="dxa"/>
          </w:tcPr>
          <w:p w:rsidR="001B4061" w:rsidRPr="00375964" w:rsidRDefault="001B4061" w:rsidP="00E90D37">
            <w:pPr>
              <w:jc w:val="center"/>
              <w:rPr>
                <w:rFonts w:ascii="Arial Narrow" w:hAnsi="Arial Narrow"/>
                <w:b/>
                <w:sz w:val="20"/>
              </w:rPr>
            </w:pPr>
            <w:r w:rsidRPr="00375964">
              <w:rPr>
                <w:rFonts w:ascii="Arial Narrow" w:hAnsi="Arial Narrow"/>
                <w:b/>
                <w:sz w:val="20"/>
              </w:rPr>
              <w:t>ICER</w:t>
            </w:r>
          </w:p>
        </w:tc>
      </w:tr>
      <w:tr w:rsidR="001B4061" w:rsidRPr="00375964" w:rsidTr="00260AE3">
        <w:trPr>
          <w:trHeight w:val="20"/>
        </w:trPr>
        <w:tc>
          <w:tcPr>
            <w:tcW w:w="5387" w:type="dxa"/>
            <w:shd w:val="clear" w:color="auto" w:fill="auto"/>
          </w:tcPr>
          <w:p w:rsidR="001B4061" w:rsidRPr="00375964" w:rsidRDefault="001B4061" w:rsidP="00E90D37">
            <w:pPr>
              <w:pStyle w:val="Caption"/>
              <w:spacing w:after="0"/>
              <w:rPr>
                <w:rFonts w:ascii="Arial Narrow" w:hAnsi="Arial Narrow" w:cs="Calibri"/>
                <w:b w:val="0"/>
                <w:color w:val="auto"/>
                <w:sz w:val="20"/>
                <w:szCs w:val="20"/>
              </w:rPr>
            </w:pPr>
            <w:r w:rsidRPr="00375964">
              <w:rPr>
                <w:rFonts w:ascii="Arial Narrow" w:hAnsi="Arial Narrow"/>
                <w:b w:val="0"/>
                <w:color w:val="auto"/>
                <w:sz w:val="20"/>
                <w:szCs w:val="20"/>
              </w:rPr>
              <w:t>Base case in re-submission</w:t>
            </w:r>
          </w:p>
        </w:tc>
        <w:tc>
          <w:tcPr>
            <w:tcW w:w="1134" w:type="dxa"/>
            <w:shd w:val="clear" w:color="auto" w:fill="auto"/>
            <w:vAlign w:val="center"/>
          </w:tcPr>
          <w:p w:rsidR="001B4061" w:rsidRPr="00375964" w:rsidRDefault="001B4061" w:rsidP="00E90D37">
            <w:pPr>
              <w:keepNext/>
              <w:jc w:val="center"/>
              <w:rPr>
                <w:rFonts w:ascii="Arial Narrow" w:hAnsi="Arial Narrow"/>
                <w:sz w:val="20"/>
              </w:rPr>
            </w:pPr>
            <w:r w:rsidRPr="00375964">
              <w:rPr>
                <w:rFonts w:ascii="Arial Narrow" w:hAnsi="Arial Narrow"/>
                <w:sz w:val="20"/>
              </w:rPr>
              <w:t>$</w:t>
            </w:r>
            <w:r w:rsidR="00526F5C">
              <w:rPr>
                <w:rFonts w:ascii="Arial Narrow" w:hAnsi="Arial Narrow"/>
                <w:noProof/>
                <w:color w:val="000000"/>
                <w:sz w:val="20"/>
                <w:highlight w:val="black"/>
              </w:rPr>
              <w:t>''''''''''''''''''</w:t>
            </w:r>
          </w:p>
        </w:tc>
        <w:tc>
          <w:tcPr>
            <w:tcW w:w="850" w:type="dxa"/>
            <w:vAlign w:val="center"/>
          </w:tcPr>
          <w:p w:rsidR="001B4061" w:rsidRPr="00375964" w:rsidRDefault="001B4061" w:rsidP="00E90D37">
            <w:pPr>
              <w:keepNext/>
              <w:jc w:val="center"/>
              <w:rPr>
                <w:rFonts w:ascii="Arial Narrow" w:hAnsi="Arial Narrow"/>
                <w:sz w:val="20"/>
              </w:rPr>
            </w:pPr>
            <w:r w:rsidRPr="00375964">
              <w:rPr>
                <w:rFonts w:ascii="Arial Narrow" w:hAnsi="Arial Narrow"/>
                <w:sz w:val="20"/>
              </w:rPr>
              <w:t>2.65</w:t>
            </w:r>
          </w:p>
        </w:tc>
        <w:tc>
          <w:tcPr>
            <w:tcW w:w="1054" w:type="dxa"/>
            <w:vAlign w:val="center"/>
          </w:tcPr>
          <w:p w:rsidR="001B4061" w:rsidRPr="00375964" w:rsidRDefault="001B4061" w:rsidP="00E90D37">
            <w:pPr>
              <w:keepNext/>
              <w:jc w:val="center"/>
              <w:rPr>
                <w:rFonts w:ascii="Arial Narrow" w:hAnsi="Arial Narrow"/>
                <w:sz w:val="20"/>
              </w:rPr>
            </w:pPr>
            <w:r w:rsidRPr="00375964">
              <w:rPr>
                <w:rFonts w:ascii="Arial Narrow" w:hAnsi="Arial Narrow"/>
                <w:sz w:val="20"/>
              </w:rPr>
              <w:t>$</w:t>
            </w:r>
            <w:r w:rsidR="00526F5C">
              <w:rPr>
                <w:rFonts w:ascii="Arial Narrow" w:hAnsi="Arial Narrow"/>
                <w:noProof/>
                <w:color w:val="000000"/>
                <w:sz w:val="20"/>
                <w:highlight w:val="black"/>
              </w:rPr>
              <w:t>'''''''''''''''''</w:t>
            </w:r>
          </w:p>
        </w:tc>
      </w:tr>
      <w:tr w:rsidR="001B4061" w:rsidRPr="00375964" w:rsidTr="00260AE3">
        <w:trPr>
          <w:trHeight w:val="20"/>
        </w:trPr>
        <w:tc>
          <w:tcPr>
            <w:tcW w:w="5387" w:type="dxa"/>
            <w:shd w:val="clear" w:color="auto" w:fill="auto"/>
          </w:tcPr>
          <w:p w:rsidR="001B4061" w:rsidRPr="00375964" w:rsidRDefault="001B4061" w:rsidP="00E90D37">
            <w:pPr>
              <w:pStyle w:val="Caption"/>
              <w:spacing w:after="0"/>
              <w:rPr>
                <w:rFonts w:ascii="Arial Narrow" w:hAnsi="Arial Narrow" w:cs="Calibri"/>
                <w:color w:val="auto"/>
                <w:sz w:val="20"/>
                <w:szCs w:val="20"/>
              </w:rPr>
            </w:pPr>
            <w:r w:rsidRPr="00375964">
              <w:rPr>
                <w:rFonts w:ascii="Arial Narrow" w:hAnsi="Arial Narrow" w:cs="Calibri"/>
                <w:color w:val="auto"/>
                <w:sz w:val="20"/>
                <w:szCs w:val="20"/>
              </w:rPr>
              <w:t>Revised base case: adjusted for censoring of OS; 25 additional patients with PFS data from Kaloyannidis dataset; correction implementation of utility values</w:t>
            </w:r>
          </w:p>
        </w:tc>
        <w:tc>
          <w:tcPr>
            <w:tcW w:w="1134" w:type="dxa"/>
            <w:shd w:val="clear" w:color="auto" w:fill="auto"/>
          </w:tcPr>
          <w:p w:rsidR="001B4061" w:rsidRPr="00375964" w:rsidRDefault="001B4061" w:rsidP="00E90D37">
            <w:pPr>
              <w:pStyle w:val="Caption"/>
              <w:spacing w:after="0"/>
              <w:jc w:val="center"/>
              <w:rPr>
                <w:rFonts w:ascii="Arial Narrow" w:hAnsi="Arial Narrow" w:cs="Calibri"/>
                <w:color w:val="auto"/>
                <w:sz w:val="20"/>
                <w:szCs w:val="20"/>
              </w:rPr>
            </w:pPr>
            <w:r w:rsidRPr="00375964">
              <w:rPr>
                <w:rFonts w:ascii="Arial Narrow" w:hAnsi="Arial Narrow" w:cs="Calibri"/>
                <w:color w:val="auto"/>
                <w:sz w:val="20"/>
                <w:szCs w:val="20"/>
              </w:rPr>
              <w:t>$</w:t>
            </w:r>
            <w:r w:rsidR="00526F5C">
              <w:rPr>
                <w:rFonts w:ascii="Arial Narrow" w:hAnsi="Arial Narrow" w:cs="Calibri"/>
                <w:noProof/>
                <w:color w:val="000000"/>
                <w:sz w:val="20"/>
                <w:szCs w:val="20"/>
                <w:highlight w:val="black"/>
              </w:rPr>
              <w:t>''''''''''''''</w:t>
            </w:r>
          </w:p>
        </w:tc>
        <w:tc>
          <w:tcPr>
            <w:tcW w:w="850" w:type="dxa"/>
          </w:tcPr>
          <w:p w:rsidR="001B4061" w:rsidRPr="00375964" w:rsidRDefault="001B4061" w:rsidP="00E90D37">
            <w:pPr>
              <w:pStyle w:val="Caption"/>
              <w:spacing w:after="0"/>
              <w:jc w:val="center"/>
              <w:rPr>
                <w:rFonts w:ascii="Arial Narrow" w:hAnsi="Arial Narrow" w:cs="Calibri"/>
                <w:color w:val="auto"/>
                <w:sz w:val="20"/>
                <w:szCs w:val="20"/>
              </w:rPr>
            </w:pPr>
            <w:r w:rsidRPr="00375964">
              <w:rPr>
                <w:rFonts w:ascii="Arial Narrow" w:hAnsi="Arial Narrow" w:cs="Calibri"/>
                <w:color w:val="auto"/>
                <w:sz w:val="20"/>
                <w:szCs w:val="20"/>
              </w:rPr>
              <w:t>1.56</w:t>
            </w:r>
          </w:p>
        </w:tc>
        <w:tc>
          <w:tcPr>
            <w:tcW w:w="1054" w:type="dxa"/>
          </w:tcPr>
          <w:p w:rsidR="001B4061" w:rsidRPr="00375964" w:rsidRDefault="001B4061" w:rsidP="00E90D37">
            <w:pPr>
              <w:pStyle w:val="Caption"/>
              <w:spacing w:after="0"/>
              <w:jc w:val="center"/>
              <w:rPr>
                <w:rFonts w:ascii="Arial Narrow" w:hAnsi="Arial Narrow" w:cs="Calibri"/>
                <w:color w:val="auto"/>
                <w:sz w:val="20"/>
                <w:szCs w:val="20"/>
              </w:rPr>
            </w:pPr>
            <w:r w:rsidRPr="00375964">
              <w:rPr>
                <w:rFonts w:ascii="Arial Narrow" w:hAnsi="Arial Narrow" w:cs="Calibri"/>
                <w:color w:val="auto"/>
                <w:sz w:val="20"/>
                <w:szCs w:val="20"/>
              </w:rPr>
              <w:t>$</w:t>
            </w:r>
            <w:r w:rsidR="00526F5C">
              <w:rPr>
                <w:rFonts w:ascii="Arial Narrow" w:hAnsi="Arial Narrow" w:cs="Calibri"/>
                <w:noProof/>
                <w:color w:val="000000"/>
                <w:sz w:val="20"/>
                <w:szCs w:val="20"/>
                <w:highlight w:val="black"/>
              </w:rPr>
              <w:t>''''''''''''''</w:t>
            </w:r>
          </w:p>
        </w:tc>
      </w:tr>
      <w:tr w:rsidR="001B4061" w:rsidRPr="00375964" w:rsidTr="00260AE3">
        <w:trPr>
          <w:trHeight w:val="20"/>
        </w:trPr>
        <w:tc>
          <w:tcPr>
            <w:tcW w:w="5387" w:type="dxa"/>
            <w:shd w:val="clear" w:color="auto" w:fill="auto"/>
          </w:tcPr>
          <w:p w:rsidR="001B4061" w:rsidRPr="00375964" w:rsidRDefault="001B4061" w:rsidP="00E90D37">
            <w:pPr>
              <w:pStyle w:val="Caption"/>
              <w:spacing w:after="0"/>
              <w:rPr>
                <w:rFonts w:ascii="Arial Narrow" w:hAnsi="Arial Narrow" w:cs="Calibri"/>
                <w:color w:val="auto"/>
                <w:sz w:val="20"/>
                <w:szCs w:val="20"/>
              </w:rPr>
            </w:pPr>
            <w:r w:rsidRPr="00375964">
              <w:rPr>
                <w:rFonts w:ascii="Arial Narrow" w:hAnsi="Arial Narrow"/>
                <w:color w:val="auto"/>
                <w:sz w:val="20"/>
                <w:szCs w:val="20"/>
              </w:rPr>
              <w:t>Univariate analyses</w:t>
            </w:r>
            <w:r w:rsidR="00767A99" w:rsidRPr="00375964">
              <w:rPr>
                <w:rFonts w:ascii="Arial Narrow" w:hAnsi="Arial Narrow"/>
                <w:color w:val="auto"/>
                <w:sz w:val="20"/>
                <w:szCs w:val="20"/>
              </w:rPr>
              <w:t xml:space="preserve"> (around revised base case)</w:t>
            </w:r>
          </w:p>
        </w:tc>
        <w:tc>
          <w:tcPr>
            <w:tcW w:w="1134" w:type="dxa"/>
            <w:shd w:val="clear" w:color="auto" w:fill="auto"/>
          </w:tcPr>
          <w:p w:rsidR="001B4061" w:rsidRPr="00375964" w:rsidRDefault="001B4061" w:rsidP="00E90D37">
            <w:pPr>
              <w:pStyle w:val="Caption"/>
              <w:spacing w:after="0"/>
              <w:jc w:val="center"/>
              <w:rPr>
                <w:rFonts w:ascii="Arial Narrow" w:hAnsi="Arial Narrow" w:cs="Calibri"/>
                <w:b w:val="0"/>
                <w:color w:val="auto"/>
                <w:sz w:val="20"/>
                <w:szCs w:val="20"/>
              </w:rPr>
            </w:pPr>
          </w:p>
        </w:tc>
        <w:tc>
          <w:tcPr>
            <w:tcW w:w="850" w:type="dxa"/>
          </w:tcPr>
          <w:p w:rsidR="001B4061" w:rsidRPr="00375964" w:rsidRDefault="001B4061" w:rsidP="00E90D37">
            <w:pPr>
              <w:pStyle w:val="Caption"/>
              <w:spacing w:after="0"/>
              <w:jc w:val="center"/>
              <w:rPr>
                <w:rFonts w:ascii="Arial Narrow" w:hAnsi="Arial Narrow" w:cs="Calibri"/>
                <w:b w:val="0"/>
                <w:color w:val="auto"/>
                <w:sz w:val="20"/>
                <w:szCs w:val="20"/>
              </w:rPr>
            </w:pPr>
          </w:p>
        </w:tc>
        <w:tc>
          <w:tcPr>
            <w:tcW w:w="1054" w:type="dxa"/>
          </w:tcPr>
          <w:p w:rsidR="001B4061" w:rsidRPr="00375964" w:rsidRDefault="001B4061" w:rsidP="00E90D37">
            <w:pPr>
              <w:pStyle w:val="Caption"/>
              <w:spacing w:after="0"/>
              <w:jc w:val="center"/>
              <w:rPr>
                <w:rFonts w:ascii="Arial Narrow" w:hAnsi="Arial Narrow" w:cs="Calibri"/>
                <w:b w:val="0"/>
                <w:color w:val="auto"/>
                <w:sz w:val="20"/>
                <w:szCs w:val="20"/>
              </w:rPr>
            </w:pPr>
          </w:p>
        </w:tc>
      </w:tr>
      <w:tr w:rsidR="001B4061" w:rsidRPr="00375964" w:rsidTr="00260AE3">
        <w:trPr>
          <w:trHeight w:val="20"/>
        </w:trPr>
        <w:tc>
          <w:tcPr>
            <w:tcW w:w="5387" w:type="dxa"/>
            <w:shd w:val="clear" w:color="auto" w:fill="auto"/>
          </w:tcPr>
          <w:p w:rsidR="001B4061" w:rsidRPr="00375964" w:rsidRDefault="001B4061" w:rsidP="00E90D37">
            <w:pPr>
              <w:pStyle w:val="Caption"/>
              <w:spacing w:after="0"/>
              <w:rPr>
                <w:rFonts w:ascii="Arial Narrow" w:hAnsi="Arial Narrow" w:cs="Calibri"/>
                <w:b w:val="0"/>
                <w:color w:val="auto"/>
                <w:sz w:val="20"/>
                <w:szCs w:val="20"/>
              </w:rPr>
            </w:pPr>
            <w:r w:rsidRPr="00375964">
              <w:rPr>
                <w:rFonts w:ascii="Arial Narrow" w:hAnsi="Arial Narrow" w:cs="Calibri"/>
                <w:b w:val="0"/>
                <w:color w:val="auto"/>
                <w:sz w:val="20"/>
                <w:szCs w:val="20"/>
              </w:rPr>
              <w:t>8-year time horizon instead of 13 years</w:t>
            </w:r>
          </w:p>
        </w:tc>
        <w:tc>
          <w:tcPr>
            <w:tcW w:w="1134" w:type="dxa"/>
            <w:shd w:val="clear" w:color="auto" w:fill="auto"/>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w:t>
            </w:r>
            <w:r w:rsidR="00526F5C">
              <w:rPr>
                <w:rFonts w:ascii="Arial Narrow" w:hAnsi="Arial Narrow" w:cs="Calibri"/>
                <w:b w:val="0"/>
                <w:noProof/>
                <w:color w:val="000000"/>
                <w:sz w:val="20"/>
                <w:szCs w:val="20"/>
                <w:highlight w:val="black"/>
              </w:rPr>
              <w:t>'''''''''''''''''''''</w:t>
            </w:r>
          </w:p>
        </w:tc>
        <w:tc>
          <w:tcPr>
            <w:tcW w:w="850" w:type="dxa"/>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1.38</w:t>
            </w:r>
          </w:p>
        </w:tc>
        <w:tc>
          <w:tcPr>
            <w:tcW w:w="1054" w:type="dxa"/>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w:t>
            </w:r>
            <w:r w:rsidR="00526F5C">
              <w:rPr>
                <w:rFonts w:ascii="Arial Narrow" w:hAnsi="Arial Narrow" w:cs="Calibri"/>
                <w:b w:val="0"/>
                <w:noProof/>
                <w:color w:val="000000"/>
                <w:sz w:val="20"/>
                <w:szCs w:val="20"/>
                <w:highlight w:val="black"/>
              </w:rPr>
              <w:t>''''''''''''''''</w:t>
            </w:r>
          </w:p>
        </w:tc>
      </w:tr>
      <w:tr w:rsidR="001B4061" w:rsidRPr="00375964" w:rsidTr="00260AE3">
        <w:trPr>
          <w:trHeight w:val="20"/>
        </w:trPr>
        <w:tc>
          <w:tcPr>
            <w:tcW w:w="5387" w:type="dxa"/>
            <w:shd w:val="clear" w:color="auto" w:fill="auto"/>
          </w:tcPr>
          <w:p w:rsidR="001B4061" w:rsidRPr="00375964" w:rsidRDefault="001B4061" w:rsidP="00E90D37">
            <w:pPr>
              <w:pStyle w:val="Caption"/>
              <w:spacing w:after="0"/>
              <w:rPr>
                <w:rFonts w:ascii="Arial Narrow" w:hAnsi="Arial Narrow" w:cs="Calibri"/>
                <w:b w:val="0"/>
                <w:color w:val="auto"/>
                <w:sz w:val="20"/>
                <w:szCs w:val="20"/>
              </w:rPr>
            </w:pPr>
            <w:r w:rsidRPr="00375964">
              <w:rPr>
                <w:rFonts w:ascii="Arial Narrow" w:hAnsi="Arial Narrow" w:cs="Calibri"/>
                <w:b w:val="0"/>
                <w:color w:val="auto"/>
                <w:sz w:val="20"/>
                <w:szCs w:val="20"/>
              </w:rPr>
              <w:t xml:space="preserve">Cost of PPDM: Same for both brentuximab vedotin and salvage chemotherapy </w:t>
            </w:r>
          </w:p>
        </w:tc>
        <w:tc>
          <w:tcPr>
            <w:tcW w:w="1134" w:type="dxa"/>
            <w:shd w:val="clear" w:color="auto" w:fill="auto"/>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w:t>
            </w:r>
            <w:r w:rsidR="00526F5C">
              <w:rPr>
                <w:rFonts w:ascii="Arial Narrow" w:hAnsi="Arial Narrow" w:cs="Calibri"/>
                <w:b w:val="0"/>
                <w:noProof/>
                <w:color w:val="000000"/>
                <w:sz w:val="20"/>
                <w:szCs w:val="20"/>
                <w:highlight w:val="black"/>
              </w:rPr>
              <w:t>''''''''''''''''''</w:t>
            </w:r>
          </w:p>
        </w:tc>
        <w:tc>
          <w:tcPr>
            <w:tcW w:w="850" w:type="dxa"/>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1.56</w:t>
            </w:r>
          </w:p>
        </w:tc>
        <w:tc>
          <w:tcPr>
            <w:tcW w:w="1054" w:type="dxa"/>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w:t>
            </w:r>
            <w:r w:rsidR="00526F5C">
              <w:rPr>
                <w:rFonts w:ascii="Arial Narrow" w:hAnsi="Arial Narrow" w:cs="Calibri"/>
                <w:b w:val="0"/>
                <w:noProof/>
                <w:color w:val="000000"/>
                <w:sz w:val="20"/>
                <w:szCs w:val="20"/>
                <w:highlight w:val="black"/>
              </w:rPr>
              <w:t>''''''''''''''''</w:t>
            </w:r>
          </w:p>
        </w:tc>
      </w:tr>
      <w:tr w:rsidR="001B4061" w:rsidRPr="00375964" w:rsidTr="00260AE3">
        <w:trPr>
          <w:trHeight w:val="20"/>
        </w:trPr>
        <w:tc>
          <w:tcPr>
            <w:tcW w:w="5387" w:type="dxa"/>
            <w:shd w:val="clear" w:color="auto" w:fill="auto"/>
          </w:tcPr>
          <w:p w:rsidR="001B4061" w:rsidRPr="00375964" w:rsidRDefault="001B4061" w:rsidP="00E90D37">
            <w:pPr>
              <w:pStyle w:val="Caption"/>
              <w:spacing w:after="0"/>
              <w:rPr>
                <w:rFonts w:ascii="Arial Narrow" w:hAnsi="Arial Narrow" w:cs="Calibri"/>
                <w:b w:val="0"/>
                <w:color w:val="auto"/>
                <w:sz w:val="20"/>
                <w:szCs w:val="20"/>
              </w:rPr>
            </w:pPr>
            <w:r w:rsidRPr="00375964">
              <w:rPr>
                <w:rFonts w:ascii="Arial Narrow" w:hAnsi="Arial Narrow" w:cs="Calibri"/>
                <w:b w:val="0"/>
                <w:color w:val="auto"/>
                <w:sz w:val="20"/>
                <w:szCs w:val="20"/>
              </w:rPr>
              <w:t>Cost of PPDM: $</w:t>
            </w:r>
            <w:r w:rsidR="00526F5C">
              <w:rPr>
                <w:rFonts w:ascii="Arial Narrow" w:hAnsi="Arial Narrow" w:cs="Calibri"/>
                <w:b w:val="0"/>
                <w:noProof/>
                <w:color w:val="000000"/>
                <w:sz w:val="20"/>
                <w:szCs w:val="20"/>
                <w:highlight w:val="black"/>
              </w:rPr>
              <w:t>'''''''''''''''</w:t>
            </w:r>
            <w:r w:rsidRPr="00375964">
              <w:rPr>
                <w:rFonts w:ascii="Arial Narrow" w:hAnsi="Arial Narrow" w:cs="Calibri"/>
                <w:b w:val="0"/>
                <w:color w:val="auto"/>
                <w:sz w:val="20"/>
                <w:szCs w:val="20"/>
              </w:rPr>
              <w:t xml:space="preserve"> for both brentuximab vedotin and salvage chemotherapy</w:t>
            </w:r>
          </w:p>
        </w:tc>
        <w:tc>
          <w:tcPr>
            <w:tcW w:w="1134" w:type="dxa"/>
            <w:shd w:val="clear" w:color="auto" w:fill="auto"/>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w:t>
            </w:r>
            <w:r w:rsidR="00526F5C">
              <w:rPr>
                <w:rFonts w:ascii="Arial Narrow" w:hAnsi="Arial Narrow" w:cs="Calibri"/>
                <w:b w:val="0"/>
                <w:noProof/>
                <w:color w:val="000000"/>
                <w:sz w:val="20"/>
                <w:szCs w:val="20"/>
                <w:highlight w:val="black"/>
              </w:rPr>
              <w:t>'''''''''''''''''</w:t>
            </w:r>
          </w:p>
        </w:tc>
        <w:tc>
          <w:tcPr>
            <w:tcW w:w="850" w:type="dxa"/>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1.56</w:t>
            </w:r>
          </w:p>
        </w:tc>
        <w:tc>
          <w:tcPr>
            <w:tcW w:w="1054" w:type="dxa"/>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w:t>
            </w:r>
            <w:r w:rsidR="00526F5C">
              <w:rPr>
                <w:rFonts w:ascii="Arial Narrow" w:hAnsi="Arial Narrow" w:cs="Calibri"/>
                <w:b w:val="0"/>
                <w:noProof/>
                <w:color w:val="000000"/>
                <w:sz w:val="20"/>
                <w:szCs w:val="20"/>
                <w:highlight w:val="black"/>
              </w:rPr>
              <w:t>'''''''''''''''''</w:t>
            </w:r>
          </w:p>
        </w:tc>
      </w:tr>
      <w:tr w:rsidR="001B4061" w:rsidRPr="00375964" w:rsidTr="00260AE3">
        <w:trPr>
          <w:trHeight w:val="20"/>
        </w:trPr>
        <w:tc>
          <w:tcPr>
            <w:tcW w:w="5387" w:type="dxa"/>
            <w:shd w:val="clear" w:color="auto" w:fill="auto"/>
          </w:tcPr>
          <w:p w:rsidR="001B4061" w:rsidRPr="00375964" w:rsidRDefault="001B4061" w:rsidP="00E90D37">
            <w:pPr>
              <w:pStyle w:val="Caption"/>
              <w:spacing w:after="0"/>
              <w:rPr>
                <w:rFonts w:ascii="Arial Narrow" w:hAnsi="Arial Narrow" w:cs="Calibri"/>
                <w:color w:val="auto"/>
                <w:sz w:val="20"/>
                <w:szCs w:val="20"/>
              </w:rPr>
            </w:pPr>
            <w:r w:rsidRPr="00375964">
              <w:rPr>
                <w:rFonts w:ascii="Arial Narrow" w:hAnsi="Arial Narrow"/>
                <w:color w:val="auto"/>
                <w:sz w:val="20"/>
                <w:szCs w:val="20"/>
              </w:rPr>
              <w:t>Multivariate analyses</w:t>
            </w:r>
          </w:p>
        </w:tc>
        <w:tc>
          <w:tcPr>
            <w:tcW w:w="1134" w:type="dxa"/>
            <w:shd w:val="clear" w:color="auto" w:fill="auto"/>
          </w:tcPr>
          <w:p w:rsidR="001B4061" w:rsidRPr="00375964" w:rsidRDefault="001B4061" w:rsidP="00E90D37">
            <w:pPr>
              <w:pStyle w:val="Caption"/>
              <w:spacing w:after="0"/>
              <w:jc w:val="center"/>
              <w:rPr>
                <w:rFonts w:ascii="Arial Narrow" w:hAnsi="Arial Narrow" w:cs="Calibri"/>
                <w:b w:val="0"/>
                <w:color w:val="auto"/>
                <w:sz w:val="20"/>
                <w:szCs w:val="20"/>
              </w:rPr>
            </w:pPr>
          </w:p>
        </w:tc>
        <w:tc>
          <w:tcPr>
            <w:tcW w:w="850" w:type="dxa"/>
          </w:tcPr>
          <w:p w:rsidR="001B4061" w:rsidRPr="00375964" w:rsidRDefault="001B4061" w:rsidP="00E90D37">
            <w:pPr>
              <w:pStyle w:val="Caption"/>
              <w:spacing w:after="0"/>
              <w:jc w:val="center"/>
              <w:rPr>
                <w:rFonts w:ascii="Arial Narrow" w:hAnsi="Arial Narrow" w:cs="Calibri"/>
                <w:b w:val="0"/>
                <w:color w:val="auto"/>
                <w:sz w:val="20"/>
                <w:szCs w:val="20"/>
              </w:rPr>
            </w:pPr>
          </w:p>
        </w:tc>
        <w:tc>
          <w:tcPr>
            <w:tcW w:w="1054" w:type="dxa"/>
          </w:tcPr>
          <w:p w:rsidR="001B4061" w:rsidRPr="00375964" w:rsidRDefault="001B4061" w:rsidP="00E90D37">
            <w:pPr>
              <w:pStyle w:val="Caption"/>
              <w:spacing w:after="0"/>
              <w:jc w:val="center"/>
              <w:rPr>
                <w:rFonts w:ascii="Arial Narrow" w:hAnsi="Arial Narrow" w:cs="Calibri"/>
                <w:b w:val="0"/>
                <w:color w:val="auto"/>
                <w:sz w:val="20"/>
                <w:szCs w:val="20"/>
              </w:rPr>
            </w:pPr>
          </w:p>
        </w:tc>
      </w:tr>
      <w:tr w:rsidR="001B4061" w:rsidRPr="00375964" w:rsidTr="00260AE3">
        <w:trPr>
          <w:trHeight w:val="20"/>
        </w:trPr>
        <w:tc>
          <w:tcPr>
            <w:tcW w:w="5387" w:type="dxa"/>
            <w:shd w:val="clear" w:color="auto" w:fill="auto"/>
          </w:tcPr>
          <w:p w:rsidR="001B4061" w:rsidRPr="00375964" w:rsidRDefault="001B4061" w:rsidP="00F63A15">
            <w:pPr>
              <w:pStyle w:val="Caption"/>
              <w:spacing w:after="0"/>
              <w:rPr>
                <w:rFonts w:ascii="Arial Narrow" w:hAnsi="Arial Narrow" w:cs="Calibri"/>
                <w:b w:val="0"/>
                <w:color w:val="auto"/>
                <w:sz w:val="20"/>
                <w:szCs w:val="20"/>
              </w:rPr>
            </w:pPr>
            <w:r w:rsidRPr="00375964">
              <w:rPr>
                <w:rFonts w:ascii="Arial Narrow" w:hAnsi="Arial Narrow" w:cs="Calibri"/>
                <w:b w:val="0"/>
                <w:color w:val="auto"/>
                <w:sz w:val="20"/>
                <w:szCs w:val="20"/>
              </w:rPr>
              <w:t>Revised base case, 8-year time horizon, cost of PPDM: $</w:t>
            </w:r>
            <w:r w:rsidR="00526F5C">
              <w:rPr>
                <w:rFonts w:ascii="Arial Narrow" w:hAnsi="Arial Narrow" w:cs="Calibri"/>
                <w:b w:val="0"/>
                <w:noProof/>
                <w:color w:val="000000"/>
                <w:sz w:val="20"/>
                <w:szCs w:val="20"/>
                <w:highlight w:val="black"/>
              </w:rPr>
              <w:t>'''''''''''''</w:t>
            </w:r>
            <w:r w:rsidRPr="00375964">
              <w:rPr>
                <w:rFonts w:ascii="Arial Narrow" w:hAnsi="Arial Narrow" w:cs="Calibri"/>
                <w:b w:val="0"/>
                <w:color w:val="auto"/>
                <w:sz w:val="20"/>
                <w:szCs w:val="20"/>
              </w:rPr>
              <w:t xml:space="preserve"> for both BV and salvage chemotherapy.</w:t>
            </w:r>
          </w:p>
        </w:tc>
        <w:tc>
          <w:tcPr>
            <w:tcW w:w="1134" w:type="dxa"/>
            <w:shd w:val="clear" w:color="auto" w:fill="auto"/>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w:t>
            </w:r>
            <w:r w:rsidR="00526F5C">
              <w:rPr>
                <w:rFonts w:ascii="Arial Narrow" w:hAnsi="Arial Narrow" w:cs="Calibri"/>
                <w:b w:val="0"/>
                <w:noProof/>
                <w:color w:val="000000"/>
                <w:sz w:val="20"/>
                <w:szCs w:val="20"/>
                <w:highlight w:val="black"/>
              </w:rPr>
              <w:t>'''''''''''''''''''</w:t>
            </w:r>
          </w:p>
        </w:tc>
        <w:tc>
          <w:tcPr>
            <w:tcW w:w="850" w:type="dxa"/>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1.38</w:t>
            </w:r>
          </w:p>
        </w:tc>
        <w:tc>
          <w:tcPr>
            <w:tcW w:w="1054" w:type="dxa"/>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w:t>
            </w:r>
            <w:r w:rsidR="00526F5C">
              <w:rPr>
                <w:rFonts w:ascii="Arial Narrow" w:hAnsi="Arial Narrow" w:cs="Calibri"/>
                <w:b w:val="0"/>
                <w:noProof/>
                <w:color w:val="000000"/>
                <w:sz w:val="20"/>
                <w:szCs w:val="20"/>
                <w:highlight w:val="black"/>
              </w:rPr>
              <w:t>'''''''''''''''</w:t>
            </w:r>
          </w:p>
        </w:tc>
      </w:tr>
      <w:tr w:rsidR="001B4061" w:rsidRPr="00375964" w:rsidTr="00260AE3">
        <w:trPr>
          <w:trHeight w:val="20"/>
        </w:trPr>
        <w:tc>
          <w:tcPr>
            <w:tcW w:w="5387" w:type="dxa"/>
            <w:shd w:val="clear" w:color="auto" w:fill="auto"/>
          </w:tcPr>
          <w:p w:rsidR="001B4061" w:rsidRPr="00375964" w:rsidRDefault="001B4061" w:rsidP="00E90D37">
            <w:pPr>
              <w:pStyle w:val="Caption"/>
              <w:spacing w:after="0"/>
              <w:rPr>
                <w:rFonts w:ascii="Arial Narrow" w:hAnsi="Arial Narrow" w:cs="Calibri"/>
                <w:b w:val="0"/>
                <w:color w:val="auto"/>
                <w:sz w:val="20"/>
                <w:szCs w:val="20"/>
              </w:rPr>
            </w:pPr>
            <w:r w:rsidRPr="00375964">
              <w:rPr>
                <w:rFonts w:ascii="Arial Narrow" w:hAnsi="Arial Narrow" w:cs="Calibri"/>
                <w:b w:val="0"/>
                <w:color w:val="auto"/>
                <w:sz w:val="20"/>
                <w:szCs w:val="20"/>
              </w:rPr>
              <w:t>Adjusted for censoring of OS; PFS data from BC only; correction implementation of utility values, 8-year time horizon, cost of PPDM: $</w:t>
            </w:r>
            <w:r w:rsidR="00526F5C">
              <w:rPr>
                <w:rFonts w:ascii="Arial Narrow" w:hAnsi="Arial Narrow" w:cs="Calibri"/>
                <w:b w:val="0"/>
                <w:noProof/>
                <w:color w:val="000000"/>
                <w:sz w:val="20"/>
                <w:szCs w:val="20"/>
                <w:highlight w:val="black"/>
              </w:rPr>
              <w:t>'''''''''''''''</w:t>
            </w:r>
            <w:r w:rsidRPr="00375964">
              <w:rPr>
                <w:rFonts w:ascii="Arial Narrow" w:hAnsi="Arial Narrow" w:cs="Calibri"/>
                <w:b w:val="0"/>
                <w:color w:val="auto"/>
                <w:sz w:val="20"/>
                <w:szCs w:val="20"/>
              </w:rPr>
              <w:t xml:space="preserve"> for both brentuximab vedotin and salvage chemotherapy</w:t>
            </w:r>
          </w:p>
        </w:tc>
        <w:tc>
          <w:tcPr>
            <w:tcW w:w="1134" w:type="dxa"/>
            <w:shd w:val="clear" w:color="auto" w:fill="auto"/>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w:t>
            </w:r>
            <w:r w:rsidR="00526F5C">
              <w:rPr>
                <w:rFonts w:ascii="Arial Narrow" w:hAnsi="Arial Narrow" w:cs="Calibri"/>
                <w:b w:val="0"/>
                <w:noProof/>
                <w:color w:val="000000"/>
                <w:sz w:val="20"/>
                <w:szCs w:val="20"/>
                <w:highlight w:val="black"/>
              </w:rPr>
              <w:t>''''''''''''''''''''''</w:t>
            </w:r>
          </w:p>
        </w:tc>
        <w:tc>
          <w:tcPr>
            <w:tcW w:w="850" w:type="dxa"/>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1.24</w:t>
            </w:r>
          </w:p>
        </w:tc>
        <w:tc>
          <w:tcPr>
            <w:tcW w:w="1054" w:type="dxa"/>
          </w:tcPr>
          <w:p w:rsidR="001B4061" w:rsidRPr="00375964" w:rsidRDefault="001B4061" w:rsidP="00E90D37">
            <w:pPr>
              <w:pStyle w:val="Caption"/>
              <w:spacing w:after="0"/>
              <w:jc w:val="center"/>
              <w:rPr>
                <w:rFonts w:ascii="Arial Narrow" w:hAnsi="Arial Narrow" w:cs="Calibri"/>
                <w:b w:val="0"/>
                <w:color w:val="auto"/>
                <w:sz w:val="20"/>
                <w:szCs w:val="20"/>
              </w:rPr>
            </w:pPr>
            <w:r w:rsidRPr="00375964">
              <w:rPr>
                <w:rFonts w:ascii="Arial Narrow" w:hAnsi="Arial Narrow" w:cs="Calibri"/>
                <w:b w:val="0"/>
                <w:color w:val="auto"/>
                <w:sz w:val="20"/>
                <w:szCs w:val="20"/>
              </w:rPr>
              <w:t>$</w:t>
            </w:r>
            <w:r w:rsidR="00526F5C">
              <w:rPr>
                <w:rFonts w:ascii="Arial Narrow" w:hAnsi="Arial Narrow" w:cs="Calibri"/>
                <w:b w:val="0"/>
                <w:noProof/>
                <w:color w:val="000000"/>
                <w:sz w:val="20"/>
                <w:szCs w:val="20"/>
                <w:highlight w:val="black"/>
              </w:rPr>
              <w:t>''''''''''''''''''''</w:t>
            </w:r>
          </w:p>
        </w:tc>
      </w:tr>
    </w:tbl>
    <w:p w:rsidR="001B4061" w:rsidRPr="00CF3D88" w:rsidRDefault="001B4061" w:rsidP="001B4061">
      <w:pPr>
        <w:ind w:firstLine="720"/>
        <w:rPr>
          <w:rFonts w:ascii="Arial Narrow" w:hAnsi="Arial Narrow"/>
          <w:sz w:val="18"/>
        </w:rPr>
      </w:pPr>
      <w:r w:rsidRPr="00CF3D88">
        <w:rPr>
          <w:rFonts w:ascii="Arial Narrow" w:hAnsi="Arial Narrow"/>
          <w:sz w:val="18"/>
        </w:rPr>
        <w:t>Source: Table 1, p5 of the PSCR and BV Post ASCT Economic Evaluation Censoring Revised Sept 2016.xlsm</w:t>
      </w:r>
    </w:p>
    <w:p w:rsidR="001B4061" w:rsidRDefault="001B4061" w:rsidP="001B4061">
      <w:pPr>
        <w:keepNext/>
        <w:ind w:left="720"/>
        <w:rPr>
          <w:rFonts w:ascii="Arial Narrow" w:hAnsi="Arial Narrow"/>
          <w:sz w:val="18"/>
        </w:rPr>
      </w:pPr>
      <w:r w:rsidRPr="00CF3D88">
        <w:rPr>
          <w:rFonts w:ascii="Arial Narrow" w:hAnsi="Arial Narrow"/>
          <w:sz w:val="18"/>
        </w:rPr>
        <w:t xml:space="preserve">BC = British Columbia; ICER = incremental cost-effectiveness ratio; OS = overall survival; PFS = progression free survival; PPDM = post progression disease management; QALY = quality adjusted life years </w:t>
      </w:r>
    </w:p>
    <w:p w:rsidR="00A27479" w:rsidRPr="00CF3D88" w:rsidRDefault="00A27479" w:rsidP="001B4061">
      <w:pPr>
        <w:keepNext/>
        <w:ind w:left="720"/>
        <w:rPr>
          <w:rFonts w:ascii="Arial Narrow" w:hAnsi="Arial Narrow"/>
          <w:sz w:val="18"/>
        </w:rPr>
      </w:pPr>
    </w:p>
    <w:p w:rsidR="00A52D4F" w:rsidRPr="00CF3D88" w:rsidRDefault="00E909A8" w:rsidP="002C588A">
      <w:pPr>
        <w:widowControl/>
        <w:numPr>
          <w:ilvl w:val="1"/>
          <w:numId w:val="2"/>
        </w:numPr>
        <w:contextualSpacing/>
        <w:rPr>
          <w:szCs w:val="22"/>
        </w:rPr>
      </w:pPr>
      <w:r>
        <w:t>As acknowledged by the PSCR (p</w:t>
      </w:r>
      <w:r w:rsidR="00233CEB" w:rsidRPr="00CF3D88">
        <w:t>3-4), the ESC noted that t</w:t>
      </w:r>
      <w:r w:rsidR="00260AE3" w:rsidRPr="00CF3D88">
        <w:t xml:space="preserve">he </w:t>
      </w:r>
      <w:r w:rsidR="00A52D4F" w:rsidRPr="00CF3D88">
        <w:t xml:space="preserve">costs used for salvage chemotherapy were based on each patient receiving gemcitabine </w:t>
      </w:r>
      <w:r w:rsidR="00233CEB" w:rsidRPr="00CF3D88">
        <w:t>plus</w:t>
      </w:r>
      <w:r w:rsidR="00A52D4F" w:rsidRPr="00CF3D88">
        <w:t xml:space="preserve"> vinorelbine. </w:t>
      </w:r>
      <w:r w:rsidR="00A52D4F" w:rsidRPr="00CF3D88">
        <w:lastRenderedPageBreak/>
        <w:t xml:space="preserve">However, in the resubmission, the comparator </w:t>
      </w:r>
      <w:r w:rsidR="006D4567" w:rsidRPr="00CF3D88">
        <w:t>included</w:t>
      </w:r>
      <w:r w:rsidR="00A52D4F" w:rsidRPr="00CF3D88">
        <w:t xml:space="preserve"> single-agent chemotherapy and anti-tumour steroid regimens (which would have lower costs for drug acquisition, concomitant medicines and monitor</w:t>
      </w:r>
      <w:r w:rsidR="00060C53" w:rsidRPr="00CF3D88">
        <w:t>ing). As</w:t>
      </w:r>
      <w:r w:rsidR="00233CEB" w:rsidRPr="00CF3D88">
        <w:t xml:space="preserve"> such, the ESC advised that </w:t>
      </w:r>
      <w:r w:rsidR="00A52D4F" w:rsidRPr="00CF3D88">
        <w:t xml:space="preserve">costs in the salvage chemotherapy arm were </w:t>
      </w:r>
      <w:r w:rsidR="00233CEB" w:rsidRPr="00CF3D88">
        <w:t xml:space="preserve">likely </w:t>
      </w:r>
      <w:r w:rsidR="00A52D4F" w:rsidRPr="00CF3D88">
        <w:t>overestimated in the resubmission</w:t>
      </w:r>
      <w:r w:rsidR="00233CEB" w:rsidRPr="00CF3D88">
        <w:t>.</w:t>
      </w:r>
    </w:p>
    <w:p w:rsidR="00CF4CF2" w:rsidRPr="00CF3D88" w:rsidRDefault="00CF4CF2" w:rsidP="00CF4CF2">
      <w:pPr>
        <w:widowControl/>
        <w:ind w:left="720"/>
        <w:contextualSpacing/>
        <w:rPr>
          <w:szCs w:val="22"/>
        </w:rPr>
      </w:pPr>
    </w:p>
    <w:p w:rsidR="00CF4CF2" w:rsidRPr="00CF3D88" w:rsidRDefault="00CF4CF2" w:rsidP="00CF4CF2">
      <w:pPr>
        <w:widowControl/>
        <w:numPr>
          <w:ilvl w:val="1"/>
          <w:numId w:val="2"/>
        </w:numPr>
        <w:contextualSpacing/>
        <w:rPr>
          <w:szCs w:val="22"/>
        </w:rPr>
      </w:pPr>
      <w:r w:rsidRPr="00CF3D88">
        <w:t>Table 10 presents key sensitivity analyses presented in the resubmission and conducted during evaluation.</w:t>
      </w:r>
      <w:r w:rsidR="009736C2">
        <w:t xml:space="preserve"> The below table shows a base case ICER in the range of $45,000/QALY - $75,000/QALY.</w:t>
      </w:r>
    </w:p>
    <w:p w:rsidR="00CF4CF2" w:rsidRPr="00CF3D88" w:rsidRDefault="00CF4CF2" w:rsidP="00CF4CF2">
      <w:pPr>
        <w:widowControl/>
        <w:ind w:left="1440" w:hanging="720"/>
        <w:jc w:val="left"/>
        <w:rPr>
          <w:szCs w:val="22"/>
        </w:rPr>
      </w:pPr>
    </w:p>
    <w:p w:rsidR="00CF4CF2" w:rsidRPr="00CF3D88" w:rsidRDefault="00CF4CF2" w:rsidP="00CF4CF2">
      <w:pPr>
        <w:widowControl/>
        <w:ind w:left="720"/>
        <w:jc w:val="left"/>
        <w:rPr>
          <w:rFonts w:ascii="Arial Narrow" w:hAnsi="Arial Narrow"/>
          <w:b/>
          <w:sz w:val="20"/>
          <w:szCs w:val="16"/>
        </w:rPr>
      </w:pPr>
      <w:r w:rsidRPr="00CF3D88">
        <w:rPr>
          <w:rFonts w:ascii="Arial Narrow" w:hAnsi="Arial Narrow"/>
          <w:b/>
          <w:sz w:val="20"/>
          <w:szCs w:val="16"/>
        </w:rPr>
        <w:t xml:space="preserve">Table 10: Results of key univariate sensitivity analyses </w:t>
      </w:r>
      <w:r w:rsidR="002C12B3" w:rsidRPr="00CF3D88">
        <w:rPr>
          <w:rFonts w:ascii="Arial Narrow" w:hAnsi="Arial Narrow"/>
          <w:b/>
          <w:sz w:val="20"/>
          <w:szCs w:val="16"/>
        </w:rPr>
        <w:t>(around submission base case)</w:t>
      </w:r>
    </w:p>
    <w:tbl>
      <w:tblPr>
        <w:tblW w:w="457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528"/>
        <w:gridCol w:w="993"/>
        <w:gridCol w:w="851"/>
        <w:gridCol w:w="934"/>
      </w:tblGrid>
      <w:tr w:rsidR="00CF4CF2" w:rsidRPr="00CF3D88" w:rsidTr="00AE0E35">
        <w:trPr>
          <w:tblHeader/>
        </w:trPr>
        <w:tc>
          <w:tcPr>
            <w:tcW w:w="332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left"/>
              <w:rPr>
                <w:rFonts w:ascii="Arial Narrow" w:hAnsi="Arial Narrow"/>
                <w:sz w:val="20"/>
              </w:rPr>
            </w:pPr>
          </w:p>
        </w:tc>
        <w:tc>
          <w:tcPr>
            <w:tcW w:w="59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center"/>
              <w:rPr>
                <w:rFonts w:ascii="Arial Narrow" w:hAnsi="Arial Narrow"/>
                <w:sz w:val="20"/>
              </w:rPr>
            </w:pPr>
            <w:r w:rsidRPr="00CF3D88">
              <w:rPr>
                <w:rFonts w:ascii="Arial Narrow" w:hAnsi="Arial Narrow"/>
                <w:b/>
                <w:sz w:val="20"/>
              </w:rPr>
              <w:t>∆ costs</w:t>
            </w:r>
          </w:p>
        </w:tc>
        <w:tc>
          <w:tcPr>
            <w:tcW w:w="51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center"/>
              <w:rPr>
                <w:rFonts w:ascii="Arial Narrow" w:hAnsi="Arial Narrow"/>
                <w:sz w:val="20"/>
              </w:rPr>
            </w:pPr>
            <w:r w:rsidRPr="00CF3D88">
              <w:rPr>
                <w:rFonts w:ascii="Arial Narrow" w:hAnsi="Arial Narrow"/>
                <w:b/>
                <w:sz w:val="20"/>
              </w:rPr>
              <w:t>∆ QALY</w:t>
            </w:r>
          </w:p>
        </w:tc>
        <w:tc>
          <w:tcPr>
            <w:tcW w:w="56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center"/>
              <w:rPr>
                <w:rFonts w:ascii="Arial Narrow" w:hAnsi="Arial Narrow"/>
                <w:sz w:val="20"/>
              </w:rPr>
            </w:pPr>
            <w:r w:rsidRPr="00CF3D88">
              <w:rPr>
                <w:rFonts w:ascii="Arial Narrow" w:hAnsi="Arial Narrow"/>
                <w:b/>
                <w:sz w:val="20"/>
              </w:rPr>
              <w:t>ICER</w:t>
            </w:r>
          </w:p>
        </w:tc>
      </w:tr>
      <w:tr w:rsidR="00CF4CF2" w:rsidRPr="00CF3D88" w:rsidTr="00AE0E35">
        <w:tc>
          <w:tcPr>
            <w:tcW w:w="3328" w:type="pct"/>
            <w:tcBorders>
              <w:top w:val="single" w:sz="4" w:space="0" w:color="auto"/>
              <w:left w:val="single" w:sz="4" w:space="0" w:color="auto"/>
              <w:bottom w:val="single" w:sz="4" w:space="0" w:color="auto"/>
              <w:right w:val="single" w:sz="4" w:space="0" w:color="auto"/>
            </w:tcBorders>
            <w:vAlign w:val="center"/>
          </w:tcPr>
          <w:p w:rsidR="00CF4CF2" w:rsidRPr="00375964" w:rsidRDefault="00CF4CF2" w:rsidP="00AE0E35">
            <w:pPr>
              <w:jc w:val="left"/>
              <w:rPr>
                <w:rFonts w:ascii="Arial Narrow" w:hAnsi="Arial Narrow"/>
                <w:b/>
                <w:sz w:val="20"/>
              </w:rPr>
            </w:pPr>
            <w:r w:rsidRPr="00375964">
              <w:rPr>
                <w:rFonts w:ascii="Arial Narrow" w:hAnsi="Arial Narrow"/>
                <w:b/>
                <w:sz w:val="20"/>
              </w:rPr>
              <w:t>Base case</w:t>
            </w:r>
          </w:p>
        </w:tc>
        <w:tc>
          <w:tcPr>
            <w:tcW w:w="59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b/>
                <w:sz w:val="20"/>
              </w:rPr>
            </w:pPr>
            <w:r w:rsidRPr="00CF3D88">
              <w:rPr>
                <w:rFonts w:ascii="Arial Narrow" w:hAnsi="Arial Narrow"/>
                <w:b/>
                <w:sz w:val="20"/>
              </w:rPr>
              <w:t>$</w:t>
            </w:r>
            <w:r w:rsidR="00526F5C">
              <w:rPr>
                <w:rFonts w:ascii="Arial Narrow" w:hAnsi="Arial Narrow"/>
                <w:b/>
                <w:noProof/>
                <w:color w:val="000000"/>
                <w:sz w:val="2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b/>
                <w:sz w:val="20"/>
              </w:rPr>
            </w:pPr>
            <w:r w:rsidRPr="00CF3D88">
              <w:rPr>
                <w:rFonts w:ascii="Arial Narrow" w:hAnsi="Arial Narrow"/>
                <w:b/>
                <w:sz w:val="20"/>
              </w:rPr>
              <w:t>2.65</w:t>
            </w:r>
          </w:p>
        </w:tc>
        <w:tc>
          <w:tcPr>
            <w:tcW w:w="56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b/>
                <w:sz w:val="20"/>
              </w:rPr>
            </w:pPr>
            <w:r w:rsidRPr="00CF3D88">
              <w:rPr>
                <w:rFonts w:ascii="Arial Narrow" w:hAnsi="Arial Narrow"/>
                <w:b/>
                <w:sz w:val="20"/>
              </w:rPr>
              <w:t>$</w:t>
            </w:r>
            <w:r w:rsidR="00526F5C">
              <w:rPr>
                <w:rFonts w:ascii="Arial Narrow" w:hAnsi="Arial Narrow"/>
                <w:b/>
                <w:noProof/>
                <w:color w:val="000000"/>
                <w:sz w:val="20"/>
                <w:highlight w:val="black"/>
              </w:rPr>
              <w:t>''''''''''''''</w:t>
            </w:r>
          </w:p>
        </w:tc>
      </w:tr>
      <w:tr w:rsidR="00CF4CF2" w:rsidRPr="00CF3D88" w:rsidTr="00AE0E35">
        <w:trPr>
          <w:trHeight w:val="170"/>
        </w:trPr>
        <w:tc>
          <w:tcPr>
            <w:tcW w:w="332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left"/>
              <w:rPr>
                <w:rFonts w:ascii="Arial Narrow" w:hAnsi="Arial Narrow"/>
                <w:b/>
                <w:sz w:val="20"/>
              </w:rPr>
            </w:pPr>
            <w:r w:rsidRPr="00CF3D88">
              <w:rPr>
                <w:rFonts w:ascii="Arial Narrow" w:hAnsi="Arial Narrow"/>
                <w:b/>
                <w:sz w:val="20"/>
              </w:rPr>
              <w:t>Univariate analyses</w:t>
            </w:r>
          </w:p>
        </w:tc>
        <w:tc>
          <w:tcPr>
            <w:tcW w:w="59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p>
        </w:tc>
        <w:tc>
          <w:tcPr>
            <w:tcW w:w="51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ind w:firstLineChars="100" w:firstLine="200"/>
              <w:jc w:val="center"/>
              <w:rPr>
                <w:rFonts w:ascii="Arial Narrow" w:hAnsi="Arial Narrow"/>
                <w:sz w:val="20"/>
              </w:rPr>
            </w:pPr>
          </w:p>
        </w:tc>
        <w:tc>
          <w:tcPr>
            <w:tcW w:w="56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p>
        </w:tc>
      </w:tr>
      <w:tr w:rsidR="00CF4CF2" w:rsidRPr="00CF3D88" w:rsidTr="00AE0E35">
        <w:trPr>
          <w:trHeight w:val="170"/>
        </w:trPr>
        <w:tc>
          <w:tcPr>
            <w:tcW w:w="332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left"/>
              <w:rPr>
                <w:rFonts w:ascii="Arial Narrow" w:hAnsi="Arial Narrow"/>
                <w:sz w:val="20"/>
              </w:rPr>
            </w:pPr>
            <w:r w:rsidRPr="00CF3D88">
              <w:rPr>
                <w:rFonts w:ascii="Arial Narrow" w:hAnsi="Arial Narrow"/>
                <w:sz w:val="20"/>
              </w:rPr>
              <w:t>Time horizon 8 years (base case = 13 year)</w:t>
            </w:r>
          </w:p>
        </w:tc>
        <w:tc>
          <w:tcPr>
            <w:tcW w:w="59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ind w:firstLineChars="100" w:firstLine="200"/>
              <w:jc w:val="center"/>
              <w:rPr>
                <w:rFonts w:ascii="Arial Narrow" w:hAnsi="Arial Narrow"/>
                <w:sz w:val="20"/>
              </w:rPr>
            </w:pPr>
            <w:r w:rsidRPr="00CF3D88">
              <w:rPr>
                <w:rFonts w:ascii="Arial Narrow" w:hAnsi="Arial Narrow"/>
                <w:sz w:val="20"/>
              </w:rPr>
              <w:t>2.16</w:t>
            </w:r>
          </w:p>
        </w:tc>
        <w:tc>
          <w:tcPr>
            <w:tcW w:w="56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r>
      <w:tr w:rsidR="00CF4CF2" w:rsidRPr="00CF3D88" w:rsidTr="00AE0E35">
        <w:trPr>
          <w:trHeight w:val="170"/>
        </w:trPr>
        <w:tc>
          <w:tcPr>
            <w:tcW w:w="332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left"/>
              <w:rPr>
                <w:rFonts w:ascii="Arial Narrow" w:hAnsi="Arial Narrow"/>
                <w:sz w:val="20"/>
              </w:rPr>
            </w:pPr>
            <w:r w:rsidRPr="00CF3D88">
              <w:rPr>
                <w:rFonts w:ascii="Arial Narrow" w:hAnsi="Arial Narrow"/>
                <w:sz w:val="20"/>
              </w:rPr>
              <w:t xml:space="preserve">No linear extrapolation after 11 years for OS and 6.5 years for PFS </w:t>
            </w:r>
            <w:r w:rsidRPr="00CF3D88">
              <w:rPr>
                <w:rFonts w:ascii="Arial Narrow" w:hAnsi="Arial Narrow"/>
                <w:sz w:val="20"/>
                <w:vertAlign w:val="superscript"/>
              </w:rPr>
              <w:t>a</w:t>
            </w:r>
            <w:r w:rsidRPr="00CF3D88">
              <w:rPr>
                <w:rFonts w:ascii="Arial Narrow" w:hAnsi="Arial Narrow"/>
                <w:sz w:val="20"/>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ind w:firstLineChars="100" w:firstLine="200"/>
              <w:jc w:val="center"/>
              <w:rPr>
                <w:rFonts w:ascii="Arial Narrow" w:hAnsi="Arial Narrow"/>
                <w:sz w:val="20"/>
              </w:rPr>
            </w:pPr>
            <w:r w:rsidRPr="00CF3D88">
              <w:rPr>
                <w:rFonts w:ascii="Arial Narrow" w:hAnsi="Arial Narrow"/>
                <w:sz w:val="20"/>
              </w:rPr>
              <w:t>2.32</w:t>
            </w:r>
          </w:p>
        </w:tc>
        <w:tc>
          <w:tcPr>
            <w:tcW w:w="56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r>
      <w:tr w:rsidR="00CF4CF2" w:rsidRPr="00CF3D88" w:rsidTr="00AE0E35">
        <w:trPr>
          <w:trHeight w:val="170"/>
        </w:trPr>
        <w:tc>
          <w:tcPr>
            <w:tcW w:w="332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left"/>
              <w:rPr>
                <w:rFonts w:ascii="Arial Narrow" w:hAnsi="Arial Narrow"/>
                <w:sz w:val="20"/>
              </w:rPr>
            </w:pPr>
            <w:r w:rsidRPr="00CF3D88">
              <w:rPr>
                <w:rFonts w:ascii="Arial Narrow" w:hAnsi="Arial Narrow"/>
                <w:sz w:val="20"/>
              </w:rPr>
              <w:t xml:space="preserve">OS survival without censoring for further therapies (base case OS censored for subsequent therapies) </w:t>
            </w:r>
          </w:p>
        </w:tc>
        <w:tc>
          <w:tcPr>
            <w:tcW w:w="59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ind w:firstLineChars="100" w:firstLine="200"/>
              <w:jc w:val="center"/>
              <w:rPr>
                <w:rFonts w:ascii="Arial Narrow" w:hAnsi="Arial Narrow"/>
                <w:sz w:val="20"/>
              </w:rPr>
            </w:pPr>
            <w:r w:rsidRPr="00CF3D88">
              <w:rPr>
                <w:rFonts w:ascii="Arial Narrow" w:hAnsi="Arial Narrow"/>
                <w:sz w:val="20"/>
              </w:rPr>
              <w:t>2.01</w:t>
            </w:r>
          </w:p>
        </w:tc>
        <w:tc>
          <w:tcPr>
            <w:tcW w:w="56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r>
      <w:tr w:rsidR="00CF4CF2" w:rsidRPr="00CF3D88" w:rsidTr="00AE0E35">
        <w:trPr>
          <w:trHeight w:val="170"/>
        </w:trPr>
        <w:tc>
          <w:tcPr>
            <w:tcW w:w="332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left"/>
              <w:rPr>
                <w:rFonts w:ascii="Arial Narrow" w:hAnsi="Arial Narrow"/>
                <w:sz w:val="20"/>
              </w:rPr>
            </w:pPr>
            <w:r w:rsidRPr="00CF3D88">
              <w:rPr>
                <w:rFonts w:ascii="Arial Narrow" w:hAnsi="Arial Narrow"/>
                <w:sz w:val="20"/>
              </w:rPr>
              <w:t>PFS from BC only (in base case: PFS missing data in Kaloyannidis assumed to be 15 days before progression)</w:t>
            </w:r>
          </w:p>
        </w:tc>
        <w:tc>
          <w:tcPr>
            <w:tcW w:w="59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ind w:firstLineChars="100" w:firstLine="200"/>
              <w:jc w:val="center"/>
              <w:rPr>
                <w:rFonts w:ascii="Arial Narrow" w:hAnsi="Arial Narrow"/>
                <w:sz w:val="20"/>
              </w:rPr>
            </w:pPr>
            <w:r w:rsidRPr="00CF3D88">
              <w:rPr>
                <w:rFonts w:ascii="Arial Narrow" w:hAnsi="Arial Narrow"/>
                <w:sz w:val="20"/>
              </w:rPr>
              <w:t>2.29</w:t>
            </w:r>
          </w:p>
        </w:tc>
        <w:tc>
          <w:tcPr>
            <w:tcW w:w="56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r>
      <w:tr w:rsidR="00CF4CF2" w:rsidRPr="00CF3D88" w:rsidTr="00AE0E35">
        <w:trPr>
          <w:trHeight w:val="170"/>
        </w:trPr>
        <w:tc>
          <w:tcPr>
            <w:tcW w:w="5000" w:type="pct"/>
            <w:gridSpan w:val="4"/>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left"/>
              <w:rPr>
                <w:rFonts w:ascii="Arial Narrow" w:hAnsi="Arial Narrow"/>
                <w:sz w:val="20"/>
              </w:rPr>
            </w:pPr>
            <w:r w:rsidRPr="00CF3D88">
              <w:rPr>
                <w:rFonts w:ascii="Arial Narrow" w:hAnsi="Arial Narrow"/>
                <w:b/>
                <w:sz w:val="20"/>
              </w:rPr>
              <w:t>Multivariate analyses</w:t>
            </w:r>
          </w:p>
        </w:tc>
      </w:tr>
      <w:tr w:rsidR="00CF4CF2" w:rsidRPr="00CF3D88" w:rsidTr="00AE0E35">
        <w:trPr>
          <w:trHeight w:val="170"/>
        </w:trPr>
        <w:tc>
          <w:tcPr>
            <w:tcW w:w="332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left"/>
              <w:rPr>
                <w:rFonts w:ascii="Arial Narrow" w:hAnsi="Arial Narrow"/>
                <w:sz w:val="20"/>
              </w:rPr>
            </w:pPr>
            <w:r w:rsidRPr="00CF3D88">
              <w:rPr>
                <w:rFonts w:ascii="Arial Narrow" w:hAnsi="Arial Narrow"/>
                <w:sz w:val="20"/>
              </w:rPr>
              <w:t>OS without censoring for further therapies + PFS only (base case: OS censored for subsequent therapies, PFS analyses from Kaloyannidis and the BC dataset)</w:t>
            </w:r>
          </w:p>
        </w:tc>
        <w:tc>
          <w:tcPr>
            <w:tcW w:w="59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ind w:firstLineChars="100" w:firstLine="200"/>
              <w:jc w:val="center"/>
              <w:rPr>
                <w:rFonts w:ascii="Arial Narrow" w:hAnsi="Arial Narrow"/>
                <w:sz w:val="20"/>
              </w:rPr>
            </w:pPr>
            <w:r w:rsidRPr="00CF3D88">
              <w:rPr>
                <w:rFonts w:ascii="Arial Narrow" w:hAnsi="Arial Narrow"/>
                <w:sz w:val="20"/>
              </w:rPr>
              <w:t>1.65</w:t>
            </w:r>
          </w:p>
        </w:tc>
        <w:tc>
          <w:tcPr>
            <w:tcW w:w="56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r>
      <w:tr w:rsidR="00CF4CF2" w:rsidRPr="00CF3D88" w:rsidTr="00AE0E35">
        <w:trPr>
          <w:trHeight w:val="170"/>
        </w:trPr>
        <w:tc>
          <w:tcPr>
            <w:tcW w:w="332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left"/>
              <w:rPr>
                <w:rFonts w:ascii="Arial Narrow" w:hAnsi="Arial Narrow"/>
                <w:sz w:val="20"/>
              </w:rPr>
            </w:pPr>
            <w:r w:rsidRPr="00CF3D88">
              <w:rPr>
                <w:rFonts w:ascii="Arial Narrow" w:hAnsi="Arial Narrow"/>
                <w:sz w:val="20"/>
              </w:rPr>
              <w:t>OS without censoring + time horizon 8 year</w:t>
            </w:r>
          </w:p>
        </w:tc>
        <w:tc>
          <w:tcPr>
            <w:tcW w:w="59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ind w:firstLineChars="100" w:firstLine="200"/>
              <w:jc w:val="center"/>
              <w:rPr>
                <w:rFonts w:ascii="Arial Narrow" w:hAnsi="Arial Narrow"/>
                <w:sz w:val="20"/>
              </w:rPr>
            </w:pPr>
            <w:r w:rsidRPr="00CF3D88">
              <w:rPr>
                <w:rFonts w:ascii="Arial Narrow" w:hAnsi="Arial Narrow"/>
                <w:sz w:val="20"/>
              </w:rPr>
              <w:t>1.65</w:t>
            </w:r>
          </w:p>
        </w:tc>
        <w:tc>
          <w:tcPr>
            <w:tcW w:w="56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r>
      <w:tr w:rsidR="00CF4CF2" w:rsidRPr="00CF3D88" w:rsidTr="00AE0E35">
        <w:trPr>
          <w:trHeight w:val="170"/>
        </w:trPr>
        <w:tc>
          <w:tcPr>
            <w:tcW w:w="332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AE0E35">
            <w:pPr>
              <w:jc w:val="left"/>
              <w:rPr>
                <w:rFonts w:ascii="Arial Narrow" w:hAnsi="Arial Narrow"/>
                <w:sz w:val="20"/>
              </w:rPr>
            </w:pPr>
            <w:r w:rsidRPr="00CF3D88">
              <w:rPr>
                <w:rFonts w:ascii="Arial Narrow" w:hAnsi="Arial Narrow"/>
                <w:sz w:val="20"/>
              </w:rPr>
              <w:t xml:space="preserve">OS without censoring + PFS from BC only + time horizon 8 year </w:t>
            </w:r>
          </w:p>
        </w:tc>
        <w:tc>
          <w:tcPr>
            <w:tcW w:w="598"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ind w:firstLineChars="100" w:firstLine="200"/>
              <w:jc w:val="center"/>
              <w:rPr>
                <w:rFonts w:ascii="Arial Narrow" w:hAnsi="Arial Narrow"/>
                <w:sz w:val="20"/>
              </w:rPr>
            </w:pPr>
            <w:r w:rsidRPr="00CF3D88">
              <w:rPr>
                <w:rFonts w:ascii="Arial Narrow" w:hAnsi="Arial Narrow"/>
                <w:sz w:val="20"/>
              </w:rPr>
              <w:t>1.32</w:t>
            </w:r>
          </w:p>
        </w:tc>
        <w:tc>
          <w:tcPr>
            <w:tcW w:w="562" w:type="pct"/>
            <w:tcBorders>
              <w:top w:val="single" w:sz="4" w:space="0" w:color="auto"/>
              <w:left w:val="single" w:sz="4" w:space="0" w:color="auto"/>
              <w:bottom w:val="single" w:sz="4" w:space="0" w:color="auto"/>
              <w:right w:val="single" w:sz="4" w:space="0" w:color="auto"/>
            </w:tcBorders>
            <w:vAlign w:val="center"/>
          </w:tcPr>
          <w:p w:rsidR="00CF4CF2" w:rsidRPr="00CF3D88" w:rsidRDefault="00CF4CF2" w:rsidP="0043689A">
            <w:pPr>
              <w:jc w:val="center"/>
              <w:rPr>
                <w:rFonts w:ascii="Arial Narrow" w:hAnsi="Arial Narrow"/>
                <w:sz w:val="20"/>
              </w:rPr>
            </w:pPr>
            <w:r w:rsidRPr="00CF3D88">
              <w:rPr>
                <w:rFonts w:ascii="Arial Narrow" w:hAnsi="Arial Narrow"/>
                <w:sz w:val="20"/>
              </w:rPr>
              <w:t>$</w:t>
            </w:r>
            <w:r w:rsidR="00526F5C">
              <w:rPr>
                <w:rFonts w:ascii="Arial Narrow" w:hAnsi="Arial Narrow"/>
                <w:noProof/>
                <w:color w:val="000000"/>
                <w:sz w:val="20"/>
                <w:highlight w:val="black"/>
              </w:rPr>
              <w:t>''''''''''''''''</w:t>
            </w:r>
          </w:p>
        </w:tc>
      </w:tr>
    </w:tbl>
    <w:p w:rsidR="00CF4CF2" w:rsidRPr="00CF3D88" w:rsidRDefault="00CF4CF2" w:rsidP="00CF4CF2">
      <w:pPr>
        <w:ind w:left="720"/>
        <w:rPr>
          <w:rFonts w:ascii="Arial Narrow" w:hAnsi="Arial Narrow"/>
          <w:sz w:val="18"/>
        </w:rPr>
      </w:pPr>
      <w:r w:rsidRPr="00CF3D88">
        <w:rPr>
          <w:rFonts w:ascii="Arial Narrow" w:hAnsi="Arial Narrow"/>
          <w:sz w:val="18"/>
        </w:rPr>
        <w:t>Source: Table D.6-1; p208 in the resubmission; Section_D_brentuximab vedotin_Adcetris_RR HL post ASCT_CE Model_Nov216 PBAC.xlsm</w:t>
      </w:r>
    </w:p>
    <w:p w:rsidR="00CF4CF2" w:rsidRPr="00CF3D88" w:rsidRDefault="00CF4CF2" w:rsidP="00CF4CF2">
      <w:pPr>
        <w:ind w:left="720"/>
        <w:rPr>
          <w:rFonts w:ascii="Arial Narrow" w:hAnsi="Arial Narrow"/>
          <w:sz w:val="18"/>
        </w:rPr>
      </w:pPr>
      <w:r w:rsidRPr="00CF3D88">
        <w:rPr>
          <w:rFonts w:ascii="Arial Narrow" w:hAnsi="Arial Narrow"/>
          <w:sz w:val="18"/>
        </w:rPr>
        <w:t>AE = adverse event; BC = British Columbia; ICER = incremental cost-effectiveness ratio; OS = overall survival; PFS = progression free survival; PD = progressive disease; PPDM = post progression disease management; QALY = quality adjusted life ye</w:t>
      </w:r>
      <w:r w:rsidR="00116484">
        <w:rPr>
          <w:rFonts w:ascii="Arial Narrow" w:hAnsi="Arial Narrow"/>
          <w:sz w:val="18"/>
        </w:rPr>
        <w:t>ars; SCT = stem cell transplant</w:t>
      </w:r>
    </w:p>
    <w:p w:rsidR="00CF4CF2" w:rsidRPr="00CF3D88" w:rsidRDefault="00CF4CF2" w:rsidP="00CF4CF2">
      <w:pPr>
        <w:ind w:left="720"/>
        <w:rPr>
          <w:rFonts w:ascii="Arial Narrow" w:hAnsi="Arial Narrow"/>
          <w:sz w:val="18"/>
          <w:vertAlign w:val="superscript"/>
        </w:rPr>
      </w:pPr>
      <w:proofErr w:type="gramStart"/>
      <w:r w:rsidRPr="00CF3D88">
        <w:rPr>
          <w:rFonts w:ascii="Arial Narrow" w:hAnsi="Arial Narrow"/>
          <w:sz w:val="18"/>
          <w:vertAlign w:val="superscript"/>
        </w:rPr>
        <w:t>a</w:t>
      </w:r>
      <w:proofErr w:type="gramEnd"/>
      <w:r w:rsidRPr="00CF3D88">
        <w:rPr>
          <w:rFonts w:ascii="Arial Narrow" w:hAnsi="Arial Narrow"/>
          <w:sz w:val="20"/>
        </w:rPr>
        <w:t xml:space="preserve"> Note this only adjusts extrapolation beyond 11 years (i.e. the BV data was still extrapolated until the end of the follow-up for chemotherapy, which was around 11 years for OS and 6.8 years for PFS)</w:t>
      </w:r>
    </w:p>
    <w:p w:rsidR="00CF4CF2" w:rsidRPr="00CF3D88" w:rsidRDefault="00CF4CF2" w:rsidP="00CF4CF2">
      <w:pPr>
        <w:widowControl/>
        <w:ind w:left="720"/>
        <w:jc w:val="left"/>
        <w:rPr>
          <w:rFonts w:ascii="Arial Narrow" w:hAnsi="Arial Narrow"/>
          <w:b/>
          <w:sz w:val="20"/>
          <w:szCs w:val="16"/>
        </w:rPr>
      </w:pPr>
    </w:p>
    <w:p w:rsidR="00CF4CF2" w:rsidRPr="00CF3D88" w:rsidRDefault="00CF4CF2" w:rsidP="00CF4CF2">
      <w:pPr>
        <w:widowControl/>
        <w:numPr>
          <w:ilvl w:val="1"/>
          <w:numId w:val="2"/>
        </w:numPr>
        <w:contextualSpacing/>
        <w:rPr>
          <w:szCs w:val="22"/>
        </w:rPr>
      </w:pPr>
      <w:r w:rsidRPr="00CF3D88">
        <w:t>The ICER was most sensitive to progression free survival</w:t>
      </w:r>
      <w:r w:rsidR="00CE07BE" w:rsidRPr="00CF3D88">
        <w:t>,</w:t>
      </w:r>
      <w:r w:rsidRPr="00CF3D88">
        <w:rPr>
          <w:i/>
        </w:rPr>
        <w:t xml:space="preserve"> </w:t>
      </w:r>
      <w:r w:rsidRPr="00CF3D88">
        <w:t>the time horizon and the extrapolation of overall survival with brentuximab vedotin. However, it was not possible</w:t>
      </w:r>
      <w:r w:rsidR="004C5854" w:rsidRPr="00CF3D88">
        <w:t xml:space="preserve"> to test the first phase of the</w:t>
      </w:r>
      <w:r w:rsidRPr="00CF3D88">
        <w:t xml:space="preserve"> extrapolation method for overall survival, from 6 years to 11 years, which assumed a treatment benefit for brentuximab ve</w:t>
      </w:r>
      <w:r w:rsidR="0062157A" w:rsidRPr="00CF3D88">
        <w:t>dotin beyond the trial duration</w:t>
      </w:r>
      <w:r w:rsidRPr="00CF3D88">
        <w:t xml:space="preserve"> (only the linear extrapolation beyond 11 years for overall survival and 6.5 years for progression free survival could be tested during evaluation)</w:t>
      </w:r>
      <w:r w:rsidR="00A75B0F" w:rsidRPr="00CF3D88">
        <w:t>.</w:t>
      </w:r>
    </w:p>
    <w:p w:rsidR="00A75B0F" w:rsidRPr="00CF3D88" w:rsidRDefault="00A75B0F" w:rsidP="00A75B0F">
      <w:pPr>
        <w:widowControl/>
        <w:ind w:left="720"/>
        <w:contextualSpacing/>
        <w:rPr>
          <w:szCs w:val="22"/>
        </w:rPr>
      </w:pPr>
    </w:p>
    <w:p w:rsidR="00A75B0F" w:rsidRPr="00CF3D88" w:rsidRDefault="00A75B0F" w:rsidP="00A75B0F">
      <w:pPr>
        <w:pStyle w:val="ListParagraph"/>
        <w:widowControl/>
        <w:numPr>
          <w:ilvl w:val="1"/>
          <w:numId w:val="2"/>
        </w:numPr>
      </w:pPr>
      <w:r w:rsidRPr="00CF3D88">
        <w:t>A revised price of $</w:t>
      </w:r>
      <w:r w:rsidR="00526F5C">
        <w:rPr>
          <w:noProof/>
          <w:color w:val="000000"/>
          <w:highlight w:val="black"/>
        </w:rPr>
        <w:t>''''''''''''''</w:t>
      </w:r>
      <w:r w:rsidRPr="00CF3D88">
        <w:t xml:space="preserve"> / vial (formerly $</w:t>
      </w:r>
      <w:r w:rsidR="00526F5C">
        <w:rPr>
          <w:noProof/>
          <w:color w:val="000000"/>
          <w:highlight w:val="black"/>
        </w:rPr>
        <w:t>'''''''''''''</w:t>
      </w:r>
      <w:r w:rsidRPr="00CF3D88">
        <w:t xml:space="preserve"> / vial) was offered in the</w:t>
      </w:r>
      <w:r w:rsidR="00E909A8">
        <w:t xml:space="preserve"> sponsor’s Pre-PBAC response (p</w:t>
      </w:r>
      <w:r w:rsidRPr="00CF3D88">
        <w:t>1). Accounting for the revised price reduced the ICER from $</w:t>
      </w:r>
      <w:r w:rsidR="00375964">
        <w:rPr>
          <w:rFonts w:cstheme="minorHAnsi"/>
          <w:szCs w:val="22"/>
        </w:rPr>
        <w:t>75,000 - $105,000</w:t>
      </w:r>
      <w:r w:rsidRPr="00CF3D88">
        <w:t>/QALY to $</w:t>
      </w:r>
      <w:r w:rsidR="00375964">
        <w:t>45,000 - $75,000</w:t>
      </w:r>
      <w:r w:rsidRPr="00CF3D88">
        <w:t>/QALY.</w:t>
      </w:r>
    </w:p>
    <w:p w:rsidR="00CF4CF2" w:rsidRPr="00CF3D88" w:rsidRDefault="00CF4CF2" w:rsidP="00CF4CF2">
      <w:pPr>
        <w:widowControl/>
        <w:ind w:left="720"/>
        <w:contextualSpacing/>
        <w:rPr>
          <w:i/>
          <w:szCs w:val="22"/>
        </w:rPr>
      </w:pPr>
    </w:p>
    <w:p w:rsidR="00EA2FCC" w:rsidRPr="00CF3D88" w:rsidRDefault="00EA2FCC" w:rsidP="00CB180D">
      <w:pPr>
        <w:widowControl/>
        <w:contextualSpacing/>
        <w:jc w:val="left"/>
        <w:rPr>
          <w:i/>
          <w:szCs w:val="22"/>
        </w:rPr>
      </w:pPr>
    </w:p>
    <w:p w:rsidR="00954713" w:rsidRPr="000C3D5D" w:rsidRDefault="00954713" w:rsidP="00A71B36">
      <w:pPr>
        <w:pStyle w:val="Heading2"/>
        <w:rPr>
          <w:i/>
          <w:szCs w:val="22"/>
        </w:rPr>
      </w:pPr>
      <w:bookmarkStart w:id="27" w:name="_Toc461532381"/>
      <w:bookmarkStart w:id="28" w:name="_Toc461607686"/>
      <w:r w:rsidRPr="000C3D5D">
        <w:rPr>
          <w:i/>
        </w:rPr>
        <w:t>Drug cost/patient/course: $</w:t>
      </w:r>
      <w:bookmarkEnd w:id="27"/>
      <w:bookmarkEnd w:id="28"/>
      <w:r w:rsidR="00526F5C">
        <w:rPr>
          <w:i/>
          <w:noProof/>
          <w:color w:val="000000"/>
          <w:highlight w:val="black"/>
        </w:rPr>
        <w:t>''''''''''''''</w:t>
      </w:r>
    </w:p>
    <w:p w:rsidR="00954713" w:rsidRPr="00CF3D88" w:rsidRDefault="00954713" w:rsidP="00954713">
      <w:pPr>
        <w:widowControl/>
        <w:ind w:left="720"/>
        <w:contextualSpacing/>
      </w:pPr>
    </w:p>
    <w:p w:rsidR="00125B96" w:rsidRPr="00CF3D88" w:rsidRDefault="00954713" w:rsidP="009530DB">
      <w:pPr>
        <w:widowControl/>
        <w:numPr>
          <w:ilvl w:val="1"/>
          <w:numId w:val="2"/>
        </w:numPr>
        <w:contextualSpacing/>
      </w:pPr>
      <w:r w:rsidRPr="00CF3D88">
        <w:t xml:space="preserve">The drug cost per patient per course was based on three 50 mg vials per patient per cycle (based </w:t>
      </w:r>
      <w:r w:rsidR="004C5854" w:rsidRPr="00CF3D88">
        <w:t>the revised price presented in the Pre- PBAC response, and assuming an</w:t>
      </w:r>
      <w:r w:rsidRPr="00CF3D88">
        <w:t xml:space="preserve"> average body weight of 73.8 kg) and 10.3 cycles per treatment course </w:t>
      </w:r>
      <w:r w:rsidR="001644DD" w:rsidRPr="00CF3D88">
        <w:t xml:space="preserve">(based on </w:t>
      </w:r>
      <w:r w:rsidR="00D30240" w:rsidRPr="00CF3D88">
        <w:t>mean dose in Study 0003</w:t>
      </w:r>
      <w:r w:rsidR="001644DD" w:rsidRPr="00CF3D88">
        <w:t xml:space="preserve">) </w:t>
      </w:r>
      <w:r w:rsidRPr="00CF3D88">
        <w:t>and an average vial cost of $</w:t>
      </w:r>
      <w:r w:rsidR="00526F5C">
        <w:rPr>
          <w:noProof/>
          <w:color w:val="000000"/>
          <w:highlight w:val="black"/>
        </w:rPr>
        <w:t>'''''''''''''</w:t>
      </w:r>
      <w:r w:rsidRPr="00CF3D88">
        <w:t xml:space="preserve"> (based on </w:t>
      </w:r>
      <w:r w:rsidRPr="00B7208E">
        <w:t>32</w:t>
      </w:r>
      <w:r w:rsidRPr="00CF3D88">
        <w:t>% of patients being treated in public hospital).</w:t>
      </w:r>
    </w:p>
    <w:p w:rsidR="003948DD" w:rsidRPr="00CF3D88" w:rsidRDefault="003948DD" w:rsidP="006B59F3">
      <w:pPr>
        <w:widowControl/>
        <w:rPr>
          <w:i/>
        </w:rPr>
      </w:pPr>
    </w:p>
    <w:p w:rsidR="003948DD" w:rsidRPr="00CF3D88" w:rsidRDefault="003948DD" w:rsidP="006B59F3">
      <w:pPr>
        <w:widowControl/>
        <w:rPr>
          <w:i/>
        </w:rPr>
      </w:pPr>
    </w:p>
    <w:p w:rsidR="00954713" w:rsidRPr="000C3D5D" w:rsidRDefault="00954713" w:rsidP="00A71B36">
      <w:pPr>
        <w:pStyle w:val="Heading2"/>
        <w:rPr>
          <w:i/>
        </w:rPr>
      </w:pPr>
      <w:bookmarkStart w:id="29" w:name="_Toc461532382"/>
      <w:bookmarkStart w:id="30" w:name="_Toc461607687"/>
      <w:r w:rsidRPr="000C3D5D">
        <w:rPr>
          <w:i/>
        </w:rPr>
        <w:t>Estimated PBS usage &amp; financial implications</w:t>
      </w:r>
      <w:bookmarkEnd w:id="29"/>
      <w:bookmarkEnd w:id="30"/>
    </w:p>
    <w:p w:rsidR="00954713" w:rsidRPr="00CF3D88" w:rsidRDefault="00954713" w:rsidP="00954713"/>
    <w:p w:rsidR="00CC6BC5" w:rsidRPr="00CF3D88" w:rsidRDefault="00954713" w:rsidP="009530DB">
      <w:pPr>
        <w:widowControl/>
        <w:numPr>
          <w:ilvl w:val="1"/>
          <w:numId w:val="2"/>
        </w:numPr>
        <w:contextualSpacing/>
        <w:rPr>
          <w:szCs w:val="22"/>
        </w:rPr>
      </w:pPr>
      <w:r w:rsidRPr="00CF3D88">
        <w:t xml:space="preserve">This </w:t>
      </w:r>
      <w:r w:rsidR="00A8064E" w:rsidRPr="00CF3D88">
        <w:t xml:space="preserve">resubmission </w:t>
      </w:r>
      <w:r w:rsidR="00682D9F" w:rsidRPr="00CF3D88">
        <w:t>was</w:t>
      </w:r>
      <w:r w:rsidRPr="00CF3D88">
        <w:t xml:space="preserve"> not considered by DUSC</w:t>
      </w:r>
      <w:r w:rsidR="0066743F" w:rsidRPr="00CF3D88">
        <w:t>.</w:t>
      </w:r>
    </w:p>
    <w:p w:rsidR="00EE693B" w:rsidRPr="00CF3D88" w:rsidRDefault="00EE693B" w:rsidP="00844085">
      <w:pPr>
        <w:widowControl/>
        <w:ind w:left="720"/>
        <w:contextualSpacing/>
        <w:rPr>
          <w:szCs w:val="22"/>
        </w:rPr>
      </w:pPr>
    </w:p>
    <w:p w:rsidR="00954713" w:rsidRPr="00CF3D88" w:rsidRDefault="00954713" w:rsidP="009530DB">
      <w:pPr>
        <w:widowControl/>
        <w:numPr>
          <w:ilvl w:val="1"/>
          <w:numId w:val="2"/>
        </w:numPr>
        <w:contextualSpacing/>
        <w:rPr>
          <w:szCs w:val="22"/>
        </w:rPr>
      </w:pPr>
      <w:r w:rsidRPr="00CF3D88">
        <w:t xml:space="preserve">Like the previous submission, the </w:t>
      </w:r>
      <w:r w:rsidR="00A8064E" w:rsidRPr="00CF3D88">
        <w:t xml:space="preserve">resubmission </w:t>
      </w:r>
      <w:r w:rsidRPr="00CF3D88">
        <w:t xml:space="preserve">used an epidemiological approach and forecasted the number of eligible patients using the number of ASCTs conducted in Australia for Hodgkin lymphoma. The uptake rate was increased from </w:t>
      </w:r>
      <w:r w:rsidR="00526F5C">
        <w:rPr>
          <w:noProof/>
          <w:color w:val="000000"/>
          <w:highlight w:val="black"/>
        </w:rPr>
        <w:t>'''''''</w:t>
      </w:r>
      <w:r w:rsidRPr="00CF3D88">
        <w:t xml:space="preserve">% to </w:t>
      </w:r>
      <w:r w:rsidR="00526F5C">
        <w:rPr>
          <w:noProof/>
          <w:color w:val="000000"/>
          <w:highlight w:val="black"/>
        </w:rPr>
        <w:t>'''''</w:t>
      </w:r>
      <w:r w:rsidRPr="00CF3D88">
        <w:t>% to address the PBAC’s concerns th</w:t>
      </w:r>
      <w:r w:rsidR="00F46E9A" w:rsidRPr="00CF3D88">
        <w:t>at</w:t>
      </w:r>
      <w:r w:rsidRPr="00CF3D88">
        <w:t xml:space="preserve"> uptake was underestimated</w:t>
      </w:r>
      <w:r w:rsidR="00F46E9A" w:rsidRPr="00CF3D88">
        <w:t xml:space="preserve"> in the previous submission</w:t>
      </w:r>
      <w:r w:rsidRPr="00CF3D88">
        <w:t>.</w:t>
      </w:r>
    </w:p>
    <w:p w:rsidR="00954713" w:rsidRPr="00CF3D88" w:rsidRDefault="00954713" w:rsidP="00954713">
      <w:pPr>
        <w:widowControl/>
        <w:tabs>
          <w:tab w:val="left" w:pos="3494"/>
        </w:tabs>
        <w:ind w:left="720"/>
        <w:jc w:val="left"/>
        <w:rPr>
          <w:szCs w:val="22"/>
        </w:rPr>
      </w:pPr>
    </w:p>
    <w:p w:rsidR="00954713" w:rsidRPr="00CF3D88" w:rsidRDefault="00954713" w:rsidP="00954713">
      <w:pPr>
        <w:widowControl/>
        <w:ind w:firstLine="709"/>
        <w:rPr>
          <w:rFonts w:ascii="Arial Narrow" w:hAnsi="Arial Narrow"/>
          <w:b/>
          <w:sz w:val="20"/>
          <w:szCs w:val="16"/>
        </w:rPr>
      </w:pPr>
      <w:r w:rsidRPr="00CF3D88">
        <w:rPr>
          <w:rFonts w:ascii="Arial Narrow" w:hAnsi="Arial Narrow"/>
          <w:b/>
          <w:sz w:val="20"/>
          <w:szCs w:val="16"/>
        </w:rPr>
        <w:t xml:space="preserve">Table </w:t>
      </w:r>
      <w:r w:rsidR="00F46E9A" w:rsidRPr="00CF3D88">
        <w:rPr>
          <w:rFonts w:ascii="Arial Narrow" w:hAnsi="Arial Narrow"/>
          <w:b/>
          <w:sz w:val="20"/>
          <w:szCs w:val="16"/>
        </w:rPr>
        <w:t>1</w:t>
      </w:r>
      <w:r w:rsidR="001A124B" w:rsidRPr="00CF3D88">
        <w:rPr>
          <w:rFonts w:ascii="Arial Narrow" w:hAnsi="Arial Narrow"/>
          <w:b/>
          <w:sz w:val="20"/>
          <w:szCs w:val="16"/>
        </w:rPr>
        <w:t>1</w:t>
      </w:r>
      <w:r w:rsidRPr="00CF3D88">
        <w:rPr>
          <w:rFonts w:ascii="Arial Narrow" w:hAnsi="Arial Narrow"/>
          <w:b/>
          <w:sz w:val="20"/>
          <w:szCs w:val="16"/>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44"/>
        <w:gridCol w:w="902"/>
        <w:gridCol w:w="1128"/>
        <w:gridCol w:w="1130"/>
        <w:gridCol w:w="1128"/>
        <w:gridCol w:w="1114"/>
      </w:tblGrid>
      <w:tr w:rsidR="00954713" w:rsidRPr="00CF3D88" w:rsidTr="00954713">
        <w:trPr>
          <w:tblHeader/>
        </w:trPr>
        <w:tc>
          <w:tcPr>
            <w:tcW w:w="1767" w:type="pct"/>
            <w:tcBorders>
              <w:top w:val="single" w:sz="4" w:space="0" w:color="auto"/>
              <w:left w:val="single" w:sz="4" w:space="0" w:color="auto"/>
              <w:bottom w:val="single" w:sz="4" w:space="0" w:color="auto"/>
              <w:right w:val="single" w:sz="4" w:space="0" w:color="auto"/>
            </w:tcBorders>
            <w:vAlign w:val="center"/>
          </w:tcPr>
          <w:p w:rsidR="00954713" w:rsidRPr="00CF3D88" w:rsidRDefault="00954713" w:rsidP="00954713">
            <w:pPr>
              <w:widowControl/>
              <w:jc w:val="left"/>
              <w:rPr>
                <w:rFonts w:ascii="Arial Narrow" w:hAnsi="Arial Narrow" w:cs="Times New Roman"/>
                <w:b/>
                <w:snapToGrid/>
                <w:sz w:val="20"/>
              </w:rPr>
            </w:pPr>
          </w:p>
        </w:tc>
        <w:tc>
          <w:tcPr>
            <w:tcW w:w="525" w:type="pct"/>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b/>
                <w:snapToGrid/>
                <w:sz w:val="20"/>
              </w:rPr>
            </w:pPr>
            <w:r w:rsidRPr="00CF3D88">
              <w:rPr>
                <w:rFonts w:ascii="Arial Narrow" w:hAnsi="Arial Narrow" w:cs="Times New Roman"/>
                <w:b/>
                <w:snapToGrid/>
                <w:sz w:val="20"/>
              </w:rPr>
              <w:t>Year 1</w:t>
            </w:r>
          </w:p>
        </w:tc>
        <w:tc>
          <w:tcPr>
            <w:tcW w:w="679" w:type="pct"/>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b/>
                <w:snapToGrid/>
                <w:sz w:val="20"/>
              </w:rPr>
            </w:pPr>
            <w:r w:rsidRPr="00CF3D88">
              <w:rPr>
                <w:rFonts w:ascii="Arial Narrow" w:hAnsi="Arial Narrow" w:cs="Times New Roman"/>
                <w:b/>
                <w:snapToGrid/>
                <w:sz w:val="20"/>
              </w:rPr>
              <w:t>Year 2</w:t>
            </w:r>
          </w:p>
        </w:tc>
        <w:tc>
          <w:tcPr>
            <w:tcW w:w="680" w:type="pct"/>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b/>
                <w:snapToGrid/>
                <w:sz w:val="20"/>
              </w:rPr>
            </w:pPr>
            <w:r w:rsidRPr="00CF3D88">
              <w:rPr>
                <w:rFonts w:ascii="Arial Narrow" w:hAnsi="Arial Narrow" w:cs="Times New Roman"/>
                <w:b/>
                <w:snapToGrid/>
                <w:sz w:val="20"/>
              </w:rPr>
              <w:t>Year 3</w:t>
            </w:r>
          </w:p>
        </w:tc>
        <w:tc>
          <w:tcPr>
            <w:tcW w:w="679" w:type="pct"/>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b/>
                <w:snapToGrid/>
                <w:sz w:val="20"/>
              </w:rPr>
            </w:pPr>
            <w:r w:rsidRPr="00CF3D88">
              <w:rPr>
                <w:rFonts w:ascii="Arial Narrow" w:hAnsi="Arial Narrow" w:cs="Times New Roman"/>
                <w:b/>
                <w:snapToGrid/>
                <w:sz w:val="20"/>
              </w:rPr>
              <w:t>Year 4</w:t>
            </w:r>
          </w:p>
        </w:tc>
        <w:tc>
          <w:tcPr>
            <w:tcW w:w="670" w:type="pct"/>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b/>
                <w:snapToGrid/>
                <w:sz w:val="20"/>
              </w:rPr>
            </w:pPr>
            <w:r w:rsidRPr="00CF3D88">
              <w:rPr>
                <w:rFonts w:ascii="Arial Narrow" w:hAnsi="Arial Narrow" w:cs="Times New Roman"/>
                <w:b/>
                <w:snapToGrid/>
                <w:sz w:val="20"/>
              </w:rPr>
              <w:t>Year 5</w:t>
            </w:r>
          </w:p>
        </w:tc>
      </w:tr>
      <w:tr w:rsidR="00954713" w:rsidRPr="00CF3D88" w:rsidTr="00954713">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b/>
                <w:bCs/>
                <w:snapToGrid/>
                <w:color w:val="000000"/>
                <w:sz w:val="20"/>
              </w:rPr>
            </w:pPr>
            <w:r w:rsidRPr="00CF3D88">
              <w:rPr>
                <w:rFonts w:ascii="Arial Narrow" w:hAnsi="Arial Narrow" w:cs="Times New Roman"/>
                <w:b/>
                <w:bCs/>
                <w:snapToGrid/>
                <w:color w:val="000000"/>
                <w:sz w:val="20"/>
              </w:rPr>
              <w:t>Estimated extent of use</w:t>
            </w:r>
          </w:p>
        </w:tc>
      </w:tr>
      <w:tr w:rsidR="00954713" w:rsidRPr="00CF3D88" w:rsidTr="00954713">
        <w:tc>
          <w:tcPr>
            <w:tcW w:w="1767" w:type="pct"/>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Number treated</w:t>
            </w:r>
          </w:p>
        </w:tc>
        <w:tc>
          <w:tcPr>
            <w:tcW w:w="525" w:type="pct"/>
            <w:tcBorders>
              <w:top w:val="single" w:sz="4" w:space="0" w:color="auto"/>
              <w:left w:val="single" w:sz="4" w:space="0" w:color="auto"/>
              <w:bottom w:val="single" w:sz="4" w:space="0" w:color="auto"/>
              <w:right w:val="single" w:sz="4" w:space="0" w:color="auto"/>
            </w:tcBorders>
            <w:vAlign w:val="bottom"/>
            <w:hideMark/>
          </w:tcPr>
          <w:p w:rsidR="00954713" w:rsidRPr="00526F5C" w:rsidRDefault="00526F5C" w:rsidP="00954713">
            <w:pPr>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679" w:type="pct"/>
            <w:tcBorders>
              <w:top w:val="single" w:sz="4" w:space="0" w:color="auto"/>
              <w:left w:val="single" w:sz="4" w:space="0" w:color="auto"/>
              <w:bottom w:val="single" w:sz="4" w:space="0" w:color="auto"/>
              <w:right w:val="single" w:sz="4" w:space="0" w:color="auto"/>
            </w:tcBorders>
            <w:vAlign w:val="bottom"/>
            <w:hideMark/>
          </w:tcPr>
          <w:p w:rsidR="00954713" w:rsidRPr="00526F5C" w:rsidRDefault="00526F5C" w:rsidP="00954713">
            <w:pPr>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680" w:type="pct"/>
            <w:tcBorders>
              <w:top w:val="single" w:sz="4" w:space="0" w:color="auto"/>
              <w:left w:val="single" w:sz="4" w:space="0" w:color="auto"/>
              <w:bottom w:val="single" w:sz="4" w:space="0" w:color="auto"/>
              <w:right w:val="single" w:sz="4" w:space="0" w:color="auto"/>
            </w:tcBorders>
            <w:vAlign w:val="bottom"/>
            <w:hideMark/>
          </w:tcPr>
          <w:p w:rsidR="00954713" w:rsidRPr="00526F5C" w:rsidRDefault="00526F5C" w:rsidP="00954713">
            <w:pPr>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679" w:type="pct"/>
            <w:tcBorders>
              <w:top w:val="single" w:sz="4" w:space="0" w:color="auto"/>
              <w:left w:val="single" w:sz="4" w:space="0" w:color="auto"/>
              <w:bottom w:val="single" w:sz="4" w:space="0" w:color="auto"/>
              <w:right w:val="single" w:sz="4" w:space="0" w:color="auto"/>
            </w:tcBorders>
            <w:vAlign w:val="bottom"/>
            <w:hideMark/>
          </w:tcPr>
          <w:p w:rsidR="00954713" w:rsidRPr="00526F5C" w:rsidRDefault="00526F5C" w:rsidP="00954713">
            <w:pPr>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c>
          <w:tcPr>
            <w:tcW w:w="670" w:type="pct"/>
            <w:tcBorders>
              <w:top w:val="single" w:sz="4" w:space="0" w:color="auto"/>
              <w:left w:val="single" w:sz="4" w:space="0" w:color="auto"/>
              <w:bottom w:val="single" w:sz="4" w:space="0" w:color="auto"/>
              <w:right w:val="single" w:sz="4" w:space="0" w:color="auto"/>
            </w:tcBorders>
            <w:vAlign w:val="bottom"/>
            <w:hideMark/>
          </w:tcPr>
          <w:p w:rsidR="00954713" w:rsidRPr="00526F5C" w:rsidRDefault="00526F5C" w:rsidP="00954713">
            <w:pPr>
              <w:widowControl/>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tc>
      </w:tr>
      <w:tr w:rsidR="00954713" w:rsidRPr="00CF3D88" w:rsidTr="00954713">
        <w:tc>
          <w:tcPr>
            <w:tcW w:w="1767" w:type="pct"/>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Vials</w:t>
            </w:r>
            <w:r w:rsidR="00D16918" w:rsidRPr="00CF3D88">
              <w:rPr>
                <w:rFonts w:ascii="Arial Narrow" w:hAnsi="Arial Narrow" w:cs="Times New Roman"/>
                <w:snapToGrid/>
                <w:sz w:val="20"/>
              </w:rPr>
              <w:t xml:space="preserve"> </w:t>
            </w:r>
            <w:r w:rsidRPr="00CF3D88">
              <w:rPr>
                <w:rFonts w:ascii="Arial Narrow" w:hAnsi="Arial Narrow" w:cs="Times New Roman"/>
                <w:snapToGrid/>
                <w:sz w:val="20"/>
                <w:vertAlign w:val="superscript"/>
              </w:rPr>
              <w:t>a</w:t>
            </w:r>
          </w:p>
        </w:tc>
        <w:tc>
          <w:tcPr>
            <w:tcW w:w="525" w:type="pct"/>
            <w:tcBorders>
              <w:top w:val="single" w:sz="4" w:space="0" w:color="auto"/>
              <w:left w:val="single" w:sz="4" w:space="0" w:color="auto"/>
              <w:bottom w:val="single" w:sz="4" w:space="0" w:color="auto"/>
              <w:right w:val="single" w:sz="4" w:space="0" w:color="auto"/>
            </w:tcBorders>
            <w:hideMark/>
          </w:tcPr>
          <w:p w:rsidR="00954713" w:rsidRPr="00526F5C" w:rsidRDefault="00526F5C" w:rsidP="00954713">
            <w:pPr>
              <w:widowControl/>
              <w:jc w:val="center"/>
              <w:rPr>
                <w:rFonts w:ascii="Arial Narrow" w:hAnsi="Arial Narrow" w:cs="Calibri"/>
                <w:bCs/>
                <w:snapToGrid/>
                <w:sz w:val="20"/>
                <w:highlight w:val="black"/>
              </w:rPr>
            </w:pPr>
            <w:r>
              <w:rPr>
                <w:rFonts w:ascii="Arial Narrow" w:hAnsi="Arial Narrow" w:cs="Calibri"/>
                <w:bCs/>
                <w:noProof/>
                <w:snapToGrid/>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hideMark/>
          </w:tcPr>
          <w:p w:rsidR="00954713" w:rsidRPr="00526F5C" w:rsidRDefault="00526F5C" w:rsidP="00954713">
            <w:pPr>
              <w:widowControl/>
              <w:jc w:val="center"/>
              <w:rPr>
                <w:rFonts w:ascii="Arial Narrow" w:hAnsi="Arial Narrow" w:cs="Calibri"/>
                <w:bCs/>
                <w:snapToGrid/>
                <w:sz w:val="20"/>
                <w:highlight w:val="black"/>
              </w:rPr>
            </w:pPr>
            <w:r>
              <w:rPr>
                <w:rFonts w:ascii="Arial Narrow" w:hAnsi="Arial Narrow" w:cs="Calibri"/>
                <w:bCs/>
                <w:noProof/>
                <w:snapToGrid/>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hideMark/>
          </w:tcPr>
          <w:p w:rsidR="00954713" w:rsidRPr="00526F5C" w:rsidRDefault="00526F5C" w:rsidP="00954713">
            <w:pPr>
              <w:widowControl/>
              <w:jc w:val="center"/>
              <w:rPr>
                <w:rFonts w:ascii="Arial Narrow" w:hAnsi="Arial Narrow" w:cs="Calibri"/>
                <w:bCs/>
                <w:snapToGrid/>
                <w:sz w:val="20"/>
                <w:highlight w:val="black"/>
              </w:rPr>
            </w:pPr>
            <w:r>
              <w:rPr>
                <w:rFonts w:ascii="Arial Narrow" w:hAnsi="Arial Narrow" w:cs="Calibri"/>
                <w:bCs/>
                <w:noProof/>
                <w:snapToGrid/>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hideMark/>
          </w:tcPr>
          <w:p w:rsidR="00954713" w:rsidRPr="00526F5C" w:rsidRDefault="00526F5C" w:rsidP="00954713">
            <w:pPr>
              <w:widowControl/>
              <w:jc w:val="center"/>
              <w:rPr>
                <w:rFonts w:ascii="Arial Narrow" w:hAnsi="Arial Narrow" w:cs="Calibri"/>
                <w:bCs/>
                <w:snapToGrid/>
                <w:sz w:val="20"/>
                <w:highlight w:val="black"/>
              </w:rPr>
            </w:pPr>
            <w:r>
              <w:rPr>
                <w:rFonts w:ascii="Arial Narrow" w:hAnsi="Arial Narrow" w:cs="Calibri"/>
                <w:bCs/>
                <w:noProof/>
                <w:snapToGrid/>
                <w:color w:val="000000"/>
                <w:sz w:val="20"/>
                <w:highlight w:val="black"/>
              </w:rPr>
              <w:t>'''''''''''''</w:t>
            </w:r>
          </w:p>
        </w:tc>
        <w:tc>
          <w:tcPr>
            <w:tcW w:w="670" w:type="pct"/>
            <w:tcBorders>
              <w:top w:val="single" w:sz="4" w:space="0" w:color="auto"/>
              <w:left w:val="single" w:sz="4" w:space="0" w:color="auto"/>
              <w:bottom w:val="single" w:sz="4" w:space="0" w:color="auto"/>
              <w:right w:val="single" w:sz="4" w:space="0" w:color="auto"/>
            </w:tcBorders>
            <w:hideMark/>
          </w:tcPr>
          <w:p w:rsidR="00954713" w:rsidRPr="00526F5C" w:rsidRDefault="00526F5C" w:rsidP="00954713">
            <w:pPr>
              <w:widowControl/>
              <w:jc w:val="center"/>
              <w:rPr>
                <w:rFonts w:ascii="Arial Narrow" w:hAnsi="Arial Narrow" w:cs="Calibri"/>
                <w:bCs/>
                <w:snapToGrid/>
                <w:sz w:val="20"/>
                <w:highlight w:val="black"/>
              </w:rPr>
            </w:pPr>
            <w:r>
              <w:rPr>
                <w:rFonts w:ascii="Arial Narrow" w:hAnsi="Arial Narrow" w:cs="Calibri"/>
                <w:bCs/>
                <w:noProof/>
                <w:snapToGrid/>
                <w:color w:val="000000"/>
                <w:sz w:val="20"/>
                <w:highlight w:val="black"/>
              </w:rPr>
              <w:t>''''''''''''</w:t>
            </w:r>
          </w:p>
        </w:tc>
      </w:tr>
      <w:tr w:rsidR="00954713" w:rsidRPr="00CF3D88" w:rsidTr="00954713">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b/>
                <w:bCs/>
                <w:snapToGrid/>
                <w:color w:val="000000"/>
                <w:sz w:val="20"/>
              </w:rPr>
            </w:pPr>
            <w:r w:rsidRPr="00CF3D88">
              <w:rPr>
                <w:rFonts w:ascii="Arial Narrow" w:hAnsi="Arial Narrow" w:cs="Times New Roman"/>
                <w:b/>
                <w:bCs/>
                <w:snapToGrid/>
                <w:color w:val="000000"/>
                <w:sz w:val="20"/>
              </w:rPr>
              <w:t>Estimated net cost to PBS/RPBS/MBS</w:t>
            </w:r>
          </w:p>
        </w:tc>
      </w:tr>
      <w:tr w:rsidR="00954713" w:rsidRPr="00CF3D88" w:rsidTr="00954713">
        <w:tc>
          <w:tcPr>
            <w:tcW w:w="1767" w:type="pct"/>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19"/>
                <w:szCs w:val="19"/>
              </w:rPr>
              <w:t>Net cost to PBS/RPBS</w:t>
            </w:r>
          </w:p>
        </w:tc>
        <w:tc>
          <w:tcPr>
            <w:tcW w:w="525"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bCs/>
                <w:snapToGrid/>
                <w:color w:val="000000"/>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bCs/>
                <w:snapToGrid/>
                <w:color w:val="000000"/>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bCs/>
                <w:snapToGrid/>
                <w:color w:val="000000"/>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bCs/>
                <w:snapToGrid/>
                <w:color w:val="000000"/>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670"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bCs/>
                <w:snapToGrid/>
                <w:color w:val="000000"/>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r>
      <w:tr w:rsidR="00954713" w:rsidRPr="00CF3D88" w:rsidTr="00954713">
        <w:tc>
          <w:tcPr>
            <w:tcW w:w="1767" w:type="pct"/>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19"/>
                <w:szCs w:val="19"/>
              </w:rPr>
              <w:t>Net cost to MBS</w:t>
            </w:r>
          </w:p>
        </w:tc>
        <w:tc>
          <w:tcPr>
            <w:tcW w:w="525"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snapToGrid/>
                <w:sz w:val="20"/>
              </w:rPr>
            </w:pP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snapToGrid/>
                <w:sz w:val="20"/>
              </w:rPr>
            </w:pP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snapToGrid/>
                <w:sz w:val="20"/>
              </w:rPr>
            </w:pP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snapToGrid/>
                <w:sz w:val="20"/>
              </w:rPr>
            </w:pP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p>
        </w:tc>
        <w:tc>
          <w:tcPr>
            <w:tcW w:w="670"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snapToGrid/>
                <w:sz w:val="20"/>
              </w:rPr>
            </w:pP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p>
        </w:tc>
      </w:tr>
      <w:tr w:rsidR="00954713" w:rsidRPr="00CF3D88" w:rsidTr="00954713">
        <w:tc>
          <w:tcPr>
            <w:tcW w:w="1767" w:type="pct"/>
            <w:tcBorders>
              <w:top w:val="single" w:sz="4" w:space="0" w:color="auto"/>
              <w:left w:val="single" w:sz="4" w:space="0" w:color="auto"/>
              <w:bottom w:val="single" w:sz="4" w:space="0" w:color="auto"/>
              <w:right w:val="single" w:sz="4" w:space="0" w:color="auto"/>
            </w:tcBorders>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snapToGrid/>
                <w:sz w:val="20"/>
              </w:rPr>
              <w:t>Hospital impact  (additional allo-SCT)</w:t>
            </w:r>
          </w:p>
        </w:tc>
        <w:tc>
          <w:tcPr>
            <w:tcW w:w="525" w:type="pct"/>
            <w:tcBorders>
              <w:top w:val="single" w:sz="4" w:space="0" w:color="auto"/>
              <w:left w:val="single" w:sz="4" w:space="0" w:color="auto"/>
              <w:bottom w:val="single" w:sz="4" w:space="0" w:color="auto"/>
              <w:right w:val="single" w:sz="4" w:space="0" w:color="auto"/>
            </w:tcBorders>
          </w:tcPr>
          <w:p w:rsidR="00954713" w:rsidRPr="00CF3D88" w:rsidRDefault="00954713" w:rsidP="00B7208E">
            <w:pPr>
              <w:widowControl/>
              <w:jc w:val="center"/>
              <w:rPr>
                <w:rFonts w:ascii="Arial Narrow" w:hAnsi="Arial Narrow" w:cs="Times New Roman"/>
                <w:snapToGrid/>
                <w:sz w:val="20"/>
              </w:rPr>
            </w:pP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tcPr>
          <w:p w:rsidR="00954713" w:rsidRPr="00CF3D88" w:rsidRDefault="00954713" w:rsidP="00B7208E">
            <w:pPr>
              <w:widowControl/>
              <w:jc w:val="center"/>
              <w:rPr>
                <w:rFonts w:ascii="Arial Narrow" w:hAnsi="Arial Narrow" w:cs="Times New Roman"/>
                <w:snapToGrid/>
                <w:sz w:val="20"/>
              </w:rPr>
            </w:pP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954713" w:rsidRPr="00CF3D88" w:rsidRDefault="00954713" w:rsidP="00B7208E">
            <w:pPr>
              <w:widowControl/>
              <w:jc w:val="center"/>
              <w:rPr>
                <w:rFonts w:ascii="Arial Narrow" w:hAnsi="Arial Narrow" w:cs="Times New Roman"/>
                <w:snapToGrid/>
                <w:sz w:val="20"/>
              </w:rPr>
            </w:pP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tcPr>
          <w:p w:rsidR="00954713" w:rsidRPr="00CF3D88" w:rsidRDefault="00954713" w:rsidP="00B7208E">
            <w:pPr>
              <w:widowControl/>
              <w:jc w:val="center"/>
              <w:rPr>
                <w:rFonts w:ascii="Arial Narrow" w:hAnsi="Arial Narrow" w:cs="Times New Roman"/>
                <w:snapToGrid/>
                <w:sz w:val="20"/>
              </w:rPr>
            </w:pP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p>
        </w:tc>
        <w:tc>
          <w:tcPr>
            <w:tcW w:w="670" w:type="pct"/>
            <w:tcBorders>
              <w:top w:val="single" w:sz="4" w:space="0" w:color="auto"/>
              <w:left w:val="single" w:sz="4" w:space="0" w:color="auto"/>
              <w:bottom w:val="single" w:sz="4" w:space="0" w:color="auto"/>
              <w:right w:val="single" w:sz="4" w:space="0" w:color="auto"/>
            </w:tcBorders>
          </w:tcPr>
          <w:p w:rsidR="00954713" w:rsidRPr="00CF3D88" w:rsidRDefault="00954713" w:rsidP="00B7208E">
            <w:pPr>
              <w:widowControl/>
              <w:jc w:val="center"/>
              <w:rPr>
                <w:rFonts w:ascii="Arial Narrow" w:hAnsi="Arial Narrow" w:cs="Times New Roman"/>
                <w:snapToGrid/>
                <w:sz w:val="20"/>
              </w:rPr>
            </w:pPr>
            <w:r w:rsidRPr="00CF3D88">
              <w:rPr>
                <w:rFonts w:ascii="Arial Narrow" w:hAnsi="Arial Narrow" w:cs="Times New Roman"/>
                <w:snapToGrid/>
                <w:sz w:val="20"/>
              </w:rPr>
              <w:t>$</w:t>
            </w:r>
            <w:r w:rsidR="00526F5C">
              <w:rPr>
                <w:rFonts w:ascii="Arial Narrow" w:hAnsi="Arial Narrow" w:cs="Times New Roman"/>
                <w:noProof/>
                <w:snapToGrid/>
                <w:color w:val="000000"/>
                <w:sz w:val="20"/>
                <w:highlight w:val="black"/>
              </w:rPr>
              <w:t>''''''''''''''''''</w:t>
            </w:r>
          </w:p>
        </w:tc>
      </w:tr>
      <w:tr w:rsidR="00954713" w:rsidRPr="00CF3D88" w:rsidTr="00954713">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b/>
                <w:snapToGrid/>
                <w:color w:val="000000"/>
                <w:sz w:val="20"/>
              </w:rPr>
            </w:pPr>
            <w:r w:rsidRPr="00CF3D88">
              <w:rPr>
                <w:rFonts w:ascii="Arial Narrow" w:hAnsi="Arial Narrow" w:cs="Times New Roman"/>
                <w:b/>
                <w:snapToGrid/>
                <w:color w:val="000000"/>
                <w:sz w:val="20"/>
              </w:rPr>
              <w:t>Estimated total net cost</w:t>
            </w:r>
          </w:p>
        </w:tc>
      </w:tr>
      <w:tr w:rsidR="00954713" w:rsidRPr="00CF3D88" w:rsidTr="00954713">
        <w:tc>
          <w:tcPr>
            <w:tcW w:w="1767" w:type="pct"/>
            <w:tcBorders>
              <w:top w:val="single" w:sz="4" w:space="0" w:color="auto"/>
              <w:left w:val="single" w:sz="4" w:space="0" w:color="auto"/>
              <w:bottom w:val="single" w:sz="4" w:space="0" w:color="auto"/>
              <w:right w:val="single" w:sz="4" w:space="0" w:color="auto"/>
            </w:tcBorders>
            <w:vAlign w:val="center"/>
            <w:hideMark/>
          </w:tcPr>
          <w:p w:rsidR="00954713" w:rsidRPr="00CF3D88" w:rsidRDefault="00954713" w:rsidP="00954713">
            <w:pPr>
              <w:widowControl/>
              <w:jc w:val="left"/>
              <w:rPr>
                <w:rFonts w:ascii="Arial Narrow" w:hAnsi="Arial Narrow" w:cs="Times New Roman"/>
                <w:snapToGrid/>
                <w:sz w:val="20"/>
              </w:rPr>
            </w:pPr>
            <w:r w:rsidRPr="00CF3D88">
              <w:rPr>
                <w:rFonts w:ascii="Arial Narrow" w:hAnsi="Arial Narrow" w:cs="Times New Roman"/>
                <w:bCs/>
                <w:snapToGrid/>
                <w:color w:val="000000"/>
                <w:sz w:val="20"/>
              </w:rPr>
              <w:t>Net cost to PBS/RPBS/MBS</w:t>
            </w:r>
          </w:p>
        </w:tc>
        <w:tc>
          <w:tcPr>
            <w:tcW w:w="525"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color w:val="000000"/>
              </w:rPr>
            </w:pPr>
            <w:r w:rsidRPr="00CF3D88">
              <w:rPr>
                <w:rFonts w:ascii="Arial Narrow" w:hAnsi="Arial Narrow"/>
                <w:sz w:val="20"/>
              </w:rPr>
              <w:t>$</w:t>
            </w:r>
            <w:r w:rsidR="00526F5C">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snapToGrid/>
                <w:color w:val="000000"/>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680"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snapToGrid/>
                <w:color w:val="000000"/>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snapToGrid/>
                <w:color w:val="000000"/>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c>
          <w:tcPr>
            <w:tcW w:w="670" w:type="pct"/>
            <w:tcBorders>
              <w:top w:val="single" w:sz="4" w:space="0" w:color="auto"/>
              <w:left w:val="single" w:sz="4" w:space="0" w:color="auto"/>
              <w:bottom w:val="single" w:sz="4" w:space="0" w:color="auto"/>
              <w:right w:val="single" w:sz="4" w:space="0" w:color="auto"/>
            </w:tcBorders>
            <w:hideMark/>
          </w:tcPr>
          <w:p w:rsidR="00954713" w:rsidRPr="00CF3D88" w:rsidRDefault="00954713" w:rsidP="00B7208E">
            <w:pPr>
              <w:widowControl/>
              <w:jc w:val="center"/>
              <w:rPr>
                <w:rFonts w:ascii="Arial Narrow" w:hAnsi="Arial Narrow" w:cs="Times New Roman"/>
                <w:snapToGrid/>
                <w:color w:val="000000"/>
                <w:sz w:val="20"/>
              </w:rPr>
            </w:pPr>
            <w:r w:rsidRPr="00CF3D88">
              <w:rPr>
                <w:rFonts w:ascii="Arial Narrow" w:hAnsi="Arial Narrow" w:cs="Times New Roman"/>
                <w:sz w:val="20"/>
              </w:rPr>
              <w:t>$</w:t>
            </w:r>
            <w:r w:rsidR="00526F5C">
              <w:rPr>
                <w:rFonts w:ascii="Arial Narrow" w:hAnsi="Arial Narrow" w:cs="Times New Roman"/>
                <w:noProof/>
                <w:color w:val="000000"/>
                <w:sz w:val="20"/>
                <w:highlight w:val="black"/>
              </w:rPr>
              <w:t>'''''''''''''''''''''</w:t>
            </w:r>
          </w:p>
        </w:tc>
      </w:tr>
    </w:tbl>
    <w:p w:rsidR="00954713" w:rsidRPr="00CF3D88" w:rsidRDefault="00954713" w:rsidP="00954713">
      <w:pPr>
        <w:widowControl/>
        <w:ind w:firstLine="720"/>
        <w:rPr>
          <w:rFonts w:ascii="Arial Narrow" w:hAnsi="Arial Narrow"/>
          <w:sz w:val="18"/>
        </w:rPr>
      </w:pPr>
      <w:r w:rsidRPr="00CF3D88">
        <w:rPr>
          <w:rFonts w:ascii="Arial Narrow" w:hAnsi="Arial Narrow"/>
          <w:sz w:val="16"/>
          <w:szCs w:val="18"/>
        </w:rPr>
        <w:t xml:space="preserve">Source: </w:t>
      </w:r>
      <w:r w:rsidRPr="00CF3D88">
        <w:rPr>
          <w:rFonts w:ascii="Arial Narrow" w:hAnsi="Arial Narrow"/>
          <w:sz w:val="18"/>
        </w:rPr>
        <w:t>Table</w:t>
      </w:r>
      <w:r w:rsidR="00F46E9A" w:rsidRPr="00CF3D88">
        <w:rPr>
          <w:rFonts w:ascii="Arial Narrow" w:hAnsi="Arial Narrow"/>
          <w:sz w:val="18"/>
        </w:rPr>
        <w:t>s</w:t>
      </w:r>
      <w:r w:rsidRPr="00CF3D88">
        <w:rPr>
          <w:rFonts w:ascii="Arial Narrow" w:hAnsi="Arial Narrow"/>
          <w:sz w:val="18"/>
        </w:rPr>
        <w:t xml:space="preserve"> E.4-3, p235; E.4-4, p235</w:t>
      </w:r>
      <w:r w:rsidR="00F46E9A" w:rsidRPr="00CF3D88">
        <w:rPr>
          <w:rFonts w:ascii="Arial Narrow" w:hAnsi="Arial Narrow"/>
          <w:sz w:val="18"/>
        </w:rPr>
        <w:t>;</w:t>
      </w:r>
      <w:r w:rsidRPr="00CF3D88">
        <w:rPr>
          <w:rFonts w:ascii="Arial Narrow" w:hAnsi="Arial Narrow"/>
          <w:sz w:val="18"/>
        </w:rPr>
        <w:t xml:space="preserve"> of the </w:t>
      </w:r>
      <w:r w:rsidR="00A8064E" w:rsidRPr="00CF3D88">
        <w:rPr>
          <w:rFonts w:ascii="Arial Narrow" w:hAnsi="Arial Narrow"/>
          <w:sz w:val="18"/>
        </w:rPr>
        <w:t xml:space="preserve">resubmission </w:t>
      </w:r>
    </w:p>
    <w:p w:rsidR="00F46E9A" w:rsidRPr="00CF3D88" w:rsidRDefault="00F46E9A" w:rsidP="00F46E9A">
      <w:pPr>
        <w:pStyle w:val="TableFooter"/>
        <w:keepNext/>
        <w:widowControl/>
        <w:ind w:left="709"/>
      </w:pPr>
      <w:proofErr w:type="spellStart"/>
      <w:proofErr w:type="gramStart"/>
      <w:r w:rsidRPr="00CF3D88">
        <w:t>allo</w:t>
      </w:r>
      <w:proofErr w:type="spellEnd"/>
      <w:r w:rsidRPr="00CF3D88">
        <w:t>-SCT</w:t>
      </w:r>
      <w:proofErr w:type="gramEnd"/>
      <w:r w:rsidRPr="00CF3D88">
        <w:t xml:space="preserve"> = allogenic stem cell transplant; MBS = Medical Benefits Schedule; PBS = Pharmaceutical Benefits Scheme; RPBS = Repatriation</w:t>
      </w:r>
      <w:r w:rsidR="004C5854" w:rsidRPr="00CF3D88">
        <w:t>;</w:t>
      </w:r>
    </w:p>
    <w:p w:rsidR="00954713" w:rsidRPr="00CF3D88" w:rsidRDefault="00954713" w:rsidP="00954713">
      <w:pPr>
        <w:widowControl/>
        <w:ind w:firstLine="720"/>
        <w:rPr>
          <w:rFonts w:ascii="Arial Narrow" w:hAnsi="Arial Narrow"/>
          <w:sz w:val="18"/>
        </w:rPr>
      </w:pPr>
      <w:proofErr w:type="spellStart"/>
      <w:proofErr w:type="gramStart"/>
      <w:r w:rsidRPr="00CF3D88">
        <w:rPr>
          <w:rFonts w:ascii="Arial Narrow" w:hAnsi="Arial Narrow"/>
          <w:sz w:val="18"/>
          <w:vertAlign w:val="superscript"/>
        </w:rPr>
        <w:t>a</w:t>
      </w:r>
      <w:proofErr w:type="spellEnd"/>
      <w:proofErr w:type="gramEnd"/>
      <w:r w:rsidRPr="00CF3D88">
        <w:rPr>
          <w:rFonts w:ascii="Arial Narrow" w:hAnsi="Arial Narrow"/>
          <w:sz w:val="18"/>
        </w:rPr>
        <w:t xml:space="preserve"> Assuming 3 vials per cycle and 10 cycles per treatment course as estimated by the </w:t>
      </w:r>
      <w:r w:rsidR="00116484">
        <w:rPr>
          <w:rFonts w:ascii="Arial Narrow" w:hAnsi="Arial Narrow"/>
          <w:sz w:val="18"/>
        </w:rPr>
        <w:t>resubmission</w:t>
      </w:r>
    </w:p>
    <w:p w:rsidR="00954713" w:rsidRPr="00CF3D88" w:rsidRDefault="00954713" w:rsidP="00954713">
      <w:pPr>
        <w:widowControl/>
        <w:ind w:firstLine="720"/>
        <w:rPr>
          <w:rFonts w:ascii="Arial Narrow" w:hAnsi="Arial Narrow"/>
          <w:sz w:val="18"/>
          <w:szCs w:val="22"/>
        </w:rPr>
      </w:pPr>
    </w:p>
    <w:p w:rsidR="00954713" w:rsidRPr="00CF3D88" w:rsidRDefault="009736C2" w:rsidP="009530DB">
      <w:pPr>
        <w:widowControl/>
        <w:numPr>
          <w:ilvl w:val="1"/>
          <w:numId w:val="2"/>
        </w:numPr>
        <w:contextualSpacing/>
      </w:pPr>
      <w:r>
        <w:t xml:space="preserve">The redacted table above shows that at year 5, the estimated number of patients was less than 10,000 per year. </w:t>
      </w:r>
      <w:r w:rsidR="007B5191" w:rsidRPr="00CF3D88">
        <w:t xml:space="preserve">The </w:t>
      </w:r>
      <w:r w:rsidR="00A8064E" w:rsidRPr="00CF3D88">
        <w:t xml:space="preserve">resubmission </w:t>
      </w:r>
      <w:r w:rsidR="007B5191" w:rsidRPr="00CF3D88">
        <w:t>estimated that the cost to the PBS/RPBS and MBS would be $</w:t>
      </w:r>
      <w:r>
        <w:t>20 - $30</w:t>
      </w:r>
      <w:r w:rsidR="00EA600E" w:rsidRPr="00CF3D88">
        <w:t> </w:t>
      </w:r>
      <w:r w:rsidR="007B5191" w:rsidRPr="00CF3D88">
        <w:t>million in the first five years of listing</w:t>
      </w:r>
      <w:r w:rsidR="00EA600E" w:rsidRPr="00CF3D88">
        <w:t xml:space="preserve"> </w:t>
      </w:r>
      <w:r w:rsidR="005A02C3" w:rsidRPr="00CF3D88">
        <w:t>(</w:t>
      </w:r>
      <w:r w:rsidR="00EA600E" w:rsidRPr="00CF3D88">
        <w:t>compared with $</w:t>
      </w:r>
      <w:r>
        <w:t>10 - $20</w:t>
      </w:r>
      <w:r w:rsidR="00EA600E" w:rsidRPr="00CF3D88">
        <w:t xml:space="preserve"> million in the previous submission</w:t>
      </w:r>
      <w:r w:rsidR="005A02C3" w:rsidRPr="00CF3D88">
        <w:t>)</w:t>
      </w:r>
      <w:r w:rsidR="007B5191" w:rsidRPr="00CF3D88">
        <w:t xml:space="preserve">. </w:t>
      </w:r>
      <w:r w:rsidR="00954713" w:rsidRPr="00CF3D88">
        <w:t xml:space="preserve">There was potential for the net </w:t>
      </w:r>
      <w:r w:rsidR="00F46E9A" w:rsidRPr="00CF3D88">
        <w:t xml:space="preserve">PBS </w:t>
      </w:r>
      <w:r w:rsidR="00954713" w:rsidRPr="00CF3D88">
        <w:t>cost/year to be less than estimated due to the likely overestimated number of eligible patients. This was because:</w:t>
      </w:r>
    </w:p>
    <w:p w:rsidR="00954713" w:rsidRPr="00CF3D88" w:rsidRDefault="00954713" w:rsidP="009736C2">
      <w:pPr>
        <w:widowControl/>
        <w:numPr>
          <w:ilvl w:val="0"/>
          <w:numId w:val="5"/>
        </w:numPr>
        <w:ind w:left="993" w:hanging="284"/>
        <w:rPr>
          <w:szCs w:val="22"/>
        </w:rPr>
      </w:pPr>
      <w:r w:rsidRPr="00CF3D88">
        <w:rPr>
          <w:szCs w:val="22"/>
        </w:rPr>
        <w:t>the number of ASCTs was overestimated because it was based on an increasing trend forecast;</w:t>
      </w:r>
      <w:r w:rsidR="003C2B7D" w:rsidRPr="00CF3D88">
        <w:rPr>
          <w:i/>
          <w:szCs w:val="22"/>
        </w:rPr>
        <w:t xml:space="preserve"> </w:t>
      </w:r>
      <w:r w:rsidR="003C2B7D" w:rsidRPr="00CF3D88">
        <w:rPr>
          <w:szCs w:val="22"/>
        </w:rPr>
        <w:t>and</w:t>
      </w:r>
    </w:p>
    <w:p w:rsidR="00D30240" w:rsidRPr="00CF3D88" w:rsidRDefault="00954713" w:rsidP="009736C2">
      <w:pPr>
        <w:widowControl/>
        <w:numPr>
          <w:ilvl w:val="0"/>
          <w:numId w:val="5"/>
        </w:numPr>
        <w:ind w:left="993" w:hanging="284"/>
        <w:jc w:val="left"/>
        <w:rPr>
          <w:szCs w:val="22"/>
        </w:rPr>
      </w:pPr>
      <w:proofErr w:type="gramStart"/>
      <w:r w:rsidRPr="00CF3D88">
        <w:rPr>
          <w:szCs w:val="22"/>
        </w:rPr>
        <w:t>the</w:t>
      </w:r>
      <w:proofErr w:type="gramEnd"/>
      <w:r w:rsidRPr="00CF3D88">
        <w:rPr>
          <w:szCs w:val="22"/>
        </w:rPr>
        <w:t xml:space="preserve"> number of patients </w:t>
      </w:r>
      <w:r w:rsidR="00E0553D" w:rsidRPr="00CF3D88">
        <w:rPr>
          <w:szCs w:val="22"/>
        </w:rPr>
        <w:t xml:space="preserve">who were assumed to </w:t>
      </w:r>
      <w:r w:rsidRPr="00CF3D88">
        <w:rPr>
          <w:szCs w:val="22"/>
        </w:rPr>
        <w:t>relaps</w:t>
      </w:r>
      <w:r w:rsidR="00E0553D" w:rsidRPr="00CF3D88">
        <w:rPr>
          <w:szCs w:val="22"/>
        </w:rPr>
        <w:t>e post ASCT</w:t>
      </w:r>
      <w:r w:rsidRPr="00CF3D88">
        <w:rPr>
          <w:szCs w:val="22"/>
        </w:rPr>
        <w:t xml:space="preserve"> was higher than estimated from the</w:t>
      </w:r>
      <w:r w:rsidRPr="00CF3D88">
        <w:t xml:space="preserve"> </w:t>
      </w:r>
      <w:r w:rsidRPr="00CF3D88">
        <w:rPr>
          <w:szCs w:val="22"/>
        </w:rPr>
        <w:t>Australasian Bone Marrow Transplant Recipient Registry Report or other literature</w:t>
      </w:r>
      <w:r w:rsidR="00D30240" w:rsidRPr="00CF3D88">
        <w:rPr>
          <w:szCs w:val="22"/>
        </w:rPr>
        <w:t>.</w:t>
      </w:r>
    </w:p>
    <w:p w:rsidR="00233CEB" w:rsidRPr="00CF3D88" w:rsidRDefault="00E909A8" w:rsidP="00233CEB">
      <w:pPr>
        <w:widowControl/>
        <w:ind w:left="720"/>
        <w:rPr>
          <w:szCs w:val="22"/>
        </w:rPr>
      </w:pPr>
      <w:r>
        <w:rPr>
          <w:szCs w:val="22"/>
        </w:rPr>
        <w:t>The PSCR (p</w:t>
      </w:r>
      <w:r w:rsidR="00233CEB" w:rsidRPr="00CF3D88">
        <w:rPr>
          <w:szCs w:val="22"/>
        </w:rPr>
        <w:t xml:space="preserve">5) argued that the number of ASCT procedures was not overestimated but rather held constant from the second year of listing. </w:t>
      </w:r>
      <w:r w:rsidR="005A02C3" w:rsidRPr="00CF3D88">
        <w:rPr>
          <w:szCs w:val="22"/>
        </w:rPr>
        <w:t>T</w:t>
      </w:r>
      <w:r w:rsidR="00233CEB" w:rsidRPr="00CF3D88">
        <w:rPr>
          <w:szCs w:val="22"/>
        </w:rPr>
        <w:t>he ESC</w:t>
      </w:r>
      <w:r w:rsidR="00BB7F88" w:rsidRPr="00CF3D88">
        <w:rPr>
          <w:szCs w:val="22"/>
        </w:rPr>
        <w:t xml:space="preserve"> </w:t>
      </w:r>
      <w:r w:rsidR="005A02C3" w:rsidRPr="00CF3D88">
        <w:rPr>
          <w:szCs w:val="22"/>
        </w:rPr>
        <w:t>noted</w:t>
      </w:r>
      <w:r w:rsidR="00233CEB" w:rsidRPr="00CF3D88">
        <w:rPr>
          <w:szCs w:val="22"/>
        </w:rPr>
        <w:t xml:space="preserve"> that the rate of ASCT procedures </w:t>
      </w:r>
      <w:r w:rsidR="005A02C3" w:rsidRPr="00CF3D88">
        <w:rPr>
          <w:szCs w:val="22"/>
        </w:rPr>
        <w:t>may increase</w:t>
      </w:r>
      <w:r w:rsidR="00233CEB" w:rsidRPr="00CF3D88">
        <w:rPr>
          <w:szCs w:val="22"/>
        </w:rPr>
        <w:t xml:space="preserve"> with the potential future listing </w:t>
      </w:r>
      <w:r w:rsidR="005A02C3" w:rsidRPr="00CF3D88">
        <w:rPr>
          <w:szCs w:val="22"/>
        </w:rPr>
        <w:t>of</w:t>
      </w:r>
      <w:r w:rsidR="00233CEB" w:rsidRPr="00CF3D88">
        <w:rPr>
          <w:szCs w:val="22"/>
        </w:rPr>
        <w:t xml:space="preserve"> brentuximab</w:t>
      </w:r>
      <w:r w:rsidR="00BF0191" w:rsidRPr="00CF3D88">
        <w:rPr>
          <w:szCs w:val="22"/>
        </w:rPr>
        <w:t xml:space="preserve"> vedotin, in ASCT naïve patients.</w:t>
      </w:r>
    </w:p>
    <w:p w:rsidR="00B93726" w:rsidRPr="00CF3D88" w:rsidRDefault="00B93726" w:rsidP="00116484">
      <w:pPr>
        <w:widowControl/>
        <w:jc w:val="left"/>
        <w:rPr>
          <w:szCs w:val="22"/>
        </w:rPr>
      </w:pPr>
    </w:p>
    <w:p w:rsidR="00942A77" w:rsidRPr="00CF3D88" w:rsidRDefault="00B93726" w:rsidP="009530DB">
      <w:pPr>
        <w:widowControl/>
        <w:numPr>
          <w:ilvl w:val="1"/>
          <w:numId w:val="2"/>
        </w:numPr>
        <w:contextualSpacing/>
        <w:rPr>
          <w:szCs w:val="22"/>
        </w:rPr>
      </w:pPr>
      <w:r w:rsidRPr="00CF3D88">
        <w:t xml:space="preserve">PBS costs could be substantially higher if </w:t>
      </w:r>
      <w:r w:rsidR="00942A77" w:rsidRPr="00CF3D88">
        <w:t>brentuximab vedotin was used</w:t>
      </w:r>
      <w:r w:rsidRPr="00CF3D88">
        <w:t xml:space="preserve"> outside the proposed restriction in earlier lines of treatment</w:t>
      </w:r>
      <w:r w:rsidR="00612441" w:rsidRPr="00CF3D88">
        <w:t xml:space="preserve"> </w:t>
      </w:r>
      <w:r w:rsidR="00942A77" w:rsidRPr="00CF3D88">
        <w:t xml:space="preserve">particularly if the concurrent submission for ASCT-naïve population was not listed. The PBAC </w:t>
      </w:r>
      <w:r w:rsidR="00A7555A">
        <w:t>noted that a</w:t>
      </w:r>
      <w:r w:rsidR="00942A77" w:rsidRPr="00CF3D88">
        <w:t xml:space="preserve"> </w:t>
      </w:r>
      <w:r w:rsidR="00F454D9">
        <w:t>R</w:t>
      </w:r>
      <w:r w:rsidR="00F454D9" w:rsidRPr="00CF3D88">
        <w:t xml:space="preserve">isk </w:t>
      </w:r>
      <w:r w:rsidR="00F454D9">
        <w:t>S</w:t>
      </w:r>
      <w:r w:rsidR="00F454D9" w:rsidRPr="00CF3D88">
        <w:t xml:space="preserve">haring </w:t>
      </w:r>
      <w:r w:rsidR="00F454D9">
        <w:t>A</w:t>
      </w:r>
      <w:r w:rsidR="00F454D9" w:rsidRPr="00CF3D88">
        <w:t xml:space="preserve">rrangement </w:t>
      </w:r>
      <w:r w:rsidR="00A7555A">
        <w:t xml:space="preserve">would be appropriate </w:t>
      </w:r>
      <w:r w:rsidR="00942A77" w:rsidRPr="00CF3D88">
        <w:t>to reduce this risk.</w:t>
      </w:r>
    </w:p>
    <w:p w:rsidR="00CC6DF3" w:rsidRDefault="00CC6DF3">
      <w:pPr>
        <w:widowControl/>
        <w:jc w:val="left"/>
      </w:pPr>
      <w:r>
        <w:br w:type="page"/>
      </w:r>
    </w:p>
    <w:p w:rsidR="008C4BED" w:rsidRPr="00CF3D88" w:rsidRDefault="008C4BED" w:rsidP="00D45673">
      <w:pPr>
        <w:pStyle w:val="PBACHeading1"/>
        <w:rPr>
          <w:b w:val="0"/>
          <w:bCs/>
        </w:rPr>
      </w:pPr>
      <w:r w:rsidRPr="00CF3D88">
        <w:rPr>
          <w:bCs/>
        </w:rPr>
        <w:lastRenderedPageBreak/>
        <w:t>PBAC Outcome</w:t>
      </w:r>
    </w:p>
    <w:p w:rsidR="005D1552" w:rsidRPr="00CF3D88" w:rsidRDefault="005D1552" w:rsidP="005D1552">
      <w:pPr>
        <w:ind w:left="720"/>
        <w:rPr>
          <w:b/>
          <w:bCs/>
          <w:szCs w:val="22"/>
        </w:rPr>
      </w:pPr>
    </w:p>
    <w:p w:rsidR="009B0180" w:rsidRPr="00CF3D88" w:rsidRDefault="009B0180" w:rsidP="009B0180">
      <w:pPr>
        <w:numPr>
          <w:ilvl w:val="1"/>
          <w:numId w:val="2"/>
        </w:numPr>
      </w:pPr>
      <w:r w:rsidRPr="00CF3D88">
        <w:t>The PBAC recommended a written Authority Required Section 100 (Efficient Funding of Chemotherapy) listing of brentuximab vedotin for the treatment of relapsed Hodgkin Lymphoma post ASCT. The PBAC was satisfied that brentuximab vedotin is well tolerated, and provides, for some patients, an improvement in efficacy over best supportive care.</w:t>
      </w:r>
    </w:p>
    <w:p w:rsidR="009B0180" w:rsidRPr="00CF3D88" w:rsidRDefault="009B0180" w:rsidP="009B0180">
      <w:pPr>
        <w:contextualSpacing/>
      </w:pPr>
    </w:p>
    <w:p w:rsidR="009B0180" w:rsidRPr="00CF3D88" w:rsidRDefault="009B0180" w:rsidP="009B0180">
      <w:pPr>
        <w:numPr>
          <w:ilvl w:val="1"/>
          <w:numId w:val="2"/>
        </w:numPr>
        <w:rPr>
          <w:bCs/>
        </w:rPr>
      </w:pPr>
      <w:r w:rsidRPr="00CF3D88">
        <w:rPr>
          <w:bCs/>
        </w:rPr>
        <w:t>The PBAC welcomed the input received from individuals, clinicians and professional organisations in support of the submission, including the sponsor hearing. The comments highlighted bren</w:t>
      </w:r>
      <w:r w:rsidR="00012CEF" w:rsidRPr="00CF3D88">
        <w:rPr>
          <w:bCs/>
        </w:rPr>
        <w:t>tuximab vedotin’s effectiveness</w:t>
      </w:r>
      <w:r w:rsidR="00661A59" w:rsidRPr="00CF3D88">
        <w:rPr>
          <w:bCs/>
        </w:rPr>
        <w:t xml:space="preserve"> in HL patients post ASCT failure</w:t>
      </w:r>
      <w:r w:rsidR="00012CEF" w:rsidRPr="00CF3D88">
        <w:rPr>
          <w:bCs/>
        </w:rPr>
        <w:t xml:space="preserve">, </w:t>
      </w:r>
      <w:r w:rsidR="00661A59" w:rsidRPr="00CF3D88">
        <w:rPr>
          <w:bCs/>
        </w:rPr>
        <w:t xml:space="preserve">its </w:t>
      </w:r>
      <w:r w:rsidRPr="00CF3D88">
        <w:rPr>
          <w:bCs/>
        </w:rPr>
        <w:t>tolerability</w:t>
      </w:r>
      <w:r w:rsidR="007A217E" w:rsidRPr="00CF3D88">
        <w:rPr>
          <w:bCs/>
        </w:rPr>
        <w:t>,</w:t>
      </w:r>
      <w:r w:rsidRPr="00CF3D88">
        <w:rPr>
          <w:bCs/>
        </w:rPr>
        <w:t xml:space="preserve"> and </w:t>
      </w:r>
      <w:r w:rsidR="007A217E" w:rsidRPr="00CF3D88">
        <w:rPr>
          <w:bCs/>
        </w:rPr>
        <w:t xml:space="preserve">its </w:t>
      </w:r>
      <w:r w:rsidR="00661A59" w:rsidRPr="00CF3D88">
        <w:rPr>
          <w:bCs/>
        </w:rPr>
        <w:t xml:space="preserve">efficacy in serving as a ‘bridge’ to </w:t>
      </w:r>
      <w:r w:rsidR="00765B96" w:rsidRPr="00CF3D88">
        <w:rPr>
          <w:bCs/>
        </w:rPr>
        <w:t xml:space="preserve">a potentially curative </w:t>
      </w:r>
      <w:r w:rsidR="00661A59" w:rsidRPr="00CF3D88">
        <w:rPr>
          <w:bCs/>
        </w:rPr>
        <w:t xml:space="preserve">allogeneic </w:t>
      </w:r>
      <w:r w:rsidR="007A217E" w:rsidRPr="00CF3D88">
        <w:rPr>
          <w:bCs/>
        </w:rPr>
        <w:t xml:space="preserve">transplant </w:t>
      </w:r>
      <w:r w:rsidRPr="00CF3D88">
        <w:rPr>
          <w:bCs/>
        </w:rPr>
        <w:t xml:space="preserve">in </w:t>
      </w:r>
      <w:r w:rsidR="00661A59" w:rsidRPr="00CF3D88">
        <w:rPr>
          <w:bCs/>
        </w:rPr>
        <w:t>some patients.</w:t>
      </w:r>
    </w:p>
    <w:p w:rsidR="009B0180" w:rsidRPr="00CF3D88" w:rsidRDefault="009B0180" w:rsidP="00012CEF">
      <w:pPr>
        <w:ind w:right="135"/>
        <w:rPr>
          <w:szCs w:val="22"/>
        </w:rPr>
      </w:pPr>
    </w:p>
    <w:p w:rsidR="00765B96" w:rsidRPr="00CF3D88" w:rsidRDefault="009B0180" w:rsidP="00012CEF">
      <w:pPr>
        <w:numPr>
          <w:ilvl w:val="1"/>
          <w:numId w:val="2"/>
        </w:numPr>
        <w:rPr>
          <w:bCs/>
        </w:rPr>
      </w:pPr>
      <w:r w:rsidRPr="00CF3D88">
        <w:rPr>
          <w:bCs/>
        </w:rPr>
        <w:t xml:space="preserve">The PBAC considered that the proposed restriction was </w:t>
      </w:r>
      <w:r w:rsidR="00012CEF" w:rsidRPr="00CF3D88">
        <w:rPr>
          <w:bCs/>
        </w:rPr>
        <w:t xml:space="preserve">consistent with its previous advice (paragraph 7.6, brentuximab vedotin Public </w:t>
      </w:r>
      <w:r w:rsidR="000230B0" w:rsidRPr="00CF3D88">
        <w:rPr>
          <w:bCs/>
        </w:rPr>
        <w:t>S</w:t>
      </w:r>
      <w:r w:rsidR="00012CEF" w:rsidRPr="00CF3D88">
        <w:rPr>
          <w:bCs/>
        </w:rPr>
        <w:t>ummary Docu</w:t>
      </w:r>
      <w:r w:rsidR="00116484">
        <w:rPr>
          <w:bCs/>
        </w:rPr>
        <w:t>ment, March 2015 PBAC meeting).</w:t>
      </w:r>
    </w:p>
    <w:p w:rsidR="00765B96" w:rsidRPr="00CF3D88" w:rsidRDefault="00765B96" w:rsidP="00765B96">
      <w:pPr>
        <w:pStyle w:val="ListParagraph"/>
        <w:rPr>
          <w:bCs/>
        </w:rPr>
      </w:pPr>
    </w:p>
    <w:p w:rsidR="009B0180" w:rsidRPr="00CF3D88" w:rsidRDefault="00012CEF" w:rsidP="00012CEF">
      <w:pPr>
        <w:numPr>
          <w:ilvl w:val="1"/>
          <w:numId w:val="2"/>
        </w:numPr>
        <w:rPr>
          <w:bCs/>
        </w:rPr>
      </w:pPr>
      <w:r w:rsidRPr="00CF3D88">
        <w:rPr>
          <w:bCs/>
        </w:rPr>
        <w:t xml:space="preserve">The PBAC </w:t>
      </w:r>
      <w:r w:rsidR="009B0180" w:rsidRPr="00CF3D88">
        <w:rPr>
          <w:bCs/>
        </w:rPr>
        <w:t xml:space="preserve">noted that although two submissions for brentuximab vedotin were considered at the November 2016 PBAC meeting (this item </w:t>
      </w:r>
      <w:r w:rsidRPr="00CF3D88">
        <w:rPr>
          <w:bCs/>
        </w:rPr>
        <w:t xml:space="preserve">7.03 </w:t>
      </w:r>
      <w:r w:rsidR="009B0180" w:rsidRPr="00CF3D88">
        <w:rPr>
          <w:bCs/>
        </w:rPr>
        <w:t xml:space="preserve">and item </w:t>
      </w:r>
      <w:r w:rsidRPr="00CF3D88">
        <w:rPr>
          <w:bCs/>
        </w:rPr>
        <w:t>6.01</w:t>
      </w:r>
      <w:r w:rsidR="009B0180" w:rsidRPr="00CF3D88">
        <w:rPr>
          <w:bCs/>
        </w:rPr>
        <w:t>), the impact of patients potentially accessing brentuximab vedotin more than once</w:t>
      </w:r>
      <w:r w:rsidR="004C5854" w:rsidRPr="00CF3D88">
        <w:rPr>
          <w:bCs/>
        </w:rPr>
        <w:t xml:space="preserve"> (for instance, before ASCT and then again after) </w:t>
      </w:r>
      <w:r w:rsidR="009B0180" w:rsidRPr="00CF3D88">
        <w:rPr>
          <w:bCs/>
        </w:rPr>
        <w:t xml:space="preserve">was not considered in the proposed restriction for </w:t>
      </w:r>
      <w:r w:rsidR="0062157A" w:rsidRPr="00CF3D88">
        <w:rPr>
          <w:bCs/>
        </w:rPr>
        <w:t xml:space="preserve">either submission, </w:t>
      </w:r>
      <w:r w:rsidR="004C5854" w:rsidRPr="00CF3D88">
        <w:rPr>
          <w:bCs/>
        </w:rPr>
        <w:t xml:space="preserve">and neither was the </w:t>
      </w:r>
      <w:r w:rsidR="00F454D9">
        <w:rPr>
          <w:bCs/>
        </w:rPr>
        <w:t xml:space="preserve">potential </w:t>
      </w:r>
      <w:r w:rsidR="004C5854" w:rsidRPr="00CF3D88">
        <w:rPr>
          <w:bCs/>
        </w:rPr>
        <w:t xml:space="preserve">financial impact </w:t>
      </w:r>
      <w:r w:rsidR="00F454D9">
        <w:rPr>
          <w:bCs/>
        </w:rPr>
        <w:t>considered</w:t>
      </w:r>
      <w:r w:rsidR="004C5854" w:rsidRPr="00CF3D88">
        <w:rPr>
          <w:bCs/>
        </w:rPr>
        <w:t>. The PBAC noted that the Product Information for brentuximab vedotin allowed for a lifetime maximum of 16 treatment cycles, and considered that the restriction should be consistent with this.</w:t>
      </w:r>
    </w:p>
    <w:p w:rsidR="009B0180" w:rsidRPr="00CF3D88" w:rsidRDefault="009B0180" w:rsidP="009B0180">
      <w:pPr>
        <w:ind w:left="720"/>
        <w:contextualSpacing/>
        <w:rPr>
          <w:bCs/>
          <w:szCs w:val="22"/>
        </w:rPr>
      </w:pPr>
    </w:p>
    <w:p w:rsidR="009B0180" w:rsidRPr="00CF3D88" w:rsidRDefault="009B0180" w:rsidP="009B0180">
      <w:pPr>
        <w:numPr>
          <w:ilvl w:val="1"/>
          <w:numId w:val="2"/>
        </w:numPr>
        <w:contextualSpacing/>
        <w:rPr>
          <w:szCs w:val="22"/>
        </w:rPr>
      </w:pPr>
      <w:r w:rsidRPr="00CF3D88">
        <w:rPr>
          <w:bCs/>
          <w:szCs w:val="22"/>
        </w:rPr>
        <w:t xml:space="preserve">The PBAC agreed that salvage chemotherapy, represented by </w:t>
      </w:r>
      <w:r w:rsidRPr="00CF3D88">
        <w:t>gemcitabine and vinorelbine</w:t>
      </w:r>
      <w:r w:rsidRPr="00CF3D88">
        <w:rPr>
          <w:bCs/>
          <w:szCs w:val="22"/>
        </w:rPr>
        <w:t xml:space="preserve">, was </w:t>
      </w:r>
      <w:r w:rsidR="004C5854" w:rsidRPr="00CF3D88">
        <w:rPr>
          <w:bCs/>
          <w:szCs w:val="22"/>
        </w:rPr>
        <w:t>an</w:t>
      </w:r>
      <w:r w:rsidRPr="00CF3D88">
        <w:rPr>
          <w:bCs/>
          <w:szCs w:val="22"/>
        </w:rPr>
        <w:t xml:space="preserve"> appropriate comparator.</w:t>
      </w:r>
    </w:p>
    <w:p w:rsidR="009B0180" w:rsidRPr="00CF3D88" w:rsidRDefault="009B0180" w:rsidP="00661A59">
      <w:pPr>
        <w:rPr>
          <w:bCs/>
          <w:szCs w:val="22"/>
        </w:rPr>
      </w:pPr>
    </w:p>
    <w:p w:rsidR="00765B96" w:rsidRPr="00CF3D88" w:rsidRDefault="00E909A8" w:rsidP="00192790">
      <w:pPr>
        <w:pStyle w:val="ListParagraph"/>
        <w:numPr>
          <w:ilvl w:val="1"/>
          <w:numId w:val="2"/>
        </w:numPr>
      </w:pPr>
      <w:r>
        <w:t>The PBAC noted that the PSCR (p</w:t>
      </w:r>
      <w:r w:rsidR="00192790" w:rsidRPr="00CF3D88">
        <w:t>5) presented revised overall survival and progression free survival analyses. Overall survival was revised by removing the censoring for patients who started subsequent therapies</w:t>
      </w:r>
      <w:r w:rsidR="007A217E" w:rsidRPr="00CF3D88">
        <w:t xml:space="preserve">, while the revised analysis for progression free survival </w:t>
      </w:r>
      <w:r w:rsidR="00192790" w:rsidRPr="00CF3D88">
        <w:t xml:space="preserve">was based on British Columbia patients plus the full revised Kaloyannidis datasets (i.e. including the 25 patients whose dates of relapsed were identified in the PSCR). </w:t>
      </w:r>
      <w:r w:rsidR="00765B96" w:rsidRPr="00CF3D88">
        <w:t>The PBAC considered that this was reasonable.</w:t>
      </w:r>
    </w:p>
    <w:p w:rsidR="00765B96" w:rsidRPr="00CF3D88" w:rsidRDefault="00765B96" w:rsidP="00765B96">
      <w:pPr>
        <w:pStyle w:val="ListParagraph"/>
      </w:pPr>
    </w:p>
    <w:p w:rsidR="00185B38" w:rsidRPr="00CF3D88" w:rsidRDefault="00185B38" w:rsidP="00185B38">
      <w:pPr>
        <w:numPr>
          <w:ilvl w:val="1"/>
          <w:numId w:val="2"/>
        </w:numPr>
        <w:contextualSpacing/>
      </w:pPr>
      <w:r w:rsidRPr="00CF3D88">
        <w:t xml:space="preserve">The PBAC noted that compared to the previous submission, additional data were provided from the long-term follow-up of the placebo group of the AETHERA trial who received either brentuximab vedotin or salvage chemotherapy after relapse. This appeared to be unblinded, prospective, post hoc data in which clinicians and patients could choose the treatment. The PBAC acknowledged the statement in the PSCR (p1) regarding the value of the AETHERA data in providing additional efficacy data for the comparison, but also </w:t>
      </w:r>
      <w:r w:rsidR="007A1B5E" w:rsidRPr="00CF3D88">
        <w:t>considered</w:t>
      </w:r>
      <w:r w:rsidRPr="00CF3D88">
        <w:t xml:space="preserve"> that:</w:t>
      </w:r>
    </w:p>
    <w:p w:rsidR="00185B38" w:rsidRPr="00F454D9" w:rsidRDefault="00185B38" w:rsidP="00D232C6">
      <w:pPr>
        <w:widowControl/>
        <w:numPr>
          <w:ilvl w:val="0"/>
          <w:numId w:val="5"/>
        </w:numPr>
        <w:ind w:left="993" w:hanging="284"/>
        <w:rPr>
          <w:szCs w:val="22"/>
        </w:rPr>
      </w:pPr>
      <w:proofErr w:type="gramStart"/>
      <w:r w:rsidRPr="00F454D9">
        <w:rPr>
          <w:szCs w:val="22"/>
        </w:rPr>
        <w:t>the</w:t>
      </w:r>
      <w:proofErr w:type="gramEnd"/>
      <w:r w:rsidRPr="00F454D9">
        <w:rPr>
          <w:szCs w:val="22"/>
        </w:rPr>
        <w:t xml:space="preserve"> AETHERA study included patients who were older and more heavily pre-treated but with less refractory disease than patients in the other studies. Thus, including AETHERA in the naïve comparison introduced additional heterogeneity. The overall impact of this was difficult to determine, particularly as AETHERA contributed significantly more patients to the brentuximab vedotin group than the salvage chemotherapy group in the naïve comparison (</w:t>
      </w:r>
      <w:r w:rsidR="00526F5C">
        <w:rPr>
          <w:noProof/>
          <w:color w:val="000000"/>
          <w:szCs w:val="22"/>
          <w:highlight w:val="black"/>
        </w:rPr>
        <w:t>''''''</w:t>
      </w:r>
      <w:r w:rsidRPr="00F454D9">
        <w:rPr>
          <w:szCs w:val="22"/>
        </w:rPr>
        <w:t xml:space="preserve">% of all patients in the brentuximab vedotin group versus </w:t>
      </w:r>
      <w:r w:rsidR="00526F5C">
        <w:rPr>
          <w:noProof/>
          <w:color w:val="000000"/>
          <w:szCs w:val="22"/>
          <w:highlight w:val="black"/>
        </w:rPr>
        <w:t>'''</w:t>
      </w:r>
      <w:r w:rsidR="00116484">
        <w:rPr>
          <w:szCs w:val="22"/>
        </w:rPr>
        <w:t>% for salvage chemotherapy).</w:t>
      </w:r>
    </w:p>
    <w:p w:rsidR="00185B38" w:rsidRPr="00F454D9" w:rsidRDefault="00185B38" w:rsidP="00D232C6">
      <w:pPr>
        <w:widowControl/>
        <w:numPr>
          <w:ilvl w:val="0"/>
          <w:numId w:val="5"/>
        </w:numPr>
        <w:ind w:left="993" w:hanging="284"/>
        <w:rPr>
          <w:szCs w:val="22"/>
        </w:rPr>
      </w:pPr>
      <w:proofErr w:type="gramStart"/>
      <w:r w:rsidRPr="00F454D9">
        <w:rPr>
          <w:szCs w:val="22"/>
        </w:rPr>
        <w:lastRenderedPageBreak/>
        <w:t>the</w:t>
      </w:r>
      <w:proofErr w:type="gramEnd"/>
      <w:r w:rsidRPr="00F454D9">
        <w:rPr>
          <w:szCs w:val="22"/>
        </w:rPr>
        <w:t xml:space="preserve"> resubmission did not discuss the applicability of the AETHERA follow-up data to the proposed PBS population context.</w:t>
      </w:r>
    </w:p>
    <w:p w:rsidR="00185B38" w:rsidRPr="00CF3D88" w:rsidRDefault="00185B38" w:rsidP="00185B38">
      <w:pPr>
        <w:ind w:left="1080"/>
        <w:contextualSpacing/>
      </w:pPr>
    </w:p>
    <w:p w:rsidR="000230B0" w:rsidRPr="00CF3D88" w:rsidRDefault="00185B38" w:rsidP="00765B96">
      <w:pPr>
        <w:numPr>
          <w:ilvl w:val="1"/>
          <w:numId w:val="2"/>
        </w:numPr>
        <w:contextualSpacing/>
      </w:pPr>
      <w:r w:rsidRPr="00CF3D88">
        <w:t>The PBAC considered that brentuximab vedotin was an effective treatment in the post-ASCT population, and its claim of superior efficacy over salvage chemotherapy was reasonable</w:t>
      </w:r>
      <w:r w:rsidR="00BE6E31" w:rsidRPr="00CF3D88">
        <w:t>. However,</w:t>
      </w:r>
      <w:r w:rsidRPr="00CF3D88">
        <w:t xml:space="preserve"> the magnitude of the comparative benefit was difficult to determine from the data provided in the resubmission.</w:t>
      </w:r>
    </w:p>
    <w:p w:rsidR="00A05896" w:rsidRPr="00CF3D88" w:rsidRDefault="00A05896" w:rsidP="00A05896">
      <w:pPr>
        <w:rPr>
          <w:bCs/>
          <w:szCs w:val="22"/>
        </w:rPr>
      </w:pPr>
    </w:p>
    <w:p w:rsidR="009B0180" w:rsidRPr="00CF3D88" w:rsidRDefault="009B0180" w:rsidP="009B0180">
      <w:pPr>
        <w:numPr>
          <w:ilvl w:val="1"/>
          <w:numId w:val="2"/>
        </w:numPr>
        <w:contextualSpacing/>
        <w:rPr>
          <w:bCs/>
          <w:szCs w:val="22"/>
        </w:rPr>
      </w:pPr>
      <w:r w:rsidRPr="00CF3D88">
        <w:rPr>
          <w:bCs/>
          <w:szCs w:val="22"/>
        </w:rPr>
        <w:t xml:space="preserve">The PBAC considered that brentuximab vedotin is less toxic than salvage chemotherapy, </w:t>
      </w:r>
      <w:r w:rsidR="0062157A" w:rsidRPr="00CF3D88">
        <w:rPr>
          <w:bCs/>
          <w:szCs w:val="22"/>
        </w:rPr>
        <w:t>but noted that neurotoxicity can develop after longer exposure.</w:t>
      </w:r>
    </w:p>
    <w:p w:rsidR="009B0180" w:rsidRPr="00CF3D88" w:rsidRDefault="009B0180" w:rsidP="00661A59">
      <w:pPr>
        <w:rPr>
          <w:bCs/>
          <w:szCs w:val="22"/>
        </w:rPr>
      </w:pPr>
    </w:p>
    <w:p w:rsidR="00A05896" w:rsidRPr="00CF3D88" w:rsidRDefault="00A05896" w:rsidP="00A05896">
      <w:pPr>
        <w:numPr>
          <w:ilvl w:val="1"/>
          <w:numId w:val="2"/>
        </w:numPr>
        <w:contextualSpacing/>
        <w:rPr>
          <w:bCs/>
          <w:szCs w:val="22"/>
        </w:rPr>
      </w:pPr>
      <w:r w:rsidRPr="00CF3D88">
        <w:rPr>
          <w:bCs/>
          <w:szCs w:val="22"/>
        </w:rPr>
        <w:t xml:space="preserve">The PBAC noted that a 13-year time horizon was used in the economic model in the resubmission, contrary to the PBAC’s previous request for a model with an eight-year time horizon </w:t>
      </w:r>
      <w:r w:rsidRPr="00CF3D88">
        <w:rPr>
          <w:bCs/>
        </w:rPr>
        <w:t>(paragraph 7.14, brentuximab vedotin Public Summary Document, March 2015 PBAC meeting)</w:t>
      </w:r>
      <w:r w:rsidRPr="00CF3D88">
        <w:rPr>
          <w:bCs/>
          <w:szCs w:val="22"/>
        </w:rPr>
        <w:t>. The PBAC noted the arguments provided in the PSCR (p4) around the time horizon of the model, and considered that the difference in the time horizon did not impact the ICER significantly.</w:t>
      </w:r>
    </w:p>
    <w:p w:rsidR="00A05896" w:rsidRPr="00CF3D88" w:rsidRDefault="00A05896" w:rsidP="00A05896">
      <w:pPr>
        <w:ind w:left="720"/>
        <w:contextualSpacing/>
        <w:rPr>
          <w:bCs/>
          <w:szCs w:val="22"/>
        </w:rPr>
      </w:pPr>
    </w:p>
    <w:p w:rsidR="00192790" w:rsidRPr="00CF3D88" w:rsidRDefault="009B0180" w:rsidP="00192790">
      <w:pPr>
        <w:numPr>
          <w:ilvl w:val="1"/>
          <w:numId w:val="2"/>
        </w:numPr>
        <w:contextualSpacing/>
        <w:rPr>
          <w:bCs/>
          <w:szCs w:val="22"/>
        </w:rPr>
      </w:pPr>
      <w:r w:rsidRPr="00CF3D88">
        <w:rPr>
          <w:bCs/>
          <w:szCs w:val="22"/>
        </w:rPr>
        <w:t>The PBAC note</w:t>
      </w:r>
      <w:r w:rsidR="00E909A8">
        <w:rPr>
          <w:bCs/>
          <w:szCs w:val="22"/>
        </w:rPr>
        <w:t>d that the Pre-PBAC Response (p</w:t>
      </w:r>
      <w:r w:rsidRPr="00CF3D88">
        <w:rPr>
          <w:bCs/>
          <w:szCs w:val="22"/>
        </w:rPr>
        <w:t>1) offered a revised price of $</w:t>
      </w:r>
      <w:r w:rsidR="00526F5C">
        <w:rPr>
          <w:bCs/>
          <w:noProof/>
          <w:color w:val="000000"/>
          <w:szCs w:val="22"/>
          <w:highlight w:val="black"/>
        </w:rPr>
        <w:t>''''''''''''</w:t>
      </w:r>
      <w:r w:rsidRPr="00CF3D88">
        <w:rPr>
          <w:bCs/>
          <w:szCs w:val="22"/>
        </w:rPr>
        <w:t xml:space="preserve"> per vial (formerly $</w:t>
      </w:r>
      <w:r w:rsidR="00526F5C">
        <w:rPr>
          <w:bCs/>
          <w:noProof/>
          <w:color w:val="000000"/>
          <w:szCs w:val="22"/>
          <w:highlight w:val="black"/>
        </w:rPr>
        <w:t>'''''''''''''</w:t>
      </w:r>
      <w:r w:rsidRPr="00CF3D88">
        <w:rPr>
          <w:bCs/>
          <w:szCs w:val="22"/>
        </w:rPr>
        <w:t xml:space="preserve"> per vial)</w:t>
      </w:r>
      <w:r w:rsidR="00661A59" w:rsidRPr="00CF3D88">
        <w:rPr>
          <w:bCs/>
          <w:szCs w:val="22"/>
        </w:rPr>
        <w:t>.</w:t>
      </w:r>
    </w:p>
    <w:p w:rsidR="00192790" w:rsidRPr="00CF3D88" w:rsidRDefault="00192790" w:rsidP="00192790">
      <w:pPr>
        <w:pStyle w:val="ListParagraph"/>
        <w:rPr>
          <w:bCs/>
          <w:szCs w:val="22"/>
        </w:rPr>
      </w:pPr>
    </w:p>
    <w:p w:rsidR="009B0180" w:rsidRPr="00CF3D88" w:rsidRDefault="00E909A8" w:rsidP="00192790">
      <w:pPr>
        <w:numPr>
          <w:ilvl w:val="1"/>
          <w:numId w:val="2"/>
        </w:numPr>
        <w:contextualSpacing/>
        <w:rPr>
          <w:bCs/>
          <w:szCs w:val="22"/>
        </w:rPr>
      </w:pPr>
      <w:r>
        <w:rPr>
          <w:bCs/>
          <w:szCs w:val="22"/>
        </w:rPr>
        <w:t>The PBAC noted that the PSCR (p</w:t>
      </w:r>
      <w:r w:rsidR="00192790" w:rsidRPr="00CF3D88">
        <w:rPr>
          <w:bCs/>
          <w:szCs w:val="22"/>
        </w:rPr>
        <w:t>4) presented an updated base case to account for the revised censoring of overall survival, the additional 25 patients from the Kaloyannidis dataset for whom PFS data was located, updated costs, and corrected disutilities associated with adverse events (AEs). The PBAC further noted that the revised price presented in the</w:t>
      </w:r>
      <w:r>
        <w:rPr>
          <w:bCs/>
          <w:szCs w:val="22"/>
        </w:rPr>
        <w:t xml:space="preserve"> sponsor’s Pre-PBAC response (p</w:t>
      </w:r>
      <w:r w:rsidR="00192790" w:rsidRPr="00CF3D88">
        <w:rPr>
          <w:bCs/>
          <w:szCs w:val="22"/>
        </w:rPr>
        <w:t>1) reduced the ICER to $</w:t>
      </w:r>
      <w:r w:rsidR="00D232C6">
        <w:rPr>
          <w:bCs/>
          <w:szCs w:val="22"/>
        </w:rPr>
        <w:t>45,000 – 75,000</w:t>
      </w:r>
      <w:r w:rsidR="00192790" w:rsidRPr="00CF3D88">
        <w:rPr>
          <w:bCs/>
          <w:szCs w:val="22"/>
        </w:rPr>
        <w:t>/QALY. This was consistent with the PBAC’s previous advice, where it considered that an ICER in the range of $50,000 to $60,000/QALY would</w:t>
      </w:r>
      <w:r w:rsidR="00BE6E31" w:rsidRPr="00CF3D88">
        <w:rPr>
          <w:bCs/>
          <w:szCs w:val="22"/>
        </w:rPr>
        <w:t xml:space="preserve"> be acceptably</w:t>
      </w:r>
      <w:r w:rsidR="00192790" w:rsidRPr="00CF3D88">
        <w:rPr>
          <w:bCs/>
          <w:szCs w:val="22"/>
        </w:rPr>
        <w:t xml:space="preserve"> cost-effective (</w:t>
      </w:r>
      <w:r w:rsidR="00192790" w:rsidRPr="00CF3D88">
        <w:rPr>
          <w:bCs/>
        </w:rPr>
        <w:t xml:space="preserve">paragraph 7.14, brentuximab vedotin Public Summary Document, March 2015 PBAC meeting). </w:t>
      </w:r>
      <w:r w:rsidR="00192790" w:rsidRPr="00CF3D88">
        <w:rPr>
          <w:bCs/>
          <w:szCs w:val="22"/>
        </w:rPr>
        <w:t>The PBAC considered that brentuximab vedotin was t</w:t>
      </w:r>
      <w:r w:rsidR="00A05896" w:rsidRPr="00CF3D88">
        <w:rPr>
          <w:bCs/>
          <w:szCs w:val="22"/>
        </w:rPr>
        <w:t xml:space="preserve">herefore cost-effective at the proposed </w:t>
      </w:r>
      <w:r w:rsidR="00192790" w:rsidRPr="00CF3D88">
        <w:rPr>
          <w:bCs/>
          <w:szCs w:val="22"/>
        </w:rPr>
        <w:t>price</w:t>
      </w:r>
      <w:r w:rsidR="007A217E" w:rsidRPr="00CF3D88">
        <w:rPr>
          <w:bCs/>
          <w:szCs w:val="22"/>
        </w:rPr>
        <w:t>, for the treatment of HL patients with relapsed disease post ASCT.</w:t>
      </w:r>
    </w:p>
    <w:p w:rsidR="009B0180" w:rsidRPr="00CF3D88" w:rsidRDefault="009B0180" w:rsidP="009B0180">
      <w:pPr>
        <w:contextualSpacing/>
        <w:rPr>
          <w:bCs/>
          <w:szCs w:val="22"/>
        </w:rPr>
      </w:pPr>
    </w:p>
    <w:p w:rsidR="00AA1EC0" w:rsidRPr="00CF3D88" w:rsidRDefault="009B0180" w:rsidP="009B0180">
      <w:pPr>
        <w:numPr>
          <w:ilvl w:val="1"/>
          <w:numId w:val="2"/>
        </w:numPr>
        <w:contextualSpacing/>
        <w:rPr>
          <w:bCs/>
          <w:szCs w:val="22"/>
        </w:rPr>
      </w:pPr>
      <w:r w:rsidRPr="00CF3D88">
        <w:rPr>
          <w:bCs/>
          <w:szCs w:val="22"/>
        </w:rPr>
        <w:t xml:space="preserve">The PBAC </w:t>
      </w:r>
      <w:r w:rsidR="000C1323">
        <w:rPr>
          <w:bCs/>
          <w:szCs w:val="22"/>
        </w:rPr>
        <w:t>recommended</w:t>
      </w:r>
      <w:r w:rsidRPr="00CF3D88">
        <w:rPr>
          <w:bCs/>
          <w:szCs w:val="22"/>
        </w:rPr>
        <w:t xml:space="preserve"> a </w:t>
      </w:r>
      <w:r w:rsidR="00F454D9">
        <w:rPr>
          <w:bCs/>
          <w:szCs w:val="22"/>
        </w:rPr>
        <w:t>R</w:t>
      </w:r>
      <w:r w:rsidR="00F454D9" w:rsidRPr="00CF3D88">
        <w:rPr>
          <w:bCs/>
          <w:szCs w:val="22"/>
        </w:rPr>
        <w:t>isk</w:t>
      </w:r>
      <w:r w:rsidR="00F454D9">
        <w:rPr>
          <w:bCs/>
          <w:szCs w:val="22"/>
        </w:rPr>
        <w:t xml:space="preserve"> S</w:t>
      </w:r>
      <w:r w:rsidRPr="00CF3D88">
        <w:rPr>
          <w:bCs/>
          <w:szCs w:val="22"/>
        </w:rPr>
        <w:t xml:space="preserve">hare </w:t>
      </w:r>
      <w:r w:rsidR="00F454D9">
        <w:rPr>
          <w:bCs/>
          <w:szCs w:val="22"/>
        </w:rPr>
        <w:t>A</w:t>
      </w:r>
      <w:r w:rsidR="00F454D9" w:rsidRPr="00CF3D88">
        <w:rPr>
          <w:bCs/>
          <w:szCs w:val="22"/>
        </w:rPr>
        <w:t xml:space="preserve">rrangement </w:t>
      </w:r>
      <w:r w:rsidRPr="00CF3D88">
        <w:rPr>
          <w:bCs/>
          <w:szCs w:val="22"/>
        </w:rPr>
        <w:t xml:space="preserve">with </w:t>
      </w:r>
      <w:r w:rsidR="000C1323">
        <w:rPr>
          <w:bCs/>
          <w:szCs w:val="22"/>
        </w:rPr>
        <w:t xml:space="preserve">a </w:t>
      </w:r>
      <w:r w:rsidRPr="00CF3D88">
        <w:rPr>
          <w:bCs/>
          <w:szCs w:val="22"/>
        </w:rPr>
        <w:t xml:space="preserve">subsidisation cap, and advised that the caps should be </w:t>
      </w:r>
      <w:r w:rsidR="00DC3909">
        <w:rPr>
          <w:bCs/>
          <w:szCs w:val="22"/>
        </w:rPr>
        <w:t>based</w:t>
      </w:r>
      <w:r w:rsidR="000C1323">
        <w:rPr>
          <w:bCs/>
          <w:szCs w:val="22"/>
        </w:rPr>
        <w:t xml:space="preserve"> on recalculated financial estimates to</w:t>
      </w:r>
      <w:r w:rsidRPr="00CF3D88">
        <w:rPr>
          <w:bCs/>
          <w:szCs w:val="22"/>
        </w:rPr>
        <w:t xml:space="preserve"> reflect the</w:t>
      </w:r>
      <w:r w:rsidR="000C1323">
        <w:rPr>
          <w:bCs/>
          <w:szCs w:val="22"/>
        </w:rPr>
        <w:t xml:space="preserve"> Committee’s recommendation and the</w:t>
      </w:r>
      <w:r w:rsidRPr="00CF3D88">
        <w:rPr>
          <w:bCs/>
          <w:szCs w:val="22"/>
        </w:rPr>
        <w:t xml:space="preserve"> revised price per vial </w:t>
      </w:r>
      <w:r w:rsidR="00E86F8F" w:rsidRPr="00CF3D88">
        <w:rPr>
          <w:bCs/>
          <w:szCs w:val="22"/>
        </w:rPr>
        <w:t>proposed in the sponsor’s Pre-PBAC response</w:t>
      </w:r>
      <w:r w:rsidRPr="00CF3D88">
        <w:rPr>
          <w:bCs/>
          <w:szCs w:val="22"/>
        </w:rPr>
        <w:t>.</w:t>
      </w:r>
      <w:r w:rsidR="00895C5D">
        <w:rPr>
          <w:bCs/>
          <w:szCs w:val="22"/>
        </w:rPr>
        <w:t xml:space="preserve"> The Committee also noted that the cost of brentuximab beyond each cap should be reduced further in order to appropriately manage the risk to the Commonwealth.</w:t>
      </w:r>
    </w:p>
    <w:p w:rsidR="009B0180" w:rsidRPr="00CF3D88" w:rsidRDefault="009B0180" w:rsidP="009B0180">
      <w:pPr>
        <w:contextualSpacing/>
        <w:rPr>
          <w:bCs/>
          <w:szCs w:val="22"/>
        </w:rPr>
      </w:pPr>
    </w:p>
    <w:p w:rsidR="00E86F8F" w:rsidRPr="00CF3D88" w:rsidRDefault="00E86F8F" w:rsidP="003B4D54">
      <w:pPr>
        <w:numPr>
          <w:ilvl w:val="1"/>
          <w:numId w:val="2"/>
        </w:numPr>
        <w:rPr>
          <w:bCs/>
        </w:rPr>
      </w:pPr>
      <w:r w:rsidRPr="00CF3D88">
        <w:rPr>
          <w:bCs/>
        </w:rPr>
        <w:t xml:space="preserve">The PBAC </w:t>
      </w:r>
      <w:r w:rsidR="003B4D54" w:rsidRPr="00CF3D88">
        <w:rPr>
          <w:bCs/>
        </w:rPr>
        <w:t xml:space="preserve">noted that the resubmission used an epidemiological approach </w:t>
      </w:r>
      <w:r w:rsidR="00BE6E31" w:rsidRPr="00CF3D88">
        <w:rPr>
          <w:bCs/>
        </w:rPr>
        <w:t xml:space="preserve">to </w:t>
      </w:r>
      <w:r w:rsidR="003B4D54" w:rsidRPr="00CF3D88">
        <w:rPr>
          <w:bCs/>
        </w:rPr>
        <w:t>forecast the number of eligible patients</w:t>
      </w:r>
      <w:r w:rsidR="007A217E" w:rsidRPr="00CF3D88">
        <w:rPr>
          <w:bCs/>
        </w:rPr>
        <w:t xml:space="preserve"> by</w:t>
      </w:r>
      <w:r w:rsidR="003B4D54" w:rsidRPr="00CF3D88">
        <w:rPr>
          <w:bCs/>
        </w:rPr>
        <w:t xml:space="preserve"> using the number of ASCTs conducted in Australia for Hodgkin lymphoma. The PBAC further </w:t>
      </w:r>
      <w:r w:rsidRPr="00CF3D88">
        <w:rPr>
          <w:bCs/>
        </w:rPr>
        <w:t xml:space="preserve">noted that the uptake rate of brentuximab vedotin was updated from </w:t>
      </w:r>
      <w:r w:rsidRPr="00B7208E">
        <w:rPr>
          <w:bCs/>
        </w:rPr>
        <w:t>80</w:t>
      </w:r>
      <w:r w:rsidRPr="00CF3D88">
        <w:rPr>
          <w:bCs/>
        </w:rPr>
        <w:t xml:space="preserve">% to </w:t>
      </w:r>
      <w:r w:rsidRPr="00B7208E">
        <w:rPr>
          <w:bCs/>
        </w:rPr>
        <w:t>90</w:t>
      </w:r>
      <w:r w:rsidRPr="00CF3D88">
        <w:rPr>
          <w:bCs/>
        </w:rPr>
        <w:t>%</w:t>
      </w:r>
      <w:r w:rsidR="007A1B5E" w:rsidRPr="00CF3D88">
        <w:rPr>
          <w:bCs/>
        </w:rPr>
        <w:t>,</w:t>
      </w:r>
      <w:r w:rsidRPr="00CF3D88">
        <w:rPr>
          <w:bCs/>
        </w:rPr>
        <w:t xml:space="preserve"> following its previous advice (paragraph 7.13, brentuximab vedotin Public </w:t>
      </w:r>
      <w:r w:rsidR="003B4D54" w:rsidRPr="00CF3D88">
        <w:rPr>
          <w:bCs/>
        </w:rPr>
        <w:t>S</w:t>
      </w:r>
      <w:r w:rsidRPr="00CF3D88">
        <w:rPr>
          <w:bCs/>
        </w:rPr>
        <w:t>ummary Document, March 2015 PBAC meeting).</w:t>
      </w:r>
      <w:r w:rsidR="003B4D54" w:rsidRPr="00CF3D88">
        <w:rPr>
          <w:bCs/>
        </w:rPr>
        <w:t xml:space="preserve">The PBAC considered that while this approach was reasonable, the utilisation of brentuximab vedotin in the proposed line of therapy could be affected by uncertainties in the number of future ASCTs, particularly with more </w:t>
      </w:r>
      <w:r w:rsidR="00765B96" w:rsidRPr="00CF3D88">
        <w:rPr>
          <w:bCs/>
        </w:rPr>
        <w:t xml:space="preserve">effective </w:t>
      </w:r>
      <w:r w:rsidR="003B4D54" w:rsidRPr="00CF3D88">
        <w:rPr>
          <w:bCs/>
        </w:rPr>
        <w:t>earlier line therapies including brentuximab vedotin</w:t>
      </w:r>
      <w:r w:rsidR="007A217E" w:rsidRPr="00CF3D88">
        <w:rPr>
          <w:bCs/>
        </w:rPr>
        <w:t>,</w:t>
      </w:r>
      <w:r w:rsidR="00C66CB5" w:rsidRPr="00CF3D88">
        <w:rPr>
          <w:bCs/>
        </w:rPr>
        <w:t xml:space="preserve"> </w:t>
      </w:r>
      <w:r w:rsidR="00765B96" w:rsidRPr="00CF3D88">
        <w:rPr>
          <w:bCs/>
        </w:rPr>
        <w:t>in the</w:t>
      </w:r>
      <w:r w:rsidR="00C66CB5" w:rsidRPr="00CF3D88">
        <w:rPr>
          <w:bCs/>
        </w:rPr>
        <w:t xml:space="preserve"> ASCT naïve </w:t>
      </w:r>
      <w:r w:rsidR="00765B96" w:rsidRPr="00CF3D88">
        <w:rPr>
          <w:bCs/>
        </w:rPr>
        <w:t>setting</w:t>
      </w:r>
      <w:r w:rsidR="003B4D54" w:rsidRPr="00CF3D88">
        <w:rPr>
          <w:bCs/>
        </w:rPr>
        <w:t>.</w:t>
      </w:r>
    </w:p>
    <w:p w:rsidR="00E86F8F" w:rsidRPr="00CF3D88" w:rsidRDefault="00E86F8F" w:rsidP="00E86F8F">
      <w:pPr>
        <w:pStyle w:val="ListParagraph"/>
        <w:rPr>
          <w:bCs/>
        </w:rPr>
      </w:pPr>
    </w:p>
    <w:p w:rsidR="009B0180" w:rsidRPr="00CF3D88" w:rsidRDefault="009B0180" w:rsidP="009B0180">
      <w:pPr>
        <w:numPr>
          <w:ilvl w:val="1"/>
          <w:numId w:val="2"/>
        </w:numPr>
        <w:rPr>
          <w:bCs/>
        </w:rPr>
      </w:pPr>
      <w:r w:rsidRPr="00CF3D88">
        <w:rPr>
          <w:bCs/>
        </w:rPr>
        <w:t xml:space="preserve">The PBAC recommended that brentuximab vedotin should not be treated as </w:t>
      </w:r>
      <w:r w:rsidRPr="00CF3D88">
        <w:rPr>
          <w:bCs/>
        </w:rPr>
        <w:lastRenderedPageBreak/>
        <w:t>interchangeable with any other drugs.</w:t>
      </w:r>
    </w:p>
    <w:p w:rsidR="009B0180" w:rsidRPr="00CF3D88" w:rsidRDefault="009B0180" w:rsidP="009B0180">
      <w:pPr>
        <w:rPr>
          <w:bCs/>
        </w:rPr>
      </w:pPr>
    </w:p>
    <w:p w:rsidR="009B0180" w:rsidRPr="00CF3D88" w:rsidRDefault="009B0180" w:rsidP="009B0180">
      <w:pPr>
        <w:numPr>
          <w:ilvl w:val="1"/>
          <w:numId w:val="2"/>
        </w:numPr>
        <w:rPr>
          <w:bCs/>
        </w:rPr>
      </w:pPr>
      <w:r w:rsidRPr="00CF3D88">
        <w:rPr>
          <w:szCs w:val="22"/>
        </w:rPr>
        <w:t>The PBAC advised that brentuximab vedotin was not suitable for prescribing by nurse practitioners.</w:t>
      </w:r>
    </w:p>
    <w:p w:rsidR="009B0180" w:rsidRPr="00CF3D88" w:rsidRDefault="009B0180" w:rsidP="009B0180">
      <w:pPr>
        <w:rPr>
          <w:bCs/>
        </w:rPr>
      </w:pPr>
    </w:p>
    <w:p w:rsidR="009B0180" w:rsidRPr="00CF3D88" w:rsidRDefault="009B0180" w:rsidP="009B0180">
      <w:pPr>
        <w:numPr>
          <w:ilvl w:val="1"/>
          <w:numId w:val="2"/>
        </w:numPr>
        <w:rPr>
          <w:bCs/>
        </w:rPr>
      </w:pPr>
      <w:r w:rsidRPr="00CF3D88">
        <w:rPr>
          <w:bCs/>
        </w:rPr>
        <w:t>The PBAC noted that the Early Supply Rule does not currently apply to Section 100 (Efficient Fun</w:t>
      </w:r>
      <w:r w:rsidR="00116484">
        <w:rPr>
          <w:bCs/>
        </w:rPr>
        <w:t>ding of Chemotherapy) listings.</w:t>
      </w:r>
    </w:p>
    <w:p w:rsidR="009B0180" w:rsidRPr="00CF3D88" w:rsidRDefault="009B0180" w:rsidP="009B0180">
      <w:pPr>
        <w:ind w:left="720"/>
        <w:rPr>
          <w:bCs/>
        </w:rPr>
      </w:pPr>
    </w:p>
    <w:p w:rsidR="009B0180" w:rsidRPr="00CF3D88" w:rsidRDefault="009B0180" w:rsidP="009B0180">
      <w:pPr>
        <w:numPr>
          <w:ilvl w:val="1"/>
          <w:numId w:val="2"/>
        </w:numPr>
        <w:rPr>
          <w:bCs/>
        </w:rPr>
      </w:pPr>
      <w:r w:rsidRPr="00CF3D88">
        <w:rPr>
          <w:bCs/>
        </w:rPr>
        <w:t>The PBAC noted that this submission is not eligible for an Independent Revie</w:t>
      </w:r>
      <w:r w:rsidR="00E86F8F" w:rsidRPr="00CF3D88">
        <w:rPr>
          <w:bCs/>
        </w:rPr>
        <w:t>w because the PBAC has made a positive</w:t>
      </w:r>
      <w:r w:rsidRPr="00CF3D88">
        <w:rPr>
          <w:bCs/>
        </w:rPr>
        <w:t xml:space="preserve"> recommendation.</w:t>
      </w:r>
    </w:p>
    <w:p w:rsidR="009B0180" w:rsidRPr="00CF3D88" w:rsidRDefault="009B0180" w:rsidP="009B0180">
      <w:pPr>
        <w:ind w:left="720"/>
        <w:contextualSpacing/>
        <w:rPr>
          <w:bCs/>
          <w:i/>
          <w:szCs w:val="22"/>
        </w:rPr>
      </w:pPr>
    </w:p>
    <w:p w:rsidR="009B0180" w:rsidRPr="00CF3D88" w:rsidRDefault="009B0180" w:rsidP="009B0180">
      <w:pPr>
        <w:rPr>
          <w:b/>
          <w:bCs/>
          <w:szCs w:val="22"/>
        </w:rPr>
      </w:pPr>
    </w:p>
    <w:p w:rsidR="009B0180" w:rsidRPr="00CF3D88" w:rsidRDefault="009B0180" w:rsidP="009B0180">
      <w:pPr>
        <w:rPr>
          <w:b/>
          <w:bCs/>
          <w:szCs w:val="22"/>
        </w:rPr>
      </w:pPr>
      <w:r w:rsidRPr="00CF3D88">
        <w:rPr>
          <w:b/>
          <w:bCs/>
          <w:szCs w:val="22"/>
        </w:rPr>
        <w:t>Outcome:</w:t>
      </w:r>
    </w:p>
    <w:p w:rsidR="009B0180" w:rsidRPr="00CF3D88" w:rsidRDefault="009B0180" w:rsidP="009B0180">
      <w:pPr>
        <w:rPr>
          <w:bCs/>
          <w:szCs w:val="22"/>
        </w:rPr>
      </w:pPr>
      <w:r w:rsidRPr="00CF3D88">
        <w:rPr>
          <w:bCs/>
          <w:szCs w:val="22"/>
        </w:rPr>
        <w:t>Recommended</w:t>
      </w:r>
    </w:p>
    <w:p w:rsidR="009B0180" w:rsidRPr="00CF3D88" w:rsidRDefault="009B0180" w:rsidP="009B0180">
      <w:pPr>
        <w:rPr>
          <w:bCs/>
          <w:szCs w:val="22"/>
        </w:rPr>
      </w:pPr>
    </w:p>
    <w:p w:rsidR="009B0180" w:rsidRPr="00CF3D88" w:rsidRDefault="009B0180" w:rsidP="009B0180">
      <w:pPr>
        <w:rPr>
          <w:bCs/>
          <w:szCs w:val="22"/>
          <w:highlight w:val="yellow"/>
        </w:rPr>
      </w:pPr>
    </w:p>
    <w:p w:rsidR="009B0180" w:rsidRPr="00CF3D88" w:rsidRDefault="009B0180" w:rsidP="00D45673">
      <w:pPr>
        <w:pStyle w:val="PBACHeading1"/>
        <w:rPr>
          <w:b w:val="0"/>
          <w:bCs/>
          <w:i/>
        </w:rPr>
      </w:pPr>
      <w:r w:rsidRPr="00CF3D88">
        <w:rPr>
          <w:bCs/>
        </w:rPr>
        <w:t>Recommended listing</w:t>
      </w:r>
    </w:p>
    <w:p w:rsidR="009B0180" w:rsidRPr="00CF3D88" w:rsidRDefault="009B0180" w:rsidP="009B0180">
      <w:pPr>
        <w:rPr>
          <w:b/>
          <w:bCs/>
          <w:i/>
          <w:szCs w:val="22"/>
        </w:rPr>
      </w:pPr>
    </w:p>
    <w:p w:rsidR="009B0180" w:rsidRPr="00CF3D88" w:rsidRDefault="009B0180" w:rsidP="009B0180">
      <w:pPr>
        <w:numPr>
          <w:ilvl w:val="1"/>
          <w:numId w:val="2"/>
        </w:numPr>
        <w:contextualSpacing/>
        <w:rPr>
          <w:bCs/>
          <w:szCs w:val="22"/>
        </w:rPr>
      </w:pPr>
      <w:r w:rsidRPr="00CF3D88">
        <w:rPr>
          <w:bCs/>
          <w:szCs w:val="22"/>
        </w:rPr>
        <w:t>Add new item:</w:t>
      </w:r>
    </w:p>
    <w:p w:rsidR="00DE1444" w:rsidRPr="00CF3D88" w:rsidRDefault="00DE1444" w:rsidP="001F129F"/>
    <w:p w:rsidR="00B7208E" w:rsidRPr="00CF3D88" w:rsidRDefault="00B7208E" w:rsidP="00B7208E"/>
    <w:tbl>
      <w:tblPr>
        <w:tblW w:w="8368" w:type="dxa"/>
        <w:tblInd w:w="108" w:type="dxa"/>
        <w:tblLayout w:type="fixed"/>
        <w:tblLook w:val="0000" w:firstRow="0" w:lastRow="0" w:firstColumn="0" w:lastColumn="0" w:noHBand="0" w:noVBand="0"/>
      </w:tblPr>
      <w:tblGrid>
        <w:gridCol w:w="2698"/>
        <w:gridCol w:w="137"/>
        <w:gridCol w:w="1276"/>
        <w:gridCol w:w="992"/>
        <w:gridCol w:w="1276"/>
        <w:gridCol w:w="1989"/>
      </w:tblGrid>
      <w:tr w:rsidR="00B7208E" w:rsidRPr="00CF3D88" w:rsidTr="006F060D">
        <w:trPr>
          <w:cantSplit/>
          <w:trHeight w:val="471"/>
        </w:trPr>
        <w:tc>
          <w:tcPr>
            <w:tcW w:w="2698" w:type="dxa"/>
            <w:tcBorders>
              <w:bottom w:val="single" w:sz="4" w:space="0" w:color="auto"/>
            </w:tcBorders>
          </w:tcPr>
          <w:p w:rsidR="00B7208E" w:rsidRPr="00CF3D88" w:rsidRDefault="00B7208E" w:rsidP="006F060D">
            <w:pPr>
              <w:keepNext/>
              <w:ind w:left="-108"/>
              <w:rPr>
                <w:rFonts w:ascii="Arial Narrow" w:hAnsi="Arial Narrow"/>
                <w:sz w:val="20"/>
              </w:rPr>
            </w:pPr>
            <w:r w:rsidRPr="00CF3D88">
              <w:rPr>
                <w:rFonts w:ascii="Arial Narrow" w:hAnsi="Arial Narrow"/>
                <w:sz w:val="20"/>
              </w:rPr>
              <w:t>Name, Restriction,</w:t>
            </w:r>
          </w:p>
          <w:p w:rsidR="00B7208E" w:rsidRPr="00CF3D88" w:rsidRDefault="00B7208E" w:rsidP="006F060D">
            <w:pPr>
              <w:keepNext/>
              <w:ind w:left="-108"/>
              <w:rPr>
                <w:rFonts w:ascii="Arial Narrow" w:hAnsi="Arial Narrow"/>
                <w:sz w:val="20"/>
              </w:rPr>
            </w:pPr>
            <w:r w:rsidRPr="00CF3D88">
              <w:rPr>
                <w:rFonts w:ascii="Arial Narrow" w:hAnsi="Arial Narrow"/>
                <w:sz w:val="20"/>
              </w:rPr>
              <w:t>Manner of administration and form</w:t>
            </w:r>
          </w:p>
        </w:tc>
        <w:tc>
          <w:tcPr>
            <w:tcW w:w="1413" w:type="dxa"/>
            <w:gridSpan w:val="2"/>
            <w:tcBorders>
              <w:bottom w:val="single" w:sz="4" w:space="0" w:color="auto"/>
            </w:tcBorders>
          </w:tcPr>
          <w:p w:rsidR="00B7208E" w:rsidRPr="00CF3D88" w:rsidRDefault="00B7208E" w:rsidP="006F060D">
            <w:pPr>
              <w:keepNext/>
              <w:ind w:left="-108"/>
              <w:jc w:val="center"/>
              <w:rPr>
                <w:rFonts w:ascii="Arial Narrow" w:hAnsi="Arial Narrow"/>
                <w:sz w:val="20"/>
              </w:rPr>
            </w:pPr>
            <w:r w:rsidRPr="00CF3D88">
              <w:rPr>
                <w:rFonts w:ascii="Arial Narrow" w:hAnsi="Arial Narrow"/>
                <w:sz w:val="20"/>
              </w:rPr>
              <w:t>Max.</w:t>
            </w:r>
          </w:p>
          <w:p w:rsidR="00B7208E" w:rsidRPr="00CF3D88" w:rsidRDefault="00B7208E" w:rsidP="006F060D">
            <w:pPr>
              <w:keepNext/>
              <w:ind w:left="-108"/>
              <w:jc w:val="center"/>
              <w:rPr>
                <w:rFonts w:ascii="Arial Narrow" w:hAnsi="Arial Narrow"/>
                <w:sz w:val="20"/>
              </w:rPr>
            </w:pPr>
            <w:r w:rsidRPr="00CF3D88">
              <w:rPr>
                <w:rFonts w:ascii="Arial Narrow" w:hAnsi="Arial Narrow"/>
                <w:sz w:val="20"/>
              </w:rPr>
              <w:t>Amount</w:t>
            </w:r>
          </w:p>
        </w:tc>
        <w:tc>
          <w:tcPr>
            <w:tcW w:w="992" w:type="dxa"/>
            <w:tcBorders>
              <w:bottom w:val="single" w:sz="4" w:space="0" w:color="auto"/>
            </w:tcBorders>
          </w:tcPr>
          <w:p w:rsidR="00B7208E" w:rsidRPr="00CF3D88" w:rsidRDefault="00B7208E" w:rsidP="006F060D">
            <w:pPr>
              <w:keepNext/>
              <w:ind w:left="-108"/>
              <w:jc w:val="center"/>
              <w:rPr>
                <w:rFonts w:ascii="Arial Narrow" w:hAnsi="Arial Narrow"/>
                <w:sz w:val="20"/>
              </w:rPr>
            </w:pPr>
            <w:r w:rsidRPr="00CF3D88">
              <w:rPr>
                <w:rFonts w:ascii="Arial Narrow" w:hAnsi="Arial Narrow"/>
                <w:sz w:val="20"/>
              </w:rPr>
              <w:t>№.of</w:t>
            </w:r>
          </w:p>
          <w:p w:rsidR="00B7208E" w:rsidRPr="00CF3D88" w:rsidRDefault="00B7208E" w:rsidP="006F060D">
            <w:pPr>
              <w:keepNext/>
              <w:ind w:left="-108"/>
              <w:jc w:val="center"/>
              <w:rPr>
                <w:rFonts w:ascii="Arial Narrow" w:hAnsi="Arial Narrow"/>
                <w:sz w:val="20"/>
              </w:rPr>
            </w:pPr>
            <w:r w:rsidRPr="00CF3D88">
              <w:rPr>
                <w:rFonts w:ascii="Arial Narrow" w:hAnsi="Arial Narrow"/>
                <w:sz w:val="20"/>
              </w:rPr>
              <w:t>Rpts</w:t>
            </w:r>
          </w:p>
        </w:tc>
        <w:tc>
          <w:tcPr>
            <w:tcW w:w="3265" w:type="dxa"/>
            <w:gridSpan w:val="2"/>
            <w:tcBorders>
              <w:bottom w:val="single" w:sz="4" w:space="0" w:color="auto"/>
            </w:tcBorders>
          </w:tcPr>
          <w:p w:rsidR="00B7208E" w:rsidRPr="00CF3D88" w:rsidRDefault="00B7208E" w:rsidP="00A27479">
            <w:pPr>
              <w:keepNext/>
              <w:jc w:val="center"/>
              <w:rPr>
                <w:rFonts w:ascii="Arial Narrow" w:hAnsi="Arial Narrow"/>
                <w:sz w:val="20"/>
              </w:rPr>
            </w:pPr>
            <w:r w:rsidRPr="00CF3D88">
              <w:rPr>
                <w:rFonts w:ascii="Arial Narrow" w:hAnsi="Arial Narrow"/>
                <w:sz w:val="20"/>
              </w:rPr>
              <w:t>Propri</w:t>
            </w:r>
            <w:r>
              <w:rPr>
                <w:rFonts w:ascii="Arial Narrow" w:hAnsi="Arial Narrow"/>
                <w:sz w:val="20"/>
              </w:rPr>
              <w:t>etary  Name and</w:t>
            </w:r>
            <w:r w:rsidR="00A27479">
              <w:rPr>
                <w:rFonts w:ascii="Arial Narrow" w:hAnsi="Arial Narrow"/>
                <w:sz w:val="20"/>
              </w:rPr>
              <w:t xml:space="preserve"> </w:t>
            </w:r>
            <w:r w:rsidRPr="00CF3D88">
              <w:rPr>
                <w:rFonts w:ascii="Arial Narrow" w:hAnsi="Arial Narrow"/>
                <w:sz w:val="20"/>
              </w:rPr>
              <w:t>Manufacturer</w:t>
            </w:r>
          </w:p>
        </w:tc>
      </w:tr>
      <w:tr w:rsidR="00B7208E" w:rsidRPr="00CF3D88" w:rsidTr="006F060D">
        <w:trPr>
          <w:cantSplit/>
          <w:trHeight w:val="577"/>
        </w:trPr>
        <w:tc>
          <w:tcPr>
            <w:tcW w:w="2698" w:type="dxa"/>
            <w:vAlign w:val="center"/>
          </w:tcPr>
          <w:p w:rsidR="00B7208E" w:rsidRPr="00CF3D88" w:rsidRDefault="00B7208E" w:rsidP="006F060D">
            <w:pPr>
              <w:keepNext/>
              <w:ind w:left="-108"/>
              <w:rPr>
                <w:rFonts w:ascii="Arial Narrow" w:hAnsi="Arial Narrow"/>
                <w:sz w:val="20"/>
              </w:rPr>
            </w:pPr>
            <w:r w:rsidRPr="00CF3D88">
              <w:rPr>
                <w:rFonts w:ascii="Arial Narrow" w:hAnsi="Arial Narrow"/>
                <w:sz w:val="20"/>
              </w:rPr>
              <w:t>BRENTUXIMAB VEDOTIN</w:t>
            </w:r>
          </w:p>
          <w:p w:rsidR="00B7208E" w:rsidRPr="00CF3D88" w:rsidRDefault="00B7208E" w:rsidP="006F060D">
            <w:pPr>
              <w:keepNext/>
              <w:ind w:left="-108"/>
              <w:rPr>
                <w:rFonts w:ascii="Arial Narrow" w:hAnsi="Arial Narrow"/>
                <w:sz w:val="20"/>
              </w:rPr>
            </w:pPr>
            <w:r w:rsidRPr="00CF3D88">
              <w:rPr>
                <w:rFonts w:ascii="Arial Narrow" w:hAnsi="Arial Narrow"/>
                <w:sz w:val="20"/>
              </w:rPr>
              <w:t xml:space="preserve">50 mg vial for IV infusion, 1 </w:t>
            </w:r>
          </w:p>
        </w:tc>
        <w:tc>
          <w:tcPr>
            <w:tcW w:w="1413" w:type="dxa"/>
            <w:gridSpan w:val="2"/>
            <w:vAlign w:val="center"/>
          </w:tcPr>
          <w:p w:rsidR="00B7208E" w:rsidRPr="00CF3D88" w:rsidRDefault="00B7208E" w:rsidP="006F060D">
            <w:pPr>
              <w:keepNext/>
              <w:ind w:left="-108"/>
              <w:jc w:val="center"/>
              <w:rPr>
                <w:rFonts w:ascii="Arial Narrow" w:hAnsi="Arial Narrow"/>
                <w:sz w:val="20"/>
              </w:rPr>
            </w:pPr>
          </w:p>
          <w:p w:rsidR="00B7208E" w:rsidRPr="00CF3D88" w:rsidRDefault="00B7208E" w:rsidP="006F060D">
            <w:pPr>
              <w:keepNext/>
              <w:ind w:left="-108"/>
              <w:jc w:val="center"/>
              <w:rPr>
                <w:rFonts w:ascii="Arial Narrow" w:hAnsi="Arial Narrow"/>
                <w:strike/>
                <w:sz w:val="20"/>
              </w:rPr>
            </w:pPr>
            <w:r w:rsidRPr="00CF3D88">
              <w:rPr>
                <w:rFonts w:ascii="Arial Narrow" w:hAnsi="Arial Narrow"/>
                <w:sz w:val="20"/>
              </w:rPr>
              <w:t>200 mg</w:t>
            </w:r>
          </w:p>
        </w:tc>
        <w:tc>
          <w:tcPr>
            <w:tcW w:w="992" w:type="dxa"/>
            <w:vAlign w:val="center"/>
          </w:tcPr>
          <w:p w:rsidR="00B7208E" w:rsidRPr="00CF3D88" w:rsidRDefault="00B7208E" w:rsidP="006F060D">
            <w:pPr>
              <w:keepNext/>
              <w:ind w:left="-108"/>
              <w:jc w:val="center"/>
              <w:rPr>
                <w:rFonts w:ascii="Arial Narrow" w:hAnsi="Arial Narrow"/>
                <w:sz w:val="20"/>
              </w:rPr>
            </w:pPr>
          </w:p>
          <w:p w:rsidR="00B7208E" w:rsidRPr="00CF3D88" w:rsidRDefault="00B7208E" w:rsidP="006F060D">
            <w:pPr>
              <w:keepNext/>
              <w:ind w:left="-108"/>
              <w:jc w:val="center"/>
              <w:rPr>
                <w:rFonts w:ascii="Arial Narrow" w:hAnsi="Arial Narrow"/>
                <w:sz w:val="20"/>
              </w:rPr>
            </w:pPr>
            <w:r w:rsidRPr="00CF3D88">
              <w:rPr>
                <w:rFonts w:ascii="Arial Narrow" w:hAnsi="Arial Narrow"/>
                <w:sz w:val="20"/>
              </w:rPr>
              <w:t>3</w:t>
            </w:r>
          </w:p>
        </w:tc>
        <w:tc>
          <w:tcPr>
            <w:tcW w:w="1276" w:type="dxa"/>
            <w:vAlign w:val="center"/>
          </w:tcPr>
          <w:p w:rsidR="00B7208E" w:rsidRPr="00CF3D88" w:rsidRDefault="00B7208E" w:rsidP="001C0E7B">
            <w:pPr>
              <w:keepNext/>
              <w:rPr>
                <w:rFonts w:ascii="Arial Narrow" w:hAnsi="Arial Narrow"/>
                <w:sz w:val="20"/>
              </w:rPr>
            </w:pPr>
            <w:r w:rsidRPr="00CF3D88">
              <w:rPr>
                <w:rFonts w:ascii="Arial Narrow" w:hAnsi="Arial Narrow"/>
                <w:sz w:val="20"/>
              </w:rPr>
              <w:t>Adcetris</w:t>
            </w:r>
            <w:r w:rsidRPr="00CF3D88">
              <w:rPr>
                <w:rFonts w:ascii="Arial Narrow" w:hAnsi="Arial Narrow"/>
                <w:sz w:val="20"/>
                <w:vertAlign w:val="superscript"/>
              </w:rPr>
              <w:t>®</w:t>
            </w:r>
          </w:p>
        </w:tc>
        <w:tc>
          <w:tcPr>
            <w:tcW w:w="1989" w:type="dxa"/>
            <w:vAlign w:val="center"/>
          </w:tcPr>
          <w:p w:rsidR="00B7208E" w:rsidRPr="00CF3D88" w:rsidRDefault="00B7208E" w:rsidP="006F060D">
            <w:pPr>
              <w:keepNext/>
              <w:rPr>
                <w:rFonts w:ascii="Arial Narrow" w:hAnsi="Arial Narrow"/>
                <w:sz w:val="20"/>
              </w:rPr>
            </w:pPr>
            <w:r w:rsidRPr="00CF3D88">
              <w:rPr>
                <w:rFonts w:ascii="Arial Narrow" w:hAnsi="Arial Narrow"/>
                <w:sz w:val="20"/>
              </w:rPr>
              <w:t>Takeda Pharmaceuticals Australia Pty Ltd</w:t>
            </w: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 xml:space="preserve">Category / </w:t>
            </w:r>
          </w:p>
          <w:p w:rsidR="00B7208E" w:rsidRPr="00CF3D88" w:rsidRDefault="00B7208E" w:rsidP="006F060D">
            <w:pPr>
              <w:rPr>
                <w:rFonts w:ascii="Arial Narrow" w:hAnsi="Arial Narrow"/>
                <w:b/>
                <w:sz w:val="20"/>
              </w:rPr>
            </w:pPr>
            <w:r w:rsidRPr="00CF3D88">
              <w:rPr>
                <w:rFonts w:ascii="Arial Narrow" w:hAnsi="Arial Narrow"/>
                <w:b/>
                <w:sz w:val="20"/>
              </w:rPr>
              <w:t>Program</w:t>
            </w:r>
          </w:p>
        </w:tc>
        <w:tc>
          <w:tcPr>
            <w:tcW w:w="5533" w:type="dxa"/>
            <w:gridSpan w:val="4"/>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sz w:val="20"/>
              </w:rPr>
            </w:pPr>
            <w:r w:rsidRPr="00CF3D88">
              <w:rPr>
                <w:rFonts w:ascii="Arial Narrow" w:hAnsi="Arial Narrow"/>
                <w:sz w:val="20"/>
              </w:rPr>
              <w:t>Section 100 – Efficient Funding of Chemotherapy</w:t>
            </w:r>
          </w:p>
          <w:p w:rsidR="00B7208E" w:rsidRPr="00CF3D88" w:rsidRDefault="00B7208E" w:rsidP="006F060D">
            <w:pPr>
              <w:rPr>
                <w:rFonts w:ascii="Arial Narrow" w:hAnsi="Arial Narrow"/>
                <w:sz w:val="20"/>
              </w:rPr>
            </w:pPr>
          </w:p>
        </w:tc>
      </w:tr>
      <w:tr w:rsidR="00B7208E" w:rsidRPr="00CF3D88" w:rsidTr="006F060D">
        <w:trPr>
          <w:cantSplit/>
          <w:trHeight w:val="806"/>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Prescriber type:</w:t>
            </w:r>
          </w:p>
          <w:p w:rsidR="00B7208E" w:rsidRPr="00CF3D88" w:rsidRDefault="00B7208E" w:rsidP="006F060D">
            <w:pPr>
              <w:rPr>
                <w:rFonts w:ascii="Arial Narrow" w:hAnsi="Arial Narrow"/>
                <w:b/>
                <w:sz w:val="20"/>
              </w:rPr>
            </w:pPr>
          </w:p>
        </w:tc>
        <w:tc>
          <w:tcPr>
            <w:tcW w:w="5533" w:type="dxa"/>
            <w:gridSpan w:val="4"/>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1"/>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Dental  </w:t>
            </w:r>
            <w:r w:rsidRPr="00CF3D88">
              <w:rPr>
                <w:rFonts w:ascii="Arial Narrow" w:hAnsi="Arial Narrow"/>
                <w:sz w:val="20"/>
              </w:rPr>
              <w:fldChar w:fldCharType="begin">
                <w:ffData>
                  <w:name w:val=""/>
                  <w:enabled/>
                  <w:calcOnExit w:val="0"/>
                  <w:checkBox>
                    <w:sizeAuto/>
                    <w:default w:val="1"/>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Medical Practitioners  </w:t>
            </w:r>
            <w:r w:rsidRPr="00CF3D88">
              <w:rPr>
                <w:rFonts w:ascii="Arial Narrow" w:hAnsi="Arial Narrow"/>
                <w:sz w:val="20"/>
              </w:rPr>
              <w:fldChar w:fldCharType="begin">
                <w:ffData>
                  <w:name w:val="Check3"/>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Nurse practitioners  </w:t>
            </w:r>
            <w:r w:rsidRPr="00CF3D88">
              <w:rPr>
                <w:rFonts w:ascii="Arial Narrow" w:hAnsi="Arial Narrow"/>
                <w:sz w:val="20"/>
              </w:rPr>
              <w:fldChar w:fldCharType="begin">
                <w:ffData>
                  <w:name w:val=""/>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Optometrists</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Midwives</w:t>
            </w: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Severity:</w:t>
            </w:r>
          </w:p>
        </w:tc>
        <w:tc>
          <w:tcPr>
            <w:tcW w:w="5533" w:type="dxa"/>
            <w:gridSpan w:val="4"/>
            <w:tcBorders>
              <w:top w:val="single" w:sz="4" w:space="0" w:color="auto"/>
              <w:left w:val="single" w:sz="4" w:space="0" w:color="auto"/>
              <w:bottom w:val="single" w:sz="4" w:space="0" w:color="auto"/>
              <w:right w:val="single" w:sz="4" w:space="0" w:color="auto"/>
            </w:tcBorders>
            <w:vAlign w:val="center"/>
          </w:tcPr>
          <w:p w:rsidR="00B7208E" w:rsidRPr="00457767" w:rsidRDefault="00B7208E" w:rsidP="006F060D">
            <w:pPr>
              <w:rPr>
                <w:rFonts w:ascii="Arial Narrow" w:hAnsi="Arial Narrow"/>
                <w:sz w:val="20"/>
              </w:rPr>
            </w:pPr>
            <w:r w:rsidRPr="00457767">
              <w:rPr>
                <w:rFonts w:ascii="Arial Narrow" w:hAnsi="Arial Narrow"/>
                <w:sz w:val="20"/>
              </w:rPr>
              <w:t>Relapsed or Refractory</w:t>
            </w: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Condition:</w:t>
            </w:r>
          </w:p>
        </w:tc>
        <w:tc>
          <w:tcPr>
            <w:tcW w:w="5533" w:type="dxa"/>
            <w:gridSpan w:val="4"/>
            <w:tcBorders>
              <w:top w:val="single" w:sz="4" w:space="0" w:color="auto"/>
              <w:left w:val="single" w:sz="4" w:space="0" w:color="auto"/>
              <w:bottom w:val="single" w:sz="4" w:space="0" w:color="auto"/>
              <w:right w:val="single" w:sz="4" w:space="0" w:color="auto"/>
            </w:tcBorders>
            <w:vAlign w:val="center"/>
          </w:tcPr>
          <w:p w:rsidR="00B7208E" w:rsidRPr="00457767" w:rsidRDefault="00B7208E" w:rsidP="006F060D">
            <w:pPr>
              <w:rPr>
                <w:rFonts w:ascii="Arial Narrow" w:hAnsi="Arial Narrow"/>
                <w:sz w:val="20"/>
              </w:rPr>
            </w:pPr>
            <w:r w:rsidRPr="00457767">
              <w:rPr>
                <w:rFonts w:ascii="Arial Narrow" w:hAnsi="Arial Narrow"/>
                <w:sz w:val="20"/>
              </w:rPr>
              <w:t>Hodgkin lymphoma</w:t>
            </w:r>
          </w:p>
        </w:tc>
      </w:tr>
      <w:tr w:rsidR="00B7208E" w:rsidRPr="00CF3D88" w:rsidTr="006F060D">
        <w:trPr>
          <w:cantSplit/>
          <w:trHeight w:val="307"/>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i/>
                <w:sz w:val="20"/>
              </w:rPr>
            </w:pPr>
            <w:r w:rsidRPr="00CF3D88">
              <w:rPr>
                <w:rFonts w:ascii="Arial Narrow" w:hAnsi="Arial Narrow"/>
                <w:b/>
                <w:sz w:val="20"/>
              </w:rPr>
              <w:t>PBS Indication:</w:t>
            </w:r>
          </w:p>
        </w:tc>
        <w:tc>
          <w:tcPr>
            <w:tcW w:w="5533" w:type="dxa"/>
            <w:gridSpan w:val="4"/>
            <w:tcBorders>
              <w:top w:val="single" w:sz="4" w:space="0" w:color="auto"/>
              <w:left w:val="single" w:sz="4" w:space="0" w:color="auto"/>
              <w:bottom w:val="single" w:sz="4" w:space="0" w:color="auto"/>
              <w:right w:val="single" w:sz="4" w:space="0" w:color="auto"/>
            </w:tcBorders>
            <w:vAlign w:val="center"/>
          </w:tcPr>
          <w:p w:rsidR="00B7208E" w:rsidRPr="00457767" w:rsidRDefault="00B7208E" w:rsidP="006F060D">
            <w:pPr>
              <w:rPr>
                <w:rFonts w:ascii="Arial Narrow" w:hAnsi="Arial Narrow"/>
                <w:sz w:val="20"/>
              </w:rPr>
            </w:pPr>
            <w:r w:rsidRPr="00457767">
              <w:rPr>
                <w:rFonts w:ascii="Arial Narrow" w:hAnsi="Arial Narrow"/>
                <w:sz w:val="20"/>
              </w:rPr>
              <w:t>Relapsed or Refractory Hodgkin lymphoma</w:t>
            </w: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Treatment phase:</w:t>
            </w:r>
          </w:p>
          <w:p w:rsidR="00B7208E" w:rsidRPr="00CF3D88" w:rsidRDefault="00B7208E" w:rsidP="006F060D">
            <w:pPr>
              <w:rPr>
                <w:rFonts w:ascii="Arial Narrow" w:hAnsi="Arial Narrow"/>
                <w:i/>
                <w:sz w:val="20"/>
              </w:rPr>
            </w:pPr>
          </w:p>
        </w:tc>
        <w:tc>
          <w:tcPr>
            <w:tcW w:w="5533" w:type="dxa"/>
            <w:gridSpan w:val="4"/>
            <w:tcBorders>
              <w:top w:val="single" w:sz="4" w:space="0" w:color="auto"/>
              <w:left w:val="single" w:sz="4" w:space="0" w:color="auto"/>
              <w:bottom w:val="single" w:sz="4" w:space="0" w:color="auto"/>
              <w:right w:val="single" w:sz="4" w:space="0" w:color="auto"/>
            </w:tcBorders>
            <w:vAlign w:val="center"/>
          </w:tcPr>
          <w:p w:rsidR="00B7208E" w:rsidRPr="00CF3D88" w:rsidRDefault="00B7208E" w:rsidP="006F060D">
            <w:pPr>
              <w:rPr>
                <w:rFonts w:ascii="Arial Narrow" w:hAnsi="Arial Narrow"/>
                <w:sz w:val="20"/>
              </w:rPr>
            </w:pPr>
            <w:r w:rsidRPr="00CF3D88">
              <w:rPr>
                <w:rFonts w:ascii="Arial Narrow" w:hAnsi="Arial Narrow"/>
                <w:sz w:val="20"/>
              </w:rPr>
              <w:t>Initial treatment</w:t>
            </w:r>
          </w:p>
        </w:tc>
      </w:tr>
      <w:tr w:rsidR="00B7208E" w:rsidRPr="00CF3D88" w:rsidTr="006F060D">
        <w:trPr>
          <w:cantSplit/>
          <w:trHeight w:val="7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Restriction Level / Method:</w:t>
            </w:r>
          </w:p>
          <w:p w:rsidR="00B7208E" w:rsidRPr="00CF3D88" w:rsidRDefault="00B7208E" w:rsidP="006F060D">
            <w:pPr>
              <w:rPr>
                <w:rFonts w:ascii="Arial Narrow" w:hAnsi="Arial Narrow"/>
                <w:i/>
                <w:sz w:val="20"/>
                <w:highlight w:val="yellow"/>
              </w:rPr>
            </w:pPr>
          </w:p>
          <w:p w:rsidR="00B7208E" w:rsidRPr="00CF3D88" w:rsidRDefault="00B7208E" w:rsidP="006F060D">
            <w:pPr>
              <w:rPr>
                <w:rFonts w:ascii="Arial Narrow" w:hAnsi="Arial Narrow"/>
                <w:i/>
                <w:sz w:val="20"/>
              </w:rPr>
            </w:pPr>
          </w:p>
          <w:p w:rsidR="00B7208E" w:rsidRPr="00CF3D88" w:rsidRDefault="00B7208E" w:rsidP="006F060D">
            <w:pPr>
              <w:rPr>
                <w:rFonts w:ascii="Arial Narrow" w:hAnsi="Arial Narrow"/>
                <w:i/>
                <w:sz w:val="20"/>
              </w:rPr>
            </w:pPr>
          </w:p>
        </w:tc>
        <w:tc>
          <w:tcPr>
            <w:tcW w:w="5533" w:type="dxa"/>
            <w:gridSpan w:val="4"/>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1"/>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Restricted benefit</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
                  <w:enabled/>
                  <w:calcOnExit w:val="0"/>
                  <w:checkBox>
                    <w:sizeAuto/>
                    <w:default w:val="1"/>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In Writing</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3"/>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Telephone</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Emergency</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Electronic</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Streamlined</w:t>
            </w: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lastRenderedPageBreak/>
              <w:t>Clinical criteria:</w:t>
            </w:r>
          </w:p>
          <w:p w:rsidR="00B7208E" w:rsidRPr="00CF3D88" w:rsidRDefault="00B7208E" w:rsidP="006F060D">
            <w:pPr>
              <w:rPr>
                <w:rFonts w:ascii="Arial Narrow" w:hAnsi="Arial Narrow"/>
                <w:i/>
                <w:sz w:val="20"/>
              </w:rPr>
            </w:pPr>
          </w:p>
          <w:p w:rsidR="00B7208E" w:rsidRPr="00CF3D88" w:rsidRDefault="00B7208E" w:rsidP="006F060D">
            <w:pPr>
              <w:rPr>
                <w:rFonts w:ascii="Arial Narrow" w:hAnsi="Arial Narrow"/>
                <w:sz w:val="20"/>
              </w:rPr>
            </w:pPr>
          </w:p>
        </w:tc>
        <w:tc>
          <w:tcPr>
            <w:tcW w:w="5533" w:type="dxa"/>
            <w:gridSpan w:val="4"/>
            <w:tcBorders>
              <w:top w:val="single" w:sz="4" w:space="0" w:color="auto"/>
              <w:left w:val="single" w:sz="4" w:space="0" w:color="auto"/>
              <w:bottom w:val="single" w:sz="4" w:space="0" w:color="auto"/>
              <w:right w:val="single" w:sz="4" w:space="0" w:color="auto"/>
            </w:tcBorders>
          </w:tcPr>
          <w:p w:rsidR="00B7208E" w:rsidRPr="00457767" w:rsidRDefault="00B7208E" w:rsidP="006F060D">
            <w:pPr>
              <w:keepNext/>
              <w:keepLines/>
              <w:spacing w:beforeLines="40" w:before="96" w:after="40"/>
              <w:rPr>
                <w:rFonts w:ascii="Arial Narrow" w:hAnsi="Arial Narrow"/>
                <w:sz w:val="20"/>
              </w:rPr>
            </w:pPr>
            <w:r w:rsidRPr="00457767">
              <w:rPr>
                <w:rFonts w:ascii="Arial Narrow" w:hAnsi="Arial Narrow"/>
                <w:sz w:val="20"/>
              </w:rPr>
              <w:t>Patient must have undergone a primary autologous stem cell transplant (ASCT)</w:t>
            </w:r>
          </w:p>
          <w:p w:rsidR="00B7208E" w:rsidRPr="00457767" w:rsidRDefault="00B7208E" w:rsidP="006F060D">
            <w:pPr>
              <w:keepNext/>
              <w:keepLines/>
              <w:spacing w:beforeLines="40" w:before="96" w:after="40"/>
              <w:rPr>
                <w:rFonts w:ascii="Arial Narrow" w:hAnsi="Arial Narrow"/>
                <w:sz w:val="20"/>
              </w:rPr>
            </w:pPr>
            <w:r w:rsidRPr="00457767">
              <w:rPr>
                <w:rFonts w:ascii="Arial Narrow" w:hAnsi="Arial Narrow"/>
                <w:sz w:val="20"/>
              </w:rPr>
              <w:t>AND</w:t>
            </w:r>
          </w:p>
          <w:p w:rsidR="00B7208E" w:rsidRPr="00457767" w:rsidRDefault="00B7208E" w:rsidP="006F060D">
            <w:pPr>
              <w:keepNext/>
              <w:keepLines/>
              <w:spacing w:beforeLines="40" w:before="96" w:after="40"/>
              <w:rPr>
                <w:rFonts w:ascii="Arial Narrow" w:hAnsi="Arial Narrow"/>
                <w:sz w:val="20"/>
              </w:rPr>
            </w:pPr>
            <w:r w:rsidRPr="00457767">
              <w:rPr>
                <w:rFonts w:ascii="Arial Narrow" w:hAnsi="Arial Narrow"/>
                <w:sz w:val="20"/>
              </w:rPr>
              <w:t>Patient must have experienced a relapsed CD30+ Hodgkin lymphoma post ASCT; OR</w:t>
            </w:r>
          </w:p>
          <w:p w:rsidR="00B7208E" w:rsidRPr="00457767" w:rsidRDefault="00B7208E" w:rsidP="006F060D">
            <w:pPr>
              <w:keepNext/>
              <w:keepLines/>
              <w:spacing w:beforeLines="40" w:before="96" w:after="40"/>
              <w:rPr>
                <w:rFonts w:ascii="Arial Narrow" w:hAnsi="Arial Narrow"/>
                <w:sz w:val="20"/>
              </w:rPr>
            </w:pPr>
            <w:r w:rsidRPr="00457767">
              <w:rPr>
                <w:rFonts w:ascii="Arial Narrow" w:hAnsi="Arial Narrow"/>
                <w:sz w:val="20"/>
              </w:rPr>
              <w:t>Patient  must have experienced a refractory CD30+ Hodgkin lymphoma post ASCT</w:t>
            </w:r>
          </w:p>
          <w:p w:rsidR="00B7208E" w:rsidRPr="00457767" w:rsidRDefault="00B7208E" w:rsidP="006F060D">
            <w:pPr>
              <w:keepNext/>
              <w:keepLines/>
              <w:spacing w:beforeLines="40" w:before="96" w:after="40"/>
              <w:rPr>
                <w:rFonts w:ascii="Arial Narrow" w:hAnsi="Arial Narrow"/>
                <w:sz w:val="20"/>
              </w:rPr>
            </w:pPr>
            <w:r w:rsidRPr="00457767">
              <w:rPr>
                <w:rFonts w:ascii="Arial Narrow" w:hAnsi="Arial Narrow"/>
                <w:sz w:val="20"/>
              </w:rPr>
              <w:t>AND</w:t>
            </w:r>
          </w:p>
          <w:p w:rsidR="00B7208E" w:rsidRPr="00457767" w:rsidRDefault="00B7208E" w:rsidP="006F060D">
            <w:pPr>
              <w:keepNext/>
              <w:keepLines/>
              <w:spacing w:beforeLines="40" w:before="96" w:after="40"/>
              <w:rPr>
                <w:rFonts w:ascii="Arial Narrow" w:hAnsi="Arial Narrow"/>
                <w:sz w:val="20"/>
              </w:rPr>
            </w:pPr>
            <w:r w:rsidRPr="00457767">
              <w:rPr>
                <w:rFonts w:ascii="Arial Narrow" w:hAnsi="Arial Narrow"/>
                <w:sz w:val="20"/>
              </w:rPr>
              <w:t>Patient must not receive more than 4 cycles of treatment under this restriction</w:t>
            </w:r>
          </w:p>
          <w:p w:rsidR="00B7208E" w:rsidRPr="00CF3D88" w:rsidRDefault="00B7208E" w:rsidP="006F060D">
            <w:pPr>
              <w:rPr>
                <w:rFonts w:ascii="Arial Narrow" w:hAnsi="Arial Narrow"/>
                <w:sz w:val="20"/>
              </w:rPr>
            </w:pP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Prescriber Instructions</w:t>
            </w:r>
          </w:p>
          <w:p w:rsidR="00B7208E" w:rsidRPr="00CF3D88" w:rsidRDefault="00B7208E" w:rsidP="006F060D">
            <w:pPr>
              <w:rPr>
                <w:rFonts w:ascii="Arial Narrow" w:hAnsi="Arial Narrow"/>
                <w:sz w:val="20"/>
              </w:rPr>
            </w:pPr>
          </w:p>
        </w:tc>
        <w:tc>
          <w:tcPr>
            <w:tcW w:w="5533" w:type="dxa"/>
            <w:gridSpan w:val="4"/>
            <w:tcBorders>
              <w:top w:val="single" w:sz="4" w:space="0" w:color="auto"/>
              <w:left w:val="single" w:sz="4" w:space="0" w:color="auto"/>
              <w:bottom w:val="single" w:sz="4" w:space="0" w:color="auto"/>
              <w:right w:val="single" w:sz="4" w:space="0" w:color="auto"/>
            </w:tcBorders>
          </w:tcPr>
          <w:p w:rsidR="00B7208E" w:rsidRPr="00CF3D88" w:rsidRDefault="00B7208E" w:rsidP="006F060D">
            <w:pPr>
              <w:keepNext/>
              <w:keepLines/>
              <w:spacing w:before="40"/>
              <w:rPr>
                <w:rFonts w:ascii="Arial Narrow" w:hAnsi="Arial Narrow"/>
                <w:sz w:val="20"/>
              </w:rPr>
            </w:pPr>
            <w:r w:rsidRPr="00CF3D88">
              <w:rPr>
                <w:rFonts w:ascii="Arial Narrow" w:hAnsi="Arial Narrow"/>
                <w:sz w:val="20"/>
              </w:rPr>
              <w:t xml:space="preserve">Applications for authorisation of initial treatment must </w:t>
            </w:r>
            <w:r w:rsidR="00116484">
              <w:rPr>
                <w:rFonts w:ascii="Arial Narrow" w:hAnsi="Arial Narrow"/>
                <w:sz w:val="20"/>
              </w:rPr>
              <w:t>be in writing and must include:</w:t>
            </w:r>
          </w:p>
          <w:p w:rsidR="00B7208E" w:rsidRPr="00CF3D88" w:rsidRDefault="00B7208E" w:rsidP="006F060D">
            <w:pPr>
              <w:keepNext/>
              <w:keepLines/>
              <w:spacing w:before="40"/>
              <w:rPr>
                <w:rFonts w:ascii="Arial Narrow" w:hAnsi="Arial Narrow"/>
                <w:sz w:val="20"/>
              </w:rPr>
            </w:pPr>
            <w:r w:rsidRPr="00CF3D88">
              <w:rPr>
                <w:rFonts w:ascii="Arial Narrow" w:hAnsi="Arial Narrow"/>
                <w:sz w:val="20"/>
              </w:rPr>
              <w:t>(a) a completed a</w:t>
            </w:r>
            <w:r w:rsidR="00116484">
              <w:rPr>
                <w:rFonts w:ascii="Arial Narrow" w:hAnsi="Arial Narrow"/>
                <w:sz w:val="20"/>
              </w:rPr>
              <w:t>uthority prescription form; and</w:t>
            </w:r>
          </w:p>
          <w:p w:rsidR="00B7208E" w:rsidRPr="00CF3D88" w:rsidRDefault="00B7208E" w:rsidP="006F060D">
            <w:pPr>
              <w:keepNext/>
              <w:keepLines/>
              <w:spacing w:before="40"/>
              <w:rPr>
                <w:rFonts w:ascii="Arial Narrow" w:hAnsi="Arial Narrow"/>
                <w:sz w:val="20"/>
              </w:rPr>
            </w:pPr>
            <w:r w:rsidRPr="00CF3D88">
              <w:rPr>
                <w:rFonts w:ascii="Arial Narrow" w:hAnsi="Arial Narrow"/>
                <w:sz w:val="20"/>
              </w:rPr>
              <w:t>(b) a completed Hodgkin lymphoma Brentuximab P</w:t>
            </w:r>
            <w:r w:rsidR="00116484">
              <w:rPr>
                <w:rFonts w:ascii="Arial Narrow" w:hAnsi="Arial Narrow"/>
                <w:sz w:val="20"/>
              </w:rPr>
              <w:t>BS Authority Application -</w:t>
            </w:r>
          </w:p>
          <w:p w:rsidR="00B7208E" w:rsidRPr="00CF3D88" w:rsidRDefault="00B7208E" w:rsidP="006F060D">
            <w:pPr>
              <w:keepNext/>
              <w:keepLines/>
              <w:spacing w:before="40"/>
              <w:rPr>
                <w:rFonts w:ascii="Arial Narrow" w:hAnsi="Arial Narrow"/>
                <w:sz w:val="20"/>
              </w:rPr>
            </w:pPr>
            <w:r w:rsidRPr="00CF3D88">
              <w:rPr>
                <w:rFonts w:ascii="Arial Narrow" w:hAnsi="Arial Narrow"/>
                <w:sz w:val="20"/>
              </w:rPr>
              <w:t>Supporting Information For</w:t>
            </w:r>
            <w:r w:rsidR="00116484">
              <w:rPr>
                <w:rFonts w:ascii="Arial Narrow" w:hAnsi="Arial Narrow"/>
                <w:sz w:val="20"/>
              </w:rPr>
              <w:t>m which includes the following:</w:t>
            </w:r>
          </w:p>
          <w:p w:rsidR="00B7208E" w:rsidRPr="00457767" w:rsidRDefault="00B7208E" w:rsidP="00B7208E">
            <w:pPr>
              <w:pStyle w:val="ListParagraph"/>
              <w:keepNext/>
              <w:keepLines/>
              <w:numPr>
                <w:ilvl w:val="0"/>
                <w:numId w:val="21"/>
              </w:numPr>
              <w:spacing w:before="40"/>
              <w:ind w:left="713"/>
              <w:rPr>
                <w:rFonts w:ascii="Arial Narrow" w:hAnsi="Arial Narrow"/>
                <w:sz w:val="20"/>
              </w:rPr>
            </w:pPr>
            <w:r w:rsidRPr="00CF3D88">
              <w:rPr>
                <w:rFonts w:ascii="Arial Narrow" w:hAnsi="Arial Narrow"/>
                <w:sz w:val="20"/>
              </w:rPr>
              <w:t xml:space="preserve">A histology report including evidence of the tumour’s CD30 </w:t>
            </w:r>
            <w:r w:rsidRPr="00457767">
              <w:rPr>
                <w:rFonts w:ascii="Arial Narrow" w:hAnsi="Arial Narrow"/>
                <w:sz w:val="20"/>
              </w:rPr>
              <w:t>positivity from</w:t>
            </w:r>
            <w:r w:rsidR="00116484">
              <w:rPr>
                <w:rFonts w:ascii="Arial Narrow" w:hAnsi="Arial Narrow"/>
                <w:sz w:val="20"/>
              </w:rPr>
              <w:t xml:space="preserve"> a biopsy at time of diagnosis;</w:t>
            </w:r>
          </w:p>
          <w:p w:rsidR="00B7208E" w:rsidRPr="00457767" w:rsidRDefault="00B7208E" w:rsidP="00B7208E">
            <w:pPr>
              <w:pStyle w:val="ListParagraph"/>
              <w:keepNext/>
              <w:keepLines/>
              <w:numPr>
                <w:ilvl w:val="0"/>
                <w:numId w:val="21"/>
              </w:numPr>
              <w:spacing w:before="40"/>
              <w:ind w:left="713"/>
              <w:rPr>
                <w:rFonts w:ascii="Arial Narrow" w:hAnsi="Arial Narrow"/>
                <w:sz w:val="20"/>
              </w:rPr>
            </w:pPr>
            <w:r w:rsidRPr="00457767">
              <w:rPr>
                <w:rFonts w:ascii="Arial Narrow" w:hAnsi="Arial Narrow"/>
                <w:sz w:val="20"/>
              </w:rPr>
              <w:t>The date of the primary ASCT performed</w:t>
            </w:r>
          </w:p>
          <w:p w:rsidR="00B7208E" w:rsidRPr="00457767" w:rsidRDefault="00B7208E" w:rsidP="00B7208E">
            <w:pPr>
              <w:pStyle w:val="ListParagraph"/>
              <w:keepNext/>
              <w:keepLines/>
              <w:numPr>
                <w:ilvl w:val="0"/>
                <w:numId w:val="21"/>
              </w:numPr>
              <w:spacing w:before="40"/>
              <w:ind w:left="713"/>
              <w:rPr>
                <w:rFonts w:ascii="Arial Narrow" w:hAnsi="Arial Narrow"/>
                <w:sz w:val="20"/>
              </w:rPr>
            </w:pPr>
            <w:r w:rsidRPr="00457767">
              <w:rPr>
                <w:rFonts w:ascii="Arial Narrow" w:hAnsi="Arial Narrow"/>
                <w:sz w:val="20"/>
              </w:rPr>
              <w:t>A declaration of whether the disease is classified as relapsed or refractory post ASCT</w:t>
            </w:r>
          </w:p>
          <w:p w:rsidR="00B7208E" w:rsidRPr="00457767" w:rsidRDefault="00B7208E" w:rsidP="00B7208E">
            <w:pPr>
              <w:pStyle w:val="ListParagraph"/>
              <w:keepNext/>
              <w:keepLines/>
              <w:numPr>
                <w:ilvl w:val="0"/>
                <w:numId w:val="21"/>
              </w:numPr>
              <w:spacing w:before="40"/>
              <w:ind w:left="713"/>
              <w:rPr>
                <w:rFonts w:ascii="Arial Narrow" w:hAnsi="Arial Narrow"/>
                <w:sz w:val="20"/>
              </w:rPr>
            </w:pPr>
            <w:r w:rsidRPr="00457767">
              <w:rPr>
                <w:rFonts w:ascii="Arial Narrow" w:hAnsi="Arial Narrow"/>
                <w:sz w:val="20"/>
              </w:rPr>
              <w:t>A declaration of whether the patient is planned to have an allogeneic</w:t>
            </w:r>
            <w:r w:rsidRPr="00457767" w:rsidDel="00882F03">
              <w:rPr>
                <w:rFonts w:ascii="Arial Narrow" w:hAnsi="Arial Narrow"/>
                <w:sz w:val="20"/>
              </w:rPr>
              <w:t xml:space="preserve"> </w:t>
            </w:r>
            <w:r w:rsidRPr="00457767">
              <w:rPr>
                <w:rFonts w:ascii="Arial Narrow" w:hAnsi="Arial Narrow"/>
                <w:sz w:val="20"/>
              </w:rPr>
              <w:t>SCT.</w:t>
            </w:r>
          </w:p>
          <w:p w:rsidR="00B7208E" w:rsidRPr="00CF3D88" w:rsidRDefault="00B7208E" w:rsidP="006F060D">
            <w:pPr>
              <w:rPr>
                <w:rFonts w:ascii="Arial Narrow" w:hAnsi="Arial Narrow"/>
                <w:sz w:val="20"/>
              </w:rPr>
            </w:pP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Administrative Advice</w:t>
            </w:r>
          </w:p>
          <w:p w:rsidR="00B7208E" w:rsidRPr="00CF3D88" w:rsidRDefault="00B7208E" w:rsidP="006F060D">
            <w:pPr>
              <w:rPr>
                <w:rFonts w:ascii="Arial Narrow" w:hAnsi="Arial Narrow"/>
                <w:sz w:val="20"/>
              </w:rPr>
            </w:pPr>
          </w:p>
        </w:tc>
        <w:tc>
          <w:tcPr>
            <w:tcW w:w="5533" w:type="dxa"/>
            <w:gridSpan w:val="4"/>
            <w:tcBorders>
              <w:top w:val="single" w:sz="4" w:space="0" w:color="auto"/>
              <w:left w:val="single" w:sz="4" w:space="0" w:color="auto"/>
              <w:bottom w:val="single" w:sz="4" w:space="0" w:color="auto"/>
              <w:right w:val="single" w:sz="4" w:space="0" w:color="auto"/>
            </w:tcBorders>
          </w:tcPr>
          <w:p w:rsidR="00B7208E" w:rsidRPr="00CF3D88" w:rsidRDefault="00B7208E" w:rsidP="006F060D">
            <w:pPr>
              <w:keepNext/>
              <w:keepLines/>
              <w:spacing w:beforeLines="40" w:before="96" w:after="40"/>
              <w:rPr>
                <w:rFonts w:ascii="Arial Narrow" w:hAnsi="Arial Narrow"/>
                <w:sz w:val="20"/>
              </w:rPr>
            </w:pPr>
            <w:r w:rsidRPr="00CF3D88">
              <w:rPr>
                <w:rFonts w:ascii="Arial Narrow" w:hAnsi="Arial Narrow"/>
                <w:sz w:val="20"/>
              </w:rPr>
              <w:t>No increase in the maximum numbe</w:t>
            </w:r>
            <w:r w:rsidR="00116484">
              <w:rPr>
                <w:rFonts w:ascii="Arial Narrow" w:hAnsi="Arial Narrow"/>
                <w:sz w:val="20"/>
              </w:rPr>
              <w:t>r of repeats may be authorised.</w:t>
            </w:r>
          </w:p>
          <w:p w:rsidR="00B7208E" w:rsidRDefault="00B7208E" w:rsidP="006F060D">
            <w:pPr>
              <w:keepNext/>
              <w:keepLines/>
              <w:spacing w:beforeLines="40" w:before="96" w:after="40"/>
              <w:rPr>
                <w:rFonts w:ascii="Arial Narrow" w:hAnsi="Arial Narrow"/>
                <w:sz w:val="20"/>
              </w:rPr>
            </w:pPr>
            <w:r w:rsidRPr="00CF3D88">
              <w:rPr>
                <w:rFonts w:ascii="Arial Narrow" w:hAnsi="Arial Narrow"/>
                <w:sz w:val="20"/>
              </w:rPr>
              <w:t>No increase in the maximum quantity or number of units may be authorised.</w:t>
            </w:r>
          </w:p>
          <w:p w:rsidR="00B7208E" w:rsidRPr="00D01616" w:rsidRDefault="00B7208E" w:rsidP="006F060D">
            <w:pPr>
              <w:rPr>
                <w:rFonts w:ascii="Arial Narrow" w:hAnsi="Arial Narrow"/>
                <w:sz w:val="20"/>
              </w:rPr>
            </w:pPr>
            <w:r w:rsidRPr="00D01616">
              <w:rPr>
                <w:rFonts w:ascii="Arial Narrow" w:hAnsi="Arial Narrow"/>
                <w:sz w:val="20"/>
              </w:rPr>
              <w:t>Any queries concerning the arrangements to prescribe may be directed to the Department of Human Services on 1800 700 270 (hours of operation 8 a.m. t</w:t>
            </w:r>
            <w:r w:rsidR="00116484">
              <w:rPr>
                <w:rFonts w:ascii="Arial Narrow" w:hAnsi="Arial Narrow"/>
                <w:sz w:val="20"/>
              </w:rPr>
              <w:t>o 5 p.m. EST Monday to Friday).</w:t>
            </w:r>
          </w:p>
          <w:p w:rsidR="00B7208E" w:rsidRPr="00D01616" w:rsidRDefault="00B7208E" w:rsidP="006F060D">
            <w:pPr>
              <w:rPr>
                <w:rFonts w:ascii="Arial Narrow" w:hAnsi="Arial Narrow"/>
                <w:sz w:val="20"/>
              </w:rPr>
            </w:pPr>
          </w:p>
          <w:p w:rsidR="00B7208E" w:rsidRPr="00D01616" w:rsidRDefault="00B7208E" w:rsidP="006F060D">
            <w:pPr>
              <w:rPr>
                <w:rFonts w:ascii="Arial Narrow" w:hAnsi="Arial Narrow"/>
                <w:sz w:val="20"/>
              </w:rPr>
            </w:pPr>
            <w:r w:rsidRPr="00D01616">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B7208E" w:rsidRPr="00D01616" w:rsidRDefault="00B7208E" w:rsidP="006F060D">
            <w:pPr>
              <w:rPr>
                <w:rFonts w:ascii="Arial Narrow" w:hAnsi="Arial Narrow"/>
                <w:sz w:val="20"/>
              </w:rPr>
            </w:pPr>
          </w:p>
          <w:p w:rsidR="00B7208E" w:rsidRPr="00D01616" w:rsidRDefault="00B7208E" w:rsidP="006F060D">
            <w:pPr>
              <w:rPr>
                <w:rFonts w:ascii="Arial Narrow" w:hAnsi="Arial Narrow"/>
                <w:sz w:val="20"/>
              </w:rPr>
            </w:pPr>
            <w:r w:rsidRPr="00D01616">
              <w:rPr>
                <w:rFonts w:ascii="Arial Narrow" w:hAnsi="Arial Narrow"/>
                <w:sz w:val="20"/>
              </w:rPr>
              <w:t xml:space="preserve">Applications for authority to prescribe should be forwarded to: </w:t>
            </w:r>
          </w:p>
          <w:p w:rsidR="00B7208E" w:rsidRPr="00D01616" w:rsidRDefault="00B7208E" w:rsidP="006F060D">
            <w:pPr>
              <w:rPr>
                <w:rFonts w:ascii="Arial Narrow" w:hAnsi="Arial Narrow"/>
                <w:sz w:val="20"/>
              </w:rPr>
            </w:pPr>
            <w:r w:rsidRPr="00D01616">
              <w:rPr>
                <w:rFonts w:ascii="Arial Narrow" w:hAnsi="Arial Narrow"/>
                <w:sz w:val="20"/>
              </w:rPr>
              <w:t>Department of Human Services</w:t>
            </w:r>
          </w:p>
          <w:p w:rsidR="00B7208E" w:rsidRPr="00D01616" w:rsidRDefault="00B7208E" w:rsidP="006F060D">
            <w:pPr>
              <w:rPr>
                <w:rFonts w:ascii="Arial Narrow" w:hAnsi="Arial Narrow"/>
                <w:sz w:val="20"/>
              </w:rPr>
            </w:pPr>
            <w:r w:rsidRPr="00D01616">
              <w:rPr>
                <w:rFonts w:ascii="Arial Narrow" w:hAnsi="Arial Narrow"/>
                <w:sz w:val="20"/>
              </w:rPr>
              <w:t xml:space="preserve">Prior Written Approval of Complex Drugs </w:t>
            </w:r>
          </w:p>
          <w:p w:rsidR="00B7208E" w:rsidRPr="00D01616" w:rsidRDefault="00B7208E" w:rsidP="006F060D">
            <w:pPr>
              <w:rPr>
                <w:rFonts w:ascii="Arial Narrow" w:hAnsi="Arial Narrow"/>
                <w:sz w:val="20"/>
              </w:rPr>
            </w:pPr>
            <w:r w:rsidRPr="00D01616">
              <w:rPr>
                <w:rFonts w:ascii="Arial Narrow" w:hAnsi="Arial Narrow"/>
                <w:sz w:val="20"/>
              </w:rPr>
              <w:t xml:space="preserve">Reply Paid 9826 </w:t>
            </w:r>
          </w:p>
          <w:p w:rsidR="00B7208E" w:rsidRPr="00D01616" w:rsidRDefault="00B7208E" w:rsidP="006F060D">
            <w:pPr>
              <w:rPr>
                <w:rFonts w:ascii="Arial Narrow" w:hAnsi="Arial Narrow"/>
                <w:sz w:val="20"/>
              </w:rPr>
            </w:pPr>
            <w:r w:rsidRPr="00D01616">
              <w:rPr>
                <w:rFonts w:ascii="Arial Narrow" w:hAnsi="Arial Narrow"/>
                <w:sz w:val="20"/>
              </w:rPr>
              <w:t xml:space="preserve">GPO Box 9826 </w:t>
            </w:r>
          </w:p>
          <w:p w:rsidR="00B7208E" w:rsidRPr="00CF3D88" w:rsidRDefault="00B7208E" w:rsidP="006F060D">
            <w:pPr>
              <w:keepNext/>
              <w:keepLines/>
              <w:spacing w:beforeLines="40" w:before="96" w:after="40"/>
              <w:rPr>
                <w:rFonts w:ascii="Arial Narrow" w:hAnsi="Arial Narrow"/>
                <w:sz w:val="20"/>
              </w:rPr>
            </w:pPr>
            <w:r w:rsidRPr="00D01616">
              <w:rPr>
                <w:rFonts w:ascii="Arial Narrow" w:hAnsi="Arial Narrow"/>
                <w:sz w:val="20"/>
              </w:rPr>
              <w:t>HOBART TAS 7001</w:t>
            </w:r>
          </w:p>
        </w:tc>
      </w:tr>
    </w:tbl>
    <w:p w:rsidR="00B7208E" w:rsidRDefault="00B7208E" w:rsidP="00B7208E"/>
    <w:p w:rsidR="00A27479" w:rsidRPr="00CF3D88" w:rsidRDefault="00A27479" w:rsidP="00B7208E"/>
    <w:tbl>
      <w:tblPr>
        <w:tblW w:w="8364" w:type="dxa"/>
        <w:tblInd w:w="108" w:type="dxa"/>
        <w:tblLayout w:type="fixed"/>
        <w:tblLook w:val="0000" w:firstRow="0" w:lastRow="0" w:firstColumn="0" w:lastColumn="0" w:noHBand="0" w:noVBand="0"/>
      </w:tblPr>
      <w:tblGrid>
        <w:gridCol w:w="2552"/>
        <w:gridCol w:w="283"/>
        <w:gridCol w:w="709"/>
        <w:gridCol w:w="1843"/>
        <w:gridCol w:w="992"/>
        <w:gridCol w:w="1985"/>
      </w:tblGrid>
      <w:tr w:rsidR="00B7208E" w:rsidRPr="00CF3D88" w:rsidTr="006F060D">
        <w:trPr>
          <w:cantSplit/>
          <w:trHeight w:val="471"/>
        </w:trPr>
        <w:tc>
          <w:tcPr>
            <w:tcW w:w="2552" w:type="dxa"/>
            <w:tcBorders>
              <w:bottom w:val="single" w:sz="4" w:space="0" w:color="auto"/>
            </w:tcBorders>
          </w:tcPr>
          <w:p w:rsidR="00B7208E" w:rsidRPr="00CF3D88" w:rsidRDefault="00B7208E" w:rsidP="006F060D">
            <w:pPr>
              <w:keepNext/>
              <w:ind w:left="-108"/>
              <w:rPr>
                <w:rFonts w:ascii="Arial Narrow" w:hAnsi="Arial Narrow"/>
                <w:sz w:val="20"/>
              </w:rPr>
            </w:pPr>
            <w:r w:rsidRPr="00CF3D88">
              <w:rPr>
                <w:rFonts w:ascii="Arial Narrow" w:hAnsi="Arial Narrow"/>
                <w:sz w:val="20"/>
              </w:rPr>
              <w:lastRenderedPageBreak/>
              <w:t>Name, Restriction,</w:t>
            </w:r>
          </w:p>
          <w:p w:rsidR="00B7208E" w:rsidRPr="00CF3D88" w:rsidRDefault="00B7208E" w:rsidP="006F060D">
            <w:pPr>
              <w:keepNext/>
              <w:ind w:left="-108"/>
              <w:rPr>
                <w:rFonts w:ascii="Arial Narrow" w:hAnsi="Arial Narrow"/>
                <w:sz w:val="20"/>
              </w:rPr>
            </w:pPr>
            <w:r w:rsidRPr="00CF3D88">
              <w:rPr>
                <w:rFonts w:ascii="Arial Narrow" w:hAnsi="Arial Narrow"/>
                <w:sz w:val="20"/>
              </w:rPr>
              <w:t>Manner of administration and form</w:t>
            </w:r>
          </w:p>
        </w:tc>
        <w:tc>
          <w:tcPr>
            <w:tcW w:w="992" w:type="dxa"/>
            <w:gridSpan w:val="2"/>
            <w:tcBorders>
              <w:bottom w:val="single" w:sz="4" w:space="0" w:color="auto"/>
            </w:tcBorders>
          </w:tcPr>
          <w:p w:rsidR="00B7208E" w:rsidRPr="00CF3D88" w:rsidRDefault="00B7208E" w:rsidP="006F060D">
            <w:pPr>
              <w:keepNext/>
              <w:ind w:left="-108"/>
              <w:jc w:val="center"/>
              <w:rPr>
                <w:rFonts w:ascii="Arial Narrow" w:hAnsi="Arial Narrow"/>
                <w:sz w:val="20"/>
              </w:rPr>
            </w:pPr>
            <w:r w:rsidRPr="00CF3D88">
              <w:rPr>
                <w:rFonts w:ascii="Arial Narrow" w:hAnsi="Arial Narrow"/>
                <w:sz w:val="20"/>
              </w:rPr>
              <w:t>Max.</w:t>
            </w:r>
          </w:p>
          <w:p w:rsidR="00B7208E" w:rsidRPr="00CF3D88" w:rsidRDefault="00B7208E" w:rsidP="006F060D">
            <w:pPr>
              <w:keepNext/>
              <w:ind w:left="-108"/>
              <w:jc w:val="center"/>
              <w:rPr>
                <w:rFonts w:ascii="Arial Narrow" w:hAnsi="Arial Narrow"/>
                <w:sz w:val="20"/>
              </w:rPr>
            </w:pPr>
            <w:r w:rsidRPr="00CF3D88">
              <w:rPr>
                <w:rFonts w:ascii="Arial Narrow" w:hAnsi="Arial Narrow"/>
                <w:sz w:val="20"/>
              </w:rPr>
              <w:t>Amount</w:t>
            </w:r>
          </w:p>
        </w:tc>
        <w:tc>
          <w:tcPr>
            <w:tcW w:w="1843" w:type="dxa"/>
            <w:tcBorders>
              <w:bottom w:val="single" w:sz="4" w:space="0" w:color="auto"/>
            </w:tcBorders>
          </w:tcPr>
          <w:p w:rsidR="00B7208E" w:rsidRPr="00CF3D88" w:rsidRDefault="00B7208E" w:rsidP="006F060D">
            <w:pPr>
              <w:keepNext/>
              <w:ind w:left="-108"/>
              <w:jc w:val="center"/>
              <w:rPr>
                <w:rFonts w:ascii="Arial Narrow" w:hAnsi="Arial Narrow"/>
                <w:sz w:val="20"/>
              </w:rPr>
            </w:pPr>
            <w:r w:rsidRPr="00CF3D88">
              <w:rPr>
                <w:rFonts w:ascii="Arial Narrow" w:hAnsi="Arial Narrow"/>
                <w:sz w:val="20"/>
              </w:rPr>
              <w:t>№.of</w:t>
            </w:r>
          </w:p>
          <w:p w:rsidR="00B7208E" w:rsidRPr="00CF3D88" w:rsidRDefault="00B7208E" w:rsidP="006F060D">
            <w:pPr>
              <w:keepNext/>
              <w:ind w:left="-108"/>
              <w:jc w:val="center"/>
              <w:rPr>
                <w:rFonts w:ascii="Arial Narrow" w:hAnsi="Arial Narrow"/>
                <w:sz w:val="20"/>
              </w:rPr>
            </w:pPr>
            <w:r w:rsidRPr="00CF3D88">
              <w:rPr>
                <w:rFonts w:ascii="Arial Narrow" w:hAnsi="Arial Narrow"/>
                <w:sz w:val="20"/>
              </w:rPr>
              <w:t>Rpts</w:t>
            </w:r>
          </w:p>
        </w:tc>
        <w:tc>
          <w:tcPr>
            <w:tcW w:w="2977" w:type="dxa"/>
            <w:gridSpan w:val="2"/>
            <w:tcBorders>
              <w:bottom w:val="single" w:sz="4" w:space="0" w:color="auto"/>
            </w:tcBorders>
          </w:tcPr>
          <w:p w:rsidR="00B7208E" w:rsidRPr="00CF3D88" w:rsidRDefault="00B7208E" w:rsidP="006F060D">
            <w:pPr>
              <w:keepNext/>
              <w:jc w:val="center"/>
              <w:rPr>
                <w:rFonts w:ascii="Arial Narrow" w:hAnsi="Arial Narrow"/>
                <w:sz w:val="20"/>
              </w:rPr>
            </w:pPr>
            <w:r w:rsidRPr="00CF3D88">
              <w:rPr>
                <w:rFonts w:ascii="Arial Narrow" w:hAnsi="Arial Narrow"/>
                <w:sz w:val="20"/>
              </w:rPr>
              <w:t>Pr</w:t>
            </w:r>
            <w:r>
              <w:rPr>
                <w:rFonts w:ascii="Arial Narrow" w:hAnsi="Arial Narrow"/>
                <w:sz w:val="20"/>
              </w:rPr>
              <w:t xml:space="preserve">oprietary  Name and </w:t>
            </w:r>
            <w:r w:rsidRPr="00CF3D88">
              <w:rPr>
                <w:rFonts w:ascii="Arial Narrow" w:hAnsi="Arial Narrow"/>
                <w:sz w:val="20"/>
              </w:rPr>
              <w:t>Manufacturer</w:t>
            </w:r>
          </w:p>
        </w:tc>
      </w:tr>
      <w:tr w:rsidR="00B7208E" w:rsidRPr="00CF3D88" w:rsidTr="006F060D">
        <w:trPr>
          <w:cantSplit/>
          <w:trHeight w:val="577"/>
        </w:trPr>
        <w:tc>
          <w:tcPr>
            <w:tcW w:w="2552" w:type="dxa"/>
            <w:vAlign w:val="center"/>
          </w:tcPr>
          <w:p w:rsidR="00B7208E" w:rsidRPr="00CF3D88" w:rsidRDefault="00B7208E" w:rsidP="006F060D">
            <w:pPr>
              <w:keepNext/>
              <w:ind w:left="-108"/>
              <w:rPr>
                <w:rFonts w:ascii="Arial Narrow" w:hAnsi="Arial Narrow"/>
                <w:sz w:val="20"/>
              </w:rPr>
            </w:pPr>
            <w:r w:rsidRPr="00CF3D88">
              <w:rPr>
                <w:rFonts w:ascii="Arial Narrow" w:hAnsi="Arial Narrow"/>
                <w:sz w:val="20"/>
              </w:rPr>
              <w:t>BRENTUXIMAB VEDOTIN</w:t>
            </w:r>
          </w:p>
          <w:p w:rsidR="00B7208E" w:rsidRPr="00CF3D88" w:rsidRDefault="00B7208E" w:rsidP="006F060D">
            <w:pPr>
              <w:keepNext/>
              <w:ind w:left="-108"/>
              <w:rPr>
                <w:rFonts w:ascii="Arial Narrow" w:hAnsi="Arial Narrow"/>
                <w:sz w:val="20"/>
              </w:rPr>
            </w:pPr>
            <w:r w:rsidRPr="00CF3D88">
              <w:rPr>
                <w:rFonts w:ascii="Arial Narrow" w:hAnsi="Arial Narrow"/>
                <w:sz w:val="20"/>
              </w:rPr>
              <w:t xml:space="preserve">50 mg vial for IV infusion, 1 </w:t>
            </w:r>
          </w:p>
        </w:tc>
        <w:tc>
          <w:tcPr>
            <w:tcW w:w="992" w:type="dxa"/>
            <w:gridSpan w:val="2"/>
            <w:vAlign w:val="center"/>
          </w:tcPr>
          <w:p w:rsidR="00B7208E" w:rsidRPr="00CF3D88" w:rsidRDefault="00B7208E" w:rsidP="006F060D">
            <w:pPr>
              <w:keepNext/>
              <w:ind w:left="-108"/>
              <w:jc w:val="center"/>
              <w:rPr>
                <w:rFonts w:ascii="Arial Narrow" w:hAnsi="Arial Narrow"/>
                <w:sz w:val="20"/>
              </w:rPr>
            </w:pPr>
          </w:p>
          <w:p w:rsidR="00B7208E" w:rsidRPr="00CF3D88" w:rsidRDefault="00B7208E" w:rsidP="006F060D">
            <w:pPr>
              <w:keepNext/>
              <w:ind w:left="-108"/>
              <w:jc w:val="center"/>
              <w:rPr>
                <w:rFonts w:ascii="Arial Narrow" w:hAnsi="Arial Narrow"/>
                <w:sz w:val="20"/>
              </w:rPr>
            </w:pPr>
            <w:r w:rsidRPr="00CF3D88">
              <w:rPr>
                <w:rFonts w:ascii="Arial Narrow" w:hAnsi="Arial Narrow"/>
                <w:sz w:val="20"/>
              </w:rPr>
              <w:t>200 mg</w:t>
            </w:r>
          </w:p>
        </w:tc>
        <w:tc>
          <w:tcPr>
            <w:tcW w:w="1843" w:type="dxa"/>
            <w:vAlign w:val="center"/>
          </w:tcPr>
          <w:p w:rsidR="00B7208E" w:rsidRPr="00CF3D88" w:rsidRDefault="00B7208E" w:rsidP="006F060D">
            <w:pPr>
              <w:keepNext/>
              <w:ind w:left="-108"/>
              <w:jc w:val="center"/>
              <w:rPr>
                <w:rFonts w:ascii="Arial Narrow" w:hAnsi="Arial Narrow"/>
                <w:sz w:val="20"/>
              </w:rPr>
            </w:pPr>
          </w:p>
          <w:p w:rsidR="00B7208E" w:rsidRPr="00CF3D88" w:rsidRDefault="00B7208E" w:rsidP="006F060D">
            <w:pPr>
              <w:keepNext/>
              <w:ind w:left="-108"/>
              <w:jc w:val="center"/>
              <w:rPr>
                <w:rFonts w:ascii="Arial Narrow" w:hAnsi="Arial Narrow"/>
                <w:sz w:val="20"/>
              </w:rPr>
            </w:pPr>
            <w:r w:rsidRPr="00CF3D88">
              <w:rPr>
                <w:rFonts w:ascii="Arial Narrow" w:hAnsi="Arial Narrow"/>
                <w:sz w:val="20"/>
              </w:rPr>
              <w:t>11</w:t>
            </w:r>
          </w:p>
        </w:tc>
        <w:tc>
          <w:tcPr>
            <w:tcW w:w="992" w:type="dxa"/>
            <w:vAlign w:val="center"/>
          </w:tcPr>
          <w:p w:rsidR="00B7208E" w:rsidRPr="00CF3D88" w:rsidRDefault="00B7208E" w:rsidP="001C0E7B">
            <w:pPr>
              <w:keepNext/>
              <w:rPr>
                <w:rFonts w:ascii="Arial Narrow" w:hAnsi="Arial Narrow"/>
                <w:sz w:val="20"/>
              </w:rPr>
            </w:pPr>
            <w:r w:rsidRPr="00CF3D88">
              <w:rPr>
                <w:rFonts w:ascii="Arial Narrow" w:hAnsi="Arial Narrow"/>
                <w:sz w:val="20"/>
              </w:rPr>
              <w:t>Adcetris</w:t>
            </w:r>
            <w:r w:rsidRPr="00CF3D88">
              <w:rPr>
                <w:rFonts w:ascii="Arial Narrow" w:hAnsi="Arial Narrow"/>
                <w:sz w:val="20"/>
                <w:vertAlign w:val="superscript"/>
              </w:rPr>
              <w:t>®</w:t>
            </w:r>
          </w:p>
        </w:tc>
        <w:tc>
          <w:tcPr>
            <w:tcW w:w="1985" w:type="dxa"/>
          </w:tcPr>
          <w:p w:rsidR="00B7208E" w:rsidRPr="00CF3D88" w:rsidRDefault="00B7208E" w:rsidP="006F060D">
            <w:pPr>
              <w:keepNext/>
              <w:jc w:val="center"/>
              <w:rPr>
                <w:rFonts w:ascii="Arial Narrow" w:hAnsi="Arial Narrow"/>
                <w:sz w:val="20"/>
              </w:rPr>
            </w:pPr>
            <w:r w:rsidRPr="00CF3D88">
              <w:rPr>
                <w:rFonts w:ascii="Arial Narrow" w:hAnsi="Arial Narrow"/>
                <w:sz w:val="20"/>
              </w:rPr>
              <w:t>Takeda Pharmaceuticals Australia Pty Ltd</w:t>
            </w:r>
          </w:p>
        </w:tc>
      </w:tr>
      <w:tr w:rsidR="00B7208E" w:rsidRPr="00CF3D88" w:rsidTr="006F060D">
        <w:trPr>
          <w:cantSplit/>
          <w:trHeight w:val="360"/>
        </w:trPr>
        <w:tc>
          <w:tcPr>
            <w:tcW w:w="8364" w:type="dxa"/>
            <w:gridSpan w:val="6"/>
            <w:tcBorders>
              <w:bottom w:val="single" w:sz="4" w:space="0" w:color="auto"/>
            </w:tcBorders>
          </w:tcPr>
          <w:p w:rsidR="00B7208E" w:rsidRPr="00CF3D88" w:rsidRDefault="00B7208E" w:rsidP="006F060D">
            <w:pPr>
              <w:rPr>
                <w:rFonts w:ascii="Arial Narrow" w:hAnsi="Arial Narrow"/>
                <w:sz w:val="20"/>
              </w:rPr>
            </w:pP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 xml:space="preserve">Category / </w:t>
            </w:r>
          </w:p>
          <w:p w:rsidR="00B7208E" w:rsidRPr="00CF3D88" w:rsidRDefault="00B7208E" w:rsidP="006F060D">
            <w:pPr>
              <w:rPr>
                <w:rFonts w:ascii="Arial Narrow" w:hAnsi="Arial Narrow"/>
                <w:b/>
                <w:sz w:val="20"/>
              </w:rPr>
            </w:pPr>
            <w:r w:rsidRPr="00CF3D88">
              <w:rPr>
                <w:rFonts w:ascii="Arial Narrow" w:hAnsi="Arial Narrow"/>
                <w:b/>
                <w:sz w:val="20"/>
              </w:rPr>
              <w:t>Program</w:t>
            </w:r>
          </w:p>
        </w:tc>
        <w:tc>
          <w:tcPr>
            <w:tcW w:w="5529" w:type="dxa"/>
            <w:gridSpan w:val="4"/>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sz w:val="20"/>
              </w:rPr>
            </w:pPr>
            <w:r w:rsidRPr="00CF3D88">
              <w:rPr>
                <w:rFonts w:ascii="Arial Narrow" w:hAnsi="Arial Narrow"/>
                <w:sz w:val="20"/>
              </w:rPr>
              <w:t>Section 100 – Efficient Funding of Chemotherapy</w:t>
            </w:r>
          </w:p>
          <w:p w:rsidR="00B7208E" w:rsidRPr="00CF3D88" w:rsidRDefault="00B7208E" w:rsidP="006F060D">
            <w:pPr>
              <w:rPr>
                <w:rFonts w:ascii="Arial Narrow" w:hAnsi="Arial Narrow"/>
                <w:sz w:val="20"/>
              </w:rPr>
            </w:pP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Prescriber type:</w:t>
            </w:r>
          </w:p>
          <w:p w:rsidR="00B7208E" w:rsidRPr="00CF3D88" w:rsidRDefault="00B7208E" w:rsidP="006F060D">
            <w:pPr>
              <w:rPr>
                <w:rFonts w:ascii="Arial Narrow" w:hAnsi="Arial Narrow"/>
                <w:b/>
                <w:sz w:val="20"/>
              </w:rPr>
            </w:pPr>
          </w:p>
        </w:tc>
        <w:tc>
          <w:tcPr>
            <w:tcW w:w="5529" w:type="dxa"/>
            <w:gridSpan w:val="4"/>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1"/>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Dental  </w:t>
            </w:r>
            <w:r w:rsidRPr="00CF3D88">
              <w:rPr>
                <w:rFonts w:ascii="Arial Narrow" w:hAnsi="Arial Narrow"/>
                <w:sz w:val="20"/>
              </w:rPr>
              <w:fldChar w:fldCharType="begin">
                <w:ffData>
                  <w:name w:val=""/>
                  <w:enabled/>
                  <w:calcOnExit w:val="0"/>
                  <w:checkBox>
                    <w:sizeAuto/>
                    <w:default w:val="1"/>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Medical Practitioners  </w:t>
            </w:r>
            <w:r w:rsidRPr="00CF3D88">
              <w:rPr>
                <w:rFonts w:ascii="Arial Narrow" w:hAnsi="Arial Narrow"/>
                <w:sz w:val="20"/>
              </w:rPr>
              <w:fldChar w:fldCharType="begin">
                <w:ffData>
                  <w:name w:val="Check3"/>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 xml:space="preserve">Nurse practitioners  </w:t>
            </w:r>
            <w:r w:rsidRPr="00CF3D88">
              <w:rPr>
                <w:rFonts w:ascii="Arial Narrow" w:hAnsi="Arial Narrow"/>
                <w:sz w:val="20"/>
              </w:rPr>
              <w:fldChar w:fldCharType="begin">
                <w:ffData>
                  <w:name w:val=""/>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Optometrists</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Midwives</w:t>
            </w: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Severity:</w:t>
            </w:r>
          </w:p>
        </w:tc>
        <w:tc>
          <w:tcPr>
            <w:tcW w:w="5529" w:type="dxa"/>
            <w:gridSpan w:val="4"/>
            <w:tcBorders>
              <w:top w:val="single" w:sz="4" w:space="0" w:color="auto"/>
              <w:left w:val="single" w:sz="4" w:space="0" w:color="auto"/>
              <w:bottom w:val="single" w:sz="4" w:space="0" w:color="auto"/>
              <w:right w:val="single" w:sz="4" w:space="0" w:color="auto"/>
            </w:tcBorders>
            <w:vAlign w:val="center"/>
          </w:tcPr>
          <w:p w:rsidR="00B7208E" w:rsidRPr="00457767" w:rsidRDefault="00B7208E" w:rsidP="006F060D">
            <w:pPr>
              <w:rPr>
                <w:rFonts w:ascii="Arial Narrow" w:hAnsi="Arial Narrow"/>
                <w:sz w:val="20"/>
              </w:rPr>
            </w:pPr>
            <w:r w:rsidRPr="00457767">
              <w:rPr>
                <w:rFonts w:ascii="Arial Narrow" w:hAnsi="Arial Narrow"/>
                <w:sz w:val="20"/>
              </w:rPr>
              <w:t>Relapsed or Refractory</w:t>
            </w: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Condition:</w:t>
            </w:r>
          </w:p>
        </w:tc>
        <w:tc>
          <w:tcPr>
            <w:tcW w:w="5529" w:type="dxa"/>
            <w:gridSpan w:val="4"/>
            <w:tcBorders>
              <w:top w:val="single" w:sz="4" w:space="0" w:color="auto"/>
              <w:left w:val="single" w:sz="4" w:space="0" w:color="auto"/>
              <w:bottom w:val="single" w:sz="4" w:space="0" w:color="auto"/>
              <w:right w:val="single" w:sz="4" w:space="0" w:color="auto"/>
            </w:tcBorders>
            <w:vAlign w:val="center"/>
          </w:tcPr>
          <w:p w:rsidR="00B7208E" w:rsidRPr="00457767" w:rsidRDefault="00B7208E" w:rsidP="006F060D">
            <w:pPr>
              <w:rPr>
                <w:rFonts w:ascii="Arial Narrow" w:hAnsi="Arial Narrow"/>
                <w:sz w:val="20"/>
              </w:rPr>
            </w:pPr>
            <w:r w:rsidRPr="00457767">
              <w:rPr>
                <w:rFonts w:ascii="Arial Narrow" w:hAnsi="Arial Narrow"/>
                <w:sz w:val="20"/>
              </w:rPr>
              <w:t>Hodgkin lymphoma</w:t>
            </w:r>
          </w:p>
        </w:tc>
      </w:tr>
      <w:tr w:rsidR="00B7208E" w:rsidRPr="00CF3D88" w:rsidTr="006F060D">
        <w:trPr>
          <w:cantSplit/>
          <w:trHeight w:val="373"/>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i/>
                <w:sz w:val="20"/>
              </w:rPr>
            </w:pPr>
            <w:r w:rsidRPr="00CF3D88">
              <w:rPr>
                <w:rFonts w:ascii="Arial Narrow" w:hAnsi="Arial Narrow"/>
                <w:b/>
                <w:sz w:val="20"/>
              </w:rPr>
              <w:t>PBS Indication:</w:t>
            </w:r>
          </w:p>
        </w:tc>
        <w:tc>
          <w:tcPr>
            <w:tcW w:w="5529" w:type="dxa"/>
            <w:gridSpan w:val="4"/>
            <w:tcBorders>
              <w:top w:val="single" w:sz="4" w:space="0" w:color="auto"/>
              <w:left w:val="single" w:sz="4" w:space="0" w:color="auto"/>
              <w:bottom w:val="single" w:sz="4" w:space="0" w:color="auto"/>
              <w:right w:val="single" w:sz="4" w:space="0" w:color="auto"/>
            </w:tcBorders>
            <w:vAlign w:val="center"/>
          </w:tcPr>
          <w:p w:rsidR="00B7208E" w:rsidRPr="00457767" w:rsidRDefault="00B7208E" w:rsidP="006F060D">
            <w:pPr>
              <w:rPr>
                <w:rFonts w:ascii="Arial Narrow" w:hAnsi="Arial Narrow"/>
                <w:sz w:val="20"/>
              </w:rPr>
            </w:pPr>
            <w:r w:rsidRPr="00457767">
              <w:rPr>
                <w:rFonts w:ascii="Arial Narrow" w:hAnsi="Arial Narrow"/>
                <w:sz w:val="20"/>
              </w:rPr>
              <w:t>Relapsed or Refractory Hodgkin lymphoma</w:t>
            </w: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Treatment phase:</w:t>
            </w:r>
          </w:p>
          <w:p w:rsidR="00B7208E" w:rsidRPr="00CF3D88" w:rsidRDefault="00B7208E" w:rsidP="006F060D">
            <w:pPr>
              <w:rPr>
                <w:rFonts w:ascii="Arial Narrow" w:hAnsi="Arial Narrow"/>
                <w:i/>
                <w:sz w:val="20"/>
              </w:rPr>
            </w:pPr>
          </w:p>
        </w:tc>
        <w:tc>
          <w:tcPr>
            <w:tcW w:w="5529" w:type="dxa"/>
            <w:gridSpan w:val="4"/>
            <w:tcBorders>
              <w:top w:val="single" w:sz="4" w:space="0" w:color="auto"/>
              <w:left w:val="single" w:sz="4" w:space="0" w:color="auto"/>
              <w:bottom w:val="single" w:sz="4" w:space="0" w:color="auto"/>
              <w:right w:val="single" w:sz="4" w:space="0" w:color="auto"/>
            </w:tcBorders>
            <w:vAlign w:val="center"/>
          </w:tcPr>
          <w:p w:rsidR="00B7208E" w:rsidRPr="00457767" w:rsidRDefault="00B7208E" w:rsidP="006F060D">
            <w:pPr>
              <w:rPr>
                <w:rFonts w:ascii="Arial Narrow" w:hAnsi="Arial Narrow"/>
                <w:sz w:val="20"/>
              </w:rPr>
            </w:pPr>
            <w:r w:rsidRPr="00457767">
              <w:rPr>
                <w:rFonts w:ascii="Arial Narrow" w:hAnsi="Arial Narrow"/>
                <w:sz w:val="20"/>
              </w:rPr>
              <w:t>Continuing treatment</w:t>
            </w:r>
          </w:p>
        </w:tc>
      </w:tr>
      <w:tr w:rsidR="00B7208E" w:rsidRPr="00CF3D88"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Restriction Level / Method:</w:t>
            </w:r>
          </w:p>
          <w:p w:rsidR="00B7208E" w:rsidRPr="00CF3D88" w:rsidRDefault="00B7208E" w:rsidP="006F060D">
            <w:pPr>
              <w:rPr>
                <w:rFonts w:ascii="Arial Narrow" w:hAnsi="Arial Narrow"/>
                <w:i/>
                <w:sz w:val="20"/>
                <w:highlight w:val="yellow"/>
              </w:rPr>
            </w:pPr>
          </w:p>
          <w:p w:rsidR="00B7208E" w:rsidRPr="00CF3D88" w:rsidRDefault="00B7208E" w:rsidP="006F060D">
            <w:pPr>
              <w:rPr>
                <w:rFonts w:ascii="Arial Narrow" w:hAnsi="Arial Narrow"/>
                <w:i/>
                <w:sz w:val="20"/>
              </w:rPr>
            </w:pPr>
          </w:p>
          <w:p w:rsidR="00B7208E" w:rsidRPr="00CF3D88" w:rsidRDefault="00B7208E" w:rsidP="006F060D">
            <w:pPr>
              <w:rPr>
                <w:rFonts w:ascii="Arial Narrow" w:hAnsi="Arial Narrow"/>
                <w:i/>
                <w:sz w:val="20"/>
              </w:rPr>
            </w:pPr>
          </w:p>
        </w:tc>
        <w:tc>
          <w:tcPr>
            <w:tcW w:w="5529" w:type="dxa"/>
            <w:gridSpan w:val="4"/>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1"/>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Restricted benefit</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In Writing</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
                  <w:enabled/>
                  <w:calcOnExit w:val="0"/>
                  <w:checkBox>
                    <w:sizeAuto/>
                    <w:default w:val="1"/>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Telephone</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Emergency</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Electronic</w:t>
            </w:r>
          </w:p>
          <w:p w:rsidR="00B7208E" w:rsidRPr="00CF3D88" w:rsidRDefault="00B7208E" w:rsidP="006F060D">
            <w:pPr>
              <w:rPr>
                <w:rFonts w:ascii="Arial Narrow" w:hAnsi="Arial Narrow"/>
                <w:sz w:val="20"/>
              </w:rPr>
            </w:pPr>
            <w:r w:rsidRPr="00CF3D88">
              <w:rPr>
                <w:rFonts w:ascii="Arial Narrow" w:hAnsi="Arial Narrow"/>
                <w:sz w:val="20"/>
              </w:rPr>
              <w:fldChar w:fldCharType="begin">
                <w:ffData>
                  <w:name w:val="Check5"/>
                  <w:enabled/>
                  <w:calcOnExit w:val="0"/>
                  <w:checkBox>
                    <w:sizeAuto/>
                    <w:default w:val="0"/>
                  </w:checkBox>
                </w:ffData>
              </w:fldChar>
            </w:r>
            <w:r w:rsidRPr="00CF3D88">
              <w:rPr>
                <w:rFonts w:ascii="Arial Narrow" w:hAnsi="Arial Narrow"/>
                <w:sz w:val="20"/>
              </w:rPr>
              <w:instrText xml:space="preserve"> FORMCHECKBOX </w:instrText>
            </w:r>
            <w:r w:rsidR="00C60C7E">
              <w:rPr>
                <w:rFonts w:ascii="Arial Narrow" w:hAnsi="Arial Narrow"/>
                <w:sz w:val="20"/>
              </w:rPr>
            </w:r>
            <w:r w:rsidR="00C60C7E">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Streamlined</w:t>
            </w:r>
          </w:p>
        </w:tc>
      </w:tr>
      <w:tr w:rsidR="00B7208E" w:rsidRPr="006C7DB3"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Clinical criteria:</w:t>
            </w:r>
          </w:p>
          <w:p w:rsidR="00B7208E" w:rsidRPr="00CF3D88" w:rsidRDefault="00B7208E" w:rsidP="006F060D">
            <w:pPr>
              <w:rPr>
                <w:rFonts w:ascii="Arial Narrow" w:hAnsi="Arial Narrow"/>
                <w:i/>
                <w:sz w:val="20"/>
              </w:rPr>
            </w:pPr>
          </w:p>
          <w:p w:rsidR="00B7208E" w:rsidRPr="00CF3D88" w:rsidRDefault="00B7208E" w:rsidP="006F060D">
            <w:pPr>
              <w:rPr>
                <w:rFonts w:ascii="Arial Narrow" w:hAnsi="Arial Narrow"/>
                <w:sz w:val="20"/>
              </w:rPr>
            </w:pPr>
          </w:p>
        </w:tc>
        <w:tc>
          <w:tcPr>
            <w:tcW w:w="5529" w:type="dxa"/>
            <w:gridSpan w:val="4"/>
            <w:tcBorders>
              <w:top w:val="single" w:sz="4" w:space="0" w:color="auto"/>
              <w:left w:val="single" w:sz="4" w:space="0" w:color="auto"/>
              <w:bottom w:val="single" w:sz="4" w:space="0" w:color="auto"/>
              <w:right w:val="single" w:sz="4" w:space="0" w:color="auto"/>
            </w:tcBorders>
          </w:tcPr>
          <w:p w:rsidR="00B7208E" w:rsidRDefault="00B7208E" w:rsidP="006F060D">
            <w:pPr>
              <w:rPr>
                <w:rFonts w:ascii="Arial Narrow" w:hAnsi="Arial Narrow"/>
                <w:sz w:val="20"/>
              </w:rPr>
            </w:pPr>
            <w:r w:rsidRPr="006C7DB3">
              <w:rPr>
                <w:rFonts w:ascii="Arial Narrow" w:hAnsi="Arial Narrow"/>
                <w:sz w:val="20"/>
              </w:rPr>
              <w:t>Patient must have previously received PBS-subsidised treatment wi</w:t>
            </w:r>
            <w:r>
              <w:rPr>
                <w:rFonts w:ascii="Arial Narrow" w:hAnsi="Arial Narrow"/>
                <w:sz w:val="20"/>
              </w:rPr>
              <w:t>th this drug for this condition</w:t>
            </w:r>
          </w:p>
          <w:p w:rsidR="00B7208E" w:rsidRPr="006C7DB3" w:rsidRDefault="00116484" w:rsidP="006F060D">
            <w:pPr>
              <w:rPr>
                <w:rFonts w:ascii="Arial Narrow" w:hAnsi="Arial Narrow"/>
                <w:sz w:val="20"/>
              </w:rPr>
            </w:pPr>
            <w:r>
              <w:rPr>
                <w:rFonts w:ascii="Arial Narrow" w:hAnsi="Arial Narrow"/>
                <w:sz w:val="20"/>
              </w:rPr>
              <w:t>AND</w:t>
            </w:r>
          </w:p>
          <w:p w:rsidR="00B7208E" w:rsidRDefault="00B7208E" w:rsidP="006F060D">
            <w:pPr>
              <w:rPr>
                <w:rFonts w:ascii="Arial Narrow" w:hAnsi="Arial Narrow"/>
                <w:sz w:val="20"/>
              </w:rPr>
            </w:pPr>
            <w:r w:rsidRPr="006C7DB3">
              <w:rPr>
                <w:rFonts w:ascii="Arial Narrow" w:hAnsi="Arial Narrow"/>
                <w:sz w:val="20"/>
              </w:rPr>
              <w:t>Patient must not have progress</w:t>
            </w:r>
            <w:r>
              <w:rPr>
                <w:rFonts w:ascii="Arial Narrow" w:hAnsi="Arial Narrow"/>
                <w:sz w:val="20"/>
              </w:rPr>
              <w:t>ive disease while receiving PBS-</w:t>
            </w:r>
            <w:r w:rsidRPr="006C7DB3">
              <w:rPr>
                <w:rFonts w:ascii="Arial Narrow" w:hAnsi="Arial Narrow"/>
                <w:sz w:val="20"/>
              </w:rPr>
              <w:t>subsidised  treatment with this drug</w:t>
            </w:r>
          </w:p>
          <w:p w:rsidR="00B7208E" w:rsidRPr="006C7DB3" w:rsidRDefault="00B7208E" w:rsidP="006F060D">
            <w:pPr>
              <w:rPr>
                <w:rFonts w:ascii="Arial Narrow" w:hAnsi="Arial Narrow"/>
                <w:sz w:val="20"/>
              </w:rPr>
            </w:pPr>
            <w:r w:rsidRPr="006C7DB3">
              <w:rPr>
                <w:rFonts w:ascii="Arial Narrow" w:hAnsi="Arial Narrow"/>
                <w:sz w:val="20"/>
              </w:rPr>
              <w:t>AND</w:t>
            </w:r>
          </w:p>
          <w:p w:rsidR="00B7208E" w:rsidRPr="006C7DB3" w:rsidRDefault="00B7208E" w:rsidP="006F060D">
            <w:pPr>
              <w:rPr>
                <w:rFonts w:ascii="Arial Narrow" w:hAnsi="Arial Narrow"/>
                <w:sz w:val="20"/>
              </w:rPr>
            </w:pPr>
            <w:r w:rsidRPr="006C7DB3">
              <w:rPr>
                <w:rFonts w:ascii="Arial Narrow" w:hAnsi="Arial Narrow"/>
                <w:sz w:val="20"/>
              </w:rPr>
              <w:t>Patient must not receive more than 12 cycles of treatment under this restriction</w:t>
            </w:r>
          </w:p>
          <w:p w:rsidR="00B7208E" w:rsidRPr="006C7DB3" w:rsidRDefault="00B7208E" w:rsidP="006F060D">
            <w:pPr>
              <w:rPr>
                <w:rFonts w:ascii="Arial Narrow" w:hAnsi="Arial Narrow"/>
                <w:sz w:val="20"/>
              </w:rPr>
            </w:pPr>
          </w:p>
        </w:tc>
      </w:tr>
      <w:tr w:rsidR="00B7208E" w:rsidRPr="006C7DB3"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Prescriber Instructions</w:t>
            </w:r>
          </w:p>
          <w:p w:rsidR="00B7208E" w:rsidRPr="00CF3D88" w:rsidRDefault="00B7208E" w:rsidP="006F060D">
            <w:pPr>
              <w:rPr>
                <w:rFonts w:ascii="Arial Narrow" w:hAnsi="Arial Narrow"/>
                <w:sz w:val="20"/>
              </w:rPr>
            </w:pPr>
          </w:p>
        </w:tc>
        <w:tc>
          <w:tcPr>
            <w:tcW w:w="5529" w:type="dxa"/>
            <w:gridSpan w:val="4"/>
            <w:tcBorders>
              <w:top w:val="single" w:sz="4" w:space="0" w:color="auto"/>
              <w:left w:val="single" w:sz="4" w:space="0" w:color="auto"/>
              <w:bottom w:val="single" w:sz="4" w:space="0" w:color="auto"/>
              <w:right w:val="single" w:sz="4" w:space="0" w:color="auto"/>
            </w:tcBorders>
          </w:tcPr>
          <w:p w:rsidR="00B7208E" w:rsidRPr="006C7DB3" w:rsidRDefault="00B7208E" w:rsidP="006F060D">
            <w:pPr>
              <w:rPr>
                <w:rFonts w:ascii="Arial Narrow" w:hAnsi="Arial Narrow"/>
                <w:sz w:val="20"/>
              </w:rPr>
            </w:pPr>
            <w:r w:rsidRPr="006C7DB3">
              <w:rPr>
                <w:rFonts w:ascii="Arial Narrow" w:hAnsi="Arial Narrow"/>
                <w:sz w:val="20"/>
              </w:rPr>
              <w:t>Authority applications for continuing treatment may be made by telephone to the Department of Human Services on 1800 700 270 (hours of operation 8 a.m. t</w:t>
            </w:r>
            <w:r w:rsidR="00116484">
              <w:rPr>
                <w:rFonts w:ascii="Arial Narrow" w:hAnsi="Arial Narrow"/>
                <w:sz w:val="20"/>
              </w:rPr>
              <w:t>o 5 p.m. EST Monday to Friday).</w:t>
            </w:r>
          </w:p>
          <w:p w:rsidR="00B7208E" w:rsidRPr="006C7DB3" w:rsidRDefault="00B7208E" w:rsidP="006F060D">
            <w:pPr>
              <w:rPr>
                <w:rFonts w:ascii="Arial Narrow" w:hAnsi="Arial Narrow"/>
                <w:sz w:val="20"/>
              </w:rPr>
            </w:pPr>
          </w:p>
          <w:p w:rsidR="00B7208E" w:rsidRPr="006C7DB3" w:rsidRDefault="00B7208E" w:rsidP="006F060D">
            <w:pPr>
              <w:rPr>
                <w:rFonts w:ascii="Arial Narrow" w:hAnsi="Arial Narrow"/>
                <w:sz w:val="20"/>
              </w:rPr>
            </w:pPr>
            <w:r w:rsidRPr="006C7DB3">
              <w:rPr>
                <w:rFonts w:ascii="Arial Narrow" w:hAnsi="Arial Narrow"/>
                <w:sz w:val="20"/>
              </w:rPr>
              <w:t>The treatment must not exceed a total of 16 cycles in a lifetime.</w:t>
            </w:r>
          </w:p>
          <w:p w:rsidR="00B7208E" w:rsidRPr="006C7DB3" w:rsidRDefault="00B7208E" w:rsidP="006F060D">
            <w:pPr>
              <w:rPr>
                <w:rFonts w:ascii="Arial Narrow" w:hAnsi="Arial Narrow"/>
                <w:sz w:val="20"/>
              </w:rPr>
            </w:pPr>
          </w:p>
        </w:tc>
      </w:tr>
      <w:tr w:rsidR="00B7208E" w:rsidRPr="006C7DB3" w:rsidTr="006F060D">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7208E" w:rsidRPr="00CF3D88" w:rsidRDefault="00B7208E" w:rsidP="006F060D">
            <w:pPr>
              <w:rPr>
                <w:rFonts w:ascii="Arial Narrow" w:hAnsi="Arial Narrow"/>
                <w:b/>
                <w:sz w:val="20"/>
              </w:rPr>
            </w:pPr>
            <w:r w:rsidRPr="00CF3D88">
              <w:rPr>
                <w:rFonts w:ascii="Arial Narrow" w:hAnsi="Arial Narrow"/>
                <w:b/>
                <w:sz w:val="20"/>
              </w:rPr>
              <w:t>Administrative Advice</w:t>
            </w:r>
          </w:p>
          <w:p w:rsidR="00B7208E" w:rsidRPr="00CF3D88" w:rsidRDefault="00B7208E" w:rsidP="006F060D">
            <w:pPr>
              <w:rPr>
                <w:rFonts w:ascii="Arial Narrow" w:hAnsi="Arial Narrow"/>
                <w:sz w:val="20"/>
              </w:rPr>
            </w:pPr>
          </w:p>
        </w:tc>
        <w:tc>
          <w:tcPr>
            <w:tcW w:w="5529" w:type="dxa"/>
            <w:gridSpan w:val="4"/>
            <w:tcBorders>
              <w:top w:val="single" w:sz="4" w:space="0" w:color="auto"/>
              <w:left w:val="single" w:sz="4" w:space="0" w:color="auto"/>
              <w:bottom w:val="single" w:sz="4" w:space="0" w:color="auto"/>
              <w:right w:val="single" w:sz="4" w:space="0" w:color="auto"/>
            </w:tcBorders>
          </w:tcPr>
          <w:p w:rsidR="00B7208E" w:rsidRPr="006C7DB3" w:rsidRDefault="00B7208E" w:rsidP="006F060D">
            <w:pPr>
              <w:rPr>
                <w:rFonts w:ascii="Arial Narrow" w:hAnsi="Arial Narrow"/>
                <w:sz w:val="20"/>
              </w:rPr>
            </w:pPr>
            <w:r w:rsidRPr="006C7DB3">
              <w:rPr>
                <w:rFonts w:ascii="Arial Narrow" w:hAnsi="Arial Narrow"/>
                <w:sz w:val="20"/>
              </w:rPr>
              <w:t>No increase in the maximum number of repeats</w:t>
            </w:r>
            <w:r w:rsidR="00116484">
              <w:rPr>
                <w:rFonts w:ascii="Arial Narrow" w:hAnsi="Arial Narrow"/>
                <w:sz w:val="20"/>
              </w:rPr>
              <w:t xml:space="preserve"> may be authorised.</w:t>
            </w:r>
          </w:p>
          <w:p w:rsidR="00B7208E" w:rsidRPr="006C7DB3" w:rsidRDefault="00B7208E" w:rsidP="006F060D">
            <w:pPr>
              <w:rPr>
                <w:rFonts w:ascii="Arial Narrow" w:hAnsi="Arial Narrow"/>
                <w:sz w:val="20"/>
              </w:rPr>
            </w:pPr>
          </w:p>
          <w:p w:rsidR="00B7208E" w:rsidRPr="006C7DB3" w:rsidRDefault="00B7208E" w:rsidP="006F060D">
            <w:pPr>
              <w:rPr>
                <w:rFonts w:ascii="Arial Narrow" w:hAnsi="Arial Narrow"/>
                <w:sz w:val="20"/>
              </w:rPr>
            </w:pPr>
            <w:r w:rsidRPr="006C7DB3">
              <w:rPr>
                <w:rFonts w:ascii="Arial Narrow" w:hAnsi="Arial Narrow"/>
                <w:sz w:val="20"/>
              </w:rPr>
              <w:t>No increase in the maximum quantity or number of units may be authorised</w:t>
            </w:r>
          </w:p>
        </w:tc>
      </w:tr>
    </w:tbl>
    <w:p w:rsidR="00B7208E" w:rsidRPr="00CF3D88" w:rsidRDefault="00B7208E" w:rsidP="00B7208E">
      <w:pPr>
        <w:widowControl/>
        <w:jc w:val="left"/>
        <w:rPr>
          <w:i/>
          <w:szCs w:val="22"/>
        </w:rPr>
      </w:pPr>
    </w:p>
    <w:p w:rsidR="008C4BED" w:rsidRPr="00CF3D88" w:rsidRDefault="008C4BED" w:rsidP="001F129F"/>
    <w:p w:rsidR="007233C2" w:rsidRPr="007233C2" w:rsidRDefault="007233C2" w:rsidP="007233C2">
      <w:pPr>
        <w:pStyle w:val="PBACHeading1"/>
        <w:rPr>
          <w:bCs/>
        </w:rPr>
      </w:pPr>
      <w:r w:rsidRPr="007233C2">
        <w:rPr>
          <w:bCs/>
        </w:rPr>
        <w:t>Context for Decision</w:t>
      </w:r>
    </w:p>
    <w:p w:rsidR="007233C2" w:rsidRDefault="007233C2" w:rsidP="007233C2">
      <w:pPr>
        <w:ind w:left="426"/>
      </w:pPr>
    </w:p>
    <w:p w:rsidR="007233C2" w:rsidRDefault="007233C2" w:rsidP="007233C2">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233C2" w:rsidRDefault="007233C2" w:rsidP="007233C2">
      <w:pPr>
        <w:ind w:left="426"/>
      </w:pPr>
    </w:p>
    <w:p w:rsidR="007233C2" w:rsidRPr="007233C2" w:rsidRDefault="007233C2" w:rsidP="007233C2">
      <w:pPr>
        <w:pStyle w:val="PBACHeading1"/>
        <w:rPr>
          <w:bCs/>
        </w:rPr>
      </w:pPr>
      <w:r w:rsidRPr="007233C2">
        <w:rPr>
          <w:bCs/>
        </w:rPr>
        <w:lastRenderedPageBreak/>
        <w:t>Sponsor’s Comment</w:t>
      </w:r>
    </w:p>
    <w:p w:rsidR="007233C2" w:rsidRDefault="007233C2" w:rsidP="007233C2">
      <w:pPr>
        <w:ind w:left="426"/>
        <w:rPr>
          <w:bCs/>
          <w:highlight w:val="yellow"/>
          <w:lang w:val="en-GB"/>
        </w:rPr>
      </w:pPr>
    </w:p>
    <w:p w:rsidR="007F7AFA" w:rsidRPr="00451386" w:rsidRDefault="007F7AFA" w:rsidP="007F7AFA">
      <w:pPr>
        <w:spacing w:after="120"/>
        <w:ind w:left="709"/>
        <w:rPr>
          <w:bCs/>
          <w:szCs w:val="24"/>
        </w:rPr>
      </w:pPr>
      <w:r>
        <w:rPr>
          <w:bCs/>
          <w:szCs w:val="24"/>
        </w:rPr>
        <w:t>Takeda Pharmaceuticals Australia welcomes the PBAC’s positive recommendation for the listing of its innovative medicine brentuximab vedotin for patients with relapsed or refractory Hodgkin lymphoma post ASCT. Takeda Australia also acknowledges and thanks the clinical community and the patients / carers who</w:t>
      </w:r>
      <w:r w:rsidRPr="005E7BE8">
        <w:rPr>
          <w:bCs/>
          <w:szCs w:val="24"/>
        </w:rPr>
        <w:t xml:space="preserve"> </w:t>
      </w:r>
      <w:r>
        <w:rPr>
          <w:bCs/>
          <w:szCs w:val="24"/>
        </w:rPr>
        <w:t>contributed to this outcome via their input to the PBAC.</w:t>
      </w:r>
    </w:p>
    <w:p w:rsidR="00743464" w:rsidRPr="00CF3D88" w:rsidRDefault="00743464" w:rsidP="00765B96">
      <w:pPr>
        <w:rPr>
          <w:i/>
          <w:u w:val="single"/>
        </w:rPr>
      </w:pPr>
    </w:p>
    <w:sectPr w:rsidR="00743464" w:rsidRPr="00CF3D88" w:rsidSect="0058179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1DA513" w15:done="0"/>
  <w15:commentEx w15:paraId="313A8E05" w15:done="0"/>
  <w15:commentEx w15:paraId="2F82D361" w15:done="0"/>
  <w15:commentEx w15:paraId="333451A7" w15:done="0"/>
  <w15:commentEx w15:paraId="4DC26DB2" w15:paraIdParent="333451A7" w15:done="0"/>
  <w15:commentEx w15:paraId="1C21033E" w15:done="0"/>
  <w15:commentEx w15:paraId="7D7D01E7" w15:done="0"/>
  <w15:commentEx w15:paraId="2A1F44AD" w15:done="0"/>
  <w15:commentEx w15:paraId="31E3A1E1" w15:done="0"/>
  <w15:commentEx w15:paraId="2CFFE60F" w15:done="0"/>
  <w15:commentEx w15:paraId="3B45CC2B" w15:done="0"/>
  <w15:commentEx w15:paraId="0AFEE7A0" w15:done="0"/>
  <w15:commentEx w15:paraId="70E782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334" w:rsidRDefault="00D94334" w:rsidP="00124A51">
      <w:r>
        <w:separator/>
      </w:r>
    </w:p>
  </w:endnote>
  <w:endnote w:type="continuationSeparator" w:id="0">
    <w:p w:rsidR="00D94334" w:rsidRDefault="00D94334"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Italic">
    <w:panose1 w:val="00000000000000000000"/>
    <w:charset w:val="00"/>
    <w:family w:val="roman"/>
    <w:notTrueType/>
    <w:pitch w:val="default"/>
  </w:font>
  <w:font w:name="Lucida Grand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334" w:rsidRDefault="00D943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046134"/>
      <w:docPartObj>
        <w:docPartGallery w:val="Page Numbers (Bottom of Page)"/>
        <w:docPartUnique/>
      </w:docPartObj>
    </w:sdtPr>
    <w:sdtEndPr>
      <w:rPr>
        <w:noProof/>
        <w:sz w:val="20"/>
      </w:rPr>
    </w:sdtEndPr>
    <w:sdtContent>
      <w:p w:rsidR="00D94334" w:rsidRDefault="00D94334" w:rsidP="00D232C6">
        <w:pPr>
          <w:pStyle w:val="Footer"/>
          <w:jc w:val="center"/>
        </w:pPr>
      </w:p>
      <w:p w:rsidR="00D94334" w:rsidRPr="00D232C6" w:rsidRDefault="00D94334" w:rsidP="00D232C6">
        <w:pPr>
          <w:pStyle w:val="Footer"/>
          <w:jc w:val="center"/>
          <w:rPr>
            <w:sz w:val="20"/>
          </w:rPr>
        </w:pPr>
        <w:r w:rsidRPr="00535532">
          <w:rPr>
            <w:sz w:val="20"/>
          </w:rPr>
          <w:fldChar w:fldCharType="begin"/>
        </w:r>
        <w:r w:rsidRPr="00535532">
          <w:rPr>
            <w:sz w:val="20"/>
          </w:rPr>
          <w:instrText xml:space="preserve"> PAGE   \* MERGEFORMAT </w:instrText>
        </w:r>
        <w:r w:rsidRPr="00535532">
          <w:rPr>
            <w:sz w:val="20"/>
          </w:rPr>
          <w:fldChar w:fldCharType="separate"/>
        </w:r>
        <w:r w:rsidR="00C60C7E">
          <w:rPr>
            <w:noProof/>
            <w:sz w:val="20"/>
          </w:rPr>
          <w:t>1</w:t>
        </w:r>
        <w:r w:rsidRPr="00535532">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334" w:rsidRDefault="00D94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334" w:rsidRDefault="00D94334" w:rsidP="00124A51">
      <w:r>
        <w:separator/>
      </w:r>
    </w:p>
  </w:footnote>
  <w:footnote w:type="continuationSeparator" w:id="0">
    <w:p w:rsidR="00D94334" w:rsidRDefault="00D94334"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334" w:rsidRDefault="00D943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334" w:rsidRDefault="00D94334" w:rsidP="00E6287F">
    <w:pPr>
      <w:tabs>
        <w:tab w:val="left" w:pos="142"/>
        <w:tab w:val="right" w:pos="9027"/>
      </w:tabs>
      <w:jc w:val="center"/>
      <w:rPr>
        <w:i/>
        <w:color w:val="D9D9D9" w:themeColor="background1" w:themeShade="D9"/>
      </w:rPr>
    </w:pPr>
    <w:r>
      <w:rPr>
        <w:i/>
        <w:color w:val="D9D9D9" w:themeColor="background1" w:themeShade="D9"/>
      </w:rPr>
      <w:t>Public Summary Document</w:t>
    </w:r>
    <w:r w:rsidRPr="00E6287F">
      <w:rPr>
        <w:i/>
        <w:color w:val="D9D9D9" w:themeColor="background1" w:themeShade="D9"/>
      </w:rPr>
      <w:t xml:space="preserve"> – November 2016 PBAC Meeting</w:t>
    </w:r>
  </w:p>
  <w:p w:rsidR="00D94334" w:rsidRPr="00E6287F" w:rsidRDefault="00D94334" w:rsidP="00E6287F">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334" w:rsidRDefault="00D943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E50782"/>
    <w:multiLevelType w:val="hybridMultilevel"/>
    <w:tmpl w:val="837C99C6"/>
    <w:lvl w:ilvl="0" w:tplc="E3D2AE8C">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F4D58CA"/>
    <w:multiLevelType w:val="hybridMultilevel"/>
    <w:tmpl w:val="3CA87B80"/>
    <w:lvl w:ilvl="0" w:tplc="08090013">
      <w:start w:val="1"/>
      <w:numFmt w:val="upperRoman"/>
      <w:lvlText w:val="%1."/>
      <w:lvlJc w:val="right"/>
      <w:pPr>
        <w:ind w:left="1321" w:hanging="360"/>
      </w:p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5">
    <w:nsid w:val="2F9E78F1"/>
    <w:multiLevelType w:val="multilevel"/>
    <w:tmpl w:val="FA42533E"/>
    <w:lvl w:ilvl="0">
      <w:start w:val="1"/>
      <w:numFmt w:val="bullet"/>
      <w:lvlText w:val=""/>
      <w:lvlJc w:val="left"/>
      <w:pPr>
        <w:ind w:left="306" w:hanging="720"/>
      </w:pPr>
      <w:rPr>
        <w:rFonts w:ascii="Symbol" w:hAnsi="Symbol" w:hint="default"/>
        <w:b/>
      </w:rPr>
    </w:lvl>
    <w:lvl w:ilvl="1">
      <w:start w:val="1"/>
      <w:numFmt w:val="decimal"/>
      <w:lvlText w:val="%1.%2"/>
      <w:lvlJc w:val="left"/>
      <w:pPr>
        <w:ind w:left="306" w:hanging="72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666" w:hanging="1080"/>
      </w:pPr>
      <w:rPr>
        <w:rFonts w:hint="default"/>
      </w:rPr>
    </w:lvl>
    <w:lvl w:ilvl="4">
      <w:start w:val="1"/>
      <w:numFmt w:val="decimal"/>
      <w:lvlText w:val="%1.%2.%3.%4.%5"/>
      <w:lvlJc w:val="left"/>
      <w:pPr>
        <w:ind w:left="666" w:hanging="1080"/>
      </w:pPr>
      <w:rPr>
        <w:rFonts w:hint="default"/>
      </w:rPr>
    </w:lvl>
    <w:lvl w:ilvl="5">
      <w:start w:val="1"/>
      <w:numFmt w:val="decimal"/>
      <w:lvlText w:val="%1.%2.%3.%4.%5.%6"/>
      <w:lvlJc w:val="left"/>
      <w:pPr>
        <w:ind w:left="1026" w:hanging="1440"/>
      </w:pPr>
      <w:rPr>
        <w:rFonts w:hint="default"/>
      </w:rPr>
    </w:lvl>
    <w:lvl w:ilvl="6">
      <w:start w:val="1"/>
      <w:numFmt w:val="decimal"/>
      <w:lvlText w:val="%1.%2.%3.%4.%5.%6.%7"/>
      <w:lvlJc w:val="left"/>
      <w:pPr>
        <w:ind w:left="1026" w:hanging="1440"/>
      </w:pPr>
      <w:rPr>
        <w:rFonts w:hint="default"/>
      </w:rPr>
    </w:lvl>
    <w:lvl w:ilvl="7">
      <w:start w:val="1"/>
      <w:numFmt w:val="decimal"/>
      <w:lvlText w:val="%1.%2.%3.%4.%5.%6.%7.%8"/>
      <w:lvlJc w:val="left"/>
      <w:pPr>
        <w:ind w:left="1386" w:hanging="1800"/>
      </w:pPr>
      <w:rPr>
        <w:rFonts w:hint="default"/>
      </w:rPr>
    </w:lvl>
    <w:lvl w:ilvl="8">
      <w:start w:val="1"/>
      <w:numFmt w:val="decimal"/>
      <w:lvlText w:val="%1.%2.%3.%4.%5.%6.%7.%8.%9"/>
      <w:lvlJc w:val="left"/>
      <w:pPr>
        <w:ind w:left="1386" w:hanging="1800"/>
      </w:pPr>
      <w:rPr>
        <w:rFonts w:hint="default"/>
      </w:rPr>
    </w:lvl>
  </w:abstractNum>
  <w:abstractNum w:abstractNumId="6">
    <w:nsid w:val="356639E4"/>
    <w:multiLevelType w:val="multilevel"/>
    <w:tmpl w:val="2A10F42A"/>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976295C"/>
    <w:multiLevelType w:val="hybridMultilevel"/>
    <w:tmpl w:val="B266A2F2"/>
    <w:lvl w:ilvl="0" w:tplc="0C090001">
      <w:start w:val="1"/>
      <w:numFmt w:val="bullet"/>
      <w:lvlText w:val=""/>
      <w:lvlJc w:val="left"/>
      <w:pPr>
        <w:ind w:left="1378" w:hanging="360"/>
      </w:pPr>
      <w:rPr>
        <w:rFonts w:ascii="Symbol" w:hAnsi="Symbol"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8">
    <w:nsid w:val="3E062E9D"/>
    <w:multiLevelType w:val="hybridMultilevel"/>
    <w:tmpl w:val="0B0C4B02"/>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9">
    <w:nsid w:val="45A9344B"/>
    <w:multiLevelType w:val="hybridMultilevel"/>
    <w:tmpl w:val="9CC01F70"/>
    <w:lvl w:ilvl="0" w:tplc="0C090001">
      <w:start w:val="1"/>
      <w:numFmt w:val="bullet"/>
      <w:lvlText w:val=""/>
      <w:lvlJc w:val="left"/>
      <w:pPr>
        <w:ind w:left="1871" w:hanging="360"/>
      </w:pPr>
      <w:rPr>
        <w:rFonts w:ascii="Symbol" w:hAnsi="Symbol" w:hint="default"/>
      </w:rPr>
    </w:lvl>
    <w:lvl w:ilvl="1" w:tplc="0C090003" w:tentative="1">
      <w:start w:val="1"/>
      <w:numFmt w:val="bullet"/>
      <w:lvlText w:val="o"/>
      <w:lvlJc w:val="left"/>
      <w:pPr>
        <w:ind w:left="2591" w:hanging="360"/>
      </w:pPr>
      <w:rPr>
        <w:rFonts w:ascii="Courier New" w:hAnsi="Courier New" w:cs="Courier New" w:hint="default"/>
      </w:rPr>
    </w:lvl>
    <w:lvl w:ilvl="2" w:tplc="0C090005" w:tentative="1">
      <w:start w:val="1"/>
      <w:numFmt w:val="bullet"/>
      <w:lvlText w:val=""/>
      <w:lvlJc w:val="left"/>
      <w:pPr>
        <w:ind w:left="3311" w:hanging="360"/>
      </w:pPr>
      <w:rPr>
        <w:rFonts w:ascii="Wingdings" w:hAnsi="Wingdings" w:hint="default"/>
      </w:rPr>
    </w:lvl>
    <w:lvl w:ilvl="3" w:tplc="0C090001" w:tentative="1">
      <w:start w:val="1"/>
      <w:numFmt w:val="bullet"/>
      <w:lvlText w:val=""/>
      <w:lvlJc w:val="left"/>
      <w:pPr>
        <w:ind w:left="4031" w:hanging="360"/>
      </w:pPr>
      <w:rPr>
        <w:rFonts w:ascii="Symbol" w:hAnsi="Symbol" w:hint="default"/>
      </w:rPr>
    </w:lvl>
    <w:lvl w:ilvl="4" w:tplc="0C090003" w:tentative="1">
      <w:start w:val="1"/>
      <w:numFmt w:val="bullet"/>
      <w:lvlText w:val="o"/>
      <w:lvlJc w:val="left"/>
      <w:pPr>
        <w:ind w:left="4751" w:hanging="360"/>
      </w:pPr>
      <w:rPr>
        <w:rFonts w:ascii="Courier New" w:hAnsi="Courier New" w:cs="Courier New" w:hint="default"/>
      </w:rPr>
    </w:lvl>
    <w:lvl w:ilvl="5" w:tplc="0C090005" w:tentative="1">
      <w:start w:val="1"/>
      <w:numFmt w:val="bullet"/>
      <w:lvlText w:val=""/>
      <w:lvlJc w:val="left"/>
      <w:pPr>
        <w:ind w:left="5471" w:hanging="360"/>
      </w:pPr>
      <w:rPr>
        <w:rFonts w:ascii="Wingdings" w:hAnsi="Wingdings" w:hint="default"/>
      </w:rPr>
    </w:lvl>
    <w:lvl w:ilvl="6" w:tplc="0C090001" w:tentative="1">
      <w:start w:val="1"/>
      <w:numFmt w:val="bullet"/>
      <w:lvlText w:val=""/>
      <w:lvlJc w:val="left"/>
      <w:pPr>
        <w:ind w:left="6191" w:hanging="360"/>
      </w:pPr>
      <w:rPr>
        <w:rFonts w:ascii="Symbol" w:hAnsi="Symbol" w:hint="default"/>
      </w:rPr>
    </w:lvl>
    <w:lvl w:ilvl="7" w:tplc="0C090003" w:tentative="1">
      <w:start w:val="1"/>
      <w:numFmt w:val="bullet"/>
      <w:lvlText w:val="o"/>
      <w:lvlJc w:val="left"/>
      <w:pPr>
        <w:ind w:left="6911" w:hanging="360"/>
      </w:pPr>
      <w:rPr>
        <w:rFonts w:ascii="Courier New" w:hAnsi="Courier New" w:cs="Courier New" w:hint="default"/>
      </w:rPr>
    </w:lvl>
    <w:lvl w:ilvl="8" w:tplc="0C090005" w:tentative="1">
      <w:start w:val="1"/>
      <w:numFmt w:val="bullet"/>
      <w:lvlText w:val=""/>
      <w:lvlJc w:val="left"/>
      <w:pPr>
        <w:ind w:left="7631" w:hanging="360"/>
      </w:pPr>
      <w:rPr>
        <w:rFonts w:ascii="Wingdings" w:hAnsi="Wingdings" w:hint="default"/>
      </w:rPr>
    </w:lvl>
  </w:abstractNum>
  <w:abstractNum w:abstractNumId="10">
    <w:nsid w:val="4E597703"/>
    <w:multiLevelType w:val="hybridMultilevel"/>
    <w:tmpl w:val="3CA87B80"/>
    <w:lvl w:ilvl="0" w:tplc="08090013">
      <w:start w:val="1"/>
      <w:numFmt w:val="upperRoman"/>
      <w:lvlText w:val="%1."/>
      <w:lvlJc w:val="right"/>
      <w:pPr>
        <w:ind w:left="1321" w:hanging="360"/>
      </w:p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1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6F4962"/>
    <w:multiLevelType w:val="hybridMultilevel"/>
    <w:tmpl w:val="024441A8"/>
    <w:lvl w:ilvl="0" w:tplc="84566CE0">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1C2359"/>
    <w:multiLevelType w:val="hybridMultilevel"/>
    <w:tmpl w:val="6DBAD89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CF57DE4"/>
    <w:multiLevelType w:val="hybridMultilevel"/>
    <w:tmpl w:val="B218C58C"/>
    <w:lvl w:ilvl="0" w:tplc="50E6076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0A324D3"/>
    <w:multiLevelType w:val="hybridMultilevel"/>
    <w:tmpl w:val="E56260FC"/>
    <w:lvl w:ilvl="0" w:tplc="DA1AAB94">
      <w:numFmt w:val="bullet"/>
      <w:lvlText w:val="-"/>
      <w:lvlJc w:val="left"/>
      <w:pPr>
        <w:ind w:left="2149"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96C1E96"/>
    <w:multiLevelType w:val="hybridMultilevel"/>
    <w:tmpl w:val="9F5E532E"/>
    <w:lvl w:ilvl="0" w:tplc="0C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9">
    <w:nsid w:val="77875B06"/>
    <w:multiLevelType w:val="hybridMultilevel"/>
    <w:tmpl w:val="7B92261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784D033C"/>
    <w:multiLevelType w:val="multilevel"/>
    <w:tmpl w:val="62F0FBE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i w:val="0"/>
      </w:rPr>
    </w:lvl>
    <w:lvl w:ilvl="2">
      <w:start w:val="1"/>
      <w:numFmt w:val="decimal"/>
      <w:lvlText w:val="%1.%2.%3"/>
      <w:lvlJc w:val="left"/>
      <w:pPr>
        <w:ind w:left="720" w:hanging="720"/>
      </w:pPr>
      <w:rPr>
        <w:rFonts w:hint="default"/>
      </w:rPr>
    </w:lvl>
    <w:lvl w:ilvl="3">
      <w:start w:val="1"/>
      <w:numFmt w:val="bullet"/>
      <w:lvlText w:val="o"/>
      <w:lvlJc w:val="left"/>
      <w:pPr>
        <w:ind w:left="1080" w:hanging="108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0"/>
  </w:num>
  <w:num w:numId="3">
    <w:abstractNumId w:val="17"/>
  </w:num>
  <w:num w:numId="4">
    <w:abstractNumId w:val="6"/>
  </w:num>
  <w:num w:numId="5">
    <w:abstractNumId w:val="5"/>
  </w:num>
  <w:num w:numId="6">
    <w:abstractNumId w:val="18"/>
  </w:num>
  <w:num w:numId="7">
    <w:abstractNumId w:val="7"/>
  </w:num>
  <w:num w:numId="8">
    <w:abstractNumId w:val="13"/>
  </w:num>
  <w:num w:numId="9">
    <w:abstractNumId w:val="8"/>
  </w:num>
  <w:num w:numId="10">
    <w:abstractNumId w:val="20"/>
  </w:num>
  <w:num w:numId="11">
    <w:abstractNumId w:val="10"/>
  </w:num>
  <w:num w:numId="12">
    <w:abstractNumId w:val="9"/>
  </w:num>
  <w:num w:numId="13">
    <w:abstractNumId w:val="14"/>
  </w:num>
  <w:num w:numId="14">
    <w:abstractNumId w:val="19"/>
  </w:num>
  <w:num w:numId="15">
    <w:abstractNumId w:val="11"/>
  </w:num>
  <w:num w:numId="16">
    <w:abstractNumId w:val="12"/>
  </w:num>
  <w:num w:numId="17">
    <w:abstractNumId w:val="1"/>
  </w:num>
  <w:num w:numId="18">
    <w:abstractNumId w:val="0"/>
  </w:num>
  <w:num w:numId="19">
    <w:abstractNumId w:val="3"/>
  </w:num>
  <w:num w:numId="20">
    <w:abstractNumId w:val="2"/>
  </w:num>
  <w:num w:numId="21">
    <w:abstractNumId w:val="4"/>
  </w:num>
  <w:num w:numId="22">
    <w:abstractNumId w:val="20"/>
  </w:num>
  <w:num w:numId="23">
    <w:abstractNumId w:val="20"/>
  </w:num>
  <w:num w:numId="24">
    <w:abstractNumId w:val="20"/>
  </w:num>
  <w:num w:numId="25">
    <w:abstractNumId w:val="20"/>
  </w:num>
  <w:num w:numId="26">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y Mihalopoulos">
    <w15:presenceInfo w15:providerId="AD" w15:userId="S-1-5-21-248963057-614103661-3067232799-24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77A"/>
    <w:rsid w:val="00000790"/>
    <w:rsid w:val="0000110B"/>
    <w:rsid w:val="00002C78"/>
    <w:rsid w:val="00002EF5"/>
    <w:rsid w:val="0000412B"/>
    <w:rsid w:val="00010275"/>
    <w:rsid w:val="00012CEF"/>
    <w:rsid w:val="00013247"/>
    <w:rsid w:val="00015886"/>
    <w:rsid w:val="000162EF"/>
    <w:rsid w:val="000167CF"/>
    <w:rsid w:val="00016FDA"/>
    <w:rsid w:val="000207D3"/>
    <w:rsid w:val="000209FB"/>
    <w:rsid w:val="00020ACE"/>
    <w:rsid w:val="0002225F"/>
    <w:rsid w:val="000228EB"/>
    <w:rsid w:val="000230B0"/>
    <w:rsid w:val="00023757"/>
    <w:rsid w:val="00023763"/>
    <w:rsid w:val="00024EAC"/>
    <w:rsid w:val="00025170"/>
    <w:rsid w:val="00031731"/>
    <w:rsid w:val="00031CDB"/>
    <w:rsid w:val="00035AD3"/>
    <w:rsid w:val="00035F0B"/>
    <w:rsid w:val="00040895"/>
    <w:rsid w:val="0004231D"/>
    <w:rsid w:val="000433CB"/>
    <w:rsid w:val="00043955"/>
    <w:rsid w:val="00043C37"/>
    <w:rsid w:val="00047206"/>
    <w:rsid w:val="00047AEF"/>
    <w:rsid w:val="00050B01"/>
    <w:rsid w:val="000519B7"/>
    <w:rsid w:val="0005300D"/>
    <w:rsid w:val="0005315C"/>
    <w:rsid w:val="0005338C"/>
    <w:rsid w:val="000546D7"/>
    <w:rsid w:val="000566AB"/>
    <w:rsid w:val="00057A02"/>
    <w:rsid w:val="00060C53"/>
    <w:rsid w:val="00063597"/>
    <w:rsid w:val="00064897"/>
    <w:rsid w:val="00064D2B"/>
    <w:rsid w:val="00065355"/>
    <w:rsid w:val="00066B5E"/>
    <w:rsid w:val="000711DE"/>
    <w:rsid w:val="00071248"/>
    <w:rsid w:val="00071A48"/>
    <w:rsid w:val="000720B9"/>
    <w:rsid w:val="00073462"/>
    <w:rsid w:val="00073535"/>
    <w:rsid w:val="0007418A"/>
    <w:rsid w:val="000747E5"/>
    <w:rsid w:val="00076075"/>
    <w:rsid w:val="000760B9"/>
    <w:rsid w:val="000812CA"/>
    <w:rsid w:val="00081467"/>
    <w:rsid w:val="00081ACB"/>
    <w:rsid w:val="000855C6"/>
    <w:rsid w:val="000900B6"/>
    <w:rsid w:val="00090C7E"/>
    <w:rsid w:val="000943B5"/>
    <w:rsid w:val="0009545A"/>
    <w:rsid w:val="00095DEB"/>
    <w:rsid w:val="00096F27"/>
    <w:rsid w:val="000A2051"/>
    <w:rsid w:val="000A2636"/>
    <w:rsid w:val="000A314F"/>
    <w:rsid w:val="000A3805"/>
    <w:rsid w:val="000A4969"/>
    <w:rsid w:val="000A6074"/>
    <w:rsid w:val="000B0F67"/>
    <w:rsid w:val="000B21DD"/>
    <w:rsid w:val="000C0681"/>
    <w:rsid w:val="000C1323"/>
    <w:rsid w:val="000C38EE"/>
    <w:rsid w:val="000C3D5D"/>
    <w:rsid w:val="000C6D43"/>
    <w:rsid w:val="000C6D89"/>
    <w:rsid w:val="000C731F"/>
    <w:rsid w:val="000D1BFC"/>
    <w:rsid w:val="000D3B92"/>
    <w:rsid w:val="000D69DB"/>
    <w:rsid w:val="000D7039"/>
    <w:rsid w:val="000D78B7"/>
    <w:rsid w:val="000D7DDD"/>
    <w:rsid w:val="000E045B"/>
    <w:rsid w:val="000E2756"/>
    <w:rsid w:val="000E33ED"/>
    <w:rsid w:val="000E3F84"/>
    <w:rsid w:val="000E4F1D"/>
    <w:rsid w:val="000E65AC"/>
    <w:rsid w:val="000E7EA1"/>
    <w:rsid w:val="000F1ADF"/>
    <w:rsid w:val="000F2830"/>
    <w:rsid w:val="000F3700"/>
    <w:rsid w:val="000F482E"/>
    <w:rsid w:val="000F5557"/>
    <w:rsid w:val="000F7828"/>
    <w:rsid w:val="00100E50"/>
    <w:rsid w:val="00100F8A"/>
    <w:rsid w:val="00102DD5"/>
    <w:rsid w:val="00103F58"/>
    <w:rsid w:val="00104990"/>
    <w:rsid w:val="00104E4A"/>
    <w:rsid w:val="001071CB"/>
    <w:rsid w:val="00107DC9"/>
    <w:rsid w:val="00107FC7"/>
    <w:rsid w:val="0011032E"/>
    <w:rsid w:val="00111C6F"/>
    <w:rsid w:val="00112008"/>
    <w:rsid w:val="00112C4A"/>
    <w:rsid w:val="00113948"/>
    <w:rsid w:val="00115168"/>
    <w:rsid w:val="00116484"/>
    <w:rsid w:val="00116AAB"/>
    <w:rsid w:val="00117090"/>
    <w:rsid w:val="00121799"/>
    <w:rsid w:val="001222FC"/>
    <w:rsid w:val="0012459D"/>
    <w:rsid w:val="00124876"/>
    <w:rsid w:val="00124A51"/>
    <w:rsid w:val="00125B96"/>
    <w:rsid w:val="00126621"/>
    <w:rsid w:val="00127E68"/>
    <w:rsid w:val="001301E9"/>
    <w:rsid w:val="00131A7E"/>
    <w:rsid w:val="00132122"/>
    <w:rsid w:val="00132433"/>
    <w:rsid w:val="001331D3"/>
    <w:rsid w:val="00134037"/>
    <w:rsid w:val="001348AC"/>
    <w:rsid w:val="00136CF9"/>
    <w:rsid w:val="00137645"/>
    <w:rsid w:val="0014015A"/>
    <w:rsid w:val="00140E99"/>
    <w:rsid w:val="001410CB"/>
    <w:rsid w:val="001418DB"/>
    <w:rsid w:val="0014330B"/>
    <w:rsid w:val="00144395"/>
    <w:rsid w:val="00144D03"/>
    <w:rsid w:val="00144F8F"/>
    <w:rsid w:val="001456B0"/>
    <w:rsid w:val="00145C3F"/>
    <w:rsid w:val="0014651F"/>
    <w:rsid w:val="00147386"/>
    <w:rsid w:val="00150A16"/>
    <w:rsid w:val="00151C3B"/>
    <w:rsid w:val="00151FD5"/>
    <w:rsid w:val="00152F61"/>
    <w:rsid w:val="00156A52"/>
    <w:rsid w:val="00157130"/>
    <w:rsid w:val="0015747C"/>
    <w:rsid w:val="00161EC3"/>
    <w:rsid w:val="00162913"/>
    <w:rsid w:val="00162F60"/>
    <w:rsid w:val="00163EFF"/>
    <w:rsid w:val="001644DD"/>
    <w:rsid w:val="00164F55"/>
    <w:rsid w:val="001661FB"/>
    <w:rsid w:val="00166901"/>
    <w:rsid w:val="00167CF3"/>
    <w:rsid w:val="00170D34"/>
    <w:rsid w:val="00171C3F"/>
    <w:rsid w:val="00174F5C"/>
    <w:rsid w:val="00175D48"/>
    <w:rsid w:val="00176886"/>
    <w:rsid w:val="00177132"/>
    <w:rsid w:val="00181863"/>
    <w:rsid w:val="00182C59"/>
    <w:rsid w:val="00183638"/>
    <w:rsid w:val="001855D8"/>
    <w:rsid w:val="00185B38"/>
    <w:rsid w:val="00185D51"/>
    <w:rsid w:val="00186D56"/>
    <w:rsid w:val="001909EE"/>
    <w:rsid w:val="00192790"/>
    <w:rsid w:val="001934FC"/>
    <w:rsid w:val="00193E19"/>
    <w:rsid w:val="00195222"/>
    <w:rsid w:val="001971A6"/>
    <w:rsid w:val="001975D8"/>
    <w:rsid w:val="001979B2"/>
    <w:rsid w:val="001A05DD"/>
    <w:rsid w:val="001A124B"/>
    <w:rsid w:val="001B03F9"/>
    <w:rsid w:val="001B0912"/>
    <w:rsid w:val="001B2D68"/>
    <w:rsid w:val="001B3443"/>
    <w:rsid w:val="001B4061"/>
    <w:rsid w:val="001B51D0"/>
    <w:rsid w:val="001B6188"/>
    <w:rsid w:val="001B7786"/>
    <w:rsid w:val="001C0E7B"/>
    <w:rsid w:val="001C1030"/>
    <w:rsid w:val="001C1162"/>
    <w:rsid w:val="001C1566"/>
    <w:rsid w:val="001C208A"/>
    <w:rsid w:val="001C2309"/>
    <w:rsid w:val="001C2709"/>
    <w:rsid w:val="001C2752"/>
    <w:rsid w:val="001C2CCC"/>
    <w:rsid w:val="001C3EA5"/>
    <w:rsid w:val="001C4DC7"/>
    <w:rsid w:val="001C5DB7"/>
    <w:rsid w:val="001C67EF"/>
    <w:rsid w:val="001C6E66"/>
    <w:rsid w:val="001D00E4"/>
    <w:rsid w:val="001D112E"/>
    <w:rsid w:val="001D428D"/>
    <w:rsid w:val="001D5BB2"/>
    <w:rsid w:val="001D5D92"/>
    <w:rsid w:val="001D6636"/>
    <w:rsid w:val="001E238E"/>
    <w:rsid w:val="001E24F9"/>
    <w:rsid w:val="001E26F1"/>
    <w:rsid w:val="001E2BD4"/>
    <w:rsid w:val="001E38B8"/>
    <w:rsid w:val="001E43E3"/>
    <w:rsid w:val="001E45E6"/>
    <w:rsid w:val="001E4B47"/>
    <w:rsid w:val="001E52EB"/>
    <w:rsid w:val="001E6B86"/>
    <w:rsid w:val="001E740C"/>
    <w:rsid w:val="001F04C9"/>
    <w:rsid w:val="001F1235"/>
    <w:rsid w:val="001F129F"/>
    <w:rsid w:val="001F1CB3"/>
    <w:rsid w:val="001F45EB"/>
    <w:rsid w:val="001F4CA2"/>
    <w:rsid w:val="001F54E9"/>
    <w:rsid w:val="001F6E6C"/>
    <w:rsid w:val="001F7361"/>
    <w:rsid w:val="002025FE"/>
    <w:rsid w:val="002036E6"/>
    <w:rsid w:val="00205D9B"/>
    <w:rsid w:val="0020624E"/>
    <w:rsid w:val="0020754F"/>
    <w:rsid w:val="00207DD3"/>
    <w:rsid w:val="002105C1"/>
    <w:rsid w:val="00211AFF"/>
    <w:rsid w:val="00213297"/>
    <w:rsid w:val="0021445C"/>
    <w:rsid w:val="0021634D"/>
    <w:rsid w:val="00221A22"/>
    <w:rsid w:val="00221AE8"/>
    <w:rsid w:val="002223E7"/>
    <w:rsid w:val="00222A0E"/>
    <w:rsid w:val="00223B49"/>
    <w:rsid w:val="00224BA3"/>
    <w:rsid w:val="00224DD4"/>
    <w:rsid w:val="002258ED"/>
    <w:rsid w:val="00225CA0"/>
    <w:rsid w:val="002276A7"/>
    <w:rsid w:val="002300CD"/>
    <w:rsid w:val="002309CC"/>
    <w:rsid w:val="00231B1C"/>
    <w:rsid w:val="002327D4"/>
    <w:rsid w:val="002329F2"/>
    <w:rsid w:val="00233514"/>
    <w:rsid w:val="00233CEB"/>
    <w:rsid w:val="00236C2C"/>
    <w:rsid w:val="00237C7D"/>
    <w:rsid w:val="0024315B"/>
    <w:rsid w:val="002439CB"/>
    <w:rsid w:val="00244BB1"/>
    <w:rsid w:val="0024619B"/>
    <w:rsid w:val="00252969"/>
    <w:rsid w:val="00252E3A"/>
    <w:rsid w:val="0025534B"/>
    <w:rsid w:val="002556A5"/>
    <w:rsid w:val="00255BB7"/>
    <w:rsid w:val="00255D61"/>
    <w:rsid w:val="00256AE4"/>
    <w:rsid w:val="002570C5"/>
    <w:rsid w:val="0025796C"/>
    <w:rsid w:val="00260AE3"/>
    <w:rsid w:val="00262280"/>
    <w:rsid w:val="00262A87"/>
    <w:rsid w:val="002636CF"/>
    <w:rsid w:val="00263FDF"/>
    <w:rsid w:val="00266BE6"/>
    <w:rsid w:val="002676A5"/>
    <w:rsid w:val="002737B3"/>
    <w:rsid w:val="00273D2D"/>
    <w:rsid w:val="00273EF4"/>
    <w:rsid w:val="00274CB0"/>
    <w:rsid w:val="00274D8D"/>
    <w:rsid w:val="00275C5A"/>
    <w:rsid w:val="00280ACA"/>
    <w:rsid w:val="00285F24"/>
    <w:rsid w:val="002938A7"/>
    <w:rsid w:val="00295319"/>
    <w:rsid w:val="00295DE8"/>
    <w:rsid w:val="002A14AB"/>
    <w:rsid w:val="002A3630"/>
    <w:rsid w:val="002A36B9"/>
    <w:rsid w:val="002A58AF"/>
    <w:rsid w:val="002A5D21"/>
    <w:rsid w:val="002A617A"/>
    <w:rsid w:val="002A7727"/>
    <w:rsid w:val="002B1C1F"/>
    <w:rsid w:val="002B29B5"/>
    <w:rsid w:val="002B432F"/>
    <w:rsid w:val="002B4ABB"/>
    <w:rsid w:val="002B6A78"/>
    <w:rsid w:val="002B6CCE"/>
    <w:rsid w:val="002B73B2"/>
    <w:rsid w:val="002C0D81"/>
    <w:rsid w:val="002C12B3"/>
    <w:rsid w:val="002C27C1"/>
    <w:rsid w:val="002C346E"/>
    <w:rsid w:val="002C588A"/>
    <w:rsid w:val="002C7059"/>
    <w:rsid w:val="002D07EC"/>
    <w:rsid w:val="002D1DAC"/>
    <w:rsid w:val="002D1EE9"/>
    <w:rsid w:val="002D229C"/>
    <w:rsid w:val="002D2BE3"/>
    <w:rsid w:val="002D3286"/>
    <w:rsid w:val="002D3959"/>
    <w:rsid w:val="002D5539"/>
    <w:rsid w:val="002D7C2E"/>
    <w:rsid w:val="002E1268"/>
    <w:rsid w:val="002E18C6"/>
    <w:rsid w:val="002E3F78"/>
    <w:rsid w:val="002E48AB"/>
    <w:rsid w:val="002E5F0D"/>
    <w:rsid w:val="002F0BAC"/>
    <w:rsid w:val="002F190F"/>
    <w:rsid w:val="002F1F22"/>
    <w:rsid w:val="002F2B7E"/>
    <w:rsid w:val="002F50C4"/>
    <w:rsid w:val="002F5FCF"/>
    <w:rsid w:val="0030017E"/>
    <w:rsid w:val="003003CE"/>
    <w:rsid w:val="00301017"/>
    <w:rsid w:val="00301CA2"/>
    <w:rsid w:val="00304052"/>
    <w:rsid w:val="003058FE"/>
    <w:rsid w:val="0030786C"/>
    <w:rsid w:val="0030794C"/>
    <w:rsid w:val="0031031A"/>
    <w:rsid w:val="00313E5D"/>
    <w:rsid w:val="00315498"/>
    <w:rsid w:val="003156CB"/>
    <w:rsid w:val="003167F6"/>
    <w:rsid w:val="003169A2"/>
    <w:rsid w:val="003169D3"/>
    <w:rsid w:val="00317759"/>
    <w:rsid w:val="003205A4"/>
    <w:rsid w:val="00321D20"/>
    <w:rsid w:val="00323DA1"/>
    <w:rsid w:val="0032443F"/>
    <w:rsid w:val="003247A8"/>
    <w:rsid w:val="00325154"/>
    <w:rsid w:val="00325CA0"/>
    <w:rsid w:val="003267B7"/>
    <w:rsid w:val="0032696A"/>
    <w:rsid w:val="0033054A"/>
    <w:rsid w:val="003315F1"/>
    <w:rsid w:val="0033298C"/>
    <w:rsid w:val="003340BA"/>
    <w:rsid w:val="003366C9"/>
    <w:rsid w:val="0033691B"/>
    <w:rsid w:val="0033721F"/>
    <w:rsid w:val="00337D30"/>
    <w:rsid w:val="003428D0"/>
    <w:rsid w:val="00343576"/>
    <w:rsid w:val="00343B92"/>
    <w:rsid w:val="0034764B"/>
    <w:rsid w:val="0034776C"/>
    <w:rsid w:val="00347D54"/>
    <w:rsid w:val="0035195E"/>
    <w:rsid w:val="003525BA"/>
    <w:rsid w:val="00355618"/>
    <w:rsid w:val="00355842"/>
    <w:rsid w:val="0035620E"/>
    <w:rsid w:val="00356C80"/>
    <w:rsid w:val="00361387"/>
    <w:rsid w:val="00361940"/>
    <w:rsid w:val="00361C90"/>
    <w:rsid w:val="003628F8"/>
    <w:rsid w:val="003638C6"/>
    <w:rsid w:val="00364263"/>
    <w:rsid w:val="00365802"/>
    <w:rsid w:val="00365F55"/>
    <w:rsid w:val="00365F9A"/>
    <w:rsid w:val="003663B4"/>
    <w:rsid w:val="00370240"/>
    <w:rsid w:val="00375964"/>
    <w:rsid w:val="00375FD0"/>
    <w:rsid w:val="0037692A"/>
    <w:rsid w:val="0038321F"/>
    <w:rsid w:val="0038365C"/>
    <w:rsid w:val="00385ECE"/>
    <w:rsid w:val="00386D7C"/>
    <w:rsid w:val="00390489"/>
    <w:rsid w:val="0039093A"/>
    <w:rsid w:val="00390A2C"/>
    <w:rsid w:val="0039190F"/>
    <w:rsid w:val="00393050"/>
    <w:rsid w:val="00393F75"/>
    <w:rsid w:val="003948DD"/>
    <w:rsid w:val="00394A5A"/>
    <w:rsid w:val="00396219"/>
    <w:rsid w:val="00396FD0"/>
    <w:rsid w:val="003A1A7A"/>
    <w:rsid w:val="003A1FE3"/>
    <w:rsid w:val="003A28C1"/>
    <w:rsid w:val="003A2C74"/>
    <w:rsid w:val="003A2F97"/>
    <w:rsid w:val="003A35E0"/>
    <w:rsid w:val="003B0277"/>
    <w:rsid w:val="003B05D3"/>
    <w:rsid w:val="003B3A77"/>
    <w:rsid w:val="003B45EB"/>
    <w:rsid w:val="003B4D54"/>
    <w:rsid w:val="003B678E"/>
    <w:rsid w:val="003B786D"/>
    <w:rsid w:val="003C04FC"/>
    <w:rsid w:val="003C2B7D"/>
    <w:rsid w:val="003C457D"/>
    <w:rsid w:val="003D061D"/>
    <w:rsid w:val="003D1828"/>
    <w:rsid w:val="003D2422"/>
    <w:rsid w:val="003D32F9"/>
    <w:rsid w:val="003D34D8"/>
    <w:rsid w:val="003E08B8"/>
    <w:rsid w:val="003E2B79"/>
    <w:rsid w:val="003E3114"/>
    <w:rsid w:val="003E3FD9"/>
    <w:rsid w:val="003E4BB3"/>
    <w:rsid w:val="003E7B98"/>
    <w:rsid w:val="003F025E"/>
    <w:rsid w:val="003F29CC"/>
    <w:rsid w:val="003F319C"/>
    <w:rsid w:val="003F4156"/>
    <w:rsid w:val="003F68A0"/>
    <w:rsid w:val="003F6965"/>
    <w:rsid w:val="003F73D3"/>
    <w:rsid w:val="00401411"/>
    <w:rsid w:val="0040532D"/>
    <w:rsid w:val="00405B23"/>
    <w:rsid w:val="00407735"/>
    <w:rsid w:val="004102AF"/>
    <w:rsid w:val="00410EC7"/>
    <w:rsid w:val="004111AC"/>
    <w:rsid w:val="00411241"/>
    <w:rsid w:val="00412327"/>
    <w:rsid w:val="00414476"/>
    <w:rsid w:val="00414739"/>
    <w:rsid w:val="00414BC3"/>
    <w:rsid w:val="0041657B"/>
    <w:rsid w:val="00417C4B"/>
    <w:rsid w:val="00417E15"/>
    <w:rsid w:val="00420A53"/>
    <w:rsid w:val="00420B9F"/>
    <w:rsid w:val="004213E6"/>
    <w:rsid w:val="00423119"/>
    <w:rsid w:val="00425CB2"/>
    <w:rsid w:val="00426356"/>
    <w:rsid w:val="0043029A"/>
    <w:rsid w:val="004319F8"/>
    <w:rsid w:val="00435D40"/>
    <w:rsid w:val="0043640D"/>
    <w:rsid w:val="0043689A"/>
    <w:rsid w:val="00437338"/>
    <w:rsid w:val="00440AA3"/>
    <w:rsid w:val="00443BE6"/>
    <w:rsid w:val="004443A7"/>
    <w:rsid w:val="00445252"/>
    <w:rsid w:val="00445CF2"/>
    <w:rsid w:val="0044642B"/>
    <w:rsid w:val="004464EB"/>
    <w:rsid w:val="0045085D"/>
    <w:rsid w:val="0045373E"/>
    <w:rsid w:val="004540D0"/>
    <w:rsid w:val="00454EEA"/>
    <w:rsid w:val="00455D45"/>
    <w:rsid w:val="00456FA2"/>
    <w:rsid w:val="0045750E"/>
    <w:rsid w:val="0046104B"/>
    <w:rsid w:val="0046340F"/>
    <w:rsid w:val="00464595"/>
    <w:rsid w:val="00464A3E"/>
    <w:rsid w:val="0046561D"/>
    <w:rsid w:val="00467689"/>
    <w:rsid w:val="004676EA"/>
    <w:rsid w:val="00470236"/>
    <w:rsid w:val="00471D98"/>
    <w:rsid w:val="00472359"/>
    <w:rsid w:val="0047456A"/>
    <w:rsid w:val="004747C5"/>
    <w:rsid w:val="00475A25"/>
    <w:rsid w:val="00485CB4"/>
    <w:rsid w:val="00486566"/>
    <w:rsid w:val="004867E2"/>
    <w:rsid w:val="004878D0"/>
    <w:rsid w:val="00491B3A"/>
    <w:rsid w:val="00491BA3"/>
    <w:rsid w:val="00495589"/>
    <w:rsid w:val="00497F10"/>
    <w:rsid w:val="004A0DA1"/>
    <w:rsid w:val="004A1699"/>
    <w:rsid w:val="004A20CD"/>
    <w:rsid w:val="004A26BF"/>
    <w:rsid w:val="004A310F"/>
    <w:rsid w:val="004A6597"/>
    <w:rsid w:val="004A694F"/>
    <w:rsid w:val="004A6ACD"/>
    <w:rsid w:val="004A7338"/>
    <w:rsid w:val="004B04BC"/>
    <w:rsid w:val="004B2F18"/>
    <w:rsid w:val="004B3DDB"/>
    <w:rsid w:val="004B4092"/>
    <w:rsid w:val="004B44FD"/>
    <w:rsid w:val="004B5CFC"/>
    <w:rsid w:val="004B79E9"/>
    <w:rsid w:val="004C1C64"/>
    <w:rsid w:val="004C1E68"/>
    <w:rsid w:val="004C4AED"/>
    <w:rsid w:val="004C5854"/>
    <w:rsid w:val="004C5D53"/>
    <w:rsid w:val="004C5E00"/>
    <w:rsid w:val="004D1386"/>
    <w:rsid w:val="004D3483"/>
    <w:rsid w:val="004D45EC"/>
    <w:rsid w:val="004D49E5"/>
    <w:rsid w:val="004D65B2"/>
    <w:rsid w:val="004D681D"/>
    <w:rsid w:val="004D6A6E"/>
    <w:rsid w:val="004E0EB8"/>
    <w:rsid w:val="004E2ADC"/>
    <w:rsid w:val="004E3309"/>
    <w:rsid w:val="004E452F"/>
    <w:rsid w:val="004F0163"/>
    <w:rsid w:val="004F1688"/>
    <w:rsid w:val="004F1D02"/>
    <w:rsid w:val="004F2679"/>
    <w:rsid w:val="004F3687"/>
    <w:rsid w:val="004F609D"/>
    <w:rsid w:val="004F6DA5"/>
    <w:rsid w:val="00504B21"/>
    <w:rsid w:val="00506CAC"/>
    <w:rsid w:val="00506E16"/>
    <w:rsid w:val="0051024C"/>
    <w:rsid w:val="005137EC"/>
    <w:rsid w:val="00513A12"/>
    <w:rsid w:val="005152B5"/>
    <w:rsid w:val="005153E4"/>
    <w:rsid w:val="005159DE"/>
    <w:rsid w:val="00516DE9"/>
    <w:rsid w:val="0051709A"/>
    <w:rsid w:val="00517AA4"/>
    <w:rsid w:val="00521319"/>
    <w:rsid w:val="00523C28"/>
    <w:rsid w:val="00523D8B"/>
    <w:rsid w:val="005246CC"/>
    <w:rsid w:val="005254CA"/>
    <w:rsid w:val="0052651D"/>
    <w:rsid w:val="00526F5C"/>
    <w:rsid w:val="00527F46"/>
    <w:rsid w:val="005303CC"/>
    <w:rsid w:val="00531ADE"/>
    <w:rsid w:val="00534B04"/>
    <w:rsid w:val="00535532"/>
    <w:rsid w:val="00535921"/>
    <w:rsid w:val="00535EDA"/>
    <w:rsid w:val="00535FAF"/>
    <w:rsid w:val="00537172"/>
    <w:rsid w:val="00541D53"/>
    <w:rsid w:val="0054469F"/>
    <w:rsid w:val="00545BE9"/>
    <w:rsid w:val="00550466"/>
    <w:rsid w:val="00550613"/>
    <w:rsid w:val="00551C10"/>
    <w:rsid w:val="0055310A"/>
    <w:rsid w:val="00553C21"/>
    <w:rsid w:val="00555109"/>
    <w:rsid w:val="00555934"/>
    <w:rsid w:val="00555CB1"/>
    <w:rsid w:val="0056276A"/>
    <w:rsid w:val="00562C03"/>
    <w:rsid w:val="00564061"/>
    <w:rsid w:val="00566364"/>
    <w:rsid w:val="0056696F"/>
    <w:rsid w:val="00566E8B"/>
    <w:rsid w:val="00567349"/>
    <w:rsid w:val="00567893"/>
    <w:rsid w:val="00571775"/>
    <w:rsid w:val="00573AF0"/>
    <w:rsid w:val="00576972"/>
    <w:rsid w:val="00577717"/>
    <w:rsid w:val="005801E9"/>
    <w:rsid w:val="00580237"/>
    <w:rsid w:val="00580FCB"/>
    <w:rsid w:val="00581797"/>
    <w:rsid w:val="00583699"/>
    <w:rsid w:val="00583C63"/>
    <w:rsid w:val="00583DFA"/>
    <w:rsid w:val="0058493D"/>
    <w:rsid w:val="005856A9"/>
    <w:rsid w:val="00590E01"/>
    <w:rsid w:val="00591223"/>
    <w:rsid w:val="005A02C3"/>
    <w:rsid w:val="005A1A72"/>
    <w:rsid w:val="005A665A"/>
    <w:rsid w:val="005A67CC"/>
    <w:rsid w:val="005B03D9"/>
    <w:rsid w:val="005B2E8E"/>
    <w:rsid w:val="005B4F32"/>
    <w:rsid w:val="005B5857"/>
    <w:rsid w:val="005B6350"/>
    <w:rsid w:val="005B6539"/>
    <w:rsid w:val="005B6F60"/>
    <w:rsid w:val="005B7A8A"/>
    <w:rsid w:val="005C0AE0"/>
    <w:rsid w:val="005C1B83"/>
    <w:rsid w:val="005C32C4"/>
    <w:rsid w:val="005C346B"/>
    <w:rsid w:val="005C385C"/>
    <w:rsid w:val="005C447A"/>
    <w:rsid w:val="005C48A5"/>
    <w:rsid w:val="005C4B55"/>
    <w:rsid w:val="005C5B3A"/>
    <w:rsid w:val="005D1552"/>
    <w:rsid w:val="005D18AD"/>
    <w:rsid w:val="005D1B5D"/>
    <w:rsid w:val="005D3A4E"/>
    <w:rsid w:val="005D41ED"/>
    <w:rsid w:val="005D4623"/>
    <w:rsid w:val="005D48FB"/>
    <w:rsid w:val="005D6057"/>
    <w:rsid w:val="005D60E9"/>
    <w:rsid w:val="005D704B"/>
    <w:rsid w:val="005D7E3E"/>
    <w:rsid w:val="005E37A8"/>
    <w:rsid w:val="005E5F36"/>
    <w:rsid w:val="005E65D4"/>
    <w:rsid w:val="005E6B30"/>
    <w:rsid w:val="005E6D4B"/>
    <w:rsid w:val="005E79A5"/>
    <w:rsid w:val="005F2706"/>
    <w:rsid w:val="005F32EA"/>
    <w:rsid w:val="005F4895"/>
    <w:rsid w:val="005F4B78"/>
    <w:rsid w:val="005F524A"/>
    <w:rsid w:val="005F6A8F"/>
    <w:rsid w:val="006006D2"/>
    <w:rsid w:val="00605C4B"/>
    <w:rsid w:val="00607669"/>
    <w:rsid w:val="0060795F"/>
    <w:rsid w:val="006100C5"/>
    <w:rsid w:val="00612441"/>
    <w:rsid w:val="00612583"/>
    <w:rsid w:val="00612F97"/>
    <w:rsid w:val="00614300"/>
    <w:rsid w:val="00614C42"/>
    <w:rsid w:val="0061543D"/>
    <w:rsid w:val="00616802"/>
    <w:rsid w:val="00616A9B"/>
    <w:rsid w:val="00616BB4"/>
    <w:rsid w:val="00617E12"/>
    <w:rsid w:val="00621477"/>
    <w:rsid w:val="0062157A"/>
    <w:rsid w:val="006231FA"/>
    <w:rsid w:val="006244B8"/>
    <w:rsid w:val="0062671F"/>
    <w:rsid w:val="006276D0"/>
    <w:rsid w:val="006313C4"/>
    <w:rsid w:val="006317D4"/>
    <w:rsid w:val="00631C55"/>
    <w:rsid w:val="00631D16"/>
    <w:rsid w:val="00631D6B"/>
    <w:rsid w:val="0063403A"/>
    <w:rsid w:val="0063479F"/>
    <w:rsid w:val="006364A1"/>
    <w:rsid w:val="006367E1"/>
    <w:rsid w:val="00636A97"/>
    <w:rsid w:val="00637079"/>
    <w:rsid w:val="00637BFD"/>
    <w:rsid w:val="0064020B"/>
    <w:rsid w:val="00640485"/>
    <w:rsid w:val="00642931"/>
    <w:rsid w:val="00644398"/>
    <w:rsid w:val="00646C2A"/>
    <w:rsid w:val="00646F29"/>
    <w:rsid w:val="006471CC"/>
    <w:rsid w:val="00647D8D"/>
    <w:rsid w:val="0065079F"/>
    <w:rsid w:val="00650D2D"/>
    <w:rsid w:val="006533B0"/>
    <w:rsid w:val="00655CDC"/>
    <w:rsid w:val="00657FB9"/>
    <w:rsid w:val="00660ECB"/>
    <w:rsid w:val="00660F3F"/>
    <w:rsid w:val="0066125B"/>
    <w:rsid w:val="00661A59"/>
    <w:rsid w:val="00661C3E"/>
    <w:rsid w:val="00664D18"/>
    <w:rsid w:val="00665B63"/>
    <w:rsid w:val="0066743F"/>
    <w:rsid w:val="00670A41"/>
    <w:rsid w:val="0067194A"/>
    <w:rsid w:val="00673C35"/>
    <w:rsid w:val="00674BF3"/>
    <w:rsid w:val="00674E42"/>
    <w:rsid w:val="00675727"/>
    <w:rsid w:val="00680E2E"/>
    <w:rsid w:val="00681F22"/>
    <w:rsid w:val="00682112"/>
    <w:rsid w:val="00682D9F"/>
    <w:rsid w:val="00684656"/>
    <w:rsid w:val="006846FD"/>
    <w:rsid w:val="006847F2"/>
    <w:rsid w:val="00685CED"/>
    <w:rsid w:val="00686342"/>
    <w:rsid w:val="00686AB5"/>
    <w:rsid w:val="00686C3F"/>
    <w:rsid w:val="00693FA9"/>
    <w:rsid w:val="00694008"/>
    <w:rsid w:val="00694F44"/>
    <w:rsid w:val="006A123A"/>
    <w:rsid w:val="006A2764"/>
    <w:rsid w:val="006B2B78"/>
    <w:rsid w:val="006B4678"/>
    <w:rsid w:val="006B47FE"/>
    <w:rsid w:val="006B59F3"/>
    <w:rsid w:val="006B75C0"/>
    <w:rsid w:val="006C1C89"/>
    <w:rsid w:val="006C1FA3"/>
    <w:rsid w:val="006C212A"/>
    <w:rsid w:val="006C28D1"/>
    <w:rsid w:val="006C2A8E"/>
    <w:rsid w:val="006C42B9"/>
    <w:rsid w:val="006C5442"/>
    <w:rsid w:val="006C5E2B"/>
    <w:rsid w:val="006C7483"/>
    <w:rsid w:val="006D14D9"/>
    <w:rsid w:val="006D1F65"/>
    <w:rsid w:val="006D28EC"/>
    <w:rsid w:val="006D3C7D"/>
    <w:rsid w:val="006D4567"/>
    <w:rsid w:val="006D4BEA"/>
    <w:rsid w:val="006D5A89"/>
    <w:rsid w:val="006D65FE"/>
    <w:rsid w:val="006D67AD"/>
    <w:rsid w:val="006D70F6"/>
    <w:rsid w:val="006E1113"/>
    <w:rsid w:val="006E3C93"/>
    <w:rsid w:val="006F060D"/>
    <w:rsid w:val="006F1E3C"/>
    <w:rsid w:val="006F37D6"/>
    <w:rsid w:val="006F3981"/>
    <w:rsid w:val="006F3ED2"/>
    <w:rsid w:val="006F63A5"/>
    <w:rsid w:val="006F65B8"/>
    <w:rsid w:val="00700695"/>
    <w:rsid w:val="00701CC2"/>
    <w:rsid w:val="00701CDA"/>
    <w:rsid w:val="007025D1"/>
    <w:rsid w:val="0070276E"/>
    <w:rsid w:val="00703539"/>
    <w:rsid w:val="00704EC0"/>
    <w:rsid w:val="007068A5"/>
    <w:rsid w:val="00710772"/>
    <w:rsid w:val="00711A36"/>
    <w:rsid w:val="007126B4"/>
    <w:rsid w:val="00713D88"/>
    <w:rsid w:val="00716402"/>
    <w:rsid w:val="00716C84"/>
    <w:rsid w:val="00716DE9"/>
    <w:rsid w:val="007172AD"/>
    <w:rsid w:val="007233C2"/>
    <w:rsid w:val="00723FA2"/>
    <w:rsid w:val="0072432C"/>
    <w:rsid w:val="00724D12"/>
    <w:rsid w:val="00725059"/>
    <w:rsid w:val="007255F4"/>
    <w:rsid w:val="007256BD"/>
    <w:rsid w:val="007265FB"/>
    <w:rsid w:val="00730154"/>
    <w:rsid w:val="00730447"/>
    <w:rsid w:val="007320B6"/>
    <w:rsid w:val="00732A5E"/>
    <w:rsid w:val="00733139"/>
    <w:rsid w:val="00735328"/>
    <w:rsid w:val="007362F4"/>
    <w:rsid w:val="0073685B"/>
    <w:rsid w:val="00742290"/>
    <w:rsid w:val="00743464"/>
    <w:rsid w:val="00747211"/>
    <w:rsid w:val="007474AD"/>
    <w:rsid w:val="00753E59"/>
    <w:rsid w:val="00761E11"/>
    <w:rsid w:val="00762323"/>
    <w:rsid w:val="00764ED8"/>
    <w:rsid w:val="00765B96"/>
    <w:rsid w:val="007662AD"/>
    <w:rsid w:val="00766AB2"/>
    <w:rsid w:val="007677A8"/>
    <w:rsid w:val="007677B6"/>
    <w:rsid w:val="00767A99"/>
    <w:rsid w:val="00767AE8"/>
    <w:rsid w:val="00767B48"/>
    <w:rsid w:val="007734C5"/>
    <w:rsid w:val="00775142"/>
    <w:rsid w:val="00781385"/>
    <w:rsid w:val="00782B5D"/>
    <w:rsid w:val="00783B94"/>
    <w:rsid w:val="00783DAE"/>
    <w:rsid w:val="00783DEF"/>
    <w:rsid w:val="00784344"/>
    <w:rsid w:val="00784D1B"/>
    <w:rsid w:val="00785679"/>
    <w:rsid w:val="007859B1"/>
    <w:rsid w:val="00786E0D"/>
    <w:rsid w:val="007906AF"/>
    <w:rsid w:val="00791820"/>
    <w:rsid w:val="00791840"/>
    <w:rsid w:val="0079342A"/>
    <w:rsid w:val="00793E02"/>
    <w:rsid w:val="007965AB"/>
    <w:rsid w:val="00797021"/>
    <w:rsid w:val="00797881"/>
    <w:rsid w:val="007A1B5E"/>
    <w:rsid w:val="007A217E"/>
    <w:rsid w:val="007A30D5"/>
    <w:rsid w:val="007A3B52"/>
    <w:rsid w:val="007A40C5"/>
    <w:rsid w:val="007A4353"/>
    <w:rsid w:val="007A4E85"/>
    <w:rsid w:val="007A7704"/>
    <w:rsid w:val="007B040C"/>
    <w:rsid w:val="007B04AC"/>
    <w:rsid w:val="007B199E"/>
    <w:rsid w:val="007B251D"/>
    <w:rsid w:val="007B2E78"/>
    <w:rsid w:val="007B5191"/>
    <w:rsid w:val="007B7669"/>
    <w:rsid w:val="007B77D1"/>
    <w:rsid w:val="007C00F7"/>
    <w:rsid w:val="007C0599"/>
    <w:rsid w:val="007C1EE2"/>
    <w:rsid w:val="007C3BC0"/>
    <w:rsid w:val="007C4051"/>
    <w:rsid w:val="007C4094"/>
    <w:rsid w:val="007C49BB"/>
    <w:rsid w:val="007C6897"/>
    <w:rsid w:val="007C69C4"/>
    <w:rsid w:val="007C6C79"/>
    <w:rsid w:val="007C771E"/>
    <w:rsid w:val="007D0B38"/>
    <w:rsid w:val="007D166A"/>
    <w:rsid w:val="007D22CF"/>
    <w:rsid w:val="007D423F"/>
    <w:rsid w:val="007D62C8"/>
    <w:rsid w:val="007D6777"/>
    <w:rsid w:val="007E043B"/>
    <w:rsid w:val="007E19D7"/>
    <w:rsid w:val="007E3A2C"/>
    <w:rsid w:val="007E4304"/>
    <w:rsid w:val="007E49BD"/>
    <w:rsid w:val="007E578B"/>
    <w:rsid w:val="007E66CD"/>
    <w:rsid w:val="007E6B02"/>
    <w:rsid w:val="007F0C10"/>
    <w:rsid w:val="007F1017"/>
    <w:rsid w:val="007F178B"/>
    <w:rsid w:val="007F3D0A"/>
    <w:rsid w:val="007F4504"/>
    <w:rsid w:val="007F4A3F"/>
    <w:rsid w:val="007F7AFA"/>
    <w:rsid w:val="00801451"/>
    <w:rsid w:val="0080197C"/>
    <w:rsid w:val="00801C51"/>
    <w:rsid w:val="0080248B"/>
    <w:rsid w:val="00802CD3"/>
    <w:rsid w:val="008041A4"/>
    <w:rsid w:val="0080497D"/>
    <w:rsid w:val="00805142"/>
    <w:rsid w:val="008069A4"/>
    <w:rsid w:val="00807662"/>
    <w:rsid w:val="00807A8B"/>
    <w:rsid w:val="00810B87"/>
    <w:rsid w:val="00812149"/>
    <w:rsid w:val="00812287"/>
    <w:rsid w:val="00812D56"/>
    <w:rsid w:val="008163F1"/>
    <w:rsid w:val="008166EF"/>
    <w:rsid w:val="00820CEF"/>
    <w:rsid w:val="0082277C"/>
    <w:rsid w:val="00825E88"/>
    <w:rsid w:val="008264EB"/>
    <w:rsid w:val="008275BE"/>
    <w:rsid w:val="008275DE"/>
    <w:rsid w:val="00832DDD"/>
    <w:rsid w:val="008333D4"/>
    <w:rsid w:val="008344FB"/>
    <w:rsid w:val="00840C11"/>
    <w:rsid w:val="00840CA2"/>
    <w:rsid w:val="00841D15"/>
    <w:rsid w:val="00843075"/>
    <w:rsid w:val="00844085"/>
    <w:rsid w:val="008446CD"/>
    <w:rsid w:val="00844BD5"/>
    <w:rsid w:val="00845352"/>
    <w:rsid w:val="00846182"/>
    <w:rsid w:val="0084632A"/>
    <w:rsid w:val="00847A9E"/>
    <w:rsid w:val="00847C24"/>
    <w:rsid w:val="00847EC8"/>
    <w:rsid w:val="00851703"/>
    <w:rsid w:val="008535F4"/>
    <w:rsid w:val="00854543"/>
    <w:rsid w:val="00856BEE"/>
    <w:rsid w:val="00856E9A"/>
    <w:rsid w:val="00857DDE"/>
    <w:rsid w:val="00860369"/>
    <w:rsid w:val="00862B0F"/>
    <w:rsid w:val="008634D4"/>
    <w:rsid w:val="00864287"/>
    <w:rsid w:val="00864D30"/>
    <w:rsid w:val="00864DFE"/>
    <w:rsid w:val="00867F75"/>
    <w:rsid w:val="00870004"/>
    <w:rsid w:val="00870F5E"/>
    <w:rsid w:val="00876BA8"/>
    <w:rsid w:val="00881A03"/>
    <w:rsid w:val="00882874"/>
    <w:rsid w:val="00882E29"/>
    <w:rsid w:val="00883787"/>
    <w:rsid w:val="008852D1"/>
    <w:rsid w:val="00885C81"/>
    <w:rsid w:val="00885E2D"/>
    <w:rsid w:val="008911E6"/>
    <w:rsid w:val="0089338F"/>
    <w:rsid w:val="00895C5D"/>
    <w:rsid w:val="008963A5"/>
    <w:rsid w:val="008A0A62"/>
    <w:rsid w:val="008A37D1"/>
    <w:rsid w:val="008A3C3E"/>
    <w:rsid w:val="008A429C"/>
    <w:rsid w:val="008A5883"/>
    <w:rsid w:val="008A5C13"/>
    <w:rsid w:val="008A5D27"/>
    <w:rsid w:val="008A6C3A"/>
    <w:rsid w:val="008A6D34"/>
    <w:rsid w:val="008A748F"/>
    <w:rsid w:val="008A79DE"/>
    <w:rsid w:val="008B2397"/>
    <w:rsid w:val="008B2C25"/>
    <w:rsid w:val="008B42F0"/>
    <w:rsid w:val="008B453F"/>
    <w:rsid w:val="008B504C"/>
    <w:rsid w:val="008B59C5"/>
    <w:rsid w:val="008B5F4F"/>
    <w:rsid w:val="008B6ECE"/>
    <w:rsid w:val="008B7D7E"/>
    <w:rsid w:val="008B7E01"/>
    <w:rsid w:val="008C4BED"/>
    <w:rsid w:val="008C7ECB"/>
    <w:rsid w:val="008D0BF0"/>
    <w:rsid w:val="008D1815"/>
    <w:rsid w:val="008D1C21"/>
    <w:rsid w:val="008D50A7"/>
    <w:rsid w:val="008D6B3B"/>
    <w:rsid w:val="008E13C6"/>
    <w:rsid w:val="008E1B9E"/>
    <w:rsid w:val="008E54F5"/>
    <w:rsid w:val="008E67E9"/>
    <w:rsid w:val="008F010B"/>
    <w:rsid w:val="008F05D3"/>
    <w:rsid w:val="008F2B6A"/>
    <w:rsid w:val="008F34FE"/>
    <w:rsid w:val="008F35DA"/>
    <w:rsid w:val="008F4079"/>
    <w:rsid w:val="008F48EB"/>
    <w:rsid w:val="008F4F0B"/>
    <w:rsid w:val="008F542B"/>
    <w:rsid w:val="008F6E97"/>
    <w:rsid w:val="00900932"/>
    <w:rsid w:val="00900B5F"/>
    <w:rsid w:val="00900BF5"/>
    <w:rsid w:val="009035A9"/>
    <w:rsid w:val="00903FC3"/>
    <w:rsid w:val="009062A5"/>
    <w:rsid w:val="00910777"/>
    <w:rsid w:val="00911272"/>
    <w:rsid w:val="009130A1"/>
    <w:rsid w:val="0091393B"/>
    <w:rsid w:val="00913C28"/>
    <w:rsid w:val="00914396"/>
    <w:rsid w:val="00914580"/>
    <w:rsid w:val="009164BB"/>
    <w:rsid w:val="009172E5"/>
    <w:rsid w:val="0092407F"/>
    <w:rsid w:val="00931A4C"/>
    <w:rsid w:val="00932D1E"/>
    <w:rsid w:val="00935D51"/>
    <w:rsid w:val="00937FCE"/>
    <w:rsid w:val="0094050F"/>
    <w:rsid w:val="00942854"/>
    <w:rsid w:val="00942A77"/>
    <w:rsid w:val="00944A91"/>
    <w:rsid w:val="00946AD0"/>
    <w:rsid w:val="00946E27"/>
    <w:rsid w:val="009530DB"/>
    <w:rsid w:val="00954713"/>
    <w:rsid w:val="0095496F"/>
    <w:rsid w:val="009560F2"/>
    <w:rsid w:val="00960AB2"/>
    <w:rsid w:val="00961AF9"/>
    <w:rsid w:val="00962ABE"/>
    <w:rsid w:val="00962CB9"/>
    <w:rsid w:val="00964312"/>
    <w:rsid w:val="00965AF0"/>
    <w:rsid w:val="00965E01"/>
    <w:rsid w:val="0096633C"/>
    <w:rsid w:val="00972600"/>
    <w:rsid w:val="009736C2"/>
    <w:rsid w:val="0097374F"/>
    <w:rsid w:val="009742A4"/>
    <w:rsid w:val="009747AF"/>
    <w:rsid w:val="00975E3A"/>
    <w:rsid w:val="00977057"/>
    <w:rsid w:val="00977BF9"/>
    <w:rsid w:val="0098002F"/>
    <w:rsid w:val="00982FDC"/>
    <w:rsid w:val="00983269"/>
    <w:rsid w:val="00983E57"/>
    <w:rsid w:val="00984189"/>
    <w:rsid w:val="00986362"/>
    <w:rsid w:val="009864CD"/>
    <w:rsid w:val="00987DBE"/>
    <w:rsid w:val="0099047C"/>
    <w:rsid w:val="00993493"/>
    <w:rsid w:val="00993605"/>
    <w:rsid w:val="0099530A"/>
    <w:rsid w:val="00995890"/>
    <w:rsid w:val="009967C9"/>
    <w:rsid w:val="00996B1A"/>
    <w:rsid w:val="009A098F"/>
    <w:rsid w:val="009A18EA"/>
    <w:rsid w:val="009A2205"/>
    <w:rsid w:val="009A2241"/>
    <w:rsid w:val="009A32C9"/>
    <w:rsid w:val="009A3D3C"/>
    <w:rsid w:val="009A55C2"/>
    <w:rsid w:val="009B0180"/>
    <w:rsid w:val="009B0D86"/>
    <w:rsid w:val="009B2710"/>
    <w:rsid w:val="009B2ECB"/>
    <w:rsid w:val="009B3770"/>
    <w:rsid w:val="009B3E26"/>
    <w:rsid w:val="009B56A2"/>
    <w:rsid w:val="009B733B"/>
    <w:rsid w:val="009C1A50"/>
    <w:rsid w:val="009C224C"/>
    <w:rsid w:val="009C3205"/>
    <w:rsid w:val="009C3FA6"/>
    <w:rsid w:val="009C4910"/>
    <w:rsid w:val="009D0049"/>
    <w:rsid w:val="009D4722"/>
    <w:rsid w:val="009D49D6"/>
    <w:rsid w:val="009D5B91"/>
    <w:rsid w:val="009D5D0A"/>
    <w:rsid w:val="009D632C"/>
    <w:rsid w:val="009D67FD"/>
    <w:rsid w:val="009E06DA"/>
    <w:rsid w:val="009E0949"/>
    <w:rsid w:val="009E0B1B"/>
    <w:rsid w:val="009E12DE"/>
    <w:rsid w:val="009E1914"/>
    <w:rsid w:val="009E2193"/>
    <w:rsid w:val="009E477A"/>
    <w:rsid w:val="009E4C07"/>
    <w:rsid w:val="009E5CAE"/>
    <w:rsid w:val="009E7FBE"/>
    <w:rsid w:val="009F084F"/>
    <w:rsid w:val="009F2892"/>
    <w:rsid w:val="009F2BFF"/>
    <w:rsid w:val="009F4379"/>
    <w:rsid w:val="009F4507"/>
    <w:rsid w:val="009F4FB3"/>
    <w:rsid w:val="009F52C2"/>
    <w:rsid w:val="009F5AE1"/>
    <w:rsid w:val="009F7348"/>
    <w:rsid w:val="00A0097E"/>
    <w:rsid w:val="00A02BE9"/>
    <w:rsid w:val="00A03D43"/>
    <w:rsid w:val="00A04380"/>
    <w:rsid w:val="00A05896"/>
    <w:rsid w:val="00A11B49"/>
    <w:rsid w:val="00A13948"/>
    <w:rsid w:val="00A14BDE"/>
    <w:rsid w:val="00A15F3D"/>
    <w:rsid w:val="00A167DA"/>
    <w:rsid w:val="00A16891"/>
    <w:rsid w:val="00A21063"/>
    <w:rsid w:val="00A27479"/>
    <w:rsid w:val="00A27AEC"/>
    <w:rsid w:val="00A34E0B"/>
    <w:rsid w:val="00A350F4"/>
    <w:rsid w:val="00A35990"/>
    <w:rsid w:val="00A35D16"/>
    <w:rsid w:val="00A360FD"/>
    <w:rsid w:val="00A37C8E"/>
    <w:rsid w:val="00A4098E"/>
    <w:rsid w:val="00A42037"/>
    <w:rsid w:val="00A4269C"/>
    <w:rsid w:val="00A43C59"/>
    <w:rsid w:val="00A44CB8"/>
    <w:rsid w:val="00A46AE8"/>
    <w:rsid w:val="00A47094"/>
    <w:rsid w:val="00A476CE"/>
    <w:rsid w:val="00A5006F"/>
    <w:rsid w:val="00A507A5"/>
    <w:rsid w:val="00A50ECD"/>
    <w:rsid w:val="00A52729"/>
    <w:rsid w:val="00A52D4F"/>
    <w:rsid w:val="00A53577"/>
    <w:rsid w:val="00A53675"/>
    <w:rsid w:val="00A55A6A"/>
    <w:rsid w:val="00A55EE2"/>
    <w:rsid w:val="00A56B6A"/>
    <w:rsid w:val="00A576E0"/>
    <w:rsid w:val="00A578DC"/>
    <w:rsid w:val="00A57DF7"/>
    <w:rsid w:val="00A602DD"/>
    <w:rsid w:val="00A6701B"/>
    <w:rsid w:val="00A6725B"/>
    <w:rsid w:val="00A673B7"/>
    <w:rsid w:val="00A6744E"/>
    <w:rsid w:val="00A7013E"/>
    <w:rsid w:val="00A70CAA"/>
    <w:rsid w:val="00A71703"/>
    <w:rsid w:val="00A71911"/>
    <w:rsid w:val="00A71AE6"/>
    <w:rsid w:val="00A71B36"/>
    <w:rsid w:val="00A71F0B"/>
    <w:rsid w:val="00A7224D"/>
    <w:rsid w:val="00A7555A"/>
    <w:rsid w:val="00A75B0F"/>
    <w:rsid w:val="00A77C07"/>
    <w:rsid w:val="00A8064E"/>
    <w:rsid w:val="00A80BCB"/>
    <w:rsid w:val="00A80FE8"/>
    <w:rsid w:val="00A81501"/>
    <w:rsid w:val="00A85608"/>
    <w:rsid w:val="00A8679D"/>
    <w:rsid w:val="00A86CBB"/>
    <w:rsid w:val="00A86E8B"/>
    <w:rsid w:val="00A90914"/>
    <w:rsid w:val="00A91667"/>
    <w:rsid w:val="00A91FBC"/>
    <w:rsid w:val="00A93072"/>
    <w:rsid w:val="00A9600C"/>
    <w:rsid w:val="00AA018F"/>
    <w:rsid w:val="00AA0A07"/>
    <w:rsid w:val="00AA1EC0"/>
    <w:rsid w:val="00AA4486"/>
    <w:rsid w:val="00AA61B1"/>
    <w:rsid w:val="00AB042A"/>
    <w:rsid w:val="00AB1B51"/>
    <w:rsid w:val="00AB1CE2"/>
    <w:rsid w:val="00AB3430"/>
    <w:rsid w:val="00AB3C2D"/>
    <w:rsid w:val="00AB6F4A"/>
    <w:rsid w:val="00AB7CFA"/>
    <w:rsid w:val="00AB7E04"/>
    <w:rsid w:val="00AC0126"/>
    <w:rsid w:val="00AC0F35"/>
    <w:rsid w:val="00AC288F"/>
    <w:rsid w:val="00AC5B44"/>
    <w:rsid w:val="00AC63E7"/>
    <w:rsid w:val="00AC7236"/>
    <w:rsid w:val="00AD0261"/>
    <w:rsid w:val="00AD1C84"/>
    <w:rsid w:val="00AD266A"/>
    <w:rsid w:val="00AD38BB"/>
    <w:rsid w:val="00AD3C5B"/>
    <w:rsid w:val="00AD580B"/>
    <w:rsid w:val="00AE0E35"/>
    <w:rsid w:val="00AE5469"/>
    <w:rsid w:val="00AE6B13"/>
    <w:rsid w:val="00AE7F10"/>
    <w:rsid w:val="00AE7F58"/>
    <w:rsid w:val="00AF0784"/>
    <w:rsid w:val="00AF0E9D"/>
    <w:rsid w:val="00AF1D53"/>
    <w:rsid w:val="00AF502A"/>
    <w:rsid w:val="00AF621F"/>
    <w:rsid w:val="00B02045"/>
    <w:rsid w:val="00B02F5B"/>
    <w:rsid w:val="00B079CD"/>
    <w:rsid w:val="00B107E9"/>
    <w:rsid w:val="00B11809"/>
    <w:rsid w:val="00B12804"/>
    <w:rsid w:val="00B128FC"/>
    <w:rsid w:val="00B12B6A"/>
    <w:rsid w:val="00B1320E"/>
    <w:rsid w:val="00B1364B"/>
    <w:rsid w:val="00B1365C"/>
    <w:rsid w:val="00B14B02"/>
    <w:rsid w:val="00B156AF"/>
    <w:rsid w:val="00B15A89"/>
    <w:rsid w:val="00B16EDB"/>
    <w:rsid w:val="00B20BDB"/>
    <w:rsid w:val="00B22616"/>
    <w:rsid w:val="00B350C5"/>
    <w:rsid w:val="00B35F1A"/>
    <w:rsid w:val="00B42851"/>
    <w:rsid w:val="00B43929"/>
    <w:rsid w:val="00B439D8"/>
    <w:rsid w:val="00B4453E"/>
    <w:rsid w:val="00B45ADC"/>
    <w:rsid w:val="00B4737C"/>
    <w:rsid w:val="00B47D2F"/>
    <w:rsid w:val="00B52ED9"/>
    <w:rsid w:val="00B54753"/>
    <w:rsid w:val="00B54B5B"/>
    <w:rsid w:val="00B5562E"/>
    <w:rsid w:val="00B57000"/>
    <w:rsid w:val="00B57C34"/>
    <w:rsid w:val="00B608CF"/>
    <w:rsid w:val="00B60939"/>
    <w:rsid w:val="00B60AFD"/>
    <w:rsid w:val="00B62715"/>
    <w:rsid w:val="00B62E41"/>
    <w:rsid w:val="00B631B9"/>
    <w:rsid w:val="00B66D77"/>
    <w:rsid w:val="00B6766F"/>
    <w:rsid w:val="00B6791B"/>
    <w:rsid w:val="00B718C6"/>
    <w:rsid w:val="00B7208E"/>
    <w:rsid w:val="00B73D9B"/>
    <w:rsid w:val="00B74C90"/>
    <w:rsid w:val="00B75302"/>
    <w:rsid w:val="00B75841"/>
    <w:rsid w:val="00B77A3A"/>
    <w:rsid w:val="00B77A6A"/>
    <w:rsid w:val="00B818A4"/>
    <w:rsid w:val="00B82214"/>
    <w:rsid w:val="00B83290"/>
    <w:rsid w:val="00B84B2F"/>
    <w:rsid w:val="00B850CF"/>
    <w:rsid w:val="00B8649C"/>
    <w:rsid w:val="00B8714B"/>
    <w:rsid w:val="00B87279"/>
    <w:rsid w:val="00B90021"/>
    <w:rsid w:val="00B90DD8"/>
    <w:rsid w:val="00B912F3"/>
    <w:rsid w:val="00B92D0B"/>
    <w:rsid w:val="00B93726"/>
    <w:rsid w:val="00B94609"/>
    <w:rsid w:val="00B94945"/>
    <w:rsid w:val="00B9777F"/>
    <w:rsid w:val="00BA0E2B"/>
    <w:rsid w:val="00BA41E3"/>
    <w:rsid w:val="00BB1175"/>
    <w:rsid w:val="00BB1218"/>
    <w:rsid w:val="00BB1246"/>
    <w:rsid w:val="00BB14CB"/>
    <w:rsid w:val="00BB2D76"/>
    <w:rsid w:val="00BB30D6"/>
    <w:rsid w:val="00BB4E9B"/>
    <w:rsid w:val="00BB666B"/>
    <w:rsid w:val="00BB7F88"/>
    <w:rsid w:val="00BB7FDA"/>
    <w:rsid w:val="00BC2531"/>
    <w:rsid w:val="00BC2A17"/>
    <w:rsid w:val="00BC6220"/>
    <w:rsid w:val="00BC7A1E"/>
    <w:rsid w:val="00BD1FF0"/>
    <w:rsid w:val="00BD35DB"/>
    <w:rsid w:val="00BD3814"/>
    <w:rsid w:val="00BD3904"/>
    <w:rsid w:val="00BD44FC"/>
    <w:rsid w:val="00BD4605"/>
    <w:rsid w:val="00BE2066"/>
    <w:rsid w:val="00BE2180"/>
    <w:rsid w:val="00BE2790"/>
    <w:rsid w:val="00BE4275"/>
    <w:rsid w:val="00BE6E31"/>
    <w:rsid w:val="00BE7173"/>
    <w:rsid w:val="00BE7189"/>
    <w:rsid w:val="00BE793A"/>
    <w:rsid w:val="00BF0191"/>
    <w:rsid w:val="00BF0778"/>
    <w:rsid w:val="00BF1C9B"/>
    <w:rsid w:val="00BF2133"/>
    <w:rsid w:val="00BF21E4"/>
    <w:rsid w:val="00BF23ED"/>
    <w:rsid w:val="00BF2433"/>
    <w:rsid w:val="00BF38F1"/>
    <w:rsid w:val="00BF3DC4"/>
    <w:rsid w:val="00BF5097"/>
    <w:rsid w:val="00BF61C9"/>
    <w:rsid w:val="00BF6726"/>
    <w:rsid w:val="00BF69A1"/>
    <w:rsid w:val="00BF7473"/>
    <w:rsid w:val="00C01F48"/>
    <w:rsid w:val="00C02487"/>
    <w:rsid w:val="00C05D03"/>
    <w:rsid w:val="00C065AE"/>
    <w:rsid w:val="00C11AEC"/>
    <w:rsid w:val="00C1384E"/>
    <w:rsid w:val="00C14801"/>
    <w:rsid w:val="00C201C8"/>
    <w:rsid w:val="00C21CF0"/>
    <w:rsid w:val="00C22217"/>
    <w:rsid w:val="00C22E6E"/>
    <w:rsid w:val="00C231A2"/>
    <w:rsid w:val="00C249E0"/>
    <w:rsid w:val="00C25418"/>
    <w:rsid w:val="00C25D9C"/>
    <w:rsid w:val="00C2695D"/>
    <w:rsid w:val="00C31649"/>
    <w:rsid w:val="00C31E3F"/>
    <w:rsid w:val="00C32856"/>
    <w:rsid w:val="00C33626"/>
    <w:rsid w:val="00C3559D"/>
    <w:rsid w:val="00C36482"/>
    <w:rsid w:val="00C40385"/>
    <w:rsid w:val="00C408E7"/>
    <w:rsid w:val="00C42646"/>
    <w:rsid w:val="00C4399D"/>
    <w:rsid w:val="00C44FD6"/>
    <w:rsid w:val="00C4602E"/>
    <w:rsid w:val="00C46BF4"/>
    <w:rsid w:val="00C46C1F"/>
    <w:rsid w:val="00C47C3F"/>
    <w:rsid w:val="00C5522D"/>
    <w:rsid w:val="00C60C7E"/>
    <w:rsid w:val="00C61693"/>
    <w:rsid w:val="00C618CA"/>
    <w:rsid w:val="00C6471C"/>
    <w:rsid w:val="00C65576"/>
    <w:rsid w:val="00C65E71"/>
    <w:rsid w:val="00C66165"/>
    <w:rsid w:val="00C66AA0"/>
    <w:rsid w:val="00C66CB5"/>
    <w:rsid w:val="00C66D1C"/>
    <w:rsid w:val="00C70C1E"/>
    <w:rsid w:val="00C71891"/>
    <w:rsid w:val="00C71911"/>
    <w:rsid w:val="00C777CC"/>
    <w:rsid w:val="00C803EF"/>
    <w:rsid w:val="00C80D15"/>
    <w:rsid w:val="00C8101F"/>
    <w:rsid w:val="00C8213F"/>
    <w:rsid w:val="00C8266C"/>
    <w:rsid w:val="00C82A94"/>
    <w:rsid w:val="00C8720D"/>
    <w:rsid w:val="00C8766D"/>
    <w:rsid w:val="00C8797A"/>
    <w:rsid w:val="00C9148E"/>
    <w:rsid w:val="00C938CF"/>
    <w:rsid w:val="00C96828"/>
    <w:rsid w:val="00CA0769"/>
    <w:rsid w:val="00CA2711"/>
    <w:rsid w:val="00CA5245"/>
    <w:rsid w:val="00CA59AA"/>
    <w:rsid w:val="00CA61E2"/>
    <w:rsid w:val="00CA7731"/>
    <w:rsid w:val="00CA7B09"/>
    <w:rsid w:val="00CA7E8B"/>
    <w:rsid w:val="00CB180D"/>
    <w:rsid w:val="00CB1DB8"/>
    <w:rsid w:val="00CB26BC"/>
    <w:rsid w:val="00CB50F5"/>
    <w:rsid w:val="00CB5B1A"/>
    <w:rsid w:val="00CC007B"/>
    <w:rsid w:val="00CC2269"/>
    <w:rsid w:val="00CC238E"/>
    <w:rsid w:val="00CC33D4"/>
    <w:rsid w:val="00CC650A"/>
    <w:rsid w:val="00CC666C"/>
    <w:rsid w:val="00CC6BC5"/>
    <w:rsid w:val="00CC6DF3"/>
    <w:rsid w:val="00CD0E82"/>
    <w:rsid w:val="00CD1D04"/>
    <w:rsid w:val="00CD2424"/>
    <w:rsid w:val="00CD3BF4"/>
    <w:rsid w:val="00CD5058"/>
    <w:rsid w:val="00CD6ADC"/>
    <w:rsid w:val="00CE07BE"/>
    <w:rsid w:val="00CE1668"/>
    <w:rsid w:val="00CE1CF9"/>
    <w:rsid w:val="00CE45BA"/>
    <w:rsid w:val="00CE6274"/>
    <w:rsid w:val="00CE6BA2"/>
    <w:rsid w:val="00CF0910"/>
    <w:rsid w:val="00CF1A2F"/>
    <w:rsid w:val="00CF20B2"/>
    <w:rsid w:val="00CF307F"/>
    <w:rsid w:val="00CF3D88"/>
    <w:rsid w:val="00CF456B"/>
    <w:rsid w:val="00CF4CF2"/>
    <w:rsid w:val="00CF5A22"/>
    <w:rsid w:val="00CF75B2"/>
    <w:rsid w:val="00CF7C61"/>
    <w:rsid w:val="00D0262E"/>
    <w:rsid w:val="00D030E7"/>
    <w:rsid w:val="00D03D13"/>
    <w:rsid w:val="00D04C42"/>
    <w:rsid w:val="00D0617B"/>
    <w:rsid w:val="00D06FD4"/>
    <w:rsid w:val="00D07A3B"/>
    <w:rsid w:val="00D1038B"/>
    <w:rsid w:val="00D110BD"/>
    <w:rsid w:val="00D12AF5"/>
    <w:rsid w:val="00D13153"/>
    <w:rsid w:val="00D142CA"/>
    <w:rsid w:val="00D164DB"/>
    <w:rsid w:val="00D16918"/>
    <w:rsid w:val="00D17D6C"/>
    <w:rsid w:val="00D20C1A"/>
    <w:rsid w:val="00D20D16"/>
    <w:rsid w:val="00D210F3"/>
    <w:rsid w:val="00D232C6"/>
    <w:rsid w:val="00D23847"/>
    <w:rsid w:val="00D24070"/>
    <w:rsid w:val="00D263F7"/>
    <w:rsid w:val="00D30240"/>
    <w:rsid w:val="00D30703"/>
    <w:rsid w:val="00D31D1A"/>
    <w:rsid w:val="00D33548"/>
    <w:rsid w:val="00D3409F"/>
    <w:rsid w:val="00D353F6"/>
    <w:rsid w:val="00D35D17"/>
    <w:rsid w:val="00D364D5"/>
    <w:rsid w:val="00D36521"/>
    <w:rsid w:val="00D42BCF"/>
    <w:rsid w:val="00D43A16"/>
    <w:rsid w:val="00D45673"/>
    <w:rsid w:val="00D46551"/>
    <w:rsid w:val="00D50C6D"/>
    <w:rsid w:val="00D56B90"/>
    <w:rsid w:val="00D56DC9"/>
    <w:rsid w:val="00D57B66"/>
    <w:rsid w:val="00D6030B"/>
    <w:rsid w:val="00D613CB"/>
    <w:rsid w:val="00D62F34"/>
    <w:rsid w:val="00D655D5"/>
    <w:rsid w:val="00D700F1"/>
    <w:rsid w:val="00D7354E"/>
    <w:rsid w:val="00D73D52"/>
    <w:rsid w:val="00D76A44"/>
    <w:rsid w:val="00D76F72"/>
    <w:rsid w:val="00D770FB"/>
    <w:rsid w:val="00D81486"/>
    <w:rsid w:val="00D81B88"/>
    <w:rsid w:val="00D83B89"/>
    <w:rsid w:val="00D876B3"/>
    <w:rsid w:val="00D9052C"/>
    <w:rsid w:val="00D90697"/>
    <w:rsid w:val="00D913BE"/>
    <w:rsid w:val="00D934EA"/>
    <w:rsid w:val="00D93753"/>
    <w:rsid w:val="00D94156"/>
    <w:rsid w:val="00D94334"/>
    <w:rsid w:val="00D9526D"/>
    <w:rsid w:val="00D9761C"/>
    <w:rsid w:val="00DA3816"/>
    <w:rsid w:val="00DA41EF"/>
    <w:rsid w:val="00DA47C3"/>
    <w:rsid w:val="00DA77A5"/>
    <w:rsid w:val="00DB0DF4"/>
    <w:rsid w:val="00DB34DA"/>
    <w:rsid w:val="00DB7902"/>
    <w:rsid w:val="00DC2951"/>
    <w:rsid w:val="00DC3909"/>
    <w:rsid w:val="00DC5501"/>
    <w:rsid w:val="00DD2072"/>
    <w:rsid w:val="00DD234D"/>
    <w:rsid w:val="00DD3F28"/>
    <w:rsid w:val="00DD4537"/>
    <w:rsid w:val="00DD4E15"/>
    <w:rsid w:val="00DD57FE"/>
    <w:rsid w:val="00DE1444"/>
    <w:rsid w:val="00DE1A4C"/>
    <w:rsid w:val="00DE3F2F"/>
    <w:rsid w:val="00DE48F7"/>
    <w:rsid w:val="00DE4FCB"/>
    <w:rsid w:val="00DE68EB"/>
    <w:rsid w:val="00DE773F"/>
    <w:rsid w:val="00E00009"/>
    <w:rsid w:val="00E00A85"/>
    <w:rsid w:val="00E01127"/>
    <w:rsid w:val="00E03E5A"/>
    <w:rsid w:val="00E04D2F"/>
    <w:rsid w:val="00E0553D"/>
    <w:rsid w:val="00E10149"/>
    <w:rsid w:val="00E1039F"/>
    <w:rsid w:val="00E13EA0"/>
    <w:rsid w:val="00E14821"/>
    <w:rsid w:val="00E14CB2"/>
    <w:rsid w:val="00E16372"/>
    <w:rsid w:val="00E16D7D"/>
    <w:rsid w:val="00E172B0"/>
    <w:rsid w:val="00E20ED6"/>
    <w:rsid w:val="00E21358"/>
    <w:rsid w:val="00E2249B"/>
    <w:rsid w:val="00E237C6"/>
    <w:rsid w:val="00E23C0A"/>
    <w:rsid w:val="00E243AD"/>
    <w:rsid w:val="00E2583D"/>
    <w:rsid w:val="00E272D1"/>
    <w:rsid w:val="00E275F1"/>
    <w:rsid w:val="00E2771E"/>
    <w:rsid w:val="00E27E1A"/>
    <w:rsid w:val="00E30517"/>
    <w:rsid w:val="00E3051A"/>
    <w:rsid w:val="00E31069"/>
    <w:rsid w:val="00E31C71"/>
    <w:rsid w:val="00E3259B"/>
    <w:rsid w:val="00E32658"/>
    <w:rsid w:val="00E33ADF"/>
    <w:rsid w:val="00E33E72"/>
    <w:rsid w:val="00E33FE3"/>
    <w:rsid w:val="00E35EC6"/>
    <w:rsid w:val="00E37569"/>
    <w:rsid w:val="00E40EAC"/>
    <w:rsid w:val="00E41200"/>
    <w:rsid w:val="00E41224"/>
    <w:rsid w:val="00E41530"/>
    <w:rsid w:val="00E41E30"/>
    <w:rsid w:val="00E42EE2"/>
    <w:rsid w:val="00E469F4"/>
    <w:rsid w:val="00E47B2C"/>
    <w:rsid w:val="00E51F71"/>
    <w:rsid w:val="00E52C47"/>
    <w:rsid w:val="00E52D49"/>
    <w:rsid w:val="00E53E35"/>
    <w:rsid w:val="00E5517B"/>
    <w:rsid w:val="00E55424"/>
    <w:rsid w:val="00E5547C"/>
    <w:rsid w:val="00E60830"/>
    <w:rsid w:val="00E60FDC"/>
    <w:rsid w:val="00E62049"/>
    <w:rsid w:val="00E6287F"/>
    <w:rsid w:val="00E65E0D"/>
    <w:rsid w:val="00E65E79"/>
    <w:rsid w:val="00E668F1"/>
    <w:rsid w:val="00E66C55"/>
    <w:rsid w:val="00E6704D"/>
    <w:rsid w:val="00E67416"/>
    <w:rsid w:val="00E70DCC"/>
    <w:rsid w:val="00E718B6"/>
    <w:rsid w:val="00E722B3"/>
    <w:rsid w:val="00E72997"/>
    <w:rsid w:val="00E73581"/>
    <w:rsid w:val="00E7615B"/>
    <w:rsid w:val="00E7628B"/>
    <w:rsid w:val="00E82B60"/>
    <w:rsid w:val="00E82C7B"/>
    <w:rsid w:val="00E8307A"/>
    <w:rsid w:val="00E83BDF"/>
    <w:rsid w:val="00E867C8"/>
    <w:rsid w:val="00E86F8F"/>
    <w:rsid w:val="00E909A8"/>
    <w:rsid w:val="00E90D37"/>
    <w:rsid w:val="00E92C1E"/>
    <w:rsid w:val="00E93130"/>
    <w:rsid w:val="00EA0BA6"/>
    <w:rsid w:val="00EA0C2B"/>
    <w:rsid w:val="00EA22D7"/>
    <w:rsid w:val="00EA2FCC"/>
    <w:rsid w:val="00EA3232"/>
    <w:rsid w:val="00EA3864"/>
    <w:rsid w:val="00EA3BC9"/>
    <w:rsid w:val="00EA3DBE"/>
    <w:rsid w:val="00EA5562"/>
    <w:rsid w:val="00EA600E"/>
    <w:rsid w:val="00EA7423"/>
    <w:rsid w:val="00EA7F04"/>
    <w:rsid w:val="00EB03CB"/>
    <w:rsid w:val="00EB0665"/>
    <w:rsid w:val="00EB169A"/>
    <w:rsid w:val="00EB171F"/>
    <w:rsid w:val="00EB4014"/>
    <w:rsid w:val="00EB6DB7"/>
    <w:rsid w:val="00EC00C9"/>
    <w:rsid w:val="00EC1A27"/>
    <w:rsid w:val="00EC6AB8"/>
    <w:rsid w:val="00ED1FD5"/>
    <w:rsid w:val="00ED4822"/>
    <w:rsid w:val="00ED6232"/>
    <w:rsid w:val="00EE07D3"/>
    <w:rsid w:val="00EE3468"/>
    <w:rsid w:val="00EE3C77"/>
    <w:rsid w:val="00EE693B"/>
    <w:rsid w:val="00EE79DC"/>
    <w:rsid w:val="00EE7B9D"/>
    <w:rsid w:val="00EF3225"/>
    <w:rsid w:val="00EF53D5"/>
    <w:rsid w:val="00EF5D77"/>
    <w:rsid w:val="00F02A1C"/>
    <w:rsid w:val="00F031D4"/>
    <w:rsid w:val="00F058C9"/>
    <w:rsid w:val="00F05F17"/>
    <w:rsid w:val="00F067A2"/>
    <w:rsid w:val="00F10260"/>
    <w:rsid w:val="00F12996"/>
    <w:rsid w:val="00F14E6F"/>
    <w:rsid w:val="00F15C0C"/>
    <w:rsid w:val="00F225FD"/>
    <w:rsid w:val="00F24837"/>
    <w:rsid w:val="00F2575F"/>
    <w:rsid w:val="00F25DD7"/>
    <w:rsid w:val="00F32A81"/>
    <w:rsid w:val="00F338FF"/>
    <w:rsid w:val="00F33DE9"/>
    <w:rsid w:val="00F3619A"/>
    <w:rsid w:val="00F42C00"/>
    <w:rsid w:val="00F437C7"/>
    <w:rsid w:val="00F4538F"/>
    <w:rsid w:val="00F454D9"/>
    <w:rsid w:val="00F46A2D"/>
    <w:rsid w:val="00F46CB6"/>
    <w:rsid w:val="00F46E9A"/>
    <w:rsid w:val="00F47786"/>
    <w:rsid w:val="00F51860"/>
    <w:rsid w:val="00F55E5B"/>
    <w:rsid w:val="00F55E73"/>
    <w:rsid w:val="00F5773B"/>
    <w:rsid w:val="00F638F7"/>
    <w:rsid w:val="00F63A15"/>
    <w:rsid w:val="00F63B30"/>
    <w:rsid w:val="00F63CF4"/>
    <w:rsid w:val="00F63E9E"/>
    <w:rsid w:val="00F645F3"/>
    <w:rsid w:val="00F65988"/>
    <w:rsid w:val="00F65BF9"/>
    <w:rsid w:val="00F668C0"/>
    <w:rsid w:val="00F7442C"/>
    <w:rsid w:val="00F74690"/>
    <w:rsid w:val="00F80E5D"/>
    <w:rsid w:val="00F816FE"/>
    <w:rsid w:val="00F84162"/>
    <w:rsid w:val="00F851CE"/>
    <w:rsid w:val="00F91984"/>
    <w:rsid w:val="00F97575"/>
    <w:rsid w:val="00F97A78"/>
    <w:rsid w:val="00F97E66"/>
    <w:rsid w:val="00FA409F"/>
    <w:rsid w:val="00FA678B"/>
    <w:rsid w:val="00FB0976"/>
    <w:rsid w:val="00FB10BF"/>
    <w:rsid w:val="00FB130F"/>
    <w:rsid w:val="00FB1B74"/>
    <w:rsid w:val="00FB22D5"/>
    <w:rsid w:val="00FB2FCB"/>
    <w:rsid w:val="00FB5501"/>
    <w:rsid w:val="00FB5F3F"/>
    <w:rsid w:val="00FB6868"/>
    <w:rsid w:val="00FB73FE"/>
    <w:rsid w:val="00FB7742"/>
    <w:rsid w:val="00FC1074"/>
    <w:rsid w:val="00FC1884"/>
    <w:rsid w:val="00FC28E1"/>
    <w:rsid w:val="00FC53E0"/>
    <w:rsid w:val="00FC56FA"/>
    <w:rsid w:val="00FC5F84"/>
    <w:rsid w:val="00FC66CC"/>
    <w:rsid w:val="00FC6971"/>
    <w:rsid w:val="00FD1830"/>
    <w:rsid w:val="00FD1CE4"/>
    <w:rsid w:val="00FD1FA6"/>
    <w:rsid w:val="00FD2100"/>
    <w:rsid w:val="00FD24E0"/>
    <w:rsid w:val="00FD32B5"/>
    <w:rsid w:val="00FD3AD4"/>
    <w:rsid w:val="00FD3C38"/>
    <w:rsid w:val="00FD446D"/>
    <w:rsid w:val="00FD469C"/>
    <w:rsid w:val="00FD5921"/>
    <w:rsid w:val="00FD5CF9"/>
    <w:rsid w:val="00FE0893"/>
    <w:rsid w:val="00FE1172"/>
    <w:rsid w:val="00FE1DE0"/>
    <w:rsid w:val="00FE22BB"/>
    <w:rsid w:val="00FE2FF2"/>
    <w:rsid w:val="00FE366B"/>
    <w:rsid w:val="00FE3E99"/>
    <w:rsid w:val="00FE5959"/>
    <w:rsid w:val="00FE70B2"/>
    <w:rsid w:val="00FE7E92"/>
    <w:rsid w:val="00FF0E70"/>
    <w:rsid w:val="00FF1802"/>
    <w:rsid w:val="00FF3C7A"/>
    <w:rsid w:val="00FF3DCF"/>
    <w:rsid w:val="00FF45F5"/>
    <w:rsid w:val="00FF5AA3"/>
    <w:rsid w:val="00FF771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uiPriority="99"/>
    <w:lsdException w:name="heading 8" w:uiPriority="99"/>
    <w:lsdException w:name="heading 9"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B3770"/>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9B3770"/>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9B3770"/>
    <w:pPr>
      <w:outlineLvl w:val="1"/>
    </w:pPr>
    <w:rPr>
      <w:b/>
    </w:rPr>
  </w:style>
  <w:style w:type="paragraph" w:styleId="Heading3">
    <w:name w:val="heading 3"/>
    <w:basedOn w:val="Normal"/>
    <w:next w:val="Normal"/>
    <w:link w:val="Heading3Char"/>
    <w:qFormat/>
    <w:rsid w:val="009B3770"/>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uiPriority w:val="99"/>
    <w:rsid w:val="00124A51"/>
    <w:pPr>
      <w:keepNext/>
      <w:jc w:val="center"/>
      <w:outlineLvl w:val="6"/>
    </w:pPr>
    <w:rPr>
      <w:b/>
      <w:sz w:val="20"/>
    </w:rPr>
  </w:style>
  <w:style w:type="paragraph" w:styleId="Heading8">
    <w:name w:val="heading 8"/>
    <w:basedOn w:val="Normal"/>
    <w:next w:val="Normal"/>
    <w:link w:val="Heading8Char"/>
    <w:uiPriority w:val="99"/>
    <w:rsid w:val="00124A51"/>
    <w:pPr>
      <w:keepNext/>
      <w:jc w:val="right"/>
      <w:outlineLvl w:val="7"/>
    </w:pPr>
    <w:rPr>
      <w:b/>
    </w:rPr>
  </w:style>
  <w:style w:type="paragraph" w:styleId="Heading9">
    <w:name w:val="heading 9"/>
    <w:basedOn w:val="Normal"/>
    <w:next w:val="Normal"/>
    <w:link w:val="Heading9Char"/>
    <w:uiPriority w:val="9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9B3770"/>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uiPriority w:val="9"/>
    <w:rsid w:val="009B3770"/>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aliases w:val="CSR Caption,Caption for Appendix,OxTableCaption,Char2,IB Caption,Medical Caption,Caption Char1 Char Char,Caption Char Char Char Char,Caption Char1 Char,Caption Char Char Char Char Char,Caption Char Char,Caption Char Char Char Cha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SR Caption Char,Caption for Appendix Char,OxTableCaption Char,Char2 Char,IB Caption Char,Medical Caption Char,Caption Char1 Char Char Char,Caption Char Char Char Char Char1,Caption Char1 Char Char1,Caption Char Char Char Char Char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99"/>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qFormat/>
    <w:rsid w:val="009B3770"/>
    <w:pPr>
      <w:jc w:val="left"/>
    </w:pPr>
  </w:style>
  <w:style w:type="character" w:customStyle="1" w:styleId="BodyTextChar">
    <w:name w:val="Body Text Char"/>
    <w:basedOn w:val="DefaultParagraphFont"/>
    <w:link w:val="BodyText"/>
    <w:rsid w:val="009B377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9B3770"/>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9B3770"/>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9B3770"/>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6100C5"/>
    <w:pPr>
      <w:tabs>
        <w:tab w:val="left" w:pos="880"/>
        <w:tab w:val="right" w:leader="dot" w:pos="9016"/>
      </w:tabs>
      <w:spacing w:before="120"/>
      <w:ind w:left="221"/>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6100C5"/>
    <w:pPr>
      <w:spacing w:line="360" w:lineRule="auto"/>
      <w:ind w:left="442"/>
      <w:jc w:val="left"/>
    </w:pPr>
    <w:rPr>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2025FE"/>
    <w:rPr>
      <w:rFonts w:ascii="Arial" w:hAnsi="Arial" w:cs="Arial"/>
      <w:snapToGrid w:val="0"/>
      <w:sz w:val="22"/>
      <w:szCs w:val="22"/>
      <w:lang w:eastAsia="en-US"/>
    </w:rPr>
  </w:style>
  <w:style w:type="character" w:customStyle="1" w:styleId="ListParagraphChar">
    <w:name w:val="List Paragraph Char"/>
    <w:aliases w:val="BulletPoints Char"/>
    <w:link w:val="ListParagraph"/>
    <w:uiPriority w:val="72"/>
    <w:rsid w:val="006317D4"/>
    <w:rPr>
      <w:rFonts w:ascii="Arial" w:hAnsi="Arial" w:cs="Arial"/>
      <w:snapToGrid w:val="0"/>
      <w:sz w:val="22"/>
      <w:lang w:eastAsia="en-US"/>
    </w:rPr>
  </w:style>
  <w:style w:type="paragraph" w:customStyle="1" w:styleId="PBACHeading1">
    <w:name w:val="PBAC Heading 1"/>
    <w:qFormat/>
    <w:rsid w:val="00581797"/>
    <w:pPr>
      <w:numPr>
        <w:numId w:val="10"/>
      </w:numPr>
      <w:outlineLvl w:val="0"/>
    </w:pPr>
    <w:rPr>
      <w:rFonts w:ascii="Arial" w:hAnsi="Arial" w:cs="Arial"/>
      <w:b/>
      <w:snapToGrid w:val="0"/>
      <w:sz w:val="22"/>
      <w:szCs w:val="22"/>
      <w:lang w:eastAsia="en-US"/>
    </w:rPr>
  </w:style>
  <w:style w:type="character" w:customStyle="1" w:styleId="Heading3Char">
    <w:name w:val="Heading 3 Char"/>
    <w:basedOn w:val="DefaultParagraphFont"/>
    <w:link w:val="Heading3"/>
    <w:rsid w:val="001D6636"/>
    <w:rPr>
      <w:rFonts w:ascii="Arial" w:hAnsi="Arial" w:cs="Arial"/>
      <w:snapToGrid w:val="0"/>
      <w:sz w:val="22"/>
      <w:u w:val="single"/>
      <w:lang w:eastAsia="en-US"/>
    </w:rPr>
  </w:style>
  <w:style w:type="table" w:customStyle="1" w:styleId="Summarybox1">
    <w:name w:val="Summary box1"/>
    <w:basedOn w:val="TableNormal"/>
    <w:next w:val="TableGrid"/>
    <w:uiPriority w:val="59"/>
    <w:rsid w:val="00CF091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BB12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BF2133"/>
  </w:style>
  <w:style w:type="paragraph" w:customStyle="1" w:styleId="Default">
    <w:name w:val="Default"/>
    <w:link w:val="DefaultChar"/>
    <w:rsid w:val="00BF2133"/>
    <w:pPr>
      <w:autoSpaceDE w:val="0"/>
      <w:autoSpaceDN w:val="0"/>
      <w:adjustRightInd w:val="0"/>
    </w:pPr>
    <w:rPr>
      <w:rFonts w:ascii="Arial" w:eastAsiaTheme="minorHAnsi" w:hAnsi="Arial" w:cs="Arial"/>
      <w:color w:val="000000"/>
      <w:sz w:val="24"/>
      <w:szCs w:val="24"/>
      <w:lang w:val="en-GB" w:eastAsia="en-US"/>
    </w:rPr>
  </w:style>
  <w:style w:type="character" w:customStyle="1" w:styleId="DefaultChar">
    <w:name w:val="Default Char"/>
    <w:link w:val="Default"/>
    <w:rsid w:val="00BF2133"/>
    <w:rPr>
      <w:rFonts w:ascii="Arial" w:eastAsiaTheme="minorHAnsi" w:hAnsi="Arial" w:cs="Arial"/>
      <w:color w:val="000000"/>
      <w:sz w:val="24"/>
      <w:szCs w:val="24"/>
      <w:lang w:val="en-GB" w:eastAsia="en-US"/>
    </w:rPr>
  </w:style>
  <w:style w:type="paragraph" w:styleId="FootnoteText">
    <w:name w:val="footnote text"/>
    <w:basedOn w:val="Normal"/>
    <w:link w:val="FootnoteTextChar"/>
    <w:uiPriority w:val="99"/>
    <w:unhideWhenUsed/>
    <w:rsid w:val="006C1C89"/>
    <w:pPr>
      <w:widowControl/>
    </w:pPr>
    <w:rPr>
      <w:rFonts w:ascii="Calibri" w:eastAsiaTheme="minorHAnsi" w:hAnsi="Calibri" w:cstheme="minorBidi"/>
      <w:snapToGrid/>
      <w:sz w:val="20"/>
    </w:rPr>
  </w:style>
  <w:style w:type="character" w:customStyle="1" w:styleId="FootnoteTextChar">
    <w:name w:val="Footnote Text Char"/>
    <w:basedOn w:val="DefaultParagraphFont"/>
    <w:link w:val="FootnoteText"/>
    <w:uiPriority w:val="99"/>
    <w:rsid w:val="006C1C89"/>
    <w:rPr>
      <w:rFonts w:ascii="Calibri" w:eastAsiaTheme="minorHAnsi" w:hAnsi="Calibri" w:cstheme="minorBidi"/>
      <w:lang w:eastAsia="en-US"/>
    </w:rPr>
  </w:style>
  <w:style w:type="character" w:styleId="FootnoteReference">
    <w:name w:val="footnote reference"/>
    <w:basedOn w:val="DefaultParagraphFont"/>
    <w:uiPriority w:val="99"/>
    <w:unhideWhenUsed/>
    <w:rsid w:val="006C1C89"/>
    <w:rPr>
      <w:vertAlign w:val="superscript"/>
    </w:rPr>
  </w:style>
  <w:style w:type="character" w:customStyle="1" w:styleId="TableText1">
    <w:name w:val="Table Text"/>
    <w:basedOn w:val="DefaultParagraphFont"/>
    <w:uiPriority w:val="4"/>
    <w:qFormat/>
    <w:rsid w:val="005137EC"/>
    <w:rPr>
      <w:rFonts w:ascii="Arial Narrow" w:hAnsi="Arial Narrow"/>
      <w:sz w:val="20"/>
    </w:rPr>
  </w:style>
  <w:style w:type="character" w:customStyle="1" w:styleId="Heading1Char">
    <w:name w:val="Heading 1 Char"/>
    <w:basedOn w:val="DefaultParagraphFont"/>
    <w:link w:val="Heading1"/>
    <w:rsid w:val="001B03F9"/>
    <w:rPr>
      <w:rFonts w:ascii="Arial Bold" w:hAnsi="Arial Bold" w:cs="Arial"/>
      <w:b/>
      <w:caps/>
      <w:snapToGrid w:val="0"/>
      <w:sz w:val="22"/>
      <w:lang w:eastAsia="en-US"/>
    </w:rPr>
  </w:style>
  <w:style w:type="character" w:customStyle="1" w:styleId="Heading4Char">
    <w:name w:val="Heading 4 Char"/>
    <w:basedOn w:val="DefaultParagraphFont"/>
    <w:link w:val="Heading4"/>
    <w:rsid w:val="001B03F9"/>
    <w:rPr>
      <w:rFonts w:ascii="Arial" w:hAnsi="Arial" w:cs="Arial"/>
      <w:b/>
      <w:bCs/>
      <w:i/>
      <w:snapToGrid w:val="0"/>
      <w:sz w:val="26"/>
      <w:szCs w:val="28"/>
      <w:lang w:eastAsia="en-US"/>
    </w:rPr>
  </w:style>
  <w:style w:type="character" w:customStyle="1" w:styleId="Heading5Char">
    <w:name w:val="Heading 5 Char"/>
    <w:basedOn w:val="DefaultParagraphFont"/>
    <w:link w:val="Heading5"/>
    <w:rsid w:val="001B03F9"/>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1B03F9"/>
    <w:rPr>
      <w:rFonts w:ascii="Arial" w:hAnsi="Arial" w:cs="Arial"/>
      <w:b/>
      <w:bCs/>
      <w:i/>
      <w:snapToGrid w:val="0"/>
      <w:sz w:val="22"/>
      <w:szCs w:val="22"/>
      <w:lang w:eastAsia="en-US"/>
    </w:rPr>
  </w:style>
  <w:style w:type="numbering" w:customStyle="1" w:styleId="NoList1">
    <w:name w:val="No List1"/>
    <w:next w:val="NoList"/>
    <w:uiPriority w:val="99"/>
    <w:semiHidden/>
    <w:unhideWhenUsed/>
    <w:rsid w:val="001E43E3"/>
  </w:style>
  <w:style w:type="character" w:styleId="FollowedHyperlink">
    <w:name w:val="FollowedHyperlink"/>
    <w:basedOn w:val="DefaultParagraphFont"/>
    <w:uiPriority w:val="99"/>
    <w:semiHidden/>
    <w:unhideWhenUsed/>
    <w:rsid w:val="001E43E3"/>
    <w:rPr>
      <w:color w:val="800080" w:themeColor="followedHyperlink"/>
      <w:u w:val="single"/>
    </w:rPr>
  </w:style>
  <w:style w:type="character" w:customStyle="1" w:styleId="HeaderChar1">
    <w:name w:val="Header Char1"/>
    <w:aliases w:val="Page Header Char1,Header title Char1,he=header Char1,cntr/bld Char1"/>
    <w:basedOn w:val="DefaultParagraphFont"/>
    <w:uiPriority w:val="99"/>
    <w:semiHidden/>
    <w:rsid w:val="001E43E3"/>
    <w:rPr>
      <w:rFonts w:ascii="Arial" w:hAnsi="Arial" w:cs="Arial"/>
      <w:sz w:val="22"/>
      <w:lang w:eastAsia="en-US"/>
    </w:rPr>
  </w:style>
  <w:style w:type="table" w:customStyle="1" w:styleId="Summarybox21">
    <w:name w:val="Summary box21"/>
    <w:basedOn w:val="TableNormal"/>
    <w:uiPriority w:val="59"/>
    <w:rsid w:val="001E43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9B3770"/>
    <w:pPr>
      <w:widowControl/>
    </w:pPr>
    <w:rPr>
      <w:rFonts w:ascii="Times New Roman" w:hAnsi="Times New Roman" w:cs="Times New Roman"/>
      <w:snapToGrid/>
      <w:sz w:val="20"/>
    </w:rPr>
  </w:style>
  <w:style w:type="character" w:customStyle="1" w:styleId="SubtitleChar">
    <w:name w:val="Subtitle Char"/>
    <w:link w:val="Subtitle"/>
    <w:rsid w:val="009B3770"/>
    <w:rPr>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058FE"/>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8F6E97"/>
    <w:pPr>
      <w:widowControl/>
      <w:spacing w:after="160" w:line="240" w:lineRule="exact"/>
      <w:jc w:val="left"/>
    </w:pPr>
    <w:rPr>
      <w:rFonts w:ascii="Verdana" w:eastAsia="MS Mincho" w:hAnsi="Verdana" w:cs="Verdana"/>
      <w:snapToGrid/>
      <w:sz w:val="20"/>
      <w:lang w:val="en-US"/>
    </w:rPr>
  </w:style>
  <w:style w:type="character" w:customStyle="1" w:styleId="highwire-cite-metadata-journal">
    <w:name w:val="highwire-cite-metadata-journal"/>
    <w:basedOn w:val="DefaultParagraphFont"/>
    <w:rsid w:val="00AA1EC0"/>
  </w:style>
  <w:style w:type="character" w:customStyle="1" w:styleId="apple-converted-space">
    <w:name w:val="apple-converted-space"/>
    <w:basedOn w:val="DefaultParagraphFont"/>
    <w:rsid w:val="00AA1EC0"/>
  </w:style>
  <w:style w:type="character" w:customStyle="1" w:styleId="highwire-cite-metadata-date">
    <w:name w:val="highwire-cite-metadata-date"/>
    <w:basedOn w:val="DefaultParagraphFont"/>
    <w:rsid w:val="00AA1EC0"/>
  </w:style>
  <w:style w:type="character" w:customStyle="1" w:styleId="highwire-cite-metadata-volume-pages">
    <w:name w:val="highwire-cite-metadata-volume-pages"/>
    <w:basedOn w:val="DefaultParagraphFont"/>
    <w:rsid w:val="00AA1EC0"/>
  </w:style>
  <w:style w:type="character" w:customStyle="1" w:styleId="highwire-cite-metadata-doi">
    <w:name w:val="highwire-cite-metadata-doi"/>
    <w:basedOn w:val="DefaultParagraphFont"/>
    <w:rsid w:val="00AA1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uiPriority="99"/>
    <w:lsdException w:name="heading 8" w:uiPriority="99"/>
    <w:lsdException w:name="heading 9"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B3770"/>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9B3770"/>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9B3770"/>
    <w:pPr>
      <w:outlineLvl w:val="1"/>
    </w:pPr>
    <w:rPr>
      <w:b/>
    </w:rPr>
  </w:style>
  <w:style w:type="paragraph" w:styleId="Heading3">
    <w:name w:val="heading 3"/>
    <w:basedOn w:val="Normal"/>
    <w:next w:val="Normal"/>
    <w:link w:val="Heading3Char"/>
    <w:qFormat/>
    <w:rsid w:val="009B3770"/>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uiPriority w:val="99"/>
    <w:rsid w:val="00124A51"/>
    <w:pPr>
      <w:keepNext/>
      <w:jc w:val="center"/>
      <w:outlineLvl w:val="6"/>
    </w:pPr>
    <w:rPr>
      <w:b/>
      <w:sz w:val="20"/>
    </w:rPr>
  </w:style>
  <w:style w:type="paragraph" w:styleId="Heading8">
    <w:name w:val="heading 8"/>
    <w:basedOn w:val="Normal"/>
    <w:next w:val="Normal"/>
    <w:link w:val="Heading8Char"/>
    <w:uiPriority w:val="99"/>
    <w:rsid w:val="00124A51"/>
    <w:pPr>
      <w:keepNext/>
      <w:jc w:val="right"/>
      <w:outlineLvl w:val="7"/>
    </w:pPr>
    <w:rPr>
      <w:b/>
    </w:rPr>
  </w:style>
  <w:style w:type="paragraph" w:styleId="Heading9">
    <w:name w:val="heading 9"/>
    <w:basedOn w:val="Normal"/>
    <w:next w:val="Normal"/>
    <w:link w:val="Heading9Char"/>
    <w:uiPriority w:val="9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9B3770"/>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uiPriority w:val="9"/>
    <w:rsid w:val="009B3770"/>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aliases w:val="CSR Caption,Caption for Appendix,OxTableCaption,Char2,IB Caption,Medical Caption,Caption Char1 Char Char,Caption Char Char Char Char,Caption Char1 Char,Caption Char Char Char Char Char,Caption Char Char,Caption Char Char Char Cha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SR Caption Char,Caption for Appendix Char,OxTableCaption Char,Char2 Char,IB Caption Char,Medical Caption Char,Caption Char1 Char Char Char,Caption Char Char Char Char Char1,Caption Char1 Char Char1,Caption Char Char Char Char Char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99"/>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qFormat/>
    <w:rsid w:val="009B3770"/>
    <w:pPr>
      <w:jc w:val="left"/>
    </w:pPr>
  </w:style>
  <w:style w:type="character" w:customStyle="1" w:styleId="BodyTextChar">
    <w:name w:val="Body Text Char"/>
    <w:basedOn w:val="DefaultParagraphFont"/>
    <w:link w:val="BodyText"/>
    <w:rsid w:val="009B377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9B3770"/>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9B3770"/>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9B3770"/>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6100C5"/>
    <w:pPr>
      <w:tabs>
        <w:tab w:val="left" w:pos="880"/>
        <w:tab w:val="right" w:leader="dot" w:pos="9016"/>
      </w:tabs>
      <w:spacing w:before="120"/>
      <w:ind w:left="221"/>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6100C5"/>
    <w:pPr>
      <w:spacing w:line="360" w:lineRule="auto"/>
      <w:ind w:left="442"/>
      <w:jc w:val="left"/>
    </w:pPr>
    <w:rPr>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2025FE"/>
    <w:rPr>
      <w:rFonts w:ascii="Arial" w:hAnsi="Arial" w:cs="Arial"/>
      <w:snapToGrid w:val="0"/>
      <w:sz w:val="22"/>
      <w:szCs w:val="22"/>
      <w:lang w:eastAsia="en-US"/>
    </w:rPr>
  </w:style>
  <w:style w:type="character" w:customStyle="1" w:styleId="ListParagraphChar">
    <w:name w:val="List Paragraph Char"/>
    <w:aliases w:val="BulletPoints Char"/>
    <w:link w:val="ListParagraph"/>
    <w:uiPriority w:val="72"/>
    <w:rsid w:val="006317D4"/>
    <w:rPr>
      <w:rFonts w:ascii="Arial" w:hAnsi="Arial" w:cs="Arial"/>
      <w:snapToGrid w:val="0"/>
      <w:sz w:val="22"/>
      <w:lang w:eastAsia="en-US"/>
    </w:rPr>
  </w:style>
  <w:style w:type="paragraph" w:customStyle="1" w:styleId="PBACHeading1">
    <w:name w:val="PBAC Heading 1"/>
    <w:qFormat/>
    <w:rsid w:val="00581797"/>
    <w:pPr>
      <w:numPr>
        <w:numId w:val="10"/>
      </w:numPr>
      <w:outlineLvl w:val="0"/>
    </w:pPr>
    <w:rPr>
      <w:rFonts w:ascii="Arial" w:hAnsi="Arial" w:cs="Arial"/>
      <w:b/>
      <w:snapToGrid w:val="0"/>
      <w:sz w:val="22"/>
      <w:szCs w:val="22"/>
      <w:lang w:eastAsia="en-US"/>
    </w:rPr>
  </w:style>
  <w:style w:type="character" w:customStyle="1" w:styleId="Heading3Char">
    <w:name w:val="Heading 3 Char"/>
    <w:basedOn w:val="DefaultParagraphFont"/>
    <w:link w:val="Heading3"/>
    <w:rsid w:val="001D6636"/>
    <w:rPr>
      <w:rFonts w:ascii="Arial" w:hAnsi="Arial" w:cs="Arial"/>
      <w:snapToGrid w:val="0"/>
      <w:sz w:val="22"/>
      <w:u w:val="single"/>
      <w:lang w:eastAsia="en-US"/>
    </w:rPr>
  </w:style>
  <w:style w:type="table" w:customStyle="1" w:styleId="Summarybox1">
    <w:name w:val="Summary box1"/>
    <w:basedOn w:val="TableNormal"/>
    <w:next w:val="TableGrid"/>
    <w:uiPriority w:val="59"/>
    <w:rsid w:val="00CF091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BB12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BF2133"/>
  </w:style>
  <w:style w:type="paragraph" w:customStyle="1" w:styleId="Default">
    <w:name w:val="Default"/>
    <w:link w:val="DefaultChar"/>
    <w:rsid w:val="00BF2133"/>
    <w:pPr>
      <w:autoSpaceDE w:val="0"/>
      <w:autoSpaceDN w:val="0"/>
      <w:adjustRightInd w:val="0"/>
    </w:pPr>
    <w:rPr>
      <w:rFonts w:ascii="Arial" w:eastAsiaTheme="minorHAnsi" w:hAnsi="Arial" w:cs="Arial"/>
      <w:color w:val="000000"/>
      <w:sz w:val="24"/>
      <w:szCs w:val="24"/>
      <w:lang w:val="en-GB" w:eastAsia="en-US"/>
    </w:rPr>
  </w:style>
  <w:style w:type="character" w:customStyle="1" w:styleId="DefaultChar">
    <w:name w:val="Default Char"/>
    <w:link w:val="Default"/>
    <w:rsid w:val="00BF2133"/>
    <w:rPr>
      <w:rFonts w:ascii="Arial" w:eastAsiaTheme="minorHAnsi" w:hAnsi="Arial" w:cs="Arial"/>
      <w:color w:val="000000"/>
      <w:sz w:val="24"/>
      <w:szCs w:val="24"/>
      <w:lang w:val="en-GB" w:eastAsia="en-US"/>
    </w:rPr>
  </w:style>
  <w:style w:type="paragraph" w:styleId="FootnoteText">
    <w:name w:val="footnote text"/>
    <w:basedOn w:val="Normal"/>
    <w:link w:val="FootnoteTextChar"/>
    <w:uiPriority w:val="99"/>
    <w:unhideWhenUsed/>
    <w:rsid w:val="006C1C89"/>
    <w:pPr>
      <w:widowControl/>
    </w:pPr>
    <w:rPr>
      <w:rFonts w:ascii="Calibri" w:eastAsiaTheme="minorHAnsi" w:hAnsi="Calibri" w:cstheme="minorBidi"/>
      <w:snapToGrid/>
      <w:sz w:val="20"/>
    </w:rPr>
  </w:style>
  <w:style w:type="character" w:customStyle="1" w:styleId="FootnoteTextChar">
    <w:name w:val="Footnote Text Char"/>
    <w:basedOn w:val="DefaultParagraphFont"/>
    <w:link w:val="FootnoteText"/>
    <w:uiPriority w:val="99"/>
    <w:rsid w:val="006C1C89"/>
    <w:rPr>
      <w:rFonts w:ascii="Calibri" w:eastAsiaTheme="minorHAnsi" w:hAnsi="Calibri" w:cstheme="minorBidi"/>
      <w:lang w:eastAsia="en-US"/>
    </w:rPr>
  </w:style>
  <w:style w:type="character" w:styleId="FootnoteReference">
    <w:name w:val="footnote reference"/>
    <w:basedOn w:val="DefaultParagraphFont"/>
    <w:uiPriority w:val="99"/>
    <w:unhideWhenUsed/>
    <w:rsid w:val="006C1C89"/>
    <w:rPr>
      <w:vertAlign w:val="superscript"/>
    </w:rPr>
  </w:style>
  <w:style w:type="character" w:customStyle="1" w:styleId="TableText1">
    <w:name w:val="Table Text"/>
    <w:basedOn w:val="DefaultParagraphFont"/>
    <w:uiPriority w:val="4"/>
    <w:qFormat/>
    <w:rsid w:val="005137EC"/>
    <w:rPr>
      <w:rFonts w:ascii="Arial Narrow" w:hAnsi="Arial Narrow"/>
      <w:sz w:val="20"/>
    </w:rPr>
  </w:style>
  <w:style w:type="character" w:customStyle="1" w:styleId="Heading1Char">
    <w:name w:val="Heading 1 Char"/>
    <w:basedOn w:val="DefaultParagraphFont"/>
    <w:link w:val="Heading1"/>
    <w:rsid w:val="001B03F9"/>
    <w:rPr>
      <w:rFonts w:ascii="Arial Bold" w:hAnsi="Arial Bold" w:cs="Arial"/>
      <w:b/>
      <w:caps/>
      <w:snapToGrid w:val="0"/>
      <w:sz w:val="22"/>
      <w:lang w:eastAsia="en-US"/>
    </w:rPr>
  </w:style>
  <w:style w:type="character" w:customStyle="1" w:styleId="Heading4Char">
    <w:name w:val="Heading 4 Char"/>
    <w:basedOn w:val="DefaultParagraphFont"/>
    <w:link w:val="Heading4"/>
    <w:rsid w:val="001B03F9"/>
    <w:rPr>
      <w:rFonts w:ascii="Arial" w:hAnsi="Arial" w:cs="Arial"/>
      <w:b/>
      <w:bCs/>
      <w:i/>
      <w:snapToGrid w:val="0"/>
      <w:sz w:val="26"/>
      <w:szCs w:val="28"/>
      <w:lang w:eastAsia="en-US"/>
    </w:rPr>
  </w:style>
  <w:style w:type="character" w:customStyle="1" w:styleId="Heading5Char">
    <w:name w:val="Heading 5 Char"/>
    <w:basedOn w:val="DefaultParagraphFont"/>
    <w:link w:val="Heading5"/>
    <w:rsid w:val="001B03F9"/>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1B03F9"/>
    <w:rPr>
      <w:rFonts w:ascii="Arial" w:hAnsi="Arial" w:cs="Arial"/>
      <w:b/>
      <w:bCs/>
      <w:i/>
      <w:snapToGrid w:val="0"/>
      <w:sz w:val="22"/>
      <w:szCs w:val="22"/>
      <w:lang w:eastAsia="en-US"/>
    </w:rPr>
  </w:style>
  <w:style w:type="numbering" w:customStyle="1" w:styleId="NoList1">
    <w:name w:val="No List1"/>
    <w:next w:val="NoList"/>
    <w:uiPriority w:val="99"/>
    <w:semiHidden/>
    <w:unhideWhenUsed/>
    <w:rsid w:val="001E43E3"/>
  </w:style>
  <w:style w:type="character" w:styleId="FollowedHyperlink">
    <w:name w:val="FollowedHyperlink"/>
    <w:basedOn w:val="DefaultParagraphFont"/>
    <w:uiPriority w:val="99"/>
    <w:semiHidden/>
    <w:unhideWhenUsed/>
    <w:rsid w:val="001E43E3"/>
    <w:rPr>
      <w:color w:val="800080" w:themeColor="followedHyperlink"/>
      <w:u w:val="single"/>
    </w:rPr>
  </w:style>
  <w:style w:type="character" w:customStyle="1" w:styleId="HeaderChar1">
    <w:name w:val="Header Char1"/>
    <w:aliases w:val="Page Header Char1,Header title Char1,he=header Char1,cntr/bld Char1"/>
    <w:basedOn w:val="DefaultParagraphFont"/>
    <w:uiPriority w:val="99"/>
    <w:semiHidden/>
    <w:rsid w:val="001E43E3"/>
    <w:rPr>
      <w:rFonts w:ascii="Arial" w:hAnsi="Arial" w:cs="Arial"/>
      <w:sz w:val="22"/>
      <w:lang w:eastAsia="en-US"/>
    </w:rPr>
  </w:style>
  <w:style w:type="table" w:customStyle="1" w:styleId="Summarybox21">
    <w:name w:val="Summary box21"/>
    <w:basedOn w:val="TableNormal"/>
    <w:uiPriority w:val="59"/>
    <w:rsid w:val="001E43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9B3770"/>
    <w:pPr>
      <w:widowControl/>
    </w:pPr>
    <w:rPr>
      <w:rFonts w:ascii="Times New Roman" w:hAnsi="Times New Roman" w:cs="Times New Roman"/>
      <w:snapToGrid/>
      <w:sz w:val="20"/>
    </w:rPr>
  </w:style>
  <w:style w:type="character" w:customStyle="1" w:styleId="SubtitleChar">
    <w:name w:val="Subtitle Char"/>
    <w:link w:val="Subtitle"/>
    <w:rsid w:val="009B3770"/>
    <w:rPr>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058FE"/>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8F6E97"/>
    <w:pPr>
      <w:widowControl/>
      <w:spacing w:after="160" w:line="240" w:lineRule="exact"/>
      <w:jc w:val="left"/>
    </w:pPr>
    <w:rPr>
      <w:rFonts w:ascii="Verdana" w:eastAsia="MS Mincho" w:hAnsi="Verdana" w:cs="Verdana"/>
      <w:snapToGrid/>
      <w:sz w:val="20"/>
      <w:lang w:val="en-US"/>
    </w:rPr>
  </w:style>
  <w:style w:type="character" w:customStyle="1" w:styleId="highwire-cite-metadata-journal">
    <w:name w:val="highwire-cite-metadata-journal"/>
    <w:basedOn w:val="DefaultParagraphFont"/>
    <w:rsid w:val="00AA1EC0"/>
  </w:style>
  <w:style w:type="character" w:customStyle="1" w:styleId="apple-converted-space">
    <w:name w:val="apple-converted-space"/>
    <w:basedOn w:val="DefaultParagraphFont"/>
    <w:rsid w:val="00AA1EC0"/>
  </w:style>
  <w:style w:type="character" w:customStyle="1" w:styleId="highwire-cite-metadata-date">
    <w:name w:val="highwire-cite-metadata-date"/>
    <w:basedOn w:val="DefaultParagraphFont"/>
    <w:rsid w:val="00AA1EC0"/>
  </w:style>
  <w:style w:type="character" w:customStyle="1" w:styleId="highwire-cite-metadata-volume-pages">
    <w:name w:val="highwire-cite-metadata-volume-pages"/>
    <w:basedOn w:val="DefaultParagraphFont"/>
    <w:rsid w:val="00AA1EC0"/>
  </w:style>
  <w:style w:type="character" w:customStyle="1" w:styleId="highwire-cite-metadata-doi">
    <w:name w:val="highwire-cite-metadata-doi"/>
    <w:basedOn w:val="DefaultParagraphFont"/>
    <w:rsid w:val="00AA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9632">
      <w:bodyDiv w:val="1"/>
      <w:marLeft w:val="0"/>
      <w:marRight w:val="0"/>
      <w:marTop w:val="0"/>
      <w:marBottom w:val="0"/>
      <w:divBdr>
        <w:top w:val="none" w:sz="0" w:space="0" w:color="auto"/>
        <w:left w:val="none" w:sz="0" w:space="0" w:color="auto"/>
        <w:bottom w:val="none" w:sz="0" w:space="0" w:color="auto"/>
        <w:right w:val="none" w:sz="0" w:space="0" w:color="auto"/>
      </w:divBdr>
    </w:div>
    <w:div w:id="69888964">
      <w:bodyDiv w:val="1"/>
      <w:marLeft w:val="0"/>
      <w:marRight w:val="0"/>
      <w:marTop w:val="0"/>
      <w:marBottom w:val="0"/>
      <w:divBdr>
        <w:top w:val="none" w:sz="0" w:space="0" w:color="auto"/>
        <w:left w:val="none" w:sz="0" w:space="0" w:color="auto"/>
        <w:bottom w:val="none" w:sz="0" w:space="0" w:color="auto"/>
        <w:right w:val="none" w:sz="0" w:space="0" w:color="auto"/>
      </w:divBdr>
    </w:div>
    <w:div w:id="178858607">
      <w:bodyDiv w:val="1"/>
      <w:marLeft w:val="0"/>
      <w:marRight w:val="0"/>
      <w:marTop w:val="0"/>
      <w:marBottom w:val="0"/>
      <w:divBdr>
        <w:top w:val="none" w:sz="0" w:space="0" w:color="auto"/>
        <w:left w:val="none" w:sz="0" w:space="0" w:color="auto"/>
        <w:bottom w:val="none" w:sz="0" w:space="0" w:color="auto"/>
        <w:right w:val="none" w:sz="0" w:space="0" w:color="auto"/>
      </w:divBdr>
    </w:div>
    <w:div w:id="209073542">
      <w:bodyDiv w:val="1"/>
      <w:marLeft w:val="0"/>
      <w:marRight w:val="0"/>
      <w:marTop w:val="0"/>
      <w:marBottom w:val="0"/>
      <w:divBdr>
        <w:top w:val="none" w:sz="0" w:space="0" w:color="auto"/>
        <w:left w:val="none" w:sz="0" w:space="0" w:color="auto"/>
        <w:bottom w:val="none" w:sz="0" w:space="0" w:color="auto"/>
        <w:right w:val="none" w:sz="0" w:space="0" w:color="auto"/>
      </w:divBdr>
    </w:div>
    <w:div w:id="275799150">
      <w:bodyDiv w:val="1"/>
      <w:marLeft w:val="0"/>
      <w:marRight w:val="0"/>
      <w:marTop w:val="0"/>
      <w:marBottom w:val="0"/>
      <w:divBdr>
        <w:top w:val="none" w:sz="0" w:space="0" w:color="auto"/>
        <w:left w:val="none" w:sz="0" w:space="0" w:color="auto"/>
        <w:bottom w:val="none" w:sz="0" w:space="0" w:color="auto"/>
        <w:right w:val="none" w:sz="0" w:space="0" w:color="auto"/>
      </w:divBdr>
    </w:div>
    <w:div w:id="302514913">
      <w:bodyDiv w:val="1"/>
      <w:marLeft w:val="0"/>
      <w:marRight w:val="0"/>
      <w:marTop w:val="0"/>
      <w:marBottom w:val="0"/>
      <w:divBdr>
        <w:top w:val="none" w:sz="0" w:space="0" w:color="auto"/>
        <w:left w:val="none" w:sz="0" w:space="0" w:color="auto"/>
        <w:bottom w:val="none" w:sz="0" w:space="0" w:color="auto"/>
        <w:right w:val="none" w:sz="0" w:space="0" w:color="auto"/>
      </w:divBdr>
    </w:div>
    <w:div w:id="355279351">
      <w:bodyDiv w:val="1"/>
      <w:marLeft w:val="0"/>
      <w:marRight w:val="0"/>
      <w:marTop w:val="0"/>
      <w:marBottom w:val="0"/>
      <w:divBdr>
        <w:top w:val="none" w:sz="0" w:space="0" w:color="auto"/>
        <w:left w:val="none" w:sz="0" w:space="0" w:color="auto"/>
        <w:bottom w:val="none" w:sz="0" w:space="0" w:color="auto"/>
        <w:right w:val="none" w:sz="0" w:space="0" w:color="auto"/>
      </w:divBdr>
    </w:div>
    <w:div w:id="463818682">
      <w:bodyDiv w:val="1"/>
      <w:marLeft w:val="0"/>
      <w:marRight w:val="0"/>
      <w:marTop w:val="0"/>
      <w:marBottom w:val="0"/>
      <w:divBdr>
        <w:top w:val="none" w:sz="0" w:space="0" w:color="auto"/>
        <w:left w:val="none" w:sz="0" w:space="0" w:color="auto"/>
        <w:bottom w:val="none" w:sz="0" w:space="0" w:color="auto"/>
        <w:right w:val="none" w:sz="0" w:space="0" w:color="auto"/>
      </w:divBdr>
    </w:div>
    <w:div w:id="589199245">
      <w:bodyDiv w:val="1"/>
      <w:marLeft w:val="0"/>
      <w:marRight w:val="0"/>
      <w:marTop w:val="0"/>
      <w:marBottom w:val="0"/>
      <w:divBdr>
        <w:top w:val="none" w:sz="0" w:space="0" w:color="auto"/>
        <w:left w:val="none" w:sz="0" w:space="0" w:color="auto"/>
        <w:bottom w:val="none" w:sz="0" w:space="0" w:color="auto"/>
        <w:right w:val="none" w:sz="0" w:space="0" w:color="auto"/>
      </w:divBdr>
    </w:div>
    <w:div w:id="605576638">
      <w:bodyDiv w:val="1"/>
      <w:marLeft w:val="0"/>
      <w:marRight w:val="0"/>
      <w:marTop w:val="0"/>
      <w:marBottom w:val="0"/>
      <w:divBdr>
        <w:top w:val="none" w:sz="0" w:space="0" w:color="auto"/>
        <w:left w:val="none" w:sz="0" w:space="0" w:color="auto"/>
        <w:bottom w:val="none" w:sz="0" w:space="0" w:color="auto"/>
        <w:right w:val="none" w:sz="0" w:space="0" w:color="auto"/>
      </w:divBdr>
    </w:div>
    <w:div w:id="884410505">
      <w:bodyDiv w:val="1"/>
      <w:marLeft w:val="0"/>
      <w:marRight w:val="0"/>
      <w:marTop w:val="0"/>
      <w:marBottom w:val="0"/>
      <w:divBdr>
        <w:top w:val="none" w:sz="0" w:space="0" w:color="auto"/>
        <w:left w:val="none" w:sz="0" w:space="0" w:color="auto"/>
        <w:bottom w:val="none" w:sz="0" w:space="0" w:color="auto"/>
        <w:right w:val="none" w:sz="0" w:space="0" w:color="auto"/>
      </w:divBdr>
    </w:div>
    <w:div w:id="1090657622">
      <w:bodyDiv w:val="1"/>
      <w:marLeft w:val="0"/>
      <w:marRight w:val="0"/>
      <w:marTop w:val="0"/>
      <w:marBottom w:val="0"/>
      <w:divBdr>
        <w:top w:val="none" w:sz="0" w:space="0" w:color="auto"/>
        <w:left w:val="none" w:sz="0" w:space="0" w:color="auto"/>
        <w:bottom w:val="none" w:sz="0" w:space="0" w:color="auto"/>
        <w:right w:val="none" w:sz="0" w:space="0" w:color="auto"/>
      </w:divBdr>
    </w:div>
    <w:div w:id="1211385777">
      <w:bodyDiv w:val="1"/>
      <w:marLeft w:val="0"/>
      <w:marRight w:val="0"/>
      <w:marTop w:val="0"/>
      <w:marBottom w:val="0"/>
      <w:divBdr>
        <w:top w:val="none" w:sz="0" w:space="0" w:color="auto"/>
        <w:left w:val="none" w:sz="0" w:space="0" w:color="auto"/>
        <w:bottom w:val="none" w:sz="0" w:space="0" w:color="auto"/>
        <w:right w:val="none" w:sz="0" w:space="0" w:color="auto"/>
      </w:divBdr>
    </w:div>
    <w:div w:id="1225876209">
      <w:bodyDiv w:val="1"/>
      <w:marLeft w:val="0"/>
      <w:marRight w:val="0"/>
      <w:marTop w:val="0"/>
      <w:marBottom w:val="0"/>
      <w:divBdr>
        <w:top w:val="none" w:sz="0" w:space="0" w:color="auto"/>
        <w:left w:val="none" w:sz="0" w:space="0" w:color="auto"/>
        <w:bottom w:val="none" w:sz="0" w:space="0" w:color="auto"/>
        <w:right w:val="none" w:sz="0" w:space="0" w:color="auto"/>
      </w:divBdr>
    </w:div>
    <w:div w:id="1270090865">
      <w:bodyDiv w:val="1"/>
      <w:marLeft w:val="0"/>
      <w:marRight w:val="0"/>
      <w:marTop w:val="0"/>
      <w:marBottom w:val="0"/>
      <w:divBdr>
        <w:top w:val="none" w:sz="0" w:space="0" w:color="auto"/>
        <w:left w:val="none" w:sz="0" w:space="0" w:color="auto"/>
        <w:bottom w:val="none" w:sz="0" w:space="0" w:color="auto"/>
        <w:right w:val="none" w:sz="0" w:space="0" w:color="auto"/>
      </w:divBdr>
    </w:div>
    <w:div w:id="1468932797">
      <w:bodyDiv w:val="1"/>
      <w:marLeft w:val="0"/>
      <w:marRight w:val="0"/>
      <w:marTop w:val="0"/>
      <w:marBottom w:val="0"/>
      <w:divBdr>
        <w:top w:val="none" w:sz="0" w:space="0" w:color="auto"/>
        <w:left w:val="none" w:sz="0" w:space="0" w:color="auto"/>
        <w:bottom w:val="none" w:sz="0" w:space="0" w:color="auto"/>
        <w:right w:val="none" w:sz="0" w:space="0" w:color="auto"/>
      </w:divBdr>
    </w:div>
    <w:div w:id="1486388294">
      <w:bodyDiv w:val="1"/>
      <w:marLeft w:val="0"/>
      <w:marRight w:val="0"/>
      <w:marTop w:val="0"/>
      <w:marBottom w:val="0"/>
      <w:divBdr>
        <w:top w:val="none" w:sz="0" w:space="0" w:color="auto"/>
        <w:left w:val="none" w:sz="0" w:space="0" w:color="auto"/>
        <w:bottom w:val="none" w:sz="0" w:space="0" w:color="auto"/>
        <w:right w:val="none" w:sz="0" w:space="0" w:color="auto"/>
      </w:divBdr>
    </w:div>
    <w:div w:id="1513254740">
      <w:bodyDiv w:val="1"/>
      <w:marLeft w:val="0"/>
      <w:marRight w:val="0"/>
      <w:marTop w:val="0"/>
      <w:marBottom w:val="0"/>
      <w:divBdr>
        <w:top w:val="none" w:sz="0" w:space="0" w:color="auto"/>
        <w:left w:val="none" w:sz="0" w:space="0" w:color="auto"/>
        <w:bottom w:val="none" w:sz="0" w:space="0" w:color="auto"/>
        <w:right w:val="none" w:sz="0" w:space="0" w:color="auto"/>
      </w:divBdr>
    </w:div>
    <w:div w:id="1584798328">
      <w:bodyDiv w:val="1"/>
      <w:marLeft w:val="0"/>
      <w:marRight w:val="0"/>
      <w:marTop w:val="0"/>
      <w:marBottom w:val="0"/>
      <w:divBdr>
        <w:top w:val="none" w:sz="0" w:space="0" w:color="auto"/>
        <w:left w:val="none" w:sz="0" w:space="0" w:color="auto"/>
        <w:bottom w:val="none" w:sz="0" w:space="0" w:color="auto"/>
        <w:right w:val="none" w:sz="0" w:space="0" w:color="auto"/>
      </w:divBdr>
    </w:div>
    <w:div w:id="1629049520">
      <w:bodyDiv w:val="1"/>
      <w:marLeft w:val="0"/>
      <w:marRight w:val="0"/>
      <w:marTop w:val="0"/>
      <w:marBottom w:val="0"/>
      <w:divBdr>
        <w:top w:val="none" w:sz="0" w:space="0" w:color="auto"/>
        <w:left w:val="none" w:sz="0" w:space="0" w:color="auto"/>
        <w:bottom w:val="none" w:sz="0" w:space="0" w:color="auto"/>
        <w:right w:val="none" w:sz="0" w:space="0" w:color="auto"/>
      </w:divBdr>
    </w:div>
    <w:div w:id="1687443763">
      <w:bodyDiv w:val="1"/>
      <w:marLeft w:val="0"/>
      <w:marRight w:val="0"/>
      <w:marTop w:val="0"/>
      <w:marBottom w:val="0"/>
      <w:divBdr>
        <w:top w:val="none" w:sz="0" w:space="0" w:color="auto"/>
        <w:left w:val="none" w:sz="0" w:space="0" w:color="auto"/>
        <w:bottom w:val="none" w:sz="0" w:space="0" w:color="auto"/>
        <w:right w:val="none" w:sz="0" w:space="0" w:color="auto"/>
      </w:divBdr>
    </w:div>
    <w:div w:id="1872372803">
      <w:bodyDiv w:val="1"/>
      <w:marLeft w:val="0"/>
      <w:marRight w:val="0"/>
      <w:marTop w:val="0"/>
      <w:marBottom w:val="0"/>
      <w:divBdr>
        <w:top w:val="none" w:sz="0" w:space="0" w:color="auto"/>
        <w:left w:val="none" w:sz="0" w:space="0" w:color="auto"/>
        <w:bottom w:val="none" w:sz="0" w:space="0" w:color="auto"/>
        <w:right w:val="none" w:sz="0" w:space="0" w:color="auto"/>
      </w:divBdr>
    </w:div>
    <w:div w:id="1942176505">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37845492">
      <w:bodyDiv w:val="1"/>
      <w:marLeft w:val="0"/>
      <w:marRight w:val="0"/>
      <w:marTop w:val="0"/>
      <w:marBottom w:val="0"/>
      <w:divBdr>
        <w:top w:val="none" w:sz="0" w:space="0" w:color="auto"/>
        <w:left w:val="none" w:sz="0" w:space="0" w:color="auto"/>
        <w:bottom w:val="none" w:sz="0" w:space="0" w:color="auto"/>
        <w:right w:val="none" w:sz="0" w:space="0" w:color="auto"/>
      </w:divBdr>
    </w:div>
    <w:div w:id="212699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D9E8-64EB-40BA-B717-59A55A4B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9715</Words>
  <Characters>57859</Characters>
  <Application>Microsoft Office Word</Application>
  <DocSecurity>0</DocSecurity>
  <Lines>482</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2017-02-13T04:17:00Z</dcterms:created>
  <dcterms:modified xsi:type="dcterms:W3CDTF">2017-02-17T01:31:00Z</dcterms:modified>
</cp:coreProperties>
</file>