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E35" w:rsidRPr="000F40C3" w:rsidRDefault="00B75E35" w:rsidP="009078BF">
      <w:pPr>
        <w:pStyle w:val="Heading1"/>
        <w:widowControl/>
        <w:numPr>
          <w:ilvl w:val="0"/>
          <w:numId w:val="0"/>
        </w:numPr>
        <w:ind w:left="720" w:hanging="720"/>
        <w:jc w:val="left"/>
        <w:rPr>
          <w:sz w:val="28"/>
        </w:rPr>
      </w:pPr>
      <w:bookmarkStart w:id="0" w:name="_GoBack"/>
      <w:bookmarkEnd w:id="0"/>
      <w:r w:rsidRPr="000F40C3">
        <w:rPr>
          <w:sz w:val="28"/>
        </w:rPr>
        <w:t>7.12</w:t>
      </w:r>
      <w:r w:rsidRPr="000F40C3">
        <w:rPr>
          <w:sz w:val="28"/>
        </w:rPr>
        <w:tab/>
        <w:t>BLINATUMOMAB,</w:t>
      </w:r>
      <w:r w:rsidR="00734705" w:rsidRPr="000F40C3">
        <w:rPr>
          <w:sz w:val="28"/>
        </w:rPr>
        <w:br/>
      </w:r>
      <w:r w:rsidRPr="000F40C3">
        <w:rPr>
          <w:sz w:val="28"/>
        </w:rPr>
        <w:t>Injection 38.5 microgram [1 vial] and inert substance solution [10 mL vial], 1 pack,</w:t>
      </w:r>
      <w:r w:rsidR="00734705" w:rsidRPr="000F40C3">
        <w:rPr>
          <w:sz w:val="28"/>
        </w:rPr>
        <w:br/>
      </w:r>
      <w:r w:rsidR="009078BF">
        <w:rPr>
          <w:sz w:val="28"/>
        </w:rPr>
        <w:t>Blincyto</w:t>
      </w:r>
      <w:r w:rsidR="009078BF" w:rsidRPr="008445D3">
        <w:rPr>
          <w:rFonts w:ascii="Arial Bold" w:hAnsi="Arial Bold"/>
          <w:sz w:val="28"/>
          <w:vertAlign w:val="superscript"/>
        </w:rPr>
        <w:t>®</w:t>
      </w:r>
      <w:r w:rsidR="009078BF">
        <w:rPr>
          <w:sz w:val="28"/>
        </w:rPr>
        <w:t>,</w:t>
      </w:r>
      <w:r w:rsidR="009078BF">
        <w:rPr>
          <w:sz w:val="28"/>
        </w:rPr>
        <w:br/>
      </w:r>
      <w:r w:rsidRPr="000F40C3">
        <w:rPr>
          <w:sz w:val="28"/>
        </w:rPr>
        <w:t>Amgen Australia Pty Ltd</w:t>
      </w:r>
      <w:r w:rsidR="009078BF">
        <w:rPr>
          <w:sz w:val="28"/>
        </w:rPr>
        <w:t>.</w:t>
      </w:r>
    </w:p>
    <w:p w:rsidR="00CE10C4" w:rsidRPr="000F40C3" w:rsidRDefault="00CE10C4" w:rsidP="00051C05">
      <w:pPr>
        <w:pStyle w:val="NoSpacing"/>
      </w:pPr>
    </w:p>
    <w:p w:rsidR="00C27B58" w:rsidRPr="000F40C3" w:rsidRDefault="00C27B58" w:rsidP="006B7123">
      <w:pPr>
        <w:pStyle w:val="NoSpacing"/>
      </w:pPr>
    </w:p>
    <w:p w:rsidR="00E15627" w:rsidRPr="000F40C3" w:rsidRDefault="00CE10C4" w:rsidP="006B7123">
      <w:pPr>
        <w:pStyle w:val="PBACHeading1"/>
      </w:pPr>
      <w:r w:rsidRPr="000F40C3">
        <w:t xml:space="preserve">Purpose of </w:t>
      </w:r>
      <w:r w:rsidR="0004240E" w:rsidRPr="000F40C3">
        <w:t>Application</w:t>
      </w:r>
    </w:p>
    <w:p w:rsidR="008A50F1" w:rsidRPr="000F40C3" w:rsidRDefault="008A50F1" w:rsidP="006B7123"/>
    <w:p w:rsidR="00F9629A" w:rsidRPr="000F40C3" w:rsidRDefault="00EF44A0" w:rsidP="006B7123">
      <w:pPr>
        <w:pStyle w:val="ListParagraph"/>
        <w:widowControl/>
        <w:numPr>
          <w:ilvl w:val="1"/>
          <w:numId w:val="5"/>
        </w:numPr>
      </w:pPr>
      <w:r w:rsidRPr="000F40C3">
        <w:rPr>
          <w:szCs w:val="22"/>
        </w:rPr>
        <w:t>The mi</w:t>
      </w:r>
      <w:r w:rsidR="00FF2801" w:rsidRPr="000F40C3">
        <w:rPr>
          <w:szCs w:val="22"/>
        </w:rPr>
        <w:t xml:space="preserve">nor </w:t>
      </w:r>
      <w:r w:rsidR="00B75E35" w:rsidRPr="000F40C3">
        <w:rPr>
          <w:szCs w:val="22"/>
        </w:rPr>
        <w:t>resubmission requested a revision to the July 2016 positive recommendation for blinatumomab for the treatment of relapsed or refractory</w:t>
      </w:r>
      <w:r w:rsidR="00956D45" w:rsidRPr="000F40C3">
        <w:rPr>
          <w:szCs w:val="22"/>
        </w:rPr>
        <w:t xml:space="preserve">, </w:t>
      </w:r>
      <w:r w:rsidR="00956D45" w:rsidRPr="000F40C3">
        <w:rPr>
          <w:bCs/>
        </w:rPr>
        <w:t>Philadelphia chromosome negative, B-</w:t>
      </w:r>
      <w:r w:rsidR="000338E3">
        <w:rPr>
          <w:bCs/>
        </w:rPr>
        <w:t>precurso</w:t>
      </w:r>
      <w:r w:rsidR="00956D45" w:rsidRPr="000F40C3">
        <w:rPr>
          <w:bCs/>
        </w:rPr>
        <w:t>r</w:t>
      </w:r>
      <w:r w:rsidR="00B75E35" w:rsidRPr="000F40C3">
        <w:rPr>
          <w:szCs w:val="22"/>
        </w:rPr>
        <w:t xml:space="preserve"> acute lymphoblastic leukaemia</w:t>
      </w:r>
      <w:r w:rsidR="00956D45" w:rsidRPr="000F40C3">
        <w:rPr>
          <w:szCs w:val="22"/>
        </w:rPr>
        <w:t xml:space="preserve"> (</w:t>
      </w:r>
      <w:r w:rsidR="00956D45" w:rsidRPr="000F40C3">
        <w:t>Ph</w:t>
      </w:r>
      <w:r w:rsidR="00956D45" w:rsidRPr="000F40C3">
        <w:noBreakHyphen/>
        <w:t>B-precursor</w:t>
      </w:r>
      <w:r w:rsidR="00956D45" w:rsidRPr="000F40C3">
        <w:rPr>
          <w:szCs w:val="22"/>
        </w:rPr>
        <w:t xml:space="preserve"> ALL)</w:t>
      </w:r>
      <w:r w:rsidR="00B75E35" w:rsidRPr="000F40C3">
        <w:rPr>
          <w:szCs w:val="22"/>
        </w:rPr>
        <w:t xml:space="preserve"> as the conditions of the managed entry scheme</w:t>
      </w:r>
      <w:r w:rsidR="00CA5297" w:rsidRPr="000F40C3">
        <w:rPr>
          <w:szCs w:val="22"/>
        </w:rPr>
        <w:t xml:space="preserve"> (MES)</w:t>
      </w:r>
      <w:r w:rsidR="00B75E35" w:rsidRPr="000F40C3">
        <w:rPr>
          <w:szCs w:val="22"/>
        </w:rPr>
        <w:t>, as specified in the recommendation, cannot be met.</w:t>
      </w:r>
    </w:p>
    <w:p w:rsidR="00EF44A0" w:rsidRPr="000F40C3" w:rsidRDefault="00EF44A0" w:rsidP="00051C05">
      <w:pPr>
        <w:pStyle w:val="NoSpacing"/>
      </w:pPr>
    </w:p>
    <w:p w:rsidR="00865BF8" w:rsidRPr="000F40C3" w:rsidRDefault="00865BF8" w:rsidP="006B7123">
      <w:pPr>
        <w:pStyle w:val="NoSpacing"/>
      </w:pPr>
    </w:p>
    <w:p w:rsidR="00962223" w:rsidRPr="000F40C3" w:rsidRDefault="006A12A5" w:rsidP="006B7123">
      <w:pPr>
        <w:pStyle w:val="PBACHeading1"/>
      </w:pPr>
      <w:r w:rsidRPr="000F40C3">
        <w:t>Requested listing</w:t>
      </w:r>
    </w:p>
    <w:p w:rsidR="006A12A5" w:rsidRPr="000F40C3" w:rsidRDefault="006A12A5" w:rsidP="006B7123">
      <w:pPr>
        <w:jc w:val="both"/>
        <w:rPr>
          <w:rFonts w:ascii="Arial" w:hAnsi="Arial"/>
          <w:b/>
          <w:sz w:val="22"/>
          <w:szCs w:val="22"/>
        </w:rPr>
      </w:pPr>
    </w:p>
    <w:p w:rsidR="00826F6D" w:rsidRPr="000F40C3" w:rsidRDefault="004D33FB" w:rsidP="006B7123">
      <w:pPr>
        <w:pStyle w:val="ListParagraph"/>
        <w:widowControl/>
        <w:numPr>
          <w:ilvl w:val="1"/>
          <w:numId w:val="5"/>
        </w:numPr>
        <w:rPr>
          <w:szCs w:val="22"/>
        </w:rPr>
      </w:pPr>
      <w:r w:rsidRPr="000F40C3">
        <w:rPr>
          <w:szCs w:val="22"/>
        </w:rPr>
        <w:t xml:space="preserve">No changes to the requested listing were proposed in the minor resubmission. </w:t>
      </w:r>
    </w:p>
    <w:p w:rsidR="006B1C93" w:rsidRPr="000F40C3" w:rsidRDefault="006B1C93" w:rsidP="006B7123">
      <w:pPr>
        <w:pStyle w:val="ListParagraph"/>
        <w:widowControl/>
        <w:rPr>
          <w:szCs w:val="22"/>
        </w:rPr>
      </w:pPr>
    </w:p>
    <w:p w:rsidR="006B1C93" w:rsidRPr="000F40C3" w:rsidRDefault="006B1C93" w:rsidP="00956D45">
      <w:pPr>
        <w:pStyle w:val="ListParagraph"/>
        <w:widowControl/>
        <w:numPr>
          <w:ilvl w:val="1"/>
          <w:numId w:val="5"/>
        </w:numPr>
        <w:rPr>
          <w:szCs w:val="22"/>
        </w:rPr>
      </w:pPr>
      <w:r w:rsidRPr="000F40C3">
        <w:rPr>
          <w:bCs/>
        </w:rPr>
        <w:t xml:space="preserve">As the majority of patients in the Phase II studies received less than two treatment </w:t>
      </w:r>
      <w:r w:rsidRPr="000F40C3">
        <w:rPr>
          <w:szCs w:val="22"/>
        </w:rPr>
        <w:t>cycles, in July 2016 the PBAC considered it appropriate that the restriction limit use to a maximum of 5 cycles of blinatumomab</w:t>
      </w:r>
      <w:r w:rsidR="002713A3" w:rsidRPr="000F40C3">
        <w:rPr>
          <w:szCs w:val="22"/>
        </w:rPr>
        <w:t>, as specified in the product information</w:t>
      </w:r>
      <w:r w:rsidRPr="000F40C3">
        <w:rPr>
          <w:szCs w:val="22"/>
        </w:rPr>
        <w:t xml:space="preserve">. </w:t>
      </w:r>
    </w:p>
    <w:p w:rsidR="006B1C93" w:rsidRPr="000F40C3" w:rsidRDefault="006B1C93" w:rsidP="00956D45">
      <w:pPr>
        <w:pStyle w:val="ListParagraph"/>
        <w:widowControl/>
        <w:rPr>
          <w:szCs w:val="22"/>
        </w:rPr>
      </w:pPr>
    </w:p>
    <w:p w:rsidR="006B1C93" w:rsidRPr="000F40C3" w:rsidRDefault="006B2ACF" w:rsidP="00956D45">
      <w:pPr>
        <w:pStyle w:val="ListParagraph"/>
        <w:widowControl/>
        <w:numPr>
          <w:ilvl w:val="1"/>
          <w:numId w:val="5"/>
        </w:numPr>
        <w:rPr>
          <w:szCs w:val="22"/>
        </w:rPr>
      </w:pPr>
      <w:r w:rsidRPr="000F40C3">
        <w:rPr>
          <w:szCs w:val="22"/>
        </w:rPr>
        <w:t>In July 2016 t</w:t>
      </w:r>
      <w:r w:rsidR="006B1C93" w:rsidRPr="000F40C3">
        <w:rPr>
          <w:szCs w:val="22"/>
        </w:rPr>
        <w:t>he PBAC considered that the restriction should remain silent on age, noting that most paediatric patients up to 16 years of age are already being treated appropriately through clinical trials.</w:t>
      </w:r>
      <w:r w:rsidR="00405856" w:rsidRPr="000F40C3">
        <w:rPr>
          <w:szCs w:val="22"/>
        </w:rPr>
        <w:t xml:space="preserve"> </w:t>
      </w:r>
      <w:r w:rsidR="00865BF8" w:rsidRPr="000F40C3">
        <w:rPr>
          <w:szCs w:val="22"/>
        </w:rPr>
        <w:t>T</w:t>
      </w:r>
      <w:r w:rsidR="00405856" w:rsidRPr="000F40C3">
        <w:rPr>
          <w:szCs w:val="22"/>
        </w:rPr>
        <w:t xml:space="preserve">he minor resubmission </w:t>
      </w:r>
      <w:r w:rsidR="00865BF8" w:rsidRPr="000F40C3">
        <w:rPr>
          <w:szCs w:val="22"/>
        </w:rPr>
        <w:t xml:space="preserve">stated </w:t>
      </w:r>
      <w:r w:rsidR="00405856" w:rsidRPr="000F40C3">
        <w:rPr>
          <w:szCs w:val="22"/>
        </w:rPr>
        <w:t>that if the restriction remain</w:t>
      </w:r>
      <w:r w:rsidR="00865BF8" w:rsidRPr="000F40C3">
        <w:rPr>
          <w:szCs w:val="22"/>
        </w:rPr>
        <w:t>ed</w:t>
      </w:r>
      <w:r w:rsidR="00405856" w:rsidRPr="000F40C3">
        <w:rPr>
          <w:szCs w:val="22"/>
        </w:rPr>
        <w:t xml:space="preserve"> silent on age that this would have a direct impact on the number </w:t>
      </w:r>
      <w:proofErr w:type="gramStart"/>
      <w:r w:rsidR="00405856" w:rsidRPr="000F40C3">
        <w:rPr>
          <w:szCs w:val="22"/>
        </w:rPr>
        <w:t>of</w:t>
      </w:r>
      <w:proofErr w:type="gramEnd"/>
      <w:r w:rsidR="00405856" w:rsidRPr="000F40C3">
        <w:rPr>
          <w:szCs w:val="22"/>
        </w:rPr>
        <w:t xml:space="preserve"> patients expected to receive blinatumomab, not just on the estimated uptake rate, but the entire eligible patient population.</w:t>
      </w:r>
    </w:p>
    <w:p w:rsidR="006B1C93" w:rsidRPr="000F40C3" w:rsidRDefault="006B1C93" w:rsidP="006B7123">
      <w:pPr>
        <w:pStyle w:val="ListParagraph"/>
        <w:widowControl/>
        <w:rPr>
          <w:szCs w:val="22"/>
        </w:rPr>
      </w:pPr>
    </w:p>
    <w:p w:rsidR="002713A3" w:rsidRPr="000F40C3" w:rsidRDefault="006B2ACF" w:rsidP="006B7123">
      <w:pPr>
        <w:pStyle w:val="ListParagraph"/>
        <w:widowControl/>
        <w:numPr>
          <w:ilvl w:val="1"/>
          <w:numId w:val="5"/>
        </w:numPr>
        <w:rPr>
          <w:szCs w:val="22"/>
        </w:rPr>
      </w:pPr>
      <w:r w:rsidRPr="000F40C3">
        <w:rPr>
          <w:szCs w:val="22"/>
        </w:rPr>
        <w:t>In July 2016</w:t>
      </w:r>
      <w:r w:rsidR="0009672F" w:rsidRPr="000F40C3">
        <w:rPr>
          <w:szCs w:val="22"/>
        </w:rPr>
        <w:t>,</w:t>
      </w:r>
      <w:r w:rsidRPr="000F40C3">
        <w:rPr>
          <w:szCs w:val="22"/>
        </w:rPr>
        <w:t xml:space="preserve"> t</w:t>
      </w:r>
      <w:r w:rsidR="006B1C93" w:rsidRPr="000F40C3">
        <w:rPr>
          <w:szCs w:val="22"/>
        </w:rPr>
        <w:t>he PBAC reiterated that</w:t>
      </w:r>
      <w:r w:rsidR="006B1C93" w:rsidRPr="000F40C3">
        <w:rPr>
          <w:bCs/>
        </w:rPr>
        <w:t xml:space="preserve"> PBS subsidised blinatumomab should not be provided to public hospital inpatients, and therefore that the maximum quantities and repeats as suggested by the Secretariat were appropriate for the public hospital listing to account for the first 9 days of cycle 1 and the first 2 days of cycle 2 being provided to inpatients. This will result in the public and private hospital listings having different numbers of repeats.</w:t>
      </w:r>
    </w:p>
    <w:p w:rsidR="004D33FB" w:rsidRPr="000F40C3" w:rsidRDefault="004D33FB" w:rsidP="00051C05">
      <w:pPr>
        <w:pStyle w:val="NoSpacing"/>
      </w:pPr>
    </w:p>
    <w:p w:rsidR="00D27A5F" w:rsidRPr="000F40C3" w:rsidRDefault="00D27A5F" w:rsidP="00956D45">
      <w:pPr>
        <w:pStyle w:val="NoSpacing"/>
      </w:pPr>
    </w:p>
    <w:p w:rsidR="00CE10C4" w:rsidRPr="000F40C3" w:rsidRDefault="00CE10C4" w:rsidP="00956D45">
      <w:pPr>
        <w:pStyle w:val="PBACHeading1"/>
      </w:pPr>
      <w:r w:rsidRPr="000F40C3">
        <w:t>Background</w:t>
      </w:r>
    </w:p>
    <w:p w:rsidR="00C603D4" w:rsidRPr="000F40C3" w:rsidRDefault="00C603D4" w:rsidP="006B7123">
      <w:pPr>
        <w:pStyle w:val="ListParagraph"/>
        <w:widowControl/>
        <w:rPr>
          <w:szCs w:val="22"/>
        </w:rPr>
      </w:pPr>
    </w:p>
    <w:p w:rsidR="002B1AE6" w:rsidRPr="000F40C3" w:rsidRDefault="00CA5297" w:rsidP="006B7123">
      <w:pPr>
        <w:pStyle w:val="ListParagraph"/>
        <w:widowControl/>
        <w:numPr>
          <w:ilvl w:val="1"/>
          <w:numId w:val="5"/>
        </w:numPr>
        <w:rPr>
          <w:szCs w:val="22"/>
        </w:rPr>
      </w:pPr>
      <w:r w:rsidRPr="000F40C3">
        <w:t xml:space="preserve">Blinatumomab was TGA registered on 9 November 2015 for the treatment of adults with relapsed or refractory </w:t>
      </w:r>
      <w:r w:rsidR="00956D45" w:rsidRPr="000F40C3">
        <w:t>Ph</w:t>
      </w:r>
      <w:r w:rsidR="00956D45" w:rsidRPr="000F40C3">
        <w:noBreakHyphen/>
        <w:t>B-precursor</w:t>
      </w:r>
      <w:r w:rsidR="00956D45" w:rsidRPr="000F40C3">
        <w:rPr>
          <w:szCs w:val="22"/>
        </w:rPr>
        <w:t xml:space="preserve"> ALL</w:t>
      </w:r>
      <w:r w:rsidRPr="000F40C3">
        <w:t>.</w:t>
      </w:r>
    </w:p>
    <w:p w:rsidR="006B0D94" w:rsidRPr="000F40C3" w:rsidRDefault="006B0D94" w:rsidP="006B7123">
      <w:pPr>
        <w:pStyle w:val="ListParagraph"/>
        <w:widowControl/>
        <w:rPr>
          <w:szCs w:val="22"/>
        </w:rPr>
      </w:pPr>
    </w:p>
    <w:p w:rsidR="00326E79" w:rsidRPr="000F40C3" w:rsidRDefault="00CA5297" w:rsidP="006B7123">
      <w:pPr>
        <w:pStyle w:val="ListParagraph"/>
        <w:widowControl/>
        <w:numPr>
          <w:ilvl w:val="1"/>
          <w:numId w:val="5"/>
        </w:numPr>
        <w:rPr>
          <w:szCs w:val="22"/>
        </w:rPr>
      </w:pPr>
      <w:r w:rsidRPr="000F40C3">
        <w:rPr>
          <w:szCs w:val="22"/>
        </w:rPr>
        <w:t>Blinatumomab was previously considered by the PBAC in November 2015 and July 2016.</w:t>
      </w:r>
    </w:p>
    <w:p w:rsidR="006A12A5" w:rsidRPr="000F40C3" w:rsidRDefault="006A12A5" w:rsidP="006B7123">
      <w:pPr>
        <w:pStyle w:val="ListParagraph"/>
        <w:widowControl/>
        <w:rPr>
          <w:szCs w:val="22"/>
        </w:rPr>
      </w:pPr>
    </w:p>
    <w:p w:rsidR="00050D50" w:rsidRPr="000F40C3" w:rsidRDefault="00CA5297" w:rsidP="00051C05">
      <w:pPr>
        <w:pStyle w:val="ListParagraph"/>
        <w:widowControl/>
        <w:numPr>
          <w:ilvl w:val="1"/>
          <w:numId w:val="5"/>
        </w:numPr>
      </w:pPr>
      <w:r w:rsidRPr="000F40C3">
        <w:t xml:space="preserve">At the July 2016 meeting the PBAC recommended listing blinatumomab </w:t>
      </w:r>
      <w:r w:rsidRPr="000F40C3">
        <w:rPr>
          <w:bCs/>
        </w:rPr>
        <w:t xml:space="preserve">for the treatment of </w:t>
      </w:r>
      <w:r w:rsidR="006B1C93" w:rsidRPr="000F40C3">
        <w:rPr>
          <w:bCs/>
        </w:rPr>
        <w:t>relapsed or refractory Ph-</w:t>
      </w:r>
      <w:r w:rsidRPr="000F40C3">
        <w:rPr>
          <w:bCs/>
        </w:rPr>
        <w:t>B-precursor ALL under a</w:t>
      </w:r>
      <w:r w:rsidR="00CA6EBA" w:rsidRPr="000F40C3">
        <w:rPr>
          <w:bCs/>
        </w:rPr>
        <w:t>n</w:t>
      </w:r>
      <w:r w:rsidRPr="000F40C3">
        <w:rPr>
          <w:bCs/>
        </w:rPr>
        <w:t xml:space="preserve"> </w:t>
      </w:r>
      <w:r w:rsidR="006B2ACF" w:rsidRPr="000F40C3">
        <w:rPr>
          <w:bCs/>
        </w:rPr>
        <w:t>MES</w:t>
      </w:r>
      <w:r w:rsidRPr="000F40C3">
        <w:rPr>
          <w:bCs/>
        </w:rPr>
        <w:t xml:space="preserve">. The key input </w:t>
      </w:r>
      <w:r w:rsidRPr="000F40C3">
        <w:rPr>
          <w:bCs/>
        </w:rPr>
        <w:lastRenderedPageBreak/>
        <w:t xml:space="preserve">for the MES was the proportion of patients alive two years after starting blinatumomab or standard care from the TOWER clinical trial. </w:t>
      </w:r>
      <w:r w:rsidR="00CA6EBA" w:rsidRPr="000F40C3">
        <w:rPr>
          <w:bCs/>
        </w:rPr>
        <w:t>T</w:t>
      </w:r>
      <w:r w:rsidRPr="000F40C3">
        <w:rPr>
          <w:bCs/>
        </w:rPr>
        <w:t xml:space="preserve">he minor resubmission stated that </w:t>
      </w:r>
      <w:r w:rsidR="00050D50" w:rsidRPr="000F40C3">
        <w:rPr>
          <w:bCs/>
        </w:rPr>
        <w:t xml:space="preserve">patients in the TOWER trial will not be followed for survival for two years. Data are available based on a median follow-up of 11.7 months in the blinatumomab arm and 11.8 </w:t>
      </w:r>
      <w:r w:rsidR="006B2ACF" w:rsidRPr="000F40C3">
        <w:rPr>
          <w:bCs/>
        </w:rPr>
        <w:t xml:space="preserve">months </w:t>
      </w:r>
      <w:r w:rsidR="00050D50" w:rsidRPr="000F40C3">
        <w:rPr>
          <w:bCs/>
        </w:rPr>
        <w:t>in the standard care arm, and there will be no further follow up for efficacy due to the early termination of the trial for efficacy.</w:t>
      </w:r>
    </w:p>
    <w:p w:rsidR="00050D50" w:rsidRPr="000F40C3" w:rsidRDefault="00050D50" w:rsidP="006B7123">
      <w:pPr>
        <w:pStyle w:val="ListParagraph"/>
        <w:widowControl/>
        <w:rPr>
          <w:bCs/>
        </w:rPr>
      </w:pPr>
    </w:p>
    <w:p w:rsidR="00CA5297" w:rsidRPr="000F40C3" w:rsidRDefault="00050D50" w:rsidP="00051C05">
      <w:pPr>
        <w:pStyle w:val="ListParagraph"/>
        <w:widowControl/>
        <w:numPr>
          <w:ilvl w:val="1"/>
          <w:numId w:val="5"/>
        </w:numPr>
      </w:pPr>
      <w:r w:rsidRPr="000F40C3">
        <w:rPr>
          <w:bCs/>
        </w:rPr>
        <w:t>The minor resubmission request</w:t>
      </w:r>
      <w:r w:rsidR="002713A3" w:rsidRPr="000F40C3">
        <w:rPr>
          <w:bCs/>
        </w:rPr>
        <w:t>ed</w:t>
      </w:r>
      <w:r w:rsidRPr="000F40C3">
        <w:rPr>
          <w:bCs/>
        </w:rPr>
        <w:t xml:space="preserve"> that the price for blinatumomab be calculated using the currently available 12 month overall survival data from TOWER with no requirement for a MES. </w:t>
      </w:r>
    </w:p>
    <w:p w:rsidR="00CA5297" w:rsidRPr="000F40C3" w:rsidRDefault="00CA5297" w:rsidP="006B7123">
      <w:pPr>
        <w:pStyle w:val="ListParagraph"/>
        <w:widowControl/>
      </w:pPr>
    </w:p>
    <w:p w:rsidR="00CA5297" w:rsidRPr="000F40C3" w:rsidRDefault="00EF70C2" w:rsidP="00051C05">
      <w:pPr>
        <w:pStyle w:val="ListParagraph"/>
        <w:widowControl/>
        <w:numPr>
          <w:ilvl w:val="1"/>
          <w:numId w:val="5"/>
        </w:numPr>
      </w:pPr>
      <w:r w:rsidRPr="000F40C3">
        <w:t>T</w:t>
      </w:r>
      <w:r w:rsidR="00CA5297" w:rsidRPr="000F40C3">
        <w:t>able</w:t>
      </w:r>
      <w:r w:rsidRPr="000F40C3">
        <w:t xml:space="preserve"> 1</w:t>
      </w:r>
      <w:r w:rsidR="00CA5297" w:rsidRPr="000F40C3">
        <w:t xml:space="preserve"> presents a summary of the </w:t>
      </w:r>
      <w:r w:rsidR="00CA6EBA" w:rsidRPr="000F40C3">
        <w:t>July 2016</w:t>
      </w:r>
      <w:r w:rsidR="00CA5297" w:rsidRPr="000F40C3">
        <w:t xml:space="preserve"> </w:t>
      </w:r>
      <w:r w:rsidR="00CA6EBA" w:rsidRPr="000F40C3">
        <w:t>re</w:t>
      </w:r>
      <w:r w:rsidR="00CA5297" w:rsidRPr="000F40C3">
        <w:t xml:space="preserve">submission, PBAC comments and the </w:t>
      </w:r>
      <w:r w:rsidR="00956D45" w:rsidRPr="000F40C3">
        <w:t xml:space="preserve">current </w:t>
      </w:r>
      <w:r w:rsidR="00CA5297" w:rsidRPr="000F40C3">
        <w:t>resubmission.</w:t>
      </w:r>
    </w:p>
    <w:p w:rsidR="00CA5297" w:rsidRPr="000F40C3" w:rsidRDefault="00CA5297" w:rsidP="006B7123">
      <w:pPr>
        <w:pStyle w:val="ListParagraph"/>
        <w:widowControl/>
      </w:pPr>
    </w:p>
    <w:p w:rsidR="004D33FB" w:rsidRPr="000F40C3" w:rsidRDefault="00EF70C2" w:rsidP="00051C05">
      <w:pPr>
        <w:ind w:firstLine="720"/>
        <w:rPr>
          <w:rStyle w:val="CommentReference"/>
          <w:rFonts w:ascii="Arial Narrow" w:hAnsi="Arial Narrow" w:cs="Arial"/>
          <w:b/>
          <w:sz w:val="20"/>
        </w:rPr>
      </w:pPr>
      <w:r w:rsidRPr="000F40C3">
        <w:rPr>
          <w:rStyle w:val="CommentReference"/>
          <w:rFonts w:ascii="Arial Narrow" w:hAnsi="Arial Narrow" w:cs="Arial"/>
          <w:b/>
          <w:sz w:val="20"/>
        </w:rPr>
        <w:t xml:space="preserve">Table 1: </w:t>
      </w:r>
      <w:r w:rsidR="004D33FB" w:rsidRPr="000F40C3">
        <w:rPr>
          <w:rStyle w:val="CommentReference"/>
          <w:rFonts w:ascii="Arial Narrow" w:hAnsi="Arial Narrow" w:cs="Arial"/>
          <w:b/>
          <w:sz w:val="20"/>
        </w:rPr>
        <w:t xml:space="preserve">Summary of the </w:t>
      </w:r>
      <w:r w:rsidR="00CA6EBA" w:rsidRPr="000F40C3">
        <w:rPr>
          <w:rStyle w:val="CommentReference"/>
          <w:rFonts w:ascii="Arial Narrow" w:hAnsi="Arial Narrow" w:cs="Arial"/>
          <w:b/>
          <w:sz w:val="20"/>
        </w:rPr>
        <w:t xml:space="preserve">blinatumomab </w:t>
      </w:r>
      <w:r w:rsidR="00CA5297" w:rsidRPr="000F40C3">
        <w:rPr>
          <w:rStyle w:val="CommentReference"/>
          <w:rFonts w:ascii="Arial Narrow" w:hAnsi="Arial Narrow" w:cs="Arial"/>
          <w:b/>
          <w:sz w:val="20"/>
        </w:rPr>
        <w:t>July 2016</w:t>
      </w:r>
      <w:r w:rsidR="004D33FB" w:rsidRPr="000F40C3">
        <w:rPr>
          <w:rStyle w:val="CommentReference"/>
          <w:rFonts w:ascii="Arial Narrow" w:hAnsi="Arial Narrow" w:cs="Arial"/>
          <w:b/>
          <w:sz w:val="20"/>
        </w:rPr>
        <w:t xml:space="preserve"> </w:t>
      </w:r>
      <w:r w:rsidR="00CA5297" w:rsidRPr="000F40C3">
        <w:rPr>
          <w:rStyle w:val="CommentReference"/>
          <w:rFonts w:ascii="Arial Narrow" w:hAnsi="Arial Narrow" w:cs="Arial"/>
          <w:b/>
          <w:sz w:val="20"/>
        </w:rPr>
        <w:t>re</w:t>
      </w:r>
      <w:r w:rsidR="004D33FB" w:rsidRPr="000F40C3">
        <w:rPr>
          <w:rStyle w:val="CommentReference"/>
          <w:rFonts w:ascii="Arial Narrow" w:hAnsi="Arial Narrow" w:cs="Arial"/>
          <w:b/>
          <w:sz w:val="20"/>
        </w:rPr>
        <w:t>submission and current resubmission</w:t>
      </w:r>
    </w:p>
    <w:tbl>
      <w:tblPr>
        <w:tblW w:w="844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4"/>
        <w:gridCol w:w="5528"/>
        <w:gridCol w:w="1781"/>
      </w:tblGrid>
      <w:tr w:rsidR="004D33FB" w:rsidRPr="000F40C3" w:rsidTr="006B1C93">
        <w:trPr>
          <w:cantSplit/>
          <w:trHeight w:val="220"/>
          <w:tblHeader/>
        </w:trPr>
        <w:tc>
          <w:tcPr>
            <w:tcW w:w="1134" w:type="dxa"/>
          </w:tcPr>
          <w:p w:rsidR="004D33FB" w:rsidRPr="000F40C3" w:rsidRDefault="00FF41D2" w:rsidP="00051C05">
            <w:pPr>
              <w:rPr>
                <w:rFonts w:ascii="Arial Narrow" w:hAnsi="Arial Narrow"/>
                <w:b/>
                <w:sz w:val="19"/>
                <w:szCs w:val="19"/>
              </w:rPr>
            </w:pPr>
            <w:r w:rsidRPr="000F40C3">
              <w:rPr>
                <w:rFonts w:ascii="Arial Narrow" w:hAnsi="Arial Narrow"/>
                <w:b/>
                <w:sz w:val="19"/>
                <w:szCs w:val="19"/>
              </w:rPr>
              <w:t>Component</w:t>
            </w:r>
          </w:p>
        </w:tc>
        <w:tc>
          <w:tcPr>
            <w:tcW w:w="5528" w:type="dxa"/>
            <w:vAlign w:val="center"/>
          </w:tcPr>
          <w:p w:rsidR="004D33FB" w:rsidRPr="000F40C3" w:rsidRDefault="009B7966" w:rsidP="00956D45">
            <w:pPr>
              <w:jc w:val="center"/>
              <w:rPr>
                <w:rFonts w:ascii="Arial Narrow" w:hAnsi="Arial Narrow"/>
                <w:b/>
                <w:sz w:val="19"/>
                <w:szCs w:val="19"/>
              </w:rPr>
            </w:pPr>
            <w:r w:rsidRPr="000F40C3">
              <w:rPr>
                <w:rFonts w:ascii="Arial Narrow" w:hAnsi="Arial Narrow"/>
                <w:b/>
                <w:sz w:val="19"/>
                <w:szCs w:val="19"/>
              </w:rPr>
              <w:t>July 2016</w:t>
            </w:r>
            <w:r w:rsidR="00CA6EBA" w:rsidRPr="000F40C3">
              <w:rPr>
                <w:rFonts w:ascii="Arial Narrow" w:hAnsi="Arial Narrow"/>
                <w:b/>
                <w:sz w:val="19"/>
                <w:szCs w:val="19"/>
              </w:rPr>
              <w:t xml:space="preserve"> resubmission</w:t>
            </w:r>
          </w:p>
        </w:tc>
        <w:tc>
          <w:tcPr>
            <w:tcW w:w="1781" w:type="dxa"/>
            <w:vAlign w:val="center"/>
          </w:tcPr>
          <w:p w:rsidR="004D33FB" w:rsidRPr="000F40C3" w:rsidRDefault="0048644A" w:rsidP="00956D45">
            <w:pPr>
              <w:jc w:val="center"/>
              <w:rPr>
                <w:rFonts w:ascii="Arial Narrow" w:hAnsi="Arial Narrow"/>
                <w:b/>
                <w:sz w:val="19"/>
                <w:szCs w:val="19"/>
              </w:rPr>
            </w:pPr>
            <w:r w:rsidRPr="000F40C3">
              <w:rPr>
                <w:rFonts w:ascii="Arial Narrow" w:hAnsi="Arial Narrow"/>
                <w:b/>
                <w:sz w:val="19"/>
                <w:szCs w:val="19"/>
              </w:rPr>
              <w:t>Current re</w:t>
            </w:r>
            <w:r w:rsidR="004D33FB" w:rsidRPr="000F40C3">
              <w:rPr>
                <w:rFonts w:ascii="Arial Narrow" w:hAnsi="Arial Narrow"/>
                <w:b/>
                <w:sz w:val="19"/>
                <w:szCs w:val="19"/>
              </w:rPr>
              <w:t>submission</w:t>
            </w:r>
          </w:p>
        </w:tc>
      </w:tr>
      <w:tr w:rsidR="004D33FB" w:rsidRPr="000F40C3" w:rsidTr="006B1C93">
        <w:trPr>
          <w:cantSplit/>
          <w:trHeight w:val="794"/>
        </w:trPr>
        <w:tc>
          <w:tcPr>
            <w:tcW w:w="1134" w:type="dxa"/>
          </w:tcPr>
          <w:p w:rsidR="004D33FB" w:rsidRPr="000F40C3" w:rsidRDefault="004D33FB" w:rsidP="00051C05">
            <w:pPr>
              <w:rPr>
                <w:rFonts w:ascii="Arial Narrow" w:hAnsi="Arial Narrow"/>
                <w:sz w:val="19"/>
                <w:szCs w:val="19"/>
              </w:rPr>
            </w:pPr>
            <w:r w:rsidRPr="000F40C3">
              <w:rPr>
                <w:rFonts w:ascii="Arial Narrow" w:hAnsi="Arial Narrow"/>
                <w:sz w:val="19"/>
                <w:szCs w:val="19"/>
              </w:rPr>
              <w:t>Requested PBS listing</w:t>
            </w:r>
          </w:p>
        </w:tc>
        <w:tc>
          <w:tcPr>
            <w:tcW w:w="5528" w:type="dxa"/>
          </w:tcPr>
          <w:p w:rsidR="004D33FB" w:rsidRPr="000F40C3" w:rsidRDefault="009B7966" w:rsidP="00956D45">
            <w:pPr>
              <w:rPr>
                <w:rFonts w:ascii="Arial Narrow" w:hAnsi="Arial Narrow"/>
                <w:sz w:val="19"/>
                <w:szCs w:val="19"/>
              </w:rPr>
            </w:pPr>
            <w:r w:rsidRPr="000F40C3">
              <w:rPr>
                <w:rFonts w:ascii="Arial Narrow" w:hAnsi="Arial Narrow"/>
                <w:sz w:val="19"/>
                <w:szCs w:val="19"/>
              </w:rPr>
              <w:t xml:space="preserve">Written authority Section 100 </w:t>
            </w:r>
            <w:r w:rsidR="00E43FA9" w:rsidRPr="000F40C3">
              <w:rPr>
                <w:rFonts w:ascii="Arial Narrow" w:hAnsi="Arial Narrow"/>
                <w:sz w:val="19"/>
                <w:szCs w:val="19"/>
              </w:rPr>
              <w:t>(</w:t>
            </w:r>
            <w:r w:rsidRPr="000F40C3">
              <w:rPr>
                <w:rFonts w:ascii="Arial Narrow" w:hAnsi="Arial Narrow"/>
                <w:sz w:val="19"/>
                <w:szCs w:val="19"/>
              </w:rPr>
              <w:t>HSD</w:t>
            </w:r>
            <w:r w:rsidR="00E43FA9" w:rsidRPr="000F40C3">
              <w:rPr>
                <w:rFonts w:ascii="Arial Narrow" w:hAnsi="Arial Narrow"/>
                <w:sz w:val="19"/>
                <w:szCs w:val="19"/>
              </w:rPr>
              <w:t>)</w:t>
            </w:r>
            <w:r w:rsidRPr="000F40C3">
              <w:rPr>
                <w:rFonts w:ascii="Arial Narrow" w:hAnsi="Arial Narrow"/>
                <w:sz w:val="19"/>
                <w:szCs w:val="19"/>
              </w:rPr>
              <w:t xml:space="preserve"> listing for relapsed or refractory </w:t>
            </w:r>
            <w:r w:rsidR="00956D45" w:rsidRPr="000F40C3">
              <w:rPr>
                <w:rFonts w:ascii="Arial Narrow" w:hAnsi="Arial Narrow"/>
                <w:sz w:val="19"/>
                <w:szCs w:val="19"/>
              </w:rPr>
              <w:t>Ph B-precursor ALL</w:t>
            </w:r>
            <w:r w:rsidRPr="000F40C3">
              <w:rPr>
                <w:rFonts w:ascii="Arial Narrow" w:hAnsi="Arial Narrow"/>
                <w:sz w:val="19"/>
                <w:szCs w:val="19"/>
              </w:rPr>
              <w:t xml:space="preserve">. </w:t>
            </w:r>
          </w:p>
          <w:p w:rsidR="00BC544F" w:rsidRPr="000F40C3" w:rsidRDefault="00BC544F" w:rsidP="00956D45">
            <w:pPr>
              <w:rPr>
                <w:rFonts w:ascii="Arial Narrow" w:hAnsi="Arial Narrow"/>
                <w:b/>
                <w:sz w:val="19"/>
                <w:szCs w:val="19"/>
              </w:rPr>
            </w:pPr>
          </w:p>
          <w:p w:rsidR="004D33FB" w:rsidRPr="000F40C3" w:rsidRDefault="004D33FB" w:rsidP="00956D45">
            <w:pPr>
              <w:rPr>
                <w:rFonts w:ascii="Arial Narrow" w:hAnsi="Arial Narrow"/>
                <w:sz w:val="19"/>
                <w:szCs w:val="19"/>
              </w:rPr>
            </w:pPr>
            <w:r w:rsidRPr="000F40C3">
              <w:rPr>
                <w:rFonts w:ascii="Arial Narrow" w:hAnsi="Arial Narrow"/>
                <w:b/>
                <w:sz w:val="19"/>
                <w:szCs w:val="19"/>
              </w:rPr>
              <w:t xml:space="preserve">PBAC Comment: </w:t>
            </w:r>
            <w:r w:rsidR="009B7966" w:rsidRPr="000F40C3">
              <w:rPr>
                <w:rFonts w:ascii="Arial Narrow" w:hAnsi="Arial Narrow"/>
                <w:sz w:val="19"/>
                <w:szCs w:val="19"/>
              </w:rPr>
              <w:t xml:space="preserve">PBAC recommended listing under Section 100 (EFC). PBAC reiterated that the first 9 days of initial treatment, and the first 2 days of first continuing treatment, should be provided as a hospital inpatient and therefore not PBS subsidised. </w:t>
            </w:r>
            <w:r w:rsidR="00BC544F" w:rsidRPr="000F40C3">
              <w:rPr>
                <w:rFonts w:ascii="Arial Narrow" w:hAnsi="Arial Narrow"/>
                <w:sz w:val="19"/>
                <w:szCs w:val="19"/>
              </w:rPr>
              <w:t xml:space="preserve">PBAC considered restriction should remain silent on patient age. </w:t>
            </w:r>
          </w:p>
        </w:tc>
        <w:tc>
          <w:tcPr>
            <w:tcW w:w="1781" w:type="dxa"/>
          </w:tcPr>
          <w:p w:rsidR="004D33FB" w:rsidRPr="000F40C3" w:rsidRDefault="009B7966" w:rsidP="00956D45">
            <w:pPr>
              <w:rPr>
                <w:rFonts w:ascii="Arial Narrow" w:hAnsi="Arial Narrow"/>
                <w:sz w:val="19"/>
                <w:szCs w:val="19"/>
              </w:rPr>
            </w:pPr>
            <w:r w:rsidRPr="000F40C3">
              <w:rPr>
                <w:rFonts w:ascii="Arial Narrow" w:hAnsi="Arial Narrow"/>
                <w:sz w:val="19"/>
                <w:szCs w:val="19"/>
              </w:rPr>
              <w:t xml:space="preserve">Unchanged </w:t>
            </w:r>
          </w:p>
          <w:p w:rsidR="004D33FB" w:rsidRPr="000F40C3" w:rsidRDefault="004D33FB" w:rsidP="00956D45">
            <w:pPr>
              <w:rPr>
                <w:rFonts w:ascii="Arial Narrow" w:hAnsi="Arial Narrow"/>
                <w:sz w:val="19"/>
                <w:szCs w:val="19"/>
              </w:rPr>
            </w:pPr>
          </w:p>
        </w:tc>
      </w:tr>
      <w:tr w:rsidR="004D33FB" w:rsidRPr="000F40C3" w:rsidTr="006B1C93">
        <w:trPr>
          <w:cantSplit/>
          <w:trHeight w:val="422"/>
        </w:trPr>
        <w:tc>
          <w:tcPr>
            <w:tcW w:w="1134" w:type="dxa"/>
          </w:tcPr>
          <w:p w:rsidR="004D33FB" w:rsidRPr="000F40C3" w:rsidRDefault="004D33FB" w:rsidP="00051C05">
            <w:pPr>
              <w:rPr>
                <w:rFonts w:ascii="Arial Narrow" w:hAnsi="Arial Narrow"/>
                <w:sz w:val="19"/>
                <w:szCs w:val="19"/>
              </w:rPr>
            </w:pPr>
            <w:r w:rsidRPr="000F40C3">
              <w:rPr>
                <w:rFonts w:ascii="Arial Narrow" w:hAnsi="Arial Narrow"/>
                <w:sz w:val="19"/>
                <w:szCs w:val="19"/>
              </w:rPr>
              <w:t>Requested price</w:t>
            </w:r>
          </w:p>
        </w:tc>
        <w:tc>
          <w:tcPr>
            <w:tcW w:w="5528" w:type="dxa"/>
          </w:tcPr>
          <w:p w:rsidR="004D33FB" w:rsidRPr="000F40C3" w:rsidRDefault="009B7966" w:rsidP="00956D45">
            <w:pPr>
              <w:rPr>
                <w:rFonts w:ascii="Arial Narrow" w:hAnsi="Arial Narrow"/>
                <w:sz w:val="19"/>
                <w:szCs w:val="19"/>
              </w:rPr>
            </w:pPr>
            <w:r w:rsidRPr="000F40C3">
              <w:rPr>
                <w:rFonts w:ascii="Arial Narrow" w:hAnsi="Arial Narrow"/>
                <w:sz w:val="19"/>
                <w:szCs w:val="19"/>
              </w:rPr>
              <w:t>$</w:t>
            </w:r>
            <w:r w:rsidR="002375CE">
              <w:rPr>
                <w:rFonts w:ascii="Arial Narrow" w:hAnsi="Arial Narrow"/>
                <w:noProof/>
                <w:color w:val="000000"/>
                <w:sz w:val="19"/>
                <w:szCs w:val="19"/>
                <w:highlight w:val="black"/>
              </w:rPr>
              <w:t>'''''''''''''''''</w:t>
            </w:r>
          </w:p>
          <w:p w:rsidR="00BC544F" w:rsidRPr="000F40C3" w:rsidRDefault="00BC544F" w:rsidP="00956D45">
            <w:pPr>
              <w:rPr>
                <w:rFonts w:ascii="Arial Narrow" w:hAnsi="Arial Narrow"/>
                <w:sz w:val="19"/>
                <w:szCs w:val="19"/>
              </w:rPr>
            </w:pPr>
          </w:p>
          <w:p w:rsidR="009B7966" w:rsidRPr="000F40C3" w:rsidRDefault="009B7966" w:rsidP="00956D45">
            <w:pPr>
              <w:rPr>
                <w:rFonts w:ascii="Arial Narrow" w:hAnsi="Arial Narrow"/>
                <w:sz w:val="19"/>
                <w:szCs w:val="19"/>
              </w:rPr>
            </w:pPr>
            <w:r w:rsidRPr="000F40C3">
              <w:rPr>
                <w:rFonts w:ascii="Arial Narrow" w:hAnsi="Arial Narrow"/>
                <w:b/>
                <w:sz w:val="19"/>
                <w:szCs w:val="19"/>
              </w:rPr>
              <w:t xml:space="preserve">PBAC Comment: </w:t>
            </w:r>
            <w:r w:rsidRPr="000F40C3">
              <w:rPr>
                <w:rFonts w:ascii="Arial Narrow" w:hAnsi="Arial Narrow"/>
                <w:sz w:val="19"/>
                <w:szCs w:val="19"/>
              </w:rPr>
              <w:t>Price back-calculated based on respecified base case resulting in reduced price of $</w:t>
            </w:r>
            <w:r w:rsidR="002375CE">
              <w:rPr>
                <w:rFonts w:ascii="Arial Narrow" w:hAnsi="Arial Narrow"/>
                <w:noProof/>
                <w:color w:val="000000"/>
                <w:sz w:val="19"/>
                <w:szCs w:val="19"/>
                <w:highlight w:val="black"/>
              </w:rPr>
              <w:t>''''''''''''''''''</w:t>
            </w:r>
            <w:r w:rsidRPr="000F40C3">
              <w:rPr>
                <w:rFonts w:ascii="Arial Narrow" w:hAnsi="Arial Narrow"/>
                <w:sz w:val="19"/>
                <w:szCs w:val="19"/>
              </w:rPr>
              <w:t xml:space="preserve">. </w:t>
            </w:r>
          </w:p>
        </w:tc>
        <w:tc>
          <w:tcPr>
            <w:tcW w:w="1781" w:type="dxa"/>
          </w:tcPr>
          <w:p w:rsidR="004D33FB" w:rsidRPr="000F40C3" w:rsidRDefault="0048644A" w:rsidP="00956D45">
            <w:pPr>
              <w:rPr>
                <w:rFonts w:ascii="Arial Narrow" w:hAnsi="Arial Narrow"/>
                <w:sz w:val="19"/>
                <w:szCs w:val="19"/>
              </w:rPr>
            </w:pPr>
            <w:r w:rsidRPr="000F40C3">
              <w:rPr>
                <w:rFonts w:ascii="Arial Narrow" w:hAnsi="Arial Narrow"/>
                <w:sz w:val="19"/>
                <w:szCs w:val="19"/>
              </w:rPr>
              <w:t>$</w:t>
            </w:r>
            <w:r w:rsidR="002375CE">
              <w:rPr>
                <w:rFonts w:ascii="Arial Narrow" w:hAnsi="Arial Narrow"/>
                <w:noProof/>
                <w:color w:val="000000"/>
                <w:sz w:val="19"/>
                <w:szCs w:val="19"/>
                <w:highlight w:val="black"/>
              </w:rPr>
              <w:t>''''''''''''''''''''''</w:t>
            </w:r>
          </w:p>
        </w:tc>
      </w:tr>
      <w:tr w:rsidR="004D33FB" w:rsidRPr="000F40C3" w:rsidTr="006B1C93">
        <w:trPr>
          <w:cantSplit/>
          <w:trHeight w:val="642"/>
        </w:trPr>
        <w:tc>
          <w:tcPr>
            <w:tcW w:w="1134" w:type="dxa"/>
          </w:tcPr>
          <w:p w:rsidR="004D33FB" w:rsidRPr="000F40C3" w:rsidRDefault="004D33FB" w:rsidP="00051C05">
            <w:pPr>
              <w:rPr>
                <w:rFonts w:ascii="Arial Narrow" w:hAnsi="Arial Narrow"/>
                <w:sz w:val="19"/>
                <w:szCs w:val="19"/>
              </w:rPr>
            </w:pPr>
            <w:r w:rsidRPr="000F40C3">
              <w:rPr>
                <w:rFonts w:ascii="Arial Narrow" w:hAnsi="Arial Narrow"/>
                <w:sz w:val="19"/>
                <w:szCs w:val="19"/>
              </w:rPr>
              <w:t>Main comparator</w:t>
            </w:r>
          </w:p>
        </w:tc>
        <w:tc>
          <w:tcPr>
            <w:tcW w:w="5528" w:type="dxa"/>
          </w:tcPr>
          <w:p w:rsidR="004D33FB" w:rsidRPr="000F40C3" w:rsidRDefault="0048644A" w:rsidP="00956D45">
            <w:pPr>
              <w:rPr>
                <w:rFonts w:ascii="Arial Narrow" w:hAnsi="Arial Narrow"/>
                <w:sz w:val="19"/>
                <w:szCs w:val="19"/>
              </w:rPr>
            </w:pPr>
            <w:r w:rsidRPr="000F40C3">
              <w:rPr>
                <w:rFonts w:ascii="Arial Narrow" w:hAnsi="Arial Narrow"/>
                <w:sz w:val="19"/>
                <w:szCs w:val="19"/>
              </w:rPr>
              <w:t>Standard care chemotherapies</w:t>
            </w:r>
          </w:p>
          <w:p w:rsidR="004D33FB" w:rsidRPr="000F40C3" w:rsidRDefault="004D33FB" w:rsidP="00956D45">
            <w:pPr>
              <w:rPr>
                <w:rFonts w:ascii="Arial Narrow" w:hAnsi="Arial Narrow"/>
                <w:sz w:val="19"/>
                <w:szCs w:val="19"/>
              </w:rPr>
            </w:pPr>
          </w:p>
          <w:p w:rsidR="004D33FB" w:rsidRPr="000F40C3" w:rsidRDefault="004D33FB" w:rsidP="00956D45">
            <w:pPr>
              <w:rPr>
                <w:rFonts w:ascii="Arial Narrow" w:hAnsi="Arial Narrow"/>
                <w:sz w:val="19"/>
                <w:szCs w:val="19"/>
              </w:rPr>
            </w:pPr>
            <w:r w:rsidRPr="000F40C3">
              <w:rPr>
                <w:rFonts w:ascii="Arial Narrow" w:hAnsi="Arial Narrow"/>
                <w:b/>
                <w:sz w:val="19"/>
                <w:szCs w:val="19"/>
              </w:rPr>
              <w:t>PBAC Comment:</w:t>
            </w:r>
            <w:r w:rsidRPr="000F40C3">
              <w:rPr>
                <w:rFonts w:ascii="Arial Narrow" w:hAnsi="Arial Narrow"/>
                <w:sz w:val="19"/>
                <w:szCs w:val="19"/>
              </w:rPr>
              <w:t xml:space="preserve"> </w:t>
            </w:r>
            <w:r w:rsidR="0048644A" w:rsidRPr="000F40C3">
              <w:rPr>
                <w:rFonts w:ascii="Arial Narrow" w:hAnsi="Arial Narrow"/>
                <w:sz w:val="19"/>
                <w:szCs w:val="19"/>
              </w:rPr>
              <w:t>Unchanged from November 2015 submission and remained appropriate.</w:t>
            </w:r>
          </w:p>
        </w:tc>
        <w:tc>
          <w:tcPr>
            <w:tcW w:w="1781" w:type="dxa"/>
          </w:tcPr>
          <w:p w:rsidR="004D33FB" w:rsidRPr="000F40C3" w:rsidRDefault="0048644A" w:rsidP="00956D45">
            <w:pPr>
              <w:rPr>
                <w:rFonts w:ascii="Arial Narrow" w:hAnsi="Arial Narrow"/>
                <w:sz w:val="19"/>
                <w:szCs w:val="19"/>
              </w:rPr>
            </w:pPr>
            <w:r w:rsidRPr="000F40C3">
              <w:rPr>
                <w:rFonts w:ascii="Arial Narrow" w:hAnsi="Arial Narrow"/>
                <w:sz w:val="19"/>
                <w:szCs w:val="19"/>
              </w:rPr>
              <w:t xml:space="preserve">Unchanged. </w:t>
            </w:r>
          </w:p>
        </w:tc>
      </w:tr>
      <w:tr w:rsidR="004D33FB" w:rsidRPr="000F40C3" w:rsidTr="006B1C93">
        <w:trPr>
          <w:cantSplit/>
          <w:trHeight w:val="860"/>
        </w:trPr>
        <w:tc>
          <w:tcPr>
            <w:tcW w:w="1134" w:type="dxa"/>
          </w:tcPr>
          <w:p w:rsidR="004D33FB" w:rsidRPr="000F40C3" w:rsidRDefault="004D33FB" w:rsidP="00051C05">
            <w:pPr>
              <w:rPr>
                <w:rFonts w:ascii="Arial Narrow" w:hAnsi="Arial Narrow"/>
                <w:sz w:val="19"/>
                <w:szCs w:val="19"/>
              </w:rPr>
            </w:pPr>
            <w:r w:rsidRPr="000F40C3">
              <w:rPr>
                <w:rFonts w:ascii="Arial Narrow" w:hAnsi="Arial Narrow"/>
                <w:sz w:val="19"/>
                <w:szCs w:val="19"/>
              </w:rPr>
              <w:t>Clinical evidence</w:t>
            </w:r>
          </w:p>
        </w:tc>
        <w:tc>
          <w:tcPr>
            <w:tcW w:w="5528" w:type="dxa"/>
          </w:tcPr>
          <w:p w:rsidR="0048644A" w:rsidRPr="000F40C3" w:rsidRDefault="0048644A" w:rsidP="00956D45">
            <w:pPr>
              <w:rPr>
                <w:rFonts w:ascii="Arial Narrow" w:hAnsi="Arial Narrow"/>
                <w:sz w:val="19"/>
                <w:szCs w:val="19"/>
              </w:rPr>
            </w:pPr>
            <w:r w:rsidRPr="000F40C3">
              <w:rPr>
                <w:rFonts w:ascii="Arial Narrow" w:hAnsi="Arial Narrow"/>
                <w:sz w:val="19"/>
                <w:szCs w:val="19"/>
              </w:rPr>
              <w:t>• Two single-arm Phase II studies:</w:t>
            </w:r>
          </w:p>
          <w:p w:rsidR="0048644A" w:rsidRPr="000F40C3" w:rsidRDefault="0048644A" w:rsidP="00956D45">
            <w:pPr>
              <w:rPr>
                <w:rFonts w:ascii="Arial Narrow" w:hAnsi="Arial Narrow"/>
                <w:sz w:val="19"/>
                <w:szCs w:val="19"/>
              </w:rPr>
            </w:pPr>
            <w:r w:rsidRPr="000F40C3">
              <w:rPr>
                <w:rFonts w:ascii="Arial Narrow" w:hAnsi="Arial Narrow"/>
                <w:sz w:val="19"/>
                <w:szCs w:val="19"/>
              </w:rPr>
              <w:t>MT103-211: pivotal study (n=225)</w:t>
            </w:r>
          </w:p>
          <w:p w:rsidR="0048644A" w:rsidRPr="000F40C3" w:rsidRDefault="0048644A" w:rsidP="00956D45">
            <w:pPr>
              <w:rPr>
                <w:rFonts w:ascii="Arial Narrow" w:hAnsi="Arial Narrow"/>
                <w:sz w:val="19"/>
                <w:szCs w:val="19"/>
              </w:rPr>
            </w:pPr>
            <w:r w:rsidRPr="000F40C3">
              <w:rPr>
                <w:rFonts w:ascii="Arial Narrow" w:hAnsi="Arial Narrow"/>
                <w:sz w:val="19"/>
                <w:szCs w:val="19"/>
              </w:rPr>
              <w:t>MT103-206: dose-finding study (n=36)</w:t>
            </w:r>
          </w:p>
          <w:p w:rsidR="0048644A" w:rsidRPr="000F40C3" w:rsidRDefault="0048644A" w:rsidP="00956D45">
            <w:pPr>
              <w:rPr>
                <w:rFonts w:ascii="Arial Narrow" w:hAnsi="Arial Narrow"/>
                <w:sz w:val="19"/>
                <w:szCs w:val="19"/>
              </w:rPr>
            </w:pPr>
            <w:r w:rsidRPr="000F40C3">
              <w:rPr>
                <w:rFonts w:ascii="Arial Narrow" w:hAnsi="Arial Narrow"/>
                <w:sz w:val="19"/>
                <w:szCs w:val="19"/>
              </w:rPr>
              <w:t>• A retrospective historical control study (20120310) using SC (n=1,139)</w:t>
            </w:r>
          </w:p>
          <w:p w:rsidR="0048644A" w:rsidRPr="000F40C3" w:rsidRDefault="0048644A" w:rsidP="00956D45">
            <w:pPr>
              <w:rPr>
                <w:rFonts w:ascii="Arial Narrow" w:hAnsi="Arial Narrow"/>
                <w:sz w:val="19"/>
                <w:szCs w:val="19"/>
              </w:rPr>
            </w:pPr>
          </w:p>
          <w:p w:rsidR="0048644A" w:rsidRPr="000F40C3" w:rsidRDefault="0048644A" w:rsidP="00956D45">
            <w:pPr>
              <w:rPr>
                <w:rFonts w:ascii="Arial Narrow" w:hAnsi="Arial Narrow"/>
                <w:sz w:val="19"/>
                <w:szCs w:val="19"/>
              </w:rPr>
            </w:pPr>
            <w:r w:rsidRPr="000F40C3">
              <w:rPr>
                <w:rFonts w:ascii="Arial Narrow" w:hAnsi="Arial Narrow"/>
                <w:sz w:val="19"/>
                <w:szCs w:val="19"/>
              </w:rPr>
              <w:t xml:space="preserve">Preliminary data from randomised controlled, Phase III trial (the TOWER Trial) provided in PSCR. </w:t>
            </w:r>
          </w:p>
          <w:p w:rsidR="004D33FB" w:rsidRPr="000F40C3" w:rsidRDefault="004D33FB" w:rsidP="00956D45">
            <w:pPr>
              <w:rPr>
                <w:rFonts w:ascii="Arial Narrow" w:hAnsi="Arial Narrow"/>
                <w:sz w:val="19"/>
                <w:szCs w:val="19"/>
              </w:rPr>
            </w:pPr>
          </w:p>
          <w:p w:rsidR="004D33FB" w:rsidRPr="000F40C3" w:rsidRDefault="004D33FB" w:rsidP="00956D45">
            <w:pPr>
              <w:rPr>
                <w:rFonts w:ascii="Arial Narrow" w:hAnsi="Arial Narrow"/>
                <w:color w:val="0000FF"/>
                <w:sz w:val="19"/>
                <w:szCs w:val="19"/>
              </w:rPr>
            </w:pPr>
            <w:r w:rsidRPr="000F40C3">
              <w:rPr>
                <w:rFonts w:ascii="Arial Narrow" w:hAnsi="Arial Narrow"/>
                <w:b/>
                <w:sz w:val="19"/>
                <w:szCs w:val="19"/>
              </w:rPr>
              <w:t>PBAC Comment:</w:t>
            </w:r>
            <w:r w:rsidRPr="000F40C3">
              <w:rPr>
                <w:rFonts w:ascii="Arial Narrow" w:hAnsi="Arial Narrow"/>
                <w:sz w:val="19"/>
                <w:szCs w:val="19"/>
              </w:rPr>
              <w:t xml:space="preserve"> </w:t>
            </w:r>
            <w:r w:rsidR="0048644A" w:rsidRPr="000F40C3">
              <w:rPr>
                <w:rFonts w:ascii="Arial Narrow" w:hAnsi="Arial Narrow"/>
                <w:sz w:val="19"/>
                <w:szCs w:val="19"/>
              </w:rPr>
              <w:t xml:space="preserve">Weighted historical control data from </w:t>
            </w:r>
            <w:proofErr w:type="gramStart"/>
            <w:r w:rsidR="0048644A" w:rsidRPr="000F40C3">
              <w:rPr>
                <w:rFonts w:ascii="Arial Narrow" w:hAnsi="Arial Narrow"/>
                <w:sz w:val="19"/>
                <w:szCs w:val="19"/>
              </w:rPr>
              <w:t>patients</w:t>
            </w:r>
            <w:proofErr w:type="gramEnd"/>
            <w:r w:rsidR="0048644A" w:rsidRPr="000F40C3">
              <w:rPr>
                <w:rFonts w:ascii="Arial Narrow" w:hAnsi="Arial Narrow"/>
                <w:sz w:val="19"/>
                <w:szCs w:val="19"/>
              </w:rPr>
              <w:t xml:space="preserve"> diagnosed post-2000 should be used for the comparator. The PBAC considered that data from the ongoing randomised trial (TOWER), after patients have been followed beyond two years, should be the source of evidence to address uncertainty in incremental proportion of patients alive. </w:t>
            </w:r>
          </w:p>
        </w:tc>
        <w:tc>
          <w:tcPr>
            <w:tcW w:w="1781" w:type="dxa"/>
          </w:tcPr>
          <w:p w:rsidR="004D33FB" w:rsidRPr="000F40C3" w:rsidRDefault="0048644A" w:rsidP="00956D45">
            <w:pPr>
              <w:rPr>
                <w:rFonts w:ascii="Arial Narrow" w:hAnsi="Arial Narrow"/>
                <w:sz w:val="19"/>
                <w:szCs w:val="19"/>
              </w:rPr>
            </w:pPr>
            <w:r w:rsidRPr="000F40C3">
              <w:rPr>
                <w:rFonts w:ascii="Arial Narrow" w:hAnsi="Arial Narrow"/>
                <w:sz w:val="19"/>
                <w:szCs w:val="19"/>
              </w:rPr>
              <w:t xml:space="preserve">12 months of TOWER data are provided. The </w:t>
            </w:r>
            <w:r w:rsidR="0032751F" w:rsidRPr="000F40C3">
              <w:rPr>
                <w:rFonts w:ascii="Arial Narrow" w:hAnsi="Arial Narrow"/>
                <w:sz w:val="19"/>
                <w:szCs w:val="19"/>
              </w:rPr>
              <w:t>resubmission stated</w:t>
            </w:r>
            <w:r w:rsidRPr="000F40C3">
              <w:rPr>
                <w:rFonts w:ascii="Arial Narrow" w:hAnsi="Arial Narrow"/>
                <w:sz w:val="19"/>
                <w:szCs w:val="19"/>
              </w:rPr>
              <w:t xml:space="preserve"> that two years of data will not be available. </w:t>
            </w:r>
          </w:p>
        </w:tc>
      </w:tr>
      <w:tr w:rsidR="004D33FB" w:rsidRPr="000F40C3" w:rsidTr="006B1C93">
        <w:trPr>
          <w:cantSplit/>
          <w:trHeight w:val="1064"/>
        </w:trPr>
        <w:tc>
          <w:tcPr>
            <w:tcW w:w="1134" w:type="dxa"/>
          </w:tcPr>
          <w:p w:rsidR="004D33FB" w:rsidRPr="000F40C3" w:rsidRDefault="004D33FB" w:rsidP="00051C05">
            <w:pPr>
              <w:rPr>
                <w:rFonts w:ascii="Arial Narrow" w:hAnsi="Arial Narrow"/>
                <w:sz w:val="19"/>
                <w:szCs w:val="19"/>
              </w:rPr>
            </w:pPr>
            <w:r w:rsidRPr="000F40C3">
              <w:rPr>
                <w:rFonts w:ascii="Arial Narrow" w:hAnsi="Arial Narrow"/>
                <w:sz w:val="19"/>
                <w:szCs w:val="19"/>
              </w:rPr>
              <w:t>Key effectiveness data</w:t>
            </w:r>
          </w:p>
        </w:tc>
        <w:tc>
          <w:tcPr>
            <w:tcW w:w="5528" w:type="dxa"/>
          </w:tcPr>
          <w:p w:rsidR="004D33FB" w:rsidRPr="000F40C3" w:rsidRDefault="0032751F" w:rsidP="00956D45">
            <w:pPr>
              <w:rPr>
                <w:rFonts w:ascii="Arial Narrow" w:hAnsi="Arial Narrow"/>
                <w:sz w:val="19"/>
                <w:szCs w:val="19"/>
              </w:rPr>
            </w:pPr>
            <w:r w:rsidRPr="000F40C3">
              <w:rPr>
                <w:rFonts w:ascii="Arial Narrow" w:hAnsi="Arial Narrow"/>
                <w:sz w:val="19"/>
                <w:szCs w:val="19"/>
              </w:rPr>
              <w:t xml:space="preserve">The PSCR and Pre-PBAC response provided preliminary efficacy results of the median overall survival for each arm of the TOWER trial. </w:t>
            </w:r>
          </w:p>
          <w:p w:rsidR="004D33FB" w:rsidRPr="000F40C3" w:rsidRDefault="004D33FB" w:rsidP="00956D45">
            <w:pPr>
              <w:rPr>
                <w:rFonts w:ascii="Arial Narrow" w:hAnsi="Arial Narrow"/>
                <w:sz w:val="19"/>
                <w:szCs w:val="19"/>
              </w:rPr>
            </w:pPr>
          </w:p>
          <w:p w:rsidR="0032751F" w:rsidRPr="000F40C3" w:rsidRDefault="0032751F" w:rsidP="00956D45">
            <w:pPr>
              <w:rPr>
                <w:rFonts w:ascii="Arial Narrow" w:hAnsi="Arial Narrow"/>
                <w:sz w:val="19"/>
                <w:szCs w:val="19"/>
              </w:rPr>
            </w:pPr>
            <w:r w:rsidRPr="000F40C3">
              <w:rPr>
                <w:rFonts w:ascii="Arial Narrow" w:hAnsi="Arial Narrow"/>
                <w:sz w:val="19"/>
                <w:szCs w:val="19"/>
              </w:rPr>
              <w:t>Median OS blinatumomab = 7.7 months (5.6, 9.6)</w:t>
            </w:r>
          </w:p>
          <w:p w:rsidR="0032751F" w:rsidRPr="000F40C3" w:rsidRDefault="0032751F" w:rsidP="00956D45">
            <w:pPr>
              <w:rPr>
                <w:rFonts w:ascii="Arial Narrow" w:hAnsi="Arial Narrow"/>
                <w:sz w:val="19"/>
                <w:szCs w:val="19"/>
              </w:rPr>
            </w:pPr>
            <w:r w:rsidRPr="000F40C3">
              <w:rPr>
                <w:rFonts w:ascii="Arial Narrow" w:hAnsi="Arial Narrow"/>
                <w:sz w:val="19"/>
                <w:szCs w:val="19"/>
              </w:rPr>
              <w:t>Median OS SC chemotherapy = 4.0 months (3.3, 4.3)</w:t>
            </w:r>
          </w:p>
          <w:p w:rsidR="0032751F" w:rsidRPr="000F40C3" w:rsidRDefault="0032751F" w:rsidP="00956D45">
            <w:pPr>
              <w:rPr>
                <w:rFonts w:ascii="Arial Narrow" w:hAnsi="Arial Narrow"/>
                <w:sz w:val="19"/>
                <w:szCs w:val="19"/>
              </w:rPr>
            </w:pPr>
            <w:r w:rsidRPr="000F40C3">
              <w:rPr>
                <w:rFonts w:ascii="Arial Narrow" w:hAnsi="Arial Narrow"/>
                <w:sz w:val="19"/>
                <w:szCs w:val="19"/>
              </w:rPr>
              <w:t xml:space="preserve">Incremental median OS = 3.7 months (HR = 0.71 (0.55, 0.93)) </w:t>
            </w:r>
          </w:p>
          <w:p w:rsidR="0032751F" w:rsidRPr="000F40C3" w:rsidRDefault="0032751F" w:rsidP="00956D45">
            <w:pPr>
              <w:rPr>
                <w:rFonts w:ascii="Arial Narrow" w:hAnsi="Arial Narrow"/>
                <w:sz w:val="19"/>
                <w:szCs w:val="19"/>
              </w:rPr>
            </w:pPr>
          </w:p>
          <w:p w:rsidR="004D33FB" w:rsidRPr="000F40C3" w:rsidRDefault="004D33FB" w:rsidP="00956D45">
            <w:pPr>
              <w:rPr>
                <w:rFonts w:ascii="Arial Narrow" w:hAnsi="Arial Narrow"/>
                <w:sz w:val="19"/>
                <w:szCs w:val="19"/>
              </w:rPr>
            </w:pPr>
            <w:r w:rsidRPr="000F40C3">
              <w:rPr>
                <w:rFonts w:ascii="Arial Narrow" w:hAnsi="Arial Narrow"/>
                <w:b/>
                <w:sz w:val="19"/>
                <w:szCs w:val="19"/>
              </w:rPr>
              <w:t>PBAC Comment:</w:t>
            </w:r>
            <w:r w:rsidRPr="000F40C3">
              <w:rPr>
                <w:rFonts w:ascii="Arial Narrow" w:hAnsi="Arial Narrow"/>
                <w:sz w:val="19"/>
                <w:szCs w:val="19"/>
              </w:rPr>
              <w:t xml:space="preserve"> </w:t>
            </w:r>
            <w:r w:rsidR="0032751F" w:rsidRPr="000F40C3">
              <w:rPr>
                <w:rFonts w:ascii="Arial Narrow" w:hAnsi="Arial Narrow"/>
                <w:sz w:val="19"/>
                <w:szCs w:val="19"/>
              </w:rPr>
              <w:t xml:space="preserve">The preliminary results from the TOWER trial provide reassurances that evidence that is more robust will be forthcoming to better inform the clinical effectiveness. </w:t>
            </w:r>
          </w:p>
        </w:tc>
        <w:tc>
          <w:tcPr>
            <w:tcW w:w="1781" w:type="dxa"/>
          </w:tcPr>
          <w:p w:rsidR="004D33FB" w:rsidRPr="000F40C3" w:rsidRDefault="0032751F" w:rsidP="00956D45">
            <w:pPr>
              <w:rPr>
                <w:rFonts w:ascii="Arial Narrow" w:hAnsi="Arial Narrow"/>
                <w:sz w:val="19"/>
                <w:szCs w:val="19"/>
              </w:rPr>
            </w:pPr>
            <w:r w:rsidRPr="000F40C3">
              <w:rPr>
                <w:rFonts w:ascii="Arial Narrow" w:hAnsi="Arial Narrow"/>
                <w:sz w:val="19"/>
                <w:szCs w:val="19"/>
              </w:rPr>
              <w:t xml:space="preserve">Unchanged. The resubmission stated that the median follow up is 11.8 months in the SC arm and 11.7 months in the blinatumomab arm. There will be no further follow up for efficacy. </w:t>
            </w:r>
          </w:p>
        </w:tc>
      </w:tr>
      <w:tr w:rsidR="004D33FB" w:rsidRPr="000F40C3" w:rsidTr="006B1C93">
        <w:trPr>
          <w:cantSplit/>
          <w:trHeight w:val="228"/>
        </w:trPr>
        <w:tc>
          <w:tcPr>
            <w:tcW w:w="1134" w:type="dxa"/>
          </w:tcPr>
          <w:p w:rsidR="004D33FB" w:rsidRPr="000F40C3" w:rsidRDefault="004D33FB" w:rsidP="00051C05">
            <w:pPr>
              <w:rPr>
                <w:rFonts w:ascii="Arial Narrow" w:hAnsi="Arial Narrow"/>
                <w:sz w:val="19"/>
                <w:szCs w:val="19"/>
              </w:rPr>
            </w:pPr>
            <w:r w:rsidRPr="000F40C3">
              <w:rPr>
                <w:rFonts w:ascii="Arial Narrow" w:hAnsi="Arial Narrow"/>
                <w:sz w:val="19"/>
                <w:szCs w:val="19"/>
              </w:rPr>
              <w:lastRenderedPageBreak/>
              <w:t>Key safety data</w:t>
            </w:r>
          </w:p>
        </w:tc>
        <w:tc>
          <w:tcPr>
            <w:tcW w:w="5528" w:type="dxa"/>
          </w:tcPr>
          <w:p w:rsidR="004D33FB" w:rsidRPr="000F40C3" w:rsidRDefault="0002565A" w:rsidP="00956D45">
            <w:pPr>
              <w:rPr>
                <w:rFonts w:ascii="Arial Narrow" w:hAnsi="Arial Narrow"/>
                <w:sz w:val="19"/>
                <w:szCs w:val="19"/>
              </w:rPr>
            </w:pPr>
            <w:r w:rsidRPr="000F40C3">
              <w:rPr>
                <w:rFonts w:ascii="Arial Narrow" w:hAnsi="Arial Narrow"/>
                <w:sz w:val="19"/>
                <w:szCs w:val="19"/>
              </w:rPr>
              <w:t xml:space="preserve">The PSCR provided preliminary safety results for each arm in the TOWER trial. </w:t>
            </w:r>
          </w:p>
          <w:p w:rsidR="0002565A" w:rsidRPr="000F40C3" w:rsidRDefault="0002565A" w:rsidP="00956D45">
            <w:pPr>
              <w:rPr>
                <w:rFonts w:ascii="Arial Narrow" w:hAnsi="Arial Narrow"/>
                <w:sz w:val="19"/>
                <w:szCs w:val="19"/>
              </w:rPr>
            </w:pPr>
          </w:p>
          <w:p w:rsidR="0002565A" w:rsidRPr="000F40C3" w:rsidRDefault="0002565A" w:rsidP="00956D45">
            <w:pPr>
              <w:rPr>
                <w:rFonts w:ascii="Arial Narrow" w:hAnsi="Arial Narrow"/>
                <w:sz w:val="19"/>
                <w:szCs w:val="19"/>
              </w:rPr>
            </w:pPr>
            <w:r w:rsidRPr="000F40C3">
              <w:rPr>
                <w:rFonts w:ascii="Arial Narrow" w:hAnsi="Arial Narrow"/>
                <w:sz w:val="19"/>
                <w:szCs w:val="19"/>
              </w:rPr>
              <w:t>All treatment related adverse events</w:t>
            </w:r>
            <w:r w:rsidR="009705ED" w:rsidRPr="000F40C3">
              <w:rPr>
                <w:rFonts w:ascii="Arial Narrow" w:hAnsi="Arial Narrow"/>
                <w:sz w:val="19"/>
                <w:szCs w:val="19"/>
              </w:rPr>
              <w:t>:</w:t>
            </w:r>
          </w:p>
          <w:p w:rsidR="0002565A" w:rsidRPr="000F40C3" w:rsidRDefault="0002565A" w:rsidP="00956D45">
            <w:pPr>
              <w:rPr>
                <w:rFonts w:ascii="Arial Narrow" w:hAnsi="Arial Narrow"/>
                <w:sz w:val="19"/>
                <w:szCs w:val="19"/>
              </w:rPr>
            </w:pPr>
            <w:r w:rsidRPr="000F40C3">
              <w:rPr>
                <w:rFonts w:ascii="Arial Narrow" w:hAnsi="Arial Narrow"/>
                <w:sz w:val="19"/>
                <w:szCs w:val="19"/>
              </w:rPr>
              <w:t>Blinatumomab (N = 267) = 214 (80.1%)</w:t>
            </w:r>
          </w:p>
          <w:p w:rsidR="0002565A" w:rsidRPr="000F40C3" w:rsidRDefault="0002565A" w:rsidP="00956D45">
            <w:pPr>
              <w:rPr>
                <w:rFonts w:ascii="Arial Narrow" w:hAnsi="Arial Narrow"/>
                <w:sz w:val="19"/>
                <w:szCs w:val="19"/>
              </w:rPr>
            </w:pPr>
            <w:r w:rsidRPr="000F40C3">
              <w:rPr>
                <w:rFonts w:ascii="Arial Narrow" w:hAnsi="Arial Narrow"/>
                <w:sz w:val="19"/>
                <w:szCs w:val="19"/>
              </w:rPr>
              <w:t>SC chemotherapy (N = 109) = 92 (84.4%)</w:t>
            </w:r>
          </w:p>
          <w:p w:rsidR="004D33FB" w:rsidRPr="000F40C3" w:rsidRDefault="004D33FB" w:rsidP="00956D45">
            <w:pPr>
              <w:rPr>
                <w:rFonts w:ascii="Arial Narrow" w:hAnsi="Arial Narrow"/>
                <w:sz w:val="19"/>
                <w:szCs w:val="19"/>
              </w:rPr>
            </w:pPr>
          </w:p>
          <w:p w:rsidR="004D33FB" w:rsidRPr="000F40C3" w:rsidRDefault="004D33FB" w:rsidP="00956D45">
            <w:pPr>
              <w:rPr>
                <w:rFonts w:ascii="Arial Narrow" w:hAnsi="Arial Narrow"/>
                <w:sz w:val="19"/>
                <w:szCs w:val="19"/>
              </w:rPr>
            </w:pPr>
            <w:r w:rsidRPr="000F40C3">
              <w:rPr>
                <w:rFonts w:ascii="Arial Narrow" w:hAnsi="Arial Narrow"/>
                <w:b/>
                <w:sz w:val="19"/>
                <w:szCs w:val="19"/>
              </w:rPr>
              <w:t>PBAC Comment:</w:t>
            </w:r>
            <w:r w:rsidRPr="000F40C3">
              <w:rPr>
                <w:rFonts w:ascii="Arial Narrow" w:hAnsi="Arial Narrow"/>
                <w:sz w:val="19"/>
                <w:szCs w:val="19"/>
              </w:rPr>
              <w:t xml:space="preserve"> </w:t>
            </w:r>
            <w:r w:rsidR="00C33A07" w:rsidRPr="000F40C3">
              <w:rPr>
                <w:rFonts w:ascii="Arial Narrow" w:hAnsi="Arial Narrow"/>
                <w:sz w:val="19"/>
                <w:szCs w:val="19"/>
              </w:rPr>
              <w:t xml:space="preserve">The preliminary safety results from TOWER indicate that blinatumomab is likely to be superior in terms of comparative safety compared to standard care chemotherapy. </w:t>
            </w:r>
          </w:p>
        </w:tc>
        <w:tc>
          <w:tcPr>
            <w:tcW w:w="1781" w:type="dxa"/>
          </w:tcPr>
          <w:p w:rsidR="004D33FB" w:rsidRPr="000F40C3" w:rsidRDefault="00C33A07" w:rsidP="00956D45">
            <w:pPr>
              <w:rPr>
                <w:rFonts w:ascii="Arial Narrow" w:hAnsi="Arial Narrow"/>
                <w:sz w:val="19"/>
                <w:szCs w:val="19"/>
              </w:rPr>
            </w:pPr>
            <w:r w:rsidRPr="000F40C3">
              <w:rPr>
                <w:rFonts w:ascii="Arial Narrow" w:hAnsi="Arial Narrow"/>
                <w:sz w:val="19"/>
                <w:szCs w:val="19"/>
              </w:rPr>
              <w:t xml:space="preserve">Unchanged. </w:t>
            </w:r>
          </w:p>
        </w:tc>
      </w:tr>
      <w:tr w:rsidR="004D33FB" w:rsidRPr="000F40C3" w:rsidTr="006B1C93">
        <w:trPr>
          <w:cantSplit/>
          <w:trHeight w:val="860"/>
        </w:trPr>
        <w:tc>
          <w:tcPr>
            <w:tcW w:w="1134" w:type="dxa"/>
          </w:tcPr>
          <w:p w:rsidR="004D33FB" w:rsidRPr="000F40C3" w:rsidRDefault="004D33FB" w:rsidP="00051C05">
            <w:pPr>
              <w:rPr>
                <w:rFonts w:ascii="Arial Narrow" w:hAnsi="Arial Narrow"/>
                <w:sz w:val="19"/>
                <w:szCs w:val="19"/>
              </w:rPr>
            </w:pPr>
            <w:r w:rsidRPr="000F40C3">
              <w:rPr>
                <w:rFonts w:ascii="Arial Narrow" w:hAnsi="Arial Narrow"/>
                <w:sz w:val="19"/>
                <w:szCs w:val="19"/>
              </w:rPr>
              <w:t>Clinical claim</w:t>
            </w:r>
          </w:p>
        </w:tc>
        <w:tc>
          <w:tcPr>
            <w:tcW w:w="5528" w:type="dxa"/>
          </w:tcPr>
          <w:p w:rsidR="00C33A07" w:rsidRPr="000F40C3" w:rsidRDefault="00C33A07" w:rsidP="00956D45">
            <w:pPr>
              <w:rPr>
                <w:rFonts w:ascii="Arial Narrow" w:hAnsi="Arial Narrow"/>
                <w:sz w:val="20"/>
              </w:rPr>
            </w:pPr>
            <w:r w:rsidRPr="000F40C3">
              <w:rPr>
                <w:rFonts w:ascii="Arial Narrow" w:hAnsi="Arial Narrow"/>
                <w:sz w:val="19"/>
                <w:szCs w:val="19"/>
              </w:rPr>
              <w:t>Blinatumomab was superior in terms of both comparative effectiveness and safety over SC combination chemotherapies</w:t>
            </w:r>
            <w:r w:rsidRPr="000F40C3">
              <w:rPr>
                <w:rFonts w:ascii="Arial Narrow" w:hAnsi="Arial Narrow"/>
                <w:sz w:val="20"/>
              </w:rPr>
              <w:t>.</w:t>
            </w:r>
          </w:p>
          <w:p w:rsidR="004D33FB" w:rsidRPr="000F40C3" w:rsidRDefault="004D33FB" w:rsidP="00956D45">
            <w:pPr>
              <w:rPr>
                <w:rFonts w:ascii="Arial Narrow" w:hAnsi="Arial Narrow"/>
                <w:b/>
                <w:sz w:val="19"/>
                <w:szCs w:val="19"/>
              </w:rPr>
            </w:pPr>
          </w:p>
          <w:p w:rsidR="004D33FB" w:rsidRPr="000F40C3" w:rsidRDefault="004D33FB" w:rsidP="00956D45">
            <w:pPr>
              <w:rPr>
                <w:rFonts w:ascii="Arial Narrow" w:hAnsi="Arial Narrow"/>
                <w:sz w:val="19"/>
                <w:szCs w:val="19"/>
              </w:rPr>
            </w:pPr>
            <w:r w:rsidRPr="000F40C3">
              <w:rPr>
                <w:rFonts w:ascii="Arial Narrow" w:hAnsi="Arial Narrow"/>
                <w:b/>
                <w:sz w:val="19"/>
                <w:szCs w:val="19"/>
              </w:rPr>
              <w:t>PBAC Comment:</w:t>
            </w:r>
            <w:r w:rsidRPr="000F40C3">
              <w:rPr>
                <w:rFonts w:ascii="Arial Narrow" w:hAnsi="Arial Narrow"/>
                <w:sz w:val="19"/>
                <w:szCs w:val="19"/>
              </w:rPr>
              <w:t xml:space="preserve"> </w:t>
            </w:r>
            <w:r w:rsidR="00C33A07" w:rsidRPr="000F40C3">
              <w:rPr>
                <w:rFonts w:ascii="Arial Narrow" w:hAnsi="Arial Narrow"/>
                <w:sz w:val="19"/>
                <w:szCs w:val="19"/>
              </w:rPr>
              <w:t>The claim of superior comparative effectiveness and safety was reasonable in light of the preliminary results provided from the TOWER trial.</w:t>
            </w:r>
          </w:p>
        </w:tc>
        <w:tc>
          <w:tcPr>
            <w:tcW w:w="1781" w:type="dxa"/>
          </w:tcPr>
          <w:p w:rsidR="004D33FB" w:rsidRPr="000F40C3" w:rsidRDefault="00C33A07" w:rsidP="00956D45">
            <w:pPr>
              <w:rPr>
                <w:rFonts w:ascii="Arial Narrow" w:hAnsi="Arial Narrow"/>
                <w:sz w:val="19"/>
                <w:szCs w:val="19"/>
              </w:rPr>
            </w:pPr>
            <w:r w:rsidRPr="000F40C3">
              <w:rPr>
                <w:rFonts w:ascii="Arial Narrow" w:hAnsi="Arial Narrow"/>
                <w:sz w:val="19"/>
                <w:szCs w:val="19"/>
              </w:rPr>
              <w:t>Unchanged</w:t>
            </w:r>
          </w:p>
        </w:tc>
      </w:tr>
      <w:tr w:rsidR="004D33FB" w:rsidRPr="000F40C3" w:rsidTr="006B1C93">
        <w:trPr>
          <w:cantSplit/>
          <w:trHeight w:val="1298"/>
        </w:trPr>
        <w:tc>
          <w:tcPr>
            <w:tcW w:w="1134" w:type="dxa"/>
          </w:tcPr>
          <w:p w:rsidR="004D33FB" w:rsidRPr="000F40C3" w:rsidRDefault="004D33FB" w:rsidP="00051C05">
            <w:pPr>
              <w:rPr>
                <w:rFonts w:ascii="Arial Narrow" w:hAnsi="Arial Narrow"/>
                <w:sz w:val="19"/>
                <w:szCs w:val="19"/>
              </w:rPr>
            </w:pPr>
            <w:r w:rsidRPr="000F40C3">
              <w:rPr>
                <w:rFonts w:ascii="Arial Narrow" w:hAnsi="Arial Narrow"/>
                <w:sz w:val="19"/>
                <w:szCs w:val="19"/>
              </w:rPr>
              <w:t>Economic evaluation</w:t>
            </w:r>
          </w:p>
        </w:tc>
        <w:tc>
          <w:tcPr>
            <w:tcW w:w="5528" w:type="dxa"/>
          </w:tcPr>
          <w:p w:rsidR="004D33FB" w:rsidRPr="000F40C3" w:rsidRDefault="004D33FB" w:rsidP="00956D45">
            <w:pPr>
              <w:rPr>
                <w:rFonts w:ascii="Arial Narrow" w:hAnsi="Arial Narrow"/>
                <w:b/>
                <w:sz w:val="19"/>
                <w:szCs w:val="19"/>
              </w:rPr>
            </w:pPr>
            <w:r w:rsidRPr="000F40C3">
              <w:rPr>
                <w:rFonts w:ascii="Arial Narrow" w:hAnsi="Arial Narrow"/>
                <w:sz w:val="19"/>
                <w:szCs w:val="19"/>
              </w:rPr>
              <w:t xml:space="preserve">Cost-utility model with cost/QALY </w:t>
            </w:r>
            <w:r w:rsidR="009078BF">
              <w:rPr>
                <w:rFonts w:ascii="Arial Narrow" w:hAnsi="Arial Narrow"/>
                <w:sz w:val="19"/>
                <w:szCs w:val="19"/>
              </w:rPr>
              <w:t>$45,000 - $75,000</w:t>
            </w:r>
            <w:r w:rsidR="00C33A07" w:rsidRPr="000F40C3">
              <w:rPr>
                <w:rFonts w:ascii="Arial Narrow" w:hAnsi="Arial Narrow"/>
                <w:sz w:val="19"/>
                <w:szCs w:val="19"/>
              </w:rPr>
              <w:t xml:space="preserve">. </w:t>
            </w:r>
          </w:p>
          <w:p w:rsidR="004D33FB" w:rsidRPr="000F40C3" w:rsidRDefault="00C33A07" w:rsidP="00956D45">
            <w:pPr>
              <w:rPr>
                <w:rFonts w:ascii="Arial Narrow" w:hAnsi="Arial Narrow"/>
                <w:sz w:val="19"/>
                <w:szCs w:val="19"/>
              </w:rPr>
            </w:pPr>
            <w:r w:rsidRPr="000F40C3">
              <w:rPr>
                <w:rFonts w:ascii="Arial Narrow" w:hAnsi="Arial Narrow"/>
                <w:sz w:val="19"/>
                <w:szCs w:val="19"/>
              </w:rPr>
              <w:t xml:space="preserve">This was based on the inclusion of all patients in Study 20120310. </w:t>
            </w:r>
          </w:p>
          <w:p w:rsidR="00C33A07" w:rsidRPr="000F40C3" w:rsidRDefault="00C33A07" w:rsidP="00956D45">
            <w:pPr>
              <w:rPr>
                <w:rFonts w:ascii="Arial Narrow" w:hAnsi="Arial Narrow"/>
                <w:b/>
                <w:sz w:val="19"/>
                <w:szCs w:val="19"/>
              </w:rPr>
            </w:pPr>
          </w:p>
          <w:p w:rsidR="00C33A07" w:rsidRPr="000F40C3" w:rsidRDefault="004D33FB" w:rsidP="00956D45">
            <w:pPr>
              <w:rPr>
                <w:rFonts w:ascii="Arial Narrow" w:hAnsi="Arial Narrow"/>
                <w:sz w:val="19"/>
                <w:szCs w:val="19"/>
              </w:rPr>
            </w:pPr>
            <w:r w:rsidRPr="000F40C3">
              <w:rPr>
                <w:rFonts w:ascii="Arial Narrow" w:hAnsi="Arial Narrow"/>
                <w:b/>
                <w:sz w:val="19"/>
                <w:szCs w:val="19"/>
              </w:rPr>
              <w:t>PBAC Comment:</w:t>
            </w:r>
            <w:r w:rsidRPr="000F40C3">
              <w:rPr>
                <w:rFonts w:ascii="Arial Narrow" w:hAnsi="Arial Narrow"/>
                <w:sz w:val="19"/>
                <w:szCs w:val="19"/>
              </w:rPr>
              <w:t xml:space="preserve"> </w:t>
            </w:r>
            <w:r w:rsidR="00C33A07" w:rsidRPr="000F40C3">
              <w:rPr>
                <w:rFonts w:ascii="Arial Narrow" w:hAnsi="Arial Narrow"/>
                <w:sz w:val="19"/>
                <w:szCs w:val="19"/>
              </w:rPr>
              <w:t xml:space="preserve">The use of post-2000 patient data from Study 20120310 increased the ICER to </w:t>
            </w:r>
            <w:r w:rsidR="009078BF">
              <w:rPr>
                <w:rFonts w:ascii="Arial Narrow" w:hAnsi="Arial Narrow"/>
                <w:sz w:val="19"/>
                <w:szCs w:val="19"/>
              </w:rPr>
              <w:t>$75,000 – $105,000</w:t>
            </w:r>
            <w:r w:rsidR="00C33A07" w:rsidRPr="000F40C3">
              <w:rPr>
                <w:rFonts w:ascii="Arial Narrow" w:hAnsi="Arial Narrow"/>
                <w:sz w:val="19"/>
                <w:szCs w:val="19"/>
              </w:rPr>
              <w:t xml:space="preserve">. The PBAC recommended respecifying the base-case to use weighted post-2000 data for the comparator to maintain an ICER of </w:t>
            </w:r>
            <w:r w:rsidR="009078BF">
              <w:rPr>
                <w:rFonts w:ascii="Arial Narrow" w:hAnsi="Arial Narrow"/>
                <w:sz w:val="19"/>
                <w:szCs w:val="19"/>
              </w:rPr>
              <w:t>$45,000 - $75,000</w:t>
            </w:r>
            <w:r w:rsidR="00C33A07" w:rsidRPr="000F40C3">
              <w:rPr>
                <w:rFonts w:ascii="Arial Narrow" w:hAnsi="Arial Narrow"/>
                <w:sz w:val="19"/>
                <w:szCs w:val="19"/>
              </w:rPr>
              <w:t xml:space="preserve">/QALY. </w:t>
            </w:r>
          </w:p>
          <w:p w:rsidR="00C33A07" w:rsidRPr="000F40C3" w:rsidRDefault="00C33A07" w:rsidP="00956D45">
            <w:pPr>
              <w:rPr>
                <w:rFonts w:ascii="Arial Narrow" w:hAnsi="Arial Narrow"/>
                <w:sz w:val="19"/>
                <w:szCs w:val="19"/>
              </w:rPr>
            </w:pPr>
          </w:p>
          <w:p w:rsidR="004D33FB" w:rsidRPr="000F40C3" w:rsidRDefault="00C33A07" w:rsidP="00956D45">
            <w:pPr>
              <w:rPr>
                <w:rFonts w:ascii="Arial Narrow" w:hAnsi="Arial Narrow"/>
                <w:sz w:val="19"/>
                <w:szCs w:val="19"/>
              </w:rPr>
            </w:pPr>
            <w:r w:rsidRPr="000F40C3">
              <w:rPr>
                <w:rFonts w:ascii="Arial Narrow" w:hAnsi="Arial Narrow"/>
                <w:sz w:val="19"/>
                <w:szCs w:val="19"/>
              </w:rPr>
              <w:t>The PBAC reiterated that the preferred input into the economic model is the mature</w:t>
            </w:r>
            <w:r w:rsidR="009705ED" w:rsidRPr="000F40C3">
              <w:rPr>
                <w:rFonts w:ascii="Arial Narrow" w:hAnsi="Arial Narrow"/>
                <w:sz w:val="19"/>
                <w:szCs w:val="19"/>
              </w:rPr>
              <w:t xml:space="preserve"> (2 years or 25 months of follow-up)</w:t>
            </w:r>
            <w:r w:rsidRPr="000F40C3">
              <w:rPr>
                <w:rFonts w:ascii="Arial Narrow" w:hAnsi="Arial Narrow"/>
                <w:sz w:val="19"/>
                <w:szCs w:val="19"/>
              </w:rPr>
              <w:t xml:space="preserve"> comparative results from the TOWER trial.  </w:t>
            </w:r>
          </w:p>
        </w:tc>
        <w:tc>
          <w:tcPr>
            <w:tcW w:w="1781" w:type="dxa"/>
          </w:tcPr>
          <w:p w:rsidR="004D33FB" w:rsidRPr="000F40C3" w:rsidRDefault="004D33FB" w:rsidP="009078BF">
            <w:pPr>
              <w:rPr>
                <w:rFonts w:ascii="Arial Narrow" w:hAnsi="Arial Narrow"/>
                <w:color w:val="0000FF"/>
                <w:sz w:val="19"/>
                <w:szCs w:val="19"/>
              </w:rPr>
            </w:pPr>
            <w:r w:rsidRPr="000F40C3">
              <w:rPr>
                <w:rFonts w:ascii="Arial Narrow" w:hAnsi="Arial Narrow"/>
                <w:sz w:val="19"/>
                <w:szCs w:val="19"/>
              </w:rPr>
              <w:t xml:space="preserve">Cost-utility model with cost/QALY </w:t>
            </w:r>
            <w:r w:rsidR="009078BF">
              <w:rPr>
                <w:rFonts w:ascii="Arial Narrow" w:hAnsi="Arial Narrow"/>
                <w:sz w:val="19"/>
                <w:szCs w:val="19"/>
              </w:rPr>
              <w:t>$45,000 - $75,000</w:t>
            </w:r>
            <w:r w:rsidR="00005E86" w:rsidRPr="000F40C3">
              <w:rPr>
                <w:rFonts w:ascii="Arial Narrow" w:hAnsi="Arial Narrow"/>
                <w:sz w:val="19"/>
                <w:szCs w:val="19"/>
              </w:rPr>
              <w:t xml:space="preserve"> using 12 months of data from the TOWER trial. </w:t>
            </w:r>
          </w:p>
        </w:tc>
      </w:tr>
      <w:tr w:rsidR="004D33FB" w:rsidRPr="000F40C3" w:rsidTr="006B1C93">
        <w:trPr>
          <w:cantSplit/>
          <w:trHeight w:val="845"/>
        </w:trPr>
        <w:tc>
          <w:tcPr>
            <w:tcW w:w="1134" w:type="dxa"/>
          </w:tcPr>
          <w:p w:rsidR="004D33FB" w:rsidRPr="000F40C3" w:rsidRDefault="004D33FB" w:rsidP="00051C05">
            <w:pPr>
              <w:rPr>
                <w:rFonts w:ascii="Arial Narrow" w:hAnsi="Arial Narrow"/>
                <w:sz w:val="19"/>
                <w:szCs w:val="19"/>
              </w:rPr>
            </w:pPr>
            <w:r w:rsidRPr="000F40C3">
              <w:rPr>
                <w:rFonts w:ascii="Arial Narrow" w:hAnsi="Arial Narrow"/>
                <w:sz w:val="19"/>
                <w:szCs w:val="19"/>
              </w:rPr>
              <w:t>Number of patients</w:t>
            </w:r>
          </w:p>
        </w:tc>
        <w:tc>
          <w:tcPr>
            <w:tcW w:w="5528" w:type="dxa"/>
          </w:tcPr>
          <w:p w:rsidR="004D33FB" w:rsidRPr="000F40C3" w:rsidRDefault="00005E86" w:rsidP="00956D45">
            <w:pPr>
              <w:rPr>
                <w:rFonts w:ascii="Arial Narrow" w:hAnsi="Arial Narrow"/>
                <w:sz w:val="19"/>
                <w:szCs w:val="19"/>
              </w:rPr>
            </w:pPr>
            <w:r w:rsidRPr="000F40C3">
              <w:rPr>
                <w:rFonts w:ascii="Arial Narrow" w:hAnsi="Arial Narrow"/>
                <w:sz w:val="19"/>
                <w:szCs w:val="19"/>
              </w:rPr>
              <w:t xml:space="preserve">Year 1: </w:t>
            </w:r>
            <w:r w:rsidR="009078BF">
              <w:rPr>
                <w:rFonts w:ascii="Arial Narrow" w:hAnsi="Arial Narrow"/>
                <w:sz w:val="19"/>
                <w:szCs w:val="19"/>
              </w:rPr>
              <w:t>less than 10,000</w:t>
            </w:r>
            <w:r w:rsidRPr="000F40C3">
              <w:rPr>
                <w:rFonts w:ascii="Arial Narrow" w:hAnsi="Arial Narrow"/>
                <w:sz w:val="19"/>
                <w:szCs w:val="19"/>
              </w:rPr>
              <w:t xml:space="preserve"> patients; Year 5: </w:t>
            </w:r>
            <w:r w:rsidR="009078BF">
              <w:rPr>
                <w:rFonts w:ascii="Arial Narrow" w:hAnsi="Arial Narrow"/>
                <w:sz w:val="19"/>
                <w:szCs w:val="19"/>
              </w:rPr>
              <w:t>less than 10,000</w:t>
            </w:r>
            <w:r w:rsidRPr="000F40C3">
              <w:rPr>
                <w:rFonts w:ascii="Arial Narrow" w:hAnsi="Arial Narrow"/>
                <w:sz w:val="19"/>
                <w:szCs w:val="19"/>
              </w:rPr>
              <w:t xml:space="preserve"> patients </w:t>
            </w:r>
          </w:p>
          <w:p w:rsidR="00005E86" w:rsidRPr="000F40C3" w:rsidRDefault="00005E86" w:rsidP="00956D45">
            <w:pPr>
              <w:rPr>
                <w:rFonts w:ascii="Arial Narrow" w:hAnsi="Arial Narrow"/>
                <w:b/>
                <w:sz w:val="19"/>
                <w:szCs w:val="19"/>
              </w:rPr>
            </w:pPr>
          </w:p>
          <w:p w:rsidR="004D33FB" w:rsidRPr="000F40C3" w:rsidRDefault="004D33FB" w:rsidP="00956D45">
            <w:pPr>
              <w:rPr>
                <w:rFonts w:ascii="Arial Narrow" w:hAnsi="Arial Narrow"/>
                <w:sz w:val="19"/>
                <w:szCs w:val="19"/>
              </w:rPr>
            </w:pPr>
            <w:r w:rsidRPr="000F40C3">
              <w:rPr>
                <w:rFonts w:ascii="Arial Narrow" w:hAnsi="Arial Narrow"/>
                <w:b/>
                <w:sz w:val="19"/>
                <w:szCs w:val="19"/>
              </w:rPr>
              <w:t>PBAC Comment:</w:t>
            </w:r>
            <w:r w:rsidRPr="000F40C3">
              <w:rPr>
                <w:rFonts w:ascii="Arial Narrow" w:hAnsi="Arial Narrow"/>
                <w:sz w:val="19"/>
                <w:szCs w:val="19"/>
              </w:rPr>
              <w:t xml:space="preserve"> </w:t>
            </w:r>
            <w:r w:rsidR="00005E86" w:rsidRPr="000F40C3">
              <w:rPr>
                <w:rFonts w:ascii="Arial Narrow" w:hAnsi="Arial Narrow"/>
                <w:sz w:val="19"/>
                <w:szCs w:val="19"/>
              </w:rPr>
              <w:t xml:space="preserve">The estimated number of adult patients was reasonable. </w:t>
            </w:r>
          </w:p>
        </w:tc>
        <w:tc>
          <w:tcPr>
            <w:tcW w:w="1781" w:type="dxa"/>
          </w:tcPr>
          <w:p w:rsidR="004D33FB" w:rsidRPr="000F40C3" w:rsidRDefault="00005E86" w:rsidP="00956D45">
            <w:pPr>
              <w:rPr>
                <w:rFonts w:ascii="Arial Narrow" w:hAnsi="Arial Narrow"/>
                <w:color w:val="0000FF"/>
                <w:sz w:val="19"/>
                <w:szCs w:val="19"/>
              </w:rPr>
            </w:pPr>
            <w:r w:rsidRPr="000F40C3">
              <w:rPr>
                <w:rFonts w:ascii="Arial Narrow" w:hAnsi="Arial Narrow"/>
                <w:sz w:val="19"/>
                <w:szCs w:val="19"/>
              </w:rPr>
              <w:t xml:space="preserve">Unchanged. The resubmission considered that the recommendation for the restriction to remain silent on patient age has a direct impact on the number of patients expected to receive blinatumomab. </w:t>
            </w:r>
          </w:p>
        </w:tc>
      </w:tr>
      <w:tr w:rsidR="004D33FB" w:rsidRPr="000F40C3" w:rsidTr="006B1C93">
        <w:trPr>
          <w:cantSplit/>
          <w:trHeight w:val="1080"/>
        </w:trPr>
        <w:tc>
          <w:tcPr>
            <w:tcW w:w="1134" w:type="dxa"/>
          </w:tcPr>
          <w:p w:rsidR="004D33FB" w:rsidRPr="000F40C3" w:rsidRDefault="004D33FB" w:rsidP="00051C05">
            <w:pPr>
              <w:rPr>
                <w:rFonts w:ascii="Arial Narrow" w:hAnsi="Arial Narrow"/>
                <w:sz w:val="19"/>
                <w:szCs w:val="19"/>
              </w:rPr>
            </w:pPr>
            <w:r w:rsidRPr="000F40C3">
              <w:rPr>
                <w:rFonts w:ascii="Arial Narrow" w:hAnsi="Arial Narrow"/>
                <w:sz w:val="19"/>
                <w:szCs w:val="19"/>
              </w:rPr>
              <w:t>Estimated cost to PBS</w:t>
            </w:r>
          </w:p>
        </w:tc>
        <w:tc>
          <w:tcPr>
            <w:tcW w:w="5528" w:type="dxa"/>
          </w:tcPr>
          <w:p w:rsidR="00005E86" w:rsidRPr="000F40C3" w:rsidRDefault="00005E86" w:rsidP="00956D45">
            <w:pPr>
              <w:rPr>
                <w:rFonts w:ascii="Arial Narrow" w:hAnsi="Arial Narrow"/>
                <w:sz w:val="19"/>
                <w:szCs w:val="19"/>
              </w:rPr>
            </w:pPr>
            <w:r w:rsidRPr="000F40C3">
              <w:rPr>
                <w:rFonts w:ascii="Arial Narrow" w:hAnsi="Arial Narrow"/>
                <w:sz w:val="19"/>
                <w:szCs w:val="19"/>
              </w:rPr>
              <w:t xml:space="preserve">• </w:t>
            </w:r>
            <w:r w:rsidR="008445D3">
              <w:rPr>
                <w:rFonts w:ascii="Arial Narrow" w:hAnsi="Arial Narrow"/>
                <w:sz w:val="19"/>
                <w:szCs w:val="19"/>
              </w:rPr>
              <w:t>L</w:t>
            </w:r>
            <w:r w:rsidR="009078BF">
              <w:rPr>
                <w:rFonts w:ascii="Arial Narrow" w:hAnsi="Arial Narrow"/>
                <w:sz w:val="19"/>
                <w:szCs w:val="19"/>
              </w:rPr>
              <w:t>ess than 10,000</w:t>
            </w:r>
            <w:r w:rsidR="0001024E" w:rsidRPr="000F40C3">
              <w:rPr>
                <w:rFonts w:ascii="Arial Narrow" w:hAnsi="Arial Narrow"/>
                <w:sz w:val="19"/>
                <w:szCs w:val="19"/>
              </w:rPr>
              <w:t xml:space="preserve"> treated patients and </w:t>
            </w:r>
            <w:r w:rsidR="009078BF">
              <w:rPr>
                <w:rFonts w:ascii="Arial Narrow" w:hAnsi="Arial Narrow"/>
                <w:sz w:val="19"/>
                <w:szCs w:val="19"/>
              </w:rPr>
              <w:t>less than $10 million</w:t>
            </w:r>
            <w:r w:rsidR="0001024E" w:rsidRPr="000F40C3">
              <w:rPr>
                <w:rFonts w:ascii="Arial Narrow" w:hAnsi="Arial Narrow"/>
                <w:sz w:val="19"/>
                <w:szCs w:val="19"/>
              </w:rPr>
              <w:t xml:space="preserve"> net cost to PBS</w:t>
            </w:r>
            <w:r w:rsidRPr="000F40C3">
              <w:rPr>
                <w:rFonts w:ascii="Arial Narrow" w:hAnsi="Arial Narrow"/>
                <w:sz w:val="19"/>
                <w:szCs w:val="19"/>
              </w:rPr>
              <w:t xml:space="preserve"> in Year 5 </w:t>
            </w:r>
          </w:p>
          <w:p w:rsidR="00005E86" w:rsidRPr="000F40C3" w:rsidRDefault="00005E86" w:rsidP="00956D45">
            <w:pPr>
              <w:rPr>
                <w:rFonts w:ascii="Arial Narrow" w:hAnsi="Arial Narrow"/>
                <w:sz w:val="19"/>
                <w:szCs w:val="19"/>
              </w:rPr>
            </w:pPr>
            <w:r w:rsidRPr="000F40C3">
              <w:rPr>
                <w:rFonts w:ascii="Arial Narrow" w:hAnsi="Arial Narrow"/>
                <w:sz w:val="19"/>
                <w:szCs w:val="19"/>
              </w:rPr>
              <w:t xml:space="preserve">• </w:t>
            </w:r>
            <w:r w:rsidR="009078BF">
              <w:rPr>
                <w:rFonts w:ascii="Arial Narrow" w:hAnsi="Arial Narrow"/>
                <w:sz w:val="19"/>
                <w:szCs w:val="19"/>
              </w:rPr>
              <w:t>$20 - $30 million</w:t>
            </w:r>
            <w:r w:rsidR="0001024E" w:rsidRPr="000F40C3">
              <w:rPr>
                <w:rFonts w:ascii="Arial Narrow" w:hAnsi="Arial Narrow"/>
                <w:sz w:val="19"/>
                <w:szCs w:val="19"/>
              </w:rPr>
              <w:t xml:space="preserve"> net cost to PBS</w:t>
            </w:r>
            <w:r w:rsidRPr="000F40C3">
              <w:rPr>
                <w:rFonts w:ascii="Arial Narrow" w:hAnsi="Arial Narrow"/>
                <w:sz w:val="19"/>
                <w:szCs w:val="19"/>
              </w:rPr>
              <w:t xml:space="preserve"> over the first 5 years of listing</w:t>
            </w:r>
          </w:p>
          <w:p w:rsidR="004D33FB" w:rsidRPr="000F40C3" w:rsidRDefault="004D33FB" w:rsidP="00956D45">
            <w:pPr>
              <w:rPr>
                <w:rFonts w:ascii="Arial Narrow" w:hAnsi="Arial Narrow"/>
                <w:sz w:val="19"/>
                <w:szCs w:val="19"/>
              </w:rPr>
            </w:pPr>
            <w:r w:rsidRPr="000F40C3">
              <w:rPr>
                <w:rFonts w:ascii="Arial Narrow" w:hAnsi="Arial Narrow"/>
                <w:b/>
                <w:sz w:val="19"/>
                <w:szCs w:val="19"/>
              </w:rPr>
              <w:t>PBAC Comment:</w:t>
            </w:r>
            <w:r w:rsidRPr="000F40C3">
              <w:rPr>
                <w:rFonts w:ascii="Arial Narrow" w:hAnsi="Arial Narrow"/>
                <w:sz w:val="19"/>
                <w:szCs w:val="19"/>
              </w:rPr>
              <w:t xml:space="preserve"> </w:t>
            </w:r>
            <w:r w:rsidR="0001024E" w:rsidRPr="000F40C3">
              <w:rPr>
                <w:rFonts w:ascii="Arial Narrow" w:hAnsi="Arial Narrow"/>
                <w:sz w:val="19"/>
                <w:szCs w:val="19"/>
              </w:rPr>
              <w:t>The PBAC noted that the estimated number of adult patients treated with blinatumomab as presented in the resubmission was reasonable.</w:t>
            </w:r>
            <w:r w:rsidR="00005E86" w:rsidRPr="000F40C3">
              <w:rPr>
                <w:rFonts w:ascii="Arial Narrow" w:hAnsi="Arial Narrow"/>
                <w:sz w:val="19"/>
                <w:szCs w:val="19"/>
              </w:rPr>
              <w:t xml:space="preserve"> </w:t>
            </w:r>
          </w:p>
        </w:tc>
        <w:tc>
          <w:tcPr>
            <w:tcW w:w="1781" w:type="dxa"/>
          </w:tcPr>
          <w:p w:rsidR="004D33FB" w:rsidRPr="000F40C3" w:rsidRDefault="009078BF" w:rsidP="00113F6A">
            <w:pPr>
              <w:rPr>
                <w:rFonts w:ascii="Arial Narrow" w:hAnsi="Arial Narrow"/>
                <w:color w:val="0000FF"/>
                <w:sz w:val="19"/>
                <w:szCs w:val="19"/>
              </w:rPr>
            </w:pPr>
            <w:r>
              <w:rPr>
                <w:rFonts w:ascii="Arial Narrow" w:hAnsi="Arial Narrow"/>
                <w:sz w:val="19"/>
                <w:szCs w:val="19"/>
              </w:rPr>
              <w:t>Less than 10,000</w:t>
            </w:r>
            <w:r w:rsidR="0001024E" w:rsidRPr="000F40C3">
              <w:rPr>
                <w:rFonts w:ascii="Arial Narrow" w:hAnsi="Arial Narrow"/>
                <w:sz w:val="19"/>
                <w:szCs w:val="19"/>
              </w:rPr>
              <w:t xml:space="preserve"> treated patients and </w:t>
            </w:r>
            <w:r>
              <w:rPr>
                <w:rFonts w:ascii="Arial Narrow" w:hAnsi="Arial Narrow"/>
                <w:sz w:val="19"/>
                <w:szCs w:val="19"/>
              </w:rPr>
              <w:t>less than $10 million</w:t>
            </w:r>
            <w:r w:rsidR="0001024E" w:rsidRPr="000F40C3">
              <w:rPr>
                <w:rFonts w:ascii="Arial Narrow" w:hAnsi="Arial Narrow"/>
                <w:sz w:val="19"/>
                <w:szCs w:val="19"/>
              </w:rPr>
              <w:t xml:space="preserve"> net cost to PBS</w:t>
            </w:r>
            <w:r w:rsidR="00005E86" w:rsidRPr="000F40C3">
              <w:rPr>
                <w:rFonts w:ascii="Arial Narrow" w:hAnsi="Arial Narrow"/>
                <w:sz w:val="19"/>
                <w:szCs w:val="19"/>
              </w:rPr>
              <w:t xml:space="preserve"> in Year 5</w:t>
            </w:r>
            <w:r w:rsidR="0001024E" w:rsidRPr="000F40C3">
              <w:rPr>
                <w:rFonts w:ascii="Arial Narrow" w:hAnsi="Arial Narrow"/>
                <w:sz w:val="19"/>
                <w:szCs w:val="19"/>
              </w:rPr>
              <w:t>. T</w:t>
            </w:r>
            <w:r w:rsidR="00005E86" w:rsidRPr="000F40C3">
              <w:rPr>
                <w:rFonts w:ascii="Arial Narrow" w:hAnsi="Arial Narrow"/>
                <w:sz w:val="19"/>
                <w:szCs w:val="19"/>
              </w:rPr>
              <w:t xml:space="preserve">otal of </w:t>
            </w:r>
            <w:r w:rsidR="00113F6A">
              <w:rPr>
                <w:rFonts w:ascii="Arial Narrow" w:hAnsi="Arial Narrow"/>
                <w:sz w:val="19"/>
                <w:szCs w:val="19"/>
              </w:rPr>
              <w:t>$20 - $30 million</w:t>
            </w:r>
            <w:r w:rsidR="004D33FB" w:rsidRPr="000F40C3">
              <w:rPr>
                <w:rFonts w:ascii="Arial Narrow" w:hAnsi="Arial Narrow"/>
                <w:sz w:val="19"/>
                <w:szCs w:val="19"/>
              </w:rPr>
              <w:t xml:space="preserve"> </w:t>
            </w:r>
            <w:r w:rsidR="0001024E" w:rsidRPr="000F40C3">
              <w:rPr>
                <w:rFonts w:ascii="Arial Narrow" w:hAnsi="Arial Narrow"/>
                <w:sz w:val="19"/>
                <w:szCs w:val="19"/>
              </w:rPr>
              <w:t xml:space="preserve">net cost to PBS </w:t>
            </w:r>
            <w:r w:rsidR="004D33FB" w:rsidRPr="000F40C3">
              <w:rPr>
                <w:rFonts w:ascii="Arial Narrow" w:hAnsi="Arial Narrow"/>
                <w:sz w:val="19"/>
                <w:szCs w:val="19"/>
              </w:rPr>
              <w:t>over the first 5 years of listing.</w:t>
            </w:r>
          </w:p>
        </w:tc>
      </w:tr>
      <w:tr w:rsidR="0001024E" w:rsidRPr="000F40C3" w:rsidTr="006B1C93">
        <w:trPr>
          <w:cantSplit/>
          <w:trHeight w:val="438"/>
        </w:trPr>
        <w:tc>
          <w:tcPr>
            <w:tcW w:w="1134" w:type="dxa"/>
          </w:tcPr>
          <w:p w:rsidR="0001024E" w:rsidRPr="000F40C3" w:rsidRDefault="0001024E" w:rsidP="00051C05">
            <w:pPr>
              <w:rPr>
                <w:rFonts w:ascii="Arial Narrow" w:hAnsi="Arial Narrow"/>
                <w:sz w:val="19"/>
                <w:szCs w:val="19"/>
              </w:rPr>
            </w:pPr>
            <w:r w:rsidRPr="000F40C3">
              <w:rPr>
                <w:rFonts w:ascii="Arial Narrow" w:hAnsi="Arial Narrow"/>
                <w:sz w:val="20"/>
                <w:szCs w:val="20"/>
              </w:rPr>
              <w:t>Risk sharing arrangement</w:t>
            </w:r>
          </w:p>
        </w:tc>
        <w:tc>
          <w:tcPr>
            <w:tcW w:w="5528" w:type="dxa"/>
          </w:tcPr>
          <w:p w:rsidR="0001024E" w:rsidRPr="000F40C3" w:rsidRDefault="0001024E" w:rsidP="0001024E">
            <w:pPr>
              <w:rPr>
                <w:rFonts w:ascii="Arial Narrow" w:hAnsi="Arial Narrow"/>
                <w:sz w:val="19"/>
                <w:szCs w:val="19"/>
              </w:rPr>
            </w:pPr>
            <w:r w:rsidRPr="000F40C3">
              <w:rPr>
                <w:rFonts w:ascii="Arial Narrow" w:hAnsi="Arial Narrow"/>
                <w:sz w:val="19"/>
                <w:szCs w:val="19"/>
              </w:rPr>
              <w:t xml:space="preserve">Financial cap set at </w:t>
            </w:r>
            <w:r w:rsidR="002375CE">
              <w:rPr>
                <w:rFonts w:ascii="Arial Narrow" w:hAnsi="Arial Narrow"/>
                <w:noProof/>
                <w:color w:val="000000"/>
                <w:sz w:val="19"/>
                <w:szCs w:val="19"/>
                <w:highlight w:val="black"/>
              </w:rPr>
              <w:t>'''''''''</w:t>
            </w:r>
            <w:r w:rsidRPr="000F40C3">
              <w:rPr>
                <w:rFonts w:ascii="Arial Narrow" w:hAnsi="Arial Narrow"/>
                <w:sz w:val="19"/>
                <w:szCs w:val="19"/>
              </w:rPr>
              <w:t xml:space="preserve">% of the estimated blinatumomab eligible population with a </w:t>
            </w:r>
            <w:r w:rsidR="002375CE">
              <w:rPr>
                <w:rFonts w:ascii="Arial Narrow" w:hAnsi="Arial Narrow"/>
                <w:noProof/>
                <w:color w:val="000000"/>
                <w:sz w:val="19"/>
                <w:szCs w:val="19"/>
                <w:highlight w:val="black"/>
              </w:rPr>
              <w:t>'''''''</w:t>
            </w:r>
            <w:r w:rsidRPr="000F40C3">
              <w:rPr>
                <w:rFonts w:ascii="Arial Narrow" w:hAnsi="Arial Narrow"/>
                <w:sz w:val="19"/>
                <w:szCs w:val="19"/>
              </w:rPr>
              <w:t>% rebate to apply beyond the cap. The cap would be set at an agreed estimate of average number of vials per eligible patient.</w:t>
            </w:r>
          </w:p>
          <w:p w:rsidR="0001024E" w:rsidRPr="000F40C3" w:rsidRDefault="0001024E" w:rsidP="0001024E">
            <w:pPr>
              <w:rPr>
                <w:rFonts w:ascii="Arial Narrow" w:hAnsi="Arial Narrow"/>
                <w:sz w:val="19"/>
                <w:szCs w:val="19"/>
              </w:rPr>
            </w:pPr>
          </w:p>
          <w:p w:rsidR="0001024E" w:rsidRPr="000F40C3" w:rsidRDefault="0001024E" w:rsidP="00113F6A">
            <w:pPr>
              <w:rPr>
                <w:rFonts w:ascii="Arial Narrow" w:hAnsi="Arial Narrow"/>
                <w:sz w:val="19"/>
                <w:szCs w:val="19"/>
              </w:rPr>
            </w:pPr>
            <w:r w:rsidRPr="000F40C3">
              <w:rPr>
                <w:rFonts w:ascii="Arial Narrow" w:hAnsi="Arial Narrow"/>
                <w:b/>
                <w:sz w:val="19"/>
                <w:szCs w:val="19"/>
              </w:rPr>
              <w:t>PBAC Comment:</w:t>
            </w:r>
            <w:r w:rsidRPr="000F40C3">
              <w:rPr>
                <w:rFonts w:ascii="Arial Narrow" w:hAnsi="Arial Narrow"/>
                <w:sz w:val="19"/>
                <w:szCs w:val="19"/>
              </w:rPr>
              <w:t xml:space="preserve"> Expenditure caps should reflect the estimate of </w:t>
            </w:r>
            <w:r w:rsidR="00113F6A">
              <w:rPr>
                <w:rFonts w:ascii="Arial Narrow" w:hAnsi="Arial Narrow"/>
                <w:sz w:val="19"/>
                <w:szCs w:val="19"/>
              </w:rPr>
              <w:t xml:space="preserve">less than </w:t>
            </w:r>
            <w:r w:rsidRPr="000F40C3">
              <w:rPr>
                <w:rFonts w:ascii="Arial Narrow" w:hAnsi="Arial Narrow"/>
                <w:sz w:val="19"/>
                <w:szCs w:val="19"/>
              </w:rPr>
              <w:t xml:space="preserve">42 vials and reflect the estimated treated population with a </w:t>
            </w:r>
            <w:r w:rsidR="002375CE">
              <w:rPr>
                <w:rFonts w:ascii="Arial Narrow" w:hAnsi="Arial Narrow"/>
                <w:noProof/>
                <w:color w:val="000000"/>
                <w:sz w:val="19"/>
                <w:szCs w:val="19"/>
                <w:highlight w:val="black"/>
              </w:rPr>
              <w:t>'''''''''</w:t>
            </w:r>
            <w:r w:rsidRPr="000F40C3">
              <w:rPr>
                <w:rFonts w:ascii="Arial Narrow" w:hAnsi="Arial Narrow"/>
                <w:sz w:val="19"/>
                <w:szCs w:val="19"/>
              </w:rPr>
              <w:t>% rebate to the Commonwealth for use beyond these expenditure caps.</w:t>
            </w:r>
          </w:p>
        </w:tc>
        <w:tc>
          <w:tcPr>
            <w:tcW w:w="1781" w:type="dxa"/>
          </w:tcPr>
          <w:p w:rsidR="0001024E" w:rsidRPr="000F40C3" w:rsidRDefault="0001024E" w:rsidP="00956D45">
            <w:pPr>
              <w:rPr>
                <w:rFonts w:ascii="Arial Narrow" w:hAnsi="Arial Narrow"/>
                <w:sz w:val="19"/>
                <w:szCs w:val="19"/>
              </w:rPr>
            </w:pPr>
            <w:r w:rsidRPr="000F40C3">
              <w:rPr>
                <w:rFonts w:ascii="Arial Narrow" w:hAnsi="Arial Narrow"/>
                <w:sz w:val="19"/>
                <w:szCs w:val="19"/>
              </w:rPr>
              <w:t>Agreed to cap at estimated patient numbers if restriction to be age specific.</w:t>
            </w:r>
          </w:p>
        </w:tc>
      </w:tr>
      <w:tr w:rsidR="004D33FB" w:rsidRPr="000F40C3" w:rsidTr="006B1C93">
        <w:trPr>
          <w:cantSplit/>
          <w:trHeight w:val="438"/>
        </w:trPr>
        <w:tc>
          <w:tcPr>
            <w:tcW w:w="1134" w:type="dxa"/>
          </w:tcPr>
          <w:p w:rsidR="004D33FB" w:rsidRPr="000F40C3" w:rsidRDefault="00005E86" w:rsidP="00051C05">
            <w:pPr>
              <w:rPr>
                <w:rFonts w:ascii="Arial Narrow" w:hAnsi="Arial Narrow"/>
                <w:sz w:val="19"/>
                <w:szCs w:val="19"/>
              </w:rPr>
            </w:pPr>
            <w:r w:rsidRPr="000F40C3">
              <w:rPr>
                <w:rFonts w:ascii="Arial Narrow" w:hAnsi="Arial Narrow"/>
                <w:sz w:val="19"/>
                <w:szCs w:val="19"/>
              </w:rPr>
              <w:lastRenderedPageBreak/>
              <w:t>Managed entry scheme</w:t>
            </w:r>
          </w:p>
        </w:tc>
        <w:tc>
          <w:tcPr>
            <w:tcW w:w="5528" w:type="dxa"/>
          </w:tcPr>
          <w:p w:rsidR="00005E86" w:rsidRPr="000F40C3" w:rsidRDefault="00005E86" w:rsidP="006B7123">
            <w:pPr>
              <w:rPr>
                <w:rFonts w:ascii="Arial Narrow" w:hAnsi="Arial Narrow"/>
                <w:sz w:val="19"/>
                <w:szCs w:val="19"/>
              </w:rPr>
            </w:pPr>
            <w:r w:rsidRPr="000F40C3">
              <w:rPr>
                <w:rFonts w:ascii="Arial Narrow" w:hAnsi="Arial Narrow"/>
                <w:sz w:val="19"/>
                <w:szCs w:val="19"/>
              </w:rPr>
              <w:t>A managed entry scheme proposal using the Phase III TOWER trial was presented.</w:t>
            </w:r>
          </w:p>
          <w:p w:rsidR="004D33FB" w:rsidRPr="000F40C3" w:rsidRDefault="004D33FB" w:rsidP="00956D45">
            <w:pPr>
              <w:rPr>
                <w:rFonts w:ascii="Arial Narrow" w:hAnsi="Arial Narrow"/>
                <w:sz w:val="19"/>
                <w:szCs w:val="19"/>
              </w:rPr>
            </w:pPr>
          </w:p>
          <w:p w:rsidR="00005E86" w:rsidRPr="000F40C3" w:rsidRDefault="00005E86" w:rsidP="00956D45">
            <w:pPr>
              <w:rPr>
                <w:rFonts w:ascii="Arial Narrow" w:hAnsi="Arial Narrow"/>
                <w:sz w:val="19"/>
                <w:szCs w:val="19"/>
              </w:rPr>
            </w:pPr>
            <w:r w:rsidRPr="000F40C3">
              <w:rPr>
                <w:rFonts w:ascii="Arial Narrow" w:hAnsi="Arial Narrow"/>
                <w:b/>
                <w:sz w:val="19"/>
                <w:szCs w:val="19"/>
              </w:rPr>
              <w:t xml:space="preserve">PBAC Comment: </w:t>
            </w:r>
            <w:r w:rsidR="005F26B2" w:rsidRPr="000F40C3">
              <w:rPr>
                <w:rFonts w:ascii="Arial Narrow" w:hAnsi="Arial Narrow"/>
                <w:sz w:val="19"/>
                <w:szCs w:val="19"/>
              </w:rPr>
              <w:t xml:space="preserve">The PBAC recommended a managed entry scheme modified from that proposed in the submission to address the primary uncertainty over the incremental proportion of patients alive two years after starting blinatumomab or standard care chemotherapy. </w:t>
            </w:r>
          </w:p>
          <w:p w:rsidR="005F26B2" w:rsidRPr="000F40C3" w:rsidRDefault="005F26B2" w:rsidP="00956D45">
            <w:pPr>
              <w:rPr>
                <w:rFonts w:ascii="Arial Narrow" w:hAnsi="Arial Narrow"/>
                <w:sz w:val="19"/>
                <w:szCs w:val="19"/>
              </w:rPr>
            </w:pPr>
          </w:p>
          <w:p w:rsidR="005F26B2" w:rsidRPr="000F40C3" w:rsidRDefault="005F26B2" w:rsidP="00956D45">
            <w:pPr>
              <w:rPr>
                <w:rFonts w:ascii="Arial Narrow" w:hAnsi="Arial Narrow"/>
                <w:sz w:val="19"/>
                <w:szCs w:val="19"/>
              </w:rPr>
            </w:pPr>
            <w:r w:rsidRPr="000F40C3">
              <w:rPr>
                <w:rFonts w:ascii="Arial Narrow" w:hAnsi="Arial Narrow"/>
                <w:sz w:val="19"/>
                <w:szCs w:val="19"/>
              </w:rPr>
              <w:t xml:space="preserve">Initial price based on weighted historical control data from </w:t>
            </w:r>
            <w:proofErr w:type="gramStart"/>
            <w:r w:rsidRPr="000F40C3">
              <w:rPr>
                <w:rFonts w:ascii="Arial Narrow" w:hAnsi="Arial Narrow"/>
                <w:sz w:val="19"/>
                <w:szCs w:val="19"/>
              </w:rPr>
              <w:t>patients</w:t>
            </w:r>
            <w:proofErr w:type="gramEnd"/>
            <w:r w:rsidRPr="000F40C3">
              <w:rPr>
                <w:rFonts w:ascii="Arial Narrow" w:hAnsi="Arial Narrow"/>
                <w:sz w:val="19"/>
                <w:szCs w:val="19"/>
              </w:rPr>
              <w:t xml:space="preserve"> diagnosed post-2000 to maintain an ICER of </w:t>
            </w:r>
            <w:r w:rsidR="00113F6A">
              <w:rPr>
                <w:rFonts w:ascii="Arial Narrow" w:hAnsi="Arial Narrow"/>
                <w:sz w:val="19"/>
                <w:szCs w:val="19"/>
              </w:rPr>
              <w:t xml:space="preserve">$45,000 - $75,000 per </w:t>
            </w:r>
            <w:r w:rsidRPr="000F40C3">
              <w:rPr>
                <w:rFonts w:ascii="Arial Narrow" w:hAnsi="Arial Narrow"/>
                <w:sz w:val="19"/>
                <w:szCs w:val="19"/>
              </w:rPr>
              <w:t xml:space="preserve">QALY. </w:t>
            </w:r>
          </w:p>
          <w:p w:rsidR="005F26B2" w:rsidRPr="000F40C3" w:rsidRDefault="005F26B2" w:rsidP="00956D45">
            <w:pPr>
              <w:rPr>
                <w:rFonts w:ascii="Arial Narrow" w:hAnsi="Arial Narrow"/>
                <w:sz w:val="19"/>
                <w:szCs w:val="19"/>
              </w:rPr>
            </w:pPr>
          </w:p>
          <w:p w:rsidR="005F26B2" w:rsidRPr="000F40C3" w:rsidRDefault="00DB7ED5" w:rsidP="00956D45">
            <w:pPr>
              <w:rPr>
                <w:rFonts w:ascii="Arial Narrow" w:hAnsi="Arial Narrow"/>
                <w:sz w:val="19"/>
                <w:szCs w:val="19"/>
              </w:rPr>
            </w:pPr>
            <w:r w:rsidRPr="000F40C3">
              <w:rPr>
                <w:rFonts w:ascii="Arial Narrow" w:hAnsi="Arial Narrow"/>
                <w:sz w:val="19"/>
                <w:szCs w:val="19"/>
              </w:rPr>
              <w:t xml:space="preserve">The incremental proportion of patients alive two years (or 25 months) after starting blinatumomab or standard care chemotherapy, based on the intent-to-treat analysis, will be used as inputs into the current economic model. </w:t>
            </w:r>
            <w:r w:rsidR="00BC544F" w:rsidRPr="000F40C3">
              <w:rPr>
                <w:rFonts w:ascii="Arial Narrow" w:hAnsi="Arial Narrow"/>
                <w:sz w:val="19"/>
                <w:szCs w:val="19"/>
              </w:rPr>
              <w:t xml:space="preserve">Extrapolation modelling then applied on both arms whereby patients alive at two years (or 25 months) have normal life expectancy for the remainder of the 20 year model. </w:t>
            </w:r>
            <w:r w:rsidRPr="000F40C3">
              <w:rPr>
                <w:rFonts w:ascii="Arial Narrow" w:hAnsi="Arial Narrow"/>
                <w:sz w:val="19"/>
                <w:szCs w:val="19"/>
              </w:rPr>
              <w:t xml:space="preserve">No other inputs should change. </w:t>
            </w:r>
          </w:p>
          <w:p w:rsidR="00DB7ED5" w:rsidRPr="000F40C3" w:rsidRDefault="00DB7ED5" w:rsidP="00956D45">
            <w:pPr>
              <w:rPr>
                <w:rFonts w:ascii="Arial Narrow" w:hAnsi="Arial Narrow"/>
                <w:sz w:val="19"/>
                <w:szCs w:val="19"/>
              </w:rPr>
            </w:pPr>
          </w:p>
          <w:p w:rsidR="00DB7ED5" w:rsidRPr="000F40C3" w:rsidRDefault="00DB7ED5" w:rsidP="00113F6A">
            <w:pPr>
              <w:rPr>
                <w:rFonts w:ascii="Arial Narrow" w:hAnsi="Arial Narrow"/>
                <w:sz w:val="19"/>
                <w:szCs w:val="19"/>
              </w:rPr>
            </w:pPr>
            <w:r w:rsidRPr="000F40C3">
              <w:rPr>
                <w:rFonts w:ascii="Arial Narrow" w:hAnsi="Arial Narrow"/>
                <w:sz w:val="19"/>
                <w:szCs w:val="19"/>
              </w:rPr>
              <w:t xml:space="preserve">The price of blinatumomab at the end of the MES will either be maintained or reduced to maintain an ICER of </w:t>
            </w:r>
            <w:r w:rsidR="00113F6A">
              <w:rPr>
                <w:rFonts w:ascii="Arial Narrow" w:hAnsi="Arial Narrow"/>
                <w:sz w:val="19"/>
                <w:szCs w:val="19"/>
              </w:rPr>
              <w:t xml:space="preserve">$45,000 - $75,000 per </w:t>
            </w:r>
            <w:r w:rsidRPr="000F40C3">
              <w:rPr>
                <w:rFonts w:ascii="Arial Narrow" w:hAnsi="Arial Narrow"/>
                <w:sz w:val="19"/>
                <w:szCs w:val="19"/>
              </w:rPr>
              <w:t>QALY. If the price is reduced, the sponsor would rebate the Commonwealth</w:t>
            </w:r>
            <w:r w:rsidR="00BC544F" w:rsidRPr="000F40C3">
              <w:rPr>
                <w:rFonts w:ascii="Arial Narrow" w:hAnsi="Arial Narrow"/>
                <w:sz w:val="19"/>
                <w:szCs w:val="19"/>
              </w:rPr>
              <w:t xml:space="preserve">. </w:t>
            </w:r>
          </w:p>
        </w:tc>
        <w:tc>
          <w:tcPr>
            <w:tcW w:w="1781" w:type="dxa"/>
          </w:tcPr>
          <w:p w:rsidR="00BC544F" w:rsidRPr="000F40C3" w:rsidRDefault="00BC544F" w:rsidP="00956D45">
            <w:pPr>
              <w:rPr>
                <w:rFonts w:ascii="Arial Narrow" w:hAnsi="Arial Narrow"/>
                <w:sz w:val="19"/>
                <w:szCs w:val="19"/>
              </w:rPr>
            </w:pPr>
            <w:r w:rsidRPr="000F40C3">
              <w:rPr>
                <w:rFonts w:ascii="Arial Narrow" w:hAnsi="Arial Narrow"/>
                <w:sz w:val="19"/>
                <w:szCs w:val="19"/>
              </w:rPr>
              <w:t xml:space="preserve">The model is populated with 12 months of TOWER data and extrapolated from this time point assuming normal life expectancy. </w:t>
            </w:r>
          </w:p>
          <w:p w:rsidR="00BC544F" w:rsidRPr="000F40C3" w:rsidRDefault="00BC544F" w:rsidP="00956D45">
            <w:pPr>
              <w:rPr>
                <w:rFonts w:ascii="Arial Narrow" w:hAnsi="Arial Narrow"/>
                <w:sz w:val="19"/>
                <w:szCs w:val="19"/>
              </w:rPr>
            </w:pPr>
          </w:p>
          <w:p w:rsidR="002713A3" w:rsidRPr="000F40C3" w:rsidRDefault="00BC544F" w:rsidP="00956D45">
            <w:pPr>
              <w:rPr>
                <w:rFonts w:ascii="Arial Narrow" w:hAnsi="Arial Narrow"/>
                <w:sz w:val="19"/>
                <w:szCs w:val="19"/>
              </w:rPr>
            </w:pPr>
            <w:r w:rsidRPr="000F40C3">
              <w:rPr>
                <w:rFonts w:ascii="Arial Narrow" w:hAnsi="Arial Narrow"/>
                <w:sz w:val="19"/>
                <w:szCs w:val="19"/>
              </w:rPr>
              <w:t xml:space="preserve">Vial price has been reduced further to </w:t>
            </w:r>
          </w:p>
          <w:p w:rsidR="004D33FB" w:rsidRPr="000F40C3" w:rsidRDefault="00BC544F" w:rsidP="00956D45">
            <w:pPr>
              <w:rPr>
                <w:rFonts w:ascii="Arial Narrow" w:hAnsi="Arial Narrow"/>
                <w:sz w:val="19"/>
                <w:szCs w:val="19"/>
              </w:rPr>
            </w:pPr>
            <w:r w:rsidRPr="000F40C3">
              <w:rPr>
                <w:rFonts w:ascii="Arial Narrow" w:hAnsi="Arial Narrow"/>
                <w:sz w:val="19"/>
                <w:szCs w:val="19"/>
              </w:rPr>
              <w:t>$</w:t>
            </w:r>
            <w:r w:rsidR="002375CE">
              <w:rPr>
                <w:rFonts w:ascii="Arial Narrow" w:hAnsi="Arial Narrow"/>
                <w:noProof/>
                <w:color w:val="000000"/>
                <w:sz w:val="19"/>
                <w:szCs w:val="19"/>
                <w:highlight w:val="black"/>
              </w:rPr>
              <w:t>''''''''''''''''''''''</w:t>
            </w:r>
            <w:r w:rsidRPr="000F40C3">
              <w:rPr>
                <w:rFonts w:ascii="Arial Narrow" w:hAnsi="Arial Narrow"/>
                <w:sz w:val="19"/>
                <w:szCs w:val="19"/>
              </w:rPr>
              <w:t xml:space="preserve"> to maintain the recommended ICER.</w:t>
            </w:r>
          </w:p>
          <w:p w:rsidR="00BC544F" w:rsidRPr="000F40C3" w:rsidRDefault="00BC544F" w:rsidP="00956D45">
            <w:pPr>
              <w:rPr>
                <w:rFonts w:ascii="Arial Narrow" w:hAnsi="Arial Narrow"/>
                <w:sz w:val="19"/>
                <w:szCs w:val="19"/>
              </w:rPr>
            </w:pPr>
          </w:p>
          <w:p w:rsidR="00BC544F" w:rsidRPr="000F40C3" w:rsidRDefault="00BC544F" w:rsidP="00956D45">
            <w:pPr>
              <w:rPr>
                <w:rFonts w:ascii="Arial Narrow" w:hAnsi="Arial Narrow"/>
                <w:color w:val="0000FF"/>
                <w:sz w:val="19"/>
                <w:szCs w:val="19"/>
              </w:rPr>
            </w:pPr>
            <w:r w:rsidRPr="000F40C3">
              <w:rPr>
                <w:rFonts w:ascii="Arial Narrow" w:hAnsi="Arial Narrow"/>
                <w:sz w:val="19"/>
                <w:szCs w:val="19"/>
              </w:rPr>
              <w:t xml:space="preserve">As no further data will become available, there is no need for an interim price or a MES. </w:t>
            </w:r>
          </w:p>
        </w:tc>
      </w:tr>
      <w:tr w:rsidR="00005E86" w:rsidRPr="000F40C3" w:rsidTr="006B1C93">
        <w:trPr>
          <w:cantSplit/>
          <w:trHeight w:val="147"/>
        </w:trPr>
        <w:tc>
          <w:tcPr>
            <w:tcW w:w="1134" w:type="dxa"/>
          </w:tcPr>
          <w:p w:rsidR="00005E86" w:rsidRPr="000F40C3" w:rsidRDefault="00005E86" w:rsidP="00051C05">
            <w:pPr>
              <w:rPr>
                <w:rFonts w:ascii="Arial Narrow" w:hAnsi="Arial Narrow"/>
                <w:sz w:val="19"/>
                <w:szCs w:val="19"/>
              </w:rPr>
            </w:pPr>
            <w:r w:rsidRPr="000F40C3">
              <w:rPr>
                <w:rFonts w:ascii="Arial Narrow" w:hAnsi="Arial Narrow"/>
              </w:rPr>
              <w:br w:type="page"/>
            </w:r>
            <w:r w:rsidRPr="000F40C3">
              <w:rPr>
                <w:rFonts w:ascii="Arial Narrow" w:hAnsi="Arial Narrow"/>
                <w:sz w:val="19"/>
                <w:szCs w:val="19"/>
              </w:rPr>
              <w:t>PBAC decision</w:t>
            </w:r>
          </w:p>
        </w:tc>
        <w:tc>
          <w:tcPr>
            <w:tcW w:w="5528" w:type="dxa"/>
          </w:tcPr>
          <w:p w:rsidR="00005E86" w:rsidRPr="000F40C3" w:rsidRDefault="00005E86" w:rsidP="00956D45">
            <w:pPr>
              <w:rPr>
                <w:rFonts w:ascii="Arial Narrow" w:hAnsi="Arial Narrow"/>
                <w:sz w:val="19"/>
                <w:szCs w:val="19"/>
              </w:rPr>
            </w:pPr>
            <w:r w:rsidRPr="000F40C3">
              <w:rPr>
                <w:rFonts w:ascii="Arial Narrow" w:hAnsi="Arial Narrow"/>
                <w:sz w:val="19"/>
                <w:szCs w:val="19"/>
              </w:rPr>
              <w:t>Recommended</w:t>
            </w:r>
          </w:p>
        </w:tc>
        <w:tc>
          <w:tcPr>
            <w:tcW w:w="1781" w:type="dxa"/>
          </w:tcPr>
          <w:p w:rsidR="00005E86" w:rsidRPr="000F40C3" w:rsidRDefault="00005E86" w:rsidP="00956D45">
            <w:pPr>
              <w:rPr>
                <w:rFonts w:ascii="Arial Narrow" w:hAnsi="Arial Narrow"/>
                <w:color w:val="0000FF"/>
                <w:sz w:val="19"/>
                <w:szCs w:val="19"/>
              </w:rPr>
            </w:pPr>
            <w:r w:rsidRPr="000F40C3">
              <w:rPr>
                <w:rFonts w:ascii="Arial Narrow" w:hAnsi="Arial Narrow"/>
                <w:sz w:val="19"/>
                <w:szCs w:val="19"/>
              </w:rPr>
              <w:t>-</w:t>
            </w:r>
          </w:p>
        </w:tc>
      </w:tr>
    </w:tbl>
    <w:p w:rsidR="004D33FB" w:rsidRPr="000F40C3" w:rsidRDefault="004D33FB" w:rsidP="006B7123">
      <w:pPr>
        <w:pStyle w:val="TableFooter"/>
        <w:widowControl/>
        <w:ind w:firstLine="720"/>
      </w:pPr>
      <w:r w:rsidRPr="000F40C3">
        <w:t xml:space="preserve">Source: Compiled during </w:t>
      </w:r>
      <w:r w:rsidR="006B2ACF" w:rsidRPr="000F40C3">
        <w:t>preparation of the overview</w:t>
      </w:r>
    </w:p>
    <w:p w:rsidR="006B2ACF" w:rsidRPr="000F40C3" w:rsidRDefault="006B2ACF" w:rsidP="006B7123">
      <w:pPr>
        <w:pStyle w:val="TableFooter"/>
        <w:widowControl/>
        <w:ind w:left="709" w:firstLine="11"/>
      </w:pPr>
      <w:r w:rsidRPr="000F40C3">
        <w:t>ALL = acute lymphoblastic leukaemia; EFC = efficient funding of chemotherapy; ICER = incremental cost-effectiveness ratio; HR = hazard ratio; OS = overall survival; QALY = quality adjusted life year; SC = standard care</w:t>
      </w:r>
    </w:p>
    <w:p w:rsidR="004D33FB" w:rsidRPr="000F40C3" w:rsidRDefault="004D33FB" w:rsidP="00051C05"/>
    <w:p w:rsidR="00EF70C2" w:rsidRPr="000F40C3" w:rsidRDefault="00EF70C2" w:rsidP="00956D45">
      <w:pPr>
        <w:pStyle w:val="ListParagraph"/>
        <w:widowControl/>
        <w:numPr>
          <w:ilvl w:val="1"/>
          <w:numId w:val="5"/>
        </w:numPr>
      </w:pPr>
      <w:r w:rsidRPr="000F40C3">
        <w:t>Table 2 presents the recommendation forming the basis of the MES</w:t>
      </w:r>
      <w:r w:rsidR="00E20370" w:rsidRPr="000F40C3">
        <w:t>,</w:t>
      </w:r>
      <w:r w:rsidRPr="000F40C3">
        <w:t xml:space="preserve"> as proposed by the PBAC in July 2016</w:t>
      </w:r>
      <w:r w:rsidR="00E20370" w:rsidRPr="000F40C3">
        <w:t>,</w:t>
      </w:r>
      <w:r w:rsidRPr="000F40C3">
        <w:t xml:space="preserve"> and how the minor resubmission addresse</w:t>
      </w:r>
      <w:r w:rsidR="00E20370" w:rsidRPr="000F40C3">
        <w:t>d</w:t>
      </w:r>
      <w:r w:rsidRPr="000F40C3">
        <w:t xml:space="preserve"> the recommendations.</w:t>
      </w:r>
    </w:p>
    <w:p w:rsidR="006B2ACF" w:rsidRPr="000F40C3" w:rsidRDefault="006B2ACF" w:rsidP="00956D45">
      <w:pPr>
        <w:pStyle w:val="ListParagraph"/>
        <w:widowControl/>
      </w:pPr>
    </w:p>
    <w:p w:rsidR="00654DC7" w:rsidRPr="000F40C3" w:rsidRDefault="00654DC7" w:rsidP="006B7123">
      <w:pPr>
        <w:keepNext/>
        <w:ind w:firstLine="720"/>
        <w:rPr>
          <w:rStyle w:val="CommentReference"/>
          <w:rFonts w:ascii="Arial Narrow" w:hAnsi="Arial Narrow" w:cs="Arial"/>
          <w:b/>
          <w:sz w:val="20"/>
        </w:rPr>
      </w:pPr>
      <w:r w:rsidRPr="000F40C3">
        <w:rPr>
          <w:rStyle w:val="CommentReference"/>
          <w:rFonts w:ascii="Arial Narrow" w:hAnsi="Arial Narrow" w:cs="Arial"/>
          <w:b/>
          <w:sz w:val="20"/>
        </w:rPr>
        <w:lastRenderedPageBreak/>
        <w:t>Table 2: PBAC recommendations for the MES and approach in the current 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72"/>
        <w:gridCol w:w="4173"/>
      </w:tblGrid>
      <w:tr w:rsidR="00F57AAF" w:rsidRPr="000F40C3" w:rsidTr="006B1C93">
        <w:trPr>
          <w:cantSplit/>
          <w:trHeight w:val="240"/>
        </w:trPr>
        <w:tc>
          <w:tcPr>
            <w:tcW w:w="2500" w:type="pct"/>
            <w:shd w:val="clear" w:color="auto" w:fill="auto"/>
          </w:tcPr>
          <w:p w:rsidR="004D33FB" w:rsidRPr="000F40C3" w:rsidRDefault="00881A4F" w:rsidP="001B433B">
            <w:pPr>
              <w:keepNext/>
              <w:jc w:val="center"/>
              <w:rPr>
                <w:rFonts w:ascii="Arial Narrow" w:hAnsi="Arial Narrow"/>
                <w:b/>
                <w:sz w:val="20"/>
              </w:rPr>
            </w:pPr>
            <w:r w:rsidRPr="000F40C3">
              <w:rPr>
                <w:rFonts w:ascii="Arial Narrow" w:hAnsi="Arial Narrow"/>
                <w:b/>
                <w:sz w:val="20"/>
              </w:rPr>
              <w:t>Recommendations forming basis of MES</w:t>
            </w:r>
            <w:r w:rsidR="00F57AAF" w:rsidRPr="000F40C3">
              <w:rPr>
                <w:rFonts w:ascii="Arial Narrow" w:hAnsi="Arial Narrow"/>
                <w:b/>
                <w:sz w:val="20"/>
              </w:rPr>
              <w:t xml:space="preserve"> </w:t>
            </w:r>
            <w:r w:rsidRPr="000F40C3">
              <w:rPr>
                <w:rFonts w:ascii="Arial Narrow" w:hAnsi="Arial Narrow"/>
                <w:b/>
                <w:sz w:val="20"/>
              </w:rPr>
              <w:t>as proposed by PBAC (July 2016</w:t>
            </w:r>
            <w:r w:rsidR="00C872E0" w:rsidRPr="000F40C3">
              <w:rPr>
                <w:rFonts w:ascii="Arial Narrow" w:hAnsi="Arial Narrow"/>
                <w:b/>
                <w:sz w:val="20"/>
              </w:rPr>
              <w:t xml:space="preserve"> PBAC </w:t>
            </w:r>
            <w:r w:rsidR="001B433B">
              <w:rPr>
                <w:rFonts w:ascii="Arial Narrow" w:hAnsi="Arial Narrow"/>
                <w:b/>
                <w:sz w:val="20"/>
              </w:rPr>
              <w:t>PSD</w:t>
            </w:r>
            <w:r w:rsidRPr="000F40C3">
              <w:rPr>
                <w:rFonts w:ascii="Arial Narrow" w:hAnsi="Arial Narrow"/>
                <w:b/>
                <w:sz w:val="20"/>
              </w:rPr>
              <w:t>)</w:t>
            </w:r>
          </w:p>
        </w:tc>
        <w:tc>
          <w:tcPr>
            <w:tcW w:w="2500" w:type="pct"/>
            <w:shd w:val="clear" w:color="auto" w:fill="auto"/>
          </w:tcPr>
          <w:p w:rsidR="004D33FB" w:rsidRPr="000F40C3" w:rsidRDefault="004D33FB" w:rsidP="006B7123">
            <w:pPr>
              <w:keepNext/>
              <w:jc w:val="center"/>
              <w:rPr>
                <w:rFonts w:ascii="Arial Narrow" w:hAnsi="Arial Narrow"/>
                <w:b/>
                <w:sz w:val="20"/>
              </w:rPr>
            </w:pPr>
            <w:r w:rsidRPr="000F40C3">
              <w:rPr>
                <w:rFonts w:ascii="Arial Narrow" w:hAnsi="Arial Narrow"/>
                <w:b/>
                <w:sz w:val="20"/>
              </w:rPr>
              <w:t xml:space="preserve">How the resubmission addresses </w:t>
            </w:r>
            <w:r w:rsidR="00654DC7" w:rsidRPr="000F40C3">
              <w:rPr>
                <w:rFonts w:ascii="Arial Narrow" w:hAnsi="Arial Narrow"/>
                <w:b/>
                <w:sz w:val="20"/>
              </w:rPr>
              <w:t>the recommendation</w:t>
            </w:r>
            <w:r w:rsidR="00881A4F" w:rsidRPr="000F40C3">
              <w:rPr>
                <w:rFonts w:ascii="Arial Narrow" w:hAnsi="Arial Narrow"/>
                <w:b/>
                <w:sz w:val="20"/>
              </w:rPr>
              <w:t xml:space="preserve"> (November 2016)</w:t>
            </w:r>
          </w:p>
        </w:tc>
      </w:tr>
      <w:tr w:rsidR="00CB55BA" w:rsidRPr="000F40C3" w:rsidTr="006B1C93">
        <w:trPr>
          <w:cantSplit/>
          <w:trHeight w:val="930"/>
        </w:trPr>
        <w:tc>
          <w:tcPr>
            <w:tcW w:w="2500" w:type="pct"/>
            <w:shd w:val="clear" w:color="auto" w:fill="auto"/>
          </w:tcPr>
          <w:p w:rsidR="00CB55BA" w:rsidRPr="000F40C3" w:rsidRDefault="00CB55BA" w:rsidP="006B7123">
            <w:pPr>
              <w:keepNext/>
              <w:rPr>
                <w:rFonts w:ascii="Arial Narrow" w:hAnsi="Arial Narrow"/>
                <w:sz w:val="20"/>
              </w:rPr>
            </w:pPr>
            <w:r w:rsidRPr="000F40C3">
              <w:rPr>
                <w:rFonts w:ascii="Arial Narrow" w:hAnsi="Arial Narrow"/>
                <w:b/>
                <w:sz w:val="20"/>
              </w:rPr>
              <w:t>Initial price: $</w:t>
            </w:r>
            <w:r w:rsidR="002375CE">
              <w:rPr>
                <w:rFonts w:ascii="Arial Narrow" w:hAnsi="Arial Narrow"/>
                <w:b/>
                <w:noProof/>
                <w:color w:val="000000"/>
                <w:sz w:val="20"/>
                <w:highlight w:val="black"/>
              </w:rPr>
              <w:t>'''''''''''''''''</w:t>
            </w:r>
            <w:r w:rsidRPr="000F40C3">
              <w:rPr>
                <w:rFonts w:ascii="Arial Narrow" w:hAnsi="Arial Narrow"/>
                <w:sz w:val="20"/>
              </w:rPr>
              <w:t xml:space="preserve"> (</w:t>
            </w:r>
            <w:r w:rsidR="00BE79AD" w:rsidRPr="000F40C3">
              <w:rPr>
                <w:rFonts w:ascii="Arial Narrow" w:hAnsi="Arial Narrow"/>
                <w:sz w:val="20"/>
              </w:rPr>
              <w:t xml:space="preserve">effective dispensed price; </w:t>
            </w:r>
            <w:r w:rsidRPr="000F40C3">
              <w:rPr>
                <w:rFonts w:ascii="Arial Narrow" w:hAnsi="Arial Narrow"/>
                <w:sz w:val="20"/>
              </w:rPr>
              <w:t>paragraph 6.60)</w:t>
            </w:r>
          </w:p>
          <w:p w:rsidR="00CB55BA" w:rsidRPr="000F40C3" w:rsidRDefault="00CB55BA" w:rsidP="006B7123">
            <w:pPr>
              <w:keepNext/>
              <w:rPr>
                <w:rFonts w:ascii="Arial Narrow" w:hAnsi="Arial Narrow"/>
                <w:sz w:val="20"/>
              </w:rPr>
            </w:pPr>
            <w:r w:rsidRPr="000F40C3">
              <w:rPr>
                <w:rFonts w:ascii="Arial Narrow" w:hAnsi="Arial Narrow"/>
                <w:sz w:val="20"/>
              </w:rPr>
              <w:t xml:space="preserve">Based on respecifying base case to use only weighted historical control data from </w:t>
            </w:r>
            <w:proofErr w:type="gramStart"/>
            <w:r w:rsidRPr="000F40C3">
              <w:rPr>
                <w:rFonts w:ascii="Arial Narrow" w:hAnsi="Arial Narrow"/>
                <w:sz w:val="20"/>
              </w:rPr>
              <w:t>patients</w:t>
            </w:r>
            <w:proofErr w:type="gramEnd"/>
            <w:r w:rsidRPr="000F40C3">
              <w:rPr>
                <w:rFonts w:ascii="Arial Narrow" w:hAnsi="Arial Narrow"/>
                <w:sz w:val="20"/>
              </w:rPr>
              <w:t xml:space="preserve"> diagnosed post-2000 for the comparator.</w:t>
            </w:r>
          </w:p>
        </w:tc>
        <w:tc>
          <w:tcPr>
            <w:tcW w:w="2500" w:type="pct"/>
            <w:shd w:val="clear" w:color="auto" w:fill="auto"/>
          </w:tcPr>
          <w:p w:rsidR="00CB55BA" w:rsidRPr="000F40C3" w:rsidRDefault="00BE79AD" w:rsidP="006B7123">
            <w:pPr>
              <w:keepNext/>
              <w:rPr>
                <w:rFonts w:ascii="Arial Narrow" w:hAnsi="Arial Narrow"/>
                <w:sz w:val="20"/>
              </w:rPr>
            </w:pPr>
            <w:r w:rsidRPr="000F40C3">
              <w:rPr>
                <w:rFonts w:ascii="Arial Narrow" w:hAnsi="Arial Narrow"/>
                <w:sz w:val="20"/>
              </w:rPr>
              <w:t>Not applicable</w:t>
            </w:r>
            <w:r w:rsidR="00CB55BA" w:rsidRPr="000F40C3">
              <w:rPr>
                <w:rFonts w:ascii="Arial Narrow" w:hAnsi="Arial Narrow"/>
                <w:sz w:val="20"/>
              </w:rPr>
              <w:t xml:space="preserve"> </w:t>
            </w:r>
          </w:p>
        </w:tc>
      </w:tr>
      <w:tr w:rsidR="00C872E0" w:rsidRPr="000F40C3" w:rsidTr="006B1C93">
        <w:trPr>
          <w:cantSplit/>
          <w:trHeight w:val="930"/>
        </w:trPr>
        <w:tc>
          <w:tcPr>
            <w:tcW w:w="2500" w:type="pct"/>
            <w:shd w:val="clear" w:color="auto" w:fill="auto"/>
          </w:tcPr>
          <w:p w:rsidR="00C872E0" w:rsidRPr="000F40C3" w:rsidRDefault="00C872E0" w:rsidP="006B7123">
            <w:pPr>
              <w:keepNext/>
              <w:rPr>
                <w:rFonts w:ascii="Arial Narrow" w:hAnsi="Arial Narrow"/>
                <w:sz w:val="20"/>
              </w:rPr>
            </w:pPr>
            <w:r w:rsidRPr="000F40C3">
              <w:rPr>
                <w:rFonts w:ascii="Arial Narrow" w:hAnsi="Arial Narrow"/>
                <w:b/>
                <w:sz w:val="20"/>
              </w:rPr>
              <w:t>Modelled economic evaluation</w:t>
            </w:r>
            <w:r w:rsidRPr="000F40C3">
              <w:rPr>
                <w:rFonts w:ascii="Arial Narrow" w:hAnsi="Arial Narrow"/>
                <w:sz w:val="20"/>
              </w:rPr>
              <w:t xml:space="preserve"> (paragraph</w:t>
            </w:r>
            <w:r w:rsidR="00CB55BA" w:rsidRPr="000F40C3">
              <w:rPr>
                <w:rFonts w:ascii="Arial Narrow" w:hAnsi="Arial Narrow"/>
                <w:sz w:val="20"/>
              </w:rPr>
              <w:t>s</w:t>
            </w:r>
            <w:r w:rsidRPr="000F40C3">
              <w:rPr>
                <w:rFonts w:ascii="Arial Narrow" w:hAnsi="Arial Narrow"/>
                <w:sz w:val="20"/>
              </w:rPr>
              <w:t xml:space="preserve"> 6.67</w:t>
            </w:r>
            <w:r w:rsidR="00CB55BA" w:rsidRPr="000F40C3">
              <w:rPr>
                <w:rFonts w:ascii="Arial Narrow" w:hAnsi="Arial Narrow"/>
                <w:sz w:val="20"/>
              </w:rPr>
              <w:t xml:space="preserve"> and 6.68</w:t>
            </w:r>
            <w:r w:rsidRPr="000F40C3">
              <w:rPr>
                <w:rFonts w:ascii="Arial Narrow" w:hAnsi="Arial Narrow"/>
                <w:sz w:val="20"/>
              </w:rPr>
              <w:t>):</w:t>
            </w:r>
          </w:p>
          <w:p w:rsidR="00C872E0" w:rsidRPr="000F40C3" w:rsidRDefault="00C872E0" w:rsidP="006B7123">
            <w:pPr>
              <w:pStyle w:val="ListParagraph"/>
              <w:keepNext/>
              <w:widowControl/>
              <w:numPr>
                <w:ilvl w:val="0"/>
                <w:numId w:val="16"/>
              </w:numPr>
              <w:jc w:val="left"/>
              <w:rPr>
                <w:rFonts w:ascii="Arial Narrow" w:hAnsi="Arial Narrow"/>
                <w:sz w:val="20"/>
              </w:rPr>
            </w:pPr>
            <w:r w:rsidRPr="000F40C3">
              <w:rPr>
                <w:rFonts w:ascii="Arial Narrow" w:hAnsi="Arial Narrow"/>
                <w:sz w:val="20"/>
              </w:rPr>
              <w:t xml:space="preserve">estimate the incremental OS for the two arms of the model up to </w:t>
            </w:r>
            <w:r w:rsidRPr="000F40C3">
              <w:rPr>
                <w:rFonts w:ascii="Arial Narrow" w:hAnsi="Arial Narrow"/>
                <w:sz w:val="20"/>
                <w:u w:val="single"/>
              </w:rPr>
              <w:t>two years</w:t>
            </w:r>
            <w:r w:rsidRPr="000F40C3">
              <w:rPr>
                <w:rFonts w:ascii="Arial Narrow" w:hAnsi="Arial Narrow"/>
                <w:sz w:val="20"/>
              </w:rPr>
              <w:t xml:space="preserve"> based directly on the observed OS Kaplan-Meier curves (intent-to-treat analysis</w:t>
            </w:r>
            <w:r w:rsidR="00CB55BA" w:rsidRPr="000F40C3">
              <w:rPr>
                <w:rFonts w:ascii="Arial Narrow" w:hAnsi="Arial Narrow"/>
                <w:sz w:val="20"/>
              </w:rPr>
              <w:t xml:space="preserve"> with no censoring for transplant</w:t>
            </w:r>
            <w:r w:rsidRPr="000F40C3">
              <w:rPr>
                <w:rFonts w:ascii="Arial Narrow" w:hAnsi="Arial Narrow"/>
                <w:sz w:val="20"/>
              </w:rPr>
              <w:t>)</w:t>
            </w:r>
          </w:p>
          <w:p w:rsidR="00C872E0" w:rsidRPr="000F40C3" w:rsidRDefault="00C872E0" w:rsidP="006B7123">
            <w:pPr>
              <w:pStyle w:val="ListParagraph"/>
              <w:keepNext/>
              <w:widowControl/>
              <w:numPr>
                <w:ilvl w:val="0"/>
                <w:numId w:val="16"/>
              </w:numPr>
              <w:jc w:val="left"/>
              <w:rPr>
                <w:rFonts w:ascii="Arial Narrow" w:hAnsi="Arial Narrow"/>
                <w:sz w:val="20"/>
              </w:rPr>
            </w:pPr>
            <w:r w:rsidRPr="000F40C3">
              <w:rPr>
                <w:rFonts w:ascii="Arial Narrow" w:hAnsi="Arial Narrow"/>
                <w:sz w:val="20"/>
              </w:rPr>
              <w:t xml:space="preserve">estimate the incremental proportion of patients alive at </w:t>
            </w:r>
            <w:r w:rsidRPr="000F40C3">
              <w:rPr>
                <w:rFonts w:ascii="Arial Narrow" w:hAnsi="Arial Narrow"/>
                <w:sz w:val="20"/>
                <w:u w:val="single"/>
              </w:rPr>
              <w:t>two years</w:t>
            </w:r>
            <w:r w:rsidRPr="000F40C3">
              <w:rPr>
                <w:rFonts w:ascii="Arial Narrow" w:hAnsi="Arial Narrow"/>
                <w:sz w:val="20"/>
              </w:rPr>
              <w:t xml:space="preserve"> (or 25 months) across the two Kaplan-Meier curves from the clinical evaluation</w:t>
            </w:r>
          </w:p>
          <w:p w:rsidR="00C872E0" w:rsidRPr="000F40C3" w:rsidRDefault="00C872E0" w:rsidP="006B7123">
            <w:pPr>
              <w:pStyle w:val="ListParagraph"/>
              <w:keepNext/>
              <w:widowControl/>
              <w:numPr>
                <w:ilvl w:val="0"/>
                <w:numId w:val="16"/>
              </w:numPr>
              <w:jc w:val="left"/>
              <w:rPr>
                <w:rFonts w:ascii="Arial Narrow" w:hAnsi="Arial Narrow"/>
                <w:sz w:val="20"/>
              </w:rPr>
            </w:pPr>
            <w:r w:rsidRPr="000F40C3">
              <w:rPr>
                <w:rFonts w:ascii="Arial Narrow" w:hAnsi="Arial Narrow"/>
                <w:sz w:val="20"/>
              </w:rPr>
              <w:t xml:space="preserve">extrapolation modelling on both arms for the OS curves from this time point, whereby patients still alive at </w:t>
            </w:r>
            <w:r w:rsidRPr="000F40C3">
              <w:rPr>
                <w:rFonts w:ascii="Arial Narrow" w:hAnsi="Arial Narrow"/>
                <w:sz w:val="20"/>
                <w:u w:val="single"/>
              </w:rPr>
              <w:t>two years</w:t>
            </w:r>
            <w:r w:rsidRPr="000F40C3">
              <w:rPr>
                <w:rFonts w:ascii="Arial Narrow" w:hAnsi="Arial Narrow"/>
                <w:sz w:val="20"/>
              </w:rPr>
              <w:t xml:space="preserve"> (or 25 months) have normal life expectancy for the remainder of the 20-year model</w:t>
            </w:r>
          </w:p>
          <w:p w:rsidR="00CB55BA" w:rsidRPr="000F40C3" w:rsidRDefault="00CB55BA" w:rsidP="006B7123">
            <w:pPr>
              <w:pStyle w:val="ListParagraph"/>
              <w:keepNext/>
              <w:widowControl/>
              <w:numPr>
                <w:ilvl w:val="0"/>
                <w:numId w:val="16"/>
              </w:numPr>
              <w:jc w:val="left"/>
              <w:rPr>
                <w:rFonts w:ascii="Arial Narrow" w:hAnsi="Arial Narrow"/>
                <w:sz w:val="20"/>
              </w:rPr>
            </w:pPr>
            <w:r w:rsidRPr="000F40C3">
              <w:rPr>
                <w:rFonts w:ascii="Arial Narrow" w:hAnsi="Arial Narrow"/>
                <w:sz w:val="20"/>
              </w:rPr>
              <w:t>blinatumomab cost based on 42 vials (1.64 cycles)</w:t>
            </w:r>
          </w:p>
        </w:tc>
        <w:tc>
          <w:tcPr>
            <w:tcW w:w="2500" w:type="pct"/>
            <w:shd w:val="clear" w:color="auto" w:fill="auto"/>
          </w:tcPr>
          <w:p w:rsidR="00C872E0" w:rsidRPr="000F40C3" w:rsidRDefault="00C872E0" w:rsidP="006B7123">
            <w:pPr>
              <w:keepNext/>
              <w:rPr>
                <w:rFonts w:ascii="Arial Narrow" w:hAnsi="Arial Narrow"/>
                <w:sz w:val="20"/>
              </w:rPr>
            </w:pPr>
            <w:r w:rsidRPr="000F40C3">
              <w:rPr>
                <w:rFonts w:ascii="Arial Narrow" w:hAnsi="Arial Narrow"/>
                <w:sz w:val="20"/>
              </w:rPr>
              <w:t>Model presented in minor resubmission:</w:t>
            </w:r>
          </w:p>
          <w:p w:rsidR="006B2ACF" w:rsidRPr="000F40C3" w:rsidRDefault="006B2ACF" w:rsidP="006B7123">
            <w:pPr>
              <w:keepNext/>
              <w:rPr>
                <w:rFonts w:ascii="Arial Narrow" w:hAnsi="Arial Narrow"/>
                <w:sz w:val="20"/>
              </w:rPr>
            </w:pPr>
          </w:p>
          <w:p w:rsidR="00C872E0" w:rsidRPr="000F40C3" w:rsidRDefault="00C872E0" w:rsidP="006B7123">
            <w:pPr>
              <w:pStyle w:val="ListParagraph"/>
              <w:keepNext/>
              <w:widowControl/>
              <w:numPr>
                <w:ilvl w:val="0"/>
                <w:numId w:val="17"/>
              </w:numPr>
              <w:jc w:val="left"/>
              <w:rPr>
                <w:rFonts w:ascii="Arial Narrow" w:hAnsi="Arial Narrow"/>
                <w:sz w:val="20"/>
              </w:rPr>
            </w:pPr>
            <w:r w:rsidRPr="000F40C3">
              <w:rPr>
                <w:rFonts w:ascii="Arial Narrow" w:hAnsi="Arial Narrow"/>
                <w:sz w:val="20"/>
              </w:rPr>
              <w:t xml:space="preserve">incremental OS for the two arms of the model up to </w:t>
            </w:r>
            <w:r w:rsidRPr="000F40C3">
              <w:rPr>
                <w:rFonts w:ascii="Arial Narrow" w:hAnsi="Arial Narrow"/>
                <w:sz w:val="20"/>
                <w:u w:val="single"/>
              </w:rPr>
              <w:t>one year</w:t>
            </w:r>
            <w:r w:rsidRPr="000F40C3">
              <w:rPr>
                <w:rFonts w:ascii="Arial Narrow" w:hAnsi="Arial Narrow"/>
                <w:sz w:val="20"/>
              </w:rPr>
              <w:t xml:space="preserve"> based directly on the observed OS Kaplan-Meier curves (intent-to-treat analysis</w:t>
            </w:r>
            <w:r w:rsidR="00CB55BA" w:rsidRPr="000F40C3">
              <w:rPr>
                <w:rFonts w:ascii="Arial Narrow" w:hAnsi="Arial Narrow"/>
                <w:sz w:val="20"/>
              </w:rPr>
              <w:t xml:space="preserve"> with no censoring for transplant</w:t>
            </w:r>
            <w:r w:rsidRPr="000F40C3">
              <w:rPr>
                <w:rFonts w:ascii="Arial Narrow" w:hAnsi="Arial Narrow"/>
                <w:sz w:val="20"/>
              </w:rPr>
              <w:t>)</w:t>
            </w:r>
          </w:p>
          <w:p w:rsidR="00C872E0" w:rsidRPr="000F40C3" w:rsidRDefault="00C872E0" w:rsidP="006B7123">
            <w:pPr>
              <w:pStyle w:val="ListParagraph"/>
              <w:keepNext/>
              <w:widowControl/>
              <w:numPr>
                <w:ilvl w:val="0"/>
                <w:numId w:val="17"/>
              </w:numPr>
              <w:jc w:val="left"/>
              <w:rPr>
                <w:rFonts w:ascii="Arial Narrow" w:hAnsi="Arial Narrow"/>
                <w:sz w:val="20"/>
              </w:rPr>
            </w:pPr>
            <w:r w:rsidRPr="000F40C3">
              <w:rPr>
                <w:rFonts w:ascii="Arial Narrow" w:hAnsi="Arial Narrow"/>
                <w:sz w:val="20"/>
              </w:rPr>
              <w:t xml:space="preserve">estimate the incremental proportion of patients alive at </w:t>
            </w:r>
            <w:r w:rsidRPr="000F40C3">
              <w:rPr>
                <w:rFonts w:ascii="Arial Narrow" w:hAnsi="Arial Narrow"/>
                <w:sz w:val="20"/>
                <w:u w:val="single"/>
              </w:rPr>
              <w:t>one year</w:t>
            </w:r>
            <w:r w:rsidRPr="000F40C3">
              <w:rPr>
                <w:rFonts w:ascii="Arial Narrow" w:hAnsi="Arial Narrow"/>
                <w:sz w:val="20"/>
              </w:rPr>
              <w:t xml:space="preserve"> across the two Kaplan-Meier curves from the clinical evaluation</w:t>
            </w:r>
          </w:p>
          <w:p w:rsidR="00C872E0" w:rsidRPr="000F40C3" w:rsidRDefault="00C872E0" w:rsidP="006B7123">
            <w:pPr>
              <w:pStyle w:val="ListParagraph"/>
              <w:keepNext/>
              <w:widowControl/>
              <w:numPr>
                <w:ilvl w:val="0"/>
                <w:numId w:val="17"/>
              </w:numPr>
              <w:jc w:val="left"/>
              <w:rPr>
                <w:rFonts w:ascii="Arial Narrow" w:hAnsi="Arial Narrow"/>
                <w:sz w:val="20"/>
              </w:rPr>
            </w:pPr>
            <w:r w:rsidRPr="000F40C3">
              <w:rPr>
                <w:rFonts w:ascii="Arial Narrow" w:hAnsi="Arial Narrow"/>
                <w:sz w:val="20"/>
              </w:rPr>
              <w:t xml:space="preserve">extrapolation modelling on both arms for the OS curves from this time point, whereby patients still alive at </w:t>
            </w:r>
            <w:r w:rsidR="00CB55BA" w:rsidRPr="000F40C3">
              <w:rPr>
                <w:rFonts w:ascii="Arial Narrow" w:hAnsi="Arial Narrow"/>
                <w:sz w:val="20"/>
                <w:u w:val="single"/>
              </w:rPr>
              <w:t>one</w:t>
            </w:r>
            <w:r w:rsidRPr="000F40C3">
              <w:rPr>
                <w:rFonts w:ascii="Arial Narrow" w:hAnsi="Arial Narrow"/>
                <w:sz w:val="20"/>
                <w:u w:val="single"/>
              </w:rPr>
              <w:t xml:space="preserve"> year</w:t>
            </w:r>
            <w:r w:rsidRPr="000F40C3">
              <w:rPr>
                <w:rFonts w:ascii="Arial Narrow" w:hAnsi="Arial Narrow"/>
                <w:sz w:val="20"/>
              </w:rPr>
              <w:t xml:space="preserve"> have normal life expectancy for the remainder of the 20-year model</w:t>
            </w:r>
          </w:p>
          <w:p w:rsidR="00CB55BA" w:rsidRPr="000F40C3" w:rsidRDefault="00CB55BA" w:rsidP="006B7123">
            <w:pPr>
              <w:pStyle w:val="ListParagraph"/>
              <w:keepNext/>
              <w:widowControl/>
              <w:numPr>
                <w:ilvl w:val="0"/>
                <w:numId w:val="16"/>
              </w:numPr>
              <w:jc w:val="left"/>
              <w:rPr>
                <w:rFonts w:ascii="Arial Narrow" w:hAnsi="Arial Narrow"/>
                <w:sz w:val="20"/>
              </w:rPr>
            </w:pPr>
            <w:r w:rsidRPr="000F40C3">
              <w:rPr>
                <w:rFonts w:ascii="Arial Narrow" w:hAnsi="Arial Narrow"/>
                <w:sz w:val="20"/>
              </w:rPr>
              <w:t>blinatumomab cost based on 42 vials (1.64 cycles)</w:t>
            </w:r>
          </w:p>
        </w:tc>
      </w:tr>
      <w:tr w:rsidR="00881A4F" w:rsidRPr="000F40C3" w:rsidTr="006B1C93">
        <w:trPr>
          <w:cantSplit/>
          <w:trHeight w:val="493"/>
        </w:trPr>
        <w:tc>
          <w:tcPr>
            <w:tcW w:w="2500" w:type="pct"/>
            <w:shd w:val="clear" w:color="auto" w:fill="auto"/>
          </w:tcPr>
          <w:p w:rsidR="00AE48C9" w:rsidRPr="000F40C3" w:rsidRDefault="00BE79AD" w:rsidP="006B7123">
            <w:pPr>
              <w:keepNext/>
              <w:rPr>
                <w:rFonts w:ascii="Arial Narrow" w:hAnsi="Arial Narrow"/>
                <w:sz w:val="20"/>
              </w:rPr>
            </w:pPr>
            <w:r w:rsidRPr="000F40C3">
              <w:rPr>
                <w:rFonts w:ascii="Arial Narrow" w:hAnsi="Arial Narrow"/>
                <w:b/>
                <w:sz w:val="20"/>
              </w:rPr>
              <w:t xml:space="preserve">Revised price based on MES </w:t>
            </w:r>
            <w:r w:rsidRPr="000F40C3">
              <w:rPr>
                <w:rFonts w:ascii="Arial Narrow" w:hAnsi="Arial Narrow"/>
                <w:sz w:val="20"/>
              </w:rPr>
              <w:t xml:space="preserve">(paragraphs 6.61 and 6.62) </w:t>
            </w:r>
          </w:p>
          <w:p w:rsidR="00881A4F" w:rsidRPr="000F40C3" w:rsidRDefault="00881A4F" w:rsidP="00113F6A">
            <w:pPr>
              <w:keepNext/>
              <w:rPr>
                <w:rFonts w:ascii="Arial Narrow" w:hAnsi="Arial Narrow"/>
                <w:sz w:val="20"/>
              </w:rPr>
            </w:pPr>
            <w:r w:rsidRPr="000F40C3">
              <w:rPr>
                <w:rFonts w:ascii="Arial Narrow" w:hAnsi="Arial Narrow"/>
                <w:sz w:val="20"/>
              </w:rPr>
              <w:t xml:space="preserve">Back-calculate blinatumomab price </w:t>
            </w:r>
            <w:r w:rsidR="00BE79AD" w:rsidRPr="000F40C3">
              <w:rPr>
                <w:rFonts w:ascii="Arial Narrow" w:hAnsi="Arial Narrow"/>
                <w:sz w:val="20"/>
              </w:rPr>
              <w:t>to obtain an</w:t>
            </w:r>
            <w:r w:rsidRPr="000F40C3">
              <w:rPr>
                <w:rFonts w:ascii="Arial Narrow" w:hAnsi="Arial Narrow"/>
                <w:sz w:val="20"/>
              </w:rPr>
              <w:t xml:space="preserve"> ICER of </w:t>
            </w:r>
            <w:r w:rsidR="00113F6A">
              <w:rPr>
                <w:rFonts w:ascii="Arial Narrow" w:hAnsi="Arial Narrow"/>
                <w:sz w:val="19"/>
                <w:szCs w:val="19"/>
              </w:rPr>
              <w:t>$45,000 - $75,000</w:t>
            </w:r>
            <w:r w:rsidR="00113F6A">
              <w:rPr>
                <w:rFonts w:ascii="Arial Narrow" w:hAnsi="Arial Narrow"/>
                <w:sz w:val="20"/>
              </w:rPr>
              <w:t xml:space="preserve"> per </w:t>
            </w:r>
            <w:r w:rsidR="00BE79AD" w:rsidRPr="000F40C3">
              <w:rPr>
                <w:rFonts w:ascii="Arial Narrow" w:hAnsi="Arial Narrow"/>
                <w:sz w:val="20"/>
              </w:rPr>
              <w:t>QALY gained using the model specified above.</w:t>
            </w:r>
            <w:r w:rsidR="00163019" w:rsidRPr="000F40C3">
              <w:rPr>
                <w:rFonts w:ascii="Arial Narrow" w:hAnsi="Arial Narrow"/>
                <w:sz w:val="20"/>
              </w:rPr>
              <w:t xml:space="preserve"> </w:t>
            </w:r>
          </w:p>
        </w:tc>
        <w:tc>
          <w:tcPr>
            <w:tcW w:w="2500" w:type="pct"/>
            <w:shd w:val="clear" w:color="auto" w:fill="auto"/>
          </w:tcPr>
          <w:p w:rsidR="00BE79AD" w:rsidRPr="000F40C3" w:rsidRDefault="00BE79AD" w:rsidP="006B7123">
            <w:pPr>
              <w:keepNext/>
              <w:rPr>
                <w:rFonts w:ascii="Arial Narrow" w:hAnsi="Arial Narrow"/>
                <w:sz w:val="20"/>
              </w:rPr>
            </w:pPr>
            <w:r w:rsidRPr="000F40C3">
              <w:rPr>
                <w:rFonts w:ascii="Arial Narrow" w:hAnsi="Arial Narrow"/>
                <w:b/>
                <w:sz w:val="20"/>
              </w:rPr>
              <w:t>Proposed price: $</w:t>
            </w:r>
            <w:r w:rsidR="002375CE">
              <w:rPr>
                <w:rFonts w:ascii="Arial Narrow" w:hAnsi="Arial Narrow"/>
                <w:b/>
                <w:noProof/>
                <w:color w:val="000000"/>
                <w:sz w:val="20"/>
                <w:highlight w:val="black"/>
              </w:rPr>
              <w:t>''''''''''''''''</w:t>
            </w:r>
            <w:r w:rsidRPr="000F40C3">
              <w:rPr>
                <w:rFonts w:ascii="Arial Narrow" w:hAnsi="Arial Narrow"/>
                <w:b/>
                <w:sz w:val="20"/>
              </w:rPr>
              <w:t xml:space="preserve"> </w:t>
            </w:r>
            <w:r w:rsidRPr="000F40C3">
              <w:rPr>
                <w:rFonts w:ascii="Arial Narrow" w:hAnsi="Arial Narrow"/>
                <w:sz w:val="20"/>
              </w:rPr>
              <w:t>(effective dispensed price)</w:t>
            </w:r>
          </w:p>
          <w:p w:rsidR="00881A4F" w:rsidRPr="000F40C3" w:rsidRDefault="00BE79AD" w:rsidP="00113F6A">
            <w:pPr>
              <w:keepNext/>
              <w:rPr>
                <w:rFonts w:ascii="Arial Narrow" w:hAnsi="Arial Narrow"/>
                <w:sz w:val="20"/>
              </w:rPr>
            </w:pPr>
            <w:r w:rsidRPr="000F40C3">
              <w:rPr>
                <w:rFonts w:ascii="Arial Narrow" w:hAnsi="Arial Narrow"/>
                <w:sz w:val="20"/>
              </w:rPr>
              <w:t>Blinatumomab price back calculated to obtain an ICER of</w:t>
            </w:r>
            <w:r w:rsidR="00163019" w:rsidRPr="000F40C3">
              <w:rPr>
                <w:rFonts w:ascii="Arial Narrow" w:hAnsi="Arial Narrow"/>
                <w:sz w:val="20"/>
              </w:rPr>
              <w:t xml:space="preserve"> </w:t>
            </w:r>
            <w:r w:rsidR="00113F6A">
              <w:rPr>
                <w:rFonts w:ascii="Arial Narrow" w:hAnsi="Arial Narrow"/>
                <w:sz w:val="19"/>
                <w:szCs w:val="19"/>
              </w:rPr>
              <w:t>$45,000 - $75,000</w:t>
            </w:r>
            <w:r w:rsidR="00113F6A">
              <w:rPr>
                <w:rFonts w:ascii="Arial Narrow" w:hAnsi="Arial Narrow"/>
                <w:sz w:val="20"/>
              </w:rPr>
              <w:t xml:space="preserve"> per </w:t>
            </w:r>
            <w:r w:rsidRPr="000F40C3">
              <w:rPr>
                <w:rFonts w:ascii="Arial Narrow" w:hAnsi="Arial Narrow"/>
                <w:sz w:val="20"/>
              </w:rPr>
              <w:t>QALY gained using the model in the minor resubmission as specified above.</w:t>
            </w:r>
          </w:p>
        </w:tc>
      </w:tr>
      <w:tr w:rsidR="00881A4F" w:rsidRPr="000F40C3" w:rsidTr="006B1C93">
        <w:trPr>
          <w:cantSplit/>
          <w:trHeight w:val="930"/>
        </w:trPr>
        <w:tc>
          <w:tcPr>
            <w:tcW w:w="2500" w:type="pct"/>
            <w:shd w:val="clear" w:color="auto" w:fill="auto"/>
          </w:tcPr>
          <w:p w:rsidR="00881A4F" w:rsidRPr="000F40C3" w:rsidRDefault="00BE79AD" w:rsidP="006B7123">
            <w:pPr>
              <w:keepNext/>
              <w:rPr>
                <w:rFonts w:ascii="Arial Narrow" w:hAnsi="Arial Narrow"/>
                <w:sz w:val="20"/>
              </w:rPr>
            </w:pPr>
            <w:r w:rsidRPr="000F40C3">
              <w:rPr>
                <w:rFonts w:ascii="Arial Narrow" w:hAnsi="Arial Narrow"/>
                <w:b/>
                <w:sz w:val="20"/>
              </w:rPr>
              <w:t xml:space="preserve">Financial forecasts </w:t>
            </w:r>
            <w:r w:rsidRPr="000F40C3">
              <w:rPr>
                <w:rFonts w:ascii="Arial Narrow" w:hAnsi="Arial Narrow"/>
                <w:sz w:val="20"/>
              </w:rPr>
              <w:t>(paragraphs 6.74-6.75)</w:t>
            </w:r>
          </w:p>
          <w:p w:rsidR="00BE79AD" w:rsidRPr="000F40C3" w:rsidRDefault="00BE79AD" w:rsidP="006B7123">
            <w:pPr>
              <w:pStyle w:val="ListParagraph"/>
              <w:keepNext/>
              <w:widowControl/>
              <w:numPr>
                <w:ilvl w:val="0"/>
                <w:numId w:val="16"/>
              </w:numPr>
              <w:rPr>
                <w:rFonts w:ascii="Arial Narrow" w:hAnsi="Arial Narrow"/>
                <w:b/>
                <w:sz w:val="20"/>
              </w:rPr>
            </w:pPr>
            <w:r w:rsidRPr="000F40C3">
              <w:rPr>
                <w:rFonts w:ascii="Arial Narrow" w:hAnsi="Arial Narrow"/>
                <w:sz w:val="20"/>
              </w:rPr>
              <w:t>Expenditure caps reflect 42 vials</w:t>
            </w:r>
          </w:p>
          <w:p w:rsidR="00BE79AD" w:rsidRPr="000F40C3" w:rsidRDefault="00BE79AD" w:rsidP="006B7123">
            <w:pPr>
              <w:pStyle w:val="ListParagraph"/>
              <w:keepNext/>
              <w:widowControl/>
              <w:numPr>
                <w:ilvl w:val="0"/>
                <w:numId w:val="16"/>
              </w:numPr>
              <w:rPr>
                <w:rFonts w:ascii="Arial Narrow" w:hAnsi="Arial Narrow"/>
                <w:b/>
                <w:sz w:val="20"/>
              </w:rPr>
            </w:pPr>
            <w:r w:rsidRPr="000F40C3">
              <w:rPr>
                <w:rFonts w:ascii="Arial Narrow" w:hAnsi="Arial Narrow"/>
                <w:sz w:val="20"/>
              </w:rPr>
              <w:t>Expenditure caps reflect estimated treated population (</w:t>
            </w:r>
            <w:r w:rsidR="00113F6A">
              <w:rPr>
                <w:rFonts w:ascii="Arial Narrow" w:hAnsi="Arial Narrow"/>
                <w:sz w:val="20"/>
              </w:rPr>
              <w:t>less than 10,000</w:t>
            </w:r>
            <w:r w:rsidRPr="000F40C3">
              <w:rPr>
                <w:rFonts w:ascii="Arial Narrow" w:hAnsi="Arial Narrow"/>
                <w:sz w:val="20"/>
              </w:rPr>
              <w:t xml:space="preserve"> adults)</w:t>
            </w:r>
          </w:p>
          <w:p w:rsidR="00BE79AD" w:rsidRPr="000F40C3" w:rsidRDefault="002375CE" w:rsidP="006B7123">
            <w:pPr>
              <w:pStyle w:val="ListParagraph"/>
              <w:keepNext/>
              <w:widowControl/>
              <w:numPr>
                <w:ilvl w:val="0"/>
                <w:numId w:val="16"/>
              </w:numPr>
              <w:rPr>
                <w:rFonts w:ascii="Arial Narrow" w:hAnsi="Arial Narrow"/>
                <w:b/>
                <w:sz w:val="20"/>
              </w:rPr>
            </w:pPr>
            <w:r>
              <w:rPr>
                <w:rFonts w:ascii="Arial Narrow" w:hAnsi="Arial Narrow"/>
                <w:noProof/>
                <w:color w:val="000000"/>
                <w:sz w:val="20"/>
                <w:highlight w:val="black"/>
              </w:rPr>
              <w:t>''''''''</w:t>
            </w:r>
            <w:r w:rsidR="00BE79AD" w:rsidRPr="000F40C3">
              <w:rPr>
                <w:rFonts w:ascii="Arial Narrow" w:hAnsi="Arial Narrow"/>
                <w:sz w:val="20"/>
              </w:rPr>
              <w:t>% rebate to the Commonwealth should apply beyond expenditure caps</w:t>
            </w:r>
          </w:p>
        </w:tc>
        <w:tc>
          <w:tcPr>
            <w:tcW w:w="2500" w:type="pct"/>
            <w:shd w:val="clear" w:color="auto" w:fill="auto"/>
          </w:tcPr>
          <w:p w:rsidR="00BE79AD" w:rsidRPr="000F40C3" w:rsidRDefault="00BE79AD" w:rsidP="006B7123">
            <w:pPr>
              <w:keepNext/>
              <w:rPr>
                <w:rFonts w:ascii="Arial Narrow" w:hAnsi="Arial Narrow"/>
                <w:sz w:val="20"/>
              </w:rPr>
            </w:pPr>
          </w:p>
          <w:p w:rsidR="00881A4F" w:rsidRPr="000F40C3" w:rsidRDefault="00BE79AD" w:rsidP="006B7123">
            <w:pPr>
              <w:keepNext/>
              <w:rPr>
                <w:rFonts w:ascii="Arial Narrow" w:hAnsi="Arial Narrow"/>
                <w:sz w:val="20"/>
              </w:rPr>
            </w:pPr>
            <w:r w:rsidRPr="000F40C3">
              <w:rPr>
                <w:rFonts w:ascii="Arial Narrow" w:hAnsi="Arial Narrow"/>
                <w:sz w:val="20"/>
              </w:rPr>
              <w:t>As the recommended restriction wording is silent on the age of the patient, the resubmission suggested that the caps should be revised (p11-12).</w:t>
            </w:r>
          </w:p>
        </w:tc>
      </w:tr>
    </w:tbl>
    <w:p w:rsidR="00F57AAF" w:rsidRPr="000F40C3" w:rsidRDefault="00F57AAF" w:rsidP="006B7123">
      <w:pPr>
        <w:pStyle w:val="TableFooter"/>
        <w:widowControl/>
        <w:ind w:firstLine="720"/>
      </w:pPr>
      <w:r w:rsidRPr="000F40C3">
        <w:t xml:space="preserve">Source: Compiled during the </w:t>
      </w:r>
      <w:r w:rsidR="006B2ACF" w:rsidRPr="000F40C3">
        <w:t>preparation of the overview</w:t>
      </w:r>
    </w:p>
    <w:p w:rsidR="006B2ACF" w:rsidRPr="000F40C3" w:rsidRDefault="006B2ACF" w:rsidP="006B7123">
      <w:pPr>
        <w:pStyle w:val="TableFooter"/>
        <w:widowControl/>
        <w:ind w:left="709" w:firstLine="11"/>
      </w:pPr>
      <w:r w:rsidRPr="000F40C3">
        <w:t xml:space="preserve">ICER = incremental cost-effectiveness ratio; </w:t>
      </w:r>
      <w:r w:rsidR="00DC54D4" w:rsidRPr="000F40C3">
        <w:t xml:space="preserve">MES = managed entry scheme; </w:t>
      </w:r>
      <w:r w:rsidRPr="000F40C3">
        <w:t>OS = overall survival; QALY = quality adjusted life years</w:t>
      </w:r>
    </w:p>
    <w:p w:rsidR="008A1956" w:rsidRPr="000F40C3" w:rsidRDefault="008A1956" w:rsidP="00051C05">
      <w:pPr>
        <w:jc w:val="both"/>
        <w:rPr>
          <w:rFonts w:ascii="Arial" w:hAnsi="Arial"/>
          <w:b/>
          <w:sz w:val="22"/>
          <w:szCs w:val="22"/>
        </w:rPr>
      </w:pPr>
    </w:p>
    <w:p w:rsidR="00F57AAF" w:rsidRPr="000F40C3" w:rsidRDefault="00F57AAF" w:rsidP="00956D45">
      <w:pPr>
        <w:jc w:val="both"/>
        <w:rPr>
          <w:rFonts w:ascii="Arial" w:hAnsi="Arial"/>
          <w:b/>
          <w:sz w:val="22"/>
          <w:szCs w:val="22"/>
        </w:rPr>
      </w:pPr>
    </w:p>
    <w:p w:rsidR="00CE10C4" w:rsidRPr="000F40C3" w:rsidRDefault="00CE10C4" w:rsidP="00956D45">
      <w:pPr>
        <w:pStyle w:val="PBACHeading1"/>
      </w:pPr>
      <w:r w:rsidRPr="000F40C3">
        <w:t>Clinical place for the proposed ther</w:t>
      </w:r>
      <w:r w:rsidR="006A12A5" w:rsidRPr="000F40C3">
        <w:t>apy</w:t>
      </w:r>
    </w:p>
    <w:p w:rsidR="00CE10C4" w:rsidRPr="000F40C3" w:rsidRDefault="00CE10C4" w:rsidP="00956D45">
      <w:pPr>
        <w:jc w:val="both"/>
        <w:rPr>
          <w:rFonts w:ascii="Arial" w:hAnsi="Arial"/>
          <w:sz w:val="22"/>
          <w:szCs w:val="22"/>
        </w:rPr>
      </w:pPr>
    </w:p>
    <w:p w:rsidR="00BB7EC3" w:rsidRPr="000F40C3" w:rsidRDefault="00504A3C" w:rsidP="006B7123">
      <w:pPr>
        <w:pStyle w:val="ListParagraph"/>
        <w:widowControl/>
        <w:numPr>
          <w:ilvl w:val="1"/>
          <w:numId w:val="5"/>
        </w:numPr>
        <w:rPr>
          <w:szCs w:val="22"/>
        </w:rPr>
      </w:pPr>
      <w:r w:rsidRPr="000F40C3">
        <w:t>As for the previous submissions, the minor resubmission proposed that blinatumomab be used in the treatment of relapsed or refractory Ph-B-precursor ALL patients.</w:t>
      </w:r>
    </w:p>
    <w:p w:rsidR="008A1956" w:rsidRPr="000F40C3" w:rsidRDefault="008A1956" w:rsidP="00051C05">
      <w:pPr>
        <w:pStyle w:val="Header"/>
        <w:tabs>
          <w:tab w:val="clear" w:pos="4153"/>
          <w:tab w:val="clear" w:pos="8306"/>
        </w:tabs>
        <w:jc w:val="both"/>
        <w:rPr>
          <w:rFonts w:ascii="Arial" w:hAnsi="Arial"/>
          <w:sz w:val="22"/>
          <w:szCs w:val="22"/>
        </w:rPr>
      </w:pPr>
    </w:p>
    <w:p w:rsidR="00DC54D4" w:rsidRPr="000F40C3" w:rsidRDefault="00DC54D4" w:rsidP="006B7123">
      <w:pPr>
        <w:pStyle w:val="Header"/>
        <w:tabs>
          <w:tab w:val="clear" w:pos="4153"/>
          <w:tab w:val="clear" w:pos="8306"/>
        </w:tabs>
        <w:jc w:val="both"/>
        <w:rPr>
          <w:rFonts w:ascii="Arial" w:hAnsi="Arial"/>
          <w:sz w:val="22"/>
          <w:szCs w:val="22"/>
        </w:rPr>
      </w:pPr>
    </w:p>
    <w:p w:rsidR="005A3173" w:rsidRPr="000F40C3" w:rsidRDefault="005A3173" w:rsidP="006B7123">
      <w:pPr>
        <w:pStyle w:val="PBACHeading1"/>
      </w:pPr>
      <w:r w:rsidRPr="000F40C3">
        <w:t>Comparator</w:t>
      </w:r>
    </w:p>
    <w:p w:rsidR="005A3173" w:rsidRPr="000F40C3" w:rsidRDefault="005A3173" w:rsidP="006B7123">
      <w:pPr>
        <w:pStyle w:val="Header"/>
        <w:tabs>
          <w:tab w:val="clear" w:pos="4153"/>
          <w:tab w:val="clear" w:pos="8306"/>
        </w:tabs>
        <w:jc w:val="both"/>
        <w:rPr>
          <w:rFonts w:ascii="Arial" w:hAnsi="Arial"/>
          <w:b/>
          <w:sz w:val="22"/>
          <w:szCs w:val="22"/>
        </w:rPr>
      </w:pPr>
    </w:p>
    <w:p w:rsidR="00504A3C" w:rsidRPr="000F40C3" w:rsidRDefault="00504A3C" w:rsidP="006B7123">
      <w:pPr>
        <w:pStyle w:val="ListParagraph"/>
        <w:widowControl/>
        <w:numPr>
          <w:ilvl w:val="1"/>
          <w:numId w:val="5"/>
        </w:numPr>
        <w:rPr>
          <w:szCs w:val="22"/>
        </w:rPr>
      </w:pPr>
      <w:r w:rsidRPr="000F40C3">
        <w:rPr>
          <w:szCs w:val="22"/>
        </w:rPr>
        <w:t xml:space="preserve">The comparator was unchanged from the previous submissions. </w:t>
      </w:r>
      <w:r w:rsidRPr="000F40C3">
        <w:t>The PBAC previously accepted the comparator as standard care chemotherapy, including FLAG with or without anthracycline, high dose methotrexat</w:t>
      </w:r>
      <w:r w:rsidR="0079071A">
        <w:t>e in combination with pegylated</w:t>
      </w:r>
      <w:r w:rsidR="0079071A">
        <w:noBreakHyphen/>
      </w:r>
      <w:r w:rsidRPr="000F40C3">
        <w:t>asparginase, vinca alkaloids, steroids, etoposide or alkylating agents, and high-dose cytarabine (HiDAC) base chemotherapy.</w:t>
      </w:r>
    </w:p>
    <w:p w:rsidR="00DF26A7" w:rsidRPr="000F40C3" w:rsidRDefault="00DF26A7" w:rsidP="00051C05">
      <w:pPr>
        <w:rPr>
          <w:szCs w:val="22"/>
        </w:rPr>
      </w:pPr>
    </w:p>
    <w:p w:rsidR="004C0FC0" w:rsidRPr="000F40C3" w:rsidRDefault="004C0FC0" w:rsidP="006B7123">
      <w:pPr>
        <w:jc w:val="both"/>
        <w:rPr>
          <w:rFonts w:ascii="Arial" w:hAnsi="Arial"/>
          <w:sz w:val="22"/>
          <w:szCs w:val="22"/>
        </w:rPr>
      </w:pPr>
    </w:p>
    <w:p w:rsidR="000B558D" w:rsidRPr="000F40C3" w:rsidRDefault="008D7A41" w:rsidP="006B7123">
      <w:pPr>
        <w:pStyle w:val="PBACHeading1"/>
      </w:pPr>
      <w:r w:rsidRPr="000F40C3">
        <w:lastRenderedPageBreak/>
        <w:t>C</w:t>
      </w:r>
      <w:r w:rsidR="00D84934" w:rsidRPr="000F40C3">
        <w:t>onsideration of the evidence</w:t>
      </w:r>
    </w:p>
    <w:p w:rsidR="00D367CD" w:rsidRPr="000F40C3" w:rsidRDefault="00D367CD" w:rsidP="006B7123">
      <w:pPr>
        <w:jc w:val="both"/>
        <w:rPr>
          <w:rFonts w:ascii="Arial" w:hAnsi="Arial"/>
          <w:sz w:val="22"/>
          <w:szCs w:val="22"/>
        </w:rPr>
      </w:pPr>
    </w:p>
    <w:p w:rsidR="00455521" w:rsidRPr="000F40C3" w:rsidRDefault="00455521" w:rsidP="006B7123">
      <w:pPr>
        <w:pStyle w:val="Heading2"/>
        <w:rPr>
          <w:b w:val="0"/>
        </w:rPr>
      </w:pPr>
      <w:r w:rsidRPr="000F40C3">
        <w:t>Sponsor hearing</w:t>
      </w:r>
    </w:p>
    <w:p w:rsidR="00D367CD" w:rsidRPr="000F40C3" w:rsidRDefault="00D367CD" w:rsidP="006B7123">
      <w:pPr>
        <w:rPr>
          <w:rFonts w:ascii="Arial" w:hAnsi="Arial" w:cs="Arial"/>
          <w:b/>
          <w:bCs/>
          <w:snapToGrid w:val="0"/>
          <w:sz w:val="22"/>
          <w:szCs w:val="22"/>
        </w:rPr>
      </w:pPr>
    </w:p>
    <w:p w:rsidR="00455521" w:rsidRPr="000F40C3" w:rsidRDefault="00455521" w:rsidP="006B7123">
      <w:pPr>
        <w:numPr>
          <w:ilvl w:val="1"/>
          <w:numId w:val="5"/>
        </w:numPr>
        <w:rPr>
          <w:rFonts w:ascii="Arial" w:hAnsi="Arial" w:cs="Arial"/>
          <w:bCs/>
          <w:snapToGrid w:val="0"/>
          <w:sz w:val="22"/>
          <w:szCs w:val="22"/>
        </w:rPr>
      </w:pPr>
      <w:r w:rsidRPr="000F40C3">
        <w:rPr>
          <w:rFonts w:ascii="Arial" w:hAnsi="Arial" w:cs="Arial"/>
          <w:bCs/>
          <w:snapToGrid w:val="0"/>
          <w:sz w:val="22"/>
          <w:szCs w:val="22"/>
        </w:rPr>
        <w:t>There was no hearing for this item as it was a minor su</w:t>
      </w:r>
      <w:r w:rsidR="00D367CD" w:rsidRPr="000F40C3">
        <w:rPr>
          <w:rFonts w:ascii="Arial" w:hAnsi="Arial" w:cs="Arial"/>
          <w:bCs/>
          <w:snapToGrid w:val="0"/>
          <w:sz w:val="22"/>
          <w:szCs w:val="22"/>
        </w:rPr>
        <w:t>bmission.</w:t>
      </w:r>
    </w:p>
    <w:p w:rsidR="00455521" w:rsidRPr="000F40C3" w:rsidRDefault="00455521" w:rsidP="006B7123">
      <w:pPr>
        <w:rPr>
          <w:rFonts w:ascii="Arial" w:hAnsi="Arial" w:cs="Arial"/>
          <w:bCs/>
          <w:snapToGrid w:val="0"/>
          <w:sz w:val="22"/>
          <w:szCs w:val="22"/>
        </w:rPr>
      </w:pPr>
    </w:p>
    <w:p w:rsidR="00455521" w:rsidRPr="000F40C3" w:rsidRDefault="00455521" w:rsidP="006B7123">
      <w:pPr>
        <w:pStyle w:val="Heading2"/>
        <w:rPr>
          <w:b w:val="0"/>
        </w:rPr>
      </w:pPr>
      <w:r w:rsidRPr="000F40C3">
        <w:t>Consumer comments</w:t>
      </w:r>
    </w:p>
    <w:p w:rsidR="00455521" w:rsidRPr="000F40C3" w:rsidRDefault="00455521" w:rsidP="006B7123">
      <w:pPr>
        <w:rPr>
          <w:rFonts w:ascii="Arial" w:hAnsi="Arial" w:cs="Arial"/>
          <w:b/>
          <w:bCs/>
          <w:snapToGrid w:val="0"/>
          <w:sz w:val="22"/>
          <w:szCs w:val="22"/>
          <w:highlight w:val="yellow"/>
        </w:rPr>
      </w:pPr>
    </w:p>
    <w:p w:rsidR="00455521" w:rsidRPr="000F40C3" w:rsidRDefault="00455521" w:rsidP="00956D45">
      <w:pPr>
        <w:numPr>
          <w:ilvl w:val="1"/>
          <w:numId w:val="5"/>
        </w:numPr>
        <w:jc w:val="both"/>
        <w:rPr>
          <w:rFonts w:ascii="Arial" w:hAnsi="Arial" w:cs="Arial"/>
          <w:bCs/>
          <w:snapToGrid w:val="0"/>
          <w:sz w:val="22"/>
          <w:szCs w:val="22"/>
        </w:rPr>
      </w:pPr>
      <w:r w:rsidRPr="000F40C3">
        <w:rPr>
          <w:rFonts w:ascii="Arial" w:hAnsi="Arial" w:cs="Arial"/>
          <w:bCs/>
          <w:snapToGrid w:val="0"/>
          <w:sz w:val="22"/>
          <w:szCs w:val="22"/>
        </w:rPr>
        <w:t xml:space="preserve">The PBAC noted and welcomed the input from </w:t>
      </w:r>
      <w:r w:rsidR="00D367CD" w:rsidRPr="000F40C3">
        <w:rPr>
          <w:rFonts w:ascii="Arial" w:hAnsi="Arial" w:cs="Arial"/>
          <w:bCs/>
          <w:snapToGrid w:val="0"/>
          <w:sz w:val="22"/>
          <w:szCs w:val="22"/>
        </w:rPr>
        <w:t>individuals</w:t>
      </w:r>
      <w:r w:rsidRPr="000F40C3">
        <w:rPr>
          <w:rFonts w:ascii="Arial" w:hAnsi="Arial" w:cs="Arial"/>
          <w:bCs/>
          <w:snapToGrid w:val="0"/>
          <w:sz w:val="22"/>
          <w:szCs w:val="22"/>
        </w:rPr>
        <w:t xml:space="preserve"> (13) and organisations (2) via the Consumer Comments facility on the PBS website.  The comments described a range of benefits of treatment with </w:t>
      </w:r>
      <w:r w:rsidR="00D367CD" w:rsidRPr="000F40C3">
        <w:rPr>
          <w:rFonts w:ascii="Arial" w:hAnsi="Arial" w:cs="Arial"/>
          <w:bCs/>
          <w:snapToGrid w:val="0"/>
          <w:sz w:val="22"/>
          <w:szCs w:val="22"/>
        </w:rPr>
        <w:t>blinatumomab</w:t>
      </w:r>
      <w:r w:rsidR="00BC0C3E" w:rsidRPr="000F40C3">
        <w:rPr>
          <w:rFonts w:ascii="Arial" w:hAnsi="Arial" w:cs="Arial"/>
          <w:bCs/>
          <w:snapToGrid w:val="0"/>
          <w:sz w:val="22"/>
          <w:szCs w:val="22"/>
        </w:rPr>
        <w:t xml:space="preserve"> compared with standard care chemotherapy</w:t>
      </w:r>
      <w:r w:rsidR="00D367CD" w:rsidRPr="000F40C3">
        <w:rPr>
          <w:rFonts w:ascii="Arial" w:hAnsi="Arial" w:cs="Arial"/>
          <w:bCs/>
          <w:snapToGrid w:val="0"/>
          <w:sz w:val="22"/>
          <w:szCs w:val="22"/>
        </w:rPr>
        <w:t xml:space="preserve">, including fewer side effects, improvements in quality of life, and </w:t>
      </w:r>
      <w:r w:rsidR="00BC0C3E" w:rsidRPr="000F40C3">
        <w:rPr>
          <w:rFonts w:ascii="Arial" w:hAnsi="Arial" w:cs="Arial"/>
          <w:bCs/>
          <w:snapToGrid w:val="0"/>
          <w:sz w:val="22"/>
          <w:szCs w:val="22"/>
        </w:rPr>
        <w:t>reduced time spent in hospital for treatment</w:t>
      </w:r>
      <w:r w:rsidR="00D367CD" w:rsidRPr="000F40C3">
        <w:rPr>
          <w:rFonts w:ascii="Arial" w:hAnsi="Arial" w:cs="Arial"/>
          <w:bCs/>
          <w:snapToGrid w:val="0"/>
          <w:sz w:val="22"/>
          <w:szCs w:val="22"/>
        </w:rPr>
        <w:t>.</w:t>
      </w:r>
    </w:p>
    <w:p w:rsidR="00455521" w:rsidRPr="000F40C3" w:rsidRDefault="00455521" w:rsidP="00956D45">
      <w:pPr>
        <w:rPr>
          <w:rFonts w:ascii="Arial" w:hAnsi="Arial" w:cs="Arial"/>
          <w:bCs/>
          <w:snapToGrid w:val="0"/>
          <w:sz w:val="22"/>
          <w:szCs w:val="22"/>
        </w:rPr>
      </w:pPr>
    </w:p>
    <w:p w:rsidR="00455521" w:rsidRPr="000F40C3" w:rsidRDefault="00455521" w:rsidP="00956D45">
      <w:pPr>
        <w:numPr>
          <w:ilvl w:val="1"/>
          <w:numId w:val="5"/>
        </w:numPr>
        <w:jc w:val="both"/>
        <w:rPr>
          <w:rFonts w:ascii="Arial" w:hAnsi="Arial" w:cs="Arial"/>
          <w:bCs/>
          <w:snapToGrid w:val="0"/>
          <w:sz w:val="22"/>
          <w:szCs w:val="22"/>
        </w:rPr>
      </w:pPr>
      <w:r w:rsidRPr="000F40C3">
        <w:rPr>
          <w:rFonts w:ascii="Arial" w:hAnsi="Arial" w:cs="Arial"/>
          <w:bCs/>
          <w:snapToGrid w:val="0"/>
          <w:sz w:val="22"/>
          <w:szCs w:val="22"/>
        </w:rPr>
        <w:t xml:space="preserve">The PBAC </w:t>
      </w:r>
      <w:r w:rsidR="00D367CD" w:rsidRPr="000F40C3">
        <w:rPr>
          <w:rFonts w:ascii="Arial" w:hAnsi="Arial" w:cs="Arial"/>
          <w:bCs/>
          <w:snapToGrid w:val="0"/>
          <w:sz w:val="22"/>
          <w:szCs w:val="22"/>
        </w:rPr>
        <w:t xml:space="preserve">noted the advice received from the Leukaemia Foundation and Rare Cancers Australia clarifying the likely use of blinatumomab </w:t>
      </w:r>
      <w:r w:rsidRPr="000F40C3">
        <w:rPr>
          <w:rFonts w:ascii="Arial" w:hAnsi="Arial" w:cs="Arial"/>
          <w:bCs/>
          <w:snapToGrid w:val="0"/>
          <w:sz w:val="22"/>
          <w:szCs w:val="22"/>
        </w:rPr>
        <w:t xml:space="preserve">in clinical practice.  The PBAC specifically noted the advice that the use of </w:t>
      </w:r>
      <w:r w:rsidR="00D367CD" w:rsidRPr="000F40C3">
        <w:rPr>
          <w:rFonts w:ascii="Arial" w:hAnsi="Arial" w:cs="Arial"/>
          <w:bCs/>
          <w:snapToGrid w:val="0"/>
          <w:sz w:val="22"/>
          <w:szCs w:val="22"/>
        </w:rPr>
        <w:t xml:space="preserve">blinatumomab </w:t>
      </w:r>
      <w:r w:rsidRPr="000F40C3">
        <w:rPr>
          <w:rFonts w:ascii="Arial" w:hAnsi="Arial" w:cs="Arial"/>
          <w:bCs/>
          <w:snapToGrid w:val="0"/>
          <w:sz w:val="22"/>
          <w:szCs w:val="22"/>
        </w:rPr>
        <w:t xml:space="preserve">may </w:t>
      </w:r>
      <w:r w:rsidR="00D367CD" w:rsidRPr="000F40C3">
        <w:rPr>
          <w:rFonts w:ascii="Arial" w:hAnsi="Arial" w:cs="Arial"/>
          <w:bCs/>
          <w:snapToGrid w:val="0"/>
          <w:sz w:val="22"/>
          <w:szCs w:val="22"/>
        </w:rPr>
        <w:t>provide significant benefits compared with current standard chemotherapy, including reduced side effects</w:t>
      </w:r>
      <w:r w:rsidRPr="000F40C3">
        <w:rPr>
          <w:rFonts w:ascii="Arial" w:hAnsi="Arial" w:cs="Arial"/>
          <w:bCs/>
          <w:snapToGrid w:val="0"/>
          <w:sz w:val="22"/>
          <w:szCs w:val="22"/>
        </w:rPr>
        <w:t xml:space="preserve"> </w:t>
      </w:r>
      <w:r w:rsidR="00D367CD" w:rsidRPr="000F40C3">
        <w:rPr>
          <w:rFonts w:ascii="Arial" w:hAnsi="Arial" w:cs="Arial"/>
          <w:bCs/>
          <w:snapToGrid w:val="0"/>
          <w:sz w:val="22"/>
          <w:szCs w:val="22"/>
        </w:rPr>
        <w:t>and improvements in patient outcomes, including overall survival</w:t>
      </w:r>
      <w:r w:rsidR="00322A78" w:rsidRPr="000F40C3">
        <w:rPr>
          <w:rFonts w:ascii="Arial" w:hAnsi="Arial" w:cs="Arial"/>
          <w:bCs/>
          <w:snapToGrid w:val="0"/>
          <w:sz w:val="22"/>
          <w:szCs w:val="22"/>
        </w:rPr>
        <w:t xml:space="preserve"> and quality of life</w:t>
      </w:r>
      <w:r w:rsidR="00D367CD" w:rsidRPr="000F40C3">
        <w:rPr>
          <w:rFonts w:ascii="Arial" w:hAnsi="Arial" w:cs="Arial"/>
          <w:bCs/>
          <w:snapToGrid w:val="0"/>
          <w:sz w:val="22"/>
          <w:szCs w:val="22"/>
        </w:rPr>
        <w:t>.</w:t>
      </w:r>
      <w:r w:rsidRPr="000F40C3">
        <w:rPr>
          <w:rFonts w:ascii="Arial" w:hAnsi="Arial" w:cs="Arial"/>
          <w:bCs/>
          <w:snapToGrid w:val="0"/>
          <w:sz w:val="22"/>
          <w:szCs w:val="22"/>
        </w:rPr>
        <w:t xml:space="preserve"> The PBAC noted that this advice was supportive of the evidence provided in the submission.</w:t>
      </w:r>
    </w:p>
    <w:p w:rsidR="00455521" w:rsidRPr="000F40C3" w:rsidRDefault="00455521" w:rsidP="00956D45">
      <w:pPr>
        <w:jc w:val="both"/>
        <w:rPr>
          <w:rFonts w:ascii="Arial" w:hAnsi="Arial"/>
          <w:sz w:val="22"/>
          <w:szCs w:val="22"/>
        </w:rPr>
      </w:pPr>
    </w:p>
    <w:p w:rsidR="00D84934" w:rsidRPr="000F40C3" w:rsidRDefault="00D84934" w:rsidP="00956D45">
      <w:pPr>
        <w:pStyle w:val="Heading2"/>
      </w:pPr>
      <w:r w:rsidRPr="000F40C3">
        <w:t>Clinical trials</w:t>
      </w:r>
    </w:p>
    <w:p w:rsidR="00D84934" w:rsidRPr="000F40C3" w:rsidRDefault="00D84934" w:rsidP="00956D45">
      <w:pPr>
        <w:jc w:val="both"/>
        <w:rPr>
          <w:rFonts w:ascii="Arial" w:hAnsi="Arial"/>
          <w:sz w:val="22"/>
          <w:szCs w:val="22"/>
        </w:rPr>
      </w:pPr>
    </w:p>
    <w:p w:rsidR="00FB3954" w:rsidRPr="000F40C3" w:rsidRDefault="006B1C93" w:rsidP="00956D45">
      <w:pPr>
        <w:pStyle w:val="ListParagraph"/>
        <w:widowControl/>
        <w:numPr>
          <w:ilvl w:val="1"/>
          <w:numId w:val="5"/>
        </w:numPr>
        <w:rPr>
          <w:szCs w:val="22"/>
        </w:rPr>
      </w:pPr>
      <w:r w:rsidRPr="000F40C3">
        <w:rPr>
          <w:szCs w:val="22"/>
        </w:rPr>
        <w:t>Overall survival data from the TOWER trial were presented in the minor resubmission</w:t>
      </w:r>
      <w:r w:rsidR="002C5BD5" w:rsidRPr="000F40C3">
        <w:rPr>
          <w:szCs w:val="22"/>
        </w:rPr>
        <w:t xml:space="preserve"> </w:t>
      </w:r>
      <w:r w:rsidR="00363E2F" w:rsidRPr="000F40C3">
        <w:rPr>
          <w:szCs w:val="22"/>
        </w:rPr>
        <w:t xml:space="preserve">and were used </w:t>
      </w:r>
      <w:r w:rsidR="002C5BD5" w:rsidRPr="000F40C3">
        <w:rPr>
          <w:szCs w:val="22"/>
        </w:rPr>
        <w:t>to populate the economic model</w:t>
      </w:r>
      <w:r w:rsidR="00FB3954" w:rsidRPr="000F40C3">
        <w:rPr>
          <w:szCs w:val="22"/>
        </w:rPr>
        <w:t>.</w:t>
      </w:r>
      <w:r w:rsidR="00DC54D4" w:rsidRPr="000F40C3">
        <w:rPr>
          <w:szCs w:val="22"/>
        </w:rPr>
        <w:t xml:space="preserve"> The median follow-up was 11.7</w:t>
      </w:r>
      <w:r w:rsidR="00C073B2" w:rsidRPr="000F40C3">
        <w:rPr>
          <w:szCs w:val="22"/>
        </w:rPr>
        <w:t> </w:t>
      </w:r>
      <w:r w:rsidR="00DC54D4" w:rsidRPr="000F40C3">
        <w:rPr>
          <w:szCs w:val="22"/>
        </w:rPr>
        <w:t>months in the blinatumomab arm and 11.8 months in the standard care arm. In the blinatumomab arm 27.7% (74/267) of patients received other cancer therapy during the follow-up compared with 38.5% (42/109) of patients in the standard care arm.</w:t>
      </w:r>
      <w:r w:rsidR="00683800" w:rsidRPr="000F40C3">
        <w:rPr>
          <w:szCs w:val="22"/>
        </w:rPr>
        <w:t xml:space="preserve"> Of the stan</w:t>
      </w:r>
      <w:r w:rsidR="000373DC" w:rsidRPr="000F40C3">
        <w:rPr>
          <w:szCs w:val="22"/>
        </w:rPr>
        <w:t>dard care patients receiving another</w:t>
      </w:r>
      <w:r w:rsidR="00683800" w:rsidRPr="000F40C3">
        <w:rPr>
          <w:szCs w:val="22"/>
        </w:rPr>
        <w:t xml:space="preserve"> cancer treatment, 17</w:t>
      </w:r>
      <w:r w:rsidR="00C073B2" w:rsidRPr="000F40C3">
        <w:rPr>
          <w:szCs w:val="22"/>
        </w:rPr>
        <w:t>%</w:t>
      </w:r>
      <w:r w:rsidR="00683800" w:rsidRPr="000F40C3">
        <w:rPr>
          <w:szCs w:val="22"/>
        </w:rPr>
        <w:t xml:space="preserve"> (7/42) received blinatumomab.</w:t>
      </w:r>
    </w:p>
    <w:p w:rsidR="00FB3954" w:rsidRPr="000F40C3" w:rsidRDefault="00FB3954" w:rsidP="006B7123">
      <w:pPr>
        <w:pStyle w:val="ListParagraph"/>
        <w:widowControl/>
        <w:rPr>
          <w:szCs w:val="22"/>
        </w:rPr>
      </w:pPr>
    </w:p>
    <w:p w:rsidR="00FB3954" w:rsidRPr="000F40C3" w:rsidRDefault="00683800" w:rsidP="00051C05">
      <w:pPr>
        <w:pStyle w:val="PBACHeading1"/>
        <w:keepNext/>
        <w:numPr>
          <w:ilvl w:val="0"/>
          <w:numId w:val="0"/>
        </w:numPr>
        <w:ind w:left="720"/>
        <w:outlineLvl w:val="9"/>
        <w:rPr>
          <w:rStyle w:val="CommentReference"/>
          <w:rFonts w:ascii="Arial Narrow" w:hAnsi="Arial Narrow"/>
          <w:sz w:val="20"/>
          <w:szCs w:val="20"/>
        </w:rPr>
      </w:pPr>
      <w:r w:rsidRPr="000F40C3">
        <w:rPr>
          <w:rStyle w:val="CommentReference"/>
          <w:rFonts w:ascii="Arial Narrow" w:hAnsi="Arial Narrow"/>
          <w:sz w:val="20"/>
          <w:szCs w:val="20"/>
        </w:rPr>
        <w:t>Table 3</w:t>
      </w:r>
      <w:r w:rsidR="00FB3954" w:rsidRPr="000F40C3">
        <w:rPr>
          <w:rStyle w:val="CommentReference"/>
          <w:rFonts w:ascii="Arial Narrow" w:hAnsi="Arial Narrow"/>
          <w:sz w:val="20"/>
          <w:szCs w:val="20"/>
        </w:rPr>
        <w:t>: Key features of the TOWER trial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8"/>
        <w:gridCol w:w="426"/>
        <w:gridCol w:w="990"/>
        <w:gridCol w:w="995"/>
        <w:gridCol w:w="3405"/>
        <w:gridCol w:w="1118"/>
        <w:gridCol w:w="703"/>
      </w:tblGrid>
      <w:tr w:rsidR="00FB3954" w:rsidRPr="000F40C3" w:rsidTr="00555FE6">
        <w:trPr>
          <w:cantSplit/>
          <w:tblHeader/>
        </w:trPr>
        <w:tc>
          <w:tcPr>
            <w:tcW w:w="425" w:type="pct"/>
            <w:tcBorders>
              <w:top w:val="single" w:sz="4" w:space="0" w:color="auto"/>
              <w:left w:val="single" w:sz="4" w:space="0" w:color="auto"/>
              <w:bottom w:val="single" w:sz="4" w:space="0" w:color="auto"/>
              <w:right w:val="single" w:sz="4" w:space="0" w:color="auto"/>
            </w:tcBorders>
            <w:vAlign w:val="center"/>
            <w:hideMark/>
          </w:tcPr>
          <w:p w:rsidR="00FB3954" w:rsidRPr="000F40C3" w:rsidRDefault="00FB3954" w:rsidP="006B7123">
            <w:pPr>
              <w:keepNext/>
              <w:snapToGrid w:val="0"/>
              <w:rPr>
                <w:rFonts w:ascii="Arial Narrow" w:hAnsi="Arial Narrow"/>
                <w:b/>
                <w:sz w:val="20"/>
              </w:rPr>
            </w:pPr>
            <w:r w:rsidRPr="000F40C3">
              <w:rPr>
                <w:rFonts w:ascii="Arial Narrow" w:hAnsi="Arial Narrow"/>
                <w:b/>
                <w:sz w:val="20"/>
              </w:rPr>
              <w:t>Study</w:t>
            </w:r>
          </w:p>
        </w:tc>
        <w:tc>
          <w:tcPr>
            <w:tcW w:w="255" w:type="pct"/>
            <w:tcBorders>
              <w:top w:val="single" w:sz="4" w:space="0" w:color="auto"/>
              <w:left w:val="single" w:sz="4" w:space="0" w:color="auto"/>
              <w:bottom w:val="single" w:sz="4" w:space="0" w:color="auto"/>
              <w:right w:val="single" w:sz="4" w:space="0" w:color="auto"/>
            </w:tcBorders>
            <w:vAlign w:val="center"/>
            <w:hideMark/>
          </w:tcPr>
          <w:p w:rsidR="00FB3954" w:rsidRPr="000F40C3" w:rsidRDefault="00FB3954" w:rsidP="006B7123">
            <w:pPr>
              <w:keepNext/>
              <w:snapToGrid w:val="0"/>
              <w:jc w:val="center"/>
              <w:rPr>
                <w:rFonts w:ascii="Arial Narrow" w:hAnsi="Arial Narrow"/>
                <w:b/>
                <w:sz w:val="20"/>
              </w:rPr>
            </w:pPr>
            <w:r w:rsidRPr="000F40C3">
              <w:rPr>
                <w:rFonts w:ascii="Arial Narrow" w:hAnsi="Arial Narrow"/>
                <w:b/>
                <w:sz w:val="20"/>
              </w:rPr>
              <w:t>N</w:t>
            </w:r>
          </w:p>
        </w:tc>
        <w:tc>
          <w:tcPr>
            <w:tcW w:w="593" w:type="pct"/>
            <w:tcBorders>
              <w:top w:val="single" w:sz="4" w:space="0" w:color="auto"/>
              <w:left w:val="single" w:sz="4" w:space="0" w:color="auto"/>
              <w:bottom w:val="single" w:sz="4" w:space="0" w:color="auto"/>
              <w:right w:val="single" w:sz="4" w:space="0" w:color="auto"/>
            </w:tcBorders>
            <w:vAlign w:val="center"/>
            <w:hideMark/>
          </w:tcPr>
          <w:p w:rsidR="00FB3954" w:rsidRPr="000F40C3" w:rsidRDefault="00FB3954" w:rsidP="006B7123">
            <w:pPr>
              <w:keepNext/>
              <w:snapToGrid w:val="0"/>
              <w:jc w:val="center"/>
              <w:rPr>
                <w:rFonts w:ascii="Arial Narrow" w:hAnsi="Arial Narrow"/>
                <w:b/>
                <w:sz w:val="20"/>
              </w:rPr>
            </w:pPr>
            <w:r w:rsidRPr="000F40C3">
              <w:rPr>
                <w:rFonts w:ascii="Arial Narrow" w:hAnsi="Arial Narrow"/>
                <w:b/>
                <w:sz w:val="20"/>
              </w:rPr>
              <w:t>Design/</w:t>
            </w:r>
          </w:p>
          <w:p w:rsidR="00FB3954" w:rsidRPr="000F40C3" w:rsidRDefault="00FB3954" w:rsidP="006B7123">
            <w:pPr>
              <w:keepNext/>
              <w:snapToGrid w:val="0"/>
              <w:jc w:val="center"/>
              <w:rPr>
                <w:rFonts w:ascii="Arial Narrow" w:hAnsi="Arial Narrow"/>
                <w:b/>
                <w:sz w:val="20"/>
              </w:rPr>
            </w:pPr>
            <w:r w:rsidRPr="000F40C3">
              <w:rPr>
                <w:rFonts w:ascii="Arial Narrow" w:hAnsi="Arial Narrow"/>
                <w:b/>
                <w:sz w:val="20"/>
              </w:rPr>
              <w:t>duration</w:t>
            </w:r>
          </w:p>
        </w:tc>
        <w:tc>
          <w:tcPr>
            <w:tcW w:w="596" w:type="pct"/>
            <w:tcBorders>
              <w:top w:val="single" w:sz="4" w:space="0" w:color="auto"/>
              <w:left w:val="single" w:sz="4" w:space="0" w:color="auto"/>
              <w:bottom w:val="single" w:sz="4" w:space="0" w:color="auto"/>
              <w:right w:val="single" w:sz="4" w:space="0" w:color="auto"/>
            </w:tcBorders>
            <w:vAlign w:val="center"/>
            <w:hideMark/>
          </w:tcPr>
          <w:p w:rsidR="00FB3954" w:rsidRPr="000F40C3" w:rsidRDefault="00FB3954" w:rsidP="006B7123">
            <w:pPr>
              <w:keepNext/>
              <w:snapToGrid w:val="0"/>
              <w:jc w:val="center"/>
              <w:rPr>
                <w:rFonts w:ascii="Arial Narrow" w:hAnsi="Arial Narrow"/>
                <w:b/>
                <w:sz w:val="20"/>
              </w:rPr>
            </w:pPr>
            <w:r w:rsidRPr="000F40C3">
              <w:rPr>
                <w:rFonts w:ascii="Arial Narrow" w:hAnsi="Arial Narrow"/>
                <w:b/>
                <w:sz w:val="20"/>
              </w:rPr>
              <w:t>Risk of bias</w:t>
            </w:r>
          </w:p>
        </w:tc>
        <w:tc>
          <w:tcPr>
            <w:tcW w:w="2040" w:type="pct"/>
            <w:tcBorders>
              <w:top w:val="single" w:sz="4" w:space="0" w:color="auto"/>
              <w:left w:val="single" w:sz="4" w:space="0" w:color="auto"/>
              <w:bottom w:val="single" w:sz="4" w:space="0" w:color="auto"/>
              <w:right w:val="single" w:sz="4" w:space="0" w:color="auto"/>
            </w:tcBorders>
            <w:vAlign w:val="center"/>
            <w:hideMark/>
          </w:tcPr>
          <w:p w:rsidR="00FB3954" w:rsidRPr="000F40C3" w:rsidRDefault="00FB3954" w:rsidP="006B7123">
            <w:pPr>
              <w:keepNext/>
              <w:snapToGrid w:val="0"/>
              <w:jc w:val="center"/>
              <w:rPr>
                <w:rFonts w:ascii="Arial Narrow" w:hAnsi="Arial Narrow"/>
                <w:b/>
                <w:sz w:val="20"/>
              </w:rPr>
            </w:pPr>
            <w:r w:rsidRPr="000F40C3">
              <w:rPr>
                <w:rFonts w:ascii="Arial Narrow" w:hAnsi="Arial Narrow"/>
                <w:b/>
                <w:sz w:val="20"/>
              </w:rPr>
              <w:t>Patient population</w:t>
            </w:r>
          </w:p>
        </w:tc>
        <w:tc>
          <w:tcPr>
            <w:tcW w:w="670" w:type="pct"/>
            <w:tcBorders>
              <w:top w:val="single" w:sz="4" w:space="0" w:color="auto"/>
              <w:left w:val="single" w:sz="4" w:space="0" w:color="auto"/>
              <w:bottom w:val="single" w:sz="4" w:space="0" w:color="auto"/>
              <w:right w:val="single" w:sz="4" w:space="0" w:color="auto"/>
            </w:tcBorders>
            <w:vAlign w:val="center"/>
            <w:hideMark/>
          </w:tcPr>
          <w:p w:rsidR="00FB3954" w:rsidRPr="000F40C3" w:rsidRDefault="00FB3954" w:rsidP="006B7123">
            <w:pPr>
              <w:keepNext/>
              <w:snapToGrid w:val="0"/>
              <w:jc w:val="center"/>
              <w:rPr>
                <w:rFonts w:ascii="Arial Narrow" w:hAnsi="Arial Narrow"/>
                <w:b/>
                <w:sz w:val="20"/>
              </w:rPr>
            </w:pPr>
            <w:r w:rsidRPr="000F40C3">
              <w:rPr>
                <w:rFonts w:ascii="Arial Narrow" w:hAnsi="Arial Narrow"/>
                <w:b/>
                <w:sz w:val="20"/>
              </w:rPr>
              <w:t>Outcomes</w:t>
            </w:r>
          </w:p>
        </w:tc>
        <w:tc>
          <w:tcPr>
            <w:tcW w:w="422" w:type="pct"/>
            <w:tcBorders>
              <w:top w:val="single" w:sz="4" w:space="0" w:color="auto"/>
              <w:left w:val="single" w:sz="4" w:space="0" w:color="auto"/>
              <w:bottom w:val="single" w:sz="4" w:space="0" w:color="auto"/>
              <w:right w:val="single" w:sz="4" w:space="0" w:color="auto"/>
            </w:tcBorders>
            <w:vAlign w:val="center"/>
            <w:hideMark/>
          </w:tcPr>
          <w:p w:rsidR="00FB3954" w:rsidRPr="000F40C3" w:rsidRDefault="00FB3954" w:rsidP="006B7123">
            <w:pPr>
              <w:keepNext/>
              <w:snapToGrid w:val="0"/>
              <w:jc w:val="center"/>
              <w:rPr>
                <w:rFonts w:ascii="Arial Narrow" w:hAnsi="Arial Narrow"/>
                <w:b/>
                <w:sz w:val="20"/>
              </w:rPr>
            </w:pPr>
            <w:r w:rsidRPr="000F40C3">
              <w:rPr>
                <w:rFonts w:ascii="Arial Narrow" w:hAnsi="Arial Narrow"/>
                <w:b/>
                <w:sz w:val="20"/>
              </w:rPr>
              <w:t>Used in MES?</w:t>
            </w:r>
          </w:p>
        </w:tc>
      </w:tr>
      <w:tr w:rsidR="00FB3954" w:rsidRPr="000F40C3" w:rsidTr="00555FE6">
        <w:trPr>
          <w:cantSplit/>
        </w:trPr>
        <w:tc>
          <w:tcPr>
            <w:tcW w:w="425" w:type="pct"/>
            <w:tcBorders>
              <w:top w:val="single" w:sz="4" w:space="0" w:color="auto"/>
              <w:left w:val="single" w:sz="4" w:space="0" w:color="auto"/>
              <w:bottom w:val="single" w:sz="4" w:space="0" w:color="auto"/>
              <w:right w:val="single" w:sz="4" w:space="0" w:color="auto"/>
            </w:tcBorders>
            <w:hideMark/>
          </w:tcPr>
          <w:p w:rsidR="00FB3954" w:rsidRPr="000F40C3" w:rsidRDefault="00FB3954" w:rsidP="00051C05">
            <w:pPr>
              <w:keepNext/>
              <w:snapToGrid w:val="0"/>
              <w:rPr>
                <w:rFonts w:ascii="Arial Narrow" w:hAnsi="Arial Narrow"/>
                <w:sz w:val="20"/>
              </w:rPr>
            </w:pPr>
            <w:r w:rsidRPr="000F40C3">
              <w:rPr>
                <w:rFonts w:ascii="Arial Narrow" w:hAnsi="Arial Narrow"/>
                <w:sz w:val="20"/>
              </w:rPr>
              <w:t>TOWER</w:t>
            </w:r>
          </w:p>
        </w:tc>
        <w:tc>
          <w:tcPr>
            <w:tcW w:w="255" w:type="pct"/>
            <w:tcBorders>
              <w:top w:val="single" w:sz="4" w:space="0" w:color="auto"/>
              <w:left w:val="single" w:sz="4" w:space="0" w:color="auto"/>
              <w:bottom w:val="single" w:sz="4" w:space="0" w:color="auto"/>
              <w:right w:val="single" w:sz="4" w:space="0" w:color="auto"/>
            </w:tcBorders>
            <w:hideMark/>
          </w:tcPr>
          <w:p w:rsidR="00FB3954" w:rsidRPr="000F40C3" w:rsidRDefault="00FB3954" w:rsidP="006B7123">
            <w:pPr>
              <w:keepNext/>
              <w:snapToGrid w:val="0"/>
              <w:jc w:val="center"/>
              <w:rPr>
                <w:rFonts w:ascii="Arial Narrow" w:hAnsi="Arial Narrow"/>
                <w:sz w:val="20"/>
              </w:rPr>
            </w:pPr>
            <w:r w:rsidRPr="000F40C3">
              <w:rPr>
                <w:rFonts w:ascii="Arial Narrow" w:hAnsi="Arial Narrow"/>
                <w:sz w:val="20"/>
              </w:rPr>
              <w:t>383</w:t>
            </w:r>
          </w:p>
        </w:tc>
        <w:tc>
          <w:tcPr>
            <w:tcW w:w="593" w:type="pct"/>
            <w:tcBorders>
              <w:top w:val="single" w:sz="4" w:space="0" w:color="auto"/>
              <w:left w:val="single" w:sz="4" w:space="0" w:color="auto"/>
              <w:bottom w:val="single" w:sz="4" w:space="0" w:color="auto"/>
              <w:right w:val="single" w:sz="4" w:space="0" w:color="auto"/>
            </w:tcBorders>
            <w:hideMark/>
          </w:tcPr>
          <w:p w:rsidR="00FB3954" w:rsidRPr="000F40C3" w:rsidRDefault="00FB3954" w:rsidP="006B7123">
            <w:pPr>
              <w:keepNext/>
              <w:jc w:val="center"/>
              <w:rPr>
                <w:rFonts w:ascii="Arial Narrow" w:hAnsi="Arial Narrow"/>
                <w:sz w:val="20"/>
              </w:rPr>
            </w:pPr>
            <w:r w:rsidRPr="000F40C3">
              <w:rPr>
                <w:rFonts w:ascii="Arial Narrow" w:hAnsi="Arial Narrow"/>
                <w:sz w:val="20"/>
              </w:rPr>
              <w:t>Phase III, R, OL</w:t>
            </w:r>
          </w:p>
          <w:p w:rsidR="00FB3954" w:rsidRPr="000F40C3" w:rsidRDefault="00FB3954" w:rsidP="006B7123">
            <w:pPr>
              <w:keepNext/>
              <w:snapToGrid w:val="0"/>
              <w:jc w:val="center"/>
              <w:rPr>
                <w:rFonts w:ascii="Arial Narrow" w:hAnsi="Arial Narrow"/>
                <w:sz w:val="20"/>
              </w:rPr>
            </w:pPr>
            <w:r w:rsidRPr="000F40C3">
              <w:rPr>
                <w:rFonts w:ascii="Arial Narrow" w:hAnsi="Arial Narrow"/>
                <w:sz w:val="20"/>
              </w:rPr>
              <w:t>Up to 19 months</w:t>
            </w:r>
          </w:p>
        </w:tc>
        <w:tc>
          <w:tcPr>
            <w:tcW w:w="596" w:type="pct"/>
            <w:tcBorders>
              <w:top w:val="single" w:sz="4" w:space="0" w:color="auto"/>
              <w:left w:val="single" w:sz="4" w:space="0" w:color="auto"/>
              <w:bottom w:val="single" w:sz="4" w:space="0" w:color="auto"/>
              <w:right w:val="single" w:sz="4" w:space="0" w:color="auto"/>
            </w:tcBorders>
            <w:hideMark/>
          </w:tcPr>
          <w:p w:rsidR="00FB3954" w:rsidRPr="000F40C3" w:rsidRDefault="00FB3954" w:rsidP="006B7123">
            <w:pPr>
              <w:keepNext/>
              <w:snapToGrid w:val="0"/>
              <w:jc w:val="center"/>
              <w:rPr>
                <w:rFonts w:ascii="Arial Narrow" w:hAnsi="Arial Narrow"/>
                <w:sz w:val="20"/>
                <w:highlight w:val="yellow"/>
              </w:rPr>
            </w:pPr>
            <w:r w:rsidRPr="000F40C3">
              <w:rPr>
                <w:rFonts w:ascii="Arial Narrow" w:hAnsi="Arial Narrow"/>
                <w:sz w:val="20"/>
              </w:rPr>
              <w:t>Unknown</w:t>
            </w:r>
          </w:p>
        </w:tc>
        <w:tc>
          <w:tcPr>
            <w:tcW w:w="2040" w:type="pct"/>
            <w:tcBorders>
              <w:top w:val="single" w:sz="4" w:space="0" w:color="auto"/>
              <w:left w:val="single" w:sz="4" w:space="0" w:color="auto"/>
              <w:bottom w:val="single" w:sz="4" w:space="0" w:color="auto"/>
              <w:right w:val="single" w:sz="4" w:space="0" w:color="auto"/>
            </w:tcBorders>
            <w:hideMark/>
          </w:tcPr>
          <w:p w:rsidR="00FB3954" w:rsidRPr="000F40C3" w:rsidRDefault="00FB3954" w:rsidP="006B7123">
            <w:pPr>
              <w:keepNext/>
              <w:snapToGrid w:val="0"/>
              <w:rPr>
                <w:rFonts w:ascii="Arial Narrow" w:hAnsi="Arial Narrow"/>
                <w:sz w:val="20"/>
              </w:rPr>
            </w:pPr>
            <w:r w:rsidRPr="000F40C3">
              <w:rPr>
                <w:rFonts w:ascii="Arial Narrow" w:hAnsi="Arial Narrow"/>
                <w:sz w:val="20"/>
              </w:rPr>
              <w:t xml:space="preserve">- Adult; </w:t>
            </w:r>
          </w:p>
          <w:p w:rsidR="00FB3954" w:rsidRPr="000F40C3" w:rsidRDefault="00FB3954" w:rsidP="006B7123">
            <w:pPr>
              <w:keepNext/>
              <w:snapToGrid w:val="0"/>
              <w:rPr>
                <w:rFonts w:ascii="Arial Narrow" w:hAnsi="Arial Narrow"/>
                <w:sz w:val="20"/>
              </w:rPr>
            </w:pPr>
            <w:r w:rsidRPr="000F40C3">
              <w:rPr>
                <w:rFonts w:ascii="Arial Narrow" w:hAnsi="Arial Narrow"/>
                <w:sz w:val="20"/>
              </w:rPr>
              <w:t>- &gt; 5% blasts in bone marrow;</w:t>
            </w:r>
          </w:p>
          <w:p w:rsidR="00FB3954" w:rsidRPr="000F40C3" w:rsidRDefault="00FB3954" w:rsidP="006B7123">
            <w:pPr>
              <w:keepNext/>
              <w:snapToGrid w:val="0"/>
              <w:rPr>
                <w:rFonts w:ascii="Arial Narrow" w:hAnsi="Arial Narrow"/>
                <w:sz w:val="20"/>
              </w:rPr>
            </w:pPr>
            <w:r w:rsidRPr="000F40C3">
              <w:rPr>
                <w:rFonts w:ascii="Arial Narrow" w:hAnsi="Arial Narrow"/>
                <w:sz w:val="20"/>
              </w:rPr>
              <w:t>- Refractory disease;</w:t>
            </w:r>
          </w:p>
          <w:p w:rsidR="00FB3954" w:rsidRPr="000F40C3" w:rsidRDefault="00FB3954" w:rsidP="006B7123">
            <w:pPr>
              <w:keepNext/>
              <w:snapToGrid w:val="0"/>
              <w:rPr>
                <w:rFonts w:ascii="Arial Narrow" w:hAnsi="Arial Narrow"/>
                <w:sz w:val="20"/>
              </w:rPr>
            </w:pPr>
            <w:r w:rsidRPr="000F40C3">
              <w:rPr>
                <w:rFonts w:ascii="Arial Narrow" w:hAnsi="Arial Narrow"/>
                <w:sz w:val="20"/>
              </w:rPr>
              <w:t>- Relapsed disease (1</w:t>
            </w:r>
            <w:r w:rsidRPr="000F40C3">
              <w:rPr>
                <w:rFonts w:ascii="Arial Narrow" w:hAnsi="Arial Narrow"/>
                <w:sz w:val="20"/>
                <w:vertAlign w:val="superscript"/>
              </w:rPr>
              <w:t>st</w:t>
            </w:r>
            <w:r w:rsidRPr="000F40C3">
              <w:rPr>
                <w:rFonts w:ascii="Arial Narrow" w:hAnsi="Arial Narrow"/>
                <w:sz w:val="20"/>
              </w:rPr>
              <w:t xml:space="preserve"> remission &lt; 12 months; after 1</w:t>
            </w:r>
            <w:r w:rsidRPr="000F40C3">
              <w:rPr>
                <w:rFonts w:ascii="Arial Narrow" w:hAnsi="Arial Narrow"/>
                <w:sz w:val="20"/>
                <w:vertAlign w:val="superscript"/>
              </w:rPr>
              <w:t>st</w:t>
            </w:r>
            <w:r w:rsidRPr="000F40C3">
              <w:rPr>
                <w:rFonts w:ascii="Arial Narrow" w:hAnsi="Arial Narrow"/>
                <w:sz w:val="20"/>
              </w:rPr>
              <w:t xml:space="preserve"> salvage therapy; or at any time after allogeneic HSCT)</w:t>
            </w:r>
          </w:p>
          <w:p w:rsidR="00FB3954" w:rsidRPr="000F40C3" w:rsidRDefault="00FB3954" w:rsidP="006B7123">
            <w:pPr>
              <w:keepNext/>
              <w:snapToGrid w:val="0"/>
              <w:rPr>
                <w:rFonts w:ascii="Arial Narrow" w:hAnsi="Arial Narrow"/>
                <w:sz w:val="20"/>
              </w:rPr>
            </w:pPr>
            <w:r w:rsidRPr="000F40C3">
              <w:rPr>
                <w:rFonts w:ascii="Arial Narrow" w:hAnsi="Arial Narrow"/>
                <w:sz w:val="20"/>
              </w:rPr>
              <w:t>- Received intensive combination chemotherapy</w:t>
            </w:r>
          </w:p>
          <w:p w:rsidR="00FB3954" w:rsidRPr="000F40C3" w:rsidRDefault="00FB3954" w:rsidP="006B7123">
            <w:pPr>
              <w:keepNext/>
              <w:snapToGrid w:val="0"/>
              <w:rPr>
                <w:rFonts w:ascii="Arial Narrow" w:hAnsi="Arial Narrow"/>
                <w:sz w:val="20"/>
              </w:rPr>
            </w:pPr>
            <w:r w:rsidRPr="000F40C3">
              <w:rPr>
                <w:rFonts w:ascii="Arial Narrow" w:hAnsi="Arial Narrow"/>
                <w:sz w:val="20"/>
              </w:rPr>
              <w:t>- ECOG performance status ≤ 2</w:t>
            </w:r>
          </w:p>
        </w:tc>
        <w:tc>
          <w:tcPr>
            <w:tcW w:w="670" w:type="pct"/>
            <w:tcBorders>
              <w:top w:val="single" w:sz="4" w:space="0" w:color="auto"/>
              <w:left w:val="single" w:sz="4" w:space="0" w:color="auto"/>
              <w:bottom w:val="single" w:sz="4" w:space="0" w:color="auto"/>
              <w:right w:val="single" w:sz="4" w:space="0" w:color="auto"/>
            </w:tcBorders>
            <w:hideMark/>
          </w:tcPr>
          <w:p w:rsidR="00FB3954" w:rsidRPr="000F40C3" w:rsidRDefault="00FB3954" w:rsidP="006B7123">
            <w:pPr>
              <w:keepNext/>
              <w:snapToGrid w:val="0"/>
              <w:jc w:val="center"/>
              <w:rPr>
                <w:rFonts w:ascii="Arial Narrow" w:hAnsi="Arial Narrow"/>
                <w:sz w:val="20"/>
              </w:rPr>
            </w:pPr>
            <w:r w:rsidRPr="000F40C3">
              <w:rPr>
                <w:rFonts w:ascii="Arial Narrow" w:hAnsi="Arial Narrow"/>
                <w:sz w:val="20"/>
              </w:rPr>
              <w:t>OS;</w:t>
            </w:r>
          </w:p>
          <w:p w:rsidR="00FB3954" w:rsidRPr="000F40C3" w:rsidRDefault="00FB3954" w:rsidP="006B7123">
            <w:pPr>
              <w:keepNext/>
              <w:snapToGrid w:val="0"/>
              <w:jc w:val="center"/>
              <w:rPr>
                <w:rFonts w:ascii="Arial Narrow" w:hAnsi="Arial Narrow"/>
                <w:sz w:val="20"/>
              </w:rPr>
            </w:pPr>
            <w:r w:rsidRPr="000F40C3">
              <w:rPr>
                <w:rFonts w:ascii="Arial Narrow" w:hAnsi="Arial Narrow"/>
                <w:sz w:val="20"/>
              </w:rPr>
              <w:t>CR/CRh*/CRi; allogeneic HSCT rate; 100 day mortality following HSCT</w:t>
            </w:r>
          </w:p>
        </w:tc>
        <w:tc>
          <w:tcPr>
            <w:tcW w:w="422" w:type="pct"/>
            <w:tcBorders>
              <w:top w:val="single" w:sz="4" w:space="0" w:color="auto"/>
              <w:left w:val="single" w:sz="4" w:space="0" w:color="auto"/>
              <w:bottom w:val="single" w:sz="4" w:space="0" w:color="auto"/>
              <w:right w:val="single" w:sz="4" w:space="0" w:color="auto"/>
            </w:tcBorders>
            <w:hideMark/>
          </w:tcPr>
          <w:p w:rsidR="00FB3954" w:rsidRPr="000F40C3" w:rsidRDefault="00FB3954" w:rsidP="006B7123">
            <w:pPr>
              <w:keepNext/>
              <w:snapToGrid w:val="0"/>
              <w:jc w:val="center"/>
              <w:rPr>
                <w:rFonts w:ascii="Arial Narrow" w:hAnsi="Arial Narrow"/>
                <w:sz w:val="20"/>
              </w:rPr>
            </w:pPr>
            <w:r w:rsidRPr="000F40C3">
              <w:rPr>
                <w:rFonts w:ascii="Arial Narrow" w:hAnsi="Arial Narrow"/>
                <w:sz w:val="20"/>
              </w:rPr>
              <w:t>Yes</w:t>
            </w:r>
          </w:p>
        </w:tc>
      </w:tr>
    </w:tbl>
    <w:p w:rsidR="00FB3954" w:rsidRPr="000F40C3" w:rsidRDefault="00FB3954" w:rsidP="006B7123">
      <w:pPr>
        <w:pStyle w:val="TableFooter"/>
        <w:widowControl/>
        <w:ind w:left="709" w:firstLine="11"/>
      </w:pPr>
      <w:r w:rsidRPr="000F40C3">
        <w:t xml:space="preserve">Source: </w:t>
      </w:r>
      <w:r w:rsidR="000618AA" w:rsidRPr="000F40C3">
        <w:t>July 2016 PBAC</w:t>
      </w:r>
      <w:r w:rsidR="00CC55B4">
        <w:t xml:space="preserve"> PSD</w:t>
      </w:r>
      <w:r w:rsidR="000618AA" w:rsidRPr="000F40C3">
        <w:t>, Table 2</w:t>
      </w:r>
    </w:p>
    <w:p w:rsidR="00FB3954" w:rsidRPr="000F40C3" w:rsidRDefault="00FB3954" w:rsidP="006B7123">
      <w:pPr>
        <w:pStyle w:val="TableFooter"/>
        <w:widowControl/>
        <w:ind w:left="709" w:firstLine="11"/>
      </w:pPr>
      <w:r w:rsidRPr="000F40C3">
        <w:t>CR = complete remission; CRh* = complete remission with partial haematological recovery; CRi = complete remission with incomplete haematological recovery; ECOG = Eastern Cooperative Oncology Group; HSCT = haematopoietic stem cell transplant; MES = managed entry scheme; OL = open-label; OS = overall survival; R = randomised</w:t>
      </w:r>
    </w:p>
    <w:p w:rsidR="00BB7EC3" w:rsidRPr="000F40C3" w:rsidRDefault="00BB7EC3" w:rsidP="00051C05">
      <w:pPr>
        <w:jc w:val="both"/>
        <w:rPr>
          <w:rFonts w:ascii="Arial" w:hAnsi="Arial"/>
          <w:sz w:val="22"/>
          <w:szCs w:val="22"/>
        </w:rPr>
      </w:pPr>
    </w:p>
    <w:p w:rsidR="005A3173" w:rsidRPr="000F40C3" w:rsidRDefault="005A3173" w:rsidP="00051C05">
      <w:pPr>
        <w:pStyle w:val="Heading2"/>
      </w:pPr>
      <w:r w:rsidRPr="000F40C3">
        <w:lastRenderedPageBreak/>
        <w:t>Comparative effectiveness</w:t>
      </w:r>
    </w:p>
    <w:p w:rsidR="005A3173" w:rsidRPr="000F40C3" w:rsidRDefault="005A3173" w:rsidP="006B7123">
      <w:pPr>
        <w:keepNext/>
        <w:jc w:val="both"/>
        <w:rPr>
          <w:rFonts w:ascii="Arial" w:hAnsi="Arial"/>
          <w:sz w:val="22"/>
          <w:szCs w:val="22"/>
        </w:rPr>
      </w:pPr>
    </w:p>
    <w:p w:rsidR="000B558D" w:rsidRPr="000F40C3" w:rsidRDefault="00C159A0" w:rsidP="00051C05">
      <w:pPr>
        <w:pStyle w:val="ListParagraph"/>
        <w:widowControl/>
        <w:numPr>
          <w:ilvl w:val="1"/>
          <w:numId w:val="5"/>
        </w:numPr>
        <w:rPr>
          <w:szCs w:val="22"/>
        </w:rPr>
      </w:pPr>
      <w:r w:rsidRPr="000F40C3">
        <w:rPr>
          <w:szCs w:val="22"/>
        </w:rPr>
        <w:t xml:space="preserve">The Kaplan-Meier plots for overall survival from the TOWER trial are presented in Figure 1. Median </w:t>
      </w:r>
      <w:r w:rsidR="00363E2F" w:rsidRPr="000F40C3">
        <w:rPr>
          <w:szCs w:val="22"/>
        </w:rPr>
        <w:t>overall survival</w:t>
      </w:r>
      <w:r w:rsidRPr="000F40C3">
        <w:rPr>
          <w:szCs w:val="22"/>
        </w:rPr>
        <w:t xml:space="preserve"> observed was 7.8 months (95%CI: 5.6, 9.6) for blinatumomab and 4.0 months (95%CI: 2.9, 5.4) for </w:t>
      </w:r>
      <w:r w:rsidR="00363E2F" w:rsidRPr="000F40C3">
        <w:rPr>
          <w:szCs w:val="22"/>
        </w:rPr>
        <w:t>standard care</w:t>
      </w:r>
      <w:r w:rsidRPr="000F40C3">
        <w:rPr>
          <w:szCs w:val="22"/>
        </w:rPr>
        <w:t xml:space="preserve"> (</w:t>
      </w:r>
      <w:r w:rsidR="00363E2F" w:rsidRPr="000F40C3">
        <w:rPr>
          <w:szCs w:val="22"/>
        </w:rPr>
        <w:t xml:space="preserve">hazard ratio=0.71; </w:t>
      </w:r>
      <w:r w:rsidRPr="000F40C3">
        <w:rPr>
          <w:szCs w:val="22"/>
        </w:rPr>
        <w:t>stratified log-rank test p=</w:t>
      </w:r>
      <w:r w:rsidR="00363E2F" w:rsidRPr="000F40C3">
        <w:rPr>
          <w:szCs w:val="22"/>
        </w:rPr>
        <w:t>0</w:t>
      </w:r>
      <w:r w:rsidRPr="000F40C3">
        <w:rPr>
          <w:szCs w:val="22"/>
        </w:rPr>
        <w:t>.012, surpassing the pre-specified O’Brien-Fleming boundary p value of 0.0183</w:t>
      </w:r>
      <w:r w:rsidR="00363E2F" w:rsidRPr="000F40C3">
        <w:rPr>
          <w:szCs w:val="22"/>
        </w:rPr>
        <w:t>)</w:t>
      </w:r>
      <w:r w:rsidRPr="000F40C3">
        <w:rPr>
          <w:szCs w:val="22"/>
        </w:rPr>
        <w:t xml:space="preserve">. </w:t>
      </w:r>
    </w:p>
    <w:p w:rsidR="009B0F67" w:rsidRPr="000F40C3" w:rsidRDefault="009B0F67" w:rsidP="006B7123">
      <w:pPr>
        <w:pStyle w:val="ListParagraph"/>
        <w:widowControl/>
        <w:ind w:left="709"/>
        <w:rPr>
          <w:szCs w:val="22"/>
        </w:rPr>
      </w:pPr>
    </w:p>
    <w:p w:rsidR="00683800" w:rsidRPr="000F40C3" w:rsidRDefault="00C159A0" w:rsidP="00051C05">
      <w:pPr>
        <w:pStyle w:val="PBACHeading1"/>
        <w:keepNext/>
        <w:numPr>
          <w:ilvl w:val="0"/>
          <w:numId w:val="0"/>
        </w:numPr>
        <w:ind w:left="720"/>
        <w:outlineLvl w:val="9"/>
        <w:rPr>
          <w:rStyle w:val="CommentReference"/>
          <w:rFonts w:ascii="Arial Narrow" w:hAnsi="Arial Narrow"/>
          <w:sz w:val="20"/>
          <w:szCs w:val="20"/>
        </w:rPr>
      </w:pPr>
      <w:r w:rsidRPr="000F40C3">
        <w:rPr>
          <w:rStyle w:val="CommentReference"/>
          <w:rFonts w:ascii="Arial Narrow" w:hAnsi="Arial Narrow"/>
          <w:sz w:val="20"/>
          <w:szCs w:val="20"/>
        </w:rPr>
        <w:t>Figure 1</w:t>
      </w:r>
      <w:r w:rsidR="00683800" w:rsidRPr="000F40C3">
        <w:rPr>
          <w:rStyle w:val="CommentReference"/>
          <w:rFonts w:ascii="Arial Narrow" w:hAnsi="Arial Narrow"/>
          <w:sz w:val="20"/>
          <w:szCs w:val="20"/>
        </w:rPr>
        <w:t xml:space="preserve">: </w:t>
      </w:r>
      <w:r w:rsidRPr="000F40C3">
        <w:rPr>
          <w:rStyle w:val="CommentReference"/>
          <w:rFonts w:ascii="Arial Narrow" w:hAnsi="Arial Narrow"/>
          <w:sz w:val="20"/>
          <w:szCs w:val="20"/>
        </w:rPr>
        <w:t>Overall survival results from the</w:t>
      </w:r>
      <w:r w:rsidR="00683800" w:rsidRPr="000F40C3">
        <w:rPr>
          <w:rStyle w:val="CommentReference"/>
          <w:rFonts w:ascii="Arial Narrow" w:hAnsi="Arial Narrow"/>
          <w:sz w:val="20"/>
          <w:szCs w:val="20"/>
        </w:rPr>
        <w:t xml:space="preserve"> TOWER trial</w:t>
      </w:r>
      <w:r w:rsidRPr="000F40C3">
        <w:rPr>
          <w:rStyle w:val="CommentReference"/>
          <w:rFonts w:ascii="Arial Narrow" w:hAnsi="Arial Narrow"/>
          <w:sz w:val="20"/>
          <w:szCs w:val="20"/>
        </w:rPr>
        <w:t xml:space="preserve"> (Full analysis set)</w:t>
      </w:r>
    </w:p>
    <w:p w:rsidR="00683800" w:rsidRPr="000F40C3" w:rsidRDefault="00683800" w:rsidP="00555FE6">
      <w:pPr>
        <w:ind w:firstLine="709"/>
        <w:jc w:val="both"/>
        <w:rPr>
          <w:rFonts w:ascii="Arial" w:hAnsi="Arial"/>
          <w:sz w:val="22"/>
          <w:szCs w:val="22"/>
        </w:rPr>
      </w:pPr>
      <w:r w:rsidRPr="000D0EB6">
        <w:rPr>
          <w:rFonts w:ascii="Arial" w:hAnsi="Arial"/>
          <w:noProof/>
          <w:sz w:val="22"/>
          <w:szCs w:val="22"/>
        </w:rPr>
        <w:drawing>
          <wp:inline distT="0" distB="0" distL="0" distR="0" wp14:anchorId="5ACAB820" wp14:editId="2E06937F">
            <wp:extent cx="5287618" cy="2552369"/>
            <wp:effectExtent l="0" t="0" r="8890" b="635"/>
            <wp:docPr id="2" name="Picture 2" title="Overall survival results from the TOWER trial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2230" cy="2554595"/>
                    </a:xfrm>
                    <a:prstGeom prst="rect">
                      <a:avLst/>
                    </a:prstGeom>
                    <a:noFill/>
                    <a:ln>
                      <a:noFill/>
                    </a:ln>
                  </pic:spPr>
                </pic:pic>
              </a:graphicData>
            </a:graphic>
          </wp:inline>
        </w:drawing>
      </w:r>
    </w:p>
    <w:p w:rsidR="00C159A0" w:rsidRPr="000F40C3" w:rsidRDefault="00C159A0" w:rsidP="006B7123">
      <w:pPr>
        <w:pStyle w:val="TableFooter"/>
        <w:widowControl/>
        <w:ind w:left="709" w:firstLine="11"/>
      </w:pPr>
      <w:r w:rsidRPr="000F40C3">
        <w:t>Source: Minor submission, Figure 1</w:t>
      </w:r>
    </w:p>
    <w:p w:rsidR="00C159A0" w:rsidRPr="000F40C3" w:rsidRDefault="00C159A0" w:rsidP="00051C05"/>
    <w:p w:rsidR="005A3173" w:rsidRPr="000F40C3" w:rsidRDefault="005A3173" w:rsidP="006B7123">
      <w:pPr>
        <w:pStyle w:val="Heading2"/>
      </w:pPr>
      <w:r w:rsidRPr="000F40C3">
        <w:t>Comparative harms</w:t>
      </w:r>
    </w:p>
    <w:p w:rsidR="005A3173" w:rsidRPr="000F40C3" w:rsidRDefault="005A3173" w:rsidP="006B7123">
      <w:pPr>
        <w:ind w:left="720" w:hanging="720"/>
        <w:jc w:val="both"/>
        <w:rPr>
          <w:rFonts w:ascii="Arial" w:hAnsi="Arial"/>
          <w:sz w:val="22"/>
          <w:szCs w:val="22"/>
        </w:rPr>
      </w:pPr>
    </w:p>
    <w:p w:rsidR="002C5BD5" w:rsidRPr="000F40C3" w:rsidRDefault="002C5BD5" w:rsidP="006B7123">
      <w:pPr>
        <w:pStyle w:val="ListParagraph"/>
        <w:widowControl/>
        <w:numPr>
          <w:ilvl w:val="1"/>
          <w:numId w:val="5"/>
        </w:numPr>
        <w:rPr>
          <w:szCs w:val="22"/>
        </w:rPr>
      </w:pPr>
      <w:r w:rsidRPr="000F40C3">
        <w:rPr>
          <w:szCs w:val="22"/>
        </w:rPr>
        <w:t>The safety results for each arm in the TOWER trial</w:t>
      </w:r>
      <w:r w:rsidR="00C159A0" w:rsidRPr="000F40C3">
        <w:rPr>
          <w:szCs w:val="22"/>
        </w:rPr>
        <w:t xml:space="preserve"> are presented in Table 4</w:t>
      </w:r>
      <w:r w:rsidRPr="000F40C3">
        <w:rPr>
          <w:szCs w:val="22"/>
        </w:rPr>
        <w:t>.</w:t>
      </w:r>
    </w:p>
    <w:p w:rsidR="002C5BD5" w:rsidRPr="000F40C3" w:rsidRDefault="002C5BD5" w:rsidP="006B7123">
      <w:pPr>
        <w:pStyle w:val="ListParagraph"/>
        <w:widowControl/>
        <w:ind w:left="0"/>
        <w:rPr>
          <w:szCs w:val="22"/>
        </w:rPr>
      </w:pPr>
    </w:p>
    <w:p w:rsidR="002C5BD5" w:rsidRPr="000F40C3" w:rsidRDefault="00C159A0" w:rsidP="00051C05">
      <w:pPr>
        <w:pStyle w:val="ListParagraph"/>
        <w:widowControl/>
        <w:rPr>
          <w:rFonts w:ascii="Arial Narrow" w:hAnsi="Arial Narrow"/>
          <w:b/>
          <w:sz w:val="20"/>
          <w:szCs w:val="22"/>
        </w:rPr>
      </w:pPr>
      <w:r w:rsidRPr="000F40C3">
        <w:rPr>
          <w:rFonts w:ascii="Arial Narrow" w:hAnsi="Arial Narrow"/>
          <w:b/>
          <w:sz w:val="20"/>
          <w:szCs w:val="22"/>
        </w:rPr>
        <w:t>Table 4</w:t>
      </w:r>
      <w:r w:rsidR="002C5BD5" w:rsidRPr="000F40C3">
        <w:rPr>
          <w:rFonts w:ascii="Arial Narrow" w:hAnsi="Arial Narrow"/>
          <w:b/>
          <w:sz w:val="20"/>
          <w:szCs w:val="22"/>
        </w:rPr>
        <w:t>: Safety results from TOWER trial</w:t>
      </w:r>
    </w:p>
    <w:tbl>
      <w:tblPr>
        <w:tblStyle w:val="TableGrid"/>
        <w:tblW w:w="0" w:type="auto"/>
        <w:tblInd w:w="817" w:type="dxa"/>
        <w:tblLook w:val="04A0" w:firstRow="1" w:lastRow="0" w:firstColumn="1" w:lastColumn="0" w:noHBand="0" w:noVBand="1"/>
        <w:tblCaption w:val="Summary of safety results from the TOWER trial"/>
      </w:tblPr>
      <w:tblGrid>
        <w:gridCol w:w="3685"/>
        <w:gridCol w:w="2268"/>
        <w:gridCol w:w="2472"/>
      </w:tblGrid>
      <w:tr w:rsidR="002C5BD5" w:rsidRPr="000F40C3" w:rsidTr="0072417B">
        <w:trPr>
          <w:tblHeader/>
        </w:trPr>
        <w:tc>
          <w:tcPr>
            <w:tcW w:w="3686" w:type="dxa"/>
          </w:tcPr>
          <w:p w:rsidR="002C5BD5" w:rsidRPr="000F40C3" w:rsidRDefault="002C5BD5" w:rsidP="006B7123">
            <w:pPr>
              <w:pStyle w:val="ListParagraph"/>
              <w:widowControl/>
              <w:ind w:left="0"/>
              <w:rPr>
                <w:rFonts w:ascii="Arial Narrow" w:hAnsi="Arial Narrow"/>
                <w:b/>
                <w:sz w:val="20"/>
                <w:szCs w:val="22"/>
              </w:rPr>
            </w:pPr>
          </w:p>
        </w:tc>
        <w:tc>
          <w:tcPr>
            <w:tcW w:w="2268" w:type="dxa"/>
          </w:tcPr>
          <w:p w:rsidR="002C5BD5" w:rsidRPr="000F40C3" w:rsidRDefault="002C5BD5" w:rsidP="006B7123">
            <w:pPr>
              <w:pStyle w:val="ListParagraph"/>
              <w:widowControl/>
              <w:ind w:left="0"/>
              <w:jc w:val="center"/>
              <w:rPr>
                <w:rFonts w:ascii="Arial Narrow" w:hAnsi="Arial Narrow"/>
                <w:b/>
                <w:sz w:val="20"/>
                <w:szCs w:val="22"/>
              </w:rPr>
            </w:pPr>
            <w:r w:rsidRPr="000F40C3">
              <w:rPr>
                <w:rFonts w:ascii="Arial Narrow" w:hAnsi="Arial Narrow"/>
                <w:b/>
                <w:sz w:val="20"/>
                <w:szCs w:val="22"/>
              </w:rPr>
              <w:t>Blinatumomab (N = 267)</w:t>
            </w:r>
          </w:p>
          <w:p w:rsidR="002C5BD5" w:rsidRPr="000F40C3" w:rsidRDefault="002C5BD5" w:rsidP="006B7123">
            <w:pPr>
              <w:pStyle w:val="ListParagraph"/>
              <w:widowControl/>
              <w:ind w:left="0"/>
              <w:jc w:val="center"/>
              <w:rPr>
                <w:rFonts w:ascii="Arial Narrow" w:hAnsi="Arial Narrow"/>
                <w:b/>
                <w:sz w:val="20"/>
                <w:szCs w:val="22"/>
              </w:rPr>
            </w:pPr>
            <w:proofErr w:type="gramStart"/>
            <w:r w:rsidRPr="000F40C3">
              <w:rPr>
                <w:rFonts w:ascii="Arial Narrow" w:hAnsi="Arial Narrow"/>
                <w:b/>
                <w:sz w:val="20"/>
                <w:szCs w:val="22"/>
              </w:rPr>
              <w:t>n</w:t>
            </w:r>
            <w:proofErr w:type="gramEnd"/>
            <w:r w:rsidRPr="000F40C3">
              <w:rPr>
                <w:rFonts w:ascii="Arial Narrow" w:hAnsi="Arial Narrow"/>
                <w:b/>
                <w:sz w:val="20"/>
                <w:szCs w:val="22"/>
              </w:rPr>
              <w:t xml:space="preserve"> (%)</w:t>
            </w:r>
          </w:p>
        </w:tc>
        <w:tc>
          <w:tcPr>
            <w:tcW w:w="2472" w:type="dxa"/>
          </w:tcPr>
          <w:p w:rsidR="002C5BD5" w:rsidRPr="000F40C3" w:rsidRDefault="002C5BD5" w:rsidP="006B7123">
            <w:pPr>
              <w:pStyle w:val="ListParagraph"/>
              <w:widowControl/>
              <w:ind w:left="0"/>
              <w:jc w:val="center"/>
              <w:rPr>
                <w:rFonts w:ascii="Arial Narrow" w:hAnsi="Arial Narrow"/>
                <w:b/>
                <w:sz w:val="20"/>
                <w:szCs w:val="22"/>
              </w:rPr>
            </w:pPr>
            <w:r w:rsidRPr="000F40C3">
              <w:rPr>
                <w:rFonts w:ascii="Arial Narrow" w:hAnsi="Arial Narrow"/>
                <w:b/>
                <w:sz w:val="20"/>
                <w:szCs w:val="22"/>
              </w:rPr>
              <w:t>SC chemotherapy (N = 109) n (%)</w:t>
            </w:r>
          </w:p>
        </w:tc>
      </w:tr>
      <w:tr w:rsidR="002C5BD5" w:rsidRPr="000F40C3" w:rsidTr="00AF786F">
        <w:tc>
          <w:tcPr>
            <w:tcW w:w="3686" w:type="dxa"/>
          </w:tcPr>
          <w:p w:rsidR="002C5BD5" w:rsidRPr="000F40C3" w:rsidRDefault="002C5BD5" w:rsidP="00051C05">
            <w:pPr>
              <w:pStyle w:val="ListParagraph"/>
              <w:widowControl/>
              <w:ind w:left="0"/>
              <w:rPr>
                <w:rFonts w:ascii="Arial Narrow" w:hAnsi="Arial Narrow"/>
                <w:sz w:val="20"/>
                <w:szCs w:val="22"/>
              </w:rPr>
            </w:pPr>
            <w:r w:rsidRPr="000F40C3">
              <w:rPr>
                <w:rFonts w:ascii="Arial Narrow" w:hAnsi="Arial Narrow"/>
                <w:sz w:val="20"/>
                <w:szCs w:val="22"/>
              </w:rPr>
              <w:t>All treatment related emergent adverse events</w:t>
            </w:r>
          </w:p>
        </w:tc>
        <w:tc>
          <w:tcPr>
            <w:tcW w:w="2268" w:type="dxa"/>
          </w:tcPr>
          <w:p w:rsidR="002C5BD5" w:rsidRPr="000F40C3" w:rsidRDefault="002C5BD5" w:rsidP="006B7123">
            <w:pPr>
              <w:pStyle w:val="ListParagraph"/>
              <w:widowControl/>
              <w:ind w:left="0"/>
              <w:jc w:val="center"/>
              <w:rPr>
                <w:rFonts w:ascii="Arial Narrow" w:hAnsi="Arial Narrow"/>
                <w:sz w:val="20"/>
                <w:szCs w:val="22"/>
              </w:rPr>
            </w:pPr>
            <w:r w:rsidRPr="000F40C3">
              <w:rPr>
                <w:rFonts w:ascii="Arial Narrow" w:hAnsi="Arial Narrow"/>
                <w:sz w:val="20"/>
                <w:szCs w:val="22"/>
              </w:rPr>
              <w:t>214 (80.1)</w:t>
            </w:r>
          </w:p>
        </w:tc>
        <w:tc>
          <w:tcPr>
            <w:tcW w:w="2472" w:type="dxa"/>
          </w:tcPr>
          <w:p w:rsidR="002C5BD5" w:rsidRPr="000F40C3" w:rsidRDefault="002C5BD5" w:rsidP="006B7123">
            <w:pPr>
              <w:pStyle w:val="ListParagraph"/>
              <w:widowControl/>
              <w:ind w:left="0"/>
              <w:jc w:val="center"/>
              <w:rPr>
                <w:rFonts w:ascii="Arial Narrow" w:hAnsi="Arial Narrow"/>
                <w:sz w:val="20"/>
                <w:szCs w:val="22"/>
              </w:rPr>
            </w:pPr>
            <w:r w:rsidRPr="000F40C3">
              <w:rPr>
                <w:rFonts w:ascii="Arial Narrow" w:hAnsi="Arial Narrow"/>
                <w:sz w:val="20"/>
                <w:szCs w:val="22"/>
              </w:rPr>
              <w:t>92 (84.4)</w:t>
            </w:r>
          </w:p>
        </w:tc>
      </w:tr>
      <w:tr w:rsidR="002C5BD5" w:rsidRPr="000F40C3" w:rsidTr="00AF786F">
        <w:tc>
          <w:tcPr>
            <w:tcW w:w="3686" w:type="dxa"/>
          </w:tcPr>
          <w:p w:rsidR="002C5BD5" w:rsidRPr="000F40C3" w:rsidRDefault="002C5BD5" w:rsidP="00051C05">
            <w:pPr>
              <w:pStyle w:val="ListParagraph"/>
              <w:widowControl/>
              <w:ind w:left="0"/>
              <w:rPr>
                <w:rFonts w:ascii="Arial Narrow" w:hAnsi="Arial Narrow"/>
                <w:sz w:val="20"/>
                <w:szCs w:val="22"/>
              </w:rPr>
            </w:pPr>
            <w:r w:rsidRPr="000F40C3">
              <w:rPr>
                <w:rFonts w:ascii="Arial Narrow" w:hAnsi="Arial Narrow"/>
                <w:sz w:val="20"/>
                <w:szCs w:val="22"/>
              </w:rPr>
              <w:t>≥ Grade 2</w:t>
            </w:r>
          </w:p>
        </w:tc>
        <w:tc>
          <w:tcPr>
            <w:tcW w:w="2268" w:type="dxa"/>
          </w:tcPr>
          <w:p w:rsidR="002C5BD5" w:rsidRPr="000F40C3" w:rsidRDefault="002C5BD5" w:rsidP="006B7123">
            <w:pPr>
              <w:pStyle w:val="ListParagraph"/>
              <w:widowControl/>
              <w:ind w:left="0"/>
              <w:jc w:val="center"/>
              <w:rPr>
                <w:rFonts w:ascii="Arial Narrow" w:hAnsi="Arial Narrow"/>
                <w:sz w:val="20"/>
                <w:szCs w:val="22"/>
              </w:rPr>
            </w:pPr>
            <w:r w:rsidRPr="000F40C3">
              <w:rPr>
                <w:rFonts w:ascii="Arial Narrow" w:hAnsi="Arial Narrow"/>
                <w:sz w:val="20"/>
                <w:szCs w:val="22"/>
              </w:rPr>
              <w:t>195 (73.0)</w:t>
            </w:r>
          </w:p>
        </w:tc>
        <w:tc>
          <w:tcPr>
            <w:tcW w:w="2472" w:type="dxa"/>
          </w:tcPr>
          <w:p w:rsidR="002C5BD5" w:rsidRPr="000F40C3" w:rsidRDefault="002C5BD5" w:rsidP="006B7123">
            <w:pPr>
              <w:pStyle w:val="ListParagraph"/>
              <w:widowControl/>
              <w:ind w:left="0"/>
              <w:jc w:val="center"/>
              <w:rPr>
                <w:rFonts w:ascii="Arial Narrow" w:hAnsi="Arial Narrow"/>
                <w:sz w:val="20"/>
                <w:szCs w:val="22"/>
              </w:rPr>
            </w:pPr>
            <w:r w:rsidRPr="000F40C3">
              <w:rPr>
                <w:rFonts w:ascii="Arial Narrow" w:hAnsi="Arial Narrow"/>
                <w:sz w:val="20"/>
                <w:szCs w:val="22"/>
              </w:rPr>
              <w:t>89 (81.7)</w:t>
            </w:r>
          </w:p>
        </w:tc>
      </w:tr>
      <w:tr w:rsidR="002C5BD5" w:rsidRPr="000F40C3" w:rsidTr="00AF786F">
        <w:tc>
          <w:tcPr>
            <w:tcW w:w="3686" w:type="dxa"/>
          </w:tcPr>
          <w:p w:rsidR="002C5BD5" w:rsidRPr="000F40C3" w:rsidRDefault="002C5BD5" w:rsidP="00051C05">
            <w:pPr>
              <w:pStyle w:val="ListParagraph"/>
              <w:widowControl/>
              <w:ind w:left="0"/>
              <w:rPr>
                <w:rFonts w:ascii="Arial Narrow" w:hAnsi="Arial Narrow"/>
                <w:sz w:val="20"/>
                <w:szCs w:val="22"/>
              </w:rPr>
            </w:pPr>
            <w:r w:rsidRPr="000F40C3">
              <w:rPr>
                <w:rFonts w:ascii="Arial Narrow" w:hAnsi="Arial Narrow"/>
                <w:sz w:val="20"/>
                <w:szCs w:val="22"/>
              </w:rPr>
              <w:t>≥ Grade 3</w:t>
            </w:r>
          </w:p>
        </w:tc>
        <w:tc>
          <w:tcPr>
            <w:tcW w:w="2268" w:type="dxa"/>
          </w:tcPr>
          <w:p w:rsidR="002C5BD5" w:rsidRPr="000F40C3" w:rsidRDefault="002C5BD5" w:rsidP="006B7123">
            <w:pPr>
              <w:pStyle w:val="ListParagraph"/>
              <w:widowControl/>
              <w:ind w:left="0"/>
              <w:jc w:val="center"/>
              <w:rPr>
                <w:rFonts w:ascii="Arial Narrow" w:hAnsi="Arial Narrow"/>
                <w:sz w:val="20"/>
                <w:szCs w:val="22"/>
              </w:rPr>
            </w:pPr>
            <w:r w:rsidRPr="000F40C3">
              <w:rPr>
                <w:rFonts w:ascii="Arial Narrow" w:hAnsi="Arial Narrow"/>
                <w:sz w:val="20"/>
                <w:szCs w:val="22"/>
              </w:rPr>
              <w:t>143 (53.6)</w:t>
            </w:r>
          </w:p>
        </w:tc>
        <w:tc>
          <w:tcPr>
            <w:tcW w:w="2472" w:type="dxa"/>
          </w:tcPr>
          <w:p w:rsidR="002C5BD5" w:rsidRPr="000F40C3" w:rsidRDefault="002C5BD5" w:rsidP="006B7123">
            <w:pPr>
              <w:pStyle w:val="ListParagraph"/>
              <w:widowControl/>
              <w:ind w:left="0"/>
              <w:jc w:val="center"/>
              <w:rPr>
                <w:rFonts w:ascii="Arial Narrow" w:hAnsi="Arial Narrow"/>
                <w:sz w:val="20"/>
                <w:szCs w:val="22"/>
              </w:rPr>
            </w:pPr>
            <w:r w:rsidRPr="000F40C3">
              <w:rPr>
                <w:rFonts w:ascii="Arial Narrow" w:hAnsi="Arial Narrow"/>
                <w:sz w:val="20"/>
                <w:szCs w:val="22"/>
              </w:rPr>
              <w:t>78 (71.6)</w:t>
            </w:r>
          </w:p>
        </w:tc>
      </w:tr>
      <w:tr w:rsidR="002C5BD5" w:rsidRPr="000F40C3" w:rsidTr="00AF786F">
        <w:tc>
          <w:tcPr>
            <w:tcW w:w="3686" w:type="dxa"/>
          </w:tcPr>
          <w:p w:rsidR="002C5BD5" w:rsidRPr="000F40C3" w:rsidRDefault="002C5BD5" w:rsidP="00051C05">
            <w:pPr>
              <w:pStyle w:val="ListParagraph"/>
              <w:widowControl/>
              <w:ind w:left="0"/>
              <w:rPr>
                <w:rFonts w:ascii="Arial Narrow" w:hAnsi="Arial Narrow"/>
                <w:sz w:val="20"/>
                <w:szCs w:val="22"/>
              </w:rPr>
            </w:pPr>
            <w:r w:rsidRPr="000F40C3">
              <w:rPr>
                <w:rFonts w:ascii="Arial Narrow" w:hAnsi="Arial Narrow"/>
                <w:sz w:val="20"/>
                <w:szCs w:val="22"/>
              </w:rPr>
              <w:t>≥ Grade 4</w:t>
            </w:r>
          </w:p>
        </w:tc>
        <w:tc>
          <w:tcPr>
            <w:tcW w:w="2268" w:type="dxa"/>
          </w:tcPr>
          <w:p w:rsidR="002C5BD5" w:rsidRPr="000F40C3" w:rsidRDefault="002C5BD5" w:rsidP="006B7123">
            <w:pPr>
              <w:pStyle w:val="ListParagraph"/>
              <w:widowControl/>
              <w:ind w:left="0"/>
              <w:jc w:val="center"/>
              <w:rPr>
                <w:rFonts w:ascii="Arial Narrow" w:hAnsi="Arial Narrow"/>
                <w:sz w:val="20"/>
                <w:szCs w:val="22"/>
              </w:rPr>
            </w:pPr>
            <w:r w:rsidRPr="000F40C3">
              <w:rPr>
                <w:rFonts w:ascii="Arial Narrow" w:hAnsi="Arial Narrow"/>
                <w:sz w:val="20"/>
                <w:szCs w:val="22"/>
              </w:rPr>
              <w:t>57 (21.3)</w:t>
            </w:r>
          </w:p>
        </w:tc>
        <w:tc>
          <w:tcPr>
            <w:tcW w:w="2472" w:type="dxa"/>
          </w:tcPr>
          <w:p w:rsidR="002C5BD5" w:rsidRPr="000F40C3" w:rsidRDefault="002C5BD5" w:rsidP="006B7123">
            <w:pPr>
              <w:pStyle w:val="ListParagraph"/>
              <w:widowControl/>
              <w:ind w:left="0"/>
              <w:jc w:val="center"/>
              <w:rPr>
                <w:rFonts w:ascii="Arial Narrow" w:hAnsi="Arial Narrow"/>
                <w:sz w:val="20"/>
                <w:szCs w:val="22"/>
              </w:rPr>
            </w:pPr>
            <w:r w:rsidRPr="000F40C3">
              <w:rPr>
                <w:rFonts w:ascii="Arial Narrow" w:hAnsi="Arial Narrow"/>
                <w:sz w:val="20"/>
                <w:szCs w:val="22"/>
              </w:rPr>
              <w:t>51 (46.8)</w:t>
            </w:r>
          </w:p>
        </w:tc>
      </w:tr>
    </w:tbl>
    <w:p w:rsidR="002C5BD5" w:rsidRPr="000F40C3" w:rsidRDefault="002C5BD5" w:rsidP="006B7123">
      <w:pPr>
        <w:pStyle w:val="TableFooter"/>
        <w:widowControl/>
        <w:ind w:left="709"/>
      </w:pPr>
      <w:r w:rsidRPr="000F40C3">
        <w:t xml:space="preserve">Source: July 2016 PBAC </w:t>
      </w:r>
      <w:r w:rsidR="00CC55B4">
        <w:t>PSD</w:t>
      </w:r>
      <w:r w:rsidRPr="000F40C3">
        <w:t>, Table 2</w:t>
      </w:r>
    </w:p>
    <w:p w:rsidR="002C5BD5" w:rsidRPr="000F40C3" w:rsidRDefault="002C5BD5" w:rsidP="006B7123">
      <w:pPr>
        <w:pStyle w:val="TableFooter"/>
        <w:widowControl/>
        <w:ind w:left="709"/>
      </w:pPr>
      <w:r w:rsidRPr="000F40C3">
        <w:t>SC = standard care</w:t>
      </w:r>
    </w:p>
    <w:p w:rsidR="00FA6055" w:rsidRPr="000F40C3" w:rsidRDefault="00FA6055" w:rsidP="00051C05">
      <w:pPr>
        <w:jc w:val="both"/>
        <w:rPr>
          <w:rFonts w:ascii="Arial" w:hAnsi="Arial"/>
          <w:sz w:val="22"/>
          <w:szCs w:val="22"/>
        </w:rPr>
      </w:pPr>
    </w:p>
    <w:p w:rsidR="005A3173" w:rsidRPr="000F40C3" w:rsidRDefault="005A3173" w:rsidP="006B7123">
      <w:pPr>
        <w:pStyle w:val="Heading2"/>
      </w:pPr>
      <w:r w:rsidRPr="000F40C3">
        <w:t>Clinical claim</w:t>
      </w:r>
    </w:p>
    <w:p w:rsidR="005A3173" w:rsidRPr="000F40C3" w:rsidRDefault="005A3173" w:rsidP="006B7123">
      <w:pPr>
        <w:ind w:left="720" w:hanging="720"/>
        <w:jc w:val="both"/>
        <w:rPr>
          <w:rFonts w:ascii="Arial" w:hAnsi="Arial"/>
          <w:sz w:val="22"/>
          <w:szCs w:val="22"/>
        </w:rPr>
      </w:pPr>
    </w:p>
    <w:p w:rsidR="00BB7EC3" w:rsidRPr="000F40C3" w:rsidRDefault="00C84B1E" w:rsidP="00956D45">
      <w:pPr>
        <w:pStyle w:val="ListParagraph"/>
        <w:widowControl/>
        <w:numPr>
          <w:ilvl w:val="1"/>
          <w:numId w:val="5"/>
        </w:numPr>
        <w:rPr>
          <w:szCs w:val="22"/>
        </w:rPr>
      </w:pPr>
      <w:r w:rsidRPr="000F40C3">
        <w:rPr>
          <w:szCs w:val="22"/>
        </w:rPr>
        <w:t xml:space="preserve">The minor resubmission did not propose a </w:t>
      </w:r>
      <w:r w:rsidR="00E5734A" w:rsidRPr="000F40C3">
        <w:rPr>
          <w:szCs w:val="22"/>
        </w:rPr>
        <w:t xml:space="preserve">change the clinical claim from the July </w:t>
      </w:r>
      <w:r w:rsidR="003C476C" w:rsidRPr="000F40C3">
        <w:rPr>
          <w:szCs w:val="22"/>
        </w:rPr>
        <w:t>20</w:t>
      </w:r>
      <w:r w:rsidR="00E5734A" w:rsidRPr="000F40C3">
        <w:rPr>
          <w:szCs w:val="22"/>
        </w:rPr>
        <w:t xml:space="preserve">16 </w:t>
      </w:r>
      <w:r w:rsidRPr="000F40C3">
        <w:rPr>
          <w:szCs w:val="22"/>
        </w:rPr>
        <w:t>re</w:t>
      </w:r>
      <w:r w:rsidR="00E5734A" w:rsidRPr="000F40C3">
        <w:rPr>
          <w:szCs w:val="22"/>
        </w:rPr>
        <w:t>submission. In July 2016</w:t>
      </w:r>
      <w:r w:rsidR="003C476C" w:rsidRPr="000F40C3">
        <w:rPr>
          <w:szCs w:val="22"/>
        </w:rPr>
        <w:t>,</w:t>
      </w:r>
      <w:r w:rsidR="00E5734A" w:rsidRPr="000F40C3">
        <w:rPr>
          <w:szCs w:val="22"/>
        </w:rPr>
        <w:t xml:space="preserve"> the PBAC considered that the claim of superior comparative effectiveness was reasonable in light of the preliminary results provided from the TOWER trial.</w:t>
      </w:r>
      <w:r w:rsidR="00C00DA7" w:rsidRPr="000F40C3">
        <w:rPr>
          <w:szCs w:val="22"/>
        </w:rPr>
        <w:t xml:space="preserve"> </w:t>
      </w:r>
      <w:r w:rsidR="00E5734A" w:rsidRPr="000F40C3">
        <w:rPr>
          <w:szCs w:val="22"/>
        </w:rPr>
        <w:t>The PBAC considered that the claim of superior comparative safety was reasonable.</w:t>
      </w:r>
    </w:p>
    <w:p w:rsidR="00F57A6D" w:rsidRPr="000F40C3" w:rsidRDefault="00F57A6D" w:rsidP="006B7123">
      <w:pPr>
        <w:ind w:left="720" w:hanging="720"/>
        <w:jc w:val="both"/>
        <w:rPr>
          <w:rFonts w:ascii="Arial" w:hAnsi="Arial"/>
          <w:sz w:val="22"/>
          <w:szCs w:val="22"/>
        </w:rPr>
      </w:pPr>
    </w:p>
    <w:p w:rsidR="005A3173" w:rsidRPr="000F40C3" w:rsidRDefault="005A3173" w:rsidP="006B7123">
      <w:pPr>
        <w:pStyle w:val="Heading2"/>
      </w:pPr>
      <w:r w:rsidRPr="000F40C3">
        <w:lastRenderedPageBreak/>
        <w:t>Economic analysis</w:t>
      </w:r>
    </w:p>
    <w:p w:rsidR="005A3173" w:rsidRPr="000F40C3" w:rsidRDefault="005A3173" w:rsidP="006B7123">
      <w:pPr>
        <w:pStyle w:val="NoSpacing"/>
        <w:keepNext/>
      </w:pPr>
    </w:p>
    <w:p w:rsidR="00084C8A" w:rsidRPr="000F40C3" w:rsidRDefault="00D546D6" w:rsidP="00051C05">
      <w:pPr>
        <w:pStyle w:val="ListParagraph"/>
        <w:widowControl/>
        <w:numPr>
          <w:ilvl w:val="1"/>
          <w:numId w:val="5"/>
        </w:numPr>
        <w:rPr>
          <w:szCs w:val="22"/>
        </w:rPr>
      </w:pPr>
      <w:r w:rsidRPr="000F40C3">
        <w:rPr>
          <w:szCs w:val="22"/>
        </w:rPr>
        <w:t>O</w:t>
      </w:r>
      <w:r w:rsidR="00201329" w:rsidRPr="000F40C3">
        <w:rPr>
          <w:szCs w:val="22"/>
        </w:rPr>
        <w:t xml:space="preserve">verall survival for the first 2 years (the model time horizon is 20 years) for the July 2016 and current models is presented in Figure 2. </w:t>
      </w:r>
      <w:r w:rsidR="00363E2F" w:rsidRPr="000F40C3">
        <w:rPr>
          <w:szCs w:val="22"/>
        </w:rPr>
        <w:t xml:space="preserve">In the July 2016 model, overall survival was based on single arm studies. Data from the historical controls informed survival for 5 years for the standard care arm. Data from study MT103-211 informed survival for blinatumomab for 2 years, and between 2 and 5 years </w:t>
      </w:r>
      <w:r w:rsidR="00201329" w:rsidRPr="000F40C3">
        <w:rPr>
          <w:szCs w:val="22"/>
        </w:rPr>
        <w:t xml:space="preserve">the rate of </w:t>
      </w:r>
      <w:r w:rsidR="00363E2F" w:rsidRPr="000F40C3">
        <w:rPr>
          <w:szCs w:val="22"/>
        </w:rPr>
        <w:t>survival for blinatumomab was assumed to be the same as for the standard care arm.</w:t>
      </w:r>
      <w:r w:rsidR="00084C8A" w:rsidRPr="000F40C3">
        <w:rPr>
          <w:szCs w:val="22"/>
        </w:rPr>
        <w:t xml:space="preserve"> Beyond 5 years normal life expectancy was assumed for both arms. In the minor resubmission</w:t>
      </w:r>
      <w:r w:rsidR="001607D9" w:rsidRPr="000F40C3">
        <w:rPr>
          <w:szCs w:val="22"/>
        </w:rPr>
        <w:t xml:space="preserve"> model</w:t>
      </w:r>
      <w:r w:rsidR="00084C8A" w:rsidRPr="000F40C3">
        <w:rPr>
          <w:szCs w:val="22"/>
        </w:rPr>
        <w:t xml:space="preserve">, overall survival was estimated using data from TOWER </w:t>
      </w:r>
      <w:r w:rsidR="00201329" w:rsidRPr="000F40C3">
        <w:rPr>
          <w:szCs w:val="22"/>
        </w:rPr>
        <w:t>up to</w:t>
      </w:r>
      <w:r w:rsidR="0079071A">
        <w:rPr>
          <w:szCs w:val="22"/>
        </w:rPr>
        <w:t xml:space="preserve"> 1 </w:t>
      </w:r>
      <w:r w:rsidR="00084C8A" w:rsidRPr="000F40C3">
        <w:rPr>
          <w:szCs w:val="22"/>
        </w:rPr>
        <w:t>year for both arms</w:t>
      </w:r>
      <w:r w:rsidR="001607D9" w:rsidRPr="000F40C3">
        <w:rPr>
          <w:szCs w:val="22"/>
        </w:rPr>
        <w:t>;</w:t>
      </w:r>
      <w:r w:rsidR="00084C8A" w:rsidRPr="000F40C3">
        <w:rPr>
          <w:szCs w:val="22"/>
        </w:rPr>
        <w:t xml:space="preserve"> beyond this norm</w:t>
      </w:r>
      <w:r w:rsidR="001607D9" w:rsidRPr="000F40C3">
        <w:rPr>
          <w:szCs w:val="22"/>
        </w:rPr>
        <w:t>al life expectancy was assumed.</w:t>
      </w:r>
    </w:p>
    <w:p w:rsidR="00084C8A" w:rsidRPr="000F40C3" w:rsidRDefault="00084C8A" w:rsidP="006B7123">
      <w:pPr>
        <w:pStyle w:val="ListParagraph"/>
        <w:widowControl/>
        <w:rPr>
          <w:szCs w:val="22"/>
        </w:rPr>
      </w:pPr>
    </w:p>
    <w:p w:rsidR="00084C8A" w:rsidRPr="000F40C3" w:rsidRDefault="00201329" w:rsidP="00956D45">
      <w:pPr>
        <w:pStyle w:val="ListParagraph"/>
        <w:widowControl/>
        <w:rPr>
          <w:rFonts w:ascii="Arial Narrow" w:hAnsi="Arial Narrow"/>
          <w:b/>
          <w:sz w:val="20"/>
          <w:szCs w:val="22"/>
        </w:rPr>
      </w:pPr>
      <w:r w:rsidRPr="000F40C3">
        <w:rPr>
          <w:rFonts w:ascii="Arial Narrow" w:hAnsi="Arial Narrow"/>
          <w:b/>
          <w:sz w:val="20"/>
          <w:szCs w:val="22"/>
        </w:rPr>
        <w:t>Figure 2</w:t>
      </w:r>
      <w:r w:rsidR="001607D9" w:rsidRPr="000F40C3">
        <w:rPr>
          <w:rFonts w:ascii="Arial Narrow" w:hAnsi="Arial Narrow"/>
          <w:b/>
          <w:sz w:val="20"/>
          <w:szCs w:val="22"/>
        </w:rPr>
        <w:t>:</w:t>
      </w:r>
      <w:r w:rsidR="00084C8A" w:rsidRPr="000F40C3">
        <w:rPr>
          <w:rFonts w:ascii="Arial Narrow" w:hAnsi="Arial Narrow"/>
          <w:b/>
          <w:sz w:val="20"/>
          <w:szCs w:val="22"/>
        </w:rPr>
        <w:t xml:space="preserve"> Modelled overall survival from the revised economic evaluation (x axis truncated at 2 years)</w:t>
      </w:r>
    </w:p>
    <w:p w:rsidR="00084C8A" w:rsidRPr="000F40C3" w:rsidRDefault="00084C8A" w:rsidP="006B7123">
      <w:pPr>
        <w:pStyle w:val="ListParagraph"/>
        <w:widowControl/>
        <w:rPr>
          <w:szCs w:val="22"/>
        </w:rPr>
      </w:pPr>
      <w:r w:rsidRPr="000D0EB6">
        <w:rPr>
          <w:noProof/>
          <w:snapToGrid/>
          <w:szCs w:val="22"/>
          <w:lang w:eastAsia="en-AU"/>
        </w:rPr>
        <w:drawing>
          <wp:inline distT="0" distB="0" distL="0" distR="0" wp14:anchorId="4D5529E1" wp14:editId="57348629">
            <wp:extent cx="5295568" cy="2922722"/>
            <wp:effectExtent l="0" t="0" r="635" b="0"/>
            <wp:docPr id="3" name="Picture 3" title="Kaplan-meier plot of overall survival from the TOWER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2691" cy="2926653"/>
                    </a:xfrm>
                    <a:prstGeom prst="rect">
                      <a:avLst/>
                    </a:prstGeom>
                    <a:noFill/>
                    <a:ln>
                      <a:noFill/>
                    </a:ln>
                  </pic:spPr>
                </pic:pic>
              </a:graphicData>
            </a:graphic>
          </wp:inline>
        </w:drawing>
      </w:r>
    </w:p>
    <w:p w:rsidR="00FD5743" w:rsidRPr="000F40C3" w:rsidRDefault="00FD5743" w:rsidP="006B7123">
      <w:pPr>
        <w:pStyle w:val="TableFooter"/>
        <w:widowControl/>
        <w:ind w:left="709"/>
      </w:pPr>
      <w:r w:rsidRPr="000F40C3">
        <w:t>Source: Blinatumomab minor resubmission, Figure 4.2-1</w:t>
      </w:r>
    </w:p>
    <w:p w:rsidR="00084C8A" w:rsidRPr="000F40C3" w:rsidRDefault="00084C8A" w:rsidP="00051C05">
      <w:pPr>
        <w:pStyle w:val="ListParagraph"/>
        <w:widowControl/>
        <w:rPr>
          <w:szCs w:val="22"/>
        </w:rPr>
      </w:pPr>
    </w:p>
    <w:p w:rsidR="00084C8A" w:rsidRPr="000F40C3" w:rsidRDefault="00363D69" w:rsidP="00956D45">
      <w:pPr>
        <w:pStyle w:val="ListParagraph"/>
        <w:widowControl/>
        <w:numPr>
          <w:ilvl w:val="1"/>
          <w:numId w:val="5"/>
        </w:numPr>
        <w:rPr>
          <w:szCs w:val="22"/>
        </w:rPr>
      </w:pPr>
      <w:r w:rsidRPr="000F40C3">
        <w:rPr>
          <w:szCs w:val="22"/>
        </w:rPr>
        <w:t>The economic model in the July 2016 submission assumed a normal life expectancy from 5 years for 11.9% of blinatumomab patients and 6.4% of standard care patients. The current model assumed normal life expectancy from 1 year for 34% and 28% of patients respectively. The incremental gain in life years (LYs) was 1.25 years in the July 2016 model (of which 0.81 years were for the period 5-20 years). This compares with 1.26 LYs gain</w:t>
      </w:r>
      <w:r w:rsidR="00201329" w:rsidRPr="000F40C3">
        <w:rPr>
          <w:szCs w:val="22"/>
        </w:rPr>
        <w:t>ed</w:t>
      </w:r>
      <w:r w:rsidRPr="000F40C3">
        <w:rPr>
          <w:szCs w:val="22"/>
        </w:rPr>
        <w:t xml:space="preserve"> (0.89 in the period 5-20 years) in the current model. Although the current model assumed substantially more patient</w:t>
      </w:r>
      <w:r w:rsidR="00273BC6" w:rsidRPr="000F40C3">
        <w:rPr>
          <w:szCs w:val="22"/>
        </w:rPr>
        <w:t>s</w:t>
      </w:r>
      <w:r w:rsidR="003F2C85" w:rsidRPr="000F40C3">
        <w:rPr>
          <w:szCs w:val="22"/>
        </w:rPr>
        <w:t xml:space="preserve"> are cured both with blinatumomab and standard care, the difference between the groups is similar and thus the gain in overall survival is similar.</w:t>
      </w:r>
    </w:p>
    <w:p w:rsidR="003F2C85" w:rsidRPr="000F40C3" w:rsidRDefault="003F2C85" w:rsidP="006B7123">
      <w:pPr>
        <w:pStyle w:val="ListParagraph"/>
        <w:widowControl/>
        <w:rPr>
          <w:szCs w:val="22"/>
        </w:rPr>
      </w:pPr>
    </w:p>
    <w:p w:rsidR="003F2C85" w:rsidRPr="000F40C3" w:rsidRDefault="003F2C85" w:rsidP="006B7123">
      <w:pPr>
        <w:pStyle w:val="ListParagraph"/>
        <w:widowControl/>
        <w:numPr>
          <w:ilvl w:val="1"/>
          <w:numId w:val="5"/>
        </w:numPr>
        <w:rPr>
          <w:szCs w:val="22"/>
        </w:rPr>
      </w:pPr>
      <w:r w:rsidRPr="000F40C3">
        <w:rPr>
          <w:szCs w:val="22"/>
        </w:rPr>
        <w:t xml:space="preserve">The results of the previous and current economic models </w:t>
      </w:r>
      <w:r w:rsidR="00186496" w:rsidRPr="000F40C3">
        <w:rPr>
          <w:szCs w:val="22"/>
        </w:rPr>
        <w:t>are</w:t>
      </w:r>
      <w:r w:rsidRPr="000F40C3">
        <w:rPr>
          <w:szCs w:val="22"/>
        </w:rPr>
        <w:t xml:space="preserve"> presented in Table 5. The vial price of blinatumomab</w:t>
      </w:r>
      <w:r w:rsidR="00250199">
        <w:rPr>
          <w:szCs w:val="22"/>
        </w:rPr>
        <w:t xml:space="preserve"> has been decreased from $</w:t>
      </w:r>
      <w:r w:rsidR="002375CE">
        <w:rPr>
          <w:noProof/>
          <w:color w:val="000000"/>
          <w:szCs w:val="22"/>
          <w:highlight w:val="black"/>
        </w:rPr>
        <w:t>''''''''''''''''''''</w:t>
      </w:r>
      <w:r w:rsidRPr="000F40C3">
        <w:rPr>
          <w:szCs w:val="22"/>
        </w:rPr>
        <w:t xml:space="preserve"> in the July submission to $</w:t>
      </w:r>
      <w:r w:rsidR="002375CE">
        <w:rPr>
          <w:noProof/>
          <w:color w:val="000000"/>
          <w:szCs w:val="22"/>
          <w:highlight w:val="black"/>
        </w:rPr>
        <w:t>'''''''''''''''''''''</w:t>
      </w:r>
      <w:r w:rsidRPr="000F40C3">
        <w:rPr>
          <w:szCs w:val="22"/>
        </w:rPr>
        <w:t xml:space="preserve"> in the current submission to achieve an incremental cost per QALY gained of </w:t>
      </w:r>
      <w:r w:rsidR="00555FE6">
        <w:rPr>
          <w:szCs w:val="22"/>
        </w:rPr>
        <w:t>$45,000 - $75,000</w:t>
      </w:r>
      <w:r w:rsidR="00186496" w:rsidRPr="000F40C3">
        <w:rPr>
          <w:szCs w:val="22"/>
        </w:rPr>
        <w:t xml:space="preserve"> with the revised model based on the TOWER survival data</w:t>
      </w:r>
      <w:r w:rsidRPr="000F40C3">
        <w:rPr>
          <w:szCs w:val="22"/>
        </w:rPr>
        <w:t>.</w:t>
      </w:r>
    </w:p>
    <w:p w:rsidR="003F2C85" w:rsidRPr="000F40C3" w:rsidRDefault="003F2C85" w:rsidP="006B7123">
      <w:pPr>
        <w:pStyle w:val="ListParagraph"/>
        <w:widowControl/>
        <w:rPr>
          <w:szCs w:val="22"/>
        </w:rPr>
      </w:pPr>
    </w:p>
    <w:p w:rsidR="003F2C85" w:rsidRPr="000F40C3" w:rsidRDefault="003F2C85" w:rsidP="00051C05">
      <w:pPr>
        <w:pStyle w:val="ListParagraph"/>
        <w:keepNext/>
        <w:widowControl/>
        <w:rPr>
          <w:rFonts w:ascii="Arial Narrow" w:hAnsi="Arial Narrow"/>
          <w:b/>
          <w:sz w:val="20"/>
        </w:rPr>
      </w:pPr>
      <w:r w:rsidRPr="000F40C3">
        <w:rPr>
          <w:rFonts w:ascii="Arial Narrow" w:hAnsi="Arial Narrow"/>
          <w:b/>
          <w:sz w:val="20"/>
        </w:rPr>
        <w:lastRenderedPageBreak/>
        <w:t>Table 5</w:t>
      </w:r>
      <w:r w:rsidR="001832F2" w:rsidRPr="000F40C3">
        <w:rPr>
          <w:rFonts w:ascii="Arial Narrow" w:hAnsi="Arial Narrow"/>
          <w:b/>
          <w:sz w:val="20"/>
        </w:rPr>
        <w:t>:</w:t>
      </w:r>
      <w:r w:rsidRPr="000F40C3">
        <w:rPr>
          <w:rFonts w:ascii="Arial Narrow" w:hAnsi="Arial Narrow"/>
          <w:b/>
          <w:sz w:val="20"/>
        </w:rPr>
        <w:t xml:space="preserve"> Comparison of the results of the economic evaluation in each submission and the PBAC recommendation from July 2016</w:t>
      </w:r>
    </w:p>
    <w:tbl>
      <w:tblPr>
        <w:tblStyle w:val="TableGrid"/>
        <w:tblW w:w="0" w:type="auto"/>
        <w:tblInd w:w="817" w:type="dxa"/>
        <w:tblLook w:val="04A0" w:firstRow="1" w:lastRow="0" w:firstColumn="1" w:lastColumn="0" w:noHBand="0" w:noVBand="1"/>
        <w:tblCaption w:val="Summary of the Economic Evaluations of previous submission and current resubmission"/>
      </w:tblPr>
      <w:tblGrid>
        <w:gridCol w:w="1843"/>
        <w:gridCol w:w="1645"/>
        <w:gridCol w:w="1646"/>
        <w:gridCol w:w="1645"/>
        <w:gridCol w:w="1646"/>
      </w:tblGrid>
      <w:tr w:rsidR="001832F2" w:rsidRPr="000F40C3" w:rsidTr="0072417B">
        <w:trPr>
          <w:tblHeader/>
        </w:trPr>
        <w:tc>
          <w:tcPr>
            <w:tcW w:w="1843" w:type="dxa"/>
            <w:tcBorders>
              <w:bottom w:val="single" w:sz="4" w:space="0" w:color="auto"/>
            </w:tcBorders>
          </w:tcPr>
          <w:p w:rsidR="001832F2" w:rsidRPr="000F40C3" w:rsidRDefault="001832F2" w:rsidP="00956D45">
            <w:pPr>
              <w:pStyle w:val="ListParagraph"/>
              <w:keepNext/>
              <w:widowControl/>
              <w:ind w:left="0"/>
              <w:rPr>
                <w:rFonts w:ascii="Arial Narrow" w:hAnsi="Arial Narrow"/>
                <w:b/>
                <w:sz w:val="20"/>
                <w:highlight w:val="yellow"/>
              </w:rPr>
            </w:pPr>
          </w:p>
        </w:tc>
        <w:tc>
          <w:tcPr>
            <w:tcW w:w="1645" w:type="dxa"/>
            <w:tcBorders>
              <w:bottom w:val="single" w:sz="4" w:space="0" w:color="auto"/>
            </w:tcBorders>
          </w:tcPr>
          <w:p w:rsidR="001832F2" w:rsidRPr="000F40C3" w:rsidRDefault="001832F2" w:rsidP="00956D45">
            <w:pPr>
              <w:pStyle w:val="ListParagraph"/>
              <w:keepNext/>
              <w:widowControl/>
              <w:ind w:left="0"/>
              <w:jc w:val="center"/>
              <w:rPr>
                <w:rFonts w:ascii="Arial Narrow" w:hAnsi="Arial Narrow"/>
                <w:b/>
                <w:sz w:val="20"/>
              </w:rPr>
            </w:pPr>
            <w:r w:rsidRPr="000F40C3">
              <w:rPr>
                <w:rFonts w:ascii="Arial Narrow" w:hAnsi="Arial Narrow"/>
                <w:b/>
                <w:sz w:val="20"/>
              </w:rPr>
              <w:t>November 2015 submission</w:t>
            </w:r>
          </w:p>
        </w:tc>
        <w:tc>
          <w:tcPr>
            <w:tcW w:w="1646" w:type="dxa"/>
            <w:tcBorders>
              <w:bottom w:val="single" w:sz="4" w:space="0" w:color="auto"/>
            </w:tcBorders>
          </w:tcPr>
          <w:p w:rsidR="001832F2" w:rsidRPr="000F40C3" w:rsidRDefault="001832F2" w:rsidP="00956D45">
            <w:pPr>
              <w:pStyle w:val="ListParagraph"/>
              <w:keepNext/>
              <w:widowControl/>
              <w:ind w:left="0"/>
              <w:jc w:val="center"/>
              <w:rPr>
                <w:rFonts w:ascii="Arial Narrow" w:hAnsi="Arial Narrow"/>
                <w:b/>
                <w:sz w:val="20"/>
              </w:rPr>
            </w:pPr>
            <w:r w:rsidRPr="000F40C3">
              <w:rPr>
                <w:rFonts w:ascii="Arial Narrow" w:hAnsi="Arial Narrow"/>
                <w:b/>
                <w:sz w:val="20"/>
              </w:rPr>
              <w:t>July 201</w:t>
            </w:r>
            <w:r w:rsidR="00721AFA" w:rsidRPr="000F40C3">
              <w:rPr>
                <w:rFonts w:ascii="Arial Narrow" w:hAnsi="Arial Narrow"/>
                <w:b/>
                <w:sz w:val="20"/>
              </w:rPr>
              <w:t xml:space="preserve">6 </w:t>
            </w:r>
            <w:r w:rsidRPr="000F40C3">
              <w:rPr>
                <w:rFonts w:ascii="Arial Narrow" w:hAnsi="Arial Narrow"/>
                <w:b/>
                <w:sz w:val="20"/>
              </w:rPr>
              <w:t>resubmission</w:t>
            </w:r>
          </w:p>
        </w:tc>
        <w:tc>
          <w:tcPr>
            <w:tcW w:w="1645" w:type="dxa"/>
            <w:tcBorders>
              <w:bottom w:val="single" w:sz="4" w:space="0" w:color="auto"/>
            </w:tcBorders>
          </w:tcPr>
          <w:p w:rsidR="001832F2" w:rsidRPr="000F40C3" w:rsidRDefault="001832F2" w:rsidP="00956D45">
            <w:pPr>
              <w:pStyle w:val="ListParagraph"/>
              <w:keepNext/>
              <w:widowControl/>
              <w:ind w:left="0"/>
              <w:jc w:val="center"/>
              <w:rPr>
                <w:rFonts w:ascii="Arial Narrow" w:hAnsi="Arial Narrow"/>
                <w:b/>
                <w:sz w:val="20"/>
              </w:rPr>
            </w:pPr>
            <w:r w:rsidRPr="000F40C3">
              <w:rPr>
                <w:rFonts w:ascii="Arial Narrow" w:hAnsi="Arial Narrow"/>
                <w:b/>
                <w:sz w:val="20"/>
              </w:rPr>
              <w:t>July 2016 PBAC recommendation</w:t>
            </w:r>
          </w:p>
        </w:tc>
        <w:tc>
          <w:tcPr>
            <w:tcW w:w="1646" w:type="dxa"/>
            <w:tcBorders>
              <w:bottom w:val="single" w:sz="4" w:space="0" w:color="auto"/>
            </w:tcBorders>
          </w:tcPr>
          <w:p w:rsidR="001832F2" w:rsidRPr="000F40C3" w:rsidRDefault="001832F2" w:rsidP="00956D45">
            <w:pPr>
              <w:pStyle w:val="ListParagraph"/>
              <w:keepNext/>
              <w:widowControl/>
              <w:ind w:left="0"/>
              <w:jc w:val="center"/>
              <w:rPr>
                <w:rFonts w:ascii="Arial Narrow" w:hAnsi="Arial Narrow"/>
                <w:b/>
                <w:sz w:val="20"/>
              </w:rPr>
            </w:pPr>
            <w:r w:rsidRPr="000F40C3">
              <w:rPr>
                <w:rFonts w:ascii="Arial Narrow" w:hAnsi="Arial Narrow"/>
                <w:b/>
                <w:sz w:val="20"/>
              </w:rPr>
              <w:t>Minor resubmission November 2016</w:t>
            </w:r>
          </w:p>
        </w:tc>
      </w:tr>
      <w:tr w:rsidR="001832F2" w:rsidRPr="000F40C3" w:rsidTr="00555FE6">
        <w:tc>
          <w:tcPr>
            <w:tcW w:w="1843" w:type="dxa"/>
            <w:tcBorders>
              <w:bottom w:val="nil"/>
            </w:tcBorders>
            <w:vAlign w:val="center"/>
          </w:tcPr>
          <w:p w:rsidR="001832F2" w:rsidRPr="000F40C3" w:rsidRDefault="001832F2" w:rsidP="00956D45">
            <w:pPr>
              <w:pStyle w:val="ListParagraph"/>
              <w:keepNext/>
              <w:widowControl/>
              <w:ind w:left="0"/>
              <w:jc w:val="left"/>
              <w:rPr>
                <w:rFonts w:ascii="Arial Narrow" w:hAnsi="Arial Narrow"/>
                <w:sz w:val="20"/>
              </w:rPr>
            </w:pPr>
            <w:r w:rsidRPr="000F40C3">
              <w:rPr>
                <w:rFonts w:ascii="Arial Narrow" w:hAnsi="Arial Narrow"/>
                <w:sz w:val="20"/>
              </w:rPr>
              <w:t>Source of blinatumomab data</w:t>
            </w:r>
          </w:p>
        </w:tc>
        <w:tc>
          <w:tcPr>
            <w:tcW w:w="1645" w:type="dxa"/>
            <w:tcBorders>
              <w:bottom w:val="nil"/>
            </w:tcBorders>
            <w:vAlign w:val="center"/>
          </w:tcPr>
          <w:p w:rsidR="001832F2" w:rsidRPr="000F40C3" w:rsidRDefault="001832F2" w:rsidP="00956D45">
            <w:pPr>
              <w:pStyle w:val="ListParagraph"/>
              <w:keepNext/>
              <w:widowControl/>
              <w:ind w:left="0"/>
              <w:jc w:val="center"/>
              <w:rPr>
                <w:rFonts w:ascii="Arial Narrow" w:hAnsi="Arial Narrow"/>
                <w:sz w:val="20"/>
              </w:rPr>
            </w:pPr>
            <w:r w:rsidRPr="000F40C3">
              <w:rPr>
                <w:rFonts w:ascii="Arial Narrow" w:hAnsi="Arial Narrow"/>
                <w:sz w:val="20"/>
              </w:rPr>
              <w:t>MT103-211 study</w:t>
            </w:r>
          </w:p>
        </w:tc>
        <w:tc>
          <w:tcPr>
            <w:tcW w:w="1646" w:type="dxa"/>
            <w:tcBorders>
              <w:bottom w:val="nil"/>
            </w:tcBorders>
            <w:vAlign w:val="center"/>
          </w:tcPr>
          <w:p w:rsidR="001832F2" w:rsidRPr="000F40C3" w:rsidRDefault="001832F2" w:rsidP="00956D45">
            <w:pPr>
              <w:pStyle w:val="ListParagraph"/>
              <w:keepNext/>
              <w:widowControl/>
              <w:ind w:left="0"/>
              <w:jc w:val="center"/>
              <w:rPr>
                <w:rFonts w:ascii="Arial Narrow" w:hAnsi="Arial Narrow"/>
                <w:sz w:val="20"/>
              </w:rPr>
            </w:pPr>
            <w:r w:rsidRPr="000F40C3">
              <w:rPr>
                <w:rFonts w:ascii="Arial Narrow" w:hAnsi="Arial Narrow"/>
                <w:sz w:val="20"/>
              </w:rPr>
              <w:t>MT103-211 study</w:t>
            </w:r>
          </w:p>
        </w:tc>
        <w:tc>
          <w:tcPr>
            <w:tcW w:w="1645" w:type="dxa"/>
            <w:tcBorders>
              <w:bottom w:val="nil"/>
            </w:tcBorders>
            <w:vAlign w:val="center"/>
          </w:tcPr>
          <w:p w:rsidR="001832F2" w:rsidRPr="000F40C3" w:rsidRDefault="001832F2" w:rsidP="00956D45">
            <w:pPr>
              <w:pStyle w:val="ListParagraph"/>
              <w:keepNext/>
              <w:widowControl/>
              <w:ind w:left="0"/>
              <w:jc w:val="center"/>
              <w:rPr>
                <w:rFonts w:ascii="Arial Narrow" w:hAnsi="Arial Narrow"/>
                <w:sz w:val="20"/>
              </w:rPr>
            </w:pPr>
            <w:r w:rsidRPr="000F40C3">
              <w:rPr>
                <w:rFonts w:ascii="Arial Narrow" w:hAnsi="Arial Narrow"/>
                <w:sz w:val="20"/>
              </w:rPr>
              <w:t>MT103-211 study</w:t>
            </w:r>
          </w:p>
        </w:tc>
        <w:tc>
          <w:tcPr>
            <w:tcW w:w="1646" w:type="dxa"/>
            <w:tcBorders>
              <w:bottom w:val="nil"/>
            </w:tcBorders>
            <w:vAlign w:val="center"/>
          </w:tcPr>
          <w:p w:rsidR="001832F2" w:rsidRPr="000F40C3" w:rsidRDefault="001832F2" w:rsidP="00956D45">
            <w:pPr>
              <w:pStyle w:val="ListParagraph"/>
              <w:keepNext/>
              <w:widowControl/>
              <w:ind w:left="0"/>
              <w:jc w:val="center"/>
              <w:rPr>
                <w:rFonts w:ascii="Arial Narrow" w:hAnsi="Arial Narrow"/>
                <w:sz w:val="20"/>
              </w:rPr>
            </w:pPr>
            <w:r w:rsidRPr="000F40C3">
              <w:rPr>
                <w:rFonts w:ascii="Arial Narrow" w:hAnsi="Arial Narrow"/>
                <w:sz w:val="20"/>
              </w:rPr>
              <w:t>TOW</w:t>
            </w:r>
            <w:r w:rsidR="002741B1" w:rsidRPr="000F40C3">
              <w:rPr>
                <w:rFonts w:ascii="Arial Narrow" w:hAnsi="Arial Narrow"/>
                <w:sz w:val="20"/>
              </w:rPr>
              <w:t>ER data (to </w:t>
            </w:r>
            <w:r w:rsidRPr="000F40C3">
              <w:rPr>
                <w:rFonts w:ascii="Arial Narrow" w:hAnsi="Arial Narrow"/>
                <w:sz w:val="20"/>
              </w:rPr>
              <w:t>12 months)</w:t>
            </w:r>
          </w:p>
        </w:tc>
      </w:tr>
      <w:tr w:rsidR="001832F2" w:rsidRPr="000F40C3" w:rsidTr="00555FE6">
        <w:tc>
          <w:tcPr>
            <w:tcW w:w="1843" w:type="dxa"/>
            <w:tcBorders>
              <w:top w:val="nil"/>
              <w:bottom w:val="nil"/>
            </w:tcBorders>
            <w:vAlign w:val="center"/>
          </w:tcPr>
          <w:p w:rsidR="001832F2" w:rsidRPr="000F40C3" w:rsidRDefault="001832F2" w:rsidP="00956D45">
            <w:pPr>
              <w:pStyle w:val="ListParagraph"/>
              <w:keepNext/>
              <w:widowControl/>
              <w:ind w:left="0"/>
              <w:jc w:val="left"/>
              <w:rPr>
                <w:rFonts w:ascii="Arial Narrow" w:hAnsi="Arial Narrow"/>
                <w:sz w:val="20"/>
              </w:rPr>
            </w:pPr>
            <w:r w:rsidRPr="000F40C3">
              <w:rPr>
                <w:rFonts w:ascii="Arial Narrow" w:hAnsi="Arial Narrow"/>
                <w:sz w:val="20"/>
              </w:rPr>
              <w:t>Source of SOC data</w:t>
            </w:r>
          </w:p>
        </w:tc>
        <w:tc>
          <w:tcPr>
            <w:tcW w:w="1645" w:type="dxa"/>
            <w:tcBorders>
              <w:top w:val="nil"/>
              <w:bottom w:val="nil"/>
            </w:tcBorders>
            <w:vAlign w:val="center"/>
          </w:tcPr>
          <w:p w:rsidR="001832F2" w:rsidRPr="000F40C3" w:rsidRDefault="001832F2" w:rsidP="00956D45">
            <w:pPr>
              <w:pStyle w:val="ListParagraph"/>
              <w:keepNext/>
              <w:widowControl/>
              <w:ind w:left="0"/>
              <w:jc w:val="center"/>
              <w:rPr>
                <w:rFonts w:ascii="Arial Narrow" w:hAnsi="Arial Narrow"/>
                <w:sz w:val="20"/>
              </w:rPr>
            </w:pPr>
            <w:r w:rsidRPr="000F40C3">
              <w:rPr>
                <w:rFonts w:ascii="Arial Narrow" w:hAnsi="Arial Narrow"/>
                <w:sz w:val="20"/>
              </w:rPr>
              <w:t>Historical control</w:t>
            </w:r>
          </w:p>
        </w:tc>
        <w:tc>
          <w:tcPr>
            <w:tcW w:w="1646" w:type="dxa"/>
            <w:tcBorders>
              <w:top w:val="nil"/>
              <w:bottom w:val="nil"/>
            </w:tcBorders>
            <w:vAlign w:val="center"/>
          </w:tcPr>
          <w:p w:rsidR="001832F2" w:rsidRPr="000F40C3" w:rsidRDefault="001832F2" w:rsidP="00956D45">
            <w:pPr>
              <w:pStyle w:val="ListParagraph"/>
              <w:keepNext/>
              <w:widowControl/>
              <w:ind w:left="0"/>
              <w:jc w:val="center"/>
              <w:rPr>
                <w:rFonts w:ascii="Arial Narrow" w:hAnsi="Arial Narrow"/>
                <w:sz w:val="20"/>
              </w:rPr>
            </w:pPr>
            <w:r w:rsidRPr="000F40C3">
              <w:rPr>
                <w:rFonts w:ascii="Arial Narrow" w:hAnsi="Arial Narrow"/>
                <w:sz w:val="20"/>
              </w:rPr>
              <w:t>Historical control</w:t>
            </w:r>
          </w:p>
        </w:tc>
        <w:tc>
          <w:tcPr>
            <w:tcW w:w="1645" w:type="dxa"/>
            <w:tcBorders>
              <w:top w:val="nil"/>
              <w:bottom w:val="nil"/>
            </w:tcBorders>
            <w:vAlign w:val="center"/>
          </w:tcPr>
          <w:p w:rsidR="001832F2" w:rsidRPr="000F40C3" w:rsidRDefault="001832F2" w:rsidP="00956D45">
            <w:pPr>
              <w:pStyle w:val="ListParagraph"/>
              <w:keepNext/>
              <w:widowControl/>
              <w:ind w:left="0"/>
              <w:jc w:val="center"/>
              <w:rPr>
                <w:rFonts w:ascii="Arial Narrow" w:hAnsi="Arial Narrow"/>
                <w:sz w:val="20"/>
              </w:rPr>
            </w:pPr>
            <w:r w:rsidRPr="000F40C3">
              <w:rPr>
                <w:rFonts w:ascii="Arial Narrow" w:hAnsi="Arial Narrow"/>
                <w:sz w:val="20"/>
              </w:rPr>
              <w:t>Histor</w:t>
            </w:r>
            <w:r w:rsidR="002741B1" w:rsidRPr="000F40C3">
              <w:rPr>
                <w:rFonts w:ascii="Arial Narrow" w:hAnsi="Arial Narrow"/>
                <w:sz w:val="20"/>
              </w:rPr>
              <w:t>ical control restricted to post</w:t>
            </w:r>
            <w:r w:rsidR="002741B1" w:rsidRPr="000F40C3">
              <w:rPr>
                <w:rFonts w:ascii="Arial Narrow" w:hAnsi="Arial Narrow"/>
                <w:sz w:val="20"/>
              </w:rPr>
              <w:noBreakHyphen/>
            </w:r>
            <w:r w:rsidRPr="000F40C3">
              <w:rPr>
                <w:rFonts w:ascii="Arial Narrow" w:hAnsi="Arial Narrow"/>
                <w:sz w:val="20"/>
              </w:rPr>
              <w:t>2000</w:t>
            </w:r>
          </w:p>
        </w:tc>
        <w:tc>
          <w:tcPr>
            <w:tcW w:w="1646" w:type="dxa"/>
            <w:tcBorders>
              <w:top w:val="nil"/>
              <w:bottom w:val="nil"/>
            </w:tcBorders>
            <w:vAlign w:val="center"/>
          </w:tcPr>
          <w:p w:rsidR="001832F2" w:rsidRPr="000F40C3" w:rsidRDefault="001832F2" w:rsidP="00956D45">
            <w:pPr>
              <w:pStyle w:val="ListParagraph"/>
              <w:keepNext/>
              <w:widowControl/>
              <w:ind w:left="0"/>
              <w:jc w:val="center"/>
              <w:rPr>
                <w:rFonts w:ascii="Arial Narrow" w:hAnsi="Arial Narrow"/>
                <w:sz w:val="20"/>
              </w:rPr>
            </w:pPr>
            <w:r w:rsidRPr="000F40C3">
              <w:rPr>
                <w:rFonts w:ascii="Arial Narrow" w:hAnsi="Arial Narrow"/>
                <w:sz w:val="20"/>
              </w:rPr>
              <w:t>TOWER data (to 12 months)</w:t>
            </w:r>
          </w:p>
        </w:tc>
      </w:tr>
      <w:tr w:rsidR="001832F2" w:rsidRPr="000F40C3" w:rsidTr="00555FE6">
        <w:tc>
          <w:tcPr>
            <w:tcW w:w="1843" w:type="dxa"/>
            <w:tcBorders>
              <w:top w:val="nil"/>
              <w:bottom w:val="single" w:sz="4" w:space="0" w:color="auto"/>
            </w:tcBorders>
            <w:vAlign w:val="center"/>
          </w:tcPr>
          <w:p w:rsidR="001832F2" w:rsidRPr="000F40C3" w:rsidRDefault="002741B1" w:rsidP="00956D45">
            <w:pPr>
              <w:pStyle w:val="ListParagraph"/>
              <w:keepNext/>
              <w:widowControl/>
              <w:ind w:left="0"/>
              <w:jc w:val="left"/>
              <w:rPr>
                <w:rFonts w:ascii="Arial Narrow" w:hAnsi="Arial Narrow"/>
                <w:sz w:val="20"/>
              </w:rPr>
            </w:pPr>
            <w:r w:rsidRPr="000F40C3">
              <w:rPr>
                <w:rFonts w:ascii="Arial Narrow" w:hAnsi="Arial Narrow"/>
                <w:sz w:val="20"/>
              </w:rPr>
              <w:t>Extrapolation method</w:t>
            </w:r>
            <w:r w:rsidRPr="000F40C3">
              <w:rPr>
                <w:rFonts w:ascii="Arial Narrow" w:hAnsi="Arial Narrow"/>
                <w:sz w:val="20"/>
                <w:vertAlign w:val="superscript"/>
              </w:rPr>
              <w:t>a</w:t>
            </w:r>
          </w:p>
        </w:tc>
        <w:tc>
          <w:tcPr>
            <w:tcW w:w="1645" w:type="dxa"/>
            <w:tcBorders>
              <w:top w:val="nil"/>
              <w:bottom w:val="single" w:sz="4" w:space="0" w:color="auto"/>
            </w:tcBorders>
            <w:vAlign w:val="center"/>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Historical control 25-60 months, Aus death rate 5</w:t>
            </w:r>
            <w:r w:rsidRPr="000F40C3">
              <w:rPr>
                <w:rFonts w:ascii="Arial Narrow" w:hAnsi="Arial Narrow"/>
                <w:sz w:val="20"/>
              </w:rPr>
              <w:noBreakHyphen/>
              <w:t>20 years</w:t>
            </w:r>
          </w:p>
        </w:tc>
        <w:tc>
          <w:tcPr>
            <w:tcW w:w="1646" w:type="dxa"/>
            <w:tcBorders>
              <w:top w:val="nil"/>
              <w:bottom w:val="single" w:sz="4" w:space="0" w:color="auto"/>
            </w:tcBorders>
            <w:vAlign w:val="center"/>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Historical control 25-60 months, Aus death rate 5</w:t>
            </w:r>
            <w:r w:rsidRPr="000F40C3">
              <w:rPr>
                <w:rFonts w:ascii="Arial Narrow" w:hAnsi="Arial Narrow"/>
                <w:sz w:val="20"/>
              </w:rPr>
              <w:noBreakHyphen/>
              <w:t>20 years</w:t>
            </w:r>
          </w:p>
        </w:tc>
        <w:tc>
          <w:tcPr>
            <w:tcW w:w="1645" w:type="dxa"/>
            <w:tcBorders>
              <w:top w:val="nil"/>
              <w:bottom w:val="single" w:sz="4" w:space="0" w:color="auto"/>
            </w:tcBorders>
            <w:vAlign w:val="center"/>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Historical control 25-60 months, Aus death rate 5</w:t>
            </w:r>
            <w:r w:rsidRPr="000F40C3">
              <w:rPr>
                <w:rFonts w:ascii="Arial Narrow" w:hAnsi="Arial Narrow"/>
                <w:sz w:val="20"/>
              </w:rPr>
              <w:noBreakHyphen/>
              <w:t>20 years</w:t>
            </w:r>
          </w:p>
        </w:tc>
        <w:tc>
          <w:tcPr>
            <w:tcW w:w="1646" w:type="dxa"/>
            <w:tcBorders>
              <w:top w:val="nil"/>
              <w:bottom w:val="single" w:sz="4" w:space="0" w:color="auto"/>
            </w:tcBorders>
            <w:vAlign w:val="center"/>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Aus death rate from 1-20 years</w:t>
            </w:r>
          </w:p>
        </w:tc>
      </w:tr>
      <w:tr w:rsidR="001832F2" w:rsidRPr="000F40C3" w:rsidTr="00555FE6">
        <w:tc>
          <w:tcPr>
            <w:tcW w:w="1843" w:type="dxa"/>
            <w:tcBorders>
              <w:bottom w:val="nil"/>
            </w:tcBorders>
          </w:tcPr>
          <w:p w:rsidR="001832F2" w:rsidRPr="000F40C3" w:rsidRDefault="002741B1" w:rsidP="00956D45">
            <w:pPr>
              <w:pStyle w:val="ListParagraph"/>
              <w:keepNext/>
              <w:widowControl/>
              <w:ind w:left="0"/>
              <w:jc w:val="left"/>
              <w:rPr>
                <w:rFonts w:ascii="Arial Narrow" w:hAnsi="Arial Narrow"/>
                <w:sz w:val="20"/>
              </w:rPr>
            </w:pPr>
            <w:r w:rsidRPr="000F40C3">
              <w:rPr>
                <w:rFonts w:ascii="Arial Narrow" w:hAnsi="Arial Narrow"/>
                <w:sz w:val="20"/>
              </w:rPr>
              <w:t>QALYs blinatumomab</w:t>
            </w:r>
          </w:p>
        </w:tc>
        <w:tc>
          <w:tcPr>
            <w:tcW w:w="1645" w:type="dxa"/>
            <w:tcBorders>
              <w:bottom w:val="nil"/>
            </w:tcBorders>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1.679</w:t>
            </w:r>
          </w:p>
        </w:tc>
        <w:tc>
          <w:tcPr>
            <w:tcW w:w="1646" w:type="dxa"/>
            <w:tcBorders>
              <w:bottom w:val="nil"/>
            </w:tcBorders>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1.679</w:t>
            </w:r>
          </w:p>
        </w:tc>
        <w:tc>
          <w:tcPr>
            <w:tcW w:w="1645" w:type="dxa"/>
            <w:tcBorders>
              <w:bottom w:val="nil"/>
            </w:tcBorders>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1.627</w:t>
            </w:r>
          </w:p>
        </w:tc>
        <w:tc>
          <w:tcPr>
            <w:tcW w:w="1646" w:type="dxa"/>
            <w:tcBorders>
              <w:bottom w:val="nil"/>
            </w:tcBorders>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3.673</w:t>
            </w:r>
          </w:p>
        </w:tc>
      </w:tr>
      <w:tr w:rsidR="001832F2" w:rsidRPr="000F40C3" w:rsidTr="00555FE6">
        <w:tc>
          <w:tcPr>
            <w:tcW w:w="1843" w:type="dxa"/>
            <w:tcBorders>
              <w:top w:val="nil"/>
              <w:bottom w:val="nil"/>
            </w:tcBorders>
          </w:tcPr>
          <w:p w:rsidR="001832F2" w:rsidRPr="000F40C3" w:rsidRDefault="002741B1" w:rsidP="00956D45">
            <w:pPr>
              <w:pStyle w:val="ListParagraph"/>
              <w:keepNext/>
              <w:widowControl/>
              <w:ind w:left="0"/>
              <w:jc w:val="left"/>
              <w:rPr>
                <w:rFonts w:ascii="Arial Narrow" w:hAnsi="Arial Narrow"/>
                <w:sz w:val="20"/>
              </w:rPr>
            </w:pPr>
            <w:r w:rsidRPr="000F40C3">
              <w:rPr>
                <w:rFonts w:ascii="Arial Narrow" w:hAnsi="Arial Narrow"/>
                <w:sz w:val="20"/>
              </w:rPr>
              <w:t>QALYs SOC</w:t>
            </w:r>
          </w:p>
        </w:tc>
        <w:tc>
          <w:tcPr>
            <w:tcW w:w="1645" w:type="dxa"/>
            <w:tcBorders>
              <w:top w:val="nil"/>
              <w:bottom w:val="nil"/>
            </w:tcBorders>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0.746</w:t>
            </w:r>
          </w:p>
        </w:tc>
        <w:tc>
          <w:tcPr>
            <w:tcW w:w="1646" w:type="dxa"/>
            <w:tcBorders>
              <w:top w:val="nil"/>
              <w:bottom w:val="nil"/>
            </w:tcBorders>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0.746</w:t>
            </w:r>
          </w:p>
        </w:tc>
        <w:tc>
          <w:tcPr>
            <w:tcW w:w="1645" w:type="dxa"/>
            <w:tcBorders>
              <w:top w:val="nil"/>
              <w:bottom w:val="nil"/>
            </w:tcBorders>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0.894</w:t>
            </w:r>
          </w:p>
        </w:tc>
        <w:tc>
          <w:tcPr>
            <w:tcW w:w="1646" w:type="dxa"/>
            <w:tcBorders>
              <w:top w:val="nil"/>
              <w:bottom w:val="nil"/>
            </w:tcBorders>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2.959</w:t>
            </w:r>
          </w:p>
        </w:tc>
      </w:tr>
      <w:tr w:rsidR="001832F2" w:rsidRPr="000F40C3" w:rsidTr="00555FE6">
        <w:tc>
          <w:tcPr>
            <w:tcW w:w="1843" w:type="dxa"/>
            <w:tcBorders>
              <w:top w:val="nil"/>
              <w:bottom w:val="single" w:sz="4" w:space="0" w:color="auto"/>
            </w:tcBorders>
          </w:tcPr>
          <w:p w:rsidR="001832F2" w:rsidRPr="000F40C3" w:rsidRDefault="002741B1" w:rsidP="00956D45">
            <w:pPr>
              <w:pStyle w:val="ListParagraph"/>
              <w:keepNext/>
              <w:widowControl/>
              <w:ind w:left="0"/>
              <w:jc w:val="left"/>
              <w:rPr>
                <w:rFonts w:ascii="Arial Narrow" w:hAnsi="Arial Narrow"/>
                <w:sz w:val="20"/>
              </w:rPr>
            </w:pPr>
            <w:r w:rsidRPr="000F40C3">
              <w:rPr>
                <w:rFonts w:ascii="Arial Narrow" w:hAnsi="Arial Narrow"/>
                <w:sz w:val="20"/>
              </w:rPr>
              <w:t>Incremental QALYs</w:t>
            </w:r>
          </w:p>
        </w:tc>
        <w:tc>
          <w:tcPr>
            <w:tcW w:w="1645" w:type="dxa"/>
            <w:tcBorders>
              <w:top w:val="nil"/>
              <w:bottom w:val="single" w:sz="4" w:space="0" w:color="auto"/>
            </w:tcBorders>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0.934</w:t>
            </w:r>
          </w:p>
        </w:tc>
        <w:tc>
          <w:tcPr>
            <w:tcW w:w="1646" w:type="dxa"/>
            <w:tcBorders>
              <w:top w:val="nil"/>
              <w:bottom w:val="single" w:sz="4" w:space="0" w:color="auto"/>
            </w:tcBorders>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0.934</w:t>
            </w:r>
          </w:p>
        </w:tc>
        <w:tc>
          <w:tcPr>
            <w:tcW w:w="1645" w:type="dxa"/>
            <w:tcBorders>
              <w:top w:val="nil"/>
              <w:bottom w:val="single" w:sz="4" w:space="0" w:color="auto"/>
            </w:tcBorders>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0.733</w:t>
            </w:r>
          </w:p>
        </w:tc>
        <w:tc>
          <w:tcPr>
            <w:tcW w:w="1646" w:type="dxa"/>
            <w:tcBorders>
              <w:top w:val="nil"/>
              <w:bottom w:val="single" w:sz="4" w:space="0" w:color="auto"/>
            </w:tcBorders>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0.713</w:t>
            </w:r>
          </w:p>
        </w:tc>
      </w:tr>
      <w:tr w:rsidR="001832F2" w:rsidRPr="000F40C3" w:rsidTr="00555FE6">
        <w:tc>
          <w:tcPr>
            <w:tcW w:w="1843" w:type="dxa"/>
            <w:tcBorders>
              <w:bottom w:val="nil"/>
            </w:tcBorders>
          </w:tcPr>
          <w:p w:rsidR="001832F2" w:rsidRPr="000F40C3" w:rsidRDefault="002741B1" w:rsidP="00956D45">
            <w:pPr>
              <w:pStyle w:val="ListParagraph"/>
              <w:keepNext/>
              <w:widowControl/>
              <w:ind w:left="0"/>
              <w:jc w:val="left"/>
              <w:rPr>
                <w:rFonts w:ascii="Arial Narrow" w:hAnsi="Arial Narrow"/>
                <w:sz w:val="20"/>
              </w:rPr>
            </w:pPr>
            <w:r w:rsidRPr="000F40C3">
              <w:rPr>
                <w:rFonts w:ascii="Arial Narrow" w:hAnsi="Arial Narrow"/>
                <w:sz w:val="20"/>
              </w:rPr>
              <w:t>Costs blinatumomab</w:t>
            </w:r>
          </w:p>
        </w:tc>
        <w:tc>
          <w:tcPr>
            <w:tcW w:w="1645" w:type="dxa"/>
            <w:tcBorders>
              <w:bottom w:val="nil"/>
            </w:tcBorders>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w:t>
            </w:r>
            <w:r w:rsidR="002375CE">
              <w:rPr>
                <w:rFonts w:ascii="Arial Narrow" w:hAnsi="Arial Narrow"/>
                <w:noProof/>
                <w:color w:val="000000"/>
                <w:sz w:val="20"/>
                <w:highlight w:val="black"/>
              </w:rPr>
              <w:t>'''''''''''''''''''</w:t>
            </w:r>
          </w:p>
        </w:tc>
        <w:tc>
          <w:tcPr>
            <w:tcW w:w="1646" w:type="dxa"/>
            <w:tcBorders>
              <w:bottom w:val="nil"/>
            </w:tcBorders>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w:t>
            </w:r>
            <w:r w:rsidR="002375CE">
              <w:rPr>
                <w:rFonts w:ascii="Arial Narrow" w:hAnsi="Arial Narrow"/>
                <w:noProof/>
                <w:color w:val="000000"/>
                <w:sz w:val="20"/>
                <w:highlight w:val="black"/>
              </w:rPr>
              <w:t>'''''''''''''''''''''</w:t>
            </w:r>
          </w:p>
        </w:tc>
        <w:tc>
          <w:tcPr>
            <w:tcW w:w="1645" w:type="dxa"/>
            <w:tcBorders>
              <w:bottom w:val="nil"/>
            </w:tcBorders>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w:t>
            </w:r>
            <w:r w:rsidR="002375CE">
              <w:rPr>
                <w:rFonts w:ascii="Arial Narrow" w:hAnsi="Arial Narrow"/>
                <w:noProof/>
                <w:color w:val="000000"/>
                <w:sz w:val="20"/>
                <w:highlight w:val="black"/>
              </w:rPr>
              <w:t>''''''''''''''''''''</w:t>
            </w:r>
          </w:p>
        </w:tc>
        <w:tc>
          <w:tcPr>
            <w:tcW w:w="1646" w:type="dxa"/>
            <w:tcBorders>
              <w:bottom w:val="nil"/>
            </w:tcBorders>
          </w:tcPr>
          <w:p w:rsidR="001832F2"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w:t>
            </w:r>
            <w:r w:rsidR="002375CE">
              <w:rPr>
                <w:rFonts w:ascii="Arial Narrow" w:hAnsi="Arial Narrow"/>
                <w:noProof/>
                <w:color w:val="000000"/>
                <w:sz w:val="20"/>
                <w:highlight w:val="black"/>
              </w:rPr>
              <w:t>'''''''''''''''''''''</w:t>
            </w:r>
          </w:p>
        </w:tc>
      </w:tr>
      <w:tr w:rsidR="002741B1" w:rsidRPr="000F40C3" w:rsidTr="00555FE6">
        <w:tc>
          <w:tcPr>
            <w:tcW w:w="1843" w:type="dxa"/>
            <w:tcBorders>
              <w:top w:val="nil"/>
              <w:bottom w:val="nil"/>
            </w:tcBorders>
          </w:tcPr>
          <w:p w:rsidR="002741B1" w:rsidRPr="000F40C3" w:rsidRDefault="002741B1" w:rsidP="00051C05">
            <w:pPr>
              <w:pStyle w:val="ListParagraph"/>
              <w:keepNext/>
              <w:widowControl/>
              <w:ind w:left="0"/>
              <w:jc w:val="left"/>
              <w:rPr>
                <w:rFonts w:ascii="Arial Narrow" w:hAnsi="Arial Narrow"/>
                <w:sz w:val="20"/>
              </w:rPr>
            </w:pPr>
            <w:r w:rsidRPr="000F40C3">
              <w:rPr>
                <w:rFonts w:ascii="Arial Narrow" w:hAnsi="Arial Narrow"/>
                <w:sz w:val="20"/>
              </w:rPr>
              <w:t>Costs SOC</w:t>
            </w:r>
          </w:p>
        </w:tc>
        <w:tc>
          <w:tcPr>
            <w:tcW w:w="1645" w:type="dxa"/>
            <w:tcBorders>
              <w:top w:val="nil"/>
              <w:bottom w:val="nil"/>
            </w:tcBorders>
          </w:tcPr>
          <w:p w:rsidR="002741B1"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w:t>
            </w:r>
            <w:r w:rsidR="002375CE">
              <w:rPr>
                <w:rFonts w:ascii="Arial Narrow" w:hAnsi="Arial Narrow"/>
                <w:noProof/>
                <w:color w:val="000000"/>
                <w:sz w:val="20"/>
                <w:highlight w:val="black"/>
              </w:rPr>
              <w:t>'''''''''''''''''''</w:t>
            </w:r>
          </w:p>
        </w:tc>
        <w:tc>
          <w:tcPr>
            <w:tcW w:w="1646" w:type="dxa"/>
            <w:tcBorders>
              <w:top w:val="nil"/>
              <w:bottom w:val="nil"/>
            </w:tcBorders>
          </w:tcPr>
          <w:p w:rsidR="002741B1"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w:t>
            </w:r>
            <w:r w:rsidR="002375CE">
              <w:rPr>
                <w:rFonts w:ascii="Arial Narrow" w:hAnsi="Arial Narrow"/>
                <w:noProof/>
                <w:color w:val="000000"/>
                <w:sz w:val="20"/>
                <w:highlight w:val="black"/>
              </w:rPr>
              <w:t>''''''''''''''''''''</w:t>
            </w:r>
          </w:p>
        </w:tc>
        <w:tc>
          <w:tcPr>
            <w:tcW w:w="1645" w:type="dxa"/>
            <w:tcBorders>
              <w:top w:val="nil"/>
              <w:bottom w:val="nil"/>
            </w:tcBorders>
          </w:tcPr>
          <w:p w:rsidR="002741B1"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w:t>
            </w:r>
            <w:r w:rsidR="002375CE">
              <w:rPr>
                <w:rFonts w:ascii="Arial Narrow" w:hAnsi="Arial Narrow"/>
                <w:noProof/>
                <w:color w:val="000000"/>
                <w:sz w:val="20"/>
                <w:highlight w:val="black"/>
              </w:rPr>
              <w:t>''''''''''''''''''</w:t>
            </w:r>
          </w:p>
        </w:tc>
        <w:tc>
          <w:tcPr>
            <w:tcW w:w="1646" w:type="dxa"/>
            <w:tcBorders>
              <w:top w:val="nil"/>
              <w:bottom w:val="nil"/>
            </w:tcBorders>
          </w:tcPr>
          <w:p w:rsidR="002741B1"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w:t>
            </w:r>
            <w:r w:rsidR="002375CE">
              <w:rPr>
                <w:rFonts w:ascii="Arial Narrow" w:hAnsi="Arial Narrow"/>
                <w:noProof/>
                <w:color w:val="000000"/>
                <w:sz w:val="20"/>
                <w:highlight w:val="black"/>
              </w:rPr>
              <w:t>'''''''''''''''''''''</w:t>
            </w:r>
          </w:p>
        </w:tc>
      </w:tr>
      <w:tr w:rsidR="002741B1" w:rsidRPr="000F40C3" w:rsidTr="00555FE6">
        <w:tc>
          <w:tcPr>
            <w:tcW w:w="1843" w:type="dxa"/>
            <w:tcBorders>
              <w:top w:val="nil"/>
            </w:tcBorders>
          </w:tcPr>
          <w:p w:rsidR="002741B1" w:rsidRPr="000F40C3" w:rsidRDefault="002741B1" w:rsidP="00051C05">
            <w:pPr>
              <w:pStyle w:val="ListParagraph"/>
              <w:keepNext/>
              <w:widowControl/>
              <w:ind w:left="0"/>
              <w:jc w:val="left"/>
              <w:rPr>
                <w:rFonts w:ascii="Arial Narrow" w:hAnsi="Arial Narrow"/>
                <w:sz w:val="20"/>
              </w:rPr>
            </w:pPr>
            <w:r w:rsidRPr="000F40C3">
              <w:rPr>
                <w:rFonts w:ascii="Arial Narrow" w:hAnsi="Arial Narrow"/>
                <w:sz w:val="20"/>
              </w:rPr>
              <w:t>Incremental costs</w:t>
            </w:r>
          </w:p>
        </w:tc>
        <w:tc>
          <w:tcPr>
            <w:tcW w:w="1645" w:type="dxa"/>
            <w:tcBorders>
              <w:top w:val="nil"/>
            </w:tcBorders>
          </w:tcPr>
          <w:p w:rsidR="002741B1"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w:t>
            </w:r>
            <w:r w:rsidR="002375CE">
              <w:rPr>
                <w:rFonts w:ascii="Arial Narrow" w:hAnsi="Arial Narrow"/>
                <w:noProof/>
                <w:color w:val="000000"/>
                <w:sz w:val="20"/>
                <w:highlight w:val="black"/>
              </w:rPr>
              <w:t>'''''''''''''''</w:t>
            </w:r>
          </w:p>
        </w:tc>
        <w:tc>
          <w:tcPr>
            <w:tcW w:w="1646" w:type="dxa"/>
            <w:tcBorders>
              <w:top w:val="nil"/>
            </w:tcBorders>
          </w:tcPr>
          <w:p w:rsidR="002741B1"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w:t>
            </w:r>
            <w:r w:rsidR="002375CE">
              <w:rPr>
                <w:rFonts w:ascii="Arial Narrow" w:hAnsi="Arial Narrow"/>
                <w:noProof/>
                <w:color w:val="000000"/>
                <w:sz w:val="20"/>
                <w:highlight w:val="black"/>
              </w:rPr>
              <w:t>''''''''''''''''</w:t>
            </w:r>
          </w:p>
        </w:tc>
        <w:tc>
          <w:tcPr>
            <w:tcW w:w="1645" w:type="dxa"/>
            <w:tcBorders>
              <w:top w:val="nil"/>
            </w:tcBorders>
          </w:tcPr>
          <w:p w:rsidR="002741B1"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w:t>
            </w:r>
            <w:r w:rsidR="002375CE">
              <w:rPr>
                <w:rFonts w:ascii="Arial Narrow" w:hAnsi="Arial Narrow"/>
                <w:noProof/>
                <w:color w:val="000000"/>
                <w:sz w:val="20"/>
                <w:highlight w:val="black"/>
              </w:rPr>
              <w:t>'''''''''''''''''</w:t>
            </w:r>
          </w:p>
        </w:tc>
        <w:tc>
          <w:tcPr>
            <w:tcW w:w="1646" w:type="dxa"/>
            <w:tcBorders>
              <w:top w:val="nil"/>
            </w:tcBorders>
          </w:tcPr>
          <w:p w:rsidR="002741B1"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w:t>
            </w:r>
            <w:r w:rsidR="002375CE">
              <w:rPr>
                <w:rFonts w:ascii="Arial Narrow" w:hAnsi="Arial Narrow"/>
                <w:noProof/>
                <w:color w:val="000000"/>
                <w:sz w:val="20"/>
                <w:highlight w:val="black"/>
              </w:rPr>
              <w:t>''''''''''''''''</w:t>
            </w:r>
          </w:p>
        </w:tc>
      </w:tr>
      <w:tr w:rsidR="002741B1" w:rsidRPr="000F40C3" w:rsidTr="00555FE6">
        <w:tc>
          <w:tcPr>
            <w:tcW w:w="1843" w:type="dxa"/>
          </w:tcPr>
          <w:p w:rsidR="002741B1" w:rsidRPr="000F40C3" w:rsidRDefault="002741B1" w:rsidP="00051C05">
            <w:pPr>
              <w:pStyle w:val="ListParagraph"/>
              <w:keepNext/>
              <w:widowControl/>
              <w:ind w:left="0"/>
              <w:jc w:val="left"/>
              <w:rPr>
                <w:rFonts w:ascii="Arial Narrow" w:hAnsi="Arial Narrow"/>
                <w:sz w:val="20"/>
              </w:rPr>
            </w:pPr>
            <w:r w:rsidRPr="000F40C3">
              <w:rPr>
                <w:rFonts w:ascii="Arial Narrow" w:hAnsi="Arial Narrow"/>
                <w:sz w:val="20"/>
              </w:rPr>
              <w:t>ICER per QALY</w:t>
            </w:r>
          </w:p>
        </w:tc>
        <w:tc>
          <w:tcPr>
            <w:tcW w:w="1645" w:type="dxa"/>
          </w:tcPr>
          <w:p w:rsidR="002741B1" w:rsidRPr="000F40C3" w:rsidRDefault="002741B1" w:rsidP="00956D45">
            <w:pPr>
              <w:pStyle w:val="ListParagraph"/>
              <w:keepNext/>
              <w:widowControl/>
              <w:ind w:left="0"/>
              <w:jc w:val="center"/>
              <w:rPr>
                <w:rFonts w:ascii="Arial Narrow" w:hAnsi="Arial Narrow"/>
                <w:b/>
                <w:sz w:val="20"/>
              </w:rPr>
            </w:pPr>
            <w:r w:rsidRPr="000F40C3">
              <w:rPr>
                <w:rFonts w:ascii="Arial Narrow" w:hAnsi="Arial Narrow"/>
                <w:b/>
                <w:sz w:val="20"/>
              </w:rPr>
              <w:t>$</w:t>
            </w:r>
            <w:r w:rsidR="002375CE">
              <w:rPr>
                <w:rFonts w:ascii="Arial Narrow" w:hAnsi="Arial Narrow"/>
                <w:b/>
                <w:noProof/>
                <w:color w:val="000000"/>
                <w:sz w:val="20"/>
                <w:highlight w:val="black"/>
              </w:rPr>
              <w:t>''''''''''''</w:t>
            </w:r>
          </w:p>
        </w:tc>
        <w:tc>
          <w:tcPr>
            <w:tcW w:w="1646" w:type="dxa"/>
          </w:tcPr>
          <w:p w:rsidR="002741B1" w:rsidRPr="000F40C3" w:rsidRDefault="002741B1" w:rsidP="00956D45">
            <w:pPr>
              <w:pStyle w:val="ListParagraph"/>
              <w:keepNext/>
              <w:widowControl/>
              <w:ind w:left="0"/>
              <w:jc w:val="center"/>
              <w:rPr>
                <w:rFonts w:ascii="Arial Narrow" w:hAnsi="Arial Narrow"/>
                <w:b/>
                <w:sz w:val="20"/>
              </w:rPr>
            </w:pPr>
            <w:r w:rsidRPr="000F40C3">
              <w:rPr>
                <w:rFonts w:ascii="Arial Narrow" w:hAnsi="Arial Narrow"/>
                <w:b/>
                <w:sz w:val="20"/>
              </w:rPr>
              <w:t>$</w:t>
            </w:r>
            <w:r w:rsidR="002375CE">
              <w:rPr>
                <w:rFonts w:ascii="Arial Narrow" w:hAnsi="Arial Narrow"/>
                <w:b/>
                <w:noProof/>
                <w:color w:val="000000"/>
                <w:sz w:val="20"/>
                <w:highlight w:val="black"/>
              </w:rPr>
              <w:t>'''''''''''''</w:t>
            </w:r>
          </w:p>
        </w:tc>
        <w:tc>
          <w:tcPr>
            <w:tcW w:w="1645" w:type="dxa"/>
          </w:tcPr>
          <w:p w:rsidR="002741B1" w:rsidRPr="000F40C3" w:rsidRDefault="002741B1" w:rsidP="00956D45">
            <w:pPr>
              <w:pStyle w:val="ListParagraph"/>
              <w:keepNext/>
              <w:widowControl/>
              <w:ind w:left="0"/>
              <w:jc w:val="center"/>
              <w:rPr>
                <w:rFonts w:ascii="Arial Narrow" w:hAnsi="Arial Narrow"/>
                <w:b/>
                <w:sz w:val="20"/>
              </w:rPr>
            </w:pPr>
            <w:r w:rsidRPr="000F40C3">
              <w:rPr>
                <w:rFonts w:ascii="Arial Narrow" w:hAnsi="Arial Narrow"/>
                <w:b/>
                <w:sz w:val="20"/>
              </w:rPr>
              <w:t>$</w:t>
            </w:r>
            <w:r w:rsidR="002375CE">
              <w:rPr>
                <w:rFonts w:ascii="Arial Narrow" w:hAnsi="Arial Narrow"/>
                <w:b/>
                <w:noProof/>
                <w:color w:val="000000"/>
                <w:sz w:val="20"/>
                <w:highlight w:val="black"/>
              </w:rPr>
              <w:t>''''''''''''''</w:t>
            </w:r>
          </w:p>
        </w:tc>
        <w:tc>
          <w:tcPr>
            <w:tcW w:w="1646" w:type="dxa"/>
          </w:tcPr>
          <w:p w:rsidR="002741B1" w:rsidRPr="000F40C3" w:rsidRDefault="002741B1" w:rsidP="00956D45">
            <w:pPr>
              <w:pStyle w:val="ListParagraph"/>
              <w:keepNext/>
              <w:widowControl/>
              <w:ind w:left="0"/>
              <w:jc w:val="center"/>
              <w:rPr>
                <w:rFonts w:ascii="Arial Narrow" w:hAnsi="Arial Narrow"/>
                <w:b/>
                <w:sz w:val="20"/>
              </w:rPr>
            </w:pPr>
            <w:r w:rsidRPr="000F40C3">
              <w:rPr>
                <w:rFonts w:ascii="Arial Narrow" w:hAnsi="Arial Narrow"/>
                <w:b/>
                <w:sz w:val="20"/>
              </w:rPr>
              <w:t>$</w:t>
            </w:r>
            <w:r w:rsidR="002375CE">
              <w:rPr>
                <w:rFonts w:ascii="Arial Narrow" w:hAnsi="Arial Narrow"/>
                <w:b/>
                <w:noProof/>
                <w:color w:val="000000"/>
                <w:sz w:val="20"/>
                <w:highlight w:val="black"/>
              </w:rPr>
              <w:t>''''''''''''</w:t>
            </w:r>
          </w:p>
        </w:tc>
      </w:tr>
      <w:tr w:rsidR="002741B1" w:rsidRPr="000F40C3" w:rsidTr="00555FE6">
        <w:tc>
          <w:tcPr>
            <w:tcW w:w="1843" w:type="dxa"/>
          </w:tcPr>
          <w:p w:rsidR="002741B1" w:rsidRPr="000F40C3" w:rsidRDefault="002741B1" w:rsidP="00051C05">
            <w:pPr>
              <w:pStyle w:val="ListParagraph"/>
              <w:keepNext/>
              <w:widowControl/>
              <w:ind w:left="0"/>
              <w:jc w:val="left"/>
              <w:rPr>
                <w:rFonts w:ascii="Arial Narrow" w:hAnsi="Arial Narrow"/>
                <w:sz w:val="20"/>
              </w:rPr>
            </w:pPr>
            <w:r w:rsidRPr="000F40C3">
              <w:rPr>
                <w:rFonts w:ascii="Arial Narrow" w:hAnsi="Arial Narrow"/>
                <w:sz w:val="20"/>
              </w:rPr>
              <w:t>Blinatumomab vial price</w:t>
            </w:r>
            <w:r w:rsidRPr="000F40C3">
              <w:rPr>
                <w:rFonts w:ascii="Arial Narrow" w:hAnsi="Arial Narrow"/>
                <w:sz w:val="20"/>
                <w:vertAlign w:val="superscript"/>
              </w:rPr>
              <w:t>b</w:t>
            </w:r>
          </w:p>
        </w:tc>
        <w:tc>
          <w:tcPr>
            <w:tcW w:w="1645" w:type="dxa"/>
          </w:tcPr>
          <w:p w:rsidR="002741B1" w:rsidRPr="000F40C3" w:rsidRDefault="002741B1" w:rsidP="00956D45">
            <w:pPr>
              <w:pStyle w:val="ListParagraph"/>
              <w:keepNext/>
              <w:widowControl/>
              <w:ind w:left="0"/>
              <w:jc w:val="center"/>
              <w:rPr>
                <w:rFonts w:ascii="Arial Narrow" w:hAnsi="Arial Narrow"/>
                <w:b/>
                <w:sz w:val="20"/>
              </w:rPr>
            </w:pPr>
            <w:r w:rsidRPr="000F40C3">
              <w:rPr>
                <w:rFonts w:ascii="Arial Narrow" w:hAnsi="Arial Narrow"/>
                <w:b/>
                <w:sz w:val="20"/>
              </w:rPr>
              <w:t>$</w:t>
            </w:r>
            <w:r w:rsidR="002375CE">
              <w:rPr>
                <w:rFonts w:ascii="Arial Narrow" w:hAnsi="Arial Narrow"/>
                <w:b/>
                <w:noProof/>
                <w:color w:val="000000"/>
                <w:sz w:val="20"/>
                <w:highlight w:val="black"/>
              </w:rPr>
              <w:t>''''''''''''''''''</w:t>
            </w:r>
          </w:p>
        </w:tc>
        <w:tc>
          <w:tcPr>
            <w:tcW w:w="1646" w:type="dxa"/>
          </w:tcPr>
          <w:p w:rsidR="002741B1" w:rsidRPr="000F40C3" w:rsidRDefault="002741B1" w:rsidP="00956D45">
            <w:pPr>
              <w:pStyle w:val="ListParagraph"/>
              <w:keepNext/>
              <w:widowControl/>
              <w:ind w:left="0"/>
              <w:jc w:val="center"/>
              <w:rPr>
                <w:rFonts w:ascii="Arial Narrow" w:hAnsi="Arial Narrow"/>
                <w:b/>
                <w:sz w:val="20"/>
              </w:rPr>
            </w:pPr>
            <w:r w:rsidRPr="000F40C3">
              <w:rPr>
                <w:rFonts w:ascii="Arial Narrow" w:hAnsi="Arial Narrow"/>
                <w:b/>
                <w:sz w:val="20"/>
              </w:rPr>
              <w:t>$</w:t>
            </w:r>
            <w:r w:rsidR="002375CE">
              <w:rPr>
                <w:rFonts w:ascii="Arial Narrow" w:hAnsi="Arial Narrow"/>
                <w:b/>
                <w:noProof/>
                <w:color w:val="000000"/>
                <w:sz w:val="20"/>
                <w:highlight w:val="black"/>
              </w:rPr>
              <w:t>''''''''''''''''</w:t>
            </w:r>
          </w:p>
        </w:tc>
        <w:tc>
          <w:tcPr>
            <w:tcW w:w="1645" w:type="dxa"/>
          </w:tcPr>
          <w:p w:rsidR="002741B1" w:rsidRPr="000F40C3" w:rsidRDefault="002741B1" w:rsidP="00956D45">
            <w:pPr>
              <w:pStyle w:val="ListParagraph"/>
              <w:keepNext/>
              <w:widowControl/>
              <w:ind w:left="0"/>
              <w:jc w:val="center"/>
              <w:rPr>
                <w:rFonts w:ascii="Arial Narrow" w:hAnsi="Arial Narrow"/>
                <w:b/>
                <w:sz w:val="20"/>
              </w:rPr>
            </w:pPr>
            <w:r w:rsidRPr="000F40C3">
              <w:rPr>
                <w:rFonts w:ascii="Arial Narrow" w:hAnsi="Arial Narrow"/>
                <w:b/>
                <w:sz w:val="20"/>
              </w:rPr>
              <w:t>$</w:t>
            </w:r>
            <w:r w:rsidR="002375CE">
              <w:rPr>
                <w:rFonts w:ascii="Arial Narrow" w:hAnsi="Arial Narrow"/>
                <w:b/>
                <w:noProof/>
                <w:color w:val="000000"/>
                <w:sz w:val="20"/>
                <w:highlight w:val="black"/>
              </w:rPr>
              <w:t>'''''''''''''''''</w:t>
            </w:r>
          </w:p>
        </w:tc>
        <w:tc>
          <w:tcPr>
            <w:tcW w:w="1646" w:type="dxa"/>
          </w:tcPr>
          <w:p w:rsidR="002741B1" w:rsidRPr="000F40C3" w:rsidRDefault="002741B1" w:rsidP="00956D45">
            <w:pPr>
              <w:pStyle w:val="ListParagraph"/>
              <w:keepNext/>
              <w:widowControl/>
              <w:ind w:left="0"/>
              <w:jc w:val="center"/>
              <w:rPr>
                <w:rFonts w:ascii="Arial Narrow" w:hAnsi="Arial Narrow"/>
                <w:b/>
                <w:sz w:val="20"/>
              </w:rPr>
            </w:pPr>
            <w:r w:rsidRPr="000F40C3">
              <w:rPr>
                <w:rFonts w:ascii="Arial Narrow" w:hAnsi="Arial Narrow"/>
                <w:b/>
                <w:sz w:val="20"/>
              </w:rPr>
              <w:t>$</w:t>
            </w:r>
            <w:r w:rsidR="002375CE">
              <w:rPr>
                <w:rFonts w:ascii="Arial Narrow" w:hAnsi="Arial Narrow"/>
                <w:b/>
                <w:noProof/>
                <w:color w:val="000000"/>
                <w:sz w:val="20"/>
                <w:highlight w:val="black"/>
              </w:rPr>
              <w:t>''''''''''''''''</w:t>
            </w:r>
          </w:p>
        </w:tc>
      </w:tr>
      <w:tr w:rsidR="002741B1" w:rsidRPr="000F40C3" w:rsidTr="00555FE6">
        <w:tc>
          <w:tcPr>
            <w:tcW w:w="1843" w:type="dxa"/>
          </w:tcPr>
          <w:p w:rsidR="002741B1" w:rsidRPr="000F40C3" w:rsidRDefault="002741B1" w:rsidP="00051C05">
            <w:pPr>
              <w:pStyle w:val="ListParagraph"/>
              <w:keepNext/>
              <w:widowControl/>
              <w:ind w:left="0"/>
              <w:jc w:val="left"/>
              <w:rPr>
                <w:rFonts w:ascii="Arial Narrow" w:hAnsi="Arial Narrow"/>
                <w:sz w:val="20"/>
              </w:rPr>
            </w:pPr>
            <w:r w:rsidRPr="000F40C3">
              <w:rPr>
                <w:rFonts w:ascii="Arial Narrow" w:hAnsi="Arial Narrow"/>
                <w:sz w:val="20"/>
              </w:rPr>
              <w:t>Average course of treatment cost</w:t>
            </w:r>
            <w:r w:rsidRPr="000F40C3">
              <w:rPr>
                <w:rFonts w:ascii="Arial Narrow" w:hAnsi="Arial Narrow"/>
                <w:sz w:val="20"/>
                <w:vertAlign w:val="superscript"/>
              </w:rPr>
              <w:t>c</w:t>
            </w:r>
          </w:p>
        </w:tc>
        <w:tc>
          <w:tcPr>
            <w:tcW w:w="1645" w:type="dxa"/>
          </w:tcPr>
          <w:p w:rsidR="002741B1"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w:t>
            </w:r>
            <w:r w:rsidR="002375CE">
              <w:rPr>
                <w:rFonts w:ascii="Arial Narrow" w:hAnsi="Arial Narrow"/>
                <w:noProof/>
                <w:color w:val="000000"/>
                <w:sz w:val="20"/>
                <w:highlight w:val="black"/>
              </w:rPr>
              <w:t>'''''''''''''''''''</w:t>
            </w:r>
          </w:p>
        </w:tc>
        <w:tc>
          <w:tcPr>
            <w:tcW w:w="1646" w:type="dxa"/>
          </w:tcPr>
          <w:p w:rsidR="002741B1"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w:t>
            </w:r>
            <w:r w:rsidR="002375CE">
              <w:rPr>
                <w:rFonts w:ascii="Arial Narrow" w:hAnsi="Arial Narrow"/>
                <w:noProof/>
                <w:color w:val="000000"/>
                <w:sz w:val="20"/>
                <w:highlight w:val="black"/>
              </w:rPr>
              <w:t>''''''''''''''''''''''</w:t>
            </w:r>
          </w:p>
        </w:tc>
        <w:tc>
          <w:tcPr>
            <w:tcW w:w="1645" w:type="dxa"/>
          </w:tcPr>
          <w:p w:rsidR="002741B1"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w:t>
            </w:r>
            <w:r w:rsidR="002375CE">
              <w:rPr>
                <w:rFonts w:ascii="Arial Narrow" w:hAnsi="Arial Narrow"/>
                <w:noProof/>
                <w:color w:val="000000"/>
                <w:sz w:val="20"/>
                <w:highlight w:val="black"/>
              </w:rPr>
              <w:t>''''''''''''''''</w:t>
            </w:r>
          </w:p>
        </w:tc>
        <w:tc>
          <w:tcPr>
            <w:tcW w:w="1646" w:type="dxa"/>
          </w:tcPr>
          <w:p w:rsidR="002741B1" w:rsidRPr="000F40C3" w:rsidRDefault="002741B1" w:rsidP="00956D45">
            <w:pPr>
              <w:pStyle w:val="ListParagraph"/>
              <w:keepNext/>
              <w:widowControl/>
              <w:ind w:left="0"/>
              <w:jc w:val="center"/>
              <w:rPr>
                <w:rFonts w:ascii="Arial Narrow" w:hAnsi="Arial Narrow"/>
                <w:sz w:val="20"/>
              </w:rPr>
            </w:pPr>
            <w:r w:rsidRPr="000F40C3">
              <w:rPr>
                <w:rFonts w:ascii="Arial Narrow" w:hAnsi="Arial Narrow"/>
                <w:sz w:val="20"/>
              </w:rPr>
              <w:t>$</w:t>
            </w:r>
            <w:r w:rsidR="002375CE">
              <w:rPr>
                <w:rFonts w:ascii="Arial Narrow" w:hAnsi="Arial Narrow"/>
                <w:noProof/>
                <w:color w:val="000000"/>
                <w:sz w:val="20"/>
                <w:highlight w:val="black"/>
              </w:rPr>
              <w:t>'''''''''''''''''</w:t>
            </w:r>
          </w:p>
        </w:tc>
      </w:tr>
    </w:tbl>
    <w:p w:rsidR="003F2C85" w:rsidRPr="000F40C3" w:rsidRDefault="00363E2F" w:rsidP="00956D45">
      <w:pPr>
        <w:pStyle w:val="TableFooter"/>
        <w:widowControl/>
        <w:ind w:left="709"/>
      </w:pPr>
      <w:r w:rsidRPr="000F40C3">
        <w:rPr>
          <w:szCs w:val="22"/>
        </w:rPr>
        <w:t xml:space="preserve"> </w:t>
      </w:r>
      <w:r w:rsidR="003F2C85" w:rsidRPr="000F40C3">
        <w:t>Source: Blinatumomab minor resubmission, Table 4.3-1</w:t>
      </w:r>
    </w:p>
    <w:p w:rsidR="003F2C85" w:rsidRPr="000F40C3" w:rsidRDefault="003F2C85" w:rsidP="00956D45">
      <w:pPr>
        <w:pStyle w:val="TableFooter"/>
        <w:widowControl/>
        <w:ind w:left="709"/>
      </w:pPr>
      <w:r w:rsidRPr="000F40C3">
        <w:t xml:space="preserve">Abbreviations: Aus = Australian; m = month; SOC = standard of care </w:t>
      </w:r>
    </w:p>
    <w:p w:rsidR="003F2C85" w:rsidRPr="000F40C3" w:rsidRDefault="003F2C85" w:rsidP="00956D45">
      <w:pPr>
        <w:pStyle w:val="TableFooter"/>
        <w:widowControl/>
        <w:ind w:left="709"/>
      </w:pPr>
      <w:r w:rsidRPr="000F40C3">
        <w:t xml:space="preserve">a. As the historical control was used for the SOC arm in the November 2015, July 2016 submission and the PBAC recommendation from July 2016, the extrapolation described here was only required for the blinatumomab arm. For the current submission, both the blinatumomab arm and the SOC arm are extrapolated following the TOWER data using Australian death rates as laid out in the July 2016 PBAC meeting </w:t>
      </w:r>
      <w:r w:rsidR="00CC55B4">
        <w:t>PSD</w:t>
      </w:r>
      <w:r w:rsidRPr="000F40C3">
        <w:t xml:space="preserve"> and advised at the post-PBAC meeting. </w:t>
      </w:r>
    </w:p>
    <w:p w:rsidR="003F2C85" w:rsidRPr="000F40C3" w:rsidRDefault="003F2C85" w:rsidP="00956D45">
      <w:pPr>
        <w:pStyle w:val="TableFooter"/>
        <w:widowControl/>
        <w:ind w:left="709"/>
      </w:pPr>
      <w:r w:rsidRPr="000F40C3">
        <w:t>b. Derived by fixing the ICER at $</w:t>
      </w:r>
      <w:r w:rsidR="002375CE">
        <w:rPr>
          <w:noProof/>
          <w:color w:val="000000"/>
          <w:highlight w:val="black"/>
        </w:rPr>
        <w:t>''''''''''''''''</w:t>
      </w:r>
      <w:r w:rsidRPr="000F40C3">
        <w:t xml:space="preserve"> and back calculating the vial price </w:t>
      </w:r>
    </w:p>
    <w:p w:rsidR="00196307" w:rsidRPr="000F40C3" w:rsidRDefault="003F2C85" w:rsidP="00956D45">
      <w:pPr>
        <w:pStyle w:val="TableFooter"/>
        <w:widowControl/>
        <w:ind w:left="709"/>
      </w:pPr>
      <w:r w:rsidRPr="000F40C3">
        <w:t>c. November 2015 submission based on 46 vials which was revised down to 42 for all subsequent time-points.</w:t>
      </w:r>
    </w:p>
    <w:p w:rsidR="006B2ACF" w:rsidRPr="000F40C3" w:rsidRDefault="006B2ACF" w:rsidP="00956D45">
      <w:pPr>
        <w:pStyle w:val="ListParagraph"/>
        <w:widowControl/>
        <w:ind w:left="709"/>
        <w:rPr>
          <w:szCs w:val="22"/>
        </w:rPr>
      </w:pPr>
    </w:p>
    <w:p w:rsidR="005963BB" w:rsidRPr="000F40C3" w:rsidRDefault="006160CC" w:rsidP="00956D45">
      <w:pPr>
        <w:pStyle w:val="ListParagraph"/>
        <w:widowControl/>
        <w:numPr>
          <w:ilvl w:val="1"/>
          <w:numId w:val="5"/>
        </w:numPr>
        <w:rPr>
          <w:szCs w:val="22"/>
        </w:rPr>
      </w:pPr>
      <w:r w:rsidRPr="000F40C3">
        <w:rPr>
          <w:szCs w:val="22"/>
        </w:rPr>
        <w:t xml:space="preserve">Compared with the model in the July 2016 submission, the incremental difference in QALYs reduced 3% from 0.733 to 0.713. Fixing the ICER at </w:t>
      </w:r>
      <w:r w:rsidR="00555FE6">
        <w:rPr>
          <w:szCs w:val="22"/>
        </w:rPr>
        <w:t>$45,000 - $75,000</w:t>
      </w:r>
      <w:r w:rsidRPr="000F40C3">
        <w:rPr>
          <w:szCs w:val="22"/>
        </w:rPr>
        <w:t xml:space="preserve"> against this slightly reduced incremental QALY difference and back calculating the blinatumomab vial price leads to a 1.3% reduction in the vial price to $</w:t>
      </w:r>
      <w:r w:rsidR="002375CE">
        <w:rPr>
          <w:noProof/>
          <w:color w:val="000000"/>
          <w:szCs w:val="22"/>
          <w:highlight w:val="black"/>
        </w:rPr>
        <w:t>'''''''''''''''''''''</w:t>
      </w:r>
      <w:r w:rsidRPr="000F40C3">
        <w:rPr>
          <w:szCs w:val="22"/>
        </w:rPr>
        <w:t>. The minor resubmission note</w:t>
      </w:r>
      <w:r w:rsidR="00D134D9" w:rsidRPr="000F40C3">
        <w:rPr>
          <w:szCs w:val="22"/>
        </w:rPr>
        <w:t>d</w:t>
      </w:r>
      <w:r w:rsidRPr="000F40C3">
        <w:rPr>
          <w:szCs w:val="22"/>
        </w:rPr>
        <w:t xml:space="preserve"> the reason for the QALY reduction and price reduction not being proportional is that in adjusting survival in both arms of the model, there are indirect effects on other parameters as a result of different proportions of patients being alive, such as some follow up costs and palliative care costs.</w:t>
      </w:r>
    </w:p>
    <w:p w:rsidR="007B0606" w:rsidRPr="000F40C3" w:rsidRDefault="007B0606" w:rsidP="00051C05">
      <w:pPr>
        <w:jc w:val="both"/>
        <w:rPr>
          <w:rFonts w:ascii="Arial" w:hAnsi="Arial"/>
          <w:sz w:val="22"/>
          <w:szCs w:val="22"/>
        </w:rPr>
      </w:pPr>
    </w:p>
    <w:p w:rsidR="00A55FEE" w:rsidRPr="000F40C3" w:rsidRDefault="00A55FEE" w:rsidP="006B7123">
      <w:pPr>
        <w:pStyle w:val="Heading2"/>
      </w:pPr>
      <w:r w:rsidRPr="000F40C3">
        <w:t>Drug cost/patient/</w:t>
      </w:r>
      <w:r w:rsidR="003F2C85" w:rsidRPr="000F40C3">
        <w:t>treatment</w:t>
      </w:r>
      <w:r w:rsidRPr="000F40C3">
        <w:t>: $</w:t>
      </w:r>
      <w:r w:rsidR="002375CE">
        <w:rPr>
          <w:noProof/>
          <w:color w:val="000000"/>
          <w:highlight w:val="black"/>
        </w:rPr>
        <w:t>''''''''''''</w:t>
      </w:r>
    </w:p>
    <w:p w:rsidR="00A55FEE" w:rsidRPr="000F40C3" w:rsidRDefault="00A55FEE" w:rsidP="006B7123">
      <w:pPr>
        <w:ind w:left="720" w:hanging="720"/>
        <w:jc w:val="both"/>
        <w:rPr>
          <w:rFonts w:ascii="Arial" w:hAnsi="Arial"/>
          <w:b/>
          <w:sz w:val="22"/>
          <w:szCs w:val="22"/>
        </w:rPr>
      </w:pPr>
    </w:p>
    <w:p w:rsidR="00A55FEE" w:rsidRPr="000F40C3" w:rsidRDefault="00186496" w:rsidP="006B7123">
      <w:pPr>
        <w:pStyle w:val="ListParagraph"/>
        <w:widowControl/>
        <w:numPr>
          <w:ilvl w:val="1"/>
          <w:numId w:val="5"/>
        </w:numPr>
        <w:rPr>
          <w:szCs w:val="22"/>
        </w:rPr>
      </w:pPr>
      <w:r w:rsidRPr="000F40C3">
        <w:rPr>
          <w:szCs w:val="22"/>
        </w:rPr>
        <w:t>The minor resubmission estimated that the cost per blinatumomab treatment would be $</w:t>
      </w:r>
      <w:r w:rsidR="002375CE">
        <w:rPr>
          <w:noProof/>
          <w:color w:val="000000"/>
          <w:szCs w:val="22"/>
          <w:highlight w:val="black"/>
        </w:rPr>
        <w:t>'''''''''''''''</w:t>
      </w:r>
      <w:r w:rsidRPr="000F40C3">
        <w:rPr>
          <w:szCs w:val="22"/>
        </w:rPr>
        <w:t>, assuming an average total dose of 1,156 µg (1.64 cycles and 42 vials).</w:t>
      </w:r>
      <w:r w:rsidR="003C476C" w:rsidRPr="000F40C3">
        <w:rPr>
          <w:szCs w:val="22"/>
        </w:rPr>
        <w:t xml:space="preserve"> This compares with $</w:t>
      </w:r>
      <w:r w:rsidR="002375CE">
        <w:rPr>
          <w:noProof/>
          <w:color w:val="000000"/>
          <w:szCs w:val="22"/>
          <w:highlight w:val="black"/>
        </w:rPr>
        <w:t>'''''''''''''''''</w:t>
      </w:r>
      <w:r w:rsidR="003C476C" w:rsidRPr="000F40C3">
        <w:rPr>
          <w:szCs w:val="22"/>
        </w:rPr>
        <w:t xml:space="preserve"> per treatment in the July 2016 submission. </w:t>
      </w:r>
    </w:p>
    <w:p w:rsidR="00A55FEE" w:rsidRPr="000F40C3" w:rsidRDefault="00A55FEE" w:rsidP="00051C05">
      <w:pPr>
        <w:ind w:left="720" w:hanging="720"/>
        <w:jc w:val="both"/>
        <w:rPr>
          <w:rFonts w:ascii="Arial" w:hAnsi="Arial"/>
          <w:b/>
          <w:sz w:val="22"/>
          <w:szCs w:val="22"/>
        </w:rPr>
      </w:pPr>
    </w:p>
    <w:p w:rsidR="005A3173" w:rsidRPr="000F40C3" w:rsidRDefault="005A3173" w:rsidP="006B7123">
      <w:pPr>
        <w:pStyle w:val="Heading2"/>
      </w:pPr>
      <w:r w:rsidRPr="000F40C3">
        <w:t>Estimated PBS usage &amp; financial implications</w:t>
      </w:r>
    </w:p>
    <w:p w:rsidR="00C00DA7" w:rsidRPr="000F40C3" w:rsidRDefault="00C00DA7" w:rsidP="006B7123">
      <w:pPr>
        <w:pStyle w:val="ListParagraph"/>
        <w:keepNext/>
        <w:widowControl/>
        <w:ind w:left="709"/>
        <w:rPr>
          <w:szCs w:val="22"/>
        </w:rPr>
      </w:pPr>
      <w:r w:rsidRPr="000F40C3">
        <w:rPr>
          <w:szCs w:val="22"/>
        </w:rPr>
        <w:t xml:space="preserve"> </w:t>
      </w:r>
    </w:p>
    <w:p w:rsidR="00186496" w:rsidRPr="000F40C3" w:rsidRDefault="00186496" w:rsidP="00051C05">
      <w:pPr>
        <w:pStyle w:val="ListParagraph"/>
        <w:widowControl/>
        <w:numPr>
          <w:ilvl w:val="1"/>
          <w:numId w:val="5"/>
        </w:numPr>
        <w:rPr>
          <w:szCs w:val="22"/>
        </w:rPr>
      </w:pPr>
      <w:r w:rsidRPr="000F40C3">
        <w:rPr>
          <w:szCs w:val="22"/>
        </w:rPr>
        <w:t xml:space="preserve">The </w:t>
      </w:r>
      <w:r w:rsidR="00824035" w:rsidRPr="000F40C3">
        <w:rPr>
          <w:szCs w:val="22"/>
        </w:rPr>
        <w:t xml:space="preserve">minor submission updated the financial implications to the PBS </w:t>
      </w:r>
      <w:r w:rsidRPr="000F40C3">
        <w:rPr>
          <w:szCs w:val="22"/>
        </w:rPr>
        <w:t>to account for the revised cost</w:t>
      </w:r>
      <w:r w:rsidR="00824035" w:rsidRPr="000F40C3">
        <w:rPr>
          <w:szCs w:val="22"/>
        </w:rPr>
        <w:t xml:space="preserve"> of an average course of treatment with blinatumomab</w:t>
      </w:r>
      <w:r w:rsidRPr="000F40C3">
        <w:rPr>
          <w:szCs w:val="22"/>
        </w:rPr>
        <w:t>.</w:t>
      </w:r>
      <w:r w:rsidR="00555FE6">
        <w:rPr>
          <w:szCs w:val="22"/>
        </w:rPr>
        <w:t xml:space="preserve"> The redacted table below shows that at year 5 the estimated number of patients was less than </w:t>
      </w:r>
      <w:r w:rsidR="00555FE6">
        <w:rPr>
          <w:szCs w:val="22"/>
        </w:rPr>
        <w:lastRenderedPageBreak/>
        <w:t>10,000 per year and the net cost to the PBS/RPBS would be less than $10 million per year.</w:t>
      </w:r>
    </w:p>
    <w:p w:rsidR="00186496" w:rsidRPr="000D0EB6" w:rsidRDefault="00186496" w:rsidP="006B7123">
      <w:pPr>
        <w:rPr>
          <w:rStyle w:val="CommentReference"/>
          <w:rFonts w:ascii="Arial" w:hAnsi="Arial"/>
          <w:b/>
          <w:sz w:val="22"/>
          <w:szCs w:val="22"/>
        </w:rPr>
      </w:pPr>
      <w:bookmarkStart w:id="1" w:name="_Toc447807583"/>
      <w:bookmarkStart w:id="2" w:name="_Toc448733883"/>
      <w:bookmarkStart w:id="3" w:name="_Toc450291333"/>
      <w:bookmarkStart w:id="4" w:name="_Toc450655491"/>
    </w:p>
    <w:p w:rsidR="00186496" w:rsidRPr="000F40C3" w:rsidRDefault="00B54B62" w:rsidP="006B7123">
      <w:pPr>
        <w:pStyle w:val="ListParagraph"/>
        <w:widowControl/>
        <w:rPr>
          <w:rFonts w:ascii="Arial Narrow" w:hAnsi="Arial Narrow"/>
          <w:b/>
          <w:sz w:val="20"/>
          <w:szCs w:val="22"/>
        </w:rPr>
      </w:pPr>
      <w:r w:rsidRPr="000F40C3">
        <w:rPr>
          <w:rFonts w:ascii="Arial Narrow" w:hAnsi="Arial Narrow"/>
          <w:b/>
          <w:sz w:val="20"/>
          <w:szCs w:val="22"/>
        </w:rPr>
        <w:t>Table 6</w:t>
      </w:r>
      <w:r w:rsidR="00186496" w:rsidRPr="000F40C3">
        <w:rPr>
          <w:rFonts w:ascii="Arial Narrow" w:hAnsi="Arial Narrow"/>
          <w:b/>
          <w:sz w:val="20"/>
          <w:szCs w:val="22"/>
        </w:rPr>
        <w:t>: Estimated use and financial implications</w:t>
      </w:r>
      <w:bookmarkEnd w:id="1"/>
      <w:r w:rsidR="00186496" w:rsidRPr="000F40C3">
        <w:rPr>
          <w:rFonts w:ascii="Arial Narrow" w:hAnsi="Arial Narrow"/>
          <w:b/>
          <w:sz w:val="20"/>
          <w:szCs w:val="22"/>
        </w:rPr>
        <w:t xml:space="preserve"> of listing blinatumomab on the PBS/RPBS</w:t>
      </w:r>
      <w:bookmarkEnd w:id="2"/>
      <w:bookmarkEnd w:id="3"/>
      <w:bookmarkEnd w:id="4"/>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93"/>
        <w:gridCol w:w="1132"/>
        <w:gridCol w:w="1133"/>
        <w:gridCol w:w="1132"/>
        <w:gridCol w:w="1133"/>
        <w:gridCol w:w="1123"/>
      </w:tblGrid>
      <w:tr w:rsidR="00186496" w:rsidRPr="000F40C3" w:rsidTr="00186496">
        <w:trPr>
          <w:cantSplit/>
          <w:tblHeader/>
        </w:trPr>
        <w:tc>
          <w:tcPr>
            <w:tcW w:w="1613" w:type="pct"/>
            <w:shd w:val="clear" w:color="auto" w:fill="auto"/>
            <w:vAlign w:val="center"/>
          </w:tcPr>
          <w:p w:rsidR="00186496" w:rsidRPr="000F40C3" w:rsidRDefault="00186496" w:rsidP="006B7123">
            <w:pPr>
              <w:keepNext/>
              <w:tabs>
                <w:tab w:val="left" w:pos="142"/>
              </w:tabs>
              <w:rPr>
                <w:rFonts w:ascii="Arial Narrow" w:hAnsi="Arial Narrow"/>
                <w:b/>
                <w:sz w:val="20"/>
              </w:rPr>
            </w:pPr>
          </w:p>
        </w:tc>
        <w:tc>
          <w:tcPr>
            <w:tcW w:w="678" w:type="pct"/>
            <w:shd w:val="clear" w:color="auto" w:fill="auto"/>
            <w:vAlign w:val="center"/>
          </w:tcPr>
          <w:p w:rsidR="00186496" w:rsidRPr="000F40C3" w:rsidRDefault="00186496" w:rsidP="006B7123">
            <w:pPr>
              <w:keepNext/>
              <w:jc w:val="center"/>
              <w:rPr>
                <w:rFonts w:ascii="Arial Narrow" w:hAnsi="Arial Narrow"/>
                <w:b/>
                <w:sz w:val="20"/>
              </w:rPr>
            </w:pPr>
            <w:r w:rsidRPr="000F40C3">
              <w:rPr>
                <w:rFonts w:ascii="Arial Narrow" w:hAnsi="Arial Narrow"/>
                <w:b/>
                <w:sz w:val="20"/>
              </w:rPr>
              <w:t>Year 1</w:t>
            </w:r>
          </w:p>
        </w:tc>
        <w:tc>
          <w:tcPr>
            <w:tcW w:w="679" w:type="pct"/>
            <w:shd w:val="clear" w:color="auto" w:fill="auto"/>
            <w:vAlign w:val="center"/>
          </w:tcPr>
          <w:p w:rsidR="00186496" w:rsidRPr="000F40C3" w:rsidRDefault="00186496" w:rsidP="006B7123">
            <w:pPr>
              <w:keepNext/>
              <w:jc w:val="center"/>
              <w:rPr>
                <w:rFonts w:ascii="Arial Narrow" w:hAnsi="Arial Narrow"/>
                <w:b/>
                <w:sz w:val="20"/>
              </w:rPr>
            </w:pPr>
            <w:r w:rsidRPr="000F40C3">
              <w:rPr>
                <w:rFonts w:ascii="Arial Narrow" w:hAnsi="Arial Narrow"/>
                <w:b/>
                <w:sz w:val="20"/>
              </w:rPr>
              <w:t>Year 2</w:t>
            </w:r>
          </w:p>
        </w:tc>
        <w:tc>
          <w:tcPr>
            <w:tcW w:w="678" w:type="pct"/>
            <w:shd w:val="clear" w:color="auto" w:fill="auto"/>
            <w:vAlign w:val="center"/>
          </w:tcPr>
          <w:p w:rsidR="00186496" w:rsidRPr="000F40C3" w:rsidRDefault="00186496" w:rsidP="006B7123">
            <w:pPr>
              <w:keepNext/>
              <w:jc w:val="center"/>
              <w:rPr>
                <w:rFonts w:ascii="Arial Narrow" w:hAnsi="Arial Narrow"/>
                <w:b/>
                <w:sz w:val="20"/>
              </w:rPr>
            </w:pPr>
            <w:r w:rsidRPr="000F40C3">
              <w:rPr>
                <w:rFonts w:ascii="Arial Narrow" w:hAnsi="Arial Narrow"/>
                <w:b/>
                <w:sz w:val="20"/>
              </w:rPr>
              <w:t>Year 3</w:t>
            </w:r>
          </w:p>
        </w:tc>
        <w:tc>
          <w:tcPr>
            <w:tcW w:w="679" w:type="pct"/>
            <w:shd w:val="clear" w:color="auto" w:fill="auto"/>
            <w:vAlign w:val="center"/>
          </w:tcPr>
          <w:p w:rsidR="00186496" w:rsidRPr="000F40C3" w:rsidRDefault="00186496" w:rsidP="006B7123">
            <w:pPr>
              <w:keepNext/>
              <w:jc w:val="center"/>
              <w:rPr>
                <w:rFonts w:ascii="Arial Narrow" w:hAnsi="Arial Narrow"/>
                <w:b/>
                <w:sz w:val="20"/>
              </w:rPr>
            </w:pPr>
            <w:r w:rsidRPr="000F40C3">
              <w:rPr>
                <w:rFonts w:ascii="Arial Narrow" w:hAnsi="Arial Narrow"/>
                <w:b/>
                <w:sz w:val="20"/>
              </w:rPr>
              <w:t>Year 4</w:t>
            </w:r>
          </w:p>
        </w:tc>
        <w:tc>
          <w:tcPr>
            <w:tcW w:w="673" w:type="pct"/>
            <w:shd w:val="clear" w:color="auto" w:fill="auto"/>
            <w:vAlign w:val="center"/>
          </w:tcPr>
          <w:p w:rsidR="00186496" w:rsidRPr="000F40C3" w:rsidRDefault="00186496" w:rsidP="006B7123">
            <w:pPr>
              <w:keepNext/>
              <w:jc w:val="center"/>
              <w:rPr>
                <w:rFonts w:ascii="Arial Narrow" w:hAnsi="Arial Narrow"/>
                <w:b/>
                <w:sz w:val="20"/>
              </w:rPr>
            </w:pPr>
            <w:r w:rsidRPr="000F40C3">
              <w:rPr>
                <w:rFonts w:ascii="Arial Narrow" w:hAnsi="Arial Narrow"/>
                <w:b/>
                <w:sz w:val="20"/>
              </w:rPr>
              <w:t>Year 5</w:t>
            </w:r>
          </w:p>
        </w:tc>
      </w:tr>
      <w:tr w:rsidR="00186496" w:rsidRPr="000F40C3" w:rsidTr="00AF786F">
        <w:trPr>
          <w:cantSplit/>
        </w:trPr>
        <w:tc>
          <w:tcPr>
            <w:tcW w:w="5000" w:type="pct"/>
            <w:gridSpan w:val="6"/>
            <w:shd w:val="clear" w:color="auto" w:fill="auto"/>
            <w:vAlign w:val="center"/>
          </w:tcPr>
          <w:p w:rsidR="00186496" w:rsidRPr="000F40C3" w:rsidRDefault="00186496" w:rsidP="00051C05">
            <w:pPr>
              <w:keepNext/>
              <w:rPr>
                <w:rFonts w:ascii="Arial Narrow" w:hAnsi="Arial Narrow"/>
                <w:b/>
                <w:bCs/>
                <w:sz w:val="20"/>
              </w:rPr>
            </w:pPr>
            <w:r w:rsidRPr="000F40C3">
              <w:rPr>
                <w:rFonts w:ascii="Arial Narrow" w:hAnsi="Arial Narrow"/>
                <w:b/>
                <w:bCs/>
                <w:sz w:val="20"/>
              </w:rPr>
              <w:t>Estimated extent of use</w:t>
            </w:r>
          </w:p>
        </w:tc>
      </w:tr>
      <w:tr w:rsidR="00186496" w:rsidRPr="000F40C3" w:rsidTr="00EA287B">
        <w:trPr>
          <w:cantSplit/>
        </w:trPr>
        <w:tc>
          <w:tcPr>
            <w:tcW w:w="1613" w:type="pct"/>
            <w:shd w:val="clear" w:color="auto" w:fill="auto"/>
            <w:vAlign w:val="center"/>
          </w:tcPr>
          <w:p w:rsidR="00186496" w:rsidRPr="000F40C3" w:rsidRDefault="00186496" w:rsidP="00051C05">
            <w:pPr>
              <w:keepNext/>
              <w:tabs>
                <w:tab w:val="left" w:pos="142"/>
              </w:tabs>
              <w:rPr>
                <w:rFonts w:ascii="Arial Narrow" w:hAnsi="Arial Narrow"/>
                <w:sz w:val="20"/>
              </w:rPr>
            </w:pPr>
            <w:r w:rsidRPr="000F40C3">
              <w:rPr>
                <w:rFonts w:ascii="Arial Narrow" w:hAnsi="Arial Narrow"/>
                <w:sz w:val="20"/>
              </w:rPr>
              <w:t>Number treated</w:t>
            </w:r>
          </w:p>
        </w:tc>
        <w:tc>
          <w:tcPr>
            <w:tcW w:w="678" w:type="pct"/>
            <w:shd w:val="clear" w:color="auto" w:fill="auto"/>
            <w:vAlign w:val="center"/>
          </w:tcPr>
          <w:p w:rsidR="00186496" w:rsidRPr="002375CE" w:rsidRDefault="002375CE" w:rsidP="006B7123">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186496" w:rsidRPr="002375CE" w:rsidRDefault="002375CE" w:rsidP="006B7123">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8" w:type="pct"/>
            <w:shd w:val="clear" w:color="auto" w:fill="auto"/>
            <w:vAlign w:val="center"/>
          </w:tcPr>
          <w:p w:rsidR="00186496" w:rsidRPr="002375CE" w:rsidRDefault="002375CE" w:rsidP="006B7123">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186496" w:rsidRPr="002375CE" w:rsidRDefault="002375CE" w:rsidP="006B7123">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3" w:type="pct"/>
            <w:shd w:val="clear" w:color="auto" w:fill="auto"/>
            <w:vAlign w:val="center"/>
          </w:tcPr>
          <w:p w:rsidR="00186496" w:rsidRPr="002375CE" w:rsidRDefault="002375CE" w:rsidP="006B7123">
            <w:pPr>
              <w:keepNext/>
              <w:jc w:val="center"/>
              <w:rPr>
                <w:rFonts w:ascii="Arial Narrow" w:hAnsi="Arial Narrow"/>
                <w:bCs/>
                <w:sz w:val="20"/>
                <w:highlight w:val="black"/>
              </w:rPr>
            </w:pPr>
            <w:r>
              <w:rPr>
                <w:rFonts w:ascii="Arial Narrow" w:hAnsi="Arial Narrow"/>
                <w:bCs/>
                <w:noProof/>
                <w:color w:val="000000"/>
                <w:sz w:val="20"/>
                <w:highlight w:val="black"/>
              </w:rPr>
              <w:t>'''''''</w:t>
            </w:r>
          </w:p>
        </w:tc>
      </w:tr>
      <w:tr w:rsidR="00186496" w:rsidRPr="000F40C3" w:rsidTr="00EA287B">
        <w:trPr>
          <w:cantSplit/>
        </w:trPr>
        <w:tc>
          <w:tcPr>
            <w:tcW w:w="1613" w:type="pct"/>
            <w:shd w:val="clear" w:color="auto" w:fill="auto"/>
            <w:vAlign w:val="center"/>
          </w:tcPr>
          <w:p w:rsidR="00186496" w:rsidRPr="000F40C3" w:rsidRDefault="00186496" w:rsidP="00051C05">
            <w:pPr>
              <w:keepNext/>
              <w:tabs>
                <w:tab w:val="left" w:pos="142"/>
              </w:tabs>
              <w:rPr>
                <w:rFonts w:ascii="Arial Narrow" w:hAnsi="Arial Narrow"/>
                <w:sz w:val="20"/>
              </w:rPr>
            </w:pPr>
            <w:r w:rsidRPr="000F40C3">
              <w:rPr>
                <w:rFonts w:ascii="Arial Narrow" w:hAnsi="Arial Narrow"/>
                <w:sz w:val="20"/>
              </w:rPr>
              <w:t>Vials</w:t>
            </w:r>
            <w:r w:rsidR="0015556A" w:rsidRPr="000F40C3">
              <w:rPr>
                <w:rFonts w:ascii="Arial Narrow" w:hAnsi="Arial Narrow"/>
                <w:sz w:val="20"/>
              </w:rPr>
              <w:t>*</w:t>
            </w:r>
          </w:p>
        </w:tc>
        <w:tc>
          <w:tcPr>
            <w:tcW w:w="678" w:type="pct"/>
            <w:shd w:val="clear" w:color="auto" w:fill="auto"/>
            <w:vAlign w:val="center"/>
          </w:tcPr>
          <w:p w:rsidR="00186496" w:rsidRPr="002375CE" w:rsidRDefault="002375CE" w:rsidP="006B7123">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186496" w:rsidRPr="002375CE" w:rsidRDefault="002375CE" w:rsidP="006B7123">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8" w:type="pct"/>
            <w:shd w:val="clear" w:color="auto" w:fill="auto"/>
            <w:vAlign w:val="center"/>
          </w:tcPr>
          <w:p w:rsidR="00186496" w:rsidRPr="002375CE" w:rsidRDefault="002375CE" w:rsidP="006B7123">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186496" w:rsidRPr="002375CE" w:rsidRDefault="002375CE" w:rsidP="006B7123">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3" w:type="pct"/>
            <w:shd w:val="clear" w:color="auto" w:fill="auto"/>
            <w:vAlign w:val="center"/>
          </w:tcPr>
          <w:p w:rsidR="00186496" w:rsidRPr="002375CE" w:rsidRDefault="002375CE" w:rsidP="006B7123">
            <w:pPr>
              <w:keepNext/>
              <w:jc w:val="center"/>
              <w:rPr>
                <w:rFonts w:ascii="Arial Narrow" w:hAnsi="Arial Narrow"/>
                <w:bCs/>
                <w:sz w:val="20"/>
                <w:highlight w:val="black"/>
              </w:rPr>
            </w:pPr>
            <w:r>
              <w:rPr>
                <w:rFonts w:ascii="Arial Narrow" w:hAnsi="Arial Narrow"/>
                <w:bCs/>
                <w:noProof/>
                <w:color w:val="000000"/>
                <w:sz w:val="20"/>
                <w:highlight w:val="black"/>
              </w:rPr>
              <w:t>''''''''''''</w:t>
            </w:r>
          </w:p>
        </w:tc>
      </w:tr>
      <w:tr w:rsidR="00186496" w:rsidRPr="000F40C3" w:rsidTr="00AF786F">
        <w:trPr>
          <w:cantSplit/>
        </w:trPr>
        <w:tc>
          <w:tcPr>
            <w:tcW w:w="5000" w:type="pct"/>
            <w:gridSpan w:val="6"/>
            <w:shd w:val="clear" w:color="auto" w:fill="auto"/>
            <w:vAlign w:val="center"/>
          </w:tcPr>
          <w:p w:rsidR="00186496" w:rsidRPr="000F40C3" w:rsidRDefault="00186496" w:rsidP="00051C05">
            <w:pPr>
              <w:rPr>
                <w:rFonts w:ascii="Arial Narrow" w:hAnsi="Arial Narrow"/>
                <w:b/>
                <w:bCs/>
                <w:sz w:val="20"/>
              </w:rPr>
            </w:pPr>
            <w:r w:rsidRPr="000F40C3">
              <w:rPr>
                <w:rFonts w:ascii="Arial Narrow" w:hAnsi="Arial Narrow"/>
                <w:b/>
                <w:bCs/>
                <w:sz w:val="20"/>
              </w:rPr>
              <w:t>July 2016 PBAC recommendation</w:t>
            </w:r>
            <w:r w:rsidR="006160CC" w:rsidRPr="000F40C3">
              <w:rPr>
                <w:rFonts w:ascii="Arial Narrow" w:hAnsi="Arial Narrow"/>
                <w:b/>
                <w:bCs/>
                <w:sz w:val="20"/>
              </w:rPr>
              <w:t xml:space="preserve"> (based on a price of $</w:t>
            </w:r>
            <w:r w:rsidR="002375CE">
              <w:rPr>
                <w:rFonts w:ascii="Arial Narrow" w:hAnsi="Arial Narrow"/>
                <w:b/>
                <w:bCs/>
                <w:noProof/>
                <w:color w:val="000000"/>
                <w:sz w:val="20"/>
                <w:highlight w:val="black"/>
              </w:rPr>
              <w:t>''''''''''''''''</w:t>
            </w:r>
            <w:r w:rsidR="006160CC" w:rsidRPr="000F40C3">
              <w:rPr>
                <w:rFonts w:ascii="Arial Narrow" w:hAnsi="Arial Narrow"/>
                <w:b/>
                <w:bCs/>
                <w:sz w:val="20"/>
              </w:rPr>
              <w:t xml:space="preserve"> per vial)</w:t>
            </w:r>
          </w:p>
        </w:tc>
      </w:tr>
      <w:tr w:rsidR="006160CC" w:rsidRPr="000F40C3" w:rsidTr="00AF786F">
        <w:trPr>
          <w:cantSplit/>
        </w:trPr>
        <w:tc>
          <w:tcPr>
            <w:tcW w:w="1613" w:type="pct"/>
            <w:shd w:val="clear" w:color="auto" w:fill="auto"/>
            <w:vAlign w:val="center"/>
          </w:tcPr>
          <w:p w:rsidR="006160CC" w:rsidRPr="000F40C3" w:rsidRDefault="006160CC" w:rsidP="00051C05">
            <w:pPr>
              <w:tabs>
                <w:tab w:val="left" w:pos="142"/>
              </w:tabs>
              <w:rPr>
                <w:rFonts w:ascii="Arial Narrow" w:hAnsi="Arial Narrow"/>
                <w:sz w:val="20"/>
              </w:rPr>
            </w:pPr>
            <w:r w:rsidRPr="000F40C3">
              <w:rPr>
                <w:rFonts w:ascii="Arial Narrow" w:hAnsi="Arial Narrow"/>
                <w:sz w:val="19"/>
                <w:szCs w:val="19"/>
              </w:rPr>
              <w:t>Net cost to PBS/RPBS</w:t>
            </w:r>
          </w:p>
        </w:tc>
        <w:tc>
          <w:tcPr>
            <w:tcW w:w="678" w:type="pct"/>
            <w:shd w:val="clear" w:color="auto" w:fill="auto"/>
          </w:tcPr>
          <w:p w:rsidR="006160CC" w:rsidRPr="000F40C3" w:rsidRDefault="006160CC" w:rsidP="006B7123">
            <w:pPr>
              <w:keepNext/>
              <w:jc w:val="center"/>
              <w:rPr>
                <w:rFonts w:ascii="Arial Narrow" w:hAnsi="Arial Narrow"/>
                <w:bCs/>
                <w:sz w:val="20"/>
              </w:rPr>
            </w:pPr>
            <w:r w:rsidRPr="000F40C3">
              <w:rPr>
                <w:rFonts w:ascii="Arial Narrow" w:hAnsi="Arial Narrow"/>
                <w:bCs/>
                <w:sz w:val="20"/>
              </w:rPr>
              <w:t>$</w:t>
            </w:r>
            <w:r w:rsidR="002375CE">
              <w:rPr>
                <w:rFonts w:ascii="Arial Narrow" w:hAnsi="Arial Narrow"/>
                <w:bCs/>
                <w:noProof/>
                <w:color w:val="000000"/>
                <w:sz w:val="20"/>
                <w:highlight w:val="black"/>
              </w:rPr>
              <w:t>''''''''''''''''''''''''</w:t>
            </w:r>
            <w:r w:rsidRPr="000F40C3">
              <w:rPr>
                <w:rFonts w:ascii="Arial Narrow" w:hAnsi="Arial Narrow"/>
                <w:bCs/>
                <w:sz w:val="20"/>
              </w:rPr>
              <w:t xml:space="preserve"> </w:t>
            </w:r>
          </w:p>
        </w:tc>
        <w:tc>
          <w:tcPr>
            <w:tcW w:w="679" w:type="pct"/>
            <w:shd w:val="clear" w:color="auto" w:fill="auto"/>
          </w:tcPr>
          <w:p w:rsidR="006160CC" w:rsidRPr="000F40C3" w:rsidRDefault="006160CC" w:rsidP="006B7123">
            <w:pPr>
              <w:keepNext/>
              <w:jc w:val="center"/>
              <w:rPr>
                <w:rFonts w:ascii="Arial Narrow" w:hAnsi="Arial Narrow"/>
                <w:bCs/>
                <w:sz w:val="20"/>
              </w:rPr>
            </w:pPr>
            <w:r w:rsidRPr="000F40C3">
              <w:rPr>
                <w:rFonts w:ascii="Arial Narrow" w:hAnsi="Arial Narrow"/>
                <w:bCs/>
                <w:sz w:val="20"/>
              </w:rPr>
              <w:t>$</w:t>
            </w:r>
            <w:r w:rsidR="002375CE">
              <w:rPr>
                <w:rFonts w:ascii="Arial Narrow" w:hAnsi="Arial Narrow"/>
                <w:bCs/>
                <w:noProof/>
                <w:color w:val="000000"/>
                <w:sz w:val="20"/>
                <w:highlight w:val="black"/>
              </w:rPr>
              <w:t>'''''''''''''''''''''''''</w:t>
            </w:r>
            <w:r w:rsidRPr="000F40C3">
              <w:rPr>
                <w:rFonts w:ascii="Arial Narrow" w:hAnsi="Arial Narrow"/>
                <w:bCs/>
                <w:sz w:val="20"/>
              </w:rPr>
              <w:t xml:space="preserve"> </w:t>
            </w:r>
          </w:p>
        </w:tc>
        <w:tc>
          <w:tcPr>
            <w:tcW w:w="678" w:type="pct"/>
            <w:shd w:val="clear" w:color="auto" w:fill="auto"/>
          </w:tcPr>
          <w:p w:rsidR="006160CC" w:rsidRPr="000F40C3" w:rsidRDefault="006160CC" w:rsidP="006B7123">
            <w:pPr>
              <w:keepNext/>
              <w:jc w:val="center"/>
              <w:rPr>
                <w:rFonts w:ascii="Arial Narrow" w:hAnsi="Arial Narrow"/>
                <w:bCs/>
                <w:sz w:val="20"/>
              </w:rPr>
            </w:pPr>
            <w:r w:rsidRPr="000F40C3">
              <w:rPr>
                <w:rFonts w:ascii="Arial Narrow" w:hAnsi="Arial Narrow"/>
                <w:bCs/>
                <w:sz w:val="20"/>
              </w:rPr>
              <w:t>$</w:t>
            </w:r>
            <w:r w:rsidR="002375CE">
              <w:rPr>
                <w:rFonts w:ascii="Arial Narrow" w:hAnsi="Arial Narrow"/>
                <w:bCs/>
                <w:noProof/>
                <w:color w:val="000000"/>
                <w:sz w:val="20"/>
                <w:highlight w:val="black"/>
              </w:rPr>
              <w:t>'''''''''''''''''''''''</w:t>
            </w:r>
            <w:r w:rsidRPr="000F40C3">
              <w:rPr>
                <w:rFonts w:ascii="Arial Narrow" w:hAnsi="Arial Narrow"/>
                <w:bCs/>
                <w:sz w:val="20"/>
              </w:rPr>
              <w:t xml:space="preserve"> </w:t>
            </w:r>
          </w:p>
        </w:tc>
        <w:tc>
          <w:tcPr>
            <w:tcW w:w="679" w:type="pct"/>
            <w:shd w:val="clear" w:color="auto" w:fill="auto"/>
          </w:tcPr>
          <w:p w:rsidR="006160CC" w:rsidRPr="000F40C3" w:rsidRDefault="006160CC" w:rsidP="006B7123">
            <w:pPr>
              <w:keepNext/>
              <w:jc w:val="center"/>
              <w:rPr>
                <w:rFonts w:ascii="Arial Narrow" w:hAnsi="Arial Narrow"/>
                <w:bCs/>
                <w:sz w:val="20"/>
              </w:rPr>
            </w:pPr>
            <w:r w:rsidRPr="000F40C3">
              <w:rPr>
                <w:rFonts w:ascii="Arial Narrow" w:hAnsi="Arial Narrow"/>
                <w:bCs/>
                <w:sz w:val="20"/>
              </w:rPr>
              <w:t>$</w:t>
            </w:r>
            <w:r w:rsidR="002375CE">
              <w:rPr>
                <w:rFonts w:ascii="Arial Narrow" w:hAnsi="Arial Narrow"/>
                <w:bCs/>
                <w:noProof/>
                <w:color w:val="000000"/>
                <w:sz w:val="20"/>
                <w:highlight w:val="black"/>
              </w:rPr>
              <w:t>''''''''''''''''''''''''</w:t>
            </w:r>
            <w:r w:rsidRPr="000F40C3">
              <w:rPr>
                <w:rFonts w:ascii="Arial Narrow" w:hAnsi="Arial Narrow"/>
                <w:bCs/>
                <w:sz w:val="20"/>
              </w:rPr>
              <w:t xml:space="preserve"> </w:t>
            </w:r>
          </w:p>
        </w:tc>
        <w:tc>
          <w:tcPr>
            <w:tcW w:w="673" w:type="pct"/>
            <w:shd w:val="clear" w:color="auto" w:fill="auto"/>
          </w:tcPr>
          <w:p w:rsidR="006160CC" w:rsidRPr="000F40C3" w:rsidRDefault="006160CC" w:rsidP="006B7123">
            <w:pPr>
              <w:keepNext/>
              <w:jc w:val="center"/>
              <w:rPr>
                <w:rFonts w:ascii="Arial Narrow" w:hAnsi="Arial Narrow"/>
                <w:bCs/>
                <w:sz w:val="20"/>
              </w:rPr>
            </w:pPr>
            <w:r w:rsidRPr="000F40C3">
              <w:rPr>
                <w:rFonts w:ascii="Arial Narrow" w:hAnsi="Arial Narrow"/>
                <w:bCs/>
                <w:sz w:val="20"/>
              </w:rPr>
              <w:t>$</w:t>
            </w:r>
            <w:r w:rsidR="002375CE">
              <w:rPr>
                <w:rFonts w:ascii="Arial Narrow" w:hAnsi="Arial Narrow"/>
                <w:bCs/>
                <w:noProof/>
                <w:color w:val="000000"/>
                <w:sz w:val="20"/>
                <w:highlight w:val="black"/>
              </w:rPr>
              <w:t>''''''''''''''''''''''</w:t>
            </w:r>
            <w:r w:rsidRPr="000F40C3">
              <w:rPr>
                <w:rFonts w:ascii="Arial Narrow" w:hAnsi="Arial Narrow"/>
                <w:bCs/>
                <w:sz w:val="20"/>
              </w:rPr>
              <w:t xml:space="preserve"> </w:t>
            </w:r>
          </w:p>
        </w:tc>
      </w:tr>
      <w:tr w:rsidR="00186496" w:rsidRPr="000F40C3" w:rsidTr="00AF786F">
        <w:trPr>
          <w:cantSplit/>
        </w:trPr>
        <w:tc>
          <w:tcPr>
            <w:tcW w:w="5000" w:type="pct"/>
            <w:gridSpan w:val="6"/>
            <w:shd w:val="clear" w:color="auto" w:fill="auto"/>
            <w:vAlign w:val="center"/>
          </w:tcPr>
          <w:p w:rsidR="00186496" w:rsidRPr="000F40C3" w:rsidRDefault="00186496" w:rsidP="00051C05">
            <w:pPr>
              <w:rPr>
                <w:rFonts w:ascii="Arial Narrow" w:hAnsi="Arial Narrow"/>
                <w:b/>
                <w:bCs/>
                <w:sz w:val="20"/>
              </w:rPr>
            </w:pPr>
            <w:r w:rsidRPr="000F40C3">
              <w:rPr>
                <w:rFonts w:ascii="Arial Narrow" w:hAnsi="Arial Narrow"/>
                <w:b/>
                <w:bCs/>
                <w:sz w:val="20"/>
              </w:rPr>
              <w:t>Current minor resubmission</w:t>
            </w:r>
            <w:r w:rsidR="006160CC" w:rsidRPr="000F40C3">
              <w:rPr>
                <w:rFonts w:ascii="Arial Narrow" w:hAnsi="Arial Narrow"/>
                <w:b/>
                <w:bCs/>
                <w:sz w:val="20"/>
              </w:rPr>
              <w:t xml:space="preserve"> (based on a price of $</w:t>
            </w:r>
            <w:r w:rsidR="00E542B3">
              <w:rPr>
                <w:rFonts w:ascii="Arial Narrow" w:hAnsi="Arial Narrow"/>
                <w:b/>
                <w:bCs/>
                <w:noProof/>
                <w:color w:val="000000"/>
                <w:sz w:val="20"/>
                <w:highlight w:val="black"/>
              </w:rPr>
              <w:t xml:space="preserve">'''''''''''''''''' </w:t>
            </w:r>
            <w:r w:rsidR="006160CC" w:rsidRPr="000F40C3">
              <w:rPr>
                <w:rFonts w:ascii="Arial Narrow" w:hAnsi="Arial Narrow"/>
                <w:b/>
                <w:bCs/>
                <w:sz w:val="20"/>
              </w:rPr>
              <w:t>per vial)</w:t>
            </w:r>
          </w:p>
        </w:tc>
      </w:tr>
      <w:tr w:rsidR="006160CC" w:rsidRPr="000F40C3" w:rsidTr="00AF786F">
        <w:trPr>
          <w:cantSplit/>
        </w:trPr>
        <w:tc>
          <w:tcPr>
            <w:tcW w:w="1613" w:type="pct"/>
            <w:shd w:val="clear" w:color="auto" w:fill="auto"/>
            <w:vAlign w:val="center"/>
          </w:tcPr>
          <w:p w:rsidR="006160CC" w:rsidRPr="000F40C3" w:rsidRDefault="006160CC" w:rsidP="00051C05">
            <w:pPr>
              <w:tabs>
                <w:tab w:val="left" w:pos="142"/>
              </w:tabs>
              <w:rPr>
                <w:rFonts w:ascii="Arial Narrow" w:hAnsi="Arial Narrow"/>
                <w:sz w:val="20"/>
              </w:rPr>
            </w:pPr>
            <w:r w:rsidRPr="000F40C3">
              <w:rPr>
                <w:rFonts w:ascii="Arial Narrow" w:hAnsi="Arial Narrow"/>
                <w:sz w:val="19"/>
                <w:szCs w:val="19"/>
              </w:rPr>
              <w:t>Net cost to PBS/RPBS</w:t>
            </w:r>
          </w:p>
        </w:tc>
        <w:tc>
          <w:tcPr>
            <w:tcW w:w="678" w:type="pct"/>
            <w:shd w:val="clear" w:color="auto" w:fill="auto"/>
          </w:tcPr>
          <w:p w:rsidR="006160CC" w:rsidRPr="000F40C3" w:rsidRDefault="006160CC" w:rsidP="006B7123">
            <w:pPr>
              <w:keepNext/>
              <w:jc w:val="center"/>
              <w:rPr>
                <w:rFonts w:ascii="Arial Narrow" w:hAnsi="Arial Narrow"/>
                <w:b/>
                <w:bCs/>
                <w:sz w:val="20"/>
              </w:rPr>
            </w:pPr>
            <w:r w:rsidRPr="000F40C3">
              <w:rPr>
                <w:rFonts w:ascii="Arial Narrow" w:hAnsi="Arial Narrow"/>
                <w:b/>
                <w:bCs/>
                <w:sz w:val="20"/>
              </w:rPr>
              <w:t>$</w:t>
            </w:r>
            <w:r w:rsidR="002375CE">
              <w:rPr>
                <w:rFonts w:ascii="Arial Narrow" w:hAnsi="Arial Narrow"/>
                <w:b/>
                <w:bCs/>
                <w:noProof/>
                <w:color w:val="000000"/>
                <w:sz w:val="20"/>
                <w:highlight w:val="black"/>
              </w:rPr>
              <w:t>'''''''''''''''''</w:t>
            </w:r>
            <w:r w:rsidRPr="000F40C3">
              <w:rPr>
                <w:rFonts w:ascii="Arial Narrow" w:hAnsi="Arial Narrow"/>
                <w:b/>
                <w:bCs/>
                <w:sz w:val="20"/>
              </w:rPr>
              <w:t xml:space="preserve"> </w:t>
            </w:r>
          </w:p>
        </w:tc>
        <w:tc>
          <w:tcPr>
            <w:tcW w:w="679" w:type="pct"/>
            <w:shd w:val="clear" w:color="auto" w:fill="auto"/>
          </w:tcPr>
          <w:p w:rsidR="006160CC" w:rsidRPr="000F40C3" w:rsidRDefault="006160CC" w:rsidP="006B7123">
            <w:pPr>
              <w:keepNext/>
              <w:jc w:val="center"/>
              <w:rPr>
                <w:rFonts w:ascii="Arial Narrow" w:hAnsi="Arial Narrow"/>
                <w:b/>
                <w:bCs/>
                <w:sz w:val="20"/>
              </w:rPr>
            </w:pPr>
            <w:r w:rsidRPr="000F40C3">
              <w:rPr>
                <w:rFonts w:ascii="Arial Narrow" w:hAnsi="Arial Narrow"/>
                <w:b/>
                <w:bCs/>
                <w:sz w:val="20"/>
              </w:rPr>
              <w:t>$</w:t>
            </w:r>
            <w:r w:rsidR="002375CE">
              <w:rPr>
                <w:rFonts w:ascii="Arial Narrow" w:hAnsi="Arial Narrow"/>
                <w:b/>
                <w:bCs/>
                <w:noProof/>
                <w:color w:val="000000"/>
                <w:sz w:val="20"/>
                <w:highlight w:val="black"/>
              </w:rPr>
              <w:t>''''''''''''''''''''</w:t>
            </w:r>
            <w:r w:rsidRPr="000F40C3">
              <w:rPr>
                <w:rFonts w:ascii="Arial Narrow" w:hAnsi="Arial Narrow"/>
                <w:b/>
                <w:bCs/>
                <w:sz w:val="20"/>
              </w:rPr>
              <w:t xml:space="preserve"> </w:t>
            </w:r>
          </w:p>
        </w:tc>
        <w:tc>
          <w:tcPr>
            <w:tcW w:w="678" w:type="pct"/>
            <w:shd w:val="clear" w:color="auto" w:fill="auto"/>
          </w:tcPr>
          <w:p w:rsidR="006160CC" w:rsidRPr="000F40C3" w:rsidRDefault="006160CC" w:rsidP="006B7123">
            <w:pPr>
              <w:keepNext/>
              <w:jc w:val="center"/>
              <w:rPr>
                <w:rFonts w:ascii="Arial Narrow" w:hAnsi="Arial Narrow"/>
                <w:b/>
                <w:bCs/>
                <w:sz w:val="20"/>
              </w:rPr>
            </w:pPr>
            <w:r w:rsidRPr="000F40C3">
              <w:rPr>
                <w:rFonts w:ascii="Arial Narrow" w:hAnsi="Arial Narrow"/>
                <w:b/>
                <w:bCs/>
                <w:sz w:val="20"/>
              </w:rPr>
              <w:t>$</w:t>
            </w:r>
            <w:r w:rsidR="002375CE">
              <w:rPr>
                <w:rFonts w:ascii="Arial Narrow" w:hAnsi="Arial Narrow"/>
                <w:b/>
                <w:bCs/>
                <w:noProof/>
                <w:color w:val="000000"/>
                <w:sz w:val="20"/>
                <w:highlight w:val="black"/>
              </w:rPr>
              <w:t>'''''''''''''''''''''</w:t>
            </w:r>
            <w:r w:rsidRPr="000F40C3">
              <w:rPr>
                <w:rFonts w:ascii="Arial Narrow" w:hAnsi="Arial Narrow"/>
                <w:b/>
                <w:bCs/>
                <w:sz w:val="20"/>
              </w:rPr>
              <w:t xml:space="preserve"> </w:t>
            </w:r>
          </w:p>
        </w:tc>
        <w:tc>
          <w:tcPr>
            <w:tcW w:w="679" w:type="pct"/>
            <w:shd w:val="clear" w:color="auto" w:fill="auto"/>
          </w:tcPr>
          <w:p w:rsidR="006160CC" w:rsidRPr="000F40C3" w:rsidRDefault="006160CC" w:rsidP="006B7123">
            <w:pPr>
              <w:keepNext/>
              <w:jc w:val="center"/>
              <w:rPr>
                <w:rFonts w:ascii="Arial Narrow" w:hAnsi="Arial Narrow"/>
                <w:b/>
                <w:bCs/>
                <w:sz w:val="20"/>
              </w:rPr>
            </w:pPr>
            <w:r w:rsidRPr="000F40C3">
              <w:rPr>
                <w:rFonts w:ascii="Arial Narrow" w:hAnsi="Arial Narrow"/>
                <w:b/>
                <w:bCs/>
                <w:sz w:val="20"/>
              </w:rPr>
              <w:t>$</w:t>
            </w:r>
            <w:r w:rsidR="002375CE">
              <w:rPr>
                <w:rFonts w:ascii="Arial Narrow" w:hAnsi="Arial Narrow"/>
                <w:b/>
                <w:bCs/>
                <w:noProof/>
                <w:color w:val="000000"/>
                <w:sz w:val="20"/>
                <w:highlight w:val="black"/>
              </w:rPr>
              <w:t>'''''''''''''''''''</w:t>
            </w:r>
            <w:r w:rsidRPr="000F40C3">
              <w:rPr>
                <w:rFonts w:ascii="Arial Narrow" w:hAnsi="Arial Narrow"/>
                <w:b/>
                <w:bCs/>
                <w:sz w:val="20"/>
              </w:rPr>
              <w:t xml:space="preserve"> </w:t>
            </w:r>
          </w:p>
        </w:tc>
        <w:tc>
          <w:tcPr>
            <w:tcW w:w="673" w:type="pct"/>
            <w:shd w:val="clear" w:color="auto" w:fill="auto"/>
          </w:tcPr>
          <w:p w:rsidR="006160CC" w:rsidRPr="000F40C3" w:rsidRDefault="006160CC" w:rsidP="006B7123">
            <w:pPr>
              <w:keepNext/>
              <w:jc w:val="center"/>
              <w:rPr>
                <w:rFonts w:ascii="Arial Narrow" w:hAnsi="Arial Narrow"/>
                <w:b/>
                <w:bCs/>
                <w:sz w:val="20"/>
              </w:rPr>
            </w:pPr>
            <w:r w:rsidRPr="000F40C3">
              <w:rPr>
                <w:rFonts w:ascii="Arial Narrow" w:hAnsi="Arial Narrow"/>
                <w:b/>
                <w:bCs/>
                <w:sz w:val="20"/>
              </w:rPr>
              <w:t>$</w:t>
            </w:r>
            <w:r w:rsidR="002375CE">
              <w:rPr>
                <w:rFonts w:ascii="Arial Narrow" w:hAnsi="Arial Narrow"/>
                <w:b/>
                <w:bCs/>
                <w:noProof/>
                <w:color w:val="000000"/>
                <w:sz w:val="20"/>
                <w:highlight w:val="black"/>
              </w:rPr>
              <w:t>''''''''''''''''''</w:t>
            </w:r>
            <w:r w:rsidRPr="000F40C3">
              <w:rPr>
                <w:rFonts w:ascii="Arial Narrow" w:hAnsi="Arial Narrow"/>
                <w:b/>
                <w:bCs/>
                <w:sz w:val="20"/>
              </w:rPr>
              <w:t xml:space="preserve"> </w:t>
            </w:r>
          </w:p>
        </w:tc>
      </w:tr>
    </w:tbl>
    <w:p w:rsidR="00186496" w:rsidRPr="000F40C3" w:rsidRDefault="00186496" w:rsidP="006B7123">
      <w:pPr>
        <w:pStyle w:val="TableFooter"/>
        <w:widowControl/>
        <w:ind w:left="709"/>
      </w:pPr>
      <w:r w:rsidRPr="000F40C3">
        <w:t>Source: Blinatumomab minor resubmission, Table 5.1-1</w:t>
      </w:r>
    </w:p>
    <w:p w:rsidR="00186496" w:rsidRPr="000F40C3" w:rsidRDefault="00186496" w:rsidP="006B7123">
      <w:pPr>
        <w:pStyle w:val="TableFooter"/>
        <w:widowControl/>
        <w:ind w:left="709"/>
      </w:pPr>
      <w:r w:rsidRPr="000F40C3">
        <w:t>* based on an adult population (≥18 years of age)</w:t>
      </w:r>
      <w:r w:rsidR="00975B06" w:rsidRPr="000F40C3">
        <w:t>,</w:t>
      </w:r>
      <w:r w:rsidR="008B35FC">
        <w:t xml:space="preserve"> </w:t>
      </w:r>
      <w:r w:rsidR="002375CE">
        <w:rPr>
          <w:noProof/>
          <w:color w:val="000000"/>
          <w:highlight w:val="black"/>
        </w:rPr>
        <w:t>''''''</w:t>
      </w:r>
      <w:r w:rsidRPr="000F40C3">
        <w:t>% uptake rate</w:t>
      </w:r>
      <w:r w:rsidR="00975B06" w:rsidRPr="000F40C3">
        <w:t xml:space="preserve"> and an average of </w:t>
      </w:r>
      <w:r w:rsidR="00975B06" w:rsidRPr="008B35FC">
        <w:t>42</w:t>
      </w:r>
      <w:r w:rsidR="00975B06" w:rsidRPr="000F40C3">
        <w:t xml:space="preserve"> vials (1.64 cycles) per patient</w:t>
      </w:r>
    </w:p>
    <w:p w:rsidR="006160CC" w:rsidRPr="000F40C3" w:rsidRDefault="006160CC" w:rsidP="006B7123">
      <w:pPr>
        <w:pStyle w:val="ListParagraph"/>
        <w:widowControl/>
        <w:ind w:left="709"/>
        <w:rPr>
          <w:szCs w:val="22"/>
          <w:highlight w:val="yellow"/>
        </w:rPr>
      </w:pPr>
    </w:p>
    <w:p w:rsidR="009B394B" w:rsidRPr="000F40C3" w:rsidRDefault="009B394B" w:rsidP="009B394B">
      <w:pPr>
        <w:pStyle w:val="Heading2"/>
        <w:rPr>
          <w:i w:val="0"/>
          <w:szCs w:val="22"/>
        </w:rPr>
      </w:pPr>
      <w:r w:rsidRPr="000F40C3">
        <w:t>Financial Management – Risk Sharing Arrangements</w:t>
      </w:r>
    </w:p>
    <w:p w:rsidR="009B394B" w:rsidRPr="000F40C3" w:rsidRDefault="009B394B" w:rsidP="009B394B">
      <w:pPr>
        <w:rPr>
          <w:szCs w:val="22"/>
        </w:rPr>
      </w:pPr>
    </w:p>
    <w:p w:rsidR="00D94899" w:rsidRPr="000F40C3" w:rsidRDefault="00390AA6" w:rsidP="006B7123">
      <w:pPr>
        <w:pStyle w:val="ListParagraph"/>
        <w:widowControl/>
        <w:numPr>
          <w:ilvl w:val="1"/>
          <w:numId w:val="5"/>
        </w:numPr>
        <w:rPr>
          <w:szCs w:val="22"/>
        </w:rPr>
      </w:pPr>
      <w:r w:rsidRPr="000F40C3">
        <w:rPr>
          <w:szCs w:val="22"/>
        </w:rPr>
        <w:t xml:space="preserve">The July 2016 resubmission proposed a financial cap set at </w:t>
      </w:r>
      <w:r w:rsidR="002375CE">
        <w:rPr>
          <w:noProof/>
          <w:color w:val="000000"/>
          <w:szCs w:val="22"/>
          <w:highlight w:val="black"/>
        </w:rPr>
        <w:t>'''''''''</w:t>
      </w:r>
      <w:r w:rsidRPr="000F40C3">
        <w:rPr>
          <w:szCs w:val="22"/>
        </w:rPr>
        <w:t xml:space="preserve">% of the estimated blinatumomab eligible population with a </w:t>
      </w:r>
      <w:r w:rsidR="002375CE">
        <w:rPr>
          <w:noProof/>
          <w:color w:val="000000"/>
          <w:szCs w:val="22"/>
          <w:highlight w:val="black"/>
        </w:rPr>
        <w:t>''''''</w:t>
      </w:r>
      <w:r w:rsidRPr="000F40C3">
        <w:rPr>
          <w:szCs w:val="22"/>
        </w:rPr>
        <w:t xml:space="preserve">% rebate to apply beyond the cap. The cap would be set at an agreed estimate of average number of vials per eligible patient. </w:t>
      </w:r>
    </w:p>
    <w:p w:rsidR="00D94899" w:rsidRPr="000F40C3" w:rsidRDefault="00D94899" w:rsidP="006B7123">
      <w:pPr>
        <w:pStyle w:val="ListParagraph"/>
        <w:widowControl/>
        <w:rPr>
          <w:szCs w:val="22"/>
        </w:rPr>
      </w:pPr>
    </w:p>
    <w:p w:rsidR="00975B06" w:rsidRPr="000F40C3" w:rsidRDefault="006160CC" w:rsidP="006B7123">
      <w:pPr>
        <w:pStyle w:val="ListParagraph"/>
        <w:widowControl/>
        <w:numPr>
          <w:ilvl w:val="1"/>
          <w:numId w:val="5"/>
        </w:numPr>
        <w:rPr>
          <w:szCs w:val="22"/>
        </w:rPr>
      </w:pPr>
      <w:r w:rsidRPr="000F40C3">
        <w:rPr>
          <w:szCs w:val="22"/>
        </w:rPr>
        <w:t>In July 2016, the PBAC recommended that</w:t>
      </w:r>
      <w:r w:rsidR="00975B06" w:rsidRPr="000F40C3">
        <w:rPr>
          <w:szCs w:val="22"/>
        </w:rPr>
        <w:t>:</w:t>
      </w:r>
      <w:r w:rsidRPr="000F40C3">
        <w:rPr>
          <w:szCs w:val="22"/>
        </w:rPr>
        <w:t xml:space="preserve"> </w:t>
      </w:r>
    </w:p>
    <w:p w:rsidR="00975B06" w:rsidRPr="000F40C3" w:rsidRDefault="006160CC" w:rsidP="006B7123">
      <w:pPr>
        <w:pStyle w:val="ListParagraph"/>
        <w:widowControl/>
        <w:numPr>
          <w:ilvl w:val="2"/>
          <w:numId w:val="5"/>
        </w:numPr>
        <w:ind w:left="993" w:hanging="284"/>
        <w:rPr>
          <w:szCs w:val="22"/>
        </w:rPr>
      </w:pPr>
      <w:r w:rsidRPr="000F40C3">
        <w:rPr>
          <w:szCs w:val="22"/>
        </w:rPr>
        <w:t>the expenditure caps reflect the estimate of 42 vials (1.64 cycles)</w:t>
      </w:r>
      <w:r w:rsidR="00975B06" w:rsidRPr="000F40C3">
        <w:rPr>
          <w:szCs w:val="22"/>
        </w:rPr>
        <w:t>;</w:t>
      </w:r>
    </w:p>
    <w:p w:rsidR="00975B06" w:rsidRPr="000F40C3" w:rsidRDefault="006160CC" w:rsidP="006B7123">
      <w:pPr>
        <w:pStyle w:val="ListParagraph"/>
        <w:widowControl/>
        <w:numPr>
          <w:ilvl w:val="2"/>
          <w:numId w:val="5"/>
        </w:numPr>
        <w:ind w:left="993" w:hanging="284"/>
        <w:rPr>
          <w:szCs w:val="22"/>
        </w:rPr>
      </w:pPr>
      <w:r w:rsidRPr="000F40C3">
        <w:rPr>
          <w:szCs w:val="22"/>
        </w:rPr>
        <w:t>the caps should reflect the estimated treated population (</w:t>
      </w:r>
      <w:r w:rsidR="008B35FC">
        <w:rPr>
          <w:szCs w:val="22"/>
        </w:rPr>
        <w:t>less than 10,000</w:t>
      </w:r>
      <w:r w:rsidRPr="000F40C3">
        <w:rPr>
          <w:szCs w:val="22"/>
        </w:rPr>
        <w:t xml:space="preserve"> adults)</w:t>
      </w:r>
      <w:r w:rsidR="00975B06" w:rsidRPr="000F40C3">
        <w:rPr>
          <w:szCs w:val="22"/>
        </w:rPr>
        <w:t>,</w:t>
      </w:r>
      <w:r w:rsidRPr="000F40C3">
        <w:rPr>
          <w:szCs w:val="22"/>
        </w:rPr>
        <w:t xml:space="preserve"> rather than </w:t>
      </w:r>
      <w:r w:rsidR="002375CE">
        <w:rPr>
          <w:noProof/>
          <w:color w:val="000000"/>
          <w:szCs w:val="22"/>
          <w:highlight w:val="black"/>
        </w:rPr>
        <w:t>'''''''''</w:t>
      </w:r>
      <w:r w:rsidRPr="000F40C3">
        <w:rPr>
          <w:szCs w:val="22"/>
        </w:rPr>
        <w:t>% of the estimated eligible population (</w:t>
      </w:r>
      <w:r w:rsidR="008B35FC">
        <w:rPr>
          <w:szCs w:val="22"/>
        </w:rPr>
        <w:t>less than 10,000</w:t>
      </w:r>
      <w:r w:rsidRPr="000F40C3">
        <w:rPr>
          <w:szCs w:val="22"/>
        </w:rPr>
        <w:t xml:space="preserve"> adults)</w:t>
      </w:r>
      <w:r w:rsidR="00975B06" w:rsidRPr="000F40C3">
        <w:rPr>
          <w:szCs w:val="22"/>
        </w:rPr>
        <w:t xml:space="preserve">; and </w:t>
      </w:r>
    </w:p>
    <w:p w:rsidR="00975B06" w:rsidRPr="000F40C3" w:rsidRDefault="00975B06" w:rsidP="006B7123">
      <w:pPr>
        <w:pStyle w:val="ListParagraph"/>
        <w:widowControl/>
        <w:numPr>
          <w:ilvl w:val="2"/>
          <w:numId w:val="5"/>
        </w:numPr>
        <w:ind w:left="993" w:hanging="284"/>
        <w:rPr>
          <w:szCs w:val="22"/>
        </w:rPr>
      </w:pPr>
      <w:proofErr w:type="gramStart"/>
      <w:r w:rsidRPr="000F40C3">
        <w:rPr>
          <w:szCs w:val="22"/>
        </w:rPr>
        <w:t>a</w:t>
      </w:r>
      <w:proofErr w:type="gramEnd"/>
      <w:r w:rsidRPr="000F40C3">
        <w:rPr>
          <w:szCs w:val="22"/>
        </w:rPr>
        <w:t xml:space="preserve"> </w:t>
      </w:r>
      <w:r w:rsidR="002375CE">
        <w:rPr>
          <w:noProof/>
          <w:color w:val="000000"/>
          <w:szCs w:val="22"/>
          <w:highlight w:val="black"/>
        </w:rPr>
        <w:t>''''''''''</w:t>
      </w:r>
      <w:r w:rsidRPr="000F40C3">
        <w:rPr>
          <w:szCs w:val="22"/>
        </w:rPr>
        <w:t>% rebate to the Commonwealth should apply beyond the corresponding expenditure caps.</w:t>
      </w:r>
    </w:p>
    <w:p w:rsidR="00975B06" w:rsidRPr="000F40C3" w:rsidRDefault="00975B06" w:rsidP="006B7123">
      <w:pPr>
        <w:pStyle w:val="ListParagraph"/>
        <w:widowControl/>
        <w:rPr>
          <w:szCs w:val="22"/>
        </w:rPr>
      </w:pPr>
    </w:p>
    <w:p w:rsidR="00BB7EC3" w:rsidRPr="000F40C3" w:rsidRDefault="00975B06" w:rsidP="00051C05">
      <w:pPr>
        <w:pStyle w:val="ListParagraph"/>
        <w:widowControl/>
        <w:numPr>
          <w:ilvl w:val="1"/>
          <w:numId w:val="5"/>
        </w:numPr>
        <w:rPr>
          <w:szCs w:val="22"/>
        </w:rPr>
      </w:pPr>
      <w:r w:rsidRPr="000F40C3">
        <w:rPr>
          <w:szCs w:val="22"/>
        </w:rPr>
        <w:t>T</w:t>
      </w:r>
      <w:r w:rsidR="006160CC" w:rsidRPr="000F40C3">
        <w:rPr>
          <w:szCs w:val="22"/>
        </w:rPr>
        <w:t xml:space="preserve">he minor resubmission </w:t>
      </w:r>
      <w:r w:rsidRPr="000F40C3">
        <w:rPr>
          <w:szCs w:val="22"/>
        </w:rPr>
        <w:t xml:space="preserve">stated </w:t>
      </w:r>
      <w:r w:rsidR="006160CC" w:rsidRPr="000F40C3">
        <w:rPr>
          <w:szCs w:val="22"/>
        </w:rPr>
        <w:t xml:space="preserve">that if the recommended restriction wording was to be age-specific, </w:t>
      </w:r>
      <w:r w:rsidR="00405856" w:rsidRPr="000F40C3">
        <w:rPr>
          <w:szCs w:val="22"/>
        </w:rPr>
        <w:t xml:space="preserve">the sponsor </w:t>
      </w:r>
      <w:r w:rsidR="006160CC" w:rsidRPr="000F40C3">
        <w:rPr>
          <w:szCs w:val="22"/>
        </w:rPr>
        <w:t>would accept the placement of the cap relative to the estimated patient numbers based on an adult population (≥18 years of age). However, the decision to remain silent on age has a direct impact on the number of patients expected to receive blinatumomab, not just on the estimated uptake rate, but the entire eligible patient population.</w:t>
      </w:r>
    </w:p>
    <w:p w:rsidR="00D94899" w:rsidRPr="000F40C3" w:rsidRDefault="00D94899" w:rsidP="00D94899">
      <w:pPr>
        <w:jc w:val="both"/>
        <w:rPr>
          <w:rFonts w:ascii="Arial" w:hAnsi="Arial" w:cs="Arial"/>
          <w:bCs/>
          <w:snapToGrid w:val="0"/>
          <w:sz w:val="22"/>
          <w:szCs w:val="20"/>
        </w:rPr>
      </w:pPr>
    </w:p>
    <w:p w:rsidR="00D94899" w:rsidRPr="000F40C3" w:rsidRDefault="00D94899" w:rsidP="006B7123">
      <w:pPr>
        <w:pStyle w:val="ListParagraph"/>
        <w:widowControl/>
        <w:numPr>
          <w:ilvl w:val="1"/>
          <w:numId w:val="5"/>
        </w:numPr>
      </w:pPr>
      <w:r w:rsidRPr="000F40C3">
        <w:rPr>
          <w:szCs w:val="22"/>
        </w:rPr>
        <w:t xml:space="preserve">In its consideration of the current resubmission, the PBAC recommended that the Risk Sharing Arrangements outlined in the July 2016 PBAC </w:t>
      </w:r>
      <w:r w:rsidR="001B433B">
        <w:rPr>
          <w:szCs w:val="22"/>
        </w:rPr>
        <w:t>PSD</w:t>
      </w:r>
      <w:r w:rsidRPr="000F40C3">
        <w:rPr>
          <w:szCs w:val="22"/>
        </w:rPr>
        <w:t xml:space="preserve"> </w:t>
      </w:r>
      <w:r w:rsidR="008168A6">
        <w:rPr>
          <w:szCs w:val="22"/>
        </w:rPr>
        <w:t xml:space="preserve">should </w:t>
      </w:r>
      <w:r w:rsidRPr="000F40C3">
        <w:rPr>
          <w:szCs w:val="22"/>
        </w:rPr>
        <w:t xml:space="preserve">apply </w:t>
      </w:r>
      <w:r w:rsidRPr="00DE4761">
        <w:rPr>
          <w:szCs w:val="22"/>
        </w:rPr>
        <w:t xml:space="preserve">(see paragraph 6.15). </w:t>
      </w:r>
      <w:r w:rsidRPr="00DE4761">
        <w:t>T</w:t>
      </w:r>
      <w:r w:rsidRPr="000F40C3">
        <w:t>he PBAC reaffirmed that the restriction should remain silent on age</w:t>
      </w:r>
      <w:r w:rsidR="00DE4761">
        <w:t>. H</w:t>
      </w:r>
      <w:r w:rsidRPr="000F40C3">
        <w:t>owever,</w:t>
      </w:r>
      <w:r w:rsidR="00DE4761">
        <w:t xml:space="preserve"> given the significant uncertainty around several aspects of the estimates and the high ICER,</w:t>
      </w:r>
      <w:r w:rsidRPr="000F40C3">
        <w:t xml:space="preserve"> the PBAC did not consider that this was sufficient grounds for </w:t>
      </w:r>
      <w:r w:rsidR="00DE4761">
        <w:t>any upward revision of the expenditure cap</w:t>
      </w:r>
      <w:r w:rsidRPr="000F40C3">
        <w:t>.</w:t>
      </w:r>
    </w:p>
    <w:p w:rsidR="009B394B" w:rsidRPr="000F40C3" w:rsidRDefault="009B394B" w:rsidP="009B394B"/>
    <w:p w:rsidR="00455521" w:rsidRPr="000F40C3" w:rsidRDefault="00455521" w:rsidP="006B7123">
      <w:pPr>
        <w:ind w:firstLine="720"/>
        <w:rPr>
          <w:rFonts w:ascii="Arial" w:hAnsi="Arial" w:cs="Arial"/>
          <w:bCs/>
          <w:snapToGrid w:val="0"/>
          <w:sz w:val="22"/>
          <w:szCs w:val="22"/>
        </w:rPr>
      </w:pPr>
      <w:r w:rsidRPr="000F40C3">
        <w:rPr>
          <w:rFonts w:ascii="Arial" w:hAnsi="Arial" w:cs="Arial"/>
          <w:bCs/>
          <w:i/>
          <w:snapToGrid w:val="0"/>
          <w:sz w:val="22"/>
          <w:szCs w:val="22"/>
        </w:rPr>
        <w:t>For more detail on PBAC’s view, see section 7 “PBAC outcome”</w:t>
      </w:r>
    </w:p>
    <w:p w:rsidR="00455521" w:rsidRPr="000F40C3" w:rsidRDefault="00455521" w:rsidP="006B7123"/>
    <w:p w:rsidR="00D367CD" w:rsidRPr="000F40C3" w:rsidRDefault="00D367CD" w:rsidP="006B7123">
      <w:pPr>
        <w:numPr>
          <w:ilvl w:val="0"/>
          <w:numId w:val="5"/>
        </w:numPr>
        <w:jc w:val="both"/>
        <w:outlineLvl w:val="0"/>
        <w:rPr>
          <w:rFonts w:ascii="Arial" w:hAnsi="Arial" w:cs="Arial"/>
          <w:b/>
          <w:bCs/>
          <w:snapToGrid w:val="0"/>
          <w:sz w:val="22"/>
          <w:szCs w:val="20"/>
        </w:rPr>
      </w:pPr>
      <w:r w:rsidRPr="000F40C3">
        <w:rPr>
          <w:rFonts w:ascii="Arial" w:hAnsi="Arial" w:cs="Arial"/>
          <w:b/>
          <w:bCs/>
          <w:snapToGrid w:val="0"/>
          <w:sz w:val="22"/>
          <w:szCs w:val="20"/>
        </w:rPr>
        <w:t>PBAC Outcome</w:t>
      </w:r>
    </w:p>
    <w:p w:rsidR="00D367CD" w:rsidRPr="000F40C3" w:rsidRDefault="00D367CD" w:rsidP="006B7123">
      <w:pPr>
        <w:jc w:val="both"/>
        <w:rPr>
          <w:rFonts w:ascii="Arial" w:hAnsi="Arial" w:cs="Arial"/>
          <w:b/>
          <w:bCs/>
          <w:snapToGrid w:val="0"/>
          <w:sz w:val="22"/>
          <w:szCs w:val="20"/>
        </w:rPr>
      </w:pPr>
    </w:p>
    <w:p w:rsidR="00D367CD" w:rsidRPr="000F40C3" w:rsidRDefault="00AF786F" w:rsidP="00734705">
      <w:pPr>
        <w:numPr>
          <w:ilvl w:val="1"/>
          <w:numId w:val="5"/>
        </w:numPr>
        <w:jc w:val="both"/>
        <w:rPr>
          <w:rFonts w:ascii="Arial" w:hAnsi="Arial" w:cs="Arial"/>
          <w:bCs/>
          <w:snapToGrid w:val="0"/>
          <w:sz w:val="22"/>
          <w:szCs w:val="20"/>
        </w:rPr>
      </w:pPr>
      <w:r w:rsidRPr="000F40C3">
        <w:rPr>
          <w:rFonts w:ascii="Arial" w:hAnsi="Arial" w:cs="Arial"/>
          <w:bCs/>
          <w:snapToGrid w:val="0"/>
          <w:sz w:val="22"/>
          <w:szCs w:val="20"/>
        </w:rPr>
        <w:t xml:space="preserve">The PBAC recommended the listing of blinatumomab for relapsed or refractory </w:t>
      </w:r>
      <w:r w:rsidR="00734705" w:rsidRPr="000F40C3">
        <w:rPr>
          <w:rFonts w:ascii="Arial" w:hAnsi="Arial" w:cs="Arial"/>
          <w:bCs/>
          <w:snapToGrid w:val="0"/>
          <w:sz w:val="22"/>
          <w:szCs w:val="20"/>
        </w:rPr>
        <w:t>Ph B-precursor ALL</w:t>
      </w:r>
      <w:r w:rsidRPr="000F40C3">
        <w:rPr>
          <w:rFonts w:ascii="Arial" w:hAnsi="Arial" w:cs="Arial"/>
          <w:bCs/>
          <w:snapToGrid w:val="0"/>
          <w:sz w:val="22"/>
          <w:szCs w:val="20"/>
        </w:rPr>
        <w:t xml:space="preserve"> on the basis of the previous recommendation in July 2016, with the revised price proposed in the minor submission and removal of the </w:t>
      </w:r>
      <w:r w:rsidR="00910D4D" w:rsidRPr="000F40C3">
        <w:rPr>
          <w:rFonts w:ascii="Arial" w:hAnsi="Arial" w:cs="Arial"/>
          <w:bCs/>
          <w:snapToGrid w:val="0"/>
          <w:sz w:val="22"/>
          <w:szCs w:val="20"/>
        </w:rPr>
        <w:t xml:space="preserve">recommended </w:t>
      </w:r>
      <w:r w:rsidRPr="000F40C3">
        <w:rPr>
          <w:rFonts w:ascii="Arial" w:hAnsi="Arial" w:cs="Arial"/>
          <w:bCs/>
          <w:snapToGrid w:val="0"/>
          <w:sz w:val="22"/>
          <w:szCs w:val="20"/>
        </w:rPr>
        <w:lastRenderedPageBreak/>
        <w:t>Managed Entry Scheme (MES). The</w:t>
      </w:r>
      <w:r w:rsidR="00646311" w:rsidRPr="000F40C3">
        <w:rPr>
          <w:rFonts w:ascii="Arial" w:hAnsi="Arial" w:cs="Arial"/>
          <w:bCs/>
          <w:snapToGrid w:val="0"/>
          <w:sz w:val="22"/>
          <w:szCs w:val="20"/>
        </w:rPr>
        <w:t xml:space="preserve"> PBAC</w:t>
      </w:r>
      <w:r w:rsidRPr="000F40C3">
        <w:rPr>
          <w:rFonts w:ascii="Arial" w:hAnsi="Arial" w:cs="Arial"/>
          <w:bCs/>
          <w:snapToGrid w:val="0"/>
          <w:sz w:val="22"/>
          <w:szCs w:val="20"/>
        </w:rPr>
        <w:t xml:space="preserve"> reaffirmed </w:t>
      </w:r>
      <w:r w:rsidR="00910D4D" w:rsidRPr="000F40C3">
        <w:rPr>
          <w:rFonts w:ascii="Arial" w:hAnsi="Arial" w:cs="Arial"/>
          <w:bCs/>
          <w:snapToGrid w:val="0"/>
          <w:sz w:val="22"/>
          <w:szCs w:val="20"/>
        </w:rPr>
        <w:t xml:space="preserve">that </w:t>
      </w:r>
      <w:r w:rsidR="004C0FC0" w:rsidRPr="000F40C3">
        <w:rPr>
          <w:rFonts w:ascii="Arial" w:hAnsi="Arial" w:cs="Arial"/>
          <w:bCs/>
          <w:snapToGrid w:val="0"/>
          <w:sz w:val="22"/>
          <w:szCs w:val="20"/>
        </w:rPr>
        <w:t>its</w:t>
      </w:r>
      <w:r w:rsidRPr="000F40C3">
        <w:rPr>
          <w:rFonts w:ascii="Arial" w:hAnsi="Arial" w:cs="Arial"/>
          <w:bCs/>
          <w:snapToGrid w:val="0"/>
          <w:sz w:val="22"/>
          <w:szCs w:val="20"/>
        </w:rPr>
        <w:t xml:space="preserve"> recommendation was on the basis that blinatumomab should be available only under special arrangements under Section 100 (Efficient Funding of Chemotherapy).</w:t>
      </w:r>
    </w:p>
    <w:p w:rsidR="00AF786F" w:rsidRPr="000F40C3" w:rsidRDefault="00AF786F" w:rsidP="00051C05">
      <w:pPr>
        <w:rPr>
          <w:highlight w:val="yellow"/>
        </w:rPr>
      </w:pPr>
    </w:p>
    <w:p w:rsidR="003509DE" w:rsidRPr="000F40C3" w:rsidRDefault="003509DE" w:rsidP="006B7123">
      <w:pPr>
        <w:pStyle w:val="ListParagraph"/>
        <w:widowControl/>
        <w:numPr>
          <w:ilvl w:val="1"/>
          <w:numId w:val="5"/>
        </w:numPr>
      </w:pPr>
      <w:r w:rsidRPr="000F40C3">
        <w:t>The PBAC noted that t</w:t>
      </w:r>
      <w:r w:rsidRPr="000F40C3">
        <w:rPr>
          <w:bCs/>
        </w:rPr>
        <w:t xml:space="preserve">he key input for the </w:t>
      </w:r>
      <w:r w:rsidR="003276B4" w:rsidRPr="000F40C3">
        <w:rPr>
          <w:bCs/>
        </w:rPr>
        <w:t xml:space="preserve">proposed </w:t>
      </w:r>
      <w:r w:rsidRPr="000F40C3">
        <w:rPr>
          <w:bCs/>
        </w:rPr>
        <w:t>MES was the proportion of patients alive two years after starting blinatumomab or standard care from the TOWER clinical trial</w:t>
      </w:r>
      <w:r w:rsidR="00C170DF" w:rsidRPr="000F40C3">
        <w:rPr>
          <w:bCs/>
        </w:rPr>
        <w:t>;</w:t>
      </w:r>
      <w:r w:rsidRPr="000F40C3">
        <w:rPr>
          <w:bCs/>
        </w:rPr>
        <w:t xml:space="preserve"> however</w:t>
      </w:r>
      <w:r w:rsidR="00C170DF" w:rsidRPr="000F40C3">
        <w:rPr>
          <w:bCs/>
        </w:rPr>
        <w:t>,</w:t>
      </w:r>
      <w:r w:rsidRPr="000F40C3">
        <w:rPr>
          <w:bCs/>
        </w:rPr>
        <w:t xml:space="preserve"> as patients in the TOWER trial will not be followed for survival for two years the required data will not be collected.</w:t>
      </w:r>
    </w:p>
    <w:p w:rsidR="003509DE" w:rsidRPr="000F40C3" w:rsidRDefault="003509DE" w:rsidP="006B7123">
      <w:pPr>
        <w:pStyle w:val="ListParagraph"/>
        <w:widowControl/>
        <w:rPr>
          <w:bCs/>
        </w:rPr>
      </w:pPr>
    </w:p>
    <w:p w:rsidR="003509DE" w:rsidRPr="000F40C3" w:rsidRDefault="003509DE" w:rsidP="00051C05">
      <w:pPr>
        <w:pStyle w:val="ListParagraph"/>
        <w:widowControl/>
        <w:numPr>
          <w:ilvl w:val="1"/>
          <w:numId w:val="5"/>
        </w:numPr>
      </w:pPr>
      <w:r w:rsidRPr="000F40C3">
        <w:t xml:space="preserve">The PBAC </w:t>
      </w:r>
      <w:r w:rsidR="006D6085" w:rsidRPr="000F40C3">
        <w:t xml:space="preserve">noted that the ICER calculated using </w:t>
      </w:r>
      <w:r w:rsidRPr="000F40C3">
        <w:t xml:space="preserve">the </w:t>
      </w:r>
      <w:r w:rsidR="00464BA8" w:rsidRPr="000F40C3">
        <w:t>revised</w:t>
      </w:r>
      <w:r w:rsidRPr="000F40C3">
        <w:t xml:space="preserve"> price</w:t>
      </w:r>
      <w:r w:rsidR="006D6085" w:rsidRPr="000F40C3">
        <w:t>,</w:t>
      </w:r>
      <w:r w:rsidRPr="000F40C3">
        <w:t xml:space="preserve"> </w:t>
      </w:r>
      <w:r w:rsidR="00464BA8" w:rsidRPr="000F40C3">
        <w:t xml:space="preserve">the 12 month survival data from the TOWER trial and the </w:t>
      </w:r>
      <w:r w:rsidR="00616A37" w:rsidRPr="000F40C3">
        <w:t xml:space="preserve">previously evaluated </w:t>
      </w:r>
      <w:r w:rsidR="00464BA8" w:rsidRPr="000F40C3">
        <w:t xml:space="preserve">economic model </w:t>
      </w:r>
      <w:r w:rsidR="006D6085" w:rsidRPr="000F40C3">
        <w:t>was</w:t>
      </w:r>
      <w:r w:rsidR="00464BA8" w:rsidRPr="000F40C3">
        <w:t xml:space="preserve"> </w:t>
      </w:r>
      <w:r w:rsidR="008B35FC">
        <w:t xml:space="preserve">$45,000 - $75,000 per </w:t>
      </w:r>
      <w:r w:rsidR="006D6085" w:rsidRPr="000F40C3">
        <w:t>QALY gained</w:t>
      </w:r>
      <w:r w:rsidR="00616A37" w:rsidRPr="000F40C3">
        <w:t>. In July 2016, the PBAC considered</w:t>
      </w:r>
      <w:r w:rsidR="00464BA8" w:rsidRPr="000F40C3">
        <w:t xml:space="preserve"> </w:t>
      </w:r>
      <w:r w:rsidR="006D6085" w:rsidRPr="000F40C3">
        <w:t>that this</w:t>
      </w:r>
      <w:r w:rsidR="003276B4" w:rsidRPr="000F40C3">
        <w:t xml:space="preserve"> ICER</w:t>
      </w:r>
      <w:r w:rsidR="006D6085" w:rsidRPr="000F40C3">
        <w:t xml:space="preserve"> was high but acceptable in this patient population</w:t>
      </w:r>
      <w:r w:rsidR="00464BA8" w:rsidRPr="000F40C3">
        <w:t>.</w:t>
      </w:r>
    </w:p>
    <w:p w:rsidR="00D367CD" w:rsidRPr="000F40C3" w:rsidRDefault="00D367CD" w:rsidP="006B7123">
      <w:pPr>
        <w:pStyle w:val="ListParagraph"/>
        <w:widowControl/>
      </w:pPr>
    </w:p>
    <w:p w:rsidR="00D367CD" w:rsidRPr="000F40C3" w:rsidRDefault="00D367CD" w:rsidP="006B7123">
      <w:pPr>
        <w:pStyle w:val="ListParagraph"/>
        <w:widowControl/>
        <w:numPr>
          <w:ilvl w:val="1"/>
          <w:numId w:val="5"/>
        </w:numPr>
        <w:rPr>
          <w:bCs/>
        </w:rPr>
      </w:pPr>
      <w:r w:rsidRPr="000F40C3">
        <w:t>The PBAC noted that this submissi</w:t>
      </w:r>
      <w:r w:rsidR="002B6698" w:rsidRPr="000F40C3">
        <w:t>on</w:t>
      </w:r>
      <w:r w:rsidR="002B6698" w:rsidRPr="000F40C3">
        <w:rPr>
          <w:bCs/>
        </w:rPr>
        <w:t xml:space="preserve"> </w:t>
      </w:r>
      <w:r w:rsidRPr="000F40C3">
        <w:rPr>
          <w:bCs/>
        </w:rPr>
        <w:t>is not eligible for an Independent Review</w:t>
      </w:r>
      <w:r w:rsidR="002B6698" w:rsidRPr="000F40C3">
        <w:rPr>
          <w:bCs/>
        </w:rPr>
        <w:t xml:space="preserve"> as it received a positive recommendation.</w:t>
      </w:r>
    </w:p>
    <w:p w:rsidR="00D367CD" w:rsidRPr="000F40C3" w:rsidRDefault="00D367CD" w:rsidP="006B7123">
      <w:pPr>
        <w:jc w:val="both"/>
        <w:rPr>
          <w:rFonts w:ascii="Arial" w:hAnsi="Arial" w:cs="Arial"/>
          <w:b/>
          <w:bCs/>
          <w:snapToGrid w:val="0"/>
          <w:sz w:val="22"/>
          <w:szCs w:val="20"/>
        </w:rPr>
      </w:pPr>
    </w:p>
    <w:p w:rsidR="00D367CD" w:rsidRPr="000F40C3" w:rsidRDefault="00D367CD" w:rsidP="006B7123">
      <w:pPr>
        <w:jc w:val="both"/>
        <w:rPr>
          <w:rFonts w:ascii="Arial" w:hAnsi="Arial" w:cs="Arial"/>
          <w:b/>
          <w:bCs/>
          <w:snapToGrid w:val="0"/>
          <w:sz w:val="22"/>
          <w:szCs w:val="20"/>
          <w:highlight w:val="yellow"/>
        </w:rPr>
      </w:pPr>
    </w:p>
    <w:p w:rsidR="00D367CD" w:rsidRPr="000F40C3" w:rsidRDefault="00D367CD" w:rsidP="006B7123">
      <w:pPr>
        <w:rPr>
          <w:rFonts w:ascii="Arial" w:hAnsi="Arial" w:cs="Arial"/>
          <w:bCs/>
          <w:snapToGrid w:val="0"/>
          <w:sz w:val="22"/>
          <w:szCs w:val="20"/>
        </w:rPr>
      </w:pPr>
      <w:r w:rsidRPr="000F40C3">
        <w:rPr>
          <w:rFonts w:ascii="Arial" w:hAnsi="Arial" w:cs="Arial"/>
          <w:b/>
          <w:snapToGrid w:val="0"/>
          <w:sz w:val="22"/>
          <w:szCs w:val="22"/>
        </w:rPr>
        <w:t>Outcome</w:t>
      </w:r>
      <w:proofErr w:type="gramStart"/>
      <w:r w:rsidRPr="000F40C3">
        <w:rPr>
          <w:rFonts w:ascii="Arial" w:hAnsi="Arial" w:cs="Arial"/>
          <w:b/>
          <w:snapToGrid w:val="0"/>
          <w:sz w:val="22"/>
          <w:szCs w:val="22"/>
        </w:rPr>
        <w:t>:</w:t>
      </w:r>
      <w:proofErr w:type="gramEnd"/>
      <w:r w:rsidRPr="000F40C3">
        <w:rPr>
          <w:rFonts w:ascii="Arial" w:hAnsi="Arial" w:cs="Arial"/>
          <w:b/>
          <w:snapToGrid w:val="0"/>
          <w:sz w:val="22"/>
          <w:szCs w:val="22"/>
        </w:rPr>
        <w:br/>
      </w:r>
      <w:r w:rsidRPr="000F40C3">
        <w:rPr>
          <w:rFonts w:ascii="Arial" w:hAnsi="Arial" w:cs="Arial"/>
          <w:bCs/>
          <w:snapToGrid w:val="0"/>
          <w:sz w:val="22"/>
          <w:szCs w:val="20"/>
        </w:rPr>
        <w:t>Recommended</w:t>
      </w:r>
    </w:p>
    <w:p w:rsidR="00D367CD" w:rsidRDefault="00D367CD" w:rsidP="006B7123">
      <w:pPr>
        <w:jc w:val="both"/>
        <w:rPr>
          <w:rFonts w:ascii="Arial" w:hAnsi="Arial" w:cs="Arial"/>
          <w:bCs/>
          <w:snapToGrid w:val="0"/>
          <w:sz w:val="22"/>
          <w:szCs w:val="20"/>
        </w:rPr>
      </w:pPr>
    </w:p>
    <w:p w:rsidR="0007147B" w:rsidRPr="000F40C3" w:rsidRDefault="0007147B" w:rsidP="006B7123">
      <w:pPr>
        <w:jc w:val="both"/>
        <w:rPr>
          <w:rFonts w:ascii="Arial" w:hAnsi="Arial" w:cs="Arial"/>
          <w:bCs/>
          <w:snapToGrid w:val="0"/>
          <w:sz w:val="22"/>
          <w:szCs w:val="20"/>
          <w:highlight w:val="yellow"/>
        </w:rPr>
      </w:pPr>
    </w:p>
    <w:p w:rsidR="00D367CD" w:rsidRPr="000F40C3" w:rsidRDefault="00D367CD" w:rsidP="006B7123">
      <w:pPr>
        <w:numPr>
          <w:ilvl w:val="0"/>
          <w:numId w:val="5"/>
        </w:numPr>
        <w:jc w:val="both"/>
        <w:outlineLvl w:val="0"/>
        <w:rPr>
          <w:rFonts w:ascii="Arial" w:hAnsi="Arial" w:cs="Arial"/>
          <w:b/>
          <w:bCs/>
          <w:i/>
          <w:snapToGrid w:val="0"/>
          <w:sz w:val="22"/>
          <w:szCs w:val="20"/>
        </w:rPr>
      </w:pPr>
      <w:r w:rsidRPr="000F40C3">
        <w:rPr>
          <w:rFonts w:ascii="Arial" w:hAnsi="Arial" w:cs="Arial"/>
          <w:b/>
          <w:bCs/>
          <w:snapToGrid w:val="0"/>
          <w:sz w:val="22"/>
          <w:szCs w:val="20"/>
        </w:rPr>
        <w:t>Recommended listing</w:t>
      </w:r>
    </w:p>
    <w:p w:rsidR="00D367CD" w:rsidRPr="000F40C3" w:rsidRDefault="00D367CD" w:rsidP="006B7123">
      <w:pPr>
        <w:jc w:val="both"/>
        <w:rPr>
          <w:rFonts w:ascii="Arial" w:hAnsi="Arial" w:cs="Arial"/>
          <w:b/>
          <w:bCs/>
          <w:i/>
          <w:snapToGrid w:val="0"/>
          <w:sz w:val="22"/>
          <w:szCs w:val="20"/>
        </w:rPr>
      </w:pPr>
    </w:p>
    <w:p w:rsidR="00D367CD" w:rsidRPr="00FD2F16" w:rsidRDefault="00D367CD" w:rsidP="00FD2F16">
      <w:pPr>
        <w:numPr>
          <w:ilvl w:val="1"/>
          <w:numId w:val="5"/>
        </w:numPr>
        <w:jc w:val="both"/>
        <w:rPr>
          <w:rFonts w:ascii="Arial" w:hAnsi="Arial" w:cs="Arial"/>
          <w:bCs/>
          <w:snapToGrid w:val="0"/>
          <w:sz w:val="22"/>
          <w:szCs w:val="20"/>
        </w:rPr>
      </w:pPr>
      <w:r w:rsidRPr="000F40C3">
        <w:rPr>
          <w:rFonts w:ascii="Arial" w:hAnsi="Arial" w:cs="Arial"/>
          <w:bCs/>
          <w:snapToGrid w:val="0"/>
          <w:sz w:val="22"/>
          <w:szCs w:val="20"/>
        </w:rPr>
        <w:t>Add new item:</w:t>
      </w:r>
      <w:r w:rsidR="004C0FC0" w:rsidRPr="000F40C3">
        <w:rPr>
          <w:rFonts w:ascii="Arial" w:hAnsi="Arial" w:cs="Arial"/>
          <w:bCs/>
          <w:snapToGrid w:val="0"/>
          <w:sz w:val="22"/>
          <w:szCs w:val="20"/>
        </w:rPr>
        <w:t xml:space="preserve"> </w:t>
      </w:r>
      <w:r w:rsidR="004C0FC0" w:rsidRPr="00FD2F16">
        <w:rPr>
          <w:rFonts w:ascii="Arial" w:hAnsi="Arial" w:cs="Arial"/>
          <w:bCs/>
          <w:snapToGrid w:val="0"/>
          <w:sz w:val="22"/>
          <w:szCs w:val="20"/>
        </w:rPr>
        <w:t>Blinatumomab, Injection 38.5 microgram [1 vial] and inert substance solution [10 mL vial], 1 pack</w:t>
      </w:r>
    </w:p>
    <w:p w:rsidR="004C0FC0" w:rsidRPr="000F40C3" w:rsidRDefault="004C0FC0" w:rsidP="006B7123">
      <w:pPr>
        <w:ind w:left="709"/>
        <w:jc w:val="both"/>
        <w:rPr>
          <w:rFonts w:ascii="Arial" w:hAnsi="Arial" w:cs="Arial"/>
          <w:bCs/>
          <w:snapToGrid w:val="0"/>
          <w:sz w:val="22"/>
          <w:szCs w:val="20"/>
        </w:rPr>
      </w:pPr>
    </w:p>
    <w:p w:rsidR="004C0FC0" w:rsidRPr="000F40C3" w:rsidRDefault="004C0FC0" w:rsidP="006B7123">
      <w:pPr>
        <w:ind w:left="709"/>
        <w:jc w:val="both"/>
        <w:rPr>
          <w:rFonts w:ascii="Arial" w:hAnsi="Arial" w:cs="Arial"/>
          <w:bCs/>
          <w:snapToGrid w:val="0"/>
          <w:sz w:val="22"/>
          <w:szCs w:val="20"/>
        </w:rPr>
      </w:pPr>
      <w:proofErr w:type="gramStart"/>
      <w:r w:rsidRPr="000F40C3">
        <w:rPr>
          <w:rFonts w:ascii="Arial" w:hAnsi="Arial" w:cs="Arial"/>
          <w:bCs/>
          <w:snapToGrid w:val="0"/>
          <w:sz w:val="22"/>
          <w:szCs w:val="20"/>
        </w:rPr>
        <w:t>Restriction to be finalised.</w:t>
      </w:r>
      <w:proofErr w:type="gramEnd"/>
    </w:p>
    <w:p w:rsidR="004C0FC0" w:rsidRDefault="004C0FC0" w:rsidP="006B7123">
      <w:pPr>
        <w:ind w:left="360"/>
        <w:contextualSpacing/>
        <w:jc w:val="both"/>
        <w:rPr>
          <w:rFonts w:ascii="Calibri" w:hAnsi="Calibri" w:cs="Calibri"/>
          <w:snapToGrid w:val="0"/>
          <w:sz w:val="22"/>
          <w:szCs w:val="20"/>
        </w:rPr>
      </w:pPr>
    </w:p>
    <w:p w:rsidR="009078BF" w:rsidRPr="000F40C3" w:rsidRDefault="009078BF" w:rsidP="006B7123">
      <w:pPr>
        <w:ind w:left="360"/>
        <w:contextualSpacing/>
        <w:jc w:val="both"/>
        <w:rPr>
          <w:rFonts w:ascii="Calibri" w:hAnsi="Calibri" w:cs="Calibri"/>
          <w:snapToGrid w:val="0"/>
          <w:sz w:val="22"/>
          <w:szCs w:val="20"/>
        </w:rPr>
      </w:pPr>
    </w:p>
    <w:p w:rsidR="009078BF" w:rsidRPr="009078BF" w:rsidRDefault="009078BF" w:rsidP="009078BF">
      <w:pPr>
        <w:widowControl w:val="0"/>
        <w:numPr>
          <w:ilvl w:val="0"/>
          <w:numId w:val="5"/>
        </w:numPr>
        <w:jc w:val="both"/>
        <w:outlineLvl w:val="0"/>
        <w:rPr>
          <w:rFonts w:ascii="Arial" w:hAnsi="Arial" w:cs="Arial"/>
          <w:b/>
          <w:snapToGrid w:val="0"/>
          <w:sz w:val="22"/>
          <w:szCs w:val="22"/>
          <w:lang w:eastAsia="en-US"/>
        </w:rPr>
      </w:pPr>
      <w:r w:rsidRPr="009078BF">
        <w:rPr>
          <w:rFonts w:ascii="Arial" w:hAnsi="Arial" w:cs="Arial"/>
          <w:b/>
          <w:snapToGrid w:val="0"/>
          <w:sz w:val="22"/>
          <w:szCs w:val="22"/>
          <w:lang w:eastAsia="en-US"/>
        </w:rPr>
        <w:t>Context for Decision</w:t>
      </w:r>
    </w:p>
    <w:p w:rsidR="009078BF" w:rsidRPr="009078BF" w:rsidRDefault="009078BF" w:rsidP="009078BF">
      <w:pPr>
        <w:widowControl w:val="0"/>
        <w:ind w:left="426"/>
        <w:jc w:val="both"/>
        <w:rPr>
          <w:rFonts w:ascii="Arial" w:hAnsi="Arial" w:cs="Arial"/>
          <w:snapToGrid w:val="0"/>
          <w:sz w:val="22"/>
          <w:szCs w:val="20"/>
          <w:lang w:eastAsia="en-US"/>
        </w:rPr>
      </w:pPr>
    </w:p>
    <w:p w:rsidR="009078BF" w:rsidRPr="009078BF" w:rsidRDefault="009078BF" w:rsidP="009078BF">
      <w:pPr>
        <w:widowControl w:val="0"/>
        <w:ind w:left="709"/>
        <w:jc w:val="both"/>
        <w:rPr>
          <w:rFonts w:ascii="Arial" w:hAnsi="Arial" w:cs="Arial"/>
          <w:snapToGrid w:val="0"/>
          <w:sz w:val="22"/>
          <w:szCs w:val="20"/>
          <w:lang w:eastAsia="en-US"/>
        </w:rPr>
      </w:pPr>
      <w:r w:rsidRPr="009078BF">
        <w:rPr>
          <w:rFonts w:ascii="Arial" w:hAnsi="Arial" w:cs="Arial"/>
          <w:snapToGrid w:val="0"/>
          <w:sz w:val="22"/>
          <w:szCs w:val="2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078BF" w:rsidRDefault="009078BF" w:rsidP="009078BF">
      <w:pPr>
        <w:widowControl w:val="0"/>
        <w:ind w:left="426"/>
        <w:jc w:val="both"/>
        <w:rPr>
          <w:rFonts w:ascii="Arial" w:hAnsi="Arial" w:cs="Arial"/>
          <w:snapToGrid w:val="0"/>
          <w:sz w:val="22"/>
          <w:szCs w:val="20"/>
          <w:lang w:eastAsia="en-US"/>
        </w:rPr>
      </w:pPr>
    </w:p>
    <w:p w:rsidR="009078BF" w:rsidRPr="009078BF" w:rsidRDefault="009078BF" w:rsidP="009078BF">
      <w:pPr>
        <w:widowControl w:val="0"/>
        <w:ind w:left="426"/>
        <w:jc w:val="both"/>
        <w:rPr>
          <w:rFonts w:ascii="Arial" w:hAnsi="Arial" w:cs="Arial"/>
          <w:snapToGrid w:val="0"/>
          <w:sz w:val="22"/>
          <w:szCs w:val="20"/>
          <w:lang w:eastAsia="en-US"/>
        </w:rPr>
      </w:pPr>
    </w:p>
    <w:p w:rsidR="009078BF" w:rsidRPr="009078BF" w:rsidRDefault="009078BF" w:rsidP="009078BF">
      <w:pPr>
        <w:widowControl w:val="0"/>
        <w:numPr>
          <w:ilvl w:val="0"/>
          <w:numId w:val="5"/>
        </w:numPr>
        <w:jc w:val="both"/>
        <w:outlineLvl w:val="0"/>
        <w:rPr>
          <w:rFonts w:ascii="Arial" w:hAnsi="Arial" w:cs="Arial"/>
          <w:b/>
          <w:snapToGrid w:val="0"/>
          <w:sz w:val="22"/>
          <w:szCs w:val="22"/>
          <w:lang w:eastAsia="en-US"/>
        </w:rPr>
      </w:pPr>
      <w:r w:rsidRPr="009078BF">
        <w:rPr>
          <w:rFonts w:ascii="Arial" w:hAnsi="Arial" w:cs="Arial"/>
          <w:b/>
          <w:snapToGrid w:val="0"/>
          <w:sz w:val="22"/>
          <w:szCs w:val="22"/>
          <w:lang w:eastAsia="en-US"/>
        </w:rPr>
        <w:t>Sponsor’s Comment</w:t>
      </w:r>
    </w:p>
    <w:p w:rsidR="009078BF" w:rsidRPr="00CC55B4" w:rsidRDefault="009078BF" w:rsidP="009078BF">
      <w:pPr>
        <w:widowControl w:val="0"/>
        <w:ind w:left="426"/>
        <w:jc w:val="both"/>
        <w:rPr>
          <w:rFonts w:ascii="Arial" w:hAnsi="Arial" w:cs="Arial"/>
          <w:bCs/>
          <w:snapToGrid w:val="0"/>
          <w:sz w:val="22"/>
          <w:szCs w:val="20"/>
          <w:lang w:val="en-GB" w:eastAsia="en-US"/>
        </w:rPr>
      </w:pPr>
    </w:p>
    <w:p w:rsidR="00510344" w:rsidRDefault="00510344" w:rsidP="00510344">
      <w:pPr>
        <w:ind w:left="720"/>
        <w:rPr>
          <w:rFonts w:ascii="Arial" w:hAnsi="Arial" w:cs="Arial"/>
          <w:sz w:val="22"/>
        </w:rPr>
      </w:pPr>
      <w:r w:rsidRPr="00CC55B4">
        <w:rPr>
          <w:rFonts w:ascii="Arial" w:hAnsi="Arial" w:cs="Arial"/>
          <w:bCs/>
          <w:sz w:val="22"/>
        </w:rPr>
        <w:t>Amgen is pleased with the PBAC’s recommendation and recognition of the</w:t>
      </w:r>
      <w:r w:rsidRPr="00CC55B4">
        <w:rPr>
          <w:rFonts w:ascii="Arial" w:hAnsi="Arial" w:cs="Arial"/>
          <w:sz w:val="22"/>
        </w:rPr>
        <w:t xml:space="preserve"> clinical need for an effective treatment in this patient population.  Amgen are committed to </w:t>
      </w:r>
      <w:r w:rsidRPr="00CC55B4">
        <w:rPr>
          <w:rFonts w:ascii="Arial" w:hAnsi="Arial" w:cs="Arial"/>
          <w:bCs/>
          <w:sz w:val="22"/>
        </w:rPr>
        <w:t>working with the PBAC to achieve PBS listing of blinatumomab for all appropriate patients at the earliest opportunity</w:t>
      </w:r>
      <w:r w:rsidRPr="00CC55B4">
        <w:rPr>
          <w:rFonts w:ascii="Arial" w:hAnsi="Arial" w:cs="Arial"/>
          <w:sz w:val="22"/>
        </w:rPr>
        <w:t xml:space="preserve">. </w:t>
      </w:r>
    </w:p>
    <w:p w:rsidR="00EB6889" w:rsidRPr="000F40C3" w:rsidRDefault="00EB6889" w:rsidP="006B7123">
      <w:pPr>
        <w:rPr>
          <w:szCs w:val="22"/>
        </w:rPr>
      </w:pPr>
    </w:p>
    <w:sectPr w:rsidR="00EB6889" w:rsidRPr="000F40C3" w:rsidSect="00C27B5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2B3" w:rsidRDefault="00E542B3">
      <w:r>
        <w:separator/>
      </w:r>
    </w:p>
    <w:p w:rsidR="00E542B3" w:rsidRDefault="00E542B3"/>
  </w:endnote>
  <w:endnote w:type="continuationSeparator" w:id="0">
    <w:p w:rsidR="00E542B3" w:rsidRDefault="00E542B3">
      <w:r>
        <w:continuationSeparator/>
      </w:r>
    </w:p>
    <w:p w:rsidR="00E542B3" w:rsidRDefault="00E54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55FE6" w:rsidTr="005A3173">
      <w:trPr>
        <w:trHeight w:val="151"/>
      </w:trPr>
      <w:tc>
        <w:tcPr>
          <w:tcW w:w="2250" w:type="pct"/>
          <w:tcBorders>
            <w:top w:val="nil"/>
            <w:left w:val="nil"/>
            <w:bottom w:val="single" w:sz="4" w:space="0" w:color="4F81BD"/>
            <w:right w:val="nil"/>
          </w:tcBorders>
        </w:tcPr>
        <w:p w:rsidR="00555FE6" w:rsidRPr="005A3173" w:rsidRDefault="00555FE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55FE6" w:rsidRPr="005A3173" w:rsidRDefault="00555FE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55FE6" w:rsidRPr="005A3173" w:rsidRDefault="00555FE6" w:rsidP="005A3173">
          <w:pPr>
            <w:pStyle w:val="Header"/>
            <w:spacing w:line="276" w:lineRule="auto"/>
            <w:rPr>
              <w:rFonts w:ascii="Calibri" w:eastAsia="MS Gothic" w:hAnsi="Calibri"/>
              <w:b/>
              <w:bCs/>
              <w:color w:val="4F81BD"/>
            </w:rPr>
          </w:pPr>
        </w:p>
      </w:tc>
    </w:tr>
    <w:tr w:rsidR="00555FE6" w:rsidTr="005A3173">
      <w:trPr>
        <w:trHeight w:val="150"/>
      </w:trPr>
      <w:tc>
        <w:tcPr>
          <w:tcW w:w="2250" w:type="pct"/>
          <w:tcBorders>
            <w:top w:val="single" w:sz="4" w:space="0" w:color="4F81BD"/>
            <w:left w:val="nil"/>
            <w:bottom w:val="nil"/>
            <w:right w:val="nil"/>
          </w:tcBorders>
        </w:tcPr>
        <w:p w:rsidR="00555FE6" w:rsidRPr="005A3173" w:rsidRDefault="00555FE6" w:rsidP="005A3173">
          <w:pPr>
            <w:pStyle w:val="Header"/>
            <w:spacing w:line="276" w:lineRule="auto"/>
            <w:rPr>
              <w:rFonts w:ascii="Calibri" w:eastAsia="MS Gothic" w:hAnsi="Calibri"/>
              <w:b/>
              <w:bCs/>
              <w:color w:val="4F81BD"/>
            </w:rPr>
          </w:pPr>
        </w:p>
      </w:tc>
      <w:tc>
        <w:tcPr>
          <w:tcW w:w="0" w:type="auto"/>
          <w:vMerge/>
          <w:vAlign w:val="center"/>
          <w:hideMark/>
        </w:tcPr>
        <w:p w:rsidR="00555FE6" w:rsidRPr="005A3173" w:rsidRDefault="00555FE6" w:rsidP="005A3173">
          <w:pPr>
            <w:rPr>
              <w:rFonts w:ascii="Calibri" w:hAnsi="Calibri"/>
              <w:color w:val="365F91"/>
              <w:sz w:val="22"/>
              <w:szCs w:val="22"/>
            </w:rPr>
          </w:pPr>
        </w:p>
      </w:tc>
      <w:tc>
        <w:tcPr>
          <w:tcW w:w="2250" w:type="pct"/>
          <w:tcBorders>
            <w:top w:val="single" w:sz="4" w:space="0" w:color="4F81BD"/>
            <w:left w:val="nil"/>
            <w:bottom w:val="nil"/>
            <w:right w:val="nil"/>
          </w:tcBorders>
        </w:tcPr>
        <w:p w:rsidR="00555FE6" w:rsidRPr="005A3173" w:rsidRDefault="00555FE6" w:rsidP="005A3173">
          <w:pPr>
            <w:pStyle w:val="Header"/>
            <w:spacing w:line="276" w:lineRule="auto"/>
            <w:rPr>
              <w:rFonts w:ascii="Calibri" w:eastAsia="MS Gothic" w:hAnsi="Calibri"/>
              <w:b/>
              <w:bCs/>
              <w:color w:val="4F81BD"/>
            </w:rPr>
          </w:pPr>
        </w:p>
      </w:tc>
    </w:tr>
  </w:tbl>
  <w:p w:rsidR="00555FE6" w:rsidRDefault="00555FE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5FE6" w:rsidRDefault="00555FE6">
    <w:pPr>
      <w:pStyle w:val="Footer"/>
    </w:pPr>
  </w:p>
  <w:p w:rsidR="00555FE6" w:rsidRDefault="00555F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83932942"/>
      <w:docPartObj>
        <w:docPartGallery w:val="Page Numbers (Bottom of Page)"/>
        <w:docPartUnique/>
      </w:docPartObj>
    </w:sdtPr>
    <w:sdtEndPr>
      <w:rPr>
        <w:noProof/>
        <w:sz w:val="20"/>
        <w:szCs w:val="20"/>
      </w:rPr>
    </w:sdtEndPr>
    <w:sdtContent>
      <w:p w:rsidR="00555FE6" w:rsidRDefault="00555FE6" w:rsidP="009078BF">
        <w:pPr>
          <w:pStyle w:val="Footer"/>
          <w:jc w:val="center"/>
          <w:rPr>
            <w:rFonts w:ascii="Arial" w:hAnsi="Arial" w:cs="Arial"/>
          </w:rPr>
        </w:pPr>
      </w:p>
      <w:p w:rsidR="00555FE6" w:rsidRPr="009078BF" w:rsidRDefault="00555FE6" w:rsidP="009078BF">
        <w:pPr>
          <w:pStyle w:val="Footer"/>
          <w:jc w:val="center"/>
          <w:rPr>
            <w:rFonts w:ascii="Arial" w:hAnsi="Arial" w:cs="Arial"/>
            <w:sz w:val="20"/>
            <w:szCs w:val="20"/>
          </w:rPr>
        </w:pPr>
        <w:r w:rsidRPr="00B47773">
          <w:rPr>
            <w:rFonts w:ascii="Arial" w:hAnsi="Arial" w:cs="Arial"/>
            <w:sz w:val="20"/>
            <w:szCs w:val="20"/>
          </w:rPr>
          <w:fldChar w:fldCharType="begin"/>
        </w:r>
        <w:r w:rsidRPr="00B47773">
          <w:rPr>
            <w:rFonts w:ascii="Arial" w:hAnsi="Arial" w:cs="Arial"/>
            <w:sz w:val="20"/>
            <w:szCs w:val="20"/>
          </w:rPr>
          <w:instrText xml:space="preserve"> PAGE   \* MERGEFORMAT </w:instrText>
        </w:r>
        <w:r w:rsidRPr="00B47773">
          <w:rPr>
            <w:rFonts w:ascii="Arial" w:hAnsi="Arial" w:cs="Arial"/>
            <w:sz w:val="20"/>
            <w:szCs w:val="20"/>
          </w:rPr>
          <w:fldChar w:fldCharType="separate"/>
        </w:r>
        <w:r w:rsidR="0071130E">
          <w:rPr>
            <w:rFonts w:ascii="Arial" w:hAnsi="Arial" w:cs="Arial"/>
            <w:noProof/>
            <w:sz w:val="20"/>
            <w:szCs w:val="20"/>
          </w:rPr>
          <w:t>1</w:t>
        </w:r>
        <w:r w:rsidRPr="00B47773">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555FE6" w:rsidTr="005A3173">
      <w:trPr>
        <w:trHeight w:val="151"/>
      </w:trPr>
      <w:tc>
        <w:tcPr>
          <w:tcW w:w="2250" w:type="pct"/>
          <w:tcBorders>
            <w:top w:val="nil"/>
            <w:left w:val="nil"/>
            <w:bottom w:val="single" w:sz="4" w:space="0" w:color="4F81BD"/>
            <w:right w:val="nil"/>
          </w:tcBorders>
        </w:tcPr>
        <w:p w:rsidR="00555FE6" w:rsidRPr="005A3173" w:rsidRDefault="00555FE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55FE6" w:rsidRPr="005A3173" w:rsidRDefault="00555FE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55FE6" w:rsidRPr="005A3173" w:rsidRDefault="00555FE6" w:rsidP="005A3173">
          <w:pPr>
            <w:pStyle w:val="Header"/>
            <w:spacing w:line="276" w:lineRule="auto"/>
            <w:rPr>
              <w:rFonts w:ascii="Calibri" w:eastAsia="MS Gothic" w:hAnsi="Calibri"/>
              <w:b/>
              <w:bCs/>
              <w:color w:val="4F81BD"/>
            </w:rPr>
          </w:pPr>
        </w:p>
      </w:tc>
    </w:tr>
    <w:tr w:rsidR="00555FE6" w:rsidTr="005A3173">
      <w:trPr>
        <w:trHeight w:val="150"/>
      </w:trPr>
      <w:tc>
        <w:tcPr>
          <w:tcW w:w="2250" w:type="pct"/>
          <w:tcBorders>
            <w:top w:val="single" w:sz="4" w:space="0" w:color="4F81BD"/>
            <w:left w:val="nil"/>
            <w:bottom w:val="nil"/>
            <w:right w:val="nil"/>
          </w:tcBorders>
        </w:tcPr>
        <w:p w:rsidR="00555FE6" w:rsidRPr="005A3173" w:rsidRDefault="00555FE6" w:rsidP="005A3173">
          <w:pPr>
            <w:pStyle w:val="Header"/>
            <w:spacing w:line="276" w:lineRule="auto"/>
            <w:rPr>
              <w:rFonts w:ascii="Calibri" w:eastAsia="MS Gothic" w:hAnsi="Calibri"/>
              <w:b/>
              <w:bCs/>
              <w:color w:val="4F81BD"/>
            </w:rPr>
          </w:pPr>
        </w:p>
      </w:tc>
      <w:tc>
        <w:tcPr>
          <w:tcW w:w="0" w:type="auto"/>
          <w:vMerge/>
          <w:vAlign w:val="center"/>
          <w:hideMark/>
        </w:tcPr>
        <w:p w:rsidR="00555FE6" w:rsidRPr="005A3173" w:rsidRDefault="00555FE6" w:rsidP="005A3173">
          <w:pPr>
            <w:rPr>
              <w:rFonts w:ascii="Calibri" w:hAnsi="Calibri"/>
              <w:color w:val="365F91"/>
              <w:sz w:val="22"/>
              <w:szCs w:val="22"/>
            </w:rPr>
          </w:pPr>
        </w:p>
      </w:tc>
      <w:tc>
        <w:tcPr>
          <w:tcW w:w="2250" w:type="pct"/>
          <w:tcBorders>
            <w:top w:val="single" w:sz="4" w:space="0" w:color="4F81BD"/>
            <w:left w:val="nil"/>
            <w:bottom w:val="nil"/>
            <w:right w:val="nil"/>
          </w:tcBorders>
        </w:tcPr>
        <w:p w:rsidR="00555FE6" w:rsidRPr="005A3173" w:rsidRDefault="00555FE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55FE6" w:rsidTr="005A3173">
      <w:trPr>
        <w:trHeight w:val="151"/>
      </w:trPr>
      <w:tc>
        <w:tcPr>
          <w:tcW w:w="2250" w:type="pct"/>
          <w:tcBorders>
            <w:top w:val="nil"/>
            <w:left w:val="nil"/>
            <w:bottom w:val="single" w:sz="4" w:space="0" w:color="4F81BD"/>
            <w:right w:val="nil"/>
          </w:tcBorders>
        </w:tcPr>
        <w:p w:rsidR="00555FE6" w:rsidRPr="005A3173" w:rsidRDefault="00555FE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55FE6" w:rsidRPr="005A3173" w:rsidRDefault="00555FE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55FE6" w:rsidRPr="005A3173" w:rsidRDefault="00555FE6" w:rsidP="005A3173">
          <w:pPr>
            <w:pStyle w:val="Header"/>
            <w:spacing w:line="276" w:lineRule="auto"/>
            <w:rPr>
              <w:rFonts w:ascii="Calibri" w:eastAsia="MS Gothic" w:hAnsi="Calibri"/>
              <w:b/>
              <w:bCs/>
              <w:color w:val="4F81BD"/>
            </w:rPr>
          </w:pPr>
        </w:p>
      </w:tc>
    </w:tr>
    <w:tr w:rsidR="00555FE6" w:rsidTr="005A3173">
      <w:trPr>
        <w:trHeight w:val="150"/>
      </w:trPr>
      <w:tc>
        <w:tcPr>
          <w:tcW w:w="2250" w:type="pct"/>
          <w:tcBorders>
            <w:top w:val="single" w:sz="4" w:space="0" w:color="4F81BD"/>
            <w:left w:val="nil"/>
            <w:bottom w:val="nil"/>
            <w:right w:val="nil"/>
          </w:tcBorders>
        </w:tcPr>
        <w:p w:rsidR="00555FE6" w:rsidRPr="005A3173" w:rsidRDefault="00555FE6" w:rsidP="005A3173">
          <w:pPr>
            <w:pStyle w:val="Header"/>
            <w:spacing w:line="276" w:lineRule="auto"/>
            <w:rPr>
              <w:rFonts w:ascii="Calibri" w:eastAsia="MS Gothic" w:hAnsi="Calibri"/>
              <w:b/>
              <w:bCs/>
              <w:color w:val="4F81BD"/>
            </w:rPr>
          </w:pPr>
        </w:p>
      </w:tc>
      <w:tc>
        <w:tcPr>
          <w:tcW w:w="0" w:type="auto"/>
          <w:vMerge/>
          <w:vAlign w:val="center"/>
          <w:hideMark/>
        </w:tcPr>
        <w:p w:rsidR="00555FE6" w:rsidRPr="005A3173" w:rsidRDefault="00555FE6" w:rsidP="005A3173">
          <w:pPr>
            <w:rPr>
              <w:rFonts w:ascii="Calibri" w:hAnsi="Calibri"/>
              <w:color w:val="365F91"/>
              <w:sz w:val="22"/>
              <w:szCs w:val="22"/>
            </w:rPr>
          </w:pPr>
        </w:p>
      </w:tc>
      <w:tc>
        <w:tcPr>
          <w:tcW w:w="2250" w:type="pct"/>
          <w:tcBorders>
            <w:top w:val="single" w:sz="4" w:space="0" w:color="4F81BD"/>
            <w:left w:val="nil"/>
            <w:bottom w:val="nil"/>
            <w:right w:val="nil"/>
          </w:tcBorders>
        </w:tcPr>
        <w:p w:rsidR="00555FE6" w:rsidRPr="005A3173" w:rsidRDefault="00555FE6" w:rsidP="005A3173">
          <w:pPr>
            <w:pStyle w:val="Header"/>
            <w:spacing w:line="276" w:lineRule="auto"/>
            <w:rPr>
              <w:rFonts w:ascii="Calibri" w:eastAsia="MS Gothic" w:hAnsi="Calibri"/>
              <w:b/>
              <w:bCs/>
              <w:color w:val="4F81BD"/>
            </w:rPr>
          </w:pPr>
        </w:p>
      </w:tc>
    </w:tr>
  </w:tbl>
  <w:p w:rsidR="00555FE6" w:rsidRPr="007C0F57" w:rsidRDefault="00555FE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555FE6" w:rsidRPr="007C0F57" w:rsidRDefault="00555FE6" w:rsidP="007C0F57">
    <w:pPr>
      <w:pStyle w:val="Footer"/>
      <w:jc w:val="center"/>
      <w:rPr>
        <w:b/>
        <w:i/>
        <w:sz w:val="20"/>
        <w:szCs w:val="20"/>
      </w:rPr>
    </w:pPr>
    <w:r w:rsidRPr="007C0F57">
      <w:rPr>
        <w:b/>
        <w:i/>
        <w:sz w:val="20"/>
        <w:szCs w:val="20"/>
      </w:rPr>
      <w:t>Commercial-in-Confidence</w:t>
    </w:r>
  </w:p>
  <w:p w:rsidR="00555FE6" w:rsidRDefault="00555F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2B3" w:rsidRDefault="00E542B3">
      <w:r>
        <w:separator/>
      </w:r>
    </w:p>
    <w:p w:rsidR="00E542B3" w:rsidRDefault="00E542B3"/>
  </w:footnote>
  <w:footnote w:type="continuationSeparator" w:id="0">
    <w:p w:rsidR="00E542B3" w:rsidRDefault="00E542B3">
      <w:r>
        <w:continuationSeparator/>
      </w:r>
    </w:p>
    <w:p w:rsidR="00E542B3" w:rsidRDefault="00E542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55FE6" w:rsidRPr="008E0D90" w:rsidTr="00A06225">
      <w:trPr>
        <w:trHeight w:val="151"/>
      </w:trPr>
      <w:tc>
        <w:tcPr>
          <w:tcW w:w="2389" w:type="pct"/>
          <w:tcBorders>
            <w:top w:val="nil"/>
            <w:left w:val="nil"/>
            <w:bottom w:val="single" w:sz="4" w:space="0" w:color="4F81BD"/>
            <w:right w:val="nil"/>
          </w:tcBorders>
        </w:tcPr>
        <w:p w:rsidR="00555FE6" w:rsidRPr="00A06225" w:rsidRDefault="00555FE6">
          <w:pPr>
            <w:pStyle w:val="Header"/>
            <w:spacing w:line="276" w:lineRule="auto"/>
            <w:rPr>
              <w:rFonts w:ascii="Cambria" w:eastAsia="MS Gothic" w:hAnsi="Cambria"/>
              <w:b/>
              <w:bCs/>
              <w:color w:val="4F81BD"/>
            </w:rPr>
          </w:pPr>
        </w:p>
      </w:tc>
      <w:tc>
        <w:tcPr>
          <w:tcW w:w="333" w:type="pct"/>
          <w:vMerge w:val="restart"/>
          <w:noWrap/>
          <w:vAlign w:val="center"/>
          <w:hideMark/>
        </w:tcPr>
        <w:p w:rsidR="00555FE6" w:rsidRPr="00A06225" w:rsidRDefault="00555FE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55FE6" w:rsidRPr="00A06225" w:rsidRDefault="00555FE6">
          <w:pPr>
            <w:pStyle w:val="Header"/>
            <w:spacing w:line="276" w:lineRule="auto"/>
            <w:rPr>
              <w:rFonts w:ascii="Cambria" w:eastAsia="MS Gothic" w:hAnsi="Cambria"/>
              <w:b/>
              <w:bCs/>
              <w:color w:val="4F81BD"/>
            </w:rPr>
          </w:pPr>
        </w:p>
      </w:tc>
    </w:tr>
    <w:tr w:rsidR="00555FE6" w:rsidRPr="008E0D90" w:rsidTr="00A06225">
      <w:trPr>
        <w:trHeight w:val="150"/>
      </w:trPr>
      <w:tc>
        <w:tcPr>
          <w:tcW w:w="2389" w:type="pct"/>
          <w:tcBorders>
            <w:top w:val="single" w:sz="4" w:space="0" w:color="4F81BD"/>
            <w:left w:val="nil"/>
            <w:bottom w:val="nil"/>
            <w:right w:val="nil"/>
          </w:tcBorders>
        </w:tcPr>
        <w:p w:rsidR="00555FE6" w:rsidRPr="00A06225" w:rsidRDefault="00555FE6">
          <w:pPr>
            <w:pStyle w:val="Header"/>
            <w:spacing w:line="276" w:lineRule="auto"/>
            <w:rPr>
              <w:rFonts w:ascii="Cambria" w:eastAsia="MS Gothic" w:hAnsi="Cambria"/>
              <w:b/>
              <w:bCs/>
              <w:color w:val="4F81BD"/>
            </w:rPr>
          </w:pPr>
        </w:p>
      </w:tc>
      <w:tc>
        <w:tcPr>
          <w:tcW w:w="0" w:type="auto"/>
          <w:vMerge/>
          <w:vAlign w:val="center"/>
          <w:hideMark/>
        </w:tcPr>
        <w:p w:rsidR="00555FE6" w:rsidRPr="00A06225" w:rsidRDefault="00555FE6">
          <w:pPr>
            <w:rPr>
              <w:rFonts w:ascii="Cambria" w:hAnsi="Cambria"/>
              <w:color w:val="4F81BD"/>
              <w:sz w:val="22"/>
              <w:szCs w:val="22"/>
            </w:rPr>
          </w:pPr>
        </w:p>
      </w:tc>
      <w:tc>
        <w:tcPr>
          <w:tcW w:w="2278" w:type="pct"/>
          <w:tcBorders>
            <w:top w:val="single" w:sz="4" w:space="0" w:color="4F81BD"/>
            <w:left w:val="nil"/>
            <w:bottom w:val="nil"/>
            <w:right w:val="nil"/>
          </w:tcBorders>
        </w:tcPr>
        <w:p w:rsidR="00555FE6" w:rsidRPr="00A06225" w:rsidRDefault="00555FE6">
          <w:pPr>
            <w:pStyle w:val="Header"/>
            <w:spacing w:line="276" w:lineRule="auto"/>
            <w:rPr>
              <w:rFonts w:ascii="Cambria" w:eastAsia="MS Gothic" w:hAnsi="Cambria"/>
              <w:b/>
              <w:bCs/>
              <w:color w:val="4F81BD"/>
            </w:rPr>
          </w:pPr>
        </w:p>
      </w:tc>
    </w:tr>
  </w:tbl>
  <w:p w:rsidR="00555FE6" w:rsidRDefault="00555FE6">
    <w:pPr>
      <w:pStyle w:val="Header"/>
    </w:pPr>
  </w:p>
  <w:p w:rsidR="00555FE6" w:rsidRDefault="00555FE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FE6" w:rsidRPr="00DF217D" w:rsidRDefault="00555FE6" w:rsidP="00455521">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November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555FE6" w:rsidRDefault="00555FE6"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5CE" w:rsidRDefault="002375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BA91BE4"/>
    <w:multiLevelType w:val="hybridMultilevel"/>
    <w:tmpl w:val="F086E60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1DB6D2D"/>
    <w:multiLevelType w:val="hybridMultilevel"/>
    <w:tmpl w:val="3DA435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D5A4343"/>
    <w:multiLevelType w:val="hybridMultilevel"/>
    <w:tmpl w:val="B19E7FA4"/>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41C32E1"/>
    <w:multiLevelType w:val="hybridMultilevel"/>
    <w:tmpl w:val="594E8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84D033C"/>
    <w:multiLevelType w:val="multilevel"/>
    <w:tmpl w:val="D906540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6"/>
  </w:num>
  <w:num w:numId="5">
    <w:abstractNumId w:val="20"/>
  </w:num>
  <w:num w:numId="6">
    <w:abstractNumId w:val="7"/>
  </w:num>
  <w:num w:numId="7">
    <w:abstractNumId w:val="15"/>
  </w:num>
  <w:num w:numId="8">
    <w:abstractNumId w:val="4"/>
  </w:num>
  <w:num w:numId="9">
    <w:abstractNumId w:val="14"/>
  </w:num>
  <w:num w:numId="10">
    <w:abstractNumId w:val="12"/>
  </w:num>
  <w:num w:numId="11">
    <w:abstractNumId w:val="11"/>
  </w:num>
  <w:num w:numId="12">
    <w:abstractNumId w:val="1"/>
  </w:num>
  <w:num w:numId="13">
    <w:abstractNumId w:val="0"/>
  </w:num>
  <w:num w:numId="14">
    <w:abstractNumId w:val="20"/>
  </w:num>
  <w:num w:numId="15">
    <w:abstractNumId w:val="2"/>
  </w:num>
  <w:num w:numId="16">
    <w:abstractNumId w:val="13"/>
  </w:num>
  <w:num w:numId="17">
    <w:abstractNumId w:val="19"/>
  </w:num>
  <w:num w:numId="18">
    <w:abstractNumId w:val="10"/>
  </w:num>
  <w:num w:numId="19">
    <w:abstractNumId w:val="20"/>
  </w:num>
  <w:num w:numId="20">
    <w:abstractNumId w:val="17"/>
  </w:num>
  <w:num w:numId="21">
    <w:abstractNumId w:val="18"/>
  </w:num>
  <w:num w:numId="22">
    <w:abstractNumId w:val="5"/>
  </w:num>
  <w:num w:numId="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5E86"/>
    <w:rsid w:val="0001024E"/>
    <w:rsid w:val="0002464A"/>
    <w:rsid w:val="0002565A"/>
    <w:rsid w:val="0003106B"/>
    <w:rsid w:val="000338E3"/>
    <w:rsid w:val="000373DC"/>
    <w:rsid w:val="00037FCD"/>
    <w:rsid w:val="000421A1"/>
    <w:rsid w:val="0004240E"/>
    <w:rsid w:val="00045E26"/>
    <w:rsid w:val="00050D50"/>
    <w:rsid w:val="000514B5"/>
    <w:rsid w:val="00051C05"/>
    <w:rsid w:val="00060E64"/>
    <w:rsid w:val="000618AA"/>
    <w:rsid w:val="00061E74"/>
    <w:rsid w:val="00066755"/>
    <w:rsid w:val="0007147B"/>
    <w:rsid w:val="00077143"/>
    <w:rsid w:val="00084C8A"/>
    <w:rsid w:val="0009672F"/>
    <w:rsid w:val="000969AD"/>
    <w:rsid w:val="000B558D"/>
    <w:rsid w:val="000C6996"/>
    <w:rsid w:val="000D0EB6"/>
    <w:rsid w:val="000D23BA"/>
    <w:rsid w:val="000E681E"/>
    <w:rsid w:val="000F40C3"/>
    <w:rsid w:val="000F4E6A"/>
    <w:rsid w:val="001107BF"/>
    <w:rsid w:val="00113F6A"/>
    <w:rsid w:val="001234C6"/>
    <w:rsid w:val="0012417C"/>
    <w:rsid w:val="00142395"/>
    <w:rsid w:val="00142714"/>
    <w:rsid w:val="0014404C"/>
    <w:rsid w:val="001445C2"/>
    <w:rsid w:val="001452ED"/>
    <w:rsid w:val="00154162"/>
    <w:rsid w:val="0015481E"/>
    <w:rsid w:val="0015556A"/>
    <w:rsid w:val="001607D9"/>
    <w:rsid w:val="00163019"/>
    <w:rsid w:val="001830CE"/>
    <w:rsid w:val="001832F2"/>
    <w:rsid w:val="0018643B"/>
    <w:rsid w:val="00186496"/>
    <w:rsid w:val="00196307"/>
    <w:rsid w:val="001B017F"/>
    <w:rsid w:val="001B433B"/>
    <w:rsid w:val="001B5129"/>
    <w:rsid w:val="001C1195"/>
    <w:rsid w:val="00201329"/>
    <w:rsid w:val="0020210C"/>
    <w:rsid w:val="00213CFB"/>
    <w:rsid w:val="002375CE"/>
    <w:rsid w:val="00250199"/>
    <w:rsid w:val="002713A3"/>
    <w:rsid w:val="00271BA1"/>
    <w:rsid w:val="00273BC6"/>
    <w:rsid w:val="002741B1"/>
    <w:rsid w:val="00277505"/>
    <w:rsid w:val="0029458F"/>
    <w:rsid w:val="002A104C"/>
    <w:rsid w:val="002A4960"/>
    <w:rsid w:val="002B1AE6"/>
    <w:rsid w:val="002B30F8"/>
    <w:rsid w:val="002B6698"/>
    <w:rsid w:val="002C212F"/>
    <w:rsid w:val="002C5BD5"/>
    <w:rsid w:val="002E3153"/>
    <w:rsid w:val="002E72CA"/>
    <w:rsid w:val="00300AD6"/>
    <w:rsid w:val="00314EFC"/>
    <w:rsid w:val="00322A78"/>
    <w:rsid w:val="00326E79"/>
    <w:rsid w:val="0032751F"/>
    <w:rsid w:val="003276B4"/>
    <w:rsid w:val="003367EF"/>
    <w:rsid w:val="00341AE4"/>
    <w:rsid w:val="00344A78"/>
    <w:rsid w:val="003509DE"/>
    <w:rsid w:val="00363D69"/>
    <w:rsid w:val="00363E2F"/>
    <w:rsid w:val="0037748E"/>
    <w:rsid w:val="003872CF"/>
    <w:rsid w:val="00390AA6"/>
    <w:rsid w:val="0039782C"/>
    <w:rsid w:val="003A5B4A"/>
    <w:rsid w:val="003B1A28"/>
    <w:rsid w:val="003B23C5"/>
    <w:rsid w:val="003B2A75"/>
    <w:rsid w:val="003C476C"/>
    <w:rsid w:val="003D4AC4"/>
    <w:rsid w:val="003D63B7"/>
    <w:rsid w:val="003E468B"/>
    <w:rsid w:val="003F2C85"/>
    <w:rsid w:val="003F5C8C"/>
    <w:rsid w:val="00405856"/>
    <w:rsid w:val="004465BD"/>
    <w:rsid w:val="00455521"/>
    <w:rsid w:val="00464BA8"/>
    <w:rsid w:val="00465147"/>
    <w:rsid w:val="00466ADA"/>
    <w:rsid w:val="00473C20"/>
    <w:rsid w:val="00476245"/>
    <w:rsid w:val="00485940"/>
    <w:rsid w:val="0048644A"/>
    <w:rsid w:val="004A2484"/>
    <w:rsid w:val="004A5A85"/>
    <w:rsid w:val="004B1498"/>
    <w:rsid w:val="004B1E47"/>
    <w:rsid w:val="004B5640"/>
    <w:rsid w:val="004C0FC0"/>
    <w:rsid w:val="004C1BD7"/>
    <w:rsid w:val="004C691D"/>
    <w:rsid w:val="004D0FF4"/>
    <w:rsid w:val="004D33FB"/>
    <w:rsid w:val="004D7BFA"/>
    <w:rsid w:val="004E3DFA"/>
    <w:rsid w:val="004E692D"/>
    <w:rsid w:val="004F0C6F"/>
    <w:rsid w:val="00501554"/>
    <w:rsid w:val="00503E77"/>
    <w:rsid w:val="00504A3C"/>
    <w:rsid w:val="00510344"/>
    <w:rsid w:val="00514CD7"/>
    <w:rsid w:val="00522351"/>
    <w:rsid w:val="005319B2"/>
    <w:rsid w:val="00532C74"/>
    <w:rsid w:val="00534E2E"/>
    <w:rsid w:val="00536F57"/>
    <w:rsid w:val="00544552"/>
    <w:rsid w:val="00546DC9"/>
    <w:rsid w:val="00554EE0"/>
    <w:rsid w:val="00555FE6"/>
    <w:rsid w:val="00567E71"/>
    <w:rsid w:val="00581932"/>
    <w:rsid w:val="005963BB"/>
    <w:rsid w:val="005A3173"/>
    <w:rsid w:val="005A3223"/>
    <w:rsid w:val="005A3DA3"/>
    <w:rsid w:val="005A52C4"/>
    <w:rsid w:val="005B060C"/>
    <w:rsid w:val="005D03AB"/>
    <w:rsid w:val="005D5017"/>
    <w:rsid w:val="005E641E"/>
    <w:rsid w:val="005F26B2"/>
    <w:rsid w:val="00601A91"/>
    <w:rsid w:val="00602BA3"/>
    <w:rsid w:val="00612F08"/>
    <w:rsid w:val="00614159"/>
    <w:rsid w:val="006160CC"/>
    <w:rsid w:val="00616A37"/>
    <w:rsid w:val="00617C00"/>
    <w:rsid w:val="00622926"/>
    <w:rsid w:val="006263BF"/>
    <w:rsid w:val="0062748A"/>
    <w:rsid w:val="00630A2C"/>
    <w:rsid w:val="00646311"/>
    <w:rsid w:val="00651169"/>
    <w:rsid w:val="00653D69"/>
    <w:rsid w:val="00654DC7"/>
    <w:rsid w:val="00663DF5"/>
    <w:rsid w:val="00670A76"/>
    <w:rsid w:val="006711AA"/>
    <w:rsid w:val="00672B57"/>
    <w:rsid w:val="00675622"/>
    <w:rsid w:val="00683800"/>
    <w:rsid w:val="006906DB"/>
    <w:rsid w:val="00696653"/>
    <w:rsid w:val="006A12A5"/>
    <w:rsid w:val="006B0D94"/>
    <w:rsid w:val="006B1C93"/>
    <w:rsid w:val="006B2ACF"/>
    <w:rsid w:val="006B485D"/>
    <w:rsid w:val="006B5AFB"/>
    <w:rsid w:val="006B7123"/>
    <w:rsid w:val="006C708E"/>
    <w:rsid w:val="006D03D8"/>
    <w:rsid w:val="006D6085"/>
    <w:rsid w:val="006D6EC7"/>
    <w:rsid w:val="006F5125"/>
    <w:rsid w:val="0071130E"/>
    <w:rsid w:val="007174BB"/>
    <w:rsid w:val="00721AFA"/>
    <w:rsid w:val="0072417B"/>
    <w:rsid w:val="00734705"/>
    <w:rsid w:val="007405E3"/>
    <w:rsid w:val="0076420C"/>
    <w:rsid w:val="00766EE7"/>
    <w:rsid w:val="007753C2"/>
    <w:rsid w:val="007818AA"/>
    <w:rsid w:val="007838B8"/>
    <w:rsid w:val="0079071A"/>
    <w:rsid w:val="007B0606"/>
    <w:rsid w:val="007B3B73"/>
    <w:rsid w:val="007C0F57"/>
    <w:rsid w:val="007C40B6"/>
    <w:rsid w:val="007C729F"/>
    <w:rsid w:val="007E1D28"/>
    <w:rsid w:val="007F2641"/>
    <w:rsid w:val="007F6E1A"/>
    <w:rsid w:val="007F7C36"/>
    <w:rsid w:val="00806796"/>
    <w:rsid w:val="008151D6"/>
    <w:rsid w:val="008168A6"/>
    <w:rsid w:val="00824035"/>
    <w:rsid w:val="00826F6D"/>
    <w:rsid w:val="00831D4D"/>
    <w:rsid w:val="008445D3"/>
    <w:rsid w:val="00856DDD"/>
    <w:rsid w:val="00863E68"/>
    <w:rsid w:val="00865BF8"/>
    <w:rsid w:val="00881A4F"/>
    <w:rsid w:val="00882085"/>
    <w:rsid w:val="00883188"/>
    <w:rsid w:val="00897D58"/>
    <w:rsid w:val="008A1956"/>
    <w:rsid w:val="008A4937"/>
    <w:rsid w:val="008A50F1"/>
    <w:rsid w:val="008B35FC"/>
    <w:rsid w:val="008B7706"/>
    <w:rsid w:val="008D1B5C"/>
    <w:rsid w:val="008D1F7F"/>
    <w:rsid w:val="008D2146"/>
    <w:rsid w:val="008D3C82"/>
    <w:rsid w:val="008D447E"/>
    <w:rsid w:val="008D7A41"/>
    <w:rsid w:val="008E11F4"/>
    <w:rsid w:val="008E3680"/>
    <w:rsid w:val="008E5870"/>
    <w:rsid w:val="008F1434"/>
    <w:rsid w:val="008F7355"/>
    <w:rsid w:val="00900213"/>
    <w:rsid w:val="0090311C"/>
    <w:rsid w:val="009067B7"/>
    <w:rsid w:val="009078BF"/>
    <w:rsid w:val="00910D4D"/>
    <w:rsid w:val="00930937"/>
    <w:rsid w:val="00933E6C"/>
    <w:rsid w:val="00942160"/>
    <w:rsid w:val="0095146F"/>
    <w:rsid w:val="00956D45"/>
    <w:rsid w:val="009602C5"/>
    <w:rsid w:val="00962223"/>
    <w:rsid w:val="009705ED"/>
    <w:rsid w:val="00974C21"/>
    <w:rsid w:val="00975B06"/>
    <w:rsid w:val="009A6480"/>
    <w:rsid w:val="009B0F67"/>
    <w:rsid w:val="009B394B"/>
    <w:rsid w:val="009B7966"/>
    <w:rsid w:val="009C703C"/>
    <w:rsid w:val="009D3CAA"/>
    <w:rsid w:val="009F4E46"/>
    <w:rsid w:val="009F5B65"/>
    <w:rsid w:val="009F5F2E"/>
    <w:rsid w:val="00A06225"/>
    <w:rsid w:val="00A128E6"/>
    <w:rsid w:val="00A37C8D"/>
    <w:rsid w:val="00A5273B"/>
    <w:rsid w:val="00A53A9D"/>
    <w:rsid w:val="00A55FEE"/>
    <w:rsid w:val="00A62C1A"/>
    <w:rsid w:val="00A6426D"/>
    <w:rsid w:val="00A70622"/>
    <w:rsid w:val="00A70977"/>
    <w:rsid w:val="00A77613"/>
    <w:rsid w:val="00A8390C"/>
    <w:rsid w:val="00A928BD"/>
    <w:rsid w:val="00AA4D1C"/>
    <w:rsid w:val="00AB14CA"/>
    <w:rsid w:val="00AC193C"/>
    <w:rsid w:val="00AC5206"/>
    <w:rsid w:val="00AE11A5"/>
    <w:rsid w:val="00AE13E2"/>
    <w:rsid w:val="00AE48C9"/>
    <w:rsid w:val="00AF68CC"/>
    <w:rsid w:val="00AF786F"/>
    <w:rsid w:val="00B1059E"/>
    <w:rsid w:val="00B205AA"/>
    <w:rsid w:val="00B22E84"/>
    <w:rsid w:val="00B25F75"/>
    <w:rsid w:val="00B43E90"/>
    <w:rsid w:val="00B467DC"/>
    <w:rsid w:val="00B47773"/>
    <w:rsid w:val="00B54B62"/>
    <w:rsid w:val="00B56118"/>
    <w:rsid w:val="00B6773F"/>
    <w:rsid w:val="00B75E35"/>
    <w:rsid w:val="00B801BA"/>
    <w:rsid w:val="00BB69F5"/>
    <w:rsid w:val="00BB7EC3"/>
    <w:rsid w:val="00BC0C3E"/>
    <w:rsid w:val="00BC4B9A"/>
    <w:rsid w:val="00BC544F"/>
    <w:rsid w:val="00BD784C"/>
    <w:rsid w:val="00BE79AD"/>
    <w:rsid w:val="00BF4CB6"/>
    <w:rsid w:val="00C00DA7"/>
    <w:rsid w:val="00C073B2"/>
    <w:rsid w:val="00C12768"/>
    <w:rsid w:val="00C159A0"/>
    <w:rsid w:val="00C170DF"/>
    <w:rsid w:val="00C27B58"/>
    <w:rsid w:val="00C33A07"/>
    <w:rsid w:val="00C35996"/>
    <w:rsid w:val="00C47A63"/>
    <w:rsid w:val="00C5342C"/>
    <w:rsid w:val="00C603D4"/>
    <w:rsid w:val="00C6256A"/>
    <w:rsid w:val="00C809BE"/>
    <w:rsid w:val="00C84B1E"/>
    <w:rsid w:val="00C872E0"/>
    <w:rsid w:val="00C91449"/>
    <w:rsid w:val="00C92D10"/>
    <w:rsid w:val="00CA5297"/>
    <w:rsid w:val="00CA6EBA"/>
    <w:rsid w:val="00CB55BA"/>
    <w:rsid w:val="00CC55B4"/>
    <w:rsid w:val="00CE10C4"/>
    <w:rsid w:val="00CE27B5"/>
    <w:rsid w:val="00CF2006"/>
    <w:rsid w:val="00D0321E"/>
    <w:rsid w:val="00D0747F"/>
    <w:rsid w:val="00D134D9"/>
    <w:rsid w:val="00D1455A"/>
    <w:rsid w:val="00D20CCC"/>
    <w:rsid w:val="00D27A5F"/>
    <w:rsid w:val="00D3138B"/>
    <w:rsid w:val="00D3280C"/>
    <w:rsid w:val="00D3406A"/>
    <w:rsid w:val="00D367CD"/>
    <w:rsid w:val="00D469B2"/>
    <w:rsid w:val="00D546D6"/>
    <w:rsid w:val="00D741EB"/>
    <w:rsid w:val="00D84934"/>
    <w:rsid w:val="00D91271"/>
    <w:rsid w:val="00D94899"/>
    <w:rsid w:val="00DA2CB5"/>
    <w:rsid w:val="00DA4BAC"/>
    <w:rsid w:val="00DB7ED5"/>
    <w:rsid w:val="00DC54D4"/>
    <w:rsid w:val="00DE4761"/>
    <w:rsid w:val="00DE6D27"/>
    <w:rsid w:val="00DF217D"/>
    <w:rsid w:val="00DF26A7"/>
    <w:rsid w:val="00E15627"/>
    <w:rsid w:val="00E164B3"/>
    <w:rsid w:val="00E16910"/>
    <w:rsid w:val="00E20370"/>
    <w:rsid w:val="00E42C8A"/>
    <w:rsid w:val="00E43FA9"/>
    <w:rsid w:val="00E542B3"/>
    <w:rsid w:val="00E5734A"/>
    <w:rsid w:val="00E65E54"/>
    <w:rsid w:val="00E80155"/>
    <w:rsid w:val="00E848C0"/>
    <w:rsid w:val="00E867BB"/>
    <w:rsid w:val="00E91B96"/>
    <w:rsid w:val="00E941A1"/>
    <w:rsid w:val="00E95CE3"/>
    <w:rsid w:val="00EA2825"/>
    <w:rsid w:val="00EA287B"/>
    <w:rsid w:val="00EB5088"/>
    <w:rsid w:val="00EB6889"/>
    <w:rsid w:val="00EC177E"/>
    <w:rsid w:val="00ED1644"/>
    <w:rsid w:val="00ED2593"/>
    <w:rsid w:val="00EE2B4C"/>
    <w:rsid w:val="00EF44A0"/>
    <w:rsid w:val="00EF4FED"/>
    <w:rsid w:val="00EF70C2"/>
    <w:rsid w:val="00F050BD"/>
    <w:rsid w:val="00F05657"/>
    <w:rsid w:val="00F05A91"/>
    <w:rsid w:val="00F20F78"/>
    <w:rsid w:val="00F25578"/>
    <w:rsid w:val="00F258E5"/>
    <w:rsid w:val="00F300BC"/>
    <w:rsid w:val="00F3334E"/>
    <w:rsid w:val="00F40C2A"/>
    <w:rsid w:val="00F50EC4"/>
    <w:rsid w:val="00F57A6D"/>
    <w:rsid w:val="00F57AAF"/>
    <w:rsid w:val="00F638CC"/>
    <w:rsid w:val="00F64CC1"/>
    <w:rsid w:val="00F66900"/>
    <w:rsid w:val="00F8247A"/>
    <w:rsid w:val="00F9629A"/>
    <w:rsid w:val="00FA3727"/>
    <w:rsid w:val="00FA5883"/>
    <w:rsid w:val="00FA6055"/>
    <w:rsid w:val="00FB322F"/>
    <w:rsid w:val="00FB3954"/>
    <w:rsid w:val="00FB442F"/>
    <w:rsid w:val="00FB574A"/>
    <w:rsid w:val="00FC1929"/>
    <w:rsid w:val="00FC5B46"/>
    <w:rsid w:val="00FD2F16"/>
    <w:rsid w:val="00FD5743"/>
    <w:rsid w:val="00FD61A8"/>
    <w:rsid w:val="00FE0E94"/>
    <w:rsid w:val="00FE4644"/>
    <w:rsid w:val="00FF00BD"/>
    <w:rsid w:val="00FF1ED4"/>
    <w:rsid w:val="00FF2801"/>
    <w:rsid w:val="00FF41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C47A63"/>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customStyle="1" w:styleId="TableFooter">
    <w:name w:val="Table Footer"/>
    <w:basedOn w:val="Normal"/>
    <w:qFormat/>
    <w:rsid w:val="004D33FB"/>
    <w:pPr>
      <w:widowControl w:val="0"/>
      <w:jc w:val="both"/>
    </w:pPr>
    <w:rPr>
      <w:rFonts w:ascii="Arial Narrow" w:hAnsi="Arial Narrow" w:cs="Arial"/>
      <w:snapToGrid w:val="0"/>
      <w:sz w:val="18"/>
      <w:szCs w:val="20"/>
      <w:lang w:eastAsia="en-US"/>
    </w:rPr>
  </w:style>
  <w:style w:type="paragraph" w:customStyle="1" w:styleId="PBACheading10">
    <w:name w:val="PBAC heading 1"/>
    <w:qFormat/>
    <w:rsid w:val="00CA5297"/>
    <w:pPr>
      <w:ind w:left="720" w:hanging="720"/>
    </w:pPr>
    <w:rPr>
      <w:rFonts w:ascii="Arial" w:hAnsi="Arial" w:cs="Arial"/>
      <w:b/>
      <w:snapToGrid w:val="0"/>
      <w:sz w:val="22"/>
      <w:szCs w:val="22"/>
      <w:lang w:eastAsia="en-US"/>
    </w:rPr>
  </w:style>
  <w:style w:type="paragraph" w:customStyle="1" w:styleId="Default">
    <w:name w:val="Default"/>
    <w:rsid w:val="003F2C85"/>
    <w:pPr>
      <w:autoSpaceDE w:val="0"/>
      <w:autoSpaceDN w:val="0"/>
      <w:adjustRightInd w:val="0"/>
    </w:pPr>
    <w:rPr>
      <w:rFonts w:ascii="Arial" w:hAnsi="Arial" w:cs="Arial"/>
      <w:color w:val="000000"/>
      <w:sz w:val="24"/>
      <w:szCs w:val="24"/>
    </w:rPr>
  </w:style>
  <w:style w:type="paragraph" w:styleId="Revision">
    <w:name w:val="Revision"/>
    <w:hidden/>
    <w:uiPriority w:val="71"/>
    <w:rsid w:val="00721A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C47A63"/>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customStyle="1" w:styleId="TableFooter">
    <w:name w:val="Table Footer"/>
    <w:basedOn w:val="Normal"/>
    <w:qFormat/>
    <w:rsid w:val="004D33FB"/>
    <w:pPr>
      <w:widowControl w:val="0"/>
      <w:jc w:val="both"/>
    </w:pPr>
    <w:rPr>
      <w:rFonts w:ascii="Arial Narrow" w:hAnsi="Arial Narrow" w:cs="Arial"/>
      <w:snapToGrid w:val="0"/>
      <w:sz w:val="18"/>
      <w:szCs w:val="20"/>
      <w:lang w:eastAsia="en-US"/>
    </w:rPr>
  </w:style>
  <w:style w:type="paragraph" w:customStyle="1" w:styleId="PBACheading10">
    <w:name w:val="PBAC heading 1"/>
    <w:qFormat/>
    <w:rsid w:val="00CA5297"/>
    <w:pPr>
      <w:ind w:left="720" w:hanging="720"/>
    </w:pPr>
    <w:rPr>
      <w:rFonts w:ascii="Arial" w:hAnsi="Arial" w:cs="Arial"/>
      <w:b/>
      <w:snapToGrid w:val="0"/>
      <w:sz w:val="22"/>
      <w:szCs w:val="22"/>
      <w:lang w:eastAsia="en-US"/>
    </w:rPr>
  </w:style>
  <w:style w:type="paragraph" w:customStyle="1" w:styleId="Default">
    <w:name w:val="Default"/>
    <w:rsid w:val="003F2C85"/>
    <w:pPr>
      <w:autoSpaceDE w:val="0"/>
      <w:autoSpaceDN w:val="0"/>
      <w:adjustRightInd w:val="0"/>
    </w:pPr>
    <w:rPr>
      <w:rFonts w:ascii="Arial" w:hAnsi="Arial" w:cs="Arial"/>
      <w:color w:val="000000"/>
      <w:sz w:val="24"/>
      <w:szCs w:val="24"/>
    </w:rPr>
  </w:style>
  <w:style w:type="paragraph" w:styleId="Revision">
    <w:name w:val="Revision"/>
    <w:hidden/>
    <w:uiPriority w:val="71"/>
    <w:rsid w:val="00721A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9A5EA-5F20-4D71-BEDD-2F677E15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4142</Words>
  <Characters>22843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2017-04-24T05:08:00Z</dcterms:created>
  <dcterms:modified xsi:type="dcterms:W3CDTF">2017-04-24T05:09:00Z</dcterms:modified>
</cp:coreProperties>
</file>