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77" w:rsidRDefault="000E729A" w:rsidP="00701577">
      <w:pPr>
        <w:pStyle w:val="Heading1"/>
      </w:pPr>
      <w:r>
        <w:t>5.24</w:t>
      </w:r>
      <w:r w:rsidR="00AF6876" w:rsidRPr="00880E2F">
        <w:tab/>
      </w:r>
      <w:r w:rsidR="00A2419B" w:rsidRPr="00701577">
        <w:t>WHEY PROTEIN FORMULA with MEDIUM CHAIN TRIGLYCERIDES, CARBOHYDRATE, VITAMINS and MINERALS</w:t>
      </w:r>
    </w:p>
    <w:p w:rsidR="00AF6876" w:rsidRPr="00701577" w:rsidRDefault="00AF6876" w:rsidP="00701577">
      <w:pPr>
        <w:pStyle w:val="Heading1"/>
        <w:ind w:firstLine="0"/>
      </w:pPr>
      <w:r w:rsidRPr="00701577">
        <w:t xml:space="preserve">Oral liquid, </w:t>
      </w:r>
      <w:r w:rsidR="005531C1" w:rsidRPr="00701577">
        <w:t xml:space="preserve">24 × </w:t>
      </w:r>
      <w:r w:rsidR="00390BC8" w:rsidRPr="00701577">
        <w:t>200</w:t>
      </w:r>
      <w:r w:rsidR="000E729A" w:rsidRPr="00701577">
        <w:t xml:space="preserve"> mL</w:t>
      </w:r>
      <w:r w:rsidRPr="00701577">
        <w:t xml:space="preserve"> </w:t>
      </w:r>
      <w:r w:rsidR="000E729A" w:rsidRPr="00701577">
        <w:t>bottle</w:t>
      </w:r>
      <w:r w:rsidR="005531C1" w:rsidRPr="00701577">
        <w:t>s</w:t>
      </w:r>
      <w:r w:rsidRPr="00701577">
        <w:t>,</w:t>
      </w:r>
    </w:p>
    <w:p w:rsidR="00AF6876" w:rsidRPr="00701577" w:rsidRDefault="00390BC8" w:rsidP="00701577">
      <w:pPr>
        <w:pStyle w:val="Heading1"/>
        <w:ind w:firstLine="0"/>
      </w:pPr>
      <w:proofErr w:type="spellStart"/>
      <w:r w:rsidRPr="00701577">
        <w:t>Infatrini</w:t>
      </w:r>
      <w:proofErr w:type="spellEnd"/>
      <w:r w:rsidRPr="00701577">
        <w:t xml:space="preserve"> </w:t>
      </w:r>
      <w:proofErr w:type="spellStart"/>
      <w:r w:rsidRPr="00701577">
        <w:t>Peptisorb</w:t>
      </w:r>
      <w:proofErr w:type="spellEnd"/>
      <w:r w:rsidR="00AF6876" w:rsidRPr="00701577">
        <w:t xml:space="preserve">®, </w:t>
      </w:r>
      <w:proofErr w:type="spellStart"/>
      <w:r w:rsidRPr="00701577">
        <w:t>Nutricia</w:t>
      </w:r>
      <w:proofErr w:type="spellEnd"/>
      <w:r w:rsidR="00AF6876" w:rsidRPr="00701577">
        <w:t xml:space="preserve"> Australia Pty Ltd</w:t>
      </w:r>
      <w:bookmarkStart w:id="0" w:name="_GoBack"/>
      <w:bookmarkEnd w:id="0"/>
    </w:p>
    <w:p w:rsidR="00AF6876" w:rsidRPr="00880E2F" w:rsidRDefault="00AF6876" w:rsidP="00AF6876">
      <w:pPr>
        <w:spacing w:before="0" w:after="0"/>
        <w:ind w:left="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AF6876" w:rsidRPr="00701577" w:rsidRDefault="00AF6876" w:rsidP="00701577">
      <w:pPr>
        <w:pStyle w:val="Heading2"/>
      </w:pPr>
      <w:r w:rsidRPr="00701577">
        <w:t>Purpose of Application</w:t>
      </w:r>
    </w:p>
    <w:p w:rsidR="00AF6876" w:rsidRDefault="00AF6876" w:rsidP="00DD2715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880E2F">
        <w:rPr>
          <w:rFonts w:ascii="Arial" w:hAnsi="Arial"/>
          <w:sz w:val="22"/>
          <w:szCs w:val="22"/>
          <w:lang w:eastAsia="en-AU"/>
        </w:rPr>
        <w:t xml:space="preserve">The minor submission </w:t>
      </w:r>
      <w:r>
        <w:rPr>
          <w:rFonts w:ascii="Arial" w:hAnsi="Arial"/>
          <w:sz w:val="22"/>
          <w:szCs w:val="22"/>
          <w:lang w:eastAsia="en-AU"/>
        </w:rPr>
        <w:t>r</w:t>
      </w:r>
      <w:r w:rsidRPr="00880E2F">
        <w:rPr>
          <w:rFonts w:ascii="Arial" w:hAnsi="Arial"/>
          <w:sz w:val="22"/>
          <w:szCs w:val="22"/>
          <w:lang w:eastAsia="en-AU"/>
        </w:rPr>
        <w:t>equest</w:t>
      </w:r>
      <w:r>
        <w:rPr>
          <w:rFonts w:ascii="Arial" w:hAnsi="Arial"/>
          <w:sz w:val="22"/>
          <w:szCs w:val="22"/>
          <w:lang w:eastAsia="en-AU"/>
        </w:rPr>
        <w:t xml:space="preserve">ed </w:t>
      </w:r>
      <w:r w:rsidR="005531C1">
        <w:rPr>
          <w:rFonts w:ascii="Arial" w:hAnsi="Arial"/>
          <w:sz w:val="22"/>
          <w:szCs w:val="22"/>
          <w:lang w:eastAsia="en-AU"/>
        </w:rPr>
        <w:t xml:space="preserve">a restricted benefit listing for the dietary management </w:t>
      </w:r>
      <w:r w:rsidR="005531C1" w:rsidRPr="005531C1">
        <w:rPr>
          <w:rFonts w:ascii="Arial" w:hAnsi="Arial"/>
          <w:sz w:val="22"/>
          <w:szCs w:val="22"/>
          <w:lang w:eastAsia="en-AU"/>
        </w:rPr>
        <w:t>of conditions requiring a source of medium chain triglycerides</w:t>
      </w:r>
      <w:r w:rsidR="005531C1">
        <w:rPr>
          <w:rFonts w:ascii="Arial" w:hAnsi="Arial"/>
          <w:sz w:val="22"/>
          <w:szCs w:val="22"/>
          <w:lang w:eastAsia="en-AU"/>
        </w:rPr>
        <w:t>.</w:t>
      </w:r>
    </w:p>
    <w:p w:rsidR="00377913" w:rsidRPr="00A407FC" w:rsidRDefault="0030359E" w:rsidP="00701577">
      <w:pPr>
        <w:pStyle w:val="Heading2"/>
      </w:pPr>
      <w:r w:rsidRPr="0030359E">
        <w:t xml:space="preserve">Requested listing </w:t>
      </w:r>
    </w:p>
    <w:p w:rsidR="00AF6876" w:rsidRPr="00880E2F" w:rsidRDefault="00AF6876" w:rsidP="005C5C33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880E2F">
        <w:rPr>
          <w:rFonts w:ascii="Arial" w:hAnsi="Arial"/>
          <w:sz w:val="22"/>
          <w:szCs w:val="22"/>
          <w:lang w:eastAsia="en-AU"/>
        </w:rPr>
        <w:t xml:space="preserve">The submission </w:t>
      </w:r>
      <w:r>
        <w:rPr>
          <w:rFonts w:ascii="Arial" w:hAnsi="Arial"/>
          <w:sz w:val="22"/>
          <w:szCs w:val="22"/>
          <w:lang w:eastAsia="en-AU"/>
        </w:rPr>
        <w:t>requested</w:t>
      </w:r>
      <w:r w:rsidRPr="00880E2F">
        <w:rPr>
          <w:rFonts w:ascii="Arial" w:hAnsi="Arial"/>
          <w:sz w:val="22"/>
          <w:szCs w:val="22"/>
          <w:lang w:eastAsia="en-AU"/>
        </w:rPr>
        <w:t xml:space="preserve"> the following </w:t>
      </w:r>
      <w:r w:rsidR="003E3B76">
        <w:rPr>
          <w:rFonts w:ascii="Arial" w:hAnsi="Arial"/>
          <w:sz w:val="22"/>
          <w:szCs w:val="22"/>
          <w:lang w:eastAsia="en-AU"/>
        </w:rPr>
        <w:t>new listing:</w:t>
      </w:r>
      <w:r w:rsidRPr="00880E2F">
        <w:rPr>
          <w:rFonts w:ascii="Arial" w:hAnsi="Arial"/>
          <w:sz w:val="22"/>
          <w:szCs w:val="22"/>
          <w:lang w:eastAsia="en-AU"/>
        </w:rPr>
        <w:t xml:space="preserve"> </w:t>
      </w:r>
    </w:p>
    <w:p w:rsidR="00582731" w:rsidRPr="002B7F0D" w:rsidRDefault="00AF6876" w:rsidP="002B7F0D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2B7F0D">
        <w:rPr>
          <w:rFonts w:ascii="Arial" w:hAnsi="Arial"/>
          <w:sz w:val="22"/>
          <w:szCs w:val="22"/>
          <w:lang w:eastAsia="en-AU"/>
        </w:rPr>
        <w:t xml:space="preserve">No changes to the proposed listing </w:t>
      </w:r>
      <w:r w:rsidR="004849CA" w:rsidRPr="002B7F0D">
        <w:rPr>
          <w:rFonts w:ascii="Arial" w:hAnsi="Arial"/>
          <w:sz w:val="22"/>
          <w:szCs w:val="22"/>
          <w:lang w:eastAsia="en-AU"/>
        </w:rPr>
        <w:t>we</w:t>
      </w:r>
      <w:r w:rsidRPr="002B7F0D">
        <w:rPr>
          <w:rFonts w:ascii="Arial" w:hAnsi="Arial"/>
          <w:sz w:val="22"/>
          <w:szCs w:val="22"/>
          <w:lang w:eastAsia="en-AU"/>
        </w:rPr>
        <w:t>re suggested by the Secretariat.</w:t>
      </w:r>
    </w:p>
    <w:p w:rsidR="00C83B89" w:rsidRPr="00C83B89" w:rsidRDefault="00C83B89" w:rsidP="00C83B89">
      <w:pPr>
        <w:spacing w:before="0" w:after="0"/>
        <w:ind w:left="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850"/>
        <w:gridCol w:w="709"/>
        <w:gridCol w:w="1276"/>
        <w:gridCol w:w="1275"/>
        <w:gridCol w:w="1134"/>
      </w:tblGrid>
      <w:tr w:rsidR="00C83B89" w:rsidRPr="00C83B89" w:rsidTr="00B86088">
        <w:trPr>
          <w:cantSplit/>
          <w:trHeight w:val="471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Name, Restriction,</w:t>
            </w:r>
          </w:p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Manner of administration and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Max.</w:t>
            </w:r>
          </w:p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№.of</w:t>
            </w:r>
          </w:p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Rpts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Dispensed Price for Max. Qty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83B89" w:rsidRPr="00C83B89" w:rsidRDefault="00C83B89" w:rsidP="00C83B89">
            <w:pPr>
              <w:keepNext/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val="fr-FR"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Proprietary Name and Manufacturer</w:t>
            </w:r>
          </w:p>
        </w:tc>
      </w:tr>
      <w:tr w:rsidR="00C83B89" w:rsidRPr="00C83B89" w:rsidTr="00B86088">
        <w:trPr>
          <w:cantSplit/>
          <w:trHeight w:val="577"/>
        </w:trPr>
        <w:tc>
          <w:tcPr>
            <w:tcW w:w="3119" w:type="dxa"/>
            <w:gridSpan w:val="2"/>
          </w:tcPr>
          <w:p w:rsidR="003E3B76" w:rsidRPr="003E3B76" w:rsidRDefault="003E3B76" w:rsidP="003E3B76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</w:pPr>
            <w:r w:rsidRPr="003E3B76"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  <w:t>WHEY PROTEIN FORMULA with MEDIUM CHAIN TRIGLYCERIDES, CARBOHYDRATE, VITAMINS and MINERALS</w:t>
            </w:r>
          </w:p>
          <w:p w:rsidR="00C83B89" w:rsidRPr="00C83B89" w:rsidRDefault="003E3B76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3E3B76">
              <w:rPr>
                <w:rFonts w:ascii="Arial Narrow" w:hAnsi="Arial Narrow" w:cs="Arial"/>
                <w:bCs/>
                <w:sz w:val="20"/>
                <w:szCs w:val="20"/>
                <w:lang w:eastAsia="en-AU"/>
              </w:rPr>
              <w:t>Oral liquid, 24 × 200 mL bottles</w:t>
            </w:r>
          </w:p>
        </w:tc>
        <w:tc>
          <w:tcPr>
            <w:tcW w:w="850" w:type="dxa"/>
          </w:tcPr>
          <w:p w:rsidR="00C83B89" w:rsidRPr="00C83B89" w:rsidRDefault="00C83B89" w:rsidP="00C83B89">
            <w:pPr>
              <w:keepNext/>
              <w:spacing w:before="0" w:after="0"/>
              <w:ind w:left="-108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C83B89" w:rsidRPr="00C83B89" w:rsidRDefault="003E3B76" w:rsidP="003E3B76">
            <w:pPr>
              <w:keepNext/>
              <w:spacing w:before="0" w:after="0"/>
              <w:ind w:left="-108" w:right="0" w:firstLine="0"/>
              <w:jc w:val="center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709" w:type="dxa"/>
          </w:tcPr>
          <w:p w:rsidR="00C83B89" w:rsidRPr="00C83B89" w:rsidRDefault="00C83B89" w:rsidP="003E3B76">
            <w:pPr>
              <w:keepNext/>
              <w:spacing w:before="0" w:after="0"/>
              <w:ind w:left="-108" w:right="0" w:firstLine="0"/>
              <w:jc w:val="center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C83B89" w:rsidRPr="00C83B89" w:rsidRDefault="003E3B76" w:rsidP="003E3B76">
            <w:pPr>
              <w:keepNext/>
              <w:spacing w:before="0" w:after="0"/>
              <w:ind w:left="-108" w:right="0" w:firstLine="0"/>
              <w:jc w:val="center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76" w:type="dxa"/>
          </w:tcPr>
          <w:p w:rsidR="00C83B89" w:rsidRPr="00C83B89" w:rsidRDefault="00C83B89" w:rsidP="003E3B76">
            <w:pPr>
              <w:keepNext/>
              <w:spacing w:before="0" w:after="0"/>
              <w:ind w:left="-108" w:right="0" w:firstLine="0"/>
              <w:jc w:val="center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C83B89" w:rsidRPr="00C83B89" w:rsidRDefault="00C83B89" w:rsidP="003E3B76">
            <w:pPr>
              <w:keepNext/>
              <w:spacing w:before="0" w:after="0"/>
              <w:ind w:left="-108" w:right="0" w:firstLine="0"/>
              <w:jc w:val="center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$</w:t>
            </w:r>
            <w:r w:rsidR="000C4CC7"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  <w:lang w:eastAsia="en-AU"/>
              </w:rPr>
              <w:t>''''''''''''''''</w:t>
            </w:r>
          </w:p>
        </w:tc>
        <w:tc>
          <w:tcPr>
            <w:tcW w:w="1275" w:type="dxa"/>
          </w:tcPr>
          <w:p w:rsidR="00C83B89" w:rsidRPr="00C83B89" w:rsidRDefault="00C83B89" w:rsidP="00C83B89">
            <w:pPr>
              <w:keepNext/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C83B89" w:rsidRPr="00C83B89" w:rsidRDefault="00A53F37" w:rsidP="00C83B89">
            <w:pPr>
              <w:keepNext/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53F37">
              <w:rPr>
                <w:rFonts w:ascii="Arial Narrow" w:hAnsi="Arial Narrow" w:cs="Arial"/>
                <w:bCs/>
                <w:sz w:val="20"/>
                <w:szCs w:val="20"/>
                <w:lang w:eastAsia="en-AU"/>
              </w:rPr>
              <w:t>Infatrini Peptisorb</w:t>
            </w:r>
            <w:r w:rsidRPr="00CC5D04">
              <w:rPr>
                <w:rFonts w:ascii="Arial Narrow" w:hAnsi="Arial Narrow" w:cs="Arial"/>
                <w:bCs/>
                <w:sz w:val="20"/>
                <w:szCs w:val="20"/>
                <w:vertAlign w:val="superscript"/>
                <w:lang w:eastAsia="en-AU"/>
              </w:rPr>
              <w:t>®</w:t>
            </w:r>
          </w:p>
        </w:tc>
        <w:tc>
          <w:tcPr>
            <w:tcW w:w="1134" w:type="dxa"/>
          </w:tcPr>
          <w:p w:rsidR="00C83B89" w:rsidRPr="00C83B89" w:rsidRDefault="00C83B89" w:rsidP="00C83B89">
            <w:pPr>
              <w:keepNext/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C83B89" w:rsidRPr="00C83B89" w:rsidRDefault="00A53F37" w:rsidP="00C83B89">
            <w:pPr>
              <w:keepNext/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53F37">
              <w:rPr>
                <w:rFonts w:ascii="Arial Narrow" w:hAnsi="Arial Narrow" w:cs="Arial"/>
                <w:bCs/>
                <w:sz w:val="20"/>
                <w:szCs w:val="20"/>
                <w:lang w:eastAsia="en-AU"/>
              </w:rPr>
              <w:t>Nutricia Australia Pty Ltd</w:t>
            </w:r>
          </w:p>
        </w:tc>
      </w:tr>
      <w:tr w:rsidR="00C83B89" w:rsidRPr="00C83B89" w:rsidTr="00B86088">
        <w:trPr>
          <w:cantSplit/>
          <w:trHeight w:val="360"/>
        </w:trPr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C83B89" w:rsidRPr="00C83B89" w:rsidTr="00B8608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 xml:space="preserve">Category / 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GENERAL – General Schedule (Code GE)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C83B89" w:rsidRPr="00C83B89" w:rsidTr="00B8608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Prescriber type: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Dental  </w:t>
            </w:r>
            <w:r w:rsidR="00FB17FC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B17FC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="00FB17FC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Medical Practitioners  </w:t>
            </w:r>
            <w:r w:rsidR="00FB17FC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FB17FC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="00FB17FC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Nurse practitioners  </w:t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Optometrists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Midwives</w:t>
            </w:r>
          </w:p>
        </w:tc>
      </w:tr>
      <w:tr w:rsidR="00C83B89" w:rsidRPr="00C83B89" w:rsidTr="00B8608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Condition: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6F754D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Di</w:t>
            </w:r>
            <w:r w:rsidRPr="006F754D">
              <w:rPr>
                <w:rFonts w:ascii="Arial Narrow" w:hAnsi="Arial Narrow" w:cs="Arial"/>
                <w:sz w:val="20"/>
                <w:szCs w:val="20"/>
                <w:lang w:eastAsia="en-AU"/>
              </w:rPr>
              <w:t>etary management of conditions requiring a source of medium chain triglycerides</w:t>
            </w:r>
          </w:p>
        </w:tc>
      </w:tr>
      <w:tr w:rsidR="00C83B89" w:rsidRPr="00C83B89" w:rsidTr="00B8608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PBS Indication: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6F754D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Di</w:t>
            </w:r>
            <w:r w:rsidRPr="006F754D">
              <w:rPr>
                <w:rFonts w:ascii="Arial Narrow" w:hAnsi="Arial Narrow" w:cs="Arial"/>
                <w:sz w:val="20"/>
                <w:szCs w:val="20"/>
                <w:lang w:eastAsia="en-AU"/>
              </w:rPr>
              <w:t>etary management of conditions requiring a source of medium chain triglycerides</w:t>
            </w:r>
          </w:p>
        </w:tc>
      </w:tr>
      <w:tr w:rsidR="00C83B89" w:rsidRPr="00C83B89" w:rsidTr="00B8608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Restriction Level / Method: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FB17FC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="00C83B89"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Restricted benefit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In Writing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Telephone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– Emergency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Electronic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0157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C83B89">
              <w:rPr>
                <w:rFonts w:ascii="Arial Narrow" w:hAnsi="Arial Narrow" w:cs="Arial"/>
                <w:sz w:val="20"/>
                <w:szCs w:val="20"/>
                <w:lang w:eastAsia="en-AU"/>
              </w:rPr>
              <w:t>Streamlined</w:t>
            </w:r>
          </w:p>
        </w:tc>
      </w:tr>
      <w:tr w:rsidR="00C83B89" w:rsidRPr="00C83B89" w:rsidTr="00B8608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Clinical criteria:</w:t>
            </w:r>
          </w:p>
          <w:p w:rsidR="00C83B89" w:rsidRPr="00C83B89" w:rsidRDefault="00C83B89" w:rsidP="00124728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8" w:rsidRPr="00124728" w:rsidRDefault="00124728" w:rsidP="00124728">
            <w:pPr>
              <w:spacing w:befor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124728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Patient must have fat malabsorption due to liver disease; </w:t>
            </w:r>
          </w:p>
          <w:p w:rsidR="00124728" w:rsidRPr="00124728" w:rsidRDefault="00124728" w:rsidP="00124728">
            <w:pPr>
              <w:spacing w:befor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124728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OR </w:t>
            </w:r>
          </w:p>
          <w:p w:rsidR="00124728" w:rsidRPr="00124728" w:rsidRDefault="00124728" w:rsidP="00124728">
            <w:pPr>
              <w:spacing w:befor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124728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Patient must have fat malabsorption due to short gut syndrome; </w:t>
            </w:r>
          </w:p>
          <w:p w:rsidR="00124728" w:rsidRPr="00124728" w:rsidRDefault="00124728" w:rsidP="00124728">
            <w:pPr>
              <w:spacing w:befor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124728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OR </w:t>
            </w:r>
          </w:p>
          <w:p w:rsidR="00124728" w:rsidRPr="00124728" w:rsidRDefault="00124728" w:rsidP="00124728">
            <w:pPr>
              <w:spacing w:befor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124728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Patient must have fat malabsorption due to cystic fibrosis; </w:t>
            </w:r>
          </w:p>
          <w:p w:rsidR="00124728" w:rsidRPr="00124728" w:rsidRDefault="00124728" w:rsidP="00124728">
            <w:pPr>
              <w:spacing w:befor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124728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OR </w:t>
            </w:r>
          </w:p>
          <w:p w:rsidR="00C83B89" w:rsidRPr="00C83B89" w:rsidRDefault="00124728" w:rsidP="00124728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124728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fat malabsorption due to gastrointestinal disorders.</w:t>
            </w:r>
          </w:p>
        </w:tc>
      </w:tr>
      <w:tr w:rsidR="00C83B89" w:rsidRPr="00C83B89" w:rsidTr="00B8608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C83B89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lastRenderedPageBreak/>
              <w:t>Population criteria: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  <w:p w:rsidR="00C83B89" w:rsidRPr="00C83B89" w:rsidRDefault="00C83B89" w:rsidP="005A4FDE">
            <w:pPr>
              <w:spacing w:before="0" w:after="0"/>
              <w:ind w:left="0" w:right="0" w:firstLine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7025D3" w:rsidRDefault="005A4FDE" w:rsidP="00B6007C">
            <w:pPr>
              <w:spacing w:before="0" w:after="0"/>
              <w:ind w:right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7025D3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be aged from newborn up to 18 months</w:t>
            </w:r>
            <w:r w:rsidR="00B6007C" w:rsidRPr="007025D3">
              <w:rPr>
                <w:rFonts w:ascii="Arial Narrow" w:hAnsi="Arial Narrow" w:cs="Arial"/>
                <w:sz w:val="20"/>
                <w:szCs w:val="20"/>
                <w:lang w:eastAsia="en-AU"/>
              </w:rPr>
              <w:t>;</w:t>
            </w:r>
          </w:p>
          <w:p w:rsidR="00C83B89" w:rsidRPr="007025D3" w:rsidRDefault="005A4FDE" w:rsidP="00B6007C">
            <w:pPr>
              <w:spacing w:before="0" w:after="0"/>
              <w:ind w:right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7025D3">
              <w:rPr>
                <w:rFonts w:ascii="Arial Narrow" w:hAnsi="Arial Narrow" w:cs="Arial"/>
                <w:sz w:val="20"/>
                <w:szCs w:val="20"/>
                <w:lang w:eastAsia="en-AU"/>
              </w:rPr>
              <w:t>OR</w:t>
            </w:r>
          </w:p>
          <w:p w:rsidR="005A4FDE" w:rsidRPr="007025D3" w:rsidRDefault="005A4FDE" w:rsidP="00B6007C">
            <w:pPr>
              <w:spacing w:before="0" w:after="0"/>
              <w:ind w:right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7025D3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be up to 9kg</w:t>
            </w:r>
            <w:r w:rsidR="00B6007C" w:rsidRPr="007025D3">
              <w:rPr>
                <w:rFonts w:ascii="Arial Narrow" w:hAnsi="Arial Narrow" w:cs="Arial"/>
                <w:sz w:val="20"/>
                <w:szCs w:val="20"/>
                <w:lang w:eastAsia="en-AU"/>
              </w:rPr>
              <w:t>.</w:t>
            </w:r>
          </w:p>
          <w:p w:rsidR="00C83B89" w:rsidRPr="00C83B89" w:rsidRDefault="00C83B89" w:rsidP="00C83B89">
            <w:pPr>
              <w:spacing w:before="0" w:after="0"/>
              <w:ind w:left="0" w:right="0" w:firstLine="0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</w:tbl>
    <w:p w:rsidR="00C83B89" w:rsidRPr="00C83B89" w:rsidRDefault="00C83B89" w:rsidP="00C83B89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5B1FF1" w:rsidRPr="005B1FF1" w:rsidRDefault="005B1FF1" w:rsidP="005B1FF1">
      <w:pPr>
        <w:ind w:left="0" w:firstLine="0"/>
        <w:rPr>
          <w:rFonts w:ascii="Arial" w:hAnsi="Arial" w:cs="Arial"/>
          <w:bCs/>
          <w:snapToGrid w:val="0"/>
          <w:sz w:val="22"/>
          <w:szCs w:val="22"/>
        </w:rPr>
      </w:pPr>
      <w:r w:rsidRPr="00B40F0B">
        <w:rPr>
          <w:rFonts w:ascii="Arial" w:hAnsi="Arial" w:cs="Arial"/>
          <w:bCs/>
          <w:i/>
          <w:snapToGrid w:val="0"/>
          <w:sz w:val="22"/>
          <w:szCs w:val="22"/>
        </w:rPr>
        <w:t>For more detail on PBAC’s view, see section 6 “PBAC outcome”</w:t>
      </w:r>
    </w:p>
    <w:p w:rsidR="000D28D7" w:rsidRPr="00C83B89" w:rsidRDefault="000D28D7" w:rsidP="000D28D7">
      <w:pPr>
        <w:spacing w:before="0" w:after="0"/>
        <w:ind w:left="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C83B89" w:rsidRPr="00C83B89" w:rsidRDefault="00C83B89" w:rsidP="00701577">
      <w:pPr>
        <w:pStyle w:val="Heading2"/>
      </w:pPr>
      <w:r w:rsidRPr="00C83B89">
        <w:t>Background</w:t>
      </w:r>
    </w:p>
    <w:p w:rsidR="00C83B89" w:rsidRPr="00CC5D04" w:rsidRDefault="00C83B89" w:rsidP="005531C1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i/>
          <w:sz w:val="22"/>
          <w:szCs w:val="22"/>
          <w:lang w:eastAsia="en-AU"/>
        </w:rPr>
      </w:pPr>
      <w:r w:rsidRPr="00C83B89">
        <w:rPr>
          <w:rFonts w:ascii="Arial" w:hAnsi="Arial"/>
          <w:sz w:val="22"/>
          <w:szCs w:val="22"/>
          <w:lang w:eastAsia="en-AU"/>
        </w:rPr>
        <w:t xml:space="preserve">The sponsor of </w:t>
      </w:r>
      <w:proofErr w:type="spellStart"/>
      <w:r w:rsidR="003D2D46" w:rsidRPr="003D2D46">
        <w:rPr>
          <w:rFonts w:ascii="Arial" w:hAnsi="Arial"/>
          <w:bCs/>
          <w:sz w:val="22"/>
          <w:szCs w:val="22"/>
          <w:lang w:eastAsia="en-AU"/>
        </w:rPr>
        <w:t>Infatrini</w:t>
      </w:r>
      <w:proofErr w:type="spellEnd"/>
      <w:r w:rsidR="003D2D46" w:rsidRPr="003D2D46">
        <w:rPr>
          <w:rFonts w:ascii="Arial" w:hAnsi="Arial"/>
          <w:bCs/>
          <w:sz w:val="22"/>
          <w:szCs w:val="22"/>
          <w:lang w:eastAsia="en-AU"/>
        </w:rPr>
        <w:t xml:space="preserve"> </w:t>
      </w:r>
      <w:proofErr w:type="spellStart"/>
      <w:r w:rsidR="003D2D46" w:rsidRPr="003D2D46">
        <w:rPr>
          <w:rFonts w:ascii="Arial" w:hAnsi="Arial"/>
          <w:bCs/>
          <w:sz w:val="22"/>
          <w:szCs w:val="22"/>
          <w:lang w:eastAsia="en-AU"/>
        </w:rPr>
        <w:t>Peptisorb</w:t>
      </w:r>
      <w:proofErr w:type="spellEnd"/>
      <w:r w:rsidR="003D2D46" w:rsidRPr="003D2D46">
        <w:rPr>
          <w:rFonts w:ascii="Arial" w:hAnsi="Arial"/>
          <w:bCs/>
          <w:sz w:val="22"/>
          <w:szCs w:val="22"/>
          <w:vertAlign w:val="superscript"/>
          <w:lang w:eastAsia="en-AU"/>
        </w:rPr>
        <w:t>®</w:t>
      </w:r>
      <w:r w:rsidRPr="00C83B89">
        <w:rPr>
          <w:rFonts w:ascii="Arial" w:hAnsi="Arial"/>
          <w:sz w:val="22"/>
          <w:szCs w:val="22"/>
          <w:lang w:eastAsia="en-AU"/>
        </w:rPr>
        <w:t xml:space="preserve"> confirm</w:t>
      </w:r>
      <w:r w:rsidR="004849CA">
        <w:rPr>
          <w:rFonts w:ascii="Arial" w:hAnsi="Arial"/>
          <w:sz w:val="22"/>
          <w:szCs w:val="22"/>
          <w:lang w:eastAsia="en-AU"/>
        </w:rPr>
        <w:t>ed</w:t>
      </w:r>
      <w:r w:rsidRPr="00C83B89">
        <w:rPr>
          <w:rFonts w:ascii="Arial" w:hAnsi="Arial"/>
          <w:sz w:val="22"/>
          <w:szCs w:val="22"/>
          <w:lang w:eastAsia="en-AU"/>
        </w:rPr>
        <w:t xml:space="preserve"> that it meets the requirements for foods that have medical purposes as set out under </w:t>
      </w:r>
      <w:r w:rsidRPr="00C83B89">
        <w:rPr>
          <w:rFonts w:ascii="Arial" w:hAnsi="Arial"/>
          <w:i/>
          <w:sz w:val="22"/>
          <w:szCs w:val="22"/>
          <w:lang w:eastAsia="en-AU"/>
        </w:rPr>
        <w:t>The Australia Ne</w:t>
      </w:r>
      <w:r w:rsidR="005531C1">
        <w:rPr>
          <w:rFonts w:ascii="Arial" w:hAnsi="Arial"/>
          <w:i/>
          <w:sz w:val="22"/>
          <w:szCs w:val="22"/>
          <w:lang w:eastAsia="en-AU"/>
        </w:rPr>
        <w:t xml:space="preserve">w Zealand Food Standards Code – </w:t>
      </w:r>
      <w:r w:rsidR="005531C1" w:rsidRPr="00CC5D04">
        <w:rPr>
          <w:rFonts w:ascii="Arial" w:hAnsi="Arial"/>
          <w:sz w:val="22"/>
          <w:szCs w:val="22"/>
          <w:lang w:eastAsia="en-AU"/>
        </w:rPr>
        <w:t xml:space="preserve">Standard 2.9.1 – </w:t>
      </w:r>
      <w:r w:rsidR="005531C1" w:rsidRPr="00CC5D04">
        <w:rPr>
          <w:rFonts w:ascii="Arial" w:hAnsi="Arial"/>
          <w:iCs/>
          <w:sz w:val="22"/>
          <w:szCs w:val="22"/>
          <w:lang w:eastAsia="en-AU"/>
        </w:rPr>
        <w:t xml:space="preserve">Division 4 </w:t>
      </w:r>
      <w:r w:rsidR="005531C1" w:rsidRPr="00CC5D04">
        <w:rPr>
          <w:rFonts w:ascii="Arial" w:hAnsi="Arial"/>
          <w:sz w:val="22"/>
          <w:szCs w:val="22"/>
          <w:lang w:eastAsia="en-AU"/>
        </w:rPr>
        <w:t xml:space="preserve">– </w:t>
      </w:r>
      <w:r w:rsidR="005531C1" w:rsidRPr="00CC5D04">
        <w:rPr>
          <w:rFonts w:ascii="Arial" w:hAnsi="Arial"/>
          <w:iCs/>
          <w:sz w:val="22"/>
          <w:szCs w:val="22"/>
          <w:lang w:eastAsia="en-AU"/>
        </w:rPr>
        <w:t xml:space="preserve">Subdivision 1 </w:t>
      </w:r>
      <w:r w:rsidR="005531C1" w:rsidRPr="00CC5D04">
        <w:rPr>
          <w:rFonts w:ascii="Arial" w:hAnsi="Arial"/>
          <w:sz w:val="22"/>
          <w:szCs w:val="22"/>
          <w:lang w:eastAsia="en-AU"/>
        </w:rPr>
        <w:t xml:space="preserve">– Infant formula products formulated for metabolic, immunological, renal hepatic and </w:t>
      </w:r>
      <w:proofErr w:type="spellStart"/>
      <w:r w:rsidR="005531C1" w:rsidRPr="00CC5D04">
        <w:rPr>
          <w:rFonts w:ascii="Arial" w:hAnsi="Arial"/>
          <w:sz w:val="22"/>
          <w:szCs w:val="22"/>
          <w:lang w:eastAsia="en-AU"/>
        </w:rPr>
        <w:t>malabsorptive</w:t>
      </w:r>
      <w:proofErr w:type="spellEnd"/>
      <w:r w:rsidR="005531C1" w:rsidRPr="00CC5D04">
        <w:rPr>
          <w:rFonts w:ascii="Arial" w:hAnsi="Arial"/>
          <w:sz w:val="22"/>
          <w:szCs w:val="22"/>
          <w:lang w:eastAsia="en-AU"/>
        </w:rPr>
        <w:t xml:space="preserve"> conditions.</w:t>
      </w:r>
    </w:p>
    <w:p w:rsidR="001F434C" w:rsidRPr="00582731" w:rsidRDefault="001F434C" w:rsidP="005531C1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582731">
        <w:rPr>
          <w:rFonts w:ascii="Arial" w:hAnsi="Arial"/>
          <w:sz w:val="22"/>
          <w:szCs w:val="22"/>
          <w:lang w:eastAsia="en-AU"/>
        </w:rPr>
        <w:t>A similar product, MCT Pro-Cal</w:t>
      </w:r>
      <w:r w:rsidRPr="00582731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Pr="00582731">
        <w:rPr>
          <w:rFonts w:ascii="Arial" w:hAnsi="Arial"/>
          <w:sz w:val="22"/>
          <w:szCs w:val="22"/>
          <w:lang w:eastAsia="en-AU"/>
        </w:rPr>
        <w:t>, is currently available on the PBS as an Authority Required restriction.</w:t>
      </w:r>
    </w:p>
    <w:p w:rsidR="00C83B89" w:rsidRDefault="00BC0E30" w:rsidP="00BC0E30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BC0E30">
        <w:rPr>
          <w:rFonts w:ascii="Arial" w:hAnsi="Arial"/>
          <w:sz w:val="22"/>
          <w:szCs w:val="22"/>
          <w:lang w:eastAsia="en-AU"/>
        </w:rPr>
        <w:t>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BC0E30">
        <w:rPr>
          <w:rFonts w:ascii="Arial" w:hAnsi="Arial"/>
          <w:sz w:val="22"/>
          <w:szCs w:val="22"/>
          <w:lang w:eastAsia="en-AU"/>
        </w:rPr>
        <w:t xml:space="preserve"> </w:t>
      </w:r>
      <w:r w:rsidR="003D2D46">
        <w:rPr>
          <w:rFonts w:ascii="Arial" w:hAnsi="Arial"/>
          <w:sz w:val="22"/>
          <w:szCs w:val="22"/>
          <w:lang w:eastAsia="en-AU"/>
        </w:rPr>
        <w:t>ha</w:t>
      </w:r>
      <w:r w:rsidR="007A2F7D">
        <w:rPr>
          <w:rFonts w:ascii="Arial" w:hAnsi="Arial"/>
          <w:sz w:val="22"/>
          <w:szCs w:val="22"/>
          <w:lang w:eastAsia="en-AU"/>
        </w:rPr>
        <w:t>d</w:t>
      </w:r>
      <w:r w:rsidR="00C83B89" w:rsidRPr="00C83B89">
        <w:rPr>
          <w:rFonts w:ascii="Arial" w:hAnsi="Arial"/>
          <w:sz w:val="22"/>
          <w:szCs w:val="22"/>
          <w:lang w:eastAsia="en-AU"/>
        </w:rPr>
        <w:t xml:space="preserve"> not</w:t>
      </w:r>
      <w:r w:rsidR="003D2D46">
        <w:rPr>
          <w:rFonts w:ascii="Arial" w:hAnsi="Arial"/>
          <w:sz w:val="22"/>
          <w:szCs w:val="22"/>
          <w:lang w:eastAsia="en-AU"/>
        </w:rPr>
        <w:t xml:space="preserve"> been</w:t>
      </w:r>
      <w:r w:rsidR="00C83B89" w:rsidRPr="00C83B89">
        <w:rPr>
          <w:rFonts w:ascii="Arial" w:hAnsi="Arial"/>
          <w:sz w:val="22"/>
          <w:szCs w:val="22"/>
          <w:lang w:eastAsia="en-AU"/>
        </w:rPr>
        <w:t xml:space="preserve"> considered by PBAC previously</w:t>
      </w:r>
      <w:r w:rsidR="009829EF">
        <w:rPr>
          <w:rFonts w:ascii="Arial" w:hAnsi="Arial"/>
          <w:sz w:val="22"/>
          <w:szCs w:val="22"/>
          <w:lang w:eastAsia="en-AU"/>
        </w:rPr>
        <w:t>.</w:t>
      </w:r>
    </w:p>
    <w:p w:rsidR="009829EF" w:rsidRDefault="004849CA" w:rsidP="009829EF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The submission stated</w:t>
      </w:r>
      <w:r w:rsidR="009829EF">
        <w:rPr>
          <w:rFonts w:ascii="Arial" w:hAnsi="Arial"/>
          <w:sz w:val="22"/>
          <w:szCs w:val="22"/>
          <w:lang w:eastAsia="en-AU"/>
        </w:rPr>
        <w:t xml:space="preserve"> that the product can be used by</w:t>
      </w:r>
      <w:r w:rsidR="009829EF" w:rsidRPr="00226F37">
        <w:rPr>
          <w:rFonts w:ascii="Arial" w:hAnsi="Arial"/>
          <w:sz w:val="22"/>
          <w:szCs w:val="22"/>
          <w:lang w:eastAsia="en-AU"/>
        </w:rPr>
        <w:t xml:space="preserve"> </w:t>
      </w:r>
      <w:r w:rsidR="009829EF">
        <w:rPr>
          <w:rFonts w:ascii="Arial" w:hAnsi="Arial"/>
          <w:sz w:val="22"/>
          <w:szCs w:val="22"/>
          <w:lang w:eastAsia="en-AU"/>
        </w:rPr>
        <w:t xml:space="preserve">newborn infants up to 18 months, or for </w:t>
      </w:r>
      <w:r w:rsidR="00EB1DF9">
        <w:rPr>
          <w:rFonts w:ascii="Arial" w:hAnsi="Arial"/>
          <w:sz w:val="22"/>
          <w:szCs w:val="22"/>
          <w:lang w:eastAsia="en-AU"/>
        </w:rPr>
        <w:t>infa</w:t>
      </w:r>
      <w:r w:rsidR="009829EF">
        <w:rPr>
          <w:rFonts w:ascii="Arial" w:hAnsi="Arial"/>
          <w:sz w:val="22"/>
          <w:szCs w:val="22"/>
          <w:lang w:eastAsia="en-AU"/>
        </w:rPr>
        <w:t>nts weighing up to 9 kg.</w:t>
      </w:r>
    </w:p>
    <w:p w:rsidR="003540FF" w:rsidRDefault="003540FF" w:rsidP="003540FF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 xml:space="preserve">The product is an enteral formula which can be administered via </w:t>
      </w:r>
      <w:r w:rsidRPr="003540FF">
        <w:rPr>
          <w:rFonts w:ascii="Arial" w:hAnsi="Arial"/>
          <w:sz w:val="22"/>
          <w:szCs w:val="22"/>
          <w:lang w:eastAsia="en-AU"/>
        </w:rPr>
        <w:t>naso-enteric tube, gastrostomy or jejunostomy</w:t>
      </w:r>
      <w:r>
        <w:rPr>
          <w:rFonts w:ascii="Arial" w:hAnsi="Arial"/>
          <w:sz w:val="22"/>
          <w:szCs w:val="22"/>
          <w:lang w:eastAsia="en-AU"/>
        </w:rPr>
        <w:t>.</w:t>
      </w:r>
    </w:p>
    <w:p w:rsidR="00E5754C" w:rsidRPr="00E5754C" w:rsidRDefault="00E5754C" w:rsidP="00E5754C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3540FF">
        <w:rPr>
          <w:rFonts w:ascii="Arial" w:hAnsi="Arial"/>
          <w:sz w:val="22"/>
          <w:szCs w:val="22"/>
          <w:lang w:eastAsia="en-AU"/>
        </w:rPr>
        <w:t xml:space="preserve">The amount prescribed should be determined by a suitably qualified clinician and/or </w:t>
      </w:r>
      <w:r w:rsidR="008507BC" w:rsidRPr="003540FF">
        <w:rPr>
          <w:rFonts w:ascii="Arial" w:hAnsi="Arial"/>
          <w:sz w:val="22"/>
          <w:szCs w:val="22"/>
          <w:lang w:eastAsia="en-AU"/>
        </w:rPr>
        <w:t>dietician</w:t>
      </w:r>
      <w:r w:rsidRPr="003540FF">
        <w:rPr>
          <w:rFonts w:ascii="Arial" w:hAnsi="Arial"/>
          <w:sz w:val="22"/>
          <w:szCs w:val="22"/>
          <w:lang w:eastAsia="en-AU"/>
        </w:rPr>
        <w:t>.</w:t>
      </w:r>
      <w:r>
        <w:rPr>
          <w:rFonts w:ascii="Arial" w:hAnsi="Arial"/>
          <w:sz w:val="22"/>
          <w:szCs w:val="22"/>
          <w:lang w:eastAsia="en-AU"/>
        </w:rPr>
        <w:t xml:space="preserve"> </w:t>
      </w:r>
      <w:r w:rsidRPr="003540FF">
        <w:rPr>
          <w:rFonts w:ascii="Arial" w:hAnsi="Arial"/>
          <w:sz w:val="22"/>
          <w:szCs w:val="22"/>
          <w:lang w:eastAsia="en-AU"/>
        </w:rPr>
        <w:t>This will vary according to each individual patient’s calculated energy requirements.</w:t>
      </w:r>
    </w:p>
    <w:p w:rsidR="009237BC" w:rsidRPr="00904E40" w:rsidRDefault="009237BC" w:rsidP="003540FF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3D2D46">
        <w:rPr>
          <w:rFonts w:ascii="Arial" w:hAnsi="Arial"/>
          <w:bCs/>
          <w:sz w:val="22"/>
          <w:szCs w:val="22"/>
          <w:lang w:eastAsia="en-AU"/>
        </w:rPr>
        <w:t>Infatrini Peptisorb</w:t>
      </w:r>
      <w:r w:rsidRPr="003D2D46">
        <w:rPr>
          <w:rFonts w:ascii="Arial" w:hAnsi="Arial"/>
          <w:bCs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bCs/>
          <w:sz w:val="22"/>
          <w:szCs w:val="22"/>
          <w:vertAlign w:val="superscript"/>
          <w:lang w:eastAsia="en-AU"/>
        </w:rPr>
        <w:t xml:space="preserve"> </w:t>
      </w:r>
      <w:r>
        <w:rPr>
          <w:rFonts w:ascii="Arial" w:hAnsi="Arial"/>
          <w:bCs/>
          <w:sz w:val="22"/>
          <w:szCs w:val="22"/>
          <w:lang w:eastAsia="en-AU"/>
        </w:rPr>
        <w:t xml:space="preserve">has a higher protein content </w:t>
      </w:r>
      <w:r w:rsidR="003573D2">
        <w:rPr>
          <w:rFonts w:ascii="Arial" w:hAnsi="Arial"/>
          <w:bCs/>
          <w:sz w:val="22"/>
          <w:szCs w:val="22"/>
          <w:lang w:eastAsia="en-AU"/>
        </w:rPr>
        <w:t>(10.4% total energy) and higher energy (1kcal/mL) than</w:t>
      </w:r>
      <w:r w:rsidR="0013648B">
        <w:rPr>
          <w:rFonts w:ascii="Arial" w:hAnsi="Arial"/>
          <w:bCs/>
          <w:sz w:val="22"/>
          <w:szCs w:val="22"/>
          <w:lang w:eastAsia="en-AU"/>
        </w:rPr>
        <w:t xml:space="preserve"> the </w:t>
      </w:r>
      <w:r w:rsidR="00EB417A">
        <w:rPr>
          <w:rFonts w:ascii="Arial" w:hAnsi="Arial"/>
          <w:bCs/>
          <w:sz w:val="22"/>
          <w:szCs w:val="22"/>
          <w:lang w:eastAsia="en-AU"/>
        </w:rPr>
        <w:t xml:space="preserve">proposed </w:t>
      </w:r>
      <w:r w:rsidR="003B7995">
        <w:rPr>
          <w:rFonts w:ascii="Arial" w:hAnsi="Arial"/>
          <w:bCs/>
          <w:sz w:val="22"/>
          <w:szCs w:val="22"/>
          <w:lang w:eastAsia="en-AU"/>
        </w:rPr>
        <w:t>comparator,</w:t>
      </w:r>
      <w:r w:rsidR="003573D2">
        <w:rPr>
          <w:rFonts w:ascii="Arial" w:hAnsi="Arial"/>
          <w:bCs/>
          <w:sz w:val="22"/>
          <w:szCs w:val="22"/>
          <w:lang w:eastAsia="en-AU"/>
        </w:rPr>
        <w:t xml:space="preserve"> Monogen</w:t>
      </w:r>
      <w:r w:rsidR="003573D2" w:rsidRPr="003D2D46">
        <w:rPr>
          <w:rFonts w:ascii="Arial" w:hAnsi="Arial"/>
          <w:bCs/>
          <w:sz w:val="22"/>
          <w:szCs w:val="22"/>
          <w:vertAlign w:val="superscript"/>
          <w:lang w:eastAsia="en-AU"/>
        </w:rPr>
        <w:t>®</w:t>
      </w:r>
      <w:r w:rsidR="0013648B">
        <w:rPr>
          <w:rFonts w:ascii="Arial" w:hAnsi="Arial"/>
          <w:bCs/>
          <w:sz w:val="22"/>
          <w:szCs w:val="22"/>
          <w:lang w:eastAsia="en-AU"/>
        </w:rPr>
        <w:t>.</w:t>
      </w:r>
    </w:p>
    <w:p w:rsidR="00904E40" w:rsidRDefault="00904E40" w:rsidP="003540FF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bCs/>
          <w:sz w:val="22"/>
          <w:szCs w:val="22"/>
          <w:lang w:eastAsia="en-AU"/>
        </w:rPr>
        <w:t>The product also contains a low lactose level of 0.1g/100 mL to accommodate some infants with impaired GI tolerance who suffer from transient lactose intolerance.</w:t>
      </w:r>
    </w:p>
    <w:p w:rsidR="0013648B" w:rsidRDefault="00904E40" w:rsidP="003540FF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 xml:space="preserve">The submission noted </w:t>
      </w:r>
      <w:r w:rsidR="00E5754C">
        <w:rPr>
          <w:rFonts w:ascii="Arial" w:hAnsi="Arial"/>
          <w:sz w:val="22"/>
          <w:szCs w:val="22"/>
          <w:lang w:eastAsia="en-AU"/>
        </w:rPr>
        <w:t>that the level of zinc</w:t>
      </w:r>
      <w:r w:rsidR="0013648B">
        <w:rPr>
          <w:rFonts w:ascii="Arial" w:hAnsi="Arial"/>
          <w:sz w:val="22"/>
          <w:szCs w:val="22"/>
          <w:lang w:eastAsia="en-AU"/>
        </w:rPr>
        <w:t xml:space="preserve"> and vitamin</w:t>
      </w:r>
      <w:r w:rsidR="00E5754C">
        <w:rPr>
          <w:rFonts w:ascii="Arial" w:hAnsi="Arial"/>
          <w:sz w:val="22"/>
          <w:szCs w:val="22"/>
          <w:lang w:eastAsia="en-AU"/>
        </w:rPr>
        <w:t xml:space="preserve"> A exceed</w:t>
      </w:r>
      <w:r w:rsidR="0013648B">
        <w:rPr>
          <w:rFonts w:ascii="Arial" w:hAnsi="Arial"/>
          <w:sz w:val="22"/>
          <w:szCs w:val="22"/>
          <w:lang w:eastAsia="en-AU"/>
        </w:rPr>
        <w:t>s</w:t>
      </w:r>
      <w:r>
        <w:rPr>
          <w:rFonts w:ascii="Arial" w:hAnsi="Arial"/>
          <w:sz w:val="22"/>
          <w:szCs w:val="22"/>
          <w:lang w:eastAsia="en-AU"/>
        </w:rPr>
        <w:t xml:space="preserve"> the Upper Level</w:t>
      </w:r>
      <w:r w:rsidR="0013648B">
        <w:rPr>
          <w:rFonts w:ascii="Arial" w:hAnsi="Arial"/>
          <w:sz w:val="22"/>
          <w:szCs w:val="22"/>
          <w:lang w:eastAsia="en-AU"/>
        </w:rPr>
        <w:t xml:space="preserve"> (UL)</w:t>
      </w:r>
      <w:r>
        <w:rPr>
          <w:rFonts w:ascii="Arial" w:hAnsi="Arial"/>
          <w:sz w:val="22"/>
          <w:szCs w:val="22"/>
          <w:lang w:eastAsia="en-AU"/>
        </w:rPr>
        <w:t xml:space="preserve"> of Intake</w:t>
      </w:r>
      <w:r w:rsidR="0013648B">
        <w:rPr>
          <w:rFonts w:ascii="Arial" w:hAnsi="Arial"/>
          <w:sz w:val="22"/>
          <w:szCs w:val="22"/>
          <w:lang w:eastAsia="en-AU"/>
        </w:rPr>
        <w:t xml:space="preserve">, while other nutrients exceed the </w:t>
      </w:r>
      <w:r w:rsidR="0013648B" w:rsidRPr="0013648B">
        <w:rPr>
          <w:rFonts w:ascii="Arial" w:hAnsi="Arial"/>
          <w:sz w:val="22"/>
          <w:szCs w:val="22"/>
          <w:lang w:eastAsia="en-AU"/>
        </w:rPr>
        <w:t>Adequate In</w:t>
      </w:r>
      <w:r w:rsidR="0013648B">
        <w:rPr>
          <w:rFonts w:ascii="Arial" w:hAnsi="Arial"/>
          <w:sz w:val="22"/>
          <w:szCs w:val="22"/>
          <w:lang w:eastAsia="en-AU"/>
        </w:rPr>
        <w:t>takes/Recommended Daily Intakes (AI/RDI), as</w:t>
      </w:r>
      <w:r>
        <w:rPr>
          <w:rFonts w:ascii="Arial" w:hAnsi="Arial"/>
          <w:sz w:val="22"/>
          <w:szCs w:val="22"/>
          <w:lang w:eastAsia="en-AU"/>
        </w:rPr>
        <w:t xml:space="preserve"> set by the </w:t>
      </w:r>
      <w:r w:rsidR="00E5754C">
        <w:rPr>
          <w:rFonts w:ascii="Arial" w:hAnsi="Arial"/>
          <w:sz w:val="22"/>
          <w:szCs w:val="22"/>
          <w:lang w:eastAsia="en-AU"/>
        </w:rPr>
        <w:t xml:space="preserve">National Health and Medical Research Council. </w:t>
      </w:r>
    </w:p>
    <w:p w:rsidR="00904E40" w:rsidRDefault="004849CA" w:rsidP="003540FF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The submission stated</w:t>
      </w:r>
      <w:r w:rsidR="00E5754C">
        <w:rPr>
          <w:rFonts w:ascii="Arial" w:hAnsi="Arial"/>
          <w:sz w:val="22"/>
          <w:szCs w:val="22"/>
          <w:lang w:eastAsia="en-AU"/>
        </w:rPr>
        <w:t xml:space="preserve"> that </w:t>
      </w:r>
      <w:r w:rsidR="00E5754C" w:rsidRPr="00E5754C">
        <w:rPr>
          <w:rFonts w:ascii="Arial" w:hAnsi="Arial"/>
          <w:sz w:val="22"/>
          <w:szCs w:val="22"/>
          <w:lang w:eastAsia="en-AU"/>
        </w:rPr>
        <w:t>Zinc deficiency is commonly reported in patients with fat malabsorption</w:t>
      </w:r>
      <w:r w:rsidR="00E5754C">
        <w:rPr>
          <w:rFonts w:ascii="Arial" w:hAnsi="Arial"/>
          <w:sz w:val="22"/>
          <w:szCs w:val="22"/>
          <w:lang w:eastAsia="en-AU"/>
        </w:rPr>
        <w:t xml:space="preserve">, and the </w:t>
      </w:r>
      <w:r w:rsidR="0013648B">
        <w:rPr>
          <w:rFonts w:ascii="Arial" w:hAnsi="Arial"/>
          <w:sz w:val="22"/>
          <w:szCs w:val="22"/>
          <w:lang w:eastAsia="en-AU"/>
        </w:rPr>
        <w:t>above-UL content</w:t>
      </w:r>
      <w:r w:rsidR="00E5754C">
        <w:rPr>
          <w:rFonts w:ascii="Arial" w:hAnsi="Arial"/>
          <w:sz w:val="22"/>
          <w:szCs w:val="22"/>
          <w:lang w:eastAsia="en-AU"/>
        </w:rPr>
        <w:t xml:space="preserve"> is to compensate for this deficiency. Furthermore, the sponsor claims that it is reasonable </w:t>
      </w:r>
      <w:r w:rsidR="0013648B">
        <w:rPr>
          <w:rFonts w:ascii="Arial" w:hAnsi="Arial"/>
          <w:sz w:val="22"/>
          <w:szCs w:val="22"/>
          <w:lang w:eastAsia="en-AU"/>
        </w:rPr>
        <w:t>to have an above-UL amount of vitamin</w:t>
      </w:r>
      <w:r w:rsidR="00E5754C">
        <w:rPr>
          <w:rFonts w:ascii="Arial" w:hAnsi="Arial"/>
          <w:sz w:val="22"/>
          <w:szCs w:val="22"/>
          <w:lang w:eastAsia="en-AU"/>
        </w:rPr>
        <w:t xml:space="preserve"> A </w:t>
      </w:r>
      <w:r w:rsidR="0013648B">
        <w:rPr>
          <w:rFonts w:ascii="Arial" w:hAnsi="Arial"/>
          <w:sz w:val="22"/>
          <w:szCs w:val="22"/>
          <w:lang w:eastAsia="en-AU"/>
        </w:rPr>
        <w:t>a</w:t>
      </w:r>
      <w:r w:rsidR="00E5754C">
        <w:rPr>
          <w:rFonts w:ascii="Arial" w:hAnsi="Arial"/>
          <w:sz w:val="22"/>
          <w:szCs w:val="22"/>
          <w:lang w:eastAsia="en-AU"/>
        </w:rPr>
        <w:t xml:space="preserve">s </w:t>
      </w:r>
      <w:r w:rsidR="0013648B">
        <w:rPr>
          <w:rFonts w:ascii="Arial" w:hAnsi="Arial"/>
          <w:sz w:val="22"/>
          <w:szCs w:val="22"/>
          <w:lang w:eastAsia="en-AU"/>
        </w:rPr>
        <w:t>it is</w:t>
      </w:r>
      <w:r w:rsidR="00E5754C">
        <w:rPr>
          <w:rFonts w:ascii="Arial" w:hAnsi="Arial"/>
          <w:sz w:val="22"/>
          <w:szCs w:val="22"/>
          <w:lang w:eastAsia="en-AU"/>
        </w:rPr>
        <w:t xml:space="preserve"> fat-soluble, and </w:t>
      </w:r>
      <w:r w:rsidR="0013648B">
        <w:rPr>
          <w:rFonts w:ascii="Arial" w:hAnsi="Arial"/>
          <w:sz w:val="22"/>
          <w:szCs w:val="22"/>
          <w:lang w:eastAsia="en-AU"/>
        </w:rPr>
        <w:t>is</w:t>
      </w:r>
      <w:r w:rsidR="00E5754C">
        <w:rPr>
          <w:rFonts w:ascii="Arial" w:hAnsi="Arial"/>
          <w:sz w:val="22"/>
          <w:szCs w:val="22"/>
          <w:lang w:eastAsia="en-AU"/>
        </w:rPr>
        <w:t xml:space="preserve"> therefore assumed to be low in patients with fat malabsorption.</w:t>
      </w:r>
    </w:p>
    <w:p w:rsidR="002801D8" w:rsidRDefault="002275BD" w:rsidP="002801D8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 xml:space="preserve">The submission also noted that Potassium and Manganese levels were below the AI/RDI for patients aged 1 – 1.5 years. However, the </w:t>
      </w:r>
      <w:r w:rsidR="001C000C">
        <w:rPr>
          <w:rFonts w:ascii="Arial" w:hAnsi="Arial"/>
          <w:sz w:val="22"/>
          <w:szCs w:val="22"/>
          <w:lang w:eastAsia="en-AU"/>
        </w:rPr>
        <w:t xml:space="preserve">sponsor states that the </w:t>
      </w:r>
      <w:r>
        <w:rPr>
          <w:rFonts w:ascii="Arial" w:hAnsi="Arial"/>
          <w:sz w:val="22"/>
          <w:szCs w:val="22"/>
          <w:lang w:eastAsia="en-AU"/>
        </w:rPr>
        <w:t xml:space="preserve">levels still meet the minimum </w:t>
      </w:r>
      <w:r w:rsidR="00046757">
        <w:rPr>
          <w:rFonts w:ascii="Arial" w:hAnsi="Arial"/>
          <w:sz w:val="22"/>
          <w:szCs w:val="22"/>
          <w:lang w:eastAsia="en-AU"/>
        </w:rPr>
        <w:t xml:space="preserve">levels set by </w:t>
      </w:r>
      <w:r w:rsidR="00046757" w:rsidRPr="00C83B89">
        <w:rPr>
          <w:rFonts w:ascii="Arial" w:hAnsi="Arial"/>
          <w:i/>
          <w:sz w:val="22"/>
          <w:szCs w:val="22"/>
          <w:lang w:eastAsia="en-AU"/>
        </w:rPr>
        <w:t>The Australia Ne</w:t>
      </w:r>
      <w:r w:rsidR="00046757">
        <w:rPr>
          <w:rFonts w:ascii="Arial" w:hAnsi="Arial"/>
          <w:i/>
          <w:sz w:val="22"/>
          <w:szCs w:val="22"/>
          <w:lang w:eastAsia="en-AU"/>
        </w:rPr>
        <w:t xml:space="preserve">w Zealand Food Standards </w:t>
      </w:r>
      <w:r w:rsidR="00046757">
        <w:rPr>
          <w:rFonts w:ascii="Arial" w:hAnsi="Arial"/>
          <w:i/>
          <w:sz w:val="22"/>
          <w:szCs w:val="22"/>
          <w:lang w:eastAsia="en-AU"/>
        </w:rPr>
        <w:lastRenderedPageBreak/>
        <w:t xml:space="preserve">Code – </w:t>
      </w:r>
      <w:r w:rsidR="00046757" w:rsidRPr="00CC5D04">
        <w:rPr>
          <w:rFonts w:ascii="Arial" w:hAnsi="Arial"/>
          <w:sz w:val="22"/>
          <w:szCs w:val="22"/>
          <w:lang w:eastAsia="en-AU"/>
        </w:rPr>
        <w:t>Standard 2.9.1</w:t>
      </w:r>
      <w:r w:rsidR="00046757">
        <w:rPr>
          <w:rFonts w:ascii="Arial" w:hAnsi="Arial"/>
          <w:sz w:val="22"/>
          <w:szCs w:val="22"/>
          <w:lang w:eastAsia="en-AU"/>
        </w:rPr>
        <w:t xml:space="preserve"> </w:t>
      </w:r>
      <w:r w:rsidR="00046757" w:rsidRPr="00046757">
        <w:rPr>
          <w:rFonts w:ascii="Arial" w:hAnsi="Arial"/>
          <w:sz w:val="22"/>
          <w:szCs w:val="22"/>
          <w:lang w:eastAsia="en-AU"/>
        </w:rPr>
        <w:t xml:space="preserve">for products represented as an </w:t>
      </w:r>
      <w:r w:rsidR="00DB56A5">
        <w:rPr>
          <w:rFonts w:ascii="Arial" w:hAnsi="Arial"/>
          <w:sz w:val="22"/>
          <w:szCs w:val="22"/>
          <w:lang w:eastAsia="en-AU"/>
        </w:rPr>
        <w:t>i</w:t>
      </w:r>
      <w:r w:rsidR="00046757" w:rsidRPr="00046757">
        <w:rPr>
          <w:rFonts w:ascii="Arial" w:hAnsi="Arial"/>
          <w:sz w:val="22"/>
          <w:szCs w:val="22"/>
          <w:lang w:eastAsia="en-AU"/>
        </w:rPr>
        <w:t xml:space="preserve">nfant </w:t>
      </w:r>
      <w:r w:rsidR="00DB56A5">
        <w:rPr>
          <w:rFonts w:ascii="Arial" w:hAnsi="Arial"/>
          <w:sz w:val="22"/>
          <w:szCs w:val="22"/>
          <w:lang w:eastAsia="en-AU"/>
        </w:rPr>
        <w:t>f</w:t>
      </w:r>
      <w:r w:rsidR="00046757" w:rsidRPr="00046757">
        <w:rPr>
          <w:rFonts w:ascii="Arial" w:hAnsi="Arial"/>
          <w:sz w:val="22"/>
          <w:szCs w:val="22"/>
          <w:lang w:eastAsia="en-AU"/>
        </w:rPr>
        <w:t xml:space="preserve">ormula for </w:t>
      </w:r>
      <w:r w:rsidR="00DB56A5">
        <w:rPr>
          <w:rFonts w:ascii="Arial" w:hAnsi="Arial"/>
          <w:sz w:val="22"/>
          <w:szCs w:val="22"/>
          <w:lang w:eastAsia="en-AU"/>
        </w:rPr>
        <w:t>s</w:t>
      </w:r>
      <w:r w:rsidR="00046757" w:rsidRPr="00046757">
        <w:rPr>
          <w:rFonts w:ascii="Arial" w:hAnsi="Arial"/>
          <w:sz w:val="22"/>
          <w:szCs w:val="22"/>
          <w:lang w:eastAsia="en-AU"/>
        </w:rPr>
        <w:t xml:space="preserve">pecial </w:t>
      </w:r>
      <w:r w:rsidR="00DB56A5">
        <w:rPr>
          <w:rFonts w:ascii="Arial" w:hAnsi="Arial"/>
          <w:sz w:val="22"/>
          <w:szCs w:val="22"/>
          <w:lang w:eastAsia="en-AU"/>
        </w:rPr>
        <w:t>d</w:t>
      </w:r>
      <w:r w:rsidR="00046757" w:rsidRPr="00046757">
        <w:rPr>
          <w:rFonts w:ascii="Arial" w:hAnsi="Arial"/>
          <w:sz w:val="22"/>
          <w:szCs w:val="22"/>
          <w:lang w:eastAsia="en-AU"/>
        </w:rPr>
        <w:t xml:space="preserve">ietary </w:t>
      </w:r>
      <w:r w:rsidR="00DB56A5">
        <w:rPr>
          <w:rFonts w:ascii="Arial" w:hAnsi="Arial"/>
          <w:sz w:val="22"/>
          <w:szCs w:val="22"/>
          <w:lang w:eastAsia="en-AU"/>
        </w:rPr>
        <w:t>u</w:t>
      </w:r>
      <w:r w:rsidR="00046757" w:rsidRPr="00046757">
        <w:rPr>
          <w:rFonts w:ascii="Arial" w:hAnsi="Arial"/>
          <w:sz w:val="22"/>
          <w:szCs w:val="22"/>
          <w:lang w:eastAsia="en-AU"/>
        </w:rPr>
        <w:t>se</w:t>
      </w:r>
      <w:r w:rsidR="00046757">
        <w:rPr>
          <w:rFonts w:ascii="Arial" w:hAnsi="Arial"/>
          <w:sz w:val="22"/>
          <w:szCs w:val="22"/>
          <w:lang w:eastAsia="en-AU"/>
        </w:rPr>
        <w:t>.</w:t>
      </w:r>
    </w:p>
    <w:p w:rsidR="005B1FF1" w:rsidRPr="005B1FF1" w:rsidRDefault="005B1FF1" w:rsidP="005B1FF1">
      <w:pPr>
        <w:ind w:left="0" w:firstLine="0"/>
        <w:rPr>
          <w:rFonts w:ascii="Arial" w:hAnsi="Arial" w:cs="Arial"/>
          <w:bCs/>
          <w:snapToGrid w:val="0"/>
          <w:sz w:val="22"/>
          <w:szCs w:val="22"/>
        </w:rPr>
      </w:pPr>
      <w:r w:rsidRPr="0001264A">
        <w:rPr>
          <w:rFonts w:ascii="Arial" w:hAnsi="Arial" w:cs="Arial"/>
          <w:bCs/>
          <w:i/>
          <w:snapToGrid w:val="0"/>
          <w:sz w:val="22"/>
          <w:szCs w:val="22"/>
        </w:rPr>
        <w:t>For more detail on PBAC’s view, see section 6 “PBAC outcome”</w:t>
      </w:r>
    </w:p>
    <w:p w:rsidR="002801D8" w:rsidRPr="002801D8" w:rsidRDefault="002801D8" w:rsidP="00DD2715">
      <w:pPr>
        <w:spacing w:before="0" w:after="0"/>
        <w:ind w:left="72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C83B89" w:rsidRPr="00C83B89" w:rsidRDefault="00C83B89" w:rsidP="00701577">
      <w:pPr>
        <w:pStyle w:val="Heading2"/>
      </w:pPr>
      <w:r w:rsidRPr="00C83B89">
        <w:t>Comparator</w:t>
      </w:r>
    </w:p>
    <w:p w:rsidR="00905220" w:rsidRDefault="00C83B89" w:rsidP="007A494D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C83B89">
        <w:rPr>
          <w:rFonts w:ascii="Arial" w:hAnsi="Arial"/>
          <w:sz w:val="22"/>
          <w:szCs w:val="22"/>
          <w:lang w:eastAsia="en-AU"/>
        </w:rPr>
        <w:t>The minor submission nominated</w:t>
      </w:r>
      <w:r w:rsidR="004A1425">
        <w:rPr>
          <w:rFonts w:ascii="Arial" w:hAnsi="Arial"/>
          <w:sz w:val="22"/>
          <w:szCs w:val="22"/>
          <w:lang w:eastAsia="en-AU"/>
        </w:rPr>
        <w:t xml:space="preserve"> the currently PBS-listed</w:t>
      </w:r>
      <w:r w:rsidR="009829EF">
        <w:rPr>
          <w:rFonts w:ascii="Arial" w:hAnsi="Arial"/>
          <w:sz w:val="22"/>
          <w:szCs w:val="22"/>
          <w:lang w:eastAsia="en-AU"/>
        </w:rPr>
        <w:t xml:space="preserve"> </w:t>
      </w:r>
      <w:proofErr w:type="spellStart"/>
      <w:r w:rsidR="00417EE6">
        <w:rPr>
          <w:rFonts w:ascii="Arial" w:hAnsi="Arial"/>
          <w:sz w:val="22"/>
          <w:szCs w:val="22"/>
          <w:lang w:eastAsia="en-AU"/>
        </w:rPr>
        <w:t>Monogen</w:t>
      </w:r>
      <w:proofErr w:type="spellEnd"/>
      <w:r w:rsidR="004A1425" w:rsidRPr="004A1425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="00905220">
        <w:rPr>
          <w:rFonts w:ascii="Arial" w:hAnsi="Arial"/>
          <w:sz w:val="22"/>
          <w:szCs w:val="22"/>
          <w:lang w:eastAsia="en-AU"/>
        </w:rPr>
        <w:t xml:space="preserve"> as the main comparator. It is a </w:t>
      </w:r>
      <w:r w:rsidR="004A1425">
        <w:rPr>
          <w:rFonts w:ascii="Arial" w:hAnsi="Arial"/>
          <w:sz w:val="22"/>
          <w:szCs w:val="22"/>
          <w:lang w:eastAsia="en-AU"/>
        </w:rPr>
        <w:t xml:space="preserve">medium chain triglycerides </w:t>
      </w:r>
      <w:r w:rsidR="00905220" w:rsidRPr="00905220">
        <w:rPr>
          <w:rFonts w:ascii="Arial" w:hAnsi="Arial"/>
          <w:sz w:val="22"/>
          <w:szCs w:val="22"/>
          <w:lang w:eastAsia="en-AU"/>
        </w:rPr>
        <w:t>powder</w:t>
      </w:r>
      <w:r w:rsidR="004A1425">
        <w:rPr>
          <w:rFonts w:ascii="Arial" w:hAnsi="Arial"/>
          <w:sz w:val="22"/>
          <w:szCs w:val="22"/>
          <w:lang w:eastAsia="en-AU"/>
        </w:rPr>
        <w:t>ed formula</w:t>
      </w:r>
      <w:r w:rsidR="00905220">
        <w:rPr>
          <w:rFonts w:ascii="Arial" w:hAnsi="Arial"/>
          <w:sz w:val="22"/>
          <w:szCs w:val="22"/>
          <w:lang w:eastAsia="en-AU"/>
        </w:rPr>
        <w:t xml:space="preserve"> which can be </w:t>
      </w:r>
      <w:r w:rsidR="004A1425">
        <w:rPr>
          <w:rFonts w:ascii="Arial" w:hAnsi="Arial"/>
          <w:sz w:val="22"/>
          <w:szCs w:val="22"/>
          <w:lang w:eastAsia="en-AU"/>
        </w:rPr>
        <w:t>used</w:t>
      </w:r>
      <w:r w:rsidR="00905220">
        <w:rPr>
          <w:rFonts w:ascii="Arial" w:hAnsi="Arial"/>
          <w:sz w:val="22"/>
          <w:szCs w:val="22"/>
          <w:lang w:eastAsia="en-AU"/>
        </w:rPr>
        <w:t xml:space="preserve"> orally</w:t>
      </w:r>
      <w:r w:rsidR="004A1425">
        <w:rPr>
          <w:rFonts w:ascii="Arial" w:hAnsi="Arial"/>
          <w:sz w:val="22"/>
          <w:szCs w:val="22"/>
          <w:lang w:eastAsia="en-AU"/>
        </w:rPr>
        <w:t>,</w:t>
      </w:r>
      <w:r w:rsidR="00905220">
        <w:rPr>
          <w:rFonts w:ascii="Arial" w:hAnsi="Arial"/>
          <w:sz w:val="22"/>
          <w:szCs w:val="22"/>
          <w:lang w:eastAsia="en-AU"/>
        </w:rPr>
        <w:t xml:space="preserve"> or administered as an enteral tube feed</w:t>
      </w:r>
      <w:r w:rsidR="004A1425">
        <w:rPr>
          <w:rFonts w:ascii="Arial" w:hAnsi="Arial"/>
          <w:sz w:val="22"/>
          <w:szCs w:val="22"/>
          <w:lang w:eastAsia="en-AU"/>
        </w:rPr>
        <w:t>,</w:t>
      </w:r>
      <w:r w:rsidR="00905220" w:rsidRPr="00905220">
        <w:rPr>
          <w:rFonts w:ascii="Arial" w:hAnsi="Arial"/>
          <w:sz w:val="22"/>
          <w:szCs w:val="22"/>
          <w:lang w:eastAsia="en-AU"/>
        </w:rPr>
        <w:t xml:space="preserve"> </w:t>
      </w:r>
      <w:r w:rsidR="004A1425">
        <w:rPr>
          <w:rFonts w:ascii="Arial" w:hAnsi="Arial"/>
          <w:sz w:val="22"/>
          <w:szCs w:val="22"/>
          <w:lang w:eastAsia="en-AU"/>
        </w:rPr>
        <w:t xml:space="preserve">by patients with the same clinical criteria. </w:t>
      </w:r>
      <w:proofErr w:type="spellStart"/>
      <w:r w:rsidR="00F94D30">
        <w:rPr>
          <w:rFonts w:ascii="Arial" w:hAnsi="Arial"/>
          <w:sz w:val="22"/>
          <w:szCs w:val="22"/>
          <w:lang w:eastAsia="en-AU"/>
        </w:rPr>
        <w:t>Monogen</w:t>
      </w:r>
      <w:proofErr w:type="spellEnd"/>
      <w:r w:rsidR="00F94D30" w:rsidRPr="004A1425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="00F94D30">
        <w:rPr>
          <w:rFonts w:ascii="Arial" w:hAnsi="Arial" w:cs="Arial"/>
          <w:sz w:val="22"/>
          <w:szCs w:val="22"/>
          <w:vertAlign w:val="superscript"/>
          <w:lang w:eastAsia="en-AU"/>
        </w:rPr>
        <w:t xml:space="preserve"> </w:t>
      </w:r>
      <w:r w:rsidR="00275144">
        <w:rPr>
          <w:rFonts w:ascii="Arial" w:hAnsi="Arial" w:cs="Arial"/>
          <w:sz w:val="22"/>
          <w:szCs w:val="22"/>
          <w:lang w:eastAsia="en-AU"/>
        </w:rPr>
        <w:t>is</w:t>
      </w:r>
      <w:r w:rsidR="00F94D30">
        <w:rPr>
          <w:rFonts w:ascii="Arial" w:hAnsi="Arial" w:cs="Arial"/>
          <w:sz w:val="22"/>
          <w:szCs w:val="22"/>
          <w:lang w:eastAsia="en-AU"/>
        </w:rPr>
        <w:t xml:space="preserve"> </w:t>
      </w:r>
      <w:r w:rsidR="00F94D30" w:rsidRPr="00F94D30">
        <w:rPr>
          <w:rFonts w:ascii="Arial" w:hAnsi="Arial" w:cs="Arial"/>
          <w:sz w:val="22"/>
          <w:szCs w:val="22"/>
          <w:lang w:eastAsia="en-AU"/>
        </w:rPr>
        <w:t>the most commonly prescribed fat malabsorption</w:t>
      </w:r>
      <w:r w:rsidR="00F94D30">
        <w:rPr>
          <w:rFonts w:ascii="Arial" w:hAnsi="Arial" w:cs="Arial"/>
          <w:sz w:val="22"/>
          <w:szCs w:val="22"/>
          <w:lang w:eastAsia="en-AU"/>
        </w:rPr>
        <w:t xml:space="preserve"> treatment</w:t>
      </w:r>
      <w:r w:rsidR="00F94D30" w:rsidRPr="00F94D30">
        <w:rPr>
          <w:rFonts w:ascii="Arial" w:hAnsi="Arial" w:cs="Arial"/>
          <w:sz w:val="22"/>
          <w:szCs w:val="22"/>
          <w:lang w:eastAsia="en-AU"/>
        </w:rPr>
        <w:t xml:space="preserve"> </w:t>
      </w:r>
      <w:r w:rsidR="00F94D30" w:rsidRPr="007A494D">
        <w:rPr>
          <w:rFonts w:ascii="Arial" w:hAnsi="Arial"/>
          <w:sz w:val="22"/>
          <w:szCs w:val="22"/>
          <w:lang w:eastAsia="en-AU"/>
        </w:rPr>
        <w:t>for infants</w:t>
      </w:r>
      <w:r w:rsidR="00DF0FDB" w:rsidRPr="007A494D">
        <w:rPr>
          <w:rFonts w:ascii="Arial" w:hAnsi="Arial"/>
          <w:sz w:val="22"/>
          <w:szCs w:val="22"/>
          <w:lang w:eastAsia="en-AU"/>
        </w:rPr>
        <w:t xml:space="preserve"> aged 0 – 12 months</w:t>
      </w:r>
      <w:r w:rsidR="00F94D30" w:rsidRPr="007A494D">
        <w:rPr>
          <w:rFonts w:ascii="Arial" w:hAnsi="Arial"/>
          <w:sz w:val="22"/>
          <w:szCs w:val="22"/>
          <w:lang w:eastAsia="en-AU"/>
        </w:rPr>
        <w:t>.</w:t>
      </w:r>
    </w:p>
    <w:p w:rsidR="00275144" w:rsidRPr="00905220" w:rsidRDefault="00275144" w:rsidP="007A494D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The submission also nominated Peptamen Junior</w:t>
      </w:r>
      <w:r w:rsidRPr="000F6B96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 w:cs="Arial"/>
          <w:sz w:val="22"/>
          <w:szCs w:val="22"/>
          <w:lang w:eastAsia="en-AU"/>
        </w:rPr>
        <w:t xml:space="preserve"> as a comparator, as it is </w:t>
      </w:r>
      <w:r w:rsidRPr="00F94D30">
        <w:rPr>
          <w:rFonts w:ascii="Arial" w:hAnsi="Arial" w:cs="Arial"/>
          <w:sz w:val="22"/>
          <w:szCs w:val="22"/>
          <w:lang w:eastAsia="en-AU"/>
        </w:rPr>
        <w:t>the most commonly prescribed fat malabsorption</w:t>
      </w:r>
      <w:r>
        <w:rPr>
          <w:rFonts w:ascii="Arial" w:hAnsi="Arial" w:cs="Arial"/>
          <w:sz w:val="22"/>
          <w:szCs w:val="22"/>
          <w:lang w:eastAsia="en-AU"/>
        </w:rPr>
        <w:t xml:space="preserve"> treatment</w:t>
      </w:r>
      <w:r w:rsidRPr="00F94D30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7A494D">
        <w:rPr>
          <w:rFonts w:ascii="Arial" w:hAnsi="Arial"/>
          <w:sz w:val="22"/>
          <w:szCs w:val="22"/>
          <w:lang w:eastAsia="en-AU"/>
        </w:rPr>
        <w:t xml:space="preserve">for infants aged </w:t>
      </w:r>
      <w:r>
        <w:rPr>
          <w:rFonts w:ascii="Arial" w:hAnsi="Arial"/>
          <w:sz w:val="22"/>
          <w:szCs w:val="22"/>
          <w:lang w:eastAsia="en-AU"/>
        </w:rPr>
        <w:t>12</w:t>
      </w:r>
      <w:r w:rsidRPr="007A494D">
        <w:rPr>
          <w:rFonts w:ascii="Arial" w:hAnsi="Arial"/>
          <w:sz w:val="22"/>
          <w:szCs w:val="22"/>
          <w:lang w:eastAsia="en-AU"/>
        </w:rPr>
        <w:t xml:space="preserve"> – 1</w:t>
      </w:r>
      <w:r>
        <w:rPr>
          <w:rFonts w:ascii="Arial" w:hAnsi="Arial"/>
          <w:sz w:val="22"/>
          <w:szCs w:val="22"/>
          <w:lang w:eastAsia="en-AU"/>
        </w:rPr>
        <w:t>8</w:t>
      </w:r>
      <w:r w:rsidRPr="007A494D">
        <w:rPr>
          <w:rFonts w:ascii="Arial" w:hAnsi="Arial"/>
          <w:sz w:val="22"/>
          <w:szCs w:val="22"/>
          <w:lang w:eastAsia="en-AU"/>
        </w:rPr>
        <w:t xml:space="preserve"> months</w:t>
      </w:r>
      <w:r>
        <w:rPr>
          <w:rFonts w:ascii="Arial" w:hAnsi="Arial"/>
          <w:sz w:val="22"/>
          <w:szCs w:val="22"/>
          <w:lang w:eastAsia="en-AU"/>
        </w:rPr>
        <w:t>.</w:t>
      </w:r>
    </w:p>
    <w:p w:rsidR="0021439D" w:rsidRDefault="00361370" w:rsidP="0021439D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The sponsor</w:t>
      </w:r>
      <w:r w:rsidR="004849CA">
        <w:rPr>
          <w:rFonts w:ascii="Arial" w:hAnsi="Arial"/>
          <w:sz w:val="22"/>
          <w:szCs w:val="22"/>
          <w:lang w:eastAsia="en-AU"/>
        </w:rPr>
        <w:t xml:space="preserve"> proposed</w:t>
      </w:r>
      <w:r w:rsidR="004A1425">
        <w:rPr>
          <w:rFonts w:ascii="Arial" w:hAnsi="Arial"/>
          <w:sz w:val="22"/>
          <w:szCs w:val="22"/>
          <w:lang w:eastAsia="en-AU"/>
        </w:rPr>
        <w:t xml:space="preserve"> that the product can replace, or be used in combination with, other </w:t>
      </w:r>
      <w:r w:rsidR="00DD7B0C">
        <w:rPr>
          <w:rFonts w:ascii="Arial" w:hAnsi="Arial"/>
          <w:sz w:val="22"/>
          <w:szCs w:val="22"/>
          <w:lang w:eastAsia="en-AU"/>
        </w:rPr>
        <w:t xml:space="preserve">nutritional products </w:t>
      </w:r>
      <w:r w:rsidR="003B7995">
        <w:rPr>
          <w:rFonts w:ascii="Arial" w:hAnsi="Arial"/>
          <w:sz w:val="22"/>
          <w:szCs w:val="22"/>
          <w:lang w:eastAsia="en-AU"/>
        </w:rPr>
        <w:t xml:space="preserve">listed on the PBS </w:t>
      </w:r>
      <w:r w:rsidR="00DD7B0C">
        <w:rPr>
          <w:rFonts w:ascii="Arial" w:hAnsi="Arial"/>
          <w:sz w:val="22"/>
          <w:szCs w:val="22"/>
          <w:lang w:eastAsia="en-AU"/>
        </w:rPr>
        <w:t>for fat malabsorption</w:t>
      </w:r>
      <w:r w:rsidR="003B7995">
        <w:rPr>
          <w:rFonts w:ascii="Arial" w:hAnsi="Arial"/>
          <w:sz w:val="22"/>
          <w:szCs w:val="22"/>
          <w:lang w:eastAsia="en-AU"/>
        </w:rPr>
        <w:t>.</w:t>
      </w:r>
    </w:p>
    <w:p w:rsidR="005B1FF1" w:rsidRPr="005B1FF1" w:rsidRDefault="005B1FF1" w:rsidP="005B1FF1">
      <w:pPr>
        <w:ind w:left="0" w:firstLine="0"/>
        <w:rPr>
          <w:rFonts w:ascii="Arial" w:hAnsi="Arial" w:cs="Arial"/>
          <w:bCs/>
          <w:snapToGrid w:val="0"/>
          <w:sz w:val="22"/>
          <w:szCs w:val="22"/>
        </w:rPr>
      </w:pPr>
      <w:r w:rsidRPr="00B40F0B">
        <w:rPr>
          <w:rFonts w:ascii="Arial" w:hAnsi="Arial" w:cs="Arial"/>
          <w:bCs/>
          <w:i/>
          <w:snapToGrid w:val="0"/>
          <w:sz w:val="22"/>
          <w:szCs w:val="22"/>
        </w:rPr>
        <w:t>For more detail on PBAC’s view, see section 6 “PBAC outcome”</w:t>
      </w:r>
    </w:p>
    <w:p w:rsidR="005B1FF1" w:rsidRDefault="005B1FF1" w:rsidP="007025D3">
      <w:pPr>
        <w:spacing w:before="0" w:after="240"/>
        <w:ind w:left="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C83B89" w:rsidRPr="00C83B89" w:rsidRDefault="00C83B89" w:rsidP="00701577">
      <w:pPr>
        <w:pStyle w:val="Heading2"/>
      </w:pPr>
      <w:r w:rsidRPr="00C83B89">
        <w:t>Consideration of the evidence</w:t>
      </w:r>
    </w:p>
    <w:p w:rsidR="00C83B89" w:rsidRDefault="00C83B89" w:rsidP="00C83B89">
      <w:pPr>
        <w:spacing w:before="0" w:after="0"/>
        <w:ind w:left="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757D2D" w:rsidRPr="00C775E9" w:rsidRDefault="00757D2D" w:rsidP="00701577">
      <w:pPr>
        <w:pStyle w:val="Heading3"/>
      </w:pPr>
      <w:r w:rsidRPr="00C775E9">
        <w:t>Sponsor hearing</w:t>
      </w:r>
    </w:p>
    <w:p w:rsidR="002C2B96" w:rsidRDefault="002C2B96" w:rsidP="002C2B96">
      <w:pPr>
        <w:spacing w:before="0" w:after="120"/>
        <w:ind w:left="720" w:right="0" w:firstLine="0"/>
        <w:rPr>
          <w:rFonts w:ascii="Arial" w:hAnsi="Arial" w:cs="Arial"/>
          <w:bCs/>
          <w:snapToGrid w:val="0"/>
          <w:sz w:val="22"/>
          <w:szCs w:val="22"/>
          <w:highlight w:val="yellow"/>
        </w:rPr>
      </w:pPr>
    </w:p>
    <w:p w:rsidR="00757D2D" w:rsidRPr="002C2B96" w:rsidRDefault="00757D2D" w:rsidP="00757D2D">
      <w:pPr>
        <w:numPr>
          <w:ilvl w:val="1"/>
          <w:numId w:val="1"/>
        </w:numPr>
        <w:spacing w:before="0" w:after="120"/>
        <w:ind w:right="0"/>
        <w:rPr>
          <w:rFonts w:ascii="Arial" w:hAnsi="Arial" w:cs="Arial"/>
          <w:bCs/>
          <w:snapToGrid w:val="0"/>
          <w:sz w:val="22"/>
          <w:szCs w:val="22"/>
        </w:rPr>
      </w:pPr>
      <w:r w:rsidRPr="002C2B96">
        <w:rPr>
          <w:rFonts w:ascii="Arial" w:hAnsi="Arial" w:cs="Arial"/>
          <w:bCs/>
          <w:snapToGrid w:val="0"/>
          <w:sz w:val="22"/>
          <w:szCs w:val="22"/>
        </w:rPr>
        <w:t>There was no hearing for this item as it was a minor subm</w:t>
      </w:r>
      <w:r w:rsidR="002C2B96" w:rsidRPr="002C2B96">
        <w:rPr>
          <w:rFonts w:ascii="Arial" w:hAnsi="Arial" w:cs="Arial"/>
          <w:bCs/>
          <w:snapToGrid w:val="0"/>
          <w:sz w:val="22"/>
          <w:szCs w:val="22"/>
        </w:rPr>
        <w:t>ission.</w:t>
      </w:r>
    </w:p>
    <w:p w:rsidR="002C2B96" w:rsidRPr="00817EFB" w:rsidRDefault="002C2B96" w:rsidP="002C2B96">
      <w:pPr>
        <w:spacing w:before="0" w:after="120"/>
        <w:ind w:left="720" w:right="0" w:firstLine="0"/>
        <w:rPr>
          <w:rFonts w:ascii="Arial" w:hAnsi="Arial" w:cs="Arial"/>
          <w:bCs/>
          <w:snapToGrid w:val="0"/>
          <w:sz w:val="22"/>
          <w:szCs w:val="22"/>
          <w:highlight w:val="yellow"/>
        </w:rPr>
      </w:pPr>
    </w:p>
    <w:p w:rsidR="00757D2D" w:rsidRPr="00C775E9" w:rsidRDefault="00757D2D" w:rsidP="00701577">
      <w:pPr>
        <w:pStyle w:val="Heading3"/>
      </w:pPr>
      <w:r w:rsidRPr="00C775E9">
        <w:t>Consumer comments</w:t>
      </w:r>
    </w:p>
    <w:p w:rsidR="002C2B96" w:rsidRDefault="002C2B96" w:rsidP="002C2B96">
      <w:pPr>
        <w:spacing w:before="0" w:after="120"/>
        <w:ind w:left="720" w:right="0" w:firstLine="0"/>
        <w:rPr>
          <w:rFonts w:ascii="Arial" w:hAnsi="Arial" w:cs="Arial"/>
          <w:bCs/>
          <w:snapToGrid w:val="0"/>
          <w:sz w:val="22"/>
          <w:szCs w:val="22"/>
          <w:highlight w:val="yellow"/>
        </w:rPr>
      </w:pPr>
    </w:p>
    <w:p w:rsidR="00757D2D" w:rsidRPr="002C2B96" w:rsidRDefault="00757D2D" w:rsidP="00757D2D">
      <w:pPr>
        <w:numPr>
          <w:ilvl w:val="1"/>
          <w:numId w:val="1"/>
        </w:numPr>
        <w:spacing w:before="0" w:after="120"/>
        <w:ind w:right="0"/>
        <w:rPr>
          <w:rFonts w:ascii="Arial" w:hAnsi="Arial" w:cs="Arial"/>
          <w:bCs/>
          <w:snapToGrid w:val="0"/>
          <w:sz w:val="22"/>
          <w:szCs w:val="22"/>
        </w:rPr>
      </w:pPr>
      <w:r w:rsidRPr="002C2B96">
        <w:rPr>
          <w:rFonts w:ascii="Arial" w:hAnsi="Arial" w:cs="Arial"/>
          <w:bCs/>
          <w:snapToGrid w:val="0"/>
          <w:sz w:val="22"/>
          <w:szCs w:val="22"/>
        </w:rPr>
        <w:t>The PBAC noted that no consumer comme</w:t>
      </w:r>
      <w:r w:rsidR="002C2B96">
        <w:rPr>
          <w:rFonts w:ascii="Arial" w:hAnsi="Arial" w:cs="Arial"/>
          <w:bCs/>
          <w:snapToGrid w:val="0"/>
          <w:sz w:val="22"/>
          <w:szCs w:val="22"/>
        </w:rPr>
        <w:t>nts were received for this item</w:t>
      </w:r>
      <w:r w:rsidRPr="002C2B96">
        <w:rPr>
          <w:rFonts w:ascii="Arial" w:hAnsi="Arial" w:cs="Arial"/>
          <w:bCs/>
          <w:snapToGrid w:val="0"/>
          <w:sz w:val="22"/>
          <w:szCs w:val="22"/>
        </w:rPr>
        <w:t>.</w:t>
      </w:r>
    </w:p>
    <w:p w:rsidR="00757D2D" w:rsidRPr="00C83B89" w:rsidRDefault="00757D2D" w:rsidP="00757D2D">
      <w:pPr>
        <w:spacing w:before="0" w:after="0"/>
        <w:ind w:left="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C83B89" w:rsidRDefault="00C83B89" w:rsidP="00701577">
      <w:pPr>
        <w:pStyle w:val="Heading3"/>
      </w:pPr>
      <w:r w:rsidRPr="00C83B89">
        <w:t>Clinical trials</w:t>
      </w:r>
    </w:p>
    <w:p w:rsidR="00C775E9" w:rsidRDefault="00C775E9" w:rsidP="00C775E9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C83B89" w:rsidRDefault="00C83B89" w:rsidP="00C83B89">
      <w:pPr>
        <w:numPr>
          <w:ilvl w:val="1"/>
          <w:numId w:val="1"/>
        </w:numPr>
        <w:spacing w:before="0" w:after="0"/>
        <w:ind w:right="0"/>
        <w:contextualSpacing/>
        <w:jc w:val="both"/>
        <w:rPr>
          <w:rFonts w:ascii="Arial" w:hAnsi="Arial"/>
          <w:sz w:val="22"/>
          <w:szCs w:val="22"/>
          <w:lang w:eastAsia="en-AU"/>
        </w:rPr>
      </w:pPr>
      <w:r w:rsidRPr="00C83B89">
        <w:rPr>
          <w:rFonts w:ascii="Arial" w:hAnsi="Arial"/>
          <w:sz w:val="22"/>
          <w:szCs w:val="22"/>
          <w:lang w:eastAsia="en-AU"/>
        </w:rPr>
        <w:t>As a minor submission, no clinical trials were presented in the</w:t>
      </w:r>
      <w:r w:rsidR="003B7995">
        <w:rPr>
          <w:rFonts w:ascii="Arial" w:hAnsi="Arial"/>
          <w:sz w:val="22"/>
          <w:szCs w:val="22"/>
          <w:lang w:eastAsia="en-AU"/>
        </w:rPr>
        <w:t xml:space="preserve"> </w:t>
      </w:r>
      <w:r w:rsidRPr="00C83B89">
        <w:rPr>
          <w:rFonts w:ascii="Arial" w:hAnsi="Arial"/>
          <w:sz w:val="22"/>
          <w:szCs w:val="22"/>
          <w:lang w:eastAsia="en-AU"/>
        </w:rPr>
        <w:t>submission.</w:t>
      </w:r>
    </w:p>
    <w:p w:rsid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E62FDD" w:rsidRPr="005D4D70" w:rsidRDefault="00E62FDD" w:rsidP="00E62FDD">
      <w:pPr>
        <w:pStyle w:val="ListParagraph"/>
        <w:numPr>
          <w:ilvl w:val="1"/>
          <w:numId w:val="1"/>
        </w:numPr>
        <w:spacing w:before="0" w:after="0"/>
        <w:ind w:right="0"/>
        <w:jc w:val="both"/>
        <w:rPr>
          <w:rFonts w:ascii="Arial" w:hAnsi="Arial"/>
          <w:sz w:val="22"/>
          <w:szCs w:val="22"/>
        </w:rPr>
      </w:pPr>
      <w:r w:rsidRPr="005D4D70">
        <w:rPr>
          <w:rFonts w:ascii="Arial" w:hAnsi="Arial"/>
          <w:sz w:val="22"/>
          <w:szCs w:val="22"/>
        </w:rPr>
        <w:t>In consideration of the submission, the N</w:t>
      </w:r>
      <w:r>
        <w:rPr>
          <w:rFonts w:ascii="Arial" w:hAnsi="Arial"/>
          <w:sz w:val="22"/>
          <w:szCs w:val="22"/>
        </w:rPr>
        <w:t>utritional Products Working Party (NPWP)</w:t>
      </w:r>
      <w:r w:rsidRPr="005D4D70">
        <w:rPr>
          <w:rFonts w:ascii="Arial" w:hAnsi="Arial"/>
          <w:sz w:val="22"/>
          <w:szCs w:val="22"/>
        </w:rPr>
        <w:t xml:space="preserve"> noted:</w:t>
      </w:r>
    </w:p>
    <w:p w:rsid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  <w:r w:rsidRPr="00E62FDD">
        <w:rPr>
          <w:rFonts w:ascii="Arial" w:hAnsi="Arial"/>
          <w:sz w:val="22"/>
          <w:szCs w:val="22"/>
          <w:lang w:eastAsia="en-AU"/>
        </w:rPr>
        <w:t>The proposed listing was clinically and nutritionally appropriate, with suitable restriction criteria.</w:t>
      </w:r>
    </w:p>
    <w:p w:rsidR="00E62FDD" w:rsidRP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  <w:r w:rsidRPr="00E62FDD">
        <w:rPr>
          <w:rFonts w:ascii="Arial" w:hAnsi="Arial"/>
          <w:sz w:val="22"/>
          <w:szCs w:val="22"/>
          <w:lang w:eastAsia="en-AU"/>
        </w:rPr>
        <w:t>The proposed restriction level was a “Restricted Benefit”, based on the submission’s two nominated comparators; the currently PBS-listed brands Monogen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and Peptamen Junior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>. The submission stated that Monogen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and Peptamen Junior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were nominated because they are the highest selling products for infants with fat malabsorption aged 0 – 12 months and 12 – 18 months respectively.</w:t>
      </w:r>
    </w:p>
    <w:p w:rsidR="00E62FDD" w:rsidRP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  <w:r w:rsidRPr="00E62FDD">
        <w:rPr>
          <w:rFonts w:ascii="Arial" w:hAnsi="Arial"/>
          <w:sz w:val="22"/>
          <w:szCs w:val="22"/>
          <w:lang w:eastAsia="en-AU"/>
        </w:rPr>
        <w:t>Other similar PBS-listed treatments, such as Alfaré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and Aptamil Gold+ Pepti-Junior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>, are listed with an “Authority Required” restriction. The NPWP stated that these brands of formulas contain hydrolysed proteins and approximately 40 – 50% medium chain triglycerides (MCT); which provides an equivalent nutritional profile to 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>. However, one of the proposed comparators, Monogen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, contains non-hydrolysed proteins </w:t>
      </w:r>
      <w:r>
        <w:rPr>
          <w:rFonts w:ascii="Arial" w:hAnsi="Arial"/>
          <w:sz w:val="22"/>
          <w:szCs w:val="22"/>
          <w:lang w:eastAsia="en-AU"/>
        </w:rPr>
        <w:t>and 80% MCT. The NPWP noted</w:t>
      </w:r>
      <w:r w:rsidRPr="00E62FDD">
        <w:rPr>
          <w:rFonts w:ascii="Arial" w:hAnsi="Arial"/>
          <w:sz w:val="22"/>
          <w:szCs w:val="22"/>
          <w:lang w:eastAsia="en-AU"/>
        </w:rPr>
        <w:t xml:space="preserve"> this discrepancy and deemed Monogen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to be an unsuitable comparator for 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due to its higher MCT content and intact protein source.</w:t>
      </w:r>
    </w:p>
    <w:p w:rsidR="00E62FDD" w:rsidRP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E62FDD" w:rsidRPr="00E62FDD" w:rsidRDefault="00605D96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</w:t>
      </w:r>
      <w:r w:rsidR="00E62FDD" w:rsidRPr="00E62FDD">
        <w:rPr>
          <w:rFonts w:ascii="Arial" w:hAnsi="Arial"/>
          <w:sz w:val="22"/>
          <w:szCs w:val="22"/>
          <w:lang w:eastAsia="en-AU"/>
        </w:rPr>
        <w:t xml:space="preserve">he NPWP noted that the proposed comparators </w:t>
      </w:r>
      <w:r>
        <w:rPr>
          <w:rFonts w:ascii="Arial" w:hAnsi="Arial"/>
          <w:sz w:val="22"/>
          <w:szCs w:val="22"/>
          <w:lang w:eastAsia="en-AU"/>
        </w:rPr>
        <w:t>we</w:t>
      </w:r>
      <w:r w:rsidRPr="00E62FDD">
        <w:rPr>
          <w:rFonts w:ascii="Arial" w:hAnsi="Arial"/>
          <w:sz w:val="22"/>
          <w:szCs w:val="22"/>
          <w:lang w:eastAsia="en-AU"/>
        </w:rPr>
        <w:t xml:space="preserve">re </w:t>
      </w:r>
      <w:r w:rsidR="00E62FDD" w:rsidRPr="00E62FDD">
        <w:rPr>
          <w:rFonts w:ascii="Arial" w:hAnsi="Arial"/>
          <w:sz w:val="22"/>
          <w:szCs w:val="22"/>
          <w:lang w:eastAsia="en-AU"/>
        </w:rPr>
        <w:t>not suitable, and suggested products such as Alfaré</w:t>
      </w:r>
      <w:r w:rsidR="00E62FDD"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="00E62FDD" w:rsidRPr="00E62FDD">
        <w:rPr>
          <w:rFonts w:ascii="Arial" w:hAnsi="Arial"/>
          <w:sz w:val="22"/>
          <w:szCs w:val="22"/>
          <w:lang w:eastAsia="en-AU"/>
        </w:rPr>
        <w:t xml:space="preserve"> and Aptamil Gold+ Pepti-Junior</w:t>
      </w:r>
      <w:r w:rsidR="00E62FDD"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="00E62FDD">
        <w:rPr>
          <w:rFonts w:ascii="Arial" w:hAnsi="Arial"/>
          <w:sz w:val="22"/>
          <w:szCs w:val="22"/>
          <w:lang w:eastAsia="en-AU"/>
        </w:rPr>
        <w:t xml:space="preserve"> as more suitable comparator</w:t>
      </w:r>
      <w:r>
        <w:rPr>
          <w:rFonts w:ascii="Arial" w:hAnsi="Arial"/>
          <w:sz w:val="22"/>
          <w:szCs w:val="22"/>
          <w:lang w:eastAsia="en-AU"/>
        </w:rPr>
        <w:t>s</w:t>
      </w:r>
      <w:r w:rsidR="00E62FDD" w:rsidRPr="00E62FDD">
        <w:rPr>
          <w:rFonts w:ascii="Arial" w:hAnsi="Arial"/>
          <w:sz w:val="22"/>
          <w:szCs w:val="22"/>
          <w:lang w:eastAsia="en-AU"/>
        </w:rPr>
        <w:t>.</w:t>
      </w:r>
    </w:p>
    <w:p w:rsidR="00E62FDD" w:rsidRPr="00E62FDD" w:rsidRDefault="00E62FDD" w:rsidP="00E62FDD">
      <w:pPr>
        <w:spacing w:before="0" w:after="0"/>
        <w:ind w:left="72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E62FDD" w:rsidRDefault="00E62FDD" w:rsidP="00E62FDD">
      <w:pPr>
        <w:pStyle w:val="ListParagraph"/>
        <w:numPr>
          <w:ilvl w:val="1"/>
          <w:numId w:val="1"/>
        </w:numPr>
        <w:spacing w:before="0" w:after="0"/>
        <w:ind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Pr="00E62FDD">
        <w:rPr>
          <w:rFonts w:ascii="Arial" w:hAnsi="Arial"/>
          <w:sz w:val="22"/>
          <w:szCs w:val="22"/>
        </w:rPr>
        <w:t xml:space="preserve">he NPWP </w:t>
      </w:r>
      <w:r>
        <w:rPr>
          <w:rFonts w:ascii="Arial" w:hAnsi="Arial"/>
          <w:sz w:val="22"/>
          <w:szCs w:val="22"/>
        </w:rPr>
        <w:t>suggested</w:t>
      </w:r>
      <w:r w:rsidRPr="00E62FDD">
        <w:rPr>
          <w:rFonts w:ascii="Arial" w:hAnsi="Arial"/>
          <w:sz w:val="22"/>
          <w:szCs w:val="22"/>
        </w:rPr>
        <w:t xml:space="preserve"> deferring listing Infatrini Peptisorb</w:t>
      </w:r>
      <w:r w:rsidRPr="00CC5D04">
        <w:rPr>
          <w:rFonts w:ascii="Arial" w:hAnsi="Arial"/>
          <w:sz w:val="22"/>
          <w:szCs w:val="22"/>
          <w:vertAlign w:val="superscript"/>
        </w:rPr>
        <w:t>®</w:t>
      </w:r>
      <w:r w:rsidRPr="00E62FDD">
        <w:rPr>
          <w:rFonts w:ascii="Arial" w:hAnsi="Arial"/>
          <w:sz w:val="22"/>
          <w:szCs w:val="22"/>
        </w:rPr>
        <w:t xml:space="preserve"> on the basis that the proposed comparators were unsuitable. The NPWP </w:t>
      </w:r>
      <w:r>
        <w:rPr>
          <w:rFonts w:ascii="Arial" w:hAnsi="Arial"/>
          <w:sz w:val="22"/>
          <w:szCs w:val="22"/>
        </w:rPr>
        <w:t>advis</w:t>
      </w:r>
      <w:r w:rsidRPr="00E62FDD">
        <w:rPr>
          <w:rFonts w:ascii="Arial" w:hAnsi="Arial"/>
          <w:sz w:val="22"/>
          <w:szCs w:val="22"/>
        </w:rPr>
        <w:t>ed that the sponsor resubmits the new listing proposal with a more suitable comparator.</w:t>
      </w:r>
    </w:p>
    <w:p w:rsidR="00EF1298" w:rsidRDefault="00EF1298" w:rsidP="00EF1298">
      <w:pPr>
        <w:spacing w:before="0" w:after="0"/>
        <w:ind w:left="0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C83B89" w:rsidRPr="00C83B89" w:rsidRDefault="00C83B89" w:rsidP="00C83B89">
      <w:pPr>
        <w:spacing w:before="0" w:after="0"/>
        <w:ind w:left="709" w:right="0" w:firstLine="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p w:rsidR="00C83B89" w:rsidRPr="00701577" w:rsidRDefault="00C83B89" w:rsidP="00701577">
      <w:pPr>
        <w:pStyle w:val="Heading3"/>
      </w:pPr>
      <w:r w:rsidRPr="00701577">
        <w:t>Estimated PBS usage &amp; financial implications</w:t>
      </w:r>
    </w:p>
    <w:p w:rsidR="00C83B89" w:rsidRPr="007025D3" w:rsidRDefault="00C83B89" w:rsidP="00D73149">
      <w:pPr>
        <w:keepNext/>
        <w:keepLines/>
        <w:spacing w:before="0" w:after="0"/>
        <w:ind w:left="720" w:right="0" w:hanging="720"/>
        <w:jc w:val="both"/>
        <w:rPr>
          <w:rFonts w:ascii="Arial" w:hAnsi="Arial"/>
          <w:b/>
          <w:sz w:val="22"/>
          <w:szCs w:val="22"/>
          <w:lang w:eastAsia="en-AU"/>
        </w:rPr>
      </w:pPr>
    </w:p>
    <w:p w:rsidR="004849CA" w:rsidRDefault="007A494D" w:rsidP="00D73149">
      <w:pPr>
        <w:keepNext/>
        <w:keepLines/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7025D3">
        <w:rPr>
          <w:rFonts w:ascii="Arial" w:hAnsi="Arial"/>
          <w:sz w:val="22"/>
          <w:szCs w:val="22"/>
          <w:lang w:eastAsia="en-AU"/>
        </w:rPr>
        <w:t xml:space="preserve">The DPMQ for </w:t>
      </w:r>
      <w:proofErr w:type="spellStart"/>
      <w:r w:rsidRPr="007025D3">
        <w:rPr>
          <w:rFonts w:ascii="Arial" w:hAnsi="Arial"/>
          <w:bCs/>
          <w:sz w:val="22"/>
          <w:szCs w:val="22"/>
          <w:lang w:eastAsia="en-AU"/>
        </w:rPr>
        <w:t>Infatrini</w:t>
      </w:r>
      <w:proofErr w:type="spellEnd"/>
      <w:r w:rsidRPr="007025D3">
        <w:rPr>
          <w:rFonts w:ascii="Arial" w:hAnsi="Arial"/>
          <w:bCs/>
          <w:sz w:val="22"/>
          <w:szCs w:val="22"/>
          <w:lang w:eastAsia="en-AU"/>
        </w:rPr>
        <w:t xml:space="preserve"> </w:t>
      </w:r>
      <w:proofErr w:type="spellStart"/>
      <w:r w:rsidRPr="007025D3">
        <w:rPr>
          <w:rFonts w:ascii="Arial" w:hAnsi="Arial"/>
          <w:bCs/>
          <w:sz w:val="22"/>
          <w:szCs w:val="22"/>
          <w:lang w:eastAsia="en-AU"/>
        </w:rPr>
        <w:t>Peptisorb</w:t>
      </w:r>
      <w:proofErr w:type="spellEnd"/>
      <w:r w:rsidRPr="007025D3">
        <w:rPr>
          <w:rFonts w:ascii="Arial" w:hAnsi="Arial"/>
          <w:bCs/>
          <w:sz w:val="22"/>
          <w:szCs w:val="22"/>
          <w:vertAlign w:val="superscript"/>
          <w:lang w:eastAsia="en-AU"/>
        </w:rPr>
        <w:t>®</w:t>
      </w:r>
      <w:r w:rsidR="004849CA">
        <w:rPr>
          <w:rFonts w:ascii="Arial" w:hAnsi="Arial"/>
          <w:sz w:val="22"/>
          <w:szCs w:val="22"/>
          <w:lang w:eastAsia="en-AU"/>
        </w:rPr>
        <w:t xml:space="preserve"> ($</w:t>
      </w:r>
      <w:r w:rsidR="000C4CC7">
        <w:rPr>
          <w:rFonts w:ascii="Arial" w:hAnsi="Arial"/>
          <w:noProof/>
          <w:color w:val="000000"/>
          <w:sz w:val="22"/>
          <w:szCs w:val="22"/>
          <w:highlight w:val="black"/>
          <w:lang w:eastAsia="en-AU"/>
        </w:rPr>
        <w:t>'''''''''''''''</w:t>
      </w:r>
      <w:r w:rsidR="004849CA">
        <w:rPr>
          <w:rFonts w:ascii="Arial" w:hAnsi="Arial"/>
          <w:sz w:val="22"/>
          <w:szCs w:val="22"/>
          <w:lang w:eastAsia="en-AU"/>
        </w:rPr>
        <w:t>) wa</w:t>
      </w:r>
      <w:r w:rsidRPr="007025D3">
        <w:rPr>
          <w:rFonts w:ascii="Arial" w:hAnsi="Arial"/>
          <w:sz w:val="22"/>
          <w:szCs w:val="22"/>
          <w:lang w:eastAsia="en-AU"/>
        </w:rPr>
        <w:t>s calculated based on the cost per kilojoule of energy ($</w:t>
      </w:r>
      <w:r w:rsidR="000C4CC7">
        <w:rPr>
          <w:rFonts w:ascii="Arial" w:hAnsi="Arial"/>
          <w:noProof/>
          <w:color w:val="000000"/>
          <w:sz w:val="22"/>
          <w:szCs w:val="22"/>
          <w:highlight w:val="black"/>
          <w:lang w:eastAsia="en-AU"/>
        </w:rPr>
        <w:t>''''''''''''''''''</w:t>
      </w:r>
      <w:r w:rsidRPr="007025D3">
        <w:rPr>
          <w:rFonts w:ascii="Arial" w:hAnsi="Arial"/>
          <w:sz w:val="22"/>
          <w:szCs w:val="22"/>
          <w:lang w:eastAsia="en-AU"/>
        </w:rPr>
        <w:t>) of the comparator</w:t>
      </w:r>
      <w:r w:rsidR="00A52322" w:rsidRPr="007025D3">
        <w:rPr>
          <w:rFonts w:ascii="Arial" w:hAnsi="Arial"/>
          <w:sz w:val="22"/>
          <w:szCs w:val="22"/>
          <w:lang w:eastAsia="en-AU"/>
        </w:rPr>
        <w:t>s Monogen</w:t>
      </w:r>
      <w:r w:rsidR="00A52322" w:rsidRPr="007025D3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Pr="007025D3">
        <w:rPr>
          <w:rFonts w:ascii="Arial" w:hAnsi="Arial"/>
          <w:sz w:val="22"/>
          <w:szCs w:val="22"/>
          <w:lang w:eastAsia="en-AU"/>
        </w:rPr>
        <w:t xml:space="preserve"> and Peptamen Junior</w:t>
      </w:r>
      <w:r w:rsidRPr="007025D3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="00A52322" w:rsidRPr="007025D3">
        <w:rPr>
          <w:rFonts w:ascii="Arial" w:hAnsi="Arial"/>
          <w:sz w:val="22"/>
          <w:szCs w:val="22"/>
          <w:lang w:eastAsia="en-AU"/>
        </w:rPr>
        <w:t>.</w:t>
      </w:r>
      <w:r w:rsidR="00873DAF" w:rsidRPr="007025D3">
        <w:rPr>
          <w:rFonts w:ascii="Arial" w:hAnsi="Arial"/>
          <w:sz w:val="22"/>
          <w:szCs w:val="22"/>
          <w:lang w:eastAsia="en-AU"/>
        </w:rPr>
        <w:t xml:space="preserve"> </w:t>
      </w:r>
    </w:p>
    <w:p w:rsidR="007A494D" w:rsidRPr="007025D3" w:rsidRDefault="004849CA" w:rsidP="007A494D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The Secretariat noted that t</w:t>
      </w:r>
      <w:r w:rsidR="00873DAF" w:rsidRPr="007025D3">
        <w:rPr>
          <w:rFonts w:ascii="Arial" w:hAnsi="Arial"/>
          <w:sz w:val="22"/>
          <w:szCs w:val="22"/>
          <w:lang w:eastAsia="en-AU"/>
        </w:rPr>
        <w:t xml:space="preserve">he DPMQ </w:t>
      </w:r>
      <w:r>
        <w:rPr>
          <w:rFonts w:ascii="Arial" w:hAnsi="Arial"/>
          <w:sz w:val="22"/>
          <w:szCs w:val="22"/>
          <w:lang w:eastAsia="en-AU"/>
        </w:rPr>
        <w:t>from the sponsor was</w:t>
      </w:r>
      <w:r w:rsidR="00873DAF" w:rsidRPr="007025D3">
        <w:rPr>
          <w:rFonts w:ascii="Arial" w:hAnsi="Arial"/>
          <w:sz w:val="22"/>
          <w:szCs w:val="22"/>
          <w:lang w:eastAsia="en-AU"/>
        </w:rPr>
        <w:t xml:space="preserve"> calculated on a cost per kJ of energy basis, rather than cost per gram of Protein Equivalent</w:t>
      </w:r>
      <w:r w:rsidR="00AD02B9">
        <w:rPr>
          <w:rFonts w:ascii="Arial" w:hAnsi="Arial"/>
          <w:sz w:val="22"/>
          <w:szCs w:val="22"/>
          <w:lang w:eastAsia="en-AU"/>
        </w:rPr>
        <w:t>.</w:t>
      </w:r>
      <w:r w:rsidR="007A494D" w:rsidRPr="007025D3">
        <w:rPr>
          <w:rFonts w:ascii="Arial" w:hAnsi="Arial"/>
          <w:sz w:val="22"/>
          <w:szCs w:val="22"/>
          <w:lang w:eastAsia="en-AU"/>
        </w:rPr>
        <w:t xml:space="preserve"> </w:t>
      </w:r>
    </w:p>
    <w:p w:rsidR="00C83B89" w:rsidRPr="007025D3" w:rsidRDefault="00752C54" w:rsidP="007A494D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trike/>
          <w:sz w:val="22"/>
          <w:szCs w:val="22"/>
          <w:lang w:eastAsia="en-AU"/>
        </w:rPr>
      </w:pPr>
      <w:r w:rsidRPr="007025D3">
        <w:rPr>
          <w:rFonts w:ascii="Arial" w:hAnsi="Arial"/>
          <w:sz w:val="22"/>
          <w:szCs w:val="22"/>
          <w:lang w:eastAsia="en-AU"/>
        </w:rPr>
        <w:t>The s</w:t>
      </w:r>
      <w:r w:rsidR="00F94D30" w:rsidRPr="007025D3">
        <w:rPr>
          <w:rFonts w:ascii="Arial" w:hAnsi="Arial"/>
          <w:sz w:val="22"/>
          <w:szCs w:val="22"/>
          <w:lang w:eastAsia="en-AU"/>
        </w:rPr>
        <w:t>ubmission</w:t>
      </w:r>
      <w:r w:rsidRPr="007025D3">
        <w:rPr>
          <w:rFonts w:ascii="Arial" w:hAnsi="Arial"/>
          <w:sz w:val="22"/>
          <w:szCs w:val="22"/>
          <w:lang w:eastAsia="en-AU"/>
        </w:rPr>
        <w:t xml:space="preserve"> </w:t>
      </w:r>
      <w:r w:rsidR="007A494D" w:rsidRPr="007025D3">
        <w:rPr>
          <w:rFonts w:ascii="Arial" w:hAnsi="Arial"/>
          <w:sz w:val="22"/>
          <w:szCs w:val="22"/>
          <w:lang w:eastAsia="en-AU"/>
        </w:rPr>
        <w:t>estimat</w:t>
      </w:r>
      <w:r w:rsidR="004849CA">
        <w:rPr>
          <w:rFonts w:ascii="Arial" w:hAnsi="Arial"/>
          <w:sz w:val="22"/>
          <w:szCs w:val="22"/>
          <w:lang w:eastAsia="en-AU"/>
        </w:rPr>
        <w:t>ed</w:t>
      </w:r>
      <w:r w:rsidRPr="007025D3">
        <w:rPr>
          <w:rFonts w:ascii="Arial" w:hAnsi="Arial"/>
          <w:sz w:val="22"/>
          <w:szCs w:val="22"/>
          <w:lang w:eastAsia="en-AU"/>
        </w:rPr>
        <w:t xml:space="preserve"> that approximately </w:t>
      </w:r>
      <w:r w:rsidR="000C4CC7">
        <w:rPr>
          <w:rFonts w:ascii="Arial" w:hAnsi="Arial"/>
          <w:noProof/>
          <w:color w:val="000000"/>
          <w:sz w:val="22"/>
          <w:szCs w:val="22"/>
          <w:highlight w:val="black"/>
          <w:lang w:eastAsia="en-AU"/>
        </w:rPr>
        <w:t>''''''</w:t>
      </w:r>
      <w:r w:rsidRPr="007025D3">
        <w:rPr>
          <w:rFonts w:ascii="Arial" w:hAnsi="Arial"/>
          <w:sz w:val="22"/>
          <w:szCs w:val="22"/>
          <w:lang w:eastAsia="en-AU"/>
        </w:rPr>
        <w:t xml:space="preserve">% </w:t>
      </w:r>
      <w:r w:rsidR="00F94D30" w:rsidRPr="007025D3">
        <w:rPr>
          <w:rFonts w:ascii="Arial" w:hAnsi="Arial"/>
          <w:sz w:val="22"/>
          <w:szCs w:val="22"/>
          <w:lang w:eastAsia="en-AU"/>
        </w:rPr>
        <w:t xml:space="preserve">of infants aged 0 – 12 months currently using </w:t>
      </w:r>
      <w:proofErr w:type="spellStart"/>
      <w:r w:rsidR="00F94D30" w:rsidRPr="007025D3">
        <w:rPr>
          <w:rFonts w:ascii="Arial" w:hAnsi="Arial"/>
          <w:sz w:val="22"/>
          <w:szCs w:val="22"/>
          <w:lang w:eastAsia="en-AU"/>
        </w:rPr>
        <w:t>Monogen</w:t>
      </w:r>
      <w:proofErr w:type="spellEnd"/>
      <w:r w:rsidR="00F94D30" w:rsidRPr="007025D3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="00DF0FDB" w:rsidRPr="007025D3">
        <w:rPr>
          <w:rFonts w:ascii="Arial" w:hAnsi="Arial" w:cs="Arial"/>
          <w:sz w:val="22"/>
          <w:szCs w:val="22"/>
          <w:lang w:eastAsia="en-AU"/>
        </w:rPr>
        <w:t xml:space="preserve">, and </w:t>
      </w:r>
      <w:r w:rsidR="00DF0FDB" w:rsidRPr="007025D3">
        <w:rPr>
          <w:rFonts w:ascii="Arial" w:hAnsi="Arial"/>
          <w:sz w:val="22"/>
          <w:szCs w:val="22"/>
          <w:lang w:eastAsia="en-AU"/>
        </w:rPr>
        <w:t xml:space="preserve">approximately </w:t>
      </w:r>
      <w:r w:rsidR="000C4CC7">
        <w:rPr>
          <w:rFonts w:ascii="Arial" w:hAnsi="Arial"/>
          <w:noProof/>
          <w:color w:val="000000"/>
          <w:sz w:val="22"/>
          <w:szCs w:val="22"/>
          <w:highlight w:val="black"/>
          <w:lang w:eastAsia="en-AU"/>
        </w:rPr>
        <w:t>''''''</w:t>
      </w:r>
      <w:r w:rsidR="00DF0FDB" w:rsidRPr="007025D3">
        <w:rPr>
          <w:rFonts w:ascii="Arial" w:hAnsi="Arial"/>
          <w:sz w:val="22"/>
          <w:szCs w:val="22"/>
          <w:lang w:eastAsia="en-AU"/>
        </w:rPr>
        <w:t>% of infants aged 12 – 18 months currently using Peptamen Junior</w:t>
      </w:r>
      <w:r w:rsidR="00DF0FDB" w:rsidRPr="007025D3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="00DF0FDB" w:rsidRPr="007025D3">
        <w:rPr>
          <w:rFonts w:ascii="Arial" w:hAnsi="Arial" w:cs="Arial"/>
          <w:sz w:val="22"/>
          <w:szCs w:val="22"/>
          <w:lang w:eastAsia="en-AU"/>
        </w:rPr>
        <w:t>,</w:t>
      </w:r>
      <w:r w:rsidRPr="007025D3">
        <w:rPr>
          <w:rFonts w:ascii="Arial" w:hAnsi="Arial"/>
          <w:sz w:val="22"/>
          <w:szCs w:val="22"/>
          <w:lang w:eastAsia="en-AU"/>
        </w:rPr>
        <w:t xml:space="preserve"> </w:t>
      </w:r>
      <w:r w:rsidRPr="007025D3">
        <w:rPr>
          <w:rFonts w:ascii="Arial" w:hAnsi="Arial" w:cs="Arial"/>
          <w:sz w:val="22"/>
          <w:szCs w:val="22"/>
          <w:lang w:eastAsia="en-AU"/>
        </w:rPr>
        <w:t>will replace their treatment with Infatrini Peptisorb</w:t>
      </w:r>
      <w:r w:rsidRPr="007025D3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="00F94D30" w:rsidRPr="007025D3">
        <w:rPr>
          <w:rFonts w:ascii="Arial" w:hAnsi="Arial" w:cs="Arial"/>
          <w:sz w:val="22"/>
          <w:szCs w:val="22"/>
          <w:lang w:eastAsia="en-AU"/>
        </w:rPr>
        <w:t>.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 xml:space="preserve"> No justification for these estimates w</w:t>
      </w:r>
      <w:r w:rsidR="004E7477">
        <w:rPr>
          <w:rFonts w:ascii="Arial" w:hAnsi="Arial" w:cs="Arial"/>
          <w:sz w:val="22"/>
          <w:szCs w:val="22"/>
          <w:lang w:eastAsia="en-AU"/>
        </w:rPr>
        <w:t>as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 xml:space="preserve"> provided in the submission.</w:t>
      </w:r>
      <w:r w:rsidR="00DF0FDB" w:rsidRPr="007025D3">
        <w:rPr>
          <w:rFonts w:ascii="Arial" w:hAnsi="Arial" w:cs="Arial"/>
          <w:sz w:val="22"/>
          <w:szCs w:val="22"/>
          <w:lang w:eastAsia="en-AU"/>
        </w:rPr>
        <w:t xml:space="preserve"> </w:t>
      </w:r>
    </w:p>
    <w:p w:rsidR="006A2C8F" w:rsidRPr="007025D3" w:rsidRDefault="006A2C8F" w:rsidP="007A494D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7025D3">
        <w:rPr>
          <w:rFonts w:ascii="Arial" w:hAnsi="Arial" w:cs="Arial"/>
          <w:sz w:val="22"/>
          <w:szCs w:val="22"/>
          <w:lang w:eastAsia="en-AU"/>
        </w:rPr>
        <w:t>Based on these calculations, the submission estimate</w:t>
      </w:r>
      <w:r w:rsidR="004849CA">
        <w:rPr>
          <w:rFonts w:ascii="Arial" w:hAnsi="Arial" w:cs="Arial"/>
          <w:sz w:val="22"/>
          <w:szCs w:val="22"/>
          <w:lang w:eastAsia="en-AU"/>
        </w:rPr>
        <w:t>d</w:t>
      </w:r>
      <w:r w:rsidRPr="007025D3">
        <w:rPr>
          <w:rFonts w:ascii="Arial" w:hAnsi="Arial" w:cs="Arial"/>
          <w:sz w:val="22"/>
          <w:szCs w:val="22"/>
          <w:lang w:eastAsia="en-AU"/>
        </w:rPr>
        <w:t xml:space="preserve"> dispensing </w:t>
      </w:r>
      <w:r w:rsidR="000C4CC7">
        <w:rPr>
          <w:rFonts w:ascii="Arial" w:hAnsi="Arial" w:cs="Arial"/>
          <w:noProof/>
          <w:color w:val="000000"/>
          <w:sz w:val="22"/>
          <w:szCs w:val="22"/>
          <w:highlight w:val="black"/>
          <w:lang w:eastAsia="en-AU"/>
        </w:rPr>
        <w:t>''''''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 xml:space="preserve"> prescriptions</w:t>
      </w:r>
      <w:r w:rsidRPr="007025D3">
        <w:rPr>
          <w:rFonts w:ascii="Arial" w:hAnsi="Arial" w:cs="Arial"/>
          <w:sz w:val="22"/>
          <w:szCs w:val="22"/>
          <w:lang w:eastAsia="en-AU"/>
        </w:rPr>
        <w:t xml:space="preserve"> of </w:t>
      </w:r>
      <w:proofErr w:type="spellStart"/>
      <w:r w:rsidRPr="007025D3">
        <w:rPr>
          <w:rFonts w:ascii="Arial" w:hAnsi="Arial" w:cs="Arial"/>
          <w:sz w:val="22"/>
          <w:szCs w:val="22"/>
          <w:lang w:eastAsia="en-AU"/>
        </w:rPr>
        <w:t>Infatrini</w:t>
      </w:r>
      <w:proofErr w:type="spellEnd"/>
      <w:r w:rsidRPr="007025D3">
        <w:rPr>
          <w:rFonts w:ascii="Arial" w:hAnsi="Arial" w:cs="Arial"/>
          <w:sz w:val="22"/>
          <w:szCs w:val="22"/>
          <w:lang w:eastAsia="en-AU"/>
        </w:rPr>
        <w:t xml:space="preserve"> Peptisorb</w:t>
      </w:r>
      <w:r w:rsidRPr="007025D3">
        <w:rPr>
          <w:rFonts w:ascii="Arial" w:hAnsi="Arial" w:cs="Arial"/>
          <w:sz w:val="22"/>
          <w:szCs w:val="22"/>
          <w:vertAlign w:val="superscript"/>
          <w:lang w:eastAsia="en-AU"/>
        </w:rPr>
        <w:t>®</w:t>
      </w:r>
      <w:r w:rsidRPr="007025D3">
        <w:rPr>
          <w:rFonts w:ascii="Arial" w:hAnsi="Arial" w:cs="Arial"/>
          <w:sz w:val="22"/>
          <w:szCs w:val="22"/>
          <w:lang w:eastAsia="en-AU"/>
        </w:rPr>
        <w:t xml:space="preserve"> within the first year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 xml:space="preserve">, increasing to </w:t>
      </w:r>
      <w:r w:rsidR="000C4CC7">
        <w:rPr>
          <w:rFonts w:ascii="Arial" w:hAnsi="Arial" w:cs="Arial"/>
          <w:noProof/>
          <w:color w:val="000000"/>
          <w:sz w:val="22"/>
          <w:szCs w:val="22"/>
          <w:highlight w:val="black"/>
          <w:lang w:eastAsia="en-AU"/>
        </w:rPr>
        <w:t>'''''''''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 xml:space="preserve"> in year 5. As noted above in </w:t>
      </w:r>
      <w:r w:rsidR="004849CA">
        <w:rPr>
          <w:rFonts w:ascii="Arial" w:hAnsi="Arial" w:cs="Arial"/>
          <w:sz w:val="22"/>
          <w:szCs w:val="22"/>
          <w:lang w:eastAsia="en-AU"/>
        </w:rPr>
        <w:t xml:space="preserve">paragraph 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 xml:space="preserve">5.3, the accuracy of these estimates </w:t>
      </w:r>
      <w:r w:rsidR="0001264A" w:rsidRPr="007025D3">
        <w:rPr>
          <w:rFonts w:ascii="Arial" w:hAnsi="Arial" w:cs="Arial"/>
          <w:sz w:val="22"/>
          <w:szCs w:val="22"/>
          <w:lang w:eastAsia="en-AU"/>
        </w:rPr>
        <w:t>has</w:t>
      </w:r>
      <w:r w:rsidR="00B96350" w:rsidRPr="007025D3">
        <w:rPr>
          <w:rFonts w:ascii="Arial" w:hAnsi="Arial" w:cs="Arial"/>
          <w:sz w:val="22"/>
          <w:szCs w:val="22"/>
          <w:lang w:eastAsia="en-AU"/>
        </w:rPr>
        <w:t xml:space="preserve"> not 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>be</w:t>
      </w:r>
      <w:r w:rsidR="00B96350" w:rsidRPr="007025D3">
        <w:rPr>
          <w:rFonts w:ascii="Arial" w:hAnsi="Arial" w:cs="Arial"/>
          <w:sz w:val="22"/>
          <w:szCs w:val="22"/>
          <w:lang w:eastAsia="en-AU"/>
        </w:rPr>
        <w:t>en</w:t>
      </w:r>
      <w:r w:rsidR="00EB417A" w:rsidRPr="007025D3">
        <w:rPr>
          <w:rFonts w:ascii="Arial" w:hAnsi="Arial" w:cs="Arial"/>
          <w:sz w:val="22"/>
          <w:szCs w:val="22"/>
          <w:lang w:eastAsia="en-AU"/>
        </w:rPr>
        <w:t xml:space="preserve"> verified.</w:t>
      </w:r>
    </w:p>
    <w:p w:rsidR="008507BC" w:rsidRPr="007025D3" w:rsidRDefault="0021439D" w:rsidP="008507BC">
      <w:pPr>
        <w:numPr>
          <w:ilvl w:val="1"/>
          <w:numId w:val="1"/>
        </w:numPr>
        <w:spacing w:before="0" w:after="240"/>
        <w:ind w:right="0"/>
        <w:jc w:val="both"/>
        <w:rPr>
          <w:rFonts w:ascii="Arial" w:hAnsi="Arial"/>
          <w:sz w:val="22"/>
          <w:szCs w:val="22"/>
          <w:lang w:eastAsia="en-AU"/>
        </w:rPr>
      </w:pPr>
      <w:r w:rsidRPr="007025D3">
        <w:rPr>
          <w:rFonts w:ascii="Arial" w:hAnsi="Arial" w:cs="Arial"/>
          <w:sz w:val="22"/>
          <w:szCs w:val="22"/>
          <w:lang w:eastAsia="en-AU"/>
        </w:rPr>
        <w:t xml:space="preserve">The submission </w:t>
      </w:r>
      <w:r w:rsidR="004849CA">
        <w:rPr>
          <w:rFonts w:ascii="Arial" w:hAnsi="Arial" w:cs="Arial"/>
          <w:sz w:val="22"/>
          <w:szCs w:val="22"/>
          <w:lang w:eastAsia="en-AU"/>
        </w:rPr>
        <w:t>estimated</w:t>
      </w:r>
      <w:r w:rsidR="008B1A45" w:rsidRPr="007025D3">
        <w:rPr>
          <w:rFonts w:ascii="Arial" w:hAnsi="Arial" w:cs="Arial"/>
          <w:sz w:val="22"/>
          <w:szCs w:val="22"/>
          <w:lang w:eastAsia="en-AU"/>
        </w:rPr>
        <w:t xml:space="preserve"> an overall saving on the PBS</w:t>
      </w:r>
      <w:r w:rsidR="00490E22" w:rsidRPr="007025D3">
        <w:rPr>
          <w:rFonts w:ascii="Arial" w:hAnsi="Arial" w:cs="Arial"/>
          <w:sz w:val="22"/>
          <w:szCs w:val="22"/>
          <w:lang w:eastAsia="en-AU"/>
        </w:rPr>
        <w:t>, as a proportion of patients in different age groups</w:t>
      </w:r>
      <w:r w:rsidR="003746BE" w:rsidRPr="007025D3">
        <w:rPr>
          <w:rFonts w:ascii="Arial" w:hAnsi="Arial" w:cs="Arial"/>
          <w:sz w:val="22"/>
          <w:szCs w:val="22"/>
          <w:lang w:eastAsia="en-AU"/>
        </w:rPr>
        <w:t xml:space="preserve"> are expected to</w:t>
      </w:r>
      <w:r w:rsidR="00490E22" w:rsidRPr="007025D3">
        <w:rPr>
          <w:rFonts w:ascii="Arial" w:hAnsi="Arial" w:cs="Arial"/>
          <w:sz w:val="22"/>
          <w:szCs w:val="22"/>
          <w:lang w:eastAsia="en-AU"/>
        </w:rPr>
        <w:t xml:space="preserve"> </w:t>
      </w:r>
      <w:r w:rsidR="003746BE" w:rsidRPr="007025D3">
        <w:rPr>
          <w:rFonts w:ascii="Arial" w:hAnsi="Arial" w:cs="Arial"/>
          <w:sz w:val="22"/>
          <w:szCs w:val="22"/>
          <w:lang w:eastAsia="en-AU"/>
        </w:rPr>
        <w:t xml:space="preserve">substitute from an existing PBS-listed </w:t>
      </w:r>
      <w:r w:rsidR="00490E22" w:rsidRPr="007025D3">
        <w:rPr>
          <w:rFonts w:ascii="Arial" w:hAnsi="Arial" w:cs="Arial"/>
          <w:sz w:val="22"/>
          <w:szCs w:val="22"/>
          <w:lang w:eastAsia="en-AU"/>
        </w:rPr>
        <w:t xml:space="preserve">treatment </w:t>
      </w:r>
      <w:r w:rsidR="00E15FEA" w:rsidRPr="007025D3">
        <w:rPr>
          <w:rFonts w:ascii="Arial" w:hAnsi="Arial" w:cs="Arial"/>
          <w:sz w:val="22"/>
          <w:szCs w:val="22"/>
          <w:lang w:eastAsia="en-AU"/>
        </w:rPr>
        <w:t>to</w:t>
      </w:r>
      <w:r w:rsidR="00490E22" w:rsidRPr="007025D3">
        <w:rPr>
          <w:rFonts w:ascii="Arial" w:hAnsi="Arial" w:cs="Arial"/>
          <w:sz w:val="22"/>
          <w:szCs w:val="22"/>
          <w:lang w:eastAsia="en-AU"/>
        </w:rPr>
        <w:t xml:space="preserve"> </w:t>
      </w:r>
      <w:r w:rsidR="00490E22" w:rsidRPr="007025D3">
        <w:rPr>
          <w:rFonts w:ascii="Arial" w:hAnsi="Arial"/>
          <w:bCs/>
          <w:sz w:val="22"/>
          <w:szCs w:val="22"/>
          <w:lang w:eastAsia="en-AU"/>
        </w:rPr>
        <w:t>Infatrini Peptisorb</w:t>
      </w:r>
      <w:r w:rsidR="00490E22" w:rsidRPr="007025D3">
        <w:rPr>
          <w:rFonts w:ascii="Arial" w:hAnsi="Arial"/>
          <w:bCs/>
          <w:sz w:val="22"/>
          <w:szCs w:val="22"/>
          <w:vertAlign w:val="superscript"/>
          <w:lang w:eastAsia="en-AU"/>
        </w:rPr>
        <w:t>®</w:t>
      </w:r>
      <w:r w:rsidR="00490E22" w:rsidRPr="007025D3">
        <w:rPr>
          <w:rFonts w:ascii="Arial" w:hAnsi="Arial"/>
          <w:bCs/>
          <w:sz w:val="22"/>
          <w:szCs w:val="22"/>
          <w:lang w:eastAsia="en-AU"/>
        </w:rPr>
        <w:t>.</w:t>
      </w:r>
      <w:r w:rsidR="00C64972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96350" w:rsidRPr="007025D3">
        <w:rPr>
          <w:rFonts w:ascii="Arial" w:hAnsi="Arial" w:cs="Arial"/>
          <w:sz w:val="22"/>
          <w:szCs w:val="22"/>
          <w:lang w:eastAsia="en-AU"/>
        </w:rPr>
        <w:t>The estimates of overall savings to the PBS have not been verified.</w:t>
      </w:r>
    </w:p>
    <w:p w:rsidR="005B1FF1" w:rsidRPr="005B1FF1" w:rsidRDefault="005B1FF1" w:rsidP="005B1FF1">
      <w:pPr>
        <w:ind w:left="0" w:firstLine="0"/>
        <w:rPr>
          <w:rFonts w:ascii="Arial" w:hAnsi="Arial" w:cs="Arial"/>
          <w:bCs/>
          <w:snapToGrid w:val="0"/>
          <w:sz w:val="22"/>
          <w:szCs w:val="22"/>
        </w:rPr>
      </w:pPr>
      <w:r w:rsidRPr="00150772">
        <w:rPr>
          <w:rFonts w:ascii="Arial" w:hAnsi="Arial" w:cs="Arial"/>
          <w:bCs/>
          <w:i/>
          <w:snapToGrid w:val="0"/>
          <w:sz w:val="22"/>
          <w:szCs w:val="22"/>
        </w:rPr>
        <w:t>For more detail on PBAC’s view, see section 6 “PBAC outcome”</w:t>
      </w:r>
    </w:p>
    <w:p w:rsidR="00C83B89" w:rsidRPr="00C83B89" w:rsidRDefault="00C83B89" w:rsidP="00C83B89">
      <w:pPr>
        <w:spacing w:before="0" w:after="0"/>
        <w:ind w:left="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B40011" w:rsidRPr="00FE4011" w:rsidRDefault="00B40011" w:rsidP="00701577">
      <w:pPr>
        <w:pStyle w:val="Heading2"/>
      </w:pPr>
      <w:r w:rsidRPr="00FE4011">
        <w:t>PBAC Outcome</w:t>
      </w:r>
    </w:p>
    <w:p w:rsidR="00B40011" w:rsidRPr="0069654D" w:rsidRDefault="00B40011" w:rsidP="00B40011">
      <w:pPr>
        <w:widowControl w:val="0"/>
        <w:spacing w:after="0"/>
        <w:jc w:val="both"/>
        <w:rPr>
          <w:rFonts w:ascii="Arial" w:hAnsi="Arial" w:cs="Arial"/>
          <w:b/>
          <w:bCs/>
          <w:snapToGrid w:val="0"/>
          <w:sz w:val="22"/>
          <w:szCs w:val="20"/>
          <w:highlight w:val="yellow"/>
          <w:lang w:val="en-GB"/>
        </w:rPr>
      </w:pPr>
    </w:p>
    <w:p w:rsidR="00B40011" w:rsidRDefault="00150772" w:rsidP="001B6B23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 w:rsidRPr="005710D7">
        <w:rPr>
          <w:rFonts w:ascii="Arial" w:hAnsi="Arial" w:cs="Arial"/>
          <w:bCs/>
          <w:snapToGrid w:val="0"/>
          <w:sz w:val="22"/>
          <w:szCs w:val="20"/>
          <w:lang w:val="en-GB"/>
        </w:rPr>
        <w:t>The PBAC deferred</w:t>
      </w:r>
      <w:r w:rsidR="005710D7" w:rsidRPr="005710D7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its decision on listing</w:t>
      </w:r>
      <w:r w:rsidRPr="005710D7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</w:t>
      </w:r>
      <w:r w:rsidRPr="005710D7">
        <w:rPr>
          <w:rFonts w:ascii="Arial" w:hAnsi="Arial"/>
          <w:sz w:val="22"/>
          <w:szCs w:val="22"/>
          <w:lang w:eastAsia="en-AU"/>
        </w:rPr>
        <w:t>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5710D7">
        <w:rPr>
          <w:rFonts w:ascii="Arial" w:hAnsi="Arial"/>
          <w:sz w:val="22"/>
          <w:szCs w:val="22"/>
          <w:lang w:eastAsia="en-AU"/>
        </w:rPr>
        <w:t xml:space="preserve"> as a </w:t>
      </w:r>
      <w:r w:rsidR="005710D7" w:rsidRPr="005710D7">
        <w:rPr>
          <w:rFonts w:ascii="Arial" w:hAnsi="Arial"/>
          <w:sz w:val="22"/>
          <w:szCs w:val="22"/>
          <w:lang w:eastAsia="en-AU"/>
        </w:rPr>
        <w:t>Restricted Benefit</w:t>
      </w:r>
      <w:r w:rsidRPr="005710D7">
        <w:rPr>
          <w:rFonts w:ascii="Arial" w:hAnsi="Arial"/>
          <w:sz w:val="22"/>
          <w:szCs w:val="22"/>
          <w:lang w:eastAsia="en-AU"/>
        </w:rPr>
        <w:t xml:space="preserve"> for the </w:t>
      </w:r>
      <w:r w:rsidR="005710D7" w:rsidRPr="005710D7">
        <w:rPr>
          <w:rFonts w:ascii="Arial" w:hAnsi="Arial"/>
          <w:sz w:val="22"/>
          <w:szCs w:val="22"/>
          <w:lang w:eastAsia="en-AU"/>
        </w:rPr>
        <w:t>dietary management of conditions requiring a source of medium chain triglycerides</w:t>
      </w:r>
      <w:r w:rsidR="001B6B23">
        <w:rPr>
          <w:rFonts w:ascii="Arial" w:hAnsi="Arial"/>
          <w:sz w:val="22"/>
          <w:szCs w:val="22"/>
          <w:lang w:eastAsia="en-AU"/>
        </w:rPr>
        <w:t>. The PBAC considered th</w:t>
      </w:r>
      <w:r w:rsidR="005710D7">
        <w:rPr>
          <w:rFonts w:ascii="Arial" w:hAnsi="Arial"/>
          <w:sz w:val="22"/>
          <w:szCs w:val="22"/>
          <w:lang w:eastAsia="en-AU"/>
        </w:rPr>
        <w:t xml:space="preserve">at the </w:t>
      </w:r>
      <w:r w:rsidR="00E2738C">
        <w:rPr>
          <w:rFonts w:ascii="Arial" w:hAnsi="Arial"/>
          <w:sz w:val="22"/>
          <w:szCs w:val="22"/>
          <w:lang w:eastAsia="en-AU"/>
        </w:rPr>
        <w:t xml:space="preserve">main </w:t>
      </w:r>
      <w:r w:rsidR="005710D7">
        <w:rPr>
          <w:rFonts w:ascii="Arial" w:hAnsi="Arial"/>
          <w:sz w:val="22"/>
          <w:szCs w:val="22"/>
          <w:lang w:eastAsia="en-AU"/>
        </w:rPr>
        <w:t>comparator</w:t>
      </w:r>
      <w:r w:rsidR="0001264A">
        <w:rPr>
          <w:rFonts w:ascii="Arial" w:hAnsi="Arial"/>
          <w:sz w:val="22"/>
          <w:szCs w:val="22"/>
          <w:lang w:eastAsia="en-AU"/>
        </w:rPr>
        <w:t xml:space="preserve"> </w:t>
      </w:r>
      <w:r w:rsidR="00E2738C">
        <w:rPr>
          <w:rFonts w:ascii="Arial" w:hAnsi="Arial"/>
          <w:sz w:val="22"/>
          <w:szCs w:val="22"/>
          <w:lang w:eastAsia="en-AU"/>
        </w:rPr>
        <w:t xml:space="preserve">was </w:t>
      </w:r>
      <w:r w:rsidR="005710D7">
        <w:rPr>
          <w:rFonts w:ascii="Arial" w:hAnsi="Arial"/>
          <w:sz w:val="22"/>
          <w:szCs w:val="22"/>
          <w:lang w:eastAsia="en-AU"/>
        </w:rPr>
        <w:t xml:space="preserve">unsuitable due to </w:t>
      </w:r>
      <w:r w:rsidR="001B6B23">
        <w:rPr>
          <w:rFonts w:ascii="Arial" w:hAnsi="Arial"/>
          <w:sz w:val="22"/>
          <w:szCs w:val="22"/>
          <w:lang w:eastAsia="en-AU"/>
        </w:rPr>
        <w:t>the di</w:t>
      </w:r>
      <w:r w:rsidR="00B42488">
        <w:rPr>
          <w:rFonts w:ascii="Arial" w:hAnsi="Arial"/>
          <w:sz w:val="22"/>
          <w:szCs w:val="22"/>
          <w:lang w:eastAsia="en-AU"/>
        </w:rPr>
        <w:t xml:space="preserve">screpancies </w:t>
      </w:r>
      <w:r w:rsidR="001B6B23">
        <w:rPr>
          <w:rFonts w:ascii="Arial" w:hAnsi="Arial"/>
          <w:sz w:val="22"/>
          <w:szCs w:val="22"/>
          <w:lang w:eastAsia="en-AU"/>
        </w:rPr>
        <w:t>in nutritional composition</w:t>
      </w:r>
      <w:r w:rsidR="004849CA">
        <w:rPr>
          <w:rFonts w:ascii="Arial" w:hAnsi="Arial"/>
          <w:sz w:val="22"/>
          <w:szCs w:val="22"/>
          <w:lang w:eastAsia="en-AU"/>
        </w:rPr>
        <w:t xml:space="preserve"> to </w:t>
      </w:r>
      <w:r w:rsidR="00E2738C" w:rsidRPr="00E62FDD">
        <w:rPr>
          <w:rFonts w:ascii="Arial" w:hAnsi="Arial"/>
          <w:sz w:val="22"/>
          <w:szCs w:val="22"/>
          <w:lang w:eastAsia="en-AU"/>
        </w:rPr>
        <w:t>Monogen</w:t>
      </w:r>
      <w:r w:rsidR="00E2738C" w:rsidRPr="0077366A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="001B6B23">
        <w:rPr>
          <w:rFonts w:ascii="Arial" w:hAnsi="Arial"/>
          <w:sz w:val="22"/>
          <w:szCs w:val="22"/>
          <w:lang w:eastAsia="en-AU"/>
        </w:rPr>
        <w:t>.</w:t>
      </w:r>
      <w:r w:rsidR="00B42488">
        <w:rPr>
          <w:rFonts w:ascii="Arial" w:hAnsi="Arial"/>
          <w:sz w:val="22"/>
          <w:szCs w:val="22"/>
          <w:lang w:eastAsia="en-AU"/>
        </w:rPr>
        <w:t xml:space="preserve"> </w:t>
      </w:r>
    </w:p>
    <w:p w:rsidR="001B6B23" w:rsidRDefault="001B6B23" w:rsidP="001B6B23">
      <w:pPr>
        <w:widowControl w:val="0"/>
        <w:spacing w:before="0" w:after="0"/>
        <w:ind w:left="720" w:right="0" w:firstLine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1B6B23" w:rsidRDefault="001B6B23" w:rsidP="001B6B23">
      <w:pPr>
        <w:widowControl w:val="0"/>
        <w:numPr>
          <w:ilvl w:val="1"/>
          <w:numId w:val="1"/>
        </w:numPr>
        <w:spacing w:before="0" w:after="120"/>
        <w:ind w:right="0"/>
        <w:contextualSpacing/>
        <w:jc w:val="both"/>
        <w:rPr>
          <w:rFonts w:ascii="Arial" w:hAnsi="Arial" w:cs="Arial"/>
          <w:bCs/>
          <w:snapToGrid w:val="0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</w:rPr>
        <w:t>The PBAC noted the advice of the NPWP that supported deferring the</w:t>
      </w:r>
      <w:r w:rsidR="00B42488" w:rsidRPr="00B42488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</w:t>
      </w:r>
      <w:r w:rsidR="00B42488" w:rsidRPr="005710D7">
        <w:rPr>
          <w:rFonts w:ascii="Arial" w:hAnsi="Arial" w:cs="Arial"/>
          <w:bCs/>
          <w:snapToGrid w:val="0"/>
          <w:sz w:val="22"/>
          <w:szCs w:val="20"/>
          <w:lang w:val="en-GB"/>
        </w:rPr>
        <w:t>decision on</w:t>
      </w:r>
      <w:r>
        <w:rPr>
          <w:rFonts w:ascii="Arial" w:hAnsi="Arial"/>
          <w:sz w:val="22"/>
          <w:szCs w:val="22"/>
        </w:rPr>
        <w:t xml:space="preserve"> </w:t>
      </w:r>
      <w:r w:rsidR="00B42488">
        <w:rPr>
          <w:rFonts w:ascii="Arial" w:hAnsi="Arial"/>
          <w:sz w:val="22"/>
          <w:szCs w:val="22"/>
        </w:rPr>
        <w:t>listing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 w:rsidR="002A5463">
        <w:rPr>
          <w:rFonts w:ascii="Arial" w:hAnsi="Arial"/>
          <w:sz w:val="22"/>
          <w:szCs w:val="22"/>
        </w:rPr>
        <w:t>Infatrini</w:t>
      </w:r>
      <w:proofErr w:type="spellEnd"/>
      <w:r w:rsidR="002A5463">
        <w:rPr>
          <w:rFonts w:ascii="Arial" w:hAnsi="Arial"/>
          <w:sz w:val="22"/>
          <w:szCs w:val="22"/>
        </w:rPr>
        <w:t xml:space="preserve"> </w:t>
      </w:r>
      <w:proofErr w:type="spellStart"/>
      <w:r w:rsidR="002A5463">
        <w:rPr>
          <w:rFonts w:ascii="Arial" w:hAnsi="Arial"/>
          <w:sz w:val="22"/>
          <w:szCs w:val="22"/>
        </w:rPr>
        <w:t>Peptisorb</w:t>
      </w:r>
      <w:proofErr w:type="spellEnd"/>
      <w:r w:rsidRPr="007073E1">
        <w:rPr>
          <w:rFonts w:ascii="Arial" w:hAnsi="Arial" w:cs="Arial"/>
          <w:color w:val="000000"/>
          <w:sz w:val="20"/>
          <w:szCs w:val="22"/>
          <w:vertAlign w:val="superscript"/>
        </w:rPr>
        <w:t>®</w:t>
      </w:r>
      <w:r>
        <w:rPr>
          <w:rFonts w:ascii="Arial" w:hAnsi="Arial" w:cs="Arial"/>
          <w:color w:val="000000"/>
          <w:sz w:val="20"/>
          <w:szCs w:val="22"/>
          <w:vertAlign w:val="superscript"/>
        </w:rPr>
        <w:t xml:space="preserve"> </w:t>
      </w:r>
      <w:r w:rsidRPr="000B5868">
        <w:rPr>
          <w:rFonts w:ascii="Arial" w:hAnsi="Arial" w:cs="Arial"/>
          <w:color w:val="000000"/>
          <w:sz w:val="22"/>
          <w:szCs w:val="22"/>
        </w:rPr>
        <w:t>on the PBS</w:t>
      </w:r>
      <w:r w:rsidRPr="000B5868">
        <w:rPr>
          <w:rFonts w:ascii="Arial" w:hAnsi="Arial" w:cs="Arial"/>
          <w:bCs/>
          <w:snapToGrid w:val="0"/>
          <w:sz w:val="22"/>
          <w:szCs w:val="22"/>
          <w:lang w:val="en-GB"/>
        </w:rPr>
        <w:t xml:space="preserve">. </w:t>
      </w:r>
    </w:p>
    <w:p w:rsidR="001B6B23" w:rsidRDefault="001B6B23" w:rsidP="001B6B23">
      <w:pPr>
        <w:widowControl w:val="0"/>
        <w:spacing w:before="0" w:after="120"/>
        <w:ind w:left="720" w:right="0" w:firstLine="0"/>
        <w:contextualSpacing/>
        <w:jc w:val="both"/>
        <w:rPr>
          <w:rFonts w:ascii="Arial" w:hAnsi="Arial" w:cs="Arial"/>
          <w:bCs/>
          <w:snapToGrid w:val="0"/>
          <w:sz w:val="22"/>
          <w:szCs w:val="22"/>
          <w:lang w:val="en-GB"/>
        </w:rPr>
      </w:pPr>
    </w:p>
    <w:p w:rsidR="00DE2218" w:rsidRDefault="00DE2218" w:rsidP="00980415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>
        <w:rPr>
          <w:rFonts w:ascii="Arial" w:hAnsi="Arial" w:cs="Arial"/>
          <w:bCs/>
          <w:snapToGrid w:val="0"/>
          <w:sz w:val="22"/>
          <w:szCs w:val="20"/>
          <w:lang w:val="en-GB"/>
        </w:rPr>
        <w:t>The PBAC agreed with the NPWP’s advice that</w:t>
      </w:r>
      <w:r w:rsidR="0001264A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the proposed comparator</w:t>
      </w:r>
      <w:r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</w:t>
      </w:r>
      <w:r w:rsidR="0001264A">
        <w:rPr>
          <w:rFonts w:ascii="Arial" w:hAnsi="Arial" w:cs="Arial"/>
          <w:bCs/>
          <w:snapToGrid w:val="0"/>
          <w:sz w:val="22"/>
          <w:szCs w:val="20"/>
          <w:lang w:val="en-GB"/>
        </w:rPr>
        <w:t>was</w:t>
      </w:r>
      <w:r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inappropriate for</w:t>
      </w:r>
      <w:r w:rsidRPr="005710D7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</w:t>
      </w:r>
      <w:r w:rsidRPr="005710D7">
        <w:rPr>
          <w:rFonts w:ascii="Arial" w:hAnsi="Arial"/>
          <w:sz w:val="22"/>
          <w:szCs w:val="22"/>
          <w:lang w:eastAsia="en-AU"/>
        </w:rPr>
        <w:t>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>.</w:t>
      </w:r>
      <w:r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The PBAC noted that </w:t>
      </w:r>
      <w:r w:rsidR="0001264A">
        <w:rPr>
          <w:rFonts w:ascii="Arial" w:hAnsi="Arial" w:cs="Arial"/>
          <w:bCs/>
          <w:snapToGrid w:val="0"/>
          <w:sz w:val="22"/>
          <w:szCs w:val="20"/>
          <w:lang w:val="en-GB"/>
        </w:rPr>
        <w:t>the main</w:t>
      </w:r>
      <w:r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comparator, </w:t>
      </w:r>
      <w:r w:rsidRPr="00E62FDD">
        <w:rPr>
          <w:rFonts w:ascii="Arial" w:hAnsi="Arial"/>
          <w:sz w:val="22"/>
          <w:szCs w:val="22"/>
          <w:lang w:eastAsia="en-AU"/>
        </w:rPr>
        <w:t>Monogen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, contains non-hydrolysed proteins </w:t>
      </w:r>
      <w:r>
        <w:rPr>
          <w:rFonts w:ascii="Arial" w:hAnsi="Arial"/>
          <w:sz w:val="22"/>
          <w:szCs w:val="22"/>
          <w:lang w:eastAsia="en-AU"/>
        </w:rPr>
        <w:t xml:space="preserve">and 80% </w:t>
      </w:r>
      <w:r w:rsidR="00DB13D9">
        <w:rPr>
          <w:rFonts w:ascii="Arial" w:hAnsi="Arial"/>
          <w:sz w:val="22"/>
          <w:szCs w:val="22"/>
          <w:lang w:eastAsia="en-AU"/>
        </w:rPr>
        <w:t xml:space="preserve">of total fat content is comprised of </w:t>
      </w:r>
      <w:r>
        <w:rPr>
          <w:rFonts w:ascii="Arial" w:hAnsi="Arial"/>
          <w:sz w:val="22"/>
          <w:szCs w:val="22"/>
          <w:lang w:eastAsia="en-AU"/>
        </w:rPr>
        <w:t>medium chain triglycerides (MCT)</w:t>
      </w:r>
      <w:r w:rsidR="00DB13D9">
        <w:rPr>
          <w:rFonts w:ascii="Arial" w:hAnsi="Arial"/>
          <w:sz w:val="22"/>
          <w:szCs w:val="22"/>
          <w:lang w:eastAsia="en-AU"/>
        </w:rPr>
        <w:t xml:space="preserve">, whereas </w:t>
      </w:r>
      <w:r w:rsidR="00DB13D9" w:rsidRPr="005710D7">
        <w:rPr>
          <w:rFonts w:ascii="Arial" w:hAnsi="Arial"/>
          <w:sz w:val="22"/>
          <w:szCs w:val="22"/>
          <w:lang w:eastAsia="en-AU"/>
        </w:rPr>
        <w:t>Infatrini Peptisorb</w:t>
      </w:r>
      <w:r w:rsidR="00DB13D9"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="00DB13D9">
        <w:rPr>
          <w:rFonts w:ascii="Arial" w:hAnsi="Arial"/>
          <w:sz w:val="22"/>
          <w:szCs w:val="22"/>
          <w:lang w:eastAsia="en-AU"/>
        </w:rPr>
        <w:t xml:space="preserve"> is a 100% hydrolysed whey protein with 50% MCT (minor submission, pg 11).</w:t>
      </w:r>
      <w:r w:rsidR="0001264A">
        <w:rPr>
          <w:rFonts w:ascii="Arial" w:hAnsi="Arial"/>
          <w:sz w:val="22"/>
          <w:szCs w:val="22"/>
          <w:lang w:eastAsia="en-AU"/>
        </w:rPr>
        <w:t xml:space="preserve"> The PBAC </w:t>
      </w:r>
      <w:r w:rsidR="00F83165">
        <w:rPr>
          <w:rFonts w:ascii="Arial" w:hAnsi="Arial"/>
          <w:sz w:val="22"/>
          <w:szCs w:val="22"/>
          <w:lang w:eastAsia="en-AU"/>
        </w:rPr>
        <w:t xml:space="preserve">therefore </w:t>
      </w:r>
      <w:r w:rsidR="0001264A">
        <w:rPr>
          <w:rFonts w:ascii="Arial" w:hAnsi="Arial"/>
          <w:sz w:val="22"/>
          <w:szCs w:val="22"/>
          <w:lang w:eastAsia="en-AU"/>
        </w:rPr>
        <w:t xml:space="preserve">concluded that the </w:t>
      </w:r>
      <w:r w:rsidR="00254295">
        <w:rPr>
          <w:rFonts w:ascii="Arial" w:hAnsi="Arial"/>
          <w:sz w:val="22"/>
          <w:szCs w:val="22"/>
          <w:lang w:eastAsia="en-AU"/>
        </w:rPr>
        <w:t xml:space="preserve">differences in protein structure and amount of MCT deemed </w:t>
      </w:r>
      <w:r w:rsidR="00254295" w:rsidRPr="00E62FDD">
        <w:rPr>
          <w:rFonts w:ascii="Arial" w:hAnsi="Arial"/>
          <w:sz w:val="22"/>
          <w:szCs w:val="22"/>
          <w:lang w:eastAsia="en-AU"/>
        </w:rPr>
        <w:t>Monogen</w:t>
      </w:r>
      <w:r w:rsidR="00254295"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="00F83165">
        <w:rPr>
          <w:rFonts w:ascii="Arial" w:hAnsi="Arial"/>
          <w:sz w:val="22"/>
          <w:szCs w:val="22"/>
          <w:lang w:eastAsia="en-AU"/>
        </w:rPr>
        <w:t xml:space="preserve"> </w:t>
      </w:r>
      <w:r w:rsidR="00254295">
        <w:rPr>
          <w:rFonts w:ascii="Arial" w:hAnsi="Arial"/>
          <w:sz w:val="22"/>
          <w:szCs w:val="22"/>
          <w:lang w:eastAsia="en-AU"/>
        </w:rPr>
        <w:t>an inappropriate main comparator</w:t>
      </w:r>
      <w:r w:rsidR="00F83165">
        <w:rPr>
          <w:rFonts w:ascii="Arial" w:hAnsi="Arial"/>
          <w:sz w:val="22"/>
          <w:szCs w:val="22"/>
          <w:lang w:eastAsia="en-AU"/>
        </w:rPr>
        <w:t xml:space="preserve"> for </w:t>
      </w:r>
      <w:r w:rsidR="00F83165" w:rsidRPr="005710D7">
        <w:rPr>
          <w:rFonts w:ascii="Arial" w:hAnsi="Arial"/>
          <w:sz w:val="22"/>
          <w:szCs w:val="22"/>
          <w:lang w:eastAsia="en-AU"/>
        </w:rPr>
        <w:t>Infatrini Peptisorb</w:t>
      </w:r>
      <w:r w:rsidR="00F83165"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="00254295">
        <w:rPr>
          <w:rFonts w:ascii="Arial" w:hAnsi="Arial"/>
          <w:sz w:val="22"/>
          <w:szCs w:val="22"/>
          <w:lang w:eastAsia="en-AU"/>
        </w:rPr>
        <w:t>.</w:t>
      </w:r>
    </w:p>
    <w:p w:rsidR="002C2780" w:rsidRDefault="002C2780" w:rsidP="0001264A">
      <w:pPr>
        <w:widowControl w:val="0"/>
        <w:tabs>
          <w:tab w:val="left" w:pos="2415"/>
        </w:tabs>
        <w:spacing w:before="0" w:after="0"/>
        <w:ind w:left="720" w:right="0" w:firstLine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980415" w:rsidRPr="00CC5D04" w:rsidRDefault="00B42488" w:rsidP="00980415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The PBAC agreed with the NPWP’s suggestion that the sponsor use a more appropriate comparator for </w:t>
      </w:r>
      <w:r w:rsidRPr="005710D7">
        <w:rPr>
          <w:rFonts w:ascii="Arial" w:hAnsi="Arial"/>
          <w:sz w:val="22"/>
          <w:szCs w:val="22"/>
          <w:lang w:eastAsia="en-AU"/>
        </w:rPr>
        <w:t>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. The PBAC noted that other PBS-listed products are more similar to </w:t>
      </w:r>
      <w:r w:rsidRPr="005710D7">
        <w:rPr>
          <w:rFonts w:ascii="Arial" w:hAnsi="Arial"/>
          <w:sz w:val="22"/>
          <w:szCs w:val="22"/>
          <w:lang w:eastAsia="en-AU"/>
        </w:rPr>
        <w:t>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 than the proposed comparators. The PBAC agreed that </w:t>
      </w:r>
      <w:r w:rsidRPr="00E62FDD">
        <w:rPr>
          <w:rFonts w:ascii="Arial" w:hAnsi="Arial"/>
          <w:sz w:val="22"/>
          <w:szCs w:val="22"/>
          <w:lang w:eastAsia="en-AU"/>
        </w:rPr>
        <w:t>Alfaré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and Aptamil Gold+ Pepti-Junior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 </w:t>
      </w:r>
      <w:r w:rsidR="0001264A">
        <w:rPr>
          <w:rFonts w:ascii="Arial" w:hAnsi="Arial"/>
          <w:sz w:val="22"/>
          <w:szCs w:val="22"/>
          <w:lang w:eastAsia="en-AU"/>
        </w:rPr>
        <w:t>we</w:t>
      </w:r>
      <w:r>
        <w:rPr>
          <w:rFonts w:ascii="Arial" w:hAnsi="Arial"/>
          <w:sz w:val="22"/>
          <w:szCs w:val="22"/>
          <w:lang w:eastAsia="en-AU"/>
        </w:rPr>
        <w:t>re more suitable comparators</w:t>
      </w:r>
      <w:r w:rsidR="00552576">
        <w:rPr>
          <w:rFonts w:ascii="Arial" w:hAnsi="Arial"/>
          <w:sz w:val="22"/>
          <w:szCs w:val="22"/>
          <w:lang w:eastAsia="en-AU"/>
        </w:rPr>
        <w:t xml:space="preserve"> for </w:t>
      </w:r>
      <w:r w:rsidR="00552576" w:rsidRPr="005710D7">
        <w:rPr>
          <w:rFonts w:ascii="Arial" w:hAnsi="Arial"/>
          <w:sz w:val="22"/>
          <w:szCs w:val="22"/>
          <w:lang w:eastAsia="en-AU"/>
        </w:rPr>
        <w:t>Infatrini Peptisorb</w:t>
      </w:r>
      <w:r w:rsidR="00552576"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>, as they contain hydrolysed proteins and approximately 40 – 50% MCT.</w:t>
      </w:r>
    </w:p>
    <w:p w:rsidR="001F434C" w:rsidRPr="00CC5D04" w:rsidRDefault="001F434C" w:rsidP="00CC5D04">
      <w:pPr>
        <w:widowControl w:val="0"/>
        <w:spacing w:before="0" w:after="0"/>
        <w:ind w:left="720" w:right="0" w:firstLine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1F434C" w:rsidRDefault="001F434C" w:rsidP="00980415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>
        <w:rPr>
          <w:rFonts w:ascii="Arial" w:hAnsi="Arial"/>
          <w:sz w:val="22"/>
          <w:szCs w:val="22"/>
          <w:lang w:eastAsia="en-AU"/>
        </w:rPr>
        <w:t>The PBAC noted that t</w:t>
      </w:r>
      <w:r w:rsidR="00E2738C">
        <w:rPr>
          <w:rFonts w:ascii="Arial" w:hAnsi="Arial"/>
          <w:sz w:val="22"/>
          <w:szCs w:val="22"/>
          <w:lang w:eastAsia="en-AU"/>
        </w:rPr>
        <w:t>here was no Pre-PBAC response f</w:t>
      </w:r>
      <w:r>
        <w:rPr>
          <w:rFonts w:ascii="Arial" w:hAnsi="Arial"/>
          <w:sz w:val="22"/>
          <w:szCs w:val="22"/>
          <w:lang w:eastAsia="en-AU"/>
        </w:rPr>
        <w:t>r</w:t>
      </w:r>
      <w:r w:rsidR="00E2738C">
        <w:rPr>
          <w:rFonts w:ascii="Arial" w:hAnsi="Arial"/>
          <w:sz w:val="22"/>
          <w:szCs w:val="22"/>
          <w:lang w:eastAsia="en-AU"/>
        </w:rPr>
        <w:t>o</w:t>
      </w:r>
      <w:r>
        <w:rPr>
          <w:rFonts w:ascii="Arial" w:hAnsi="Arial"/>
          <w:sz w:val="22"/>
          <w:szCs w:val="22"/>
          <w:lang w:eastAsia="en-AU"/>
        </w:rPr>
        <w:t>m the sponsor for this item.</w:t>
      </w:r>
    </w:p>
    <w:p w:rsidR="00980415" w:rsidRPr="00980415" w:rsidRDefault="00980415" w:rsidP="00980415">
      <w:pPr>
        <w:widowControl w:val="0"/>
        <w:spacing w:before="0" w:after="0"/>
        <w:ind w:left="720" w:right="0" w:firstLine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980415" w:rsidRPr="00980415" w:rsidRDefault="00980415" w:rsidP="00980415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 w:rsidRPr="00980415">
        <w:rPr>
          <w:rFonts w:ascii="Arial" w:hAnsi="Arial"/>
          <w:sz w:val="22"/>
          <w:szCs w:val="22"/>
          <w:lang w:eastAsia="en-AU"/>
        </w:rPr>
        <w:t xml:space="preserve">The PBAC considered that a minor resubmission </w:t>
      </w:r>
      <w:r w:rsidR="00E2738C">
        <w:rPr>
          <w:rFonts w:ascii="Arial" w:hAnsi="Arial"/>
          <w:sz w:val="22"/>
          <w:szCs w:val="22"/>
          <w:lang w:eastAsia="en-AU"/>
        </w:rPr>
        <w:t>wa</w:t>
      </w:r>
      <w:r w:rsidR="00E2738C" w:rsidRPr="00980415">
        <w:rPr>
          <w:rFonts w:ascii="Arial" w:hAnsi="Arial"/>
          <w:sz w:val="22"/>
          <w:szCs w:val="22"/>
          <w:lang w:eastAsia="en-AU"/>
        </w:rPr>
        <w:t xml:space="preserve">s </w:t>
      </w:r>
      <w:r w:rsidRPr="00980415">
        <w:rPr>
          <w:rFonts w:ascii="Arial" w:hAnsi="Arial"/>
          <w:sz w:val="22"/>
          <w:szCs w:val="22"/>
          <w:lang w:eastAsia="en-AU"/>
        </w:rPr>
        <w:t xml:space="preserve">required, should the sponsor wish to accept the suggestion of reconsidering their proposed comparator. </w:t>
      </w:r>
    </w:p>
    <w:p w:rsidR="00980415" w:rsidRDefault="00980415" w:rsidP="00980415">
      <w:pPr>
        <w:widowControl w:val="0"/>
        <w:spacing w:before="0" w:after="0"/>
        <w:ind w:left="720" w:right="0" w:firstLine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552576" w:rsidRPr="00552576" w:rsidRDefault="00552576" w:rsidP="001B6B23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The PBAC noted that the NPWP’s suggested comparators, </w:t>
      </w:r>
      <w:r w:rsidRPr="00E62FDD">
        <w:rPr>
          <w:rFonts w:ascii="Arial" w:hAnsi="Arial"/>
          <w:sz w:val="22"/>
          <w:szCs w:val="22"/>
          <w:lang w:eastAsia="en-AU"/>
        </w:rPr>
        <w:t>Alfaré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 w:rsidRPr="00E62FDD">
        <w:rPr>
          <w:rFonts w:ascii="Arial" w:hAnsi="Arial"/>
          <w:sz w:val="22"/>
          <w:szCs w:val="22"/>
          <w:lang w:eastAsia="en-AU"/>
        </w:rPr>
        <w:t xml:space="preserve"> and Aptamil Gold+ Pepti-Junior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, are currently listed on the PBS as an Authority Required benefit. </w:t>
      </w:r>
    </w:p>
    <w:p w:rsidR="00552576" w:rsidRPr="00552576" w:rsidRDefault="00552576" w:rsidP="00552576">
      <w:pPr>
        <w:widowControl w:val="0"/>
        <w:spacing w:before="0" w:after="0"/>
        <w:ind w:left="720" w:right="0" w:firstLine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552576" w:rsidRPr="00552576" w:rsidRDefault="00552576" w:rsidP="00552576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>
        <w:rPr>
          <w:rFonts w:ascii="Arial" w:hAnsi="Arial"/>
          <w:sz w:val="22"/>
          <w:szCs w:val="22"/>
          <w:lang w:eastAsia="en-AU"/>
        </w:rPr>
        <w:t xml:space="preserve">The PBAC advised that, if the sponsor wishes to make a </w:t>
      </w:r>
      <w:r w:rsidR="00980415">
        <w:rPr>
          <w:rFonts w:ascii="Arial" w:hAnsi="Arial"/>
          <w:sz w:val="22"/>
          <w:szCs w:val="22"/>
          <w:lang w:eastAsia="en-AU"/>
        </w:rPr>
        <w:t xml:space="preserve">minor </w:t>
      </w:r>
      <w:r>
        <w:rPr>
          <w:rFonts w:ascii="Arial" w:hAnsi="Arial"/>
          <w:sz w:val="22"/>
          <w:szCs w:val="22"/>
          <w:lang w:eastAsia="en-AU"/>
        </w:rPr>
        <w:t xml:space="preserve">resubmission for </w:t>
      </w:r>
      <w:r w:rsidRPr="005710D7">
        <w:rPr>
          <w:rFonts w:ascii="Arial" w:hAnsi="Arial"/>
          <w:sz w:val="22"/>
          <w:szCs w:val="22"/>
          <w:lang w:eastAsia="en-AU"/>
        </w:rPr>
        <w:t>Infatrini Peptisorb</w:t>
      </w:r>
      <w:r w:rsidRPr="00CC5D04">
        <w:rPr>
          <w:rFonts w:ascii="Arial" w:hAnsi="Arial"/>
          <w:sz w:val="22"/>
          <w:szCs w:val="22"/>
          <w:vertAlign w:val="superscript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 with an appropriate comparator, the proposed restriction should be an Authority Required benefit to maintain consistency across similar PBS-listed products.</w:t>
      </w:r>
    </w:p>
    <w:p w:rsidR="00552576" w:rsidRDefault="00552576" w:rsidP="00552576">
      <w:pPr>
        <w:pStyle w:val="ListParagraph"/>
        <w:spacing w:before="0" w:after="0"/>
        <w:contextualSpacing w:val="0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552576" w:rsidRPr="001B6B23" w:rsidRDefault="0001264A" w:rsidP="001B6B23">
      <w:pPr>
        <w:widowControl w:val="0"/>
        <w:numPr>
          <w:ilvl w:val="1"/>
          <w:numId w:val="1"/>
        </w:numPr>
        <w:spacing w:before="0" w:after="0"/>
        <w:ind w:right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>
        <w:rPr>
          <w:rFonts w:ascii="Arial" w:hAnsi="Arial" w:cs="Arial"/>
          <w:bCs/>
          <w:snapToGrid w:val="0"/>
          <w:sz w:val="22"/>
          <w:szCs w:val="20"/>
          <w:lang w:val="en-GB"/>
        </w:rPr>
        <w:t>The PBAC noted that this submission was eligible for an Independent Review</w:t>
      </w:r>
      <w:r w:rsidR="00CD1E59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as no positive recommendation was made</w:t>
      </w:r>
      <w:r>
        <w:rPr>
          <w:rFonts w:ascii="Arial" w:hAnsi="Arial" w:cs="Arial"/>
          <w:bCs/>
          <w:snapToGrid w:val="0"/>
          <w:sz w:val="22"/>
          <w:szCs w:val="20"/>
          <w:lang w:val="en-GB"/>
        </w:rPr>
        <w:t>.</w:t>
      </w:r>
    </w:p>
    <w:p w:rsidR="00552576" w:rsidRDefault="00552576" w:rsidP="00552576">
      <w:pPr>
        <w:widowControl w:val="0"/>
        <w:spacing w:before="0" w:after="0"/>
        <w:ind w:left="720" w:right="0" w:firstLine="0"/>
        <w:jc w:val="both"/>
        <w:rPr>
          <w:rFonts w:ascii="Arial" w:hAnsi="Arial" w:cs="Arial"/>
          <w:bCs/>
          <w:snapToGrid w:val="0"/>
          <w:sz w:val="22"/>
          <w:szCs w:val="20"/>
          <w:highlight w:val="yellow"/>
          <w:lang w:val="en-GB"/>
        </w:rPr>
      </w:pPr>
    </w:p>
    <w:p w:rsidR="00B40011" w:rsidRPr="00C64972" w:rsidRDefault="00B40011" w:rsidP="00B40011">
      <w:pPr>
        <w:widowControl w:val="0"/>
        <w:spacing w:after="0"/>
        <w:jc w:val="both"/>
        <w:rPr>
          <w:rFonts w:ascii="Arial" w:hAnsi="Arial" w:cs="Arial"/>
          <w:b/>
          <w:bCs/>
          <w:snapToGrid w:val="0"/>
          <w:sz w:val="22"/>
          <w:szCs w:val="20"/>
          <w:lang w:val="en-GB"/>
        </w:rPr>
      </w:pPr>
      <w:r w:rsidRPr="00C64972">
        <w:rPr>
          <w:rFonts w:ascii="Arial" w:hAnsi="Arial" w:cs="Arial"/>
          <w:b/>
          <w:bCs/>
          <w:snapToGrid w:val="0"/>
          <w:sz w:val="22"/>
          <w:szCs w:val="20"/>
          <w:lang w:val="en-GB"/>
        </w:rPr>
        <w:t>Outcome:</w:t>
      </w:r>
    </w:p>
    <w:p w:rsidR="00B40011" w:rsidRDefault="00B40011" w:rsidP="00B40011">
      <w:pPr>
        <w:widowControl w:val="0"/>
        <w:spacing w:after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  <w:r w:rsidRPr="00C64972">
        <w:rPr>
          <w:rFonts w:ascii="Arial" w:hAnsi="Arial" w:cs="Arial"/>
          <w:bCs/>
          <w:snapToGrid w:val="0"/>
          <w:sz w:val="22"/>
          <w:szCs w:val="20"/>
          <w:lang w:val="en-GB"/>
        </w:rPr>
        <w:t>Deferred</w:t>
      </w:r>
    </w:p>
    <w:p w:rsidR="00EE5930" w:rsidRDefault="00EE5930" w:rsidP="00B40011">
      <w:pPr>
        <w:widowControl w:val="0"/>
        <w:spacing w:after="0"/>
        <w:jc w:val="bot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EE5930" w:rsidRPr="00EE5930" w:rsidRDefault="00EE5930" w:rsidP="00701577">
      <w:pPr>
        <w:pStyle w:val="Heading2"/>
      </w:pPr>
      <w:r w:rsidRPr="00EE5930">
        <w:t>Context for Decision</w:t>
      </w:r>
    </w:p>
    <w:p w:rsidR="00EE5930" w:rsidRDefault="00EE5930" w:rsidP="00EE5930">
      <w:pPr>
        <w:widowControl w:val="0"/>
        <w:spacing w:before="0" w:after="0"/>
        <w:ind w:left="720" w:right="0" w:firstLine="0"/>
        <w:jc w:val="both"/>
        <w:rPr>
          <w:rFonts w:ascii="Arial" w:hAnsi="Arial"/>
          <w:sz w:val="22"/>
          <w:szCs w:val="22"/>
          <w:lang w:eastAsia="en-AU"/>
        </w:rPr>
      </w:pPr>
      <w:r w:rsidRPr="00EE5930">
        <w:rPr>
          <w:rFonts w:ascii="Arial" w:hAnsi="Arial"/>
          <w:sz w:val="22"/>
          <w:szCs w:val="22"/>
          <w:lang w:eastAsia="en-AU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EE5930" w:rsidRPr="00EE5930" w:rsidRDefault="00EE5930" w:rsidP="00EE5930">
      <w:pPr>
        <w:widowControl w:val="0"/>
        <w:spacing w:before="0" w:after="0"/>
        <w:ind w:left="720" w:right="0" w:firstLine="0"/>
        <w:jc w:val="both"/>
        <w:rPr>
          <w:rFonts w:ascii="Arial" w:hAnsi="Arial"/>
          <w:sz w:val="22"/>
          <w:szCs w:val="22"/>
          <w:lang w:eastAsia="en-AU"/>
        </w:rPr>
      </w:pPr>
    </w:p>
    <w:p w:rsidR="00EE5930" w:rsidRDefault="00EE5930" w:rsidP="00701577">
      <w:pPr>
        <w:pStyle w:val="Heading2"/>
        <w:keepNext/>
      </w:pPr>
      <w:r w:rsidRPr="00EE5930">
        <w:t>Sponsor’s Comment</w:t>
      </w:r>
    </w:p>
    <w:p w:rsidR="00EE5930" w:rsidRPr="00EE5930" w:rsidRDefault="00EE5930" w:rsidP="00EE5930">
      <w:pPr>
        <w:widowControl w:val="0"/>
        <w:spacing w:before="0" w:after="0"/>
        <w:ind w:left="720" w:right="0" w:firstLine="0"/>
        <w:jc w:val="both"/>
        <w:rPr>
          <w:rFonts w:ascii="Arial" w:hAnsi="Arial"/>
          <w:sz w:val="22"/>
          <w:szCs w:val="22"/>
          <w:lang w:eastAsia="en-AU"/>
        </w:rPr>
      </w:pPr>
      <w:r w:rsidRPr="00EE5930">
        <w:rPr>
          <w:rFonts w:ascii="Arial" w:hAnsi="Arial"/>
          <w:sz w:val="22"/>
          <w:szCs w:val="22"/>
          <w:lang w:eastAsia="en-AU"/>
        </w:rPr>
        <w:t>The sponsor had no comment.</w:t>
      </w:r>
    </w:p>
    <w:p w:rsidR="00544C18" w:rsidRPr="0069654D" w:rsidRDefault="00544C18" w:rsidP="00544C18">
      <w:pPr>
        <w:widowControl w:val="0"/>
        <w:spacing w:after="0"/>
        <w:jc w:val="both"/>
        <w:rPr>
          <w:rFonts w:ascii="Arial" w:hAnsi="Arial" w:cs="Arial"/>
          <w:bCs/>
          <w:snapToGrid w:val="0"/>
          <w:sz w:val="22"/>
          <w:szCs w:val="20"/>
          <w:highlight w:val="yellow"/>
        </w:rPr>
      </w:pPr>
    </w:p>
    <w:sectPr w:rsidR="00544C18" w:rsidRPr="0069654D" w:rsidSect="00B8608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40" w:header="1440" w:footer="14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C7" w:rsidRDefault="000C4CC7" w:rsidP="000E729A">
      <w:pPr>
        <w:spacing w:before="0" w:after="0"/>
      </w:pPr>
      <w:r>
        <w:separator/>
      </w:r>
    </w:p>
    <w:p w:rsidR="000C4CC7" w:rsidRDefault="000C4CC7"/>
  </w:endnote>
  <w:endnote w:type="continuationSeparator" w:id="0">
    <w:p w:rsidR="000C4CC7" w:rsidRDefault="000C4CC7" w:rsidP="000E729A">
      <w:pPr>
        <w:spacing w:before="0" w:after="0"/>
      </w:pPr>
      <w:r>
        <w:continuationSeparator/>
      </w:r>
    </w:p>
    <w:p w:rsidR="000C4CC7" w:rsidRDefault="000C4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FF1815" w:rsidTr="00B8608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FF1815" w:rsidRPr="005A3173" w:rsidRDefault="00FF1815" w:rsidP="00B86088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FF1815" w:rsidTr="00B86088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FF1815" w:rsidRPr="005A3173" w:rsidRDefault="00FF1815" w:rsidP="00B86088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FF1815" w:rsidRDefault="00FF1815" w:rsidP="00B860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815" w:rsidRDefault="00FF1815">
    <w:pPr>
      <w:pStyle w:val="Footer"/>
    </w:pPr>
  </w:p>
  <w:p w:rsidR="00FF1815" w:rsidRDefault="00FF1815"/>
  <w:p w:rsidR="00FF1815" w:rsidRDefault="00FF1815"/>
  <w:p w:rsidR="00FF1815" w:rsidRDefault="00FF18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759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815" w:rsidRPr="00D357E0" w:rsidRDefault="00FF1815">
        <w:pPr>
          <w:pStyle w:val="Footer"/>
          <w:jc w:val="center"/>
          <w:rPr>
            <w:rFonts w:ascii="Arial" w:hAnsi="Arial" w:cs="Arial"/>
          </w:rPr>
        </w:pPr>
      </w:p>
      <w:p w:rsidR="00FF1815" w:rsidRDefault="00FF1815" w:rsidP="00D357E0">
        <w:pPr>
          <w:pStyle w:val="Footer"/>
          <w:jc w:val="center"/>
        </w:pPr>
        <w:r w:rsidRPr="00D357E0">
          <w:rPr>
            <w:rFonts w:ascii="Arial" w:hAnsi="Arial" w:cs="Arial"/>
          </w:rPr>
          <w:fldChar w:fldCharType="begin"/>
        </w:r>
        <w:r w:rsidRPr="00D357E0">
          <w:rPr>
            <w:rFonts w:ascii="Arial" w:hAnsi="Arial" w:cs="Arial"/>
          </w:rPr>
          <w:instrText xml:space="preserve"> PAGE   \* MERGEFORMAT </w:instrText>
        </w:r>
        <w:r w:rsidRPr="00D357E0">
          <w:rPr>
            <w:rFonts w:ascii="Arial" w:hAnsi="Arial" w:cs="Arial"/>
          </w:rPr>
          <w:fldChar w:fldCharType="separate"/>
        </w:r>
        <w:r w:rsidR="00701577">
          <w:rPr>
            <w:rFonts w:ascii="Arial" w:hAnsi="Arial" w:cs="Arial"/>
            <w:noProof/>
          </w:rPr>
          <w:t>1</w:t>
        </w:r>
        <w:r w:rsidRPr="00D357E0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FF1815" w:rsidTr="00B8608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FF1815" w:rsidRPr="005A3173" w:rsidRDefault="00FF1815" w:rsidP="00B86088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FF1815" w:rsidTr="00B86088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FF1815" w:rsidRPr="005A3173" w:rsidRDefault="00FF1815" w:rsidP="00B86088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FF1815" w:rsidTr="00B8608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FF1815" w:rsidRPr="005A3173" w:rsidRDefault="00FF1815" w:rsidP="00B86088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FF1815" w:rsidTr="00B86088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FF1815" w:rsidRPr="005A3173" w:rsidRDefault="00FF1815" w:rsidP="00B86088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5A3173" w:rsidRDefault="00FF1815" w:rsidP="00B8608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FF1815" w:rsidRPr="007C0F57" w:rsidRDefault="00FF1815" w:rsidP="00B86088">
    <w:pPr>
      <w:pStyle w:val="Footer"/>
      <w:jc w:val="center"/>
      <w:rPr>
        <w:b/>
        <w:i/>
        <w:sz w:val="20"/>
        <w:szCs w:val="20"/>
      </w:rPr>
    </w:pPr>
    <w:r w:rsidRPr="007C0F57">
      <w:rPr>
        <w:b/>
        <w:i/>
        <w:sz w:val="20"/>
        <w:szCs w:val="20"/>
      </w:rPr>
      <w:t xml:space="preserve">Draft Minutes </w:t>
    </w:r>
    <w:r>
      <w:rPr>
        <w:b/>
        <w:i/>
        <w:sz w:val="20"/>
        <w:szCs w:val="20"/>
      </w:rPr>
      <w:t xml:space="preserve">November 2011 </w:t>
    </w:r>
    <w:r w:rsidRPr="007C0F57">
      <w:rPr>
        <w:b/>
        <w:i/>
        <w:sz w:val="20"/>
        <w:szCs w:val="20"/>
      </w:rPr>
      <w:t>P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 w:rsidRPr="007C0F57">
      <w:rPr>
        <w:b/>
        <w:i/>
        <w:sz w:val="20"/>
        <w:szCs w:val="20"/>
      </w:rPr>
      <w:t>BAC Meeting</w:t>
    </w:r>
  </w:p>
  <w:p w:rsidR="00FF1815" w:rsidRPr="007C0F57" w:rsidRDefault="00FF1815" w:rsidP="00B86088">
    <w:pPr>
      <w:pStyle w:val="Footer"/>
      <w:jc w:val="center"/>
      <w:rPr>
        <w:b/>
        <w:i/>
        <w:sz w:val="20"/>
        <w:szCs w:val="20"/>
      </w:rPr>
    </w:pPr>
    <w:r w:rsidRPr="007C0F57">
      <w:rPr>
        <w:b/>
        <w:i/>
        <w:sz w:val="20"/>
        <w:szCs w:val="20"/>
      </w:rPr>
      <w:t>Commercial-in-Confidence</w:t>
    </w:r>
  </w:p>
  <w:p w:rsidR="00FF1815" w:rsidRDefault="00FF1815"/>
  <w:p w:rsidR="00FF1815" w:rsidRDefault="00FF1815"/>
  <w:p w:rsidR="00FF1815" w:rsidRDefault="00FF18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C7" w:rsidRDefault="000C4CC7" w:rsidP="000E729A">
      <w:pPr>
        <w:spacing w:before="0" w:after="0"/>
      </w:pPr>
      <w:r>
        <w:separator/>
      </w:r>
    </w:p>
    <w:p w:rsidR="000C4CC7" w:rsidRDefault="000C4CC7"/>
  </w:footnote>
  <w:footnote w:type="continuationSeparator" w:id="0">
    <w:p w:rsidR="000C4CC7" w:rsidRDefault="000C4CC7" w:rsidP="000E729A">
      <w:pPr>
        <w:spacing w:before="0" w:after="0"/>
      </w:pPr>
      <w:r>
        <w:continuationSeparator/>
      </w:r>
    </w:p>
    <w:p w:rsidR="000C4CC7" w:rsidRDefault="000C4C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38"/>
      <w:gridCol w:w="1252"/>
      <w:gridCol w:w="3836"/>
    </w:tblGrid>
    <w:tr w:rsidR="00FF1815" w:rsidRPr="008E0D90" w:rsidTr="00B8608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A06225" w:rsidRDefault="00FF1815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FF1815" w:rsidRPr="00A06225" w:rsidRDefault="00FF1815" w:rsidP="00B86088">
          <w:pPr>
            <w:pStyle w:val="MediumGrid21"/>
            <w:rPr>
              <w:rFonts w:ascii="Cambria" w:hAnsi="Cambria"/>
              <w:color w:val="4F81BD"/>
              <w:szCs w:val="20"/>
            </w:rPr>
          </w:pPr>
          <w:r w:rsidRPr="00A06225">
            <w:rPr>
              <w:rFonts w:ascii="Cambria" w:hAnsi="Cambria"/>
              <w:color w:val="4F81BD"/>
            </w:rPr>
            <w:t>[Type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F1815" w:rsidRPr="00A06225" w:rsidRDefault="00FF1815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FF1815" w:rsidRPr="008E0D90" w:rsidTr="00B86088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A06225" w:rsidRDefault="00FF1815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FF1815" w:rsidRPr="00A06225" w:rsidRDefault="00FF1815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F1815" w:rsidRPr="00A06225" w:rsidRDefault="00FF1815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:rsidR="00FF1815" w:rsidRDefault="00FF1815">
    <w:pPr>
      <w:pStyle w:val="Header"/>
    </w:pPr>
  </w:p>
  <w:p w:rsidR="00FF1815" w:rsidRDefault="00FF1815"/>
  <w:p w:rsidR="00FF1815" w:rsidRDefault="00FF1815"/>
  <w:p w:rsidR="00FF1815" w:rsidRDefault="00FF18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15" w:rsidRPr="00DF217D" w:rsidRDefault="00FF1815" w:rsidP="00D357E0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 xml:space="preserve">Public Summary Document </w:t>
    </w:r>
    <w:r w:rsidRPr="00DF217D">
      <w:rPr>
        <w:rFonts w:ascii="Arial" w:hAnsi="Arial" w:cs="Arial"/>
        <w:i/>
        <w:color w:val="808080"/>
        <w:sz w:val="22"/>
      </w:rPr>
      <w:t xml:space="preserve">– </w:t>
    </w:r>
    <w:r>
      <w:rPr>
        <w:rFonts w:ascii="Arial" w:hAnsi="Arial" w:cs="Arial"/>
        <w:i/>
        <w:color w:val="808080"/>
        <w:sz w:val="22"/>
      </w:rPr>
      <w:t xml:space="preserve">July 2016 </w:t>
    </w:r>
    <w:r w:rsidRPr="00DF217D">
      <w:rPr>
        <w:rFonts w:ascii="Arial" w:hAnsi="Arial" w:cs="Arial"/>
        <w:i/>
        <w:color w:val="808080"/>
        <w:sz w:val="22"/>
      </w:rPr>
      <w:t>PBAC</w:t>
    </w:r>
    <w:r>
      <w:rPr>
        <w:rFonts w:ascii="Arial" w:hAnsi="Arial" w:cs="Arial"/>
        <w:i/>
        <w:color w:val="808080"/>
        <w:sz w:val="22"/>
      </w:rPr>
      <w:t xml:space="preserve"> </w:t>
    </w:r>
    <w:r w:rsidRPr="00DF217D">
      <w:rPr>
        <w:rFonts w:ascii="Arial" w:hAnsi="Arial" w:cs="Arial"/>
        <w:i/>
        <w:color w:val="808080"/>
        <w:sz w:val="22"/>
      </w:rPr>
      <w:t>Meeting</w:t>
    </w:r>
  </w:p>
  <w:p w:rsidR="00FF1815" w:rsidRPr="00D357E0" w:rsidRDefault="00FF1815" w:rsidP="00D357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multilevel"/>
    <w:tmpl w:val="758CFDC8"/>
    <w:lvl w:ilvl="0">
      <w:start w:val="1"/>
      <w:numFmt w:val="decimal"/>
      <w:pStyle w:val="ListNumber2"/>
      <w:lvlText w:val="%1"/>
      <w:lvlJc w:val="left"/>
      <w:pPr>
        <w:tabs>
          <w:tab w:val="num" w:pos="643"/>
        </w:tabs>
        <w:ind w:left="643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>
    <w:nsid w:val="002E1CF8"/>
    <w:multiLevelType w:val="multilevel"/>
    <w:tmpl w:val="9FE0FC26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D60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1FE2237"/>
    <w:multiLevelType w:val="hybridMultilevel"/>
    <w:tmpl w:val="81BC89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AF0EBA"/>
    <w:multiLevelType w:val="multilevel"/>
    <w:tmpl w:val="642C45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DA70FB"/>
    <w:multiLevelType w:val="hybridMultilevel"/>
    <w:tmpl w:val="5BF0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B11E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DC239E8"/>
    <w:multiLevelType w:val="hybridMultilevel"/>
    <w:tmpl w:val="929E24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E06D7"/>
    <w:multiLevelType w:val="hybridMultilevel"/>
    <w:tmpl w:val="1B54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2342E"/>
    <w:multiLevelType w:val="hybridMultilevel"/>
    <w:tmpl w:val="2698F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D033C"/>
    <w:multiLevelType w:val="multilevel"/>
    <w:tmpl w:val="1B2A93FC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89"/>
    <w:rsid w:val="00003743"/>
    <w:rsid w:val="0001264A"/>
    <w:rsid w:val="00032A67"/>
    <w:rsid w:val="000462E8"/>
    <w:rsid w:val="00046757"/>
    <w:rsid w:val="00067456"/>
    <w:rsid w:val="000C4CC7"/>
    <w:rsid w:val="000D28D7"/>
    <w:rsid w:val="000E5E0C"/>
    <w:rsid w:val="000E729A"/>
    <w:rsid w:val="000F6B96"/>
    <w:rsid w:val="00124728"/>
    <w:rsid w:val="0013648B"/>
    <w:rsid w:val="00150772"/>
    <w:rsid w:val="00151FE8"/>
    <w:rsid w:val="00194BAD"/>
    <w:rsid w:val="001B3443"/>
    <w:rsid w:val="001B6B23"/>
    <w:rsid w:val="001C000C"/>
    <w:rsid w:val="001F434C"/>
    <w:rsid w:val="0021439D"/>
    <w:rsid w:val="002257EC"/>
    <w:rsid w:val="002275BD"/>
    <w:rsid w:val="00254295"/>
    <w:rsid w:val="00275144"/>
    <w:rsid w:val="002801D8"/>
    <w:rsid w:val="0028753D"/>
    <w:rsid w:val="002A32F4"/>
    <w:rsid w:val="002A5463"/>
    <w:rsid w:val="002B7F0D"/>
    <w:rsid w:val="002C2780"/>
    <w:rsid w:val="002C2B96"/>
    <w:rsid w:val="0030359E"/>
    <w:rsid w:val="0030786C"/>
    <w:rsid w:val="003540FF"/>
    <w:rsid w:val="003543DC"/>
    <w:rsid w:val="003573D2"/>
    <w:rsid w:val="00361370"/>
    <w:rsid w:val="003746BE"/>
    <w:rsid w:val="00377913"/>
    <w:rsid w:val="00390BC8"/>
    <w:rsid w:val="003A301A"/>
    <w:rsid w:val="003A487D"/>
    <w:rsid w:val="003B7995"/>
    <w:rsid w:val="003D17F9"/>
    <w:rsid w:val="003D2858"/>
    <w:rsid w:val="003D2D46"/>
    <w:rsid w:val="003E3B76"/>
    <w:rsid w:val="004071FD"/>
    <w:rsid w:val="00417EE6"/>
    <w:rsid w:val="00427876"/>
    <w:rsid w:val="004357F0"/>
    <w:rsid w:val="004849CA"/>
    <w:rsid w:val="004867E2"/>
    <w:rsid w:val="00490E22"/>
    <w:rsid w:val="004A1425"/>
    <w:rsid w:val="004B2AA2"/>
    <w:rsid w:val="004D5E74"/>
    <w:rsid w:val="004D7BAF"/>
    <w:rsid w:val="004E7477"/>
    <w:rsid w:val="0052181A"/>
    <w:rsid w:val="00544C18"/>
    <w:rsid w:val="00552576"/>
    <w:rsid w:val="005531C1"/>
    <w:rsid w:val="005710D7"/>
    <w:rsid w:val="00582731"/>
    <w:rsid w:val="005A4FDE"/>
    <w:rsid w:val="005B1FF1"/>
    <w:rsid w:val="005C5C33"/>
    <w:rsid w:val="005E200F"/>
    <w:rsid w:val="00605D96"/>
    <w:rsid w:val="00614AF8"/>
    <w:rsid w:val="006A2C8F"/>
    <w:rsid w:val="006F754D"/>
    <w:rsid w:val="00701577"/>
    <w:rsid w:val="007025D3"/>
    <w:rsid w:val="00752C54"/>
    <w:rsid w:val="007554E1"/>
    <w:rsid w:val="00757D2D"/>
    <w:rsid w:val="0077035A"/>
    <w:rsid w:val="007A2F7D"/>
    <w:rsid w:val="007A494D"/>
    <w:rsid w:val="007F1B16"/>
    <w:rsid w:val="00812124"/>
    <w:rsid w:val="008264EB"/>
    <w:rsid w:val="00840812"/>
    <w:rsid w:val="008507BC"/>
    <w:rsid w:val="00873DAF"/>
    <w:rsid w:val="008A2033"/>
    <w:rsid w:val="008B1A45"/>
    <w:rsid w:val="008C198D"/>
    <w:rsid w:val="00900B5E"/>
    <w:rsid w:val="00904C71"/>
    <w:rsid w:val="00904E40"/>
    <w:rsid w:val="00905220"/>
    <w:rsid w:val="0091174D"/>
    <w:rsid w:val="009237BC"/>
    <w:rsid w:val="009458CC"/>
    <w:rsid w:val="00980415"/>
    <w:rsid w:val="009829EF"/>
    <w:rsid w:val="00982CAF"/>
    <w:rsid w:val="00A2419B"/>
    <w:rsid w:val="00A25A8C"/>
    <w:rsid w:val="00A407FC"/>
    <w:rsid w:val="00A4512D"/>
    <w:rsid w:val="00A52322"/>
    <w:rsid w:val="00A53F37"/>
    <w:rsid w:val="00A705AF"/>
    <w:rsid w:val="00A94193"/>
    <w:rsid w:val="00AD02B9"/>
    <w:rsid w:val="00AF4AD3"/>
    <w:rsid w:val="00AF6876"/>
    <w:rsid w:val="00B40011"/>
    <w:rsid w:val="00B40F0B"/>
    <w:rsid w:val="00B42488"/>
    <w:rsid w:val="00B42851"/>
    <w:rsid w:val="00B6007C"/>
    <w:rsid w:val="00B86088"/>
    <w:rsid w:val="00B96350"/>
    <w:rsid w:val="00BC0E30"/>
    <w:rsid w:val="00C50469"/>
    <w:rsid w:val="00C64972"/>
    <w:rsid w:val="00C662B1"/>
    <w:rsid w:val="00C775E9"/>
    <w:rsid w:val="00C83B89"/>
    <w:rsid w:val="00CB5B1A"/>
    <w:rsid w:val="00CC5D04"/>
    <w:rsid w:val="00CD1E59"/>
    <w:rsid w:val="00CF13A4"/>
    <w:rsid w:val="00D357E0"/>
    <w:rsid w:val="00D44506"/>
    <w:rsid w:val="00D73149"/>
    <w:rsid w:val="00D82CB8"/>
    <w:rsid w:val="00DB13D9"/>
    <w:rsid w:val="00DB56A5"/>
    <w:rsid w:val="00DD2715"/>
    <w:rsid w:val="00DD7B0C"/>
    <w:rsid w:val="00DE2218"/>
    <w:rsid w:val="00DF0FDB"/>
    <w:rsid w:val="00E15FEA"/>
    <w:rsid w:val="00E20E87"/>
    <w:rsid w:val="00E2738C"/>
    <w:rsid w:val="00E43C36"/>
    <w:rsid w:val="00E5754C"/>
    <w:rsid w:val="00E62FDD"/>
    <w:rsid w:val="00EA474B"/>
    <w:rsid w:val="00EB1DF9"/>
    <w:rsid w:val="00EB417A"/>
    <w:rsid w:val="00ED78BC"/>
    <w:rsid w:val="00EE5930"/>
    <w:rsid w:val="00EF1298"/>
    <w:rsid w:val="00F81539"/>
    <w:rsid w:val="00F82D58"/>
    <w:rsid w:val="00F83165"/>
    <w:rsid w:val="00F94D30"/>
    <w:rsid w:val="00FA5FAF"/>
    <w:rsid w:val="00FB17FC"/>
    <w:rsid w:val="00FB25E0"/>
    <w:rsid w:val="00FE4011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240" w:after="60"/>
        <w:ind w:left="142" w:right="-663" w:hanging="142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01577"/>
    <w:pPr>
      <w:spacing w:before="0" w:after="300"/>
      <w:ind w:left="709" w:right="0" w:hanging="709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AU"/>
    </w:rPr>
  </w:style>
  <w:style w:type="paragraph" w:styleId="Heading2">
    <w:name w:val="heading 2"/>
    <w:basedOn w:val="ListParagraph"/>
    <w:next w:val="Normal"/>
    <w:qFormat/>
    <w:rsid w:val="00701577"/>
    <w:pPr>
      <w:numPr>
        <w:numId w:val="1"/>
      </w:numPr>
      <w:spacing w:before="0" w:after="240"/>
      <w:ind w:right="0"/>
      <w:contextualSpacing w:val="0"/>
      <w:jc w:val="both"/>
      <w:outlineLvl w:val="1"/>
    </w:pPr>
    <w:rPr>
      <w:rFonts w:ascii="Arial" w:hAnsi="Arial"/>
      <w:b/>
      <w:sz w:val="22"/>
      <w:szCs w:val="22"/>
      <w:lang w:eastAsia="en-AU"/>
    </w:rPr>
  </w:style>
  <w:style w:type="paragraph" w:styleId="Heading3">
    <w:name w:val="heading 3"/>
    <w:basedOn w:val="Normal"/>
    <w:next w:val="Normal"/>
    <w:qFormat/>
    <w:rsid w:val="00701577"/>
    <w:pPr>
      <w:keepNext/>
      <w:keepLines/>
      <w:spacing w:before="0" w:after="0"/>
      <w:ind w:left="0" w:right="0" w:firstLine="0"/>
      <w:outlineLvl w:val="2"/>
    </w:pPr>
    <w:rPr>
      <w:rFonts w:ascii="Arial" w:hAnsi="Arial"/>
      <w:b/>
      <w:i/>
      <w:sz w:val="22"/>
      <w:lang w:eastAsia="en-AU"/>
    </w:rPr>
  </w:style>
  <w:style w:type="paragraph" w:styleId="Heading4">
    <w:name w:val="heading 4"/>
    <w:basedOn w:val="Normal"/>
    <w:next w:val="Normal"/>
    <w:qFormat/>
    <w:rsid w:val="00A705AF"/>
    <w:pPr>
      <w:keepNext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aliases w:val="PBAC Paragraph"/>
    <w:basedOn w:val="Normal"/>
    <w:next w:val="Normal"/>
    <w:link w:val="SubtitleChar"/>
    <w:uiPriority w:val="11"/>
    <w:qFormat/>
    <w:rsid w:val="00A705AF"/>
    <w:pPr>
      <w:numPr>
        <w:ilvl w:val="1"/>
      </w:numPr>
      <w:ind w:left="142" w:hanging="142"/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aliases w:val="PBAC Paragraph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C83B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C83B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83B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3B89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C83B89"/>
  </w:style>
  <w:style w:type="paragraph" w:customStyle="1" w:styleId="MediumGrid21">
    <w:name w:val="Medium Grid 21"/>
    <w:link w:val="MediumGrid2Char"/>
    <w:qFormat/>
    <w:rsid w:val="00C83B89"/>
    <w:pPr>
      <w:spacing w:before="0" w:after="0"/>
      <w:ind w:left="0" w:right="0" w:firstLine="0"/>
    </w:pPr>
    <w:rPr>
      <w:rFonts w:ascii="PMingLiU" w:eastAsia="MS Mincho" w:hAnsi="PMingLiU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C83B89"/>
    <w:rPr>
      <w:rFonts w:ascii="PMingLiU" w:eastAsia="MS Mincho" w:hAnsi="PMingLiU"/>
      <w:sz w:val="22"/>
      <w:szCs w:val="22"/>
      <w:lang w:val="en-US" w:eastAsia="en-US"/>
    </w:rPr>
  </w:style>
  <w:style w:type="paragraph" w:styleId="ListNumber2">
    <w:name w:val="List Number 2"/>
    <w:basedOn w:val="Normal"/>
    <w:rsid w:val="00AF6876"/>
    <w:pPr>
      <w:numPr>
        <w:numId w:val="4"/>
      </w:numPr>
      <w:spacing w:before="0" w:after="0"/>
      <w:ind w:right="0"/>
      <w:contextualSpacing/>
    </w:pPr>
    <w:rPr>
      <w:lang w:eastAsia="en-AU"/>
    </w:rPr>
  </w:style>
  <w:style w:type="character" w:styleId="CommentReference">
    <w:name w:val="annotation reference"/>
    <w:basedOn w:val="DefaultParagraphFont"/>
    <w:rsid w:val="00AF68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6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6876"/>
    <w:rPr>
      <w:lang w:eastAsia="en-US"/>
    </w:rPr>
  </w:style>
  <w:style w:type="paragraph" w:styleId="BalloonText">
    <w:name w:val="Balloon Text"/>
    <w:basedOn w:val="Normal"/>
    <w:link w:val="BalloonTextChar"/>
    <w:rsid w:val="00AF68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876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31C1"/>
    <w:rPr>
      <w:color w:val="808080"/>
    </w:rPr>
  </w:style>
  <w:style w:type="paragraph" w:customStyle="1" w:styleId="Default">
    <w:name w:val="Default"/>
    <w:rsid w:val="003E3B76"/>
    <w:pPr>
      <w:autoSpaceDE w:val="0"/>
      <w:autoSpaceDN w:val="0"/>
      <w:adjustRightInd w:val="0"/>
      <w:spacing w:before="0" w:after="0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32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2A67"/>
    <w:rPr>
      <w:b/>
      <w:bCs/>
      <w:lang w:eastAsia="en-US"/>
    </w:rPr>
  </w:style>
  <w:style w:type="paragraph" w:customStyle="1" w:styleId="PBACHeading1">
    <w:name w:val="PBAC Heading 1"/>
    <w:qFormat/>
    <w:rsid w:val="008507BC"/>
    <w:pPr>
      <w:spacing w:before="0" w:after="0"/>
      <w:ind w:left="720" w:right="0" w:hanging="720"/>
    </w:pPr>
    <w:rPr>
      <w:rFonts w:ascii="Arial" w:hAnsi="Arial" w:cs="Arial"/>
      <w:b/>
      <w:snapToGrid w:val="0"/>
      <w:sz w:val="22"/>
      <w:szCs w:val="22"/>
      <w:lang w:eastAsia="en-US"/>
    </w:rPr>
  </w:style>
  <w:style w:type="character" w:customStyle="1" w:styleId="ListParagraphChar">
    <w:name w:val="List Paragraph Char"/>
    <w:aliases w:val="BulletPoints Char"/>
    <w:link w:val="ListParagraph"/>
    <w:uiPriority w:val="72"/>
    <w:rsid w:val="00757D2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240" w:after="60"/>
        <w:ind w:left="142" w:right="-663" w:hanging="142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01577"/>
    <w:pPr>
      <w:spacing w:before="0" w:after="300"/>
      <w:ind w:left="709" w:right="0" w:hanging="709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AU"/>
    </w:rPr>
  </w:style>
  <w:style w:type="paragraph" w:styleId="Heading2">
    <w:name w:val="heading 2"/>
    <w:basedOn w:val="ListParagraph"/>
    <w:next w:val="Normal"/>
    <w:qFormat/>
    <w:rsid w:val="00701577"/>
    <w:pPr>
      <w:numPr>
        <w:numId w:val="1"/>
      </w:numPr>
      <w:spacing w:before="0" w:after="240"/>
      <w:ind w:right="0"/>
      <w:contextualSpacing w:val="0"/>
      <w:jc w:val="both"/>
      <w:outlineLvl w:val="1"/>
    </w:pPr>
    <w:rPr>
      <w:rFonts w:ascii="Arial" w:hAnsi="Arial"/>
      <w:b/>
      <w:sz w:val="22"/>
      <w:szCs w:val="22"/>
      <w:lang w:eastAsia="en-AU"/>
    </w:rPr>
  </w:style>
  <w:style w:type="paragraph" w:styleId="Heading3">
    <w:name w:val="heading 3"/>
    <w:basedOn w:val="Normal"/>
    <w:next w:val="Normal"/>
    <w:qFormat/>
    <w:rsid w:val="00701577"/>
    <w:pPr>
      <w:keepNext/>
      <w:keepLines/>
      <w:spacing w:before="0" w:after="0"/>
      <w:ind w:left="0" w:right="0" w:firstLine="0"/>
      <w:outlineLvl w:val="2"/>
    </w:pPr>
    <w:rPr>
      <w:rFonts w:ascii="Arial" w:hAnsi="Arial"/>
      <w:b/>
      <w:i/>
      <w:sz w:val="22"/>
      <w:lang w:eastAsia="en-AU"/>
    </w:rPr>
  </w:style>
  <w:style w:type="paragraph" w:styleId="Heading4">
    <w:name w:val="heading 4"/>
    <w:basedOn w:val="Normal"/>
    <w:next w:val="Normal"/>
    <w:qFormat/>
    <w:rsid w:val="00A705AF"/>
    <w:pPr>
      <w:keepNext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aliases w:val="PBAC Paragraph"/>
    <w:basedOn w:val="Normal"/>
    <w:next w:val="Normal"/>
    <w:link w:val="SubtitleChar"/>
    <w:uiPriority w:val="11"/>
    <w:qFormat/>
    <w:rsid w:val="00A705AF"/>
    <w:pPr>
      <w:numPr>
        <w:ilvl w:val="1"/>
      </w:numPr>
      <w:ind w:left="142" w:hanging="142"/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aliases w:val="PBAC Paragraph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C83B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C83B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83B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3B89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C83B89"/>
  </w:style>
  <w:style w:type="paragraph" w:customStyle="1" w:styleId="MediumGrid21">
    <w:name w:val="Medium Grid 21"/>
    <w:link w:val="MediumGrid2Char"/>
    <w:qFormat/>
    <w:rsid w:val="00C83B89"/>
    <w:pPr>
      <w:spacing w:before="0" w:after="0"/>
      <w:ind w:left="0" w:right="0" w:firstLine="0"/>
    </w:pPr>
    <w:rPr>
      <w:rFonts w:ascii="PMingLiU" w:eastAsia="MS Mincho" w:hAnsi="PMingLiU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C83B89"/>
    <w:rPr>
      <w:rFonts w:ascii="PMingLiU" w:eastAsia="MS Mincho" w:hAnsi="PMingLiU"/>
      <w:sz w:val="22"/>
      <w:szCs w:val="22"/>
      <w:lang w:val="en-US" w:eastAsia="en-US"/>
    </w:rPr>
  </w:style>
  <w:style w:type="paragraph" w:styleId="ListNumber2">
    <w:name w:val="List Number 2"/>
    <w:basedOn w:val="Normal"/>
    <w:rsid w:val="00AF6876"/>
    <w:pPr>
      <w:numPr>
        <w:numId w:val="4"/>
      </w:numPr>
      <w:spacing w:before="0" w:after="0"/>
      <w:ind w:right="0"/>
      <w:contextualSpacing/>
    </w:pPr>
    <w:rPr>
      <w:lang w:eastAsia="en-AU"/>
    </w:rPr>
  </w:style>
  <w:style w:type="character" w:styleId="CommentReference">
    <w:name w:val="annotation reference"/>
    <w:basedOn w:val="DefaultParagraphFont"/>
    <w:rsid w:val="00AF68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6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6876"/>
    <w:rPr>
      <w:lang w:eastAsia="en-US"/>
    </w:rPr>
  </w:style>
  <w:style w:type="paragraph" w:styleId="BalloonText">
    <w:name w:val="Balloon Text"/>
    <w:basedOn w:val="Normal"/>
    <w:link w:val="BalloonTextChar"/>
    <w:rsid w:val="00AF68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876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31C1"/>
    <w:rPr>
      <w:color w:val="808080"/>
    </w:rPr>
  </w:style>
  <w:style w:type="paragraph" w:customStyle="1" w:styleId="Default">
    <w:name w:val="Default"/>
    <w:rsid w:val="003E3B76"/>
    <w:pPr>
      <w:autoSpaceDE w:val="0"/>
      <w:autoSpaceDN w:val="0"/>
      <w:adjustRightInd w:val="0"/>
      <w:spacing w:before="0" w:after="0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32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2A67"/>
    <w:rPr>
      <w:b/>
      <w:bCs/>
      <w:lang w:eastAsia="en-US"/>
    </w:rPr>
  </w:style>
  <w:style w:type="paragraph" w:customStyle="1" w:styleId="PBACHeading1">
    <w:name w:val="PBAC Heading 1"/>
    <w:qFormat/>
    <w:rsid w:val="008507BC"/>
    <w:pPr>
      <w:spacing w:before="0" w:after="0"/>
      <w:ind w:left="720" w:right="0" w:hanging="720"/>
    </w:pPr>
    <w:rPr>
      <w:rFonts w:ascii="Arial" w:hAnsi="Arial" w:cs="Arial"/>
      <w:b/>
      <w:snapToGrid w:val="0"/>
      <w:sz w:val="22"/>
      <w:szCs w:val="22"/>
      <w:lang w:eastAsia="en-US"/>
    </w:rPr>
  </w:style>
  <w:style w:type="character" w:customStyle="1" w:styleId="ListParagraphChar">
    <w:name w:val="List Paragraph Char"/>
    <w:aliases w:val="BulletPoints Char"/>
    <w:link w:val="ListParagraph"/>
    <w:uiPriority w:val="72"/>
    <w:rsid w:val="00757D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70EF-2F32-4513-B574-FBBAA8C3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1605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2016-09-19T01:54:00Z</dcterms:created>
  <dcterms:modified xsi:type="dcterms:W3CDTF">2016-09-19T02:02:00Z</dcterms:modified>
</cp:coreProperties>
</file>