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382" w:rsidRPr="001466EA" w:rsidRDefault="00897715" w:rsidP="001466EA">
      <w:pPr>
        <w:pStyle w:val="Title"/>
      </w:pPr>
      <w:bookmarkStart w:id="0" w:name="_Toc451165131"/>
      <w:r w:rsidRPr="001466EA">
        <w:t>5</w:t>
      </w:r>
      <w:r w:rsidR="00433044" w:rsidRPr="001466EA">
        <w:t>.</w:t>
      </w:r>
      <w:r w:rsidRPr="001466EA">
        <w:t>14</w:t>
      </w:r>
      <w:r w:rsidR="00B60939" w:rsidRPr="001466EA">
        <w:tab/>
      </w:r>
      <w:r w:rsidR="00C86021" w:rsidRPr="001466EA">
        <w:t>U</w:t>
      </w:r>
      <w:r w:rsidR="001C3BFE" w:rsidRPr="001466EA">
        <w:t>lipristal acetate</w:t>
      </w:r>
      <w:r w:rsidR="00B60939" w:rsidRPr="001466EA">
        <w:t xml:space="preserve">, </w:t>
      </w:r>
    </w:p>
    <w:p w:rsidR="00960382" w:rsidRPr="001466EA" w:rsidRDefault="001C3BFE" w:rsidP="001466EA">
      <w:pPr>
        <w:pStyle w:val="Title"/>
        <w:ind w:left="720"/>
      </w:pPr>
      <w:r w:rsidRPr="001466EA">
        <w:t>tablet</w:t>
      </w:r>
      <w:r w:rsidR="00B60939" w:rsidRPr="001466EA">
        <w:t xml:space="preserve">, </w:t>
      </w:r>
      <w:r w:rsidR="00B413FC" w:rsidRPr="001466EA">
        <w:t>5 mg</w:t>
      </w:r>
      <w:r w:rsidR="00B60939" w:rsidRPr="001466EA">
        <w:t xml:space="preserve">, </w:t>
      </w:r>
    </w:p>
    <w:p w:rsidR="00B60939" w:rsidRPr="001466EA" w:rsidRDefault="001C3BFE" w:rsidP="001466EA">
      <w:pPr>
        <w:pStyle w:val="Title"/>
        <w:ind w:left="720"/>
      </w:pPr>
      <w:proofErr w:type="gramStart"/>
      <w:r w:rsidRPr="001466EA">
        <w:t>Esmya</w:t>
      </w:r>
      <w:r w:rsidR="00B60939" w:rsidRPr="001466EA">
        <w:t xml:space="preserve">®, </w:t>
      </w:r>
      <w:r w:rsidRPr="001466EA">
        <w:t>Vifor Australia Pty Ltd</w:t>
      </w:r>
      <w:r w:rsidR="00B60939" w:rsidRPr="001466EA">
        <w:t>.</w:t>
      </w:r>
      <w:bookmarkEnd w:id="0"/>
      <w:proofErr w:type="gramEnd"/>
    </w:p>
    <w:p w:rsidR="00B60939" w:rsidRPr="00222597" w:rsidRDefault="00B60939" w:rsidP="00207D00"/>
    <w:p w:rsidR="00433044" w:rsidRPr="00222597" w:rsidRDefault="00433044" w:rsidP="00433044"/>
    <w:p w:rsidR="00D647CD" w:rsidRPr="001466EA" w:rsidRDefault="00D647CD" w:rsidP="001466EA">
      <w:pPr>
        <w:pStyle w:val="Heading1"/>
      </w:pPr>
      <w:bookmarkStart w:id="1" w:name="_Toc451165133"/>
      <w:r w:rsidRPr="001466EA">
        <w:t>Purpose of Application</w:t>
      </w:r>
      <w:bookmarkEnd w:id="1"/>
    </w:p>
    <w:p w:rsidR="00D647CD" w:rsidRPr="00222597" w:rsidRDefault="00D647CD" w:rsidP="00D647CD">
      <w:pPr>
        <w:rPr>
          <w:szCs w:val="22"/>
        </w:rPr>
      </w:pPr>
    </w:p>
    <w:p w:rsidR="00D647CD" w:rsidRPr="00222597" w:rsidRDefault="00D647CD" w:rsidP="00F15765">
      <w:pPr>
        <w:pStyle w:val="ListParagraph"/>
        <w:widowControl/>
        <w:numPr>
          <w:ilvl w:val="1"/>
          <w:numId w:val="3"/>
        </w:numPr>
        <w:rPr>
          <w:szCs w:val="22"/>
        </w:rPr>
      </w:pPr>
      <w:r w:rsidRPr="00222597">
        <w:t xml:space="preserve">The submission requested a Section </w:t>
      </w:r>
      <w:proofErr w:type="gramStart"/>
      <w:r w:rsidRPr="00222597">
        <w:t>85,</w:t>
      </w:r>
      <w:proofErr w:type="gramEnd"/>
      <w:r w:rsidRPr="00222597">
        <w:t xml:space="preserve"> Authority Required (Streamlined) listing for </w:t>
      </w:r>
      <w:proofErr w:type="spellStart"/>
      <w:r w:rsidRPr="00222597">
        <w:t>ulipristal</w:t>
      </w:r>
      <w:proofErr w:type="spellEnd"/>
      <w:r w:rsidRPr="00222597">
        <w:t xml:space="preserve"> for </w:t>
      </w:r>
      <w:r w:rsidR="00897BA1" w:rsidRPr="00222597">
        <w:t xml:space="preserve">the </w:t>
      </w:r>
      <w:r w:rsidRPr="00222597">
        <w:t>treatment of moderate to severe symptoms of uterine fibroids in adult women of reproductive age.</w:t>
      </w:r>
    </w:p>
    <w:p w:rsidR="00040533" w:rsidRPr="00222597" w:rsidRDefault="00040533" w:rsidP="00040533">
      <w:pPr>
        <w:widowControl/>
        <w:rPr>
          <w:szCs w:val="22"/>
        </w:rPr>
      </w:pPr>
    </w:p>
    <w:p w:rsidR="00040533" w:rsidRPr="00222597" w:rsidRDefault="00040533" w:rsidP="00040533">
      <w:pPr>
        <w:widowControl/>
        <w:rPr>
          <w:szCs w:val="22"/>
        </w:rPr>
      </w:pPr>
    </w:p>
    <w:p w:rsidR="00D647CD" w:rsidRPr="00222597" w:rsidRDefault="00D647CD" w:rsidP="001466EA">
      <w:pPr>
        <w:pStyle w:val="Heading1"/>
      </w:pPr>
      <w:bookmarkStart w:id="2" w:name="_Toc451165134"/>
      <w:r w:rsidRPr="00222597">
        <w:t>Requested listing</w:t>
      </w:r>
      <w:bookmarkEnd w:id="2"/>
    </w:p>
    <w:p w:rsidR="00D647CD" w:rsidRPr="00222597" w:rsidRDefault="00D647CD" w:rsidP="00960382">
      <w:pPr>
        <w:keepNext/>
        <w:keepLines/>
      </w:pPr>
    </w:p>
    <w:p w:rsidR="00E54DBC" w:rsidRPr="008A15AE" w:rsidRDefault="00E54DBC" w:rsidP="008A15AE">
      <w:pPr>
        <w:pStyle w:val="ListParagraph"/>
        <w:widowControl/>
        <w:numPr>
          <w:ilvl w:val="1"/>
          <w:numId w:val="3"/>
        </w:numPr>
        <w:rPr>
          <w:szCs w:val="22"/>
        </w:rPr>
      </w:pPr>
      <w:r w:rsidRPr="00222597">
        <w:rPr>
          <w:szCs w:val="22"/>
        </w:rPr>
        <w:t xml:space="preserve">The listing proposed in the submission was based on the clinical setting of both short and </w:t>
      </w:r>
      <w:r w:rsidR="00222597" w:rsidRPr="00222597">
        <w:rPr>
          <w:szCs w:val="22"/>
        </w:rPr>
        <w:t>long-term</w:t>
      </w:r>
      <w:r w:rsidRPr="00222597">
        <w:rPr>
          <w:szCs w:val="22"/>
        </w:rPr>
        <w:t xml:space="preserve"> management of moderate to severe symptoms of uterine fibroids. </w:t>
      </w:r>
      <w:r w:rsidR="00355BD1" w:rsidRPr="00222597">
        <w:rPr>
          <w:szCs w:val="22"/>
        </w:rPr>
        <w:t>The sponsor requested i</w:t>
      </w:r>
      <w:r w:rsidRPr="00222597">
        <w:rPr>
          <w:szCs w:val="22"/>
        </w:rPr>
        <w:t xml:space="preserve">n the </w:t>
      </w:r>
      <w:r w:rsidR="00042B63" w:rsidRPr="00222597">
        <w:rPr>
          <w:szCs w:val="22"/>
        </w:rPr>
        <w:t>P</w:t>
      </w:r>
      <w:r w:rsidRPr="00222597">
        <w:rPr>
          <w:szCs w:val="22"/>
        </w:rPr>
        <w:t xml:space="preserve">re-PBAC response to withdraw the </w:t>
      </w:r>
      <w:r w:rsidR="00222597" w:rsidRPr="00222597">
        <w:rPr>
          <w:szCs w:val="22"/>
        </w:rPr>
        <w:t>long-term</w:t>
      </w:r>
      <w:r w:rsidRPr="00222597">
        <w:rPr>
          <w:szCs w:val="22"/>
        </w:rPr>
        <w:t xml:space="preserve"> treatment setting</w:t>
      </w:r>
      <w:r w:rsidR="00355BD1" w:rsidRPr="00222597">
        <w:rPr>
          <w:szCs w:val="22"/>
        </w:rPr>
        <w:t xml:space="preserve">, narrowing the </w:t>
      </w:r>
      <w:r w:rsidRPr="00222597">
        <w:rPr>
          <w:szCs w:val="22"/>
        </w:rPr>
        <w:t xml:space="preserve">proposed listing to </w:t>
      </w:r>
      <w:r w:rsidR="00222597" w:rsidRPr="00222597">
        <w:rPr>
          <w:szCs w:val="22"/>
        </w:rPr>
        <w:t>short-term</w:t>
      </w:r>
      <w:r w:rsidRPr="00222597">
        <w:rPr>
          <w:szCs w:val="22"/>
        </w:rPr>
        <w:t xml:space="preserve"> t</w:t>
      </w:r>
      <w:r w:rsidR="00463058" w:rsidRPr="00222597">
        <w:rPr>
          <w:szCs w:val="22"/>
        </w:rPr>
        <w:t xml:space="preserve">herapy prior to </w:t>
      </w:r>
      <w:proofErr w:type="gramStart"/>
      <w:r w:rsidR="00463058" w:rsidRPr="00222597">
        <w:rPr>
          <w:szCs w:val="22"/>
        </w:rPr>
        <w:t>planned</w:t>
      </w:r>
      <w:proofErr w:type="gramEnd"/>
      <w:r w:rsidR="00463058" w:rsidRPr="00222597">
        <w:rPr>
          <w:szCs w:val="22"/>
        </w:rPr>
        <w:t xml:space="preserve"> surgery</w:t>
      </w:r>
      <w:r w:rsidR="006303F9">
        <w:rPr>
          <w:szCs w:val="22"/>
        </w:rPr>
        <w:t>.</w:t>
      </w:r>
    </w:p>
    <w:p w:rsidR="004D6775" w:rsidRPr="004D6775" w:rsidRDefault="00AA666A" w:rsidP="00AA666A">
      <w:pPr>
        <w:pStyle w:val="ListParagraph"/>
        <w:keepNext/>
        <w:keepLines/>
        <w:widowControl/>
        <w:numPr>
          <w:ilvl w:val="1"/>
          <w:numId w:val="3"/>
        </w:numPr>
        <w:rPr>
          <w:szCs w:val="22"/>
        </w:rPr>
      </w:pPr>
      <w:r w:rsidRPr="00222597">
        <w:lastRenderedPageBreak/>
        <w:t>The</w:t>
      </w:r>
      <w:r w:rsidRPr="00222597">
        <w:rPr>
          <w:color w:val="3366FF"/>
        </w:rPr>
        <w:t xml:space="preserve"> </w:t>
      </w:r>
      <w:r w:rsidR="006303F9">
        <w:t>requested lis</w:t>
      </w:r>
      <w:r w:rsidRPr="00222597">
        <w:t xml:space="preserve">ting as updated in the </w:t>
      </w:r>
      <w:r w:rsidR="00042B63" w:rsidRPr="00222597">
        <w:t>P</w:t>
      </w:r>
      <w:r w:rsidRPr="00222597">
        <w:t xml:space="preserve">re-PBAC </w:t>
      </w:r>
      <w:r w:rsidR="00355BD1" w:rsidRPr="00222597">
        <w:t xml:space="preserve">request </w:t>
      </w:r>
      <w:r w:rsidRPr="00222597">
        <w:t>is presented below</w:t>
      </w:r>
      <w:r w:rsidR="004D6775">
        <w:t>.</w:t>
      </w:r>
      <w:r w:rsidR="00C350D7">
        <w:t xml:space="preserve"> </w:t>
      </w:r>
    </w:p>
    <w:p w:rsidR="004D6775" w:rsidRDefault="004D6775" w:rsidP="004D6775">
      <w:pPr>
        <w:pStyle w:val="ListParagraph"/>
        <w:keepNext/>
        <w:keepLines/>
        <w:widowControl/>
        <w:rPr>
          <w:rFonts w:eastAsia="SimSun"/>
          <w:iCs/>
          <w:color w:val="000000"/>
          <w:szCs w:val="22"/>
        </w:rPr>
      </w:pPr>
    </w:p>
    <w:p w:rsidR="00AA666A" w:rsidRPr="004D6775" w:rsidRDefault="00C350D7" w:rsidP="004D6775">
      <w:pPr>
        <w:pStyle w:val="ListParagraph"/>
        <w:keepNext/>
        <w:keepLines/>
        <w:widowControl/>
        <w:rPr>
          <w:i/>
          <w:szCs w:val="22"/>
        </w:rPr>
      </w:pPr>
      <w:r w:rsidRPr="004D6775">
        <w:rPr>
          <w:rFonts w:eastAsia="SimSun"/>
          <w:i/>
          <w:iCs/>
          <w:color w:val="000000"/>
          <w:szCs w:val="22"/>
        </w:rPr>
        <w:t>Suggestions and additions proposed by the Secretariat to the requested listing are added in italics and suggested deletions are crossed out with strikethrough.</w:t>
      </w:r>
    </w:p>
    <w:p w:rsidR="00AA666A" w:rsidRPr="00222597" w:rsidRDefault="00AA666A" w:rsidP="00B64F62">
      <w:pPr>
        <w:keepNext/>
        <w:keepLines/>
      </w:pPr>
    </w:p>
    <w:tbl>
      <w:tblPr>
        <w:tblW w:w="9214" w:type="dxa"/>
        <w:tblInd w:w="108" w:type="dxa"/>
        <w:tblLayout w:type="fixed"/>
        <w:tblLook w:val="0000" w:firstRow="0" w:lastRow="0" w:firstColumn="0" w:lastColumn="0" w:noHBand="0" w:noVBand="0"/>
      </w:tblPr>
      <w:tblGrid>
        <w:gridCol w:w="2835"/>
        <w:gridCol w:w="426"/>
        <w:gridCol w:w="567"/>
        <w:gridCol w:w="850"/>
        <w:gridCol w:w="1701"/>
        <w:gridCol w:w="1559"/>
        <w:gridCol w:w="1276"/>
      </w:tblGrid>
      <w:tr w:rsidR="00AA666A" w:rsidRPr="00222597" w:rsidTr="006350CF">
        <w:trPr>
          <w:cantSplit/>
          <w:trHeight w:val="471"/>
        </w:trPr>
        <w:tc>
          <w:tcPr>
            <w:tcW w:w="3261" w:type="dxa"/>
            <w:gridSpan w:val="2"/>
            <w:tcBorders>
              <w:bottom w:val="single" w:sz="4" w:space="0" w:color="auto"/>
            </w:tcBorders>
          </w:tcPr>
          <w:p w:rsidR="00AA666A" w:rsidRPr="00222597" w:rsidRDefault="00AA666A" w:rsidP="006350CF">
            <w:pPr>
              <w:keepNext/>
              <w:keepLines/>
              <w:ind w:left="-108"/>
              <w:rPr>
                <w:rFonts w:ascii="Arial Narrow" w:hAnsi="Arial Narrow"/>
                <w:sz w:val="20"/>
              </w:rPr>
            </w:pPr>
            <w:r w:rsidRPr="00222597">
              <w:rPr>
                <w:rFonts w:ascii="Arial Narrow" w:hAnsi="Arial Narrow"/>
                <w:sz w:val="20"/>
              </w:rPr>
              <w:t>Name, Restriction,</w:t>
            </w:r>
          </w:p>
          <w:p w:rsidR="00AA666A" w:rsidRPr="00222597" w:rsidRDefault="00AA666A" w:rsidP="006350CF">
            <w:pPr>
              <w:keepNext/>
              <w:keepLines/>
              <w:ind w:left="-108"/>
              <w:rPr>
                <w:rFonts w:ascii="Arial Narrow" w:hAnsi="Arial Narrow"/>
                <w:sz w:val="20"/>
              </w:rPr>
            </w:pPr>
            <w:r w:rsidRPr="00222597">
              <w:rPr>
                <w:rFonts w:ascii="Arial Narrow" w:hAnsi="Arial Narrow"/>
                <w:sz w:val="20"/>
              </w:rPr>
              <w:t>Manner of administration and form</w:t>
            </w:r>
          </w:p>
        </w:tc>
        <w:tc>
          <w:tcPr>
            <w:tcW w:w="567" w:type="dxa"/>
            <w:tcBorders>
              <w:bottom w:val="single" w:sz="4" w:space="0" w:color="auto"/>
            </w:tcBorders>
          </w:tcPr>
          <w:p w:rsidR="00AA666A" w:rsidRPr="00222597" w:rsidRDefault="00AA666A" w:rsidP="006350CF">
            <w:pPr>
              <w:keepNext/>
              <w:keepLines/>
              <w:ind w:left="-108"/>
              <w:rPr>
                <w:rFonts w:ascii="Arial Narrow" w:hAnsi="Arial Narrow"/>
                <w:sz w:val="20"/>
              </w:rPr>
            </w:pPr>
            <w:r w:rsidRPr="00222597">
              <w:rPr>
                <w:rFonts w:ascii="Arial Narrow" w:hAnsi="Arial Narrow"/>
                <w:sz w:val="20"/>
              </w:rPr>
              <w:t>Max.</w:t>
            </w:r>
          </w:p>
          <w:p w:rsidR="00AA666A" w:rsidRPr="00222597" w:rsidRDefault="00AA666A" w:rsidP="006350CF">
            <w:pPr>
              <w:keepNext/>
              <w:keepLines/>
              <w:ind w:left="-108"/>
              <w:rPr>
                <w:rFonts w:ascii="Arial Narrow" w:hAnsi="Arial Narrow"/>
                <w:sz w:val="20"/>
              </w:rPr>
            </w:pPr>
            <w:proofErr w:type="spellStart"/>
            <w:r w:rsidRPr="00222597">
              <w:rPr>
                <w:rFonts w:ascii="Arial Narrow" w:hAnsi="Arial Narrow"/>
                <w:sz w:val="20"/>
              </w:rPr>
              <w:t>Qty</w:t>
            </w:r>
            <w:proofErr w:type="spellEnd"/>
          </w:p>
        </w:tc>
        <w:tc>
          <w:tcPr>
            <w:tcW w:w="850" w:type="dxa"/>
            <w:tcBorders>
              <w:bottom w:val="single" w:sz="4" w:space="0" w:color="auto"/>
            </w:tcBorders>
          </w:tcPr>
          <w:p w:rsidR="00AA666A" w:rsidRPr="00222597" w:rsidRDefault="00AA666A" w:rsidP="006350CF">
            <w:pPr>
              <w:keepNext/>
              <w:keepLines/>
              <w:ind w:left="-108"/>
              <w:rPr>
                <w:rFonts w:ascii="Arial Narrow" w:hAnsi="Arial Narrow"/>
                <w:sz w:val="20"/>
              </w:rPr>
            </w:pPr>
            <w:r w:rsidRPr="00222597">
              <w:rPr>
                <w:rFonts w:ascii="Arial Narrow" w:hAnsi="Arial Narrow"/>
                <w:sz w:val="20"/>
              </w:rPr>
              <w:t>№.of</w:t>
            </w:r>
          </w:p>
          <w:p w:rsidR="00AA666A" w:rsidRPr="00222597" w:rsidRDefault="00AA666A" w:rsidP="006350CF">
            <w:pPr>
              <w:keepNext/>
              <w:keepLines/>
              <w:ind w:left="-108"/>
              <w:rPr>
                <w:rFonts w:ascii="Arial Narrow" w:hAnsi="Arial Narrow"/>
                <w:sz w:val="20"/>
              </w:rPr>
            </w:pPr>
            <w:proofErr w:type="spellStart"/>
            <w:r w:rsidRPr="00222597">
              <w:rPr>
                <w:rFonts w:ascii="Arial Narrow" w:hAnsi="Arial Narrow"/>
                <w:sz w:val="20"/>
              </w:rPr>
              <w:t>Rpts</w:t>
            </w:r>
            <w:proofErr w:type="spellEnd"/>
          </w:p>
        </w:tc>
        <w:tc>
          <w:tcPr>
            <w:tcW w:w="1701" w:type="dxa"/>
            <w:tcBorders>
              <w:bottom w:val="single" w:sz="4" w:space="0" w:color="auto"/>
            </w:tcBorders>
          </w:tcPr>
          <w:p w:rsidR="00AA666A" w:rsidRPr="00222597" w:rsidRDefault="00AA666A" w:rsidP="006350CF">
            <w:pPr>
              <w:keepNext/>
              <w:keepLines/>
              <w:ind w:left="-108"/>
              <w:rPr>
                <w:rFonts w:ascii="Arial Narrow" w:hAnsi="Arial Narrow"/>
                <w:sz w:val="20"/>
              </w:rPr>
            </w:pPr>
            <w:r w:rsidRPr="00222597">
              <w:rPr>
                <w:rFonts w:ascii="Arial Narrow" w:hAnsi="Arial Narrow"/>
                <w:sz w:val="20"/>
              </w:rPr>
              <w:t xml:space="preserve">Dispensed Price for Max. </w:t>
            </w:r>
            <w:proofErr w:type="spellStart"/>
            <w:r w:rsidRPr="00222597">
              <w:rPr>
                <w:rFonts w:ascii="Arial Narrow" w:hAnsi="Arial Narrow"/>
                <w:sz w:val="20"/>
              </w:rPr>
              <w:t>Qty</w:t>
            </w:r>
            <w:proofErr w:type="spellEnd"/>
          </w:p>
        </w:tc>
        <w:tc>
          <w:tcPr>
            <w:tcW w:w="2835" w:type="dxa"/>
            <w:gridSpan w:val="2"/>
            <w:tcBorders>
              <w:bottom w:val="single" w:sz="4" w:space="0" w:color="auto"/>
            </w:tcBorders>
          </w:tcPr>
          <w:p w:rsidR="00AA666A" w:rsidRPr="00121E88" w:rsidRDefault="00AA666A" w:rsidP="006350CF">
            <w:pPr>
              <w:keepNext/>
              <w:keepLines/>
              <w:rPr>
                <w:rFonts w:ascii="Arial Narrow" w:hAnsi="Arial Narrow"/>
                <w:sz w:val="20"/>
              </w:rPr>
            </w:pPr>
            <w:r w:rsidRPr="00222597">
              <w:rPr>
                <w:rFonts w:ascii="Arial Narrow" w:hAnsi="Arial Narrow"/>
                <w:sz w:val="20"/>
              </w:rPr>
              <w:t>Proprietary Name and Manufacturer</w:t>
            </w:r>
          </w:p>
        </w:tc>
      </w:tr>
      <w:tr w:rsidR="00AA666A" w:rsidRPr="00222597" w:rsidTr="006350CF">
        <w:trPr>
          <w:cantSplit/>
          <w:trHeight w:val="577"/>
        </w:trPr>
        <w:tc>
          <w:tcPr>
            <w:tcW w:w="3261" w:type="dxa"/>
            <w:gridSpan w:val="2"/>
          </w:tcPr>
          <w:p w:rsidR="00AA666A" w:rsidRPr="00222597" w:rsidRDefault="00AA666A" w:rsidP="006350CF">
            <w:pPr>
              <w:keepNext/>
              <w:keepLines/>
              <w:ind w:left="-108"/>
              <w:rPr>
                <w:rFonts w:ascii="Arial Narrow" w:hAnsi="Arial Narrow"/>
                <w:sz w:val="20"/>
              </w:rPr>
            </w:pPr>
            <w:r w:rsidRPr="00222597">
              <w:rPr>
                <w:rFonts w:ascii="Arial Narrow" w:hAnsi="Arial Narrow"/>
                <w:sz w:val="20"/>
              </w:rPr>
              <w:t xml:space="preserve">ULIPRISTAL ACETATE </w:t>
            </w:r>
          </w:p>
          <w:p w:rsidR="00AA666A" w:rsidRPr="00222597" w:rsidRDefault="00AA666A" w:rsidP="006350CF">
            <w:pPr>
              <w:keepNext/>
              <w:keepLines/>
              <w:ind w:left="-108"/>
              <w:rPr>
                <w:rFonts w:ascii="Arial Narrow" w:hAnsi="Arial Narrow"/>
                <w:sz w:val="20"/>
              </w:rPr>
            </w:pPr>
            <w:r w:rsidRPr="00222597">
              <w:rPr>
                <w:rFonts w:ascii="Arial Narrow" w:hAnsi="Arial Narrow"/>
                <w:sz w:val="20"/>
              </w:rPr>
              <w:t>Tablet 5mg, 28</w:t>
            </w:r>
          </w:p>
        </w:tc>
        <w:tc>
          <w:tcPr>
            <w:tcW w:w="567" w:type="dxa"/>
          </w:tcPr>
          <w:p w:rsidR="00AA666A" w:rsidRPr="00222597" w:rsidRDefault="00AA666A" w:rsidP="006350CF">
            <w:pPr>
              <w:keepNext/>
              <w:keepLines/>
              <w:ind w:left="-108"/>
              <w:rPr>
                <w:rFonts w:ascii="Arial Narrow" w:hAnsi="Arial Narrow"/>
                <w:sz w:val="20"/>
              </w:rPr>
            </w:pPr>
          </w:p>
          <w:p w:rsidR="00AA666A" w:rsidRPr="00222597" w:rsidRDefault="00AA666A" w:rsidP="006350CF">
            <w:pPr>
              <w:keepNext/>
              <w:keepLines/>
              <w:ind w:left="-108"/>
              <w:rPr>
                <w:rFonts w:ascii="Arial Narrow" w:hAnsi="Arial Narrow"/>
                <w:sz w:val="20"/>
              </w:rPr>
            </w:pPr>
            <w:r w:rsidRPr="00222597">
              <w:rPr>
                <w:rFonts w:ascii="Arial Narrow" w:hAnsi="Arial Narrow"/>
                <w:sz w:val="20"/>
              </w:rPr>
              <w:t>1</w:t>
            </w:r>
          </w:p>
        </w:tc>
        <w:tc>
          <w:tcPr>
            <w:tcW w:w="850" w:type="dxa"/>
          </w:tcPr>
          <w:p w:rsidR="00AA666A" w:rsidRPr="00222597" w:rsidRDefault="00AA666A" w:rsidP="006350CF">
            <w:pPr>
              <w:keepNext/>
              <w:keepLines/>
              <w:ind w:left="-108"/>
              <w:rPr>
                <w:rFonts w:ascii="Arial Narrow" w:hAnsi="Arial Narrow"/>
                <w:sz w:val="20"/>
              </w:rPr>
            </w:pPr>
          </w:p>
          <w:p w:rsidR="00AA666A" w:rsidRPr="00222597" w:rsidRDefault="00AA666A" w:rsidP="006350CF">
            <w:pPr>
              <w:keepNext/>
              <w:keepLines/>
              <w:ind w:left="-108"/>
              <w:rPr>
                <w:rFonts w:ascii="Arial Narrow" w:hAnsi="Arial Narrow"/>
                <w:sz w:val="20"/>
              </w:rPr>
            </w:pPr>
            <w:r w:rsidRPr="00222597">
              <w:rPr>
                <w:rFonts w:ascii="Arial Narrow" w:hAnsi="Arial Narrow"/>
                <w:sz w:val="20"/>
              </w:rPr>
              <w:t>2</w:t>
            </w:r>
          </w:p>
        </w:tc>
        <w:tc>
          <w:tcPr>
            <w:tcW w:w="1701" w:type="dxa"/>
          </w:tcPr>
          <w:p w:rsidR="00AA666A" w:rsidRPr="00222597" w:rsidRDefault="00AA666A" w:rsidP="006350CF">
            <w:pPr>
              <w:keepNext/>
              <w:keepLines/>
              <w:ind w:left="-108"/>
              <w:rPr>
                <w:rFonts w:ascii="Arial Narrow" w:hAnsi="Arial Narrow"/>
                <w:sz w:val="20"/>
              </w:rPr>
            </w:pPr>
          </w:p>
          <w:p w:rsidR="00AA666A" w:rsidRPr="00222597" w:rsidRDefault="00AA666A" w:rsidP="006350CF">
            <w:pPr>
              <w:keepNext/>
              <w:keepLines/>
              <w:ind w:left="-108"/>
              <w:rPr>
                <w:rFonts w:ascii="Arial Narrow" w:hAnsi="Arial Narrow"/>
                <w:sz w:val="20"/>
                <w:vertAlign w:val="superscript"/>
              </w:rPr>
            </w:pPr>
            <w:r w:rsidRPr="00222597">
              <w:rPr>
                <w:rFonts w:ascii="Arial Narrow" w:hAnsi="Arial Narrow"/>
                <w:sz w:val="20"/>
              </w:rPr>
              <w:t>$</w:t>
            </w:r>
            <w:r w:rsidR="001466EA">
              <w:rPr>
                <w:rFonts w:ascii="Arial Narrow" w:hAnsi="Arial Narrow"/>
                <w:noProof/>
                <w:color w:val="000000"/>
                <w:sz w:val="20"/>
                <w:highlight w:val="black"/>
              </w:rPr>
              <w:t>'''''''''''''''''</w:t>
            </w:r>
            <w:r w:rsidRPr="00222597">
              <w:rPr>
                <w:rFonts w:ascii="Arial Narrow" w:hAnsi="Arial Narrow"/>
                <w:sz w:val="20"/>
                <w:vertAlign w:val="superscript"/>
              </w:rPr>
              <w:t>*</w:t>
            </w:r>
          </w:p>
        </w:tc>
        <w:tc>
          <w:tcPr>
            <w:tcW w:w="1559" w:type="dxa"/>
          </w:tcPr>
          <w:p w:rsidR="00AA666A" w:rsidRPr="00222597" w:rsidRDefault="00AA666A" w:rsidP="006350CF">
            <w:pPr>
              <w:keepNext/>
              <w:keepLines/>
              <w:rPr>
                <w:rFonts w:ascii="Arial Narrow" w:hAnsi="Arial Narrow"/>
                <w:sz w:val="20"/>
              </w:rPr>
            </w:pPr>
          </w:p>
          <w:p w:rsidR="00AA666A" w:rsidRPr="00222597" w:rsidRDefault="00AA666A" w:rsidP="006350CF">
            <w:pPr>
              <w:keepNext/>
              <w:keepLines/>
              <w:rPr>
                <w:rFonts w:ascii="Arial Narrow" w:hAnsi="Arial Narrow"/>
                <w:sz w:val="20"/>
              </w:rPr>
            </w:pPr>
            <w:proofErr w:type="spellStart"/>
            <w:r w:rsidRPr="00222597">
              <w:rPr>
                <w:rFonts w:ascii="Arial Narrow" w:hAnsi="Arial Narrow"/>
                <w:sz w:val="20"/>
              </w:rPr>
              <w:t>Esmya</w:t>
            </w:r>
            <w:proofErr w:type="spellEnd"/>
            <w:r w:rsidRPr="00222597">
              <w:rPr>
                <w:rFonts w:ascii="Arial Narrow" w:hAnsi="Arial Narrow"/>
                <w:sz w:val="20"/>
              </w:rPr>
              <w:t>®</w:t>
            </w:r>
          </w:p>
        </w:tc>
        <w:tc>
          <w:tcPr>
            <w:tcW w:w="1276" w:type="dxa"/>
          </w:tcPr>
          <w:p w:rsidR="00AA666A" w:rsidRPr="00222597" w:rsidRDefault="00AA666A" w:rsidP="006350CF">
            <w:pPr>
              <w:keepNext/>
              <w:keepLines/>
              <w:rPr>
                <w:rFonts w:ascii="Arial Narrow" w:hAnsi="Arial Narrow"/>
                <w:sz w:val="20"/>
              </w:rPr>
            </w:pPr>
          </w:p>
          <w:p w:rsidR="00AA666A" w:rsidRPr="00222597" w:rsidRDefault="00AA666A" w:rsidP="006350CF">
            <w:pPr>
              <w:keepNext/>
              <w:keepLines/>
              <w:rPr>
                <w:rFonts w:ascii="Arial Narrow" w:hAnsi="Arial Narrow"/>
                <w:sz w:val="20"/>
              </w:rPr>
            </w:pPr>
            <w:proofErr w:type="spellStart"/>
            <w:r w:rsidRPr="00222597">
              <w:rPr>
                <w:rFonts w:ascii="Arial Narrow" w:hAnsi="Arial Narrow"/>
                <w:sz w:val="20"/>
              </w:rPr>
              <w:t>Vifor</w:t>
            </w:r>
            <w:proofErr w:type="spellEnd"/>
            <w:r w:rsidRPr="00222597">
              <w:rPr>
                <w:rFonts w:ascii="Arial Narrow" w:hAnsi="Arial Narrow"/>
                <w:sz w:val="20"/>
              </w:rPr>
              <w:t xml:space="preserve"> Australia Pty Ltd</w:t>
            </w:r>
          </w:p>
        </w:tc>
      </w:tr>
      <w:tr w:rsidR="00AA666A" w:rsidRPr="00222597" w:rsidTr="006350CF">
        <w:trPr>
          <w:cantSplit/>
          <w:trHeight w:val="360"/>
        </w:trPr>
        <w:tc>
          <w:tcPr>
            <w:tcW w:w="9214" w:type="dxa"/>
            <w:gridSpan w:val="7"/>
            <w:tcBorders>
              <w:bottom w:val="single" w:sz="4" w:space="0" w:color="auto"/>
            </w:tcBorders>
          </w:tcPr>
          <w:p w:rsidR="00AA666A" w:rsidRPr="00222597" w:rsidRDefault="00AA666A" w:rsidP="006350CF">
            <w:pPr>
              <w:keepNext/>
              <w:keepLines/>
              <w:rPr>
                <w:rFonts w:ascii="Arial Narrow" w:hAnsi="Arial Narrow"/>
                <w:sz w:val="20"/>
              </w:rPr>
            </w:pPr>
          </w:p>
        </w:tc>
      </w:tr>
      <w:tr w:rsidR="00AA666A" w:rsidRPr="00222597" w:rsidTr="006350CF">
        <w:trPr>
          <w:cantSplit/>
          <w:trHeight w:val="360"/>
        </w:trPr>
        <w:tc>
          <w:tcPr>
            <w:tcW w:w="2835" w:type="dxa"/>
            <w:tcBorders>
              <w:top w:val="single" w:sz="4" w:space="0" w:color="auto"/>
              <w:left w:val="single" w:sz="4" w:space="0" w:color="auto"/>
              <w:bottom w:val="single" w:sz="4" w:space="0" w:color="auto"/>
              <w:right w:val="single" w:sz="4" w:space="0" w:color="auto"/>
            </w:tcBorders>
          </w:tcPr>
          <w:p w:rsidR="00AA666A" w:rsidRPr="00222597" w:rsidRDefault="00AA666A" w:rsidP="006350CF">
            <w:pPr>
              <w:keepNext/>
              <w:keepLines/>
              <w:rPr>
                <w:rFonts w:ascii="Arial Narrow" w:hAnsi="Arial Narrow"/>
                <w:b/>
                <w:sz w:val="20"/>
              </w:rPr>
            </w:pPr>
            <w:r w:rsidRPr="00222597">
              <w:rPr>
                <w:rFonts w:ascii="Arial Narrow" w:hAnsi="Arial Narrow"/>
                <w:b/>
                <w:sz w:val="20"/>
              </w:rPr>
              <w:t xml:space="preserve">Category / </w:t>
            </w:r>
          </w:p>
          <w:p w:rsidR="00AA666A" w:rsidRPr="00222597" w:rsidRDefault="00AA666A" w:rsidP="006350CF">
            <w:pPr>
              <w:keepNext/>
              <w:keepLines/>
              <w:rPr>
                <w:rFonts w:ascii="Arial Narrow" w:hAnsi="Arial Narrow"/>
                <w:b/>
                <w:sz w:val="20"/>
              </w:rPr>
            </w:pPr>
            <w:r w:rsidRPr="00222597">
              <w:rPr>
                <w:rFonts w:ascii="Arial Narrow" w:hAnsi="Arial Narrow"/>
                <w:b/>
                <w:sz w:val="20"/>
              </w:rPr>
              <w:t>Program</w:t>
            </w:r>
          </w:p>
        </w:tc>
        <w:tc>
          <w:tcPr>
            <w:tcW w:w="6379" w:type="dxa"/>
            <w:gridSpan w:val="6"/>
            <w:tcBorders>
              <w:top w:val="single" w:sz="4" w:space="0" w:color="auto"/>
              <w:left w:val="single" w:sz="4" w:space="0" w:color="auto"/>
              <w:bottom w:val="single" w:sz="4" w:space="0" w:color="auto"/>
              <w:right w:val="single" w:sz="4" w:space="0" w:color="auto"/>
            </w:tcBorders>
          </w:tcPr>
          <w:p w:rsidR="00AA666A" w:rsidRPr="00222597" w:rsidRDefault="00AA666A" w:rsidP="006350CF">
            <w:pPr>
              <w:keepNext/>
              <w:keepLines/>
              <w:rPr>
                <w:rFonts w:ascii="Arial Narrow" w:hAnsi="Arial Narrow"/>
                <w:sz w:val="20"/>
              </w:rPr>
            </w:pPr>
            <w:r w:rsidRPr="00222597">
              <w:rPr>
                <w:rFonts w:ascii="Arial Narrow" w:hAnsi="Arial Narrow"/>
                <w:sz w:val="20"/>
              </w:rPr>
              <w:t>GENERAL – General Schedule (Code GE)</w:t>
            </w:r>
          </w:p>
        </w:tc>
      </w:tr>
      <w:tr w:rsidR="00AA666A" w:rsidRPr="00222597" w:rsidTr="006350CF">
        <w:trPr>
          <w:cantSplit/>
          <w:trHeight w:val="360"/>
        </w:trPr>
        <w:tc>
          <w:tcPr>
            <w:tcW w:w="2835" w:type="dxa"/>
            <w:tcBorders>
              <w:top w:val="single" w:sz="4" w:space="0" w:color="auto"/>
              <w:left w:val="single" w:sz="4" w:space="0" w:color="auto"/>
              <w:bottom w:val="single" w:sz="4" w:space="0" w:color="auto"/>
              <w:right w:val="single" w:sz="4" w:space="0" w:color="auto"/>
            </w:tcBorders>
          </w:tcPr>
          <w:p w:rsidR="00AA666A" w:rsidRPr="00222597" w:rsidRDefault="00AA666A" w:rsidP="006350CF">
            <w:pPr>
              <w:keepNext/>
              <w:keepLines/>
              <w:rPr>
                <w:rFonts w:ascii="Arial Narrow" w:hAnsi="Arial Narrow"/>
                <w:b/>
                <w:sz w:val="20"/>
              </w:rPr>
            </w:pPr>
            <w:r w:rsidRPr="00222597">
              <w:rPr>
                <w:rFonts w:ascii="Arial Narrow" w:hAnsi="Arial Narrow"/>
                <w:b/>
                <w:sz w:val="20"/>
              </w:rPr>
              <w:t>Prescriber type:</w:t>
            </w:r>
          </w:p>
        </w:tc>
        <w:tc>
          <w:tcPr>
            <w:tcW w:w="6379" w:type="dxa"/>
            <w:gridSpan w:val="6"/>
            <w:tcBorders>
              <w:top w:val="single" w:sz="4" w:space="0" w:color="auto"/>
              <w:left w:val="single" w:sz="4" w:space="0" w:color="auto"/>
              <w:bottom w:val="single" w:sz="4" w:space="0" w:color="auto"/>
              <w:right w:val="single" w:sz="4" w:space="0" w:color="auto"/>
            </w:tcBorders>
          </w:tcPr>
          <w:p w:rsidR="00AA666A" w:rsidRPr="00222597" w:rsidRDefault="00AA666A" w:rsidP="006350CF">
            <w:pPr>
              <w:keepNext/>
              <w:keepLines/>
              <w:rPr>
                <w:rFonts w:ascii="Arial Narrow" w:hAnsi="Arial Narrow"/>
                <w:sz w:val="20"/>
              </w:rPr>
            </w:pPr>
            <w:r w:rsidRPr="00121E88">
              <w:rPr>
                <w:rFonts w:ascii="Arial Narrow" w:hAnsi="Arial Narrow"/>
                <w:sz w:val="20"/>
              </w:rPr>
              <w:fldChar w:fldCharType="begin">
                <w:ffData>
                  <w:name w:val="Check1"/>
                  <w:enabled/>
                  <w:calcOnExit w:val="0"/>
                  <w:checkBox>
                    <w:sizeAuto/>
                    <w:default w:val="0"/>
                  </w:checkBox>
                </w:ffData>
              </w:fldChar>
            </w:r>
            <w:r w:rsidRPr="00222597">
              <w:rPr>
                <w:rFonts w:ascii="Arial Narrow" w:hAnsi="Arial Narrow"/>
                <w:sz w:val="20"/>
              </w:rPr>
              <w:instrText xml:space="preserve"> FORMCHECKBOX </w:instrText>
            </w:r>
            <w:r w:rsidR="001466EA">
              <w:rPr>
                <w:rFonts w:ascii="Arial Narrow" w:hAnsi="Arial Narrow"/>
                <w:sz w:val="20"/>
              </w:rPr>
            </w:r>
            <w:r w:rsidR="001466EA">
              <w:rPr>
                <w:rFonts w:ascii="Arial Narrow" w:hAnsi="Arial Narrow"/>
                <w:sz w:val="20"/>
              </w:rPr>
              <w:fldChar w:fldCharType="separate"/>
            </w:r>
            <w:r w:rsidRPr="00121E88">
              <w:rPr>
                <w:rFonts w:ascii="Arial Narrow" w:hAnsi="Arial Narrow"/>
                <w:sz w:val="20"/>
              </w:rPr>
              <w:fldChar w:fldCharType="end"/>
            </w:r>
            <w:r w:rsidRPr="00222597">
              <w:rPr>
                <w:rFonts w:ascii="Arial Narrow" w:hAnsi="Arial Narrow"/>
                <w:sz w:val="20"/>
              </w:rPr>
              <w:t xml:space="preserve">Dental  </w:t>
            </w:r>
            <w:r w:rsidRPr="00121E88">
              <w:rPr>
                <w:rFonts w:ascii="Arial Narrow" w:hAnsi="Arial Narrow"/>
                <w:sz w:val="20"/>
              </w:rPr>
              <w:fldChar w:fldCharType="begin">
                <w:ffData>
                  <w:name w:val=""/>
                  <w:enabled/>
                  <w:calcOnExit w:val="0"/>
                  <w:checkBox>
                    <w:sizeAuto/>
                    <w:default w:val="1"/>
                  </w:checkBox>
                </w:ffData>
              </w:fldChar>
            </w:r>
            <w:r w:rsidRPr="00222597">
              <w:rPr>
                <w:rFonts w:ascii="Arial Narrow" w:hAnsi="Arial Narrow"/>
                <w:sz w:val="20"/>
              </w:rPr>
              <w:instrText xml:space="preserve"> FORMCHECKBOX </w:instrText>
            </w:r>
            <w:r w:rsidR="001466EA">
              <w:rPr>
                <w:rFonts w:ascii="Arial Narrow" w:hAnsi="Arial Narrow"/>
                <w:sz w:val="20"/>
              </w:rPr>
            </w:r>
            <w:r w:rsidR="001466EA">
              <w:rPr>
                <w:rFonts w:ascii="Arial Narrow" w:hAnsi="Arial Narrow"/>
                <w:sz w:val="20"/>
              </w:rPr>
              <w:fldChar w:fldCharType="separate"/>
            </w:r>
            <w:r w:rsidRPr="00121E88">
              <w:rPr>
                <w:rFonts w:ascii="Arial Narrow" w:hAnsi="Arial Narrow"/>
                <w:sz w:val="20"/>
              </w:rPr>
              <w:fldChar w:fldCharType="end"/>
            </w:r>
            <w:r w:rsidRPr="00222597">
              <w:rPr>
                <w:rFonts w:ascii="Arial Narrow" w:hAnsi="Arial Narrow"/>
                <w:sz w:val="20"/>
              </w:rPr>
              <w:t xml:space="preserve">Medical Practitioners  </w:t>
            </w:r>
            <w:r w:rsidRPr="00121E88">
              <w:rPr>
                <w:rFonts w:ascii="Arial Narrow" w:hAnsi="Arial Narrow"/>
                <w:sz w:val="20"/>
              </w:rPr>
              <w:fldChar w:fldCharType="begin">
                <w:ffData>
                  <w:name w:val="Check3"/>
                  <w:enabled/>
                  <w:calcOnExit w:val="0"/>
                  <w:checkBox>
                    <w:sizeAuto/>
                    <w:default w:val="0"/>
                  </w:checkBox>
                </w:ffData>
              </w:fldChar>
            </w:r>
            <w:r w:rsidRPr="00222597">
              <w:rPr>
                <w:rFonts w:ascii="Arial Narrow" w:hAnsi="Arial Narrow"/>
                <w:sz w:val="20"/>
              </w:rPr>
              <w:instrText xml:space="preserve"> FORMCHECKBOX </w:instrText>
            </w:r>
            <w:r w:rsidR="001466EA">
              <w:rPr>
                <w:rFonts w:ascii="Arial Narrow" w:hAnsi="Arial Narrow"/>
                <w:sz w:val="20"/>
              </w:rPr>
            </w:r>
            <w:r w:rsidR="001466EA">
              <w:rPr>
                <w:rFonts w:ascii="Arial Narrow" w:hAnsi="Arial Narrow"/>
                <w:sz w:val="20"/>
              </w:rPr>
              <w:fldChar w:fldCharType="separate"/>
            </w:r>
            <w:r w:rsidRPr="00121E88">
              <w:rPr>
                <w:rFonts w:ascii="Arial Narrow" w:hAnsi="Arial Narrow"/>
                <w:sz w:val="20"/>
              </w:rPr>
              <w:fldChar w:fldCharType="end"/>
            </w:r>
            <w:r w:rsidRPr="00222597">
              <w:rPr>
                <w:rFonts w:ascii="Arial Narrow" w:hAnsi="Arial Narrow"/>
                <w:sz w:val="20"/>
              </w:rPr>
              <w:t xml:space="preserve">Nurse practitioners  </w:t>
            </w:r>
            <w:r w:rsidRPr="00121E88">
              <w:rPr>
                <w:rFonts w:ascii="Arial Narrow" w:hAnsi="Arial Narrow"/>
                <w:sz w:val="20"/>
              </w:rPr>
              <w:fldChar w:fldCharType="begin">
                <w:ffData>
                  <w:name w:val=""/>
                  <w:enabled/>
                  <w:calcOnExit w:val="0"/>
                  <w:checkBox>
                    <w:sizeAuto/>
                    <w:default w:val="0"/>
                  </w:checkBox>
                </w:ffData>
              </w:fldChar>
            </w:r>
            <w:r w:rsidRPr="00222597">
              <w:rPr>
                <w:rFonts w:ascii="Arial Narrow" w:hAnsi="Arial Narrow"/>
                <w:sz w:val="20"/>
              </w:rPr>
              <w:instrText xml:space="preserve"> FORMCHECKBOX </w:instrText>
            </w:r>
            <w:r w:rsidR="001466EA">
              <w:rPr>
                <w:rFonts w:ascii="Arial Narrow" w:hAnsi="Arial Narrow"/>
                <w:sz w:val="20"/>
              </w:rPr>
            </w:r>
            <w:r w:rsidR="001466EA">
              <w:rPr>
                <w:rFonts w:ascii="Arial Narrow" w:hAnsi="Arial Narrow"/>
                <w:sz w:val="20"/>
              </w:rPr>
              <w:fldChar w:fldCharType="separate"/>
            </w:r>
            <w:r w:rsidRPr="00121E88">
              <w:rPr>
                <w:rFonts w:ascii="Arial Narrow" w:hAnsi="Arial Narrow"/>
                <w:sz w:val="20"/>
              </w:rPr>
              <w:fldChar w:fldCharType="end"/>
            </w:r>
            <w:r w:rsidRPr="00222597">
              <w:rPr>
                <w:rFonts w:ascii="Arial Narrow" w:hAnsi="Arial Narrow"/>
                <w:sz w:val="20"/>
              </w:rPr>
              <w:t>Optometrists</w:t>
            </w:r>
          </w:p>
          <w:p w:rsidR="00AA666A" w:rsidRPr="00222597" w:rsidRDefault="00AA666A" w:rsidP="006350CF">
            <w:pPr>
              <w:keepNext/>
              <w:keepLines/>
              <w:rPr>
                <w:rFonts w:ascii="Arial Narrow" w:hAnsi="Arial Narrow"/>
                <w:sz w:val="20"/>
              </w:rPr>
            </w:pPr>
            <w:r w:rsidRPr="00121E88">
              <w:rPr>
                <w:rFonts w:ascii="Arial Narrow" w:hAnsi="Arial Narrow"/>
                <w:sz w:val="20"/>
              </w:rPr>
              <w:fldChar w:fldCharType="begin">
                <w:ffData>
                  <w:name w:val="Check5"/>
                  <w:enabled/>
                  <w:calcOnExit w:val="0"/>
                  <w:checkBox>
                    <w:sizeAuto/>
                    <w:default w:val="0"/>
                  </w:checkBox>
                </w:ffData>
              </w:fldChar>
            </w:r>
            <w:r w:rsidRPr="00222597">
              <w:rPr>
                <w:rFonts w:ascii="Arial Narrow" w:hAnsi="Arial Narrow"/>
                <w:sz w:val="20"/>
              </w:rPr>
              <w:instrText xml:space="preserve"> FORMCHECKBOX </w:instrText>
            </w:r>
            <w:r w:rsidR="001466EA">
              <w:rPr>
                <w:rFonts w:ascii="Arial Narrow" w:hAnsi="Arial Narrow"/>
                <w:sz w:val="20"/>
              </w:rPr>
            </w:r>
            <w:r w:rsidR="001466EA">
              <w:rPr>
                <w:rFonts w:ascii="Arial Narrow" w:hAnsi="Arial Narrow"/>
                <w:sz w:val="20"/>
              </w:rPr>
              <w:fldChar w:fldCharType="separate"/>
            </w:r>
            <w:r w:rsidRPr="00121E88">
              <w:rPr>
                <w:rFonts w:ascii="Arial Narrow" w:hAnsi="Arial Narrow"/>
                <w:sz w:val="20"/>
              </w:rPr>
              <w:fldChar w:fldCharType="end"/>
            </w:r>
            <w:r w:rsidRPr="00222597">
              <w:rPr>
                <w:rFonts w:ascii="Arial Narrow" w:hAnsi="Arial Narrow"/>
                <w:sz w:val="20"/>
              </w:rPr>
              <w:t>Midwives</w:t>
            </w:r>
          </w:p>
        </w:tc>
      </w:tr>
      <w:tr w:rsidR="00AA666A" w:rsidRPr="00222597" w:rsidTr="006350CF">
        <w:trPr>
          <w:cantSplit/>
          <w:trHeight w:val="360"/>
        </w:trPr>
        <w:tc>
          <w:tcPr>
            <w:tcW w:w="2835" w:type="dxa"/>
            <w:tcBorders>
              <w:top w:val="single" w:sz="4" w:space="0" w:color="auto"/>
              <w:left w:val="single" w:sz="4" w:space="0" w:color="auto"/>
              <w:bottom w:val="single" w:sz="4" w:space="0" w:color="auto"/>
              <w:right w:val="single" w:sz="4" w:space="0" w:color="auto"/>
            </w:tcBorders>
          </w:tcPr>
          <w:p w:rsidR="00AA666A" w:rsidRPr="00222597" w:rsidRDefault="00AA666A" w:rsidP="006350CF">
            <w:pPr>
              <w:keepNext/>
              <w:keepLines/>
              <w:rPr>
                <w:rFonts w:ascii="Arial Narrow" w:hAnsi="Arial Narrow"/>
                <w:b/>
                <w:sz w:val="20"/>
              </w:rPr>
            </w:pPr>
            <w:r w:rsidRPr="00222597">
              <w:rPr>
                <w:rFonts w:ascii="Arial Narrow" w:hAnsi="Arial Narrow"/>
                <w:b/>
                <w:sz w:val="20"/>
              </w:rPr>
              <w:t>Severity:</w:t>
            </w:r>
          </w:p>
        </w:tc>
        <w:tc>
          <w:tcPr>
            <w:tcW w:w="6379" w:type="dxa"/>
            <w:gridSpan w:val="6"/>
            <w:tcBorders>
              <w:top w:val="single" w:sz="4" w:space="0" w:color="auto"/>
              <w:left w:val="single" w:sz="4" w:space="0" w:color="auto"/>
              <w:bottom w:val="single" w:sz="4" w:space="0" w:color="auto"/>
              <w:right w:val="single" w:sz="4" w:space="0" w:color="auto"/>
            </w:tcBorders>
          </w:tcPr>
          <w:p w:rsidR="00AA666A" w:rsidRPr="00222597" w:rsidRDefault="00AA666A" w:rsidP="006350CF">
            <w:pPr>
              <w:keepNext/>
              <w:keepLines/>
              <w:rPr>
                <w:rFonts w:ascii="Arial Narrow" w:hAnsi="Arial Narrow"/>
                <w:sz w:val="20"/>
              </w:rPr>
            </w:pPr>
            <w:r w:rsidRPr="00222597">
              <w:rPr>
                <w:rFonts w:ascii="Arial Narrow" w:hAnsi="Arial Narrow"/>
                <w:sz w:val="20"/>
              </w:rPr>
              <w:t>Moderate to severe</w:t>
            </w:r>
          </w:p>
        </w:tc>
      </w:tr>
      <w:tr w:rsidR="00AA666A" w:rsidRPr="00222597" w:rsidTr="006350CF">
        <w:trPr>
          <w:cantSplit/>
          <w:trHeight w:val="360"/>
        </w:trPr>
        <w:tc>
          <w:tcPr>
            <w:tcW w:w="2835" w:type="dxa"/>
            <w:tcBorders>
              <w:top w:val="single" w:sz="4" w:space="0" w:color="auto"/>
              <w:left w:val="single" w:sz="4" w:space="0" w:color="auto"/>
              <w:bottom w:val="single" w:sz="4" w:space="0" w:color="auto"/>
              <w:right w:val="single" w:sz="4" w:space="0" w:color="auto"/>
            </w:tcBorders>
          </w:tcPr>
          <w:p w:rsidR="00AA666A" w:rsidRPr="00222597" w:rsidRDefault="00AA666A" w:rsidP="006350CF">
            <w:pPr>
              <w:keepNext/>
              <w:keepLines/>
              <w:rPr>
                <w:rFonts w:ascii="Arial Narrow" w:hAnsi="Arial Narrow"/>
                <w:b/>
                <w:sz w:val="20"/>
              </w:rPr>
            </w:pPr>
            <w:r w:rsidRPr="00222597">
              <w:rPr>
                <w:rFonts w:ascii="Arial Narrow" w:hAnsi="Arial Narrow"/>
                <w:b/>
                <w:sz w:val="20"/>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AA666A" w:rsidRPr="00222597" w:rsidRDefault="00AA666A" w:rsidP="006350CF">
            <w:pPr>
              <w:keepNext/>
              <w:keepLines/>
              <w:rPr>
                <w:rFonts w:ascii="Arial Narrow" w:hAnsi="Arial Narrow"/>
                <w:sz w:val="20"/>
              </w:rPr>
            </w:pPr>
            <w:r w:rsidRPr="00222597">
              <w:rPr>
                <w:rFonts w:ascii="Arial Narrow" w:hAnsi="Arial Narrow"/>
                <w:sz w:val="20"/>
              </w:rPr>
              <w:t>Uterine fibroids</w:t>
            </w:r>
          </w:p>
        </w:tc>
      </w:tr>
      <w:tr w:rsidR="00AA666A" w:rsidRPr="00222597" w:rsidTr="006350CF">
        <w:trPr>
          <w:cantSplit/>
          <w:trHeight w:val="360"/>
        </w:trPr>
        <w:tc>
          <w:tcPr>
            <w:tcW w:w="2835" w:type="dxa"/>
            <w:tcBorders>
              <w:top w:val="single" w:sz="4" w:space="0" w:color="auto"/>
              <w:left w:val="single" w:sz="4" w:space="0" w:color="auto"/>
              <w:bottom w:val="single" w:sz="4" w:space="0" w:color="auto"/>
              <w:right w:val="single" w:sz="4" w:space="0" w:color="auto"/>
            </w:tcBorders>
          </w:tcPr>
          <w:p w:rsidR="00AA666A" w:rsidRPr="00222597" w:rsidRDefault="00AA666A" w:rsidP="006350CF">
            <w:pPr>
              <w:keepNext/>
              <w:keepLines/>
              <w:rPr>
                <w:rFonts w:ascii="Arial Narrow" w:hAnsi="Arial Narrow"/>
                <w:b/>
                <w:sz w:val="20"/>
              </w:rPr>
            </w:pPr>
            <w:r w:rsidRPr="00222597">
              <w:rPr>
                <w:rFonts w:ascii="Arial Narrow" w:hAnsi="Arial Narrow"/>
                <w:b/>
                <w:sz w:val="20"/>
              </w:rPr>
              <w:t>PBS Indication:</w:t>
            </w:r>
          </w:p>
        </w:tc>
        <w:tc>
          <w:tcPr>
            <w:tcW w:w="6379" w:type="dxa"/>
            <w:gridSpan w:val="6"/>
            <w:tcBorders>
              <w:top w:val="single" w:sz="4" w:space="0" w:color="auto"/>
              <w:left w:val="single" w:sz="4" w:space="0" w:color="auto"/>
              <w:bottom w:val="single" w:sz="4" w:space="0" w:color="auto"/>
              <w:right w:val="single" w:sz="4" w:space="0" w:color="auto"/>
            </w:tcBorders>
          </w:tcPr>
          <w:p w:rsidR="00AA666A" w:rsidRPr="00222597" w:rsidRDefault="00AA666A" w:rsidP="006350CF">
            <w:pPr>
              <w:keepNext/>
              <w:keepLines/>
              <w:rPr>
                <w:rFonts w:ascii="Arial Narrow" w:hAnsi="Arial Narrow"/>
                <w:sz w:val="20"/>
              </w:rPr>
            </w:pPr>
            <w:r w:rsidRPr="00222597">
              <w:rPr>
                <w:rFonts w:ascii="Arial Narrow" w:hAnsi="Arial Narrow"/>
                <w:sz w:val="20"/>
              </w:rPr>
              <w:t>Management of moderate to severe symptoms uterine fibroids prior to planned surgery.</w:t>
            </w:r>
          </w:p>
        </w:tc>
      </w:tr>
      <w:tr w:rsidR="00AA666A" w:rsidRPr="00222597" w:rsidTr="006350CF">
        <w:trPr>
          <w:cantSplit/>
          <w:trHeight w:val="360"/>
        </w:trPr>
        <w:tc>
          <w:tcPr>
            <w:tcW w:w="2835" w:type="dxa"/>
            <w:tcBorders>
              <w:top w:val="single" w:sz="4" w:space="0" w:color="auto"/>
              <w:left w:val="single" w:sz="4" w:space="0" w:color="auto"/>
              <w:bottom w:val="single" w:sz="4" w:space="0" w:color="auto"/>
              <w:right w:val="single" w:sz="4" w:space="0" w:color="auto"/>
            </w:tcBorders>
          </w:tcPr>
          <w:p w:rsidR="00AA666A" w:rsidRPr="00222597" w:rsidRDefault="00AA666A" w:rsidP="006350CF">
            <w:pPr>
              <w:keepNext/>
              <w:keepLines/>
              <w:rPr>
                <w:rFonts w:ascii="Arial Narrow" w:hAnsi="Arial Narrow"/>
                <w:b/>
                <w:sz w:val="20"/>
              </w:rPr>
            </w:pPr>
            <w:r w:rsidRPr="00222597">
              <w:rPr>
                <w:rFonts w:ascii="Arial Narrow" w:hAnsi="Arial Narrow"/>
                <w:b/>
                <w:sz w:val="20"/>
              </w:rPr>
              <w:t>Restriction Level / Method:</w:t>
            </w:r>
          </w:p>
        </w:tc>
        <w:tc>
          <w:tcPr>
            <w:tcW w:w="6379" w:type="dxa"/>
            <w:gridSpan w:val="6"/>
            <w:tcBorders>
              <w:top w:val="single" w:sz="4" w:space="0" w:color="auto"/>
              <w:left w:val="single" w:sz="4" w:space="0" w:color="auto"/>
              <w:bottom w:val="single" w:sz="4" w:space="0" w:color="auto"/>
              <w:right w:val="single" w:sz="4" w:space="0" w:color="auto"/>
            </w:tcBorders>
          </w:tcPr>
          <w:p w:rsidR="00AA666A" w:rsidRPr="00222597" w:rsidRDefault="00AA666A" w:rsidP="006350CF">
            <w:pPr>
              <w:keepNext/>
              <w:keepLines/>
              <w:rPr>
                <w:rFonts w:ascii="Arial Narrow" w:hAnsi="Arial Narrow"/>
                <w:sz w:val="20"/>
              </w:rPr>
            </w:pPr>
            <w:r w:rsidRPr="00121E88">
              <w:rPr>
                <w:rFonts w:ascii="Arial Narrow" w:hAnsi="Arial Narrow"/>
                <w:sz w:val="20"/>
              </w:rPr>
              <w:fldChar w:fldCharType="begin">
                <w:ffData>
                  <w:name w:val="Check1"/>
                  <w:enabled/>
                  <w:calcOnExit w:val="0"/>
                  <w:checkBox>
                    <w:sizeAuto/>
                    <w:default w:val="0"/>
                  </w:checkBox>
                </w:ffData>
              </w:fldChar>
            </w:r>
            <w:r w:rsidRPr="00222597">
              <w:rPr>
                <w:rFonts w:ascii="Arial Narrow" w:hAnsi="Arial Narrow"/>
                <w:sz w:val="20"/>
              </w:rPr>
              <w:instrText xml:space="preserve"> FORMCHECKBOX </w:instrText>
            </w:r>
            <w:r w:rsidR="001466EA">
              <w:rPr>
                <w:rFonts w:ascii="Arial Narrow" w:hAnsi="Arial Narrow"/>
                <w:sz w:val="20"/>
              </w:rPr>
            </w:r>
            <w:r w:rsidR="001466EA">
              <w:rPr>
                <w:rFonts w:ascii="Arial Narrow" w:hAnsi="Arial Narrow"/>
                <w:sz w:val="20"/>
              </w:rPr>
              <w:fldChar w:fldCharType="separate"/>
            </w:r>
            <w:r w:rsidRPr="00121E88">
              <w:rPr>
                <w:rFonts w:ascii="Arial Narrow" w:hAnsi="Arial Narrow"/>
                <w:sz w:val="20"/>
              </w:rPr>
              <w:fldChar w:fldCharType="end"/>
            </w:r>
            <w:r w:rsidRPr="00222597">
              <w:rPr>
                <w:rFonts w:ascii="Arial Narrow" w:hAnsi="Arial Narrow"/>
                <w:sz w:val="20"/>
              </w:rPr>
              <w:t>Restricted benefit</w:t>
            </w:r>
          </w:p>
          <w:p w:rsidR="00AA666A" w:rsidRPr="00222597" w:rsidRDefault="00AA666A" w:rsidP="006350CF">
            <w:pPr>
              <w:keepNext/>
              <w:keepLines/>
              <w:rPr>
                <w:rFonts w:ascii="Arial Narrow" w:hAnsi="Arial Narrow"/>
                <w:sz w:val="20"/>
              </w:rPr>
            </w:pPr>
            <w:r w:rsidRPr="00121E88">
              <w:rPr>
                <w:rFonts w:ascii="Arial Narrow" w:hAnsi="Arial Narrow"/>
                <w:sz w:val="20"/>
              </w:rPr>
              <w:fldChar w:fldCharType="begin">
                <w:ffData>
                  <w:name w:val=""/>
                  <w:enabled/>
                  <w:calcOnExit w:val="0"/>
                  <w:checkBox>
                    <w:sizeAuto/>
                    <w:default w:val="0"/>
                  </w:checkBox>
                </w:ffData>
              </w:fldChar>
            </w:r>
            <w:r w:rsidRPr="00222597">
              <w:rPr>
                <w:rFonts w:ascii="Arial Narrow" w:hAnsi="Arial Narrow"/>
                <w:sz w:val="20"/>
              </w:rPr>
              <w:instrText xml:space="preserve"> FORMCHECKBOX </w:instrText>
            </w:r>
            <w:r w:rsidR="001466EA">
              <w:rPr>
                <w:rFonts w:ascii="Arial Narrow" w:hAnsi="Arial Narrow"/>
                <w:sz w:val="20"/>
              </w:rPr>
            </w:r>
            <w:r w:rsidR="001466EA">
              <w:rPr>
                <w:rFonts w:ascii="Arial Narrow" w:hAnsi="Arial Narrow"/>
                <w:sz w:val="20"/>
              </w:rPr>
              <w:fldChar w:fldCharType="separate"/>
            </w:r>
            <w:r w:rsidRPr="00121E88">
              <w:rPr>
                <w:rFonts w:ascii="Arial Narrow" w:hAnsi="Arial Narrow"/>
                <w:sz w:val="20"/>
              </w:rPr>
              <w:fldChar w:fldCharType="end"/>
            </w:r>
            <w:r w:rsidRPr="00222597">
              <w:rPr>
                <w:rFonts w:ascii="Arial Narrow" w:hAnsi="Arial Narrow"/>
                <w:sz w:val="20"/>
              </w:rPr>
              <w:t>Authority Required - In Writing</w:t>
            </w:r>
          </w:p>
          <w:p w:rsidR="00AA666A" w:rsidRPr="00222597" w:rsidRDefault="00AA666A" w:rsidP="006350CF">
            <w:pPr>
              <w:keepNext/>
              <w:keepLines/>
              <w:rPr>
                <w:rFonts w:ascii="Arial Narrow" w:hAnsi="Arial Narrow"/>
                <w:sz w:val="20"/>
              </w:rPr>
            </w:pPr>
            <w:r w:rsidRPr="00121E88">
              <w:rPr>
                <w:rFonts w:ascii="Arial Narrow" w:hAnsi="Arial Narrow"/>
                <w:sz w:val="20"/>
              </w:rPr>
              <w:fldChar w:fldCharType="begin">
                <w:ffData>
                  <w:name w:val="Check3"/>
                  <w:enabled/>
                  <w:calcOnExit w:val="0"/>
                  <w:checkBox>
                    <w:sizeAuto/>
                    <w:default w:val="0"/>
                  </w:checkBox>
                </w:ffData>
              </w:fldChar>
            </w:r>
            <w:r w:rsidRPr="00222597">
              <w:rPr>
                <w:rFonts w:ascii="Arial Narrow" w:hAnsi="Arial Narrow"/>
                <w:sz w:val="20"/>
              </w:rPr>
              <w:instrText xml:space="preserve"> FORMCHECKBOX </w:instrText>
            </w:r>
            <w:r w:rsidR="001466EA">
              <w:rPr>
                <w:rFonts w:ascii="Arial Narrow" w:hAnsi="Arial Narrow"/>
                <w:sz w:val="20"/>
              </w:rPr>
            </w:r>
            <w:r w:rsidR="001466EA">
              <w:rPr>
                <w:rFonts w:ascii="Arial Narrow" w:hAnsi="Arial Narrow"/>
                <w:sz w:val="20"/>
              </w:rPr>
              <w:fldChar w:fldCharType="separate"/>
            </w:r>
            <w:r w:rsidRPr="00121E88">
              <w:rPr>
                <w:rFonts w:ascii="Arial Narrow" w:hAnsi="Arial Narrow"/>
                <w:sz w:val="20"/>
              </w:rPr>
              <w:fldChar w:fldCharType="end"/>
            </w:r>
            <w:r w:rsidRPr="00222597">
              <w:rPr>
                <w:rFonts w:ascii="Arial Narrow" w:hAnsi="Arial Narrow"/>
                <w:sz w:val="20"/>
              </w:rPr>
              <w:t>Authority Required - Telephone</w:t>
            </w:r>
          </w:p>
          <w:p w:rsidR="00AA666A" w:rsidRPr="00222597" w:rsidRDefault="00AA666A" w:rsidP="006350CF">
            <w:pPr>
              <w:keepNext/>
              <w:keepLines/>
              <w:rPr>
                <w:rFonts w:ascii="Arial Narrow" w:hAnsi="Arial Narrow"/>
                <w:sz w:val="20"/>
              </w:rPr>
            </w:pPr>
            <w:r w:rsidRPr="00121E88">
              <w:rPr>
                <w:rFonts w:ascii="Arial Narrow" w:hAnsi="Arial Narrow"/>
                <w:sz w:val="20"/>
              </w:rPr>
              <w:fldChar w:fldCharType="begin">
                <w:ffData>
                  <w:name w:val=""/>
                  <w:enabled/>
                  <w:calcOnExit w:val="0"/>
                  <w:checkBox>
                    <w:sizeAuto/>
                    <w:default w:val="0"/>
                  </w:checkBox>
                </w:ffData>
              </w:fldChar>
            </w:r>
            <w:r w:rsidRPr="00222597">
              <w:rPr>
                <w:rFonts w:ascii="Arial Narrow" w:hAnsi="Arial Narrow"/>
                <w:sz w:val="20"/>
              </w:rPr>
              <w:instrText xml:space="preserve"> FORMCHECKBOX </w:instrText>
            </w:r>
            <w:r w:rsidR="001466EA">
              <w:rPr>
                <w:rFonts w:ascii="Arial Narrow" w:hAnsi="Arial Narrow"/>
                <w:sz w:val="20"/>
              </w:rPr>
            </w:r>
            <w:r w:rsidR="001466EA">
              <w:rPr>
                <w:rFonts w:ascii="Arial Narrow" w:hAnsi="Arial Narrow"/>
                <w:sz w:val="20"/>
              </w:rPr>
              <w:fldChar w:fldCharType="separate"/>
            </w:r>
            <w:r w:rsidRPr="00121E88">
              <w:rPr>
                <w:rFonts w:ascii="Arial Narrow" w:hAnsi="Arial Narrow"/>
                <w:sz w:val="20"/>
              </w:rPr>
              <w:fldChar w:fldCharType="end"/>
            </w:r>
            <w:r w:rsidRPr="00222597">
              <w:rPr>
                <w:rFonts w:ascii="Arial Narrow" w:hAnsi="Arial Narrow"/>
                <w:sz w:val="20"/>
              </w:rPr>
              <w:t>Authority Required - Emergency</w:t>
            </w:r>
          </w:p>
          <w:p w:rsidR="00AA666A" w:rsidRPr="00222597" w:rsidRDefault="00AA666A" w:rsidP="006350CF">
            <w:pPr>
              <w:keepNext/>
              <w:keepLines/>
              <w:rPr>
                <w:rFonts w:ascii="Arial Narrow" w:hAnsi="Arial Narrow"/>
                <w:sz w:val="20"/>
              </w:rPr>
            </w:pPr>
            <w:r w:rsidRPr="00121E88">
              <w:rPr>
                <w:rFonts w:ascii="Arial Narrow" w:hAnsi="Arial Narrow"/>
                <w:sz w:val="20"/>
              </w:rPr>
              <w:fldChar w:fldCharType="begin">
                <w:ffData>
                  <w:name w:val="Check5"/>
                  <w:enabled/>
                  <w:calcOnExit w:val="0"/>
                  <w:checkBox>
                    <w:sizeAuto/>
                    <w:default w:val="0"/>
                  </w:checkBox>
                </w:ffData>
              </w:fldChar>
            </w:r>
            <w:r w:rsidRPr="00222597">
              <w:rPr>
                <w:rFonts w:ascii="Arial Narrow" w:hAnsi="Arial Narrow"/>
                <w:sz w:val="20"/>
              </w:rPr>
              <w:instrText xml:space="preserve"> FORMCHECKBOX </w:instrText>
            </w:r>
            <w:r w:rsidR="001466EA">
              <w:rPr>
                <w:rFonts w:ascii="Arial Narrow" w:hAnsi="Arial Narrow"/>
                <w:sz w:val="20"/>
              </w:rPr>
            </w:r>
            <w:r w:rsidR="001466EA">
              <w:rPr>
                <w:rFonts w:ascii="Arial Narrow" w:hAnsi="Arial Narrow"/>
                <w:sz w:val="20"/>
              </w:rPr>
              <w:fldChar w:fldCharType="separate"/>
            </w:r>
            <w:r w:rsidRPr="00121E88">
              <w:rPr>
                <w:rFonts w:ascii="Arial Narrow" w:hAnsi="Arial Narrow"/>
                <w:sz w:val="20"/>
              </w:rPr>
              <w:fldChar w:fldCharType="end"/>
            </w:r>
            <w:r w:rsidRPr="00222597">
              <w:rPr>
                <w:rFonts w:ascii="Arial Narrow" w:hAnsi="Arial Narrow"/>
                <w:sz w:val="20"/>
              </w:rPr>
              <w:t>Authority Required - Electronic</w:t>
            </w:r>
          </w:p>
          <w:p w:rsidR="00AA666A" w:rsidRPr="00222597" w:rsidRDefault="00AA666A" w:rsidP="006350CF">
            <w:pPr>
              <w:keepNext/>
              <w:keepLines/>
              <w:rPr>
                <w:rFonts w:ascii="Arial Narrow" w:hAnsi="Arial Narrow"/>
                <w:sz w:val="20"/>
              </w:rPr>
            </w:pPr>
            <w:r w:rsidRPr="00121E88">
              <w:rPr>
                <w:rFonts w:ascii="Arial Narrow" w:hAnsi="Arial Narrow"/>
                <w:sz w:val="20"/>
              </w:rPr>
              <w:fldChar w:fldCharType="begin">
                <w:ffData>
                  <w:name w:val="Check5"/>
                  <w:enabled/>
                  <w:calcOnExit w:val="0"/>
                  <w:checkBox>
                    <w:sizeAuto/>
                    <w:default w:val="1"/>
                  </w:checkBox>
                </w:ffData>
              </w:fldChar>
            </w:r>
            <w:bookmarkStart w:id="3" w:name="Check5"/>
            <w:r w:rsidRPr="00222597">
              <w:rPr>
                <w:rFonts w:ascii="Arial Narrow" w:hAnsi="Arial Narrow"/>
                <w:sz w:val="20"/>
              </w:rPr>
              <w:instrText xml:space="preserve"> FORMCHECKBOX </w:instrText>
            </w:r>
            <w:r w:rsidR="001466EA">
              <w:rPr>
                <w:rFonts w:ascii="Arial Narrow" w:hAnsi="Arial Narrow"/>
                <w:sz w:val="20"/>
              </w:rPr>
            </w:r>
            <w:r w:rsidR="001466EA">
              <w:rPr>
                <w:rFonts w:ascii="Arial Narrow" w:hAnsi="Arial Narrow"/>
                <w:sz w:val="20"/>
              </w:rPr>
              <w:fldChar w:fldCharType="separate"/>
            </w:r>
            <w:r w:rsidRPr="00121E88">
              <w:rPr>
                <w:rFonts w:ascii="Arial Narrow" w:hAnsi="Arial Narrow"/>
                <w:sz w:val="20"/>
              </w:rPr>
              <w:fldChar w:fldCharType="end"/>
            </w:r>
            <w:bookmarkEnd w:id="3"/>
            <w:r w:rsidRPr="00222597">
              <w:rPr>
                <w:rFonts w:ascii="Arial Narrow" w:hAnsi="Arial Narrow"/>
                <w:sz w:val="20"/>
              </w:rPr>
              <w:t>Streamlined</w:t>
            </w:r>
          </w:p>
        </w:tc>
      </w:tr>
      <w:tr w:rsidR="00AA666A" w:rsidRPr="00222597" w:rsidTr="006350CF">
        <w:trPr>
          <w:cantSplit/>
          <w:trHeight w:val="360"/>
        </w:trPr>
        <w:tc>
          <w:tcPr>
            <w:tcW w:w="2835" w:type="dxa"/>
            <w:tcBorders>
              <w:top w:val="single" w:sz="4" w:space="0" w:color="auto"/>
              <w:left w:val="single" w:sz="4" w:space="0" w:color="auto"/>
              <w:bottom w:val="single" w:sz="4" w:space="0" w:color="auto"/>
              <w:right w:val="single" w:sz="4" w:space="0" w:color="auto"/>
            </w:tcBorders>
          </w:tcPr>
          <w:p w:rsidR="00AA666A" w:rsidRPr="00222597" w:rsidRDefault="00AA666A" w:rsidP="006350CF">
            <w:pPr>
              <w:keepNext/>
              <w:keepLines/>
              <w:rPr>
                <w:rFonts w:ascii="Arial Narrow" w:hAnsi="Arial Narrow"/>
                <w:b/>
                <w:sz w:val="20"/>
              </w:rPr>
            </w:pPr>
            <w:r w:rsidRPr="00222597">
              <w:rPr>
                <w:rFonts w:ascii="Arial Narrow" w:hAnsi="Arial Narrow"/>
                <w:b/>
                <w:sz w:val="20"/>
              </w:rPr>
              <w:t>Treatment criteria:</w:t>
            </w:r>
          </w:p>
          <w:p w:rsidR="00AA666A" w:rsidRPr="00222597" w:rsidRDefault="00AA666A" w:rsidP="006350CF">
            <w:pPr>
              <w:keepNext/>
              <w:keepLines/>
              <w:rPr>
                <w:rFonts w:ascii="Arial Narrow" w:hAnsi="Arial Narrow"/>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AA666A" w:rsidRPr="00222597" w:rsidRDefault="00AA666A" w:rsidP="006350CF">
            <w:pPr>
              <w:keepNext/>
              <w:keepLines/>
              <w:rPr>
                <w:rFonts w:ascii="Arial Narrow" w:hAnsi="Arial Narrow"/>
                <w:sz w:val="20"/>
              </w:rPr>
            </w:pPr>
            <w:r w:rsidRPr="00222597">
              <w:rPr>
                <w:rFonts w:ascii="Arial Narrow" w:hAnsi="Arial Narrow"/>
                <w:sz w:val="20"/>
              </w:rPr>
              <w:t>Must be treated by, or under the direction of, a gynaecologist</w:t>
            </w:r>
          </w:p>
        </w:tc>
      </w:tr>
      <w:tr w:rsidR="00AA666A" w:rsidRPr="00222597" w:rsidTr="006350CF">
        <w:trPr>
          <w:cantSplit/>
          <w:trHeight w:val="360"/>
        </w:trPr>
        <w:tc>
          <w:tcPr>
            <w:tcW w:w="2835" w:type="dxa"/>
            <w:tcBorders>
              <w:top w:val="single" w:sz="4" w:space="0" w:color="auto"/>
              <w:left w:val="single" w:sz="4" w:space="0" w:color="auto"/>
              <w:bottom w:val="single" w:sz="4" w:space="0" w:color="auto"/>
              <w:right w:val="single" w:sz="4" w:space="0" w:color="auto"/>
            </w:tcBorders>
          </w:tcPr>
          <w:p w:rsidR="00AA666A" w:rsidRPr="00222597" w:rsidRDefault="00AA666A" w:rsidP="006350CF">
            <w:pPr>
              <w:keepNext/>
              <w:keepLines/>
              <w:rPr>
                <w:rFonts w:ascii="Arial Narrow" w:hAnsi="Arial Narrow"/>
                <w:b/>
                <w:sz w:val="20"/>
              </w:rPr>
            </w:pPr>
            <w:r w:rsidRPr="00222597">
              <w:rPr>
                <w:rFonts w:ascii="Arial Narrow" w:hAnsi="Arial Narrow"/>
                <w:b/>
                <w:sz w:val="20"/>
              </w:rPr>
              <w:t>Clinical criteria:</w:t>
            </w:r>
          </w:p>
          <w:p w:rsidR="00AA666A" w:rsidRPr="00222597" w:rsidRDefault="00AA666A" w:rsidP="006350CF">
            <w:pPr>
              <w:keepNext/>
              <w:keepLines/>
              <w:rPr>
                <w:rFonts w:ascii="Arial Narrow" w:hAnsi="Arial Narrow"/>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AA666A" w:rsidRPr="00222597" w:rsidRDefault="00AA666A" w:rsidP="006350CF">
            <w:pPr>
              <w:keepNext/>
              <w:keepLines/>
              <w:rPr>
                <w:rFonts w:ascii="Arial Narrow" w:hAnsi="Arial Narrow"/>
                <w:strike/>
                <w:sz w:val="20"/>
              </w:rPr>
            </w:pPr>
            <w:r w:rsidRPr="00222597">
              <w:rPr>
                <w:rFonts w:ascii="Arial Narrow" w:hAnsi="Arial Narrow"/>
                <w:strike/>
                <w:sz w:val="20"/>
              </w:rPr>
              <w:t>Patient must not be receiving concomitant treatment with a gonadotropin releasing hormone analogue.</w:t>
            </w:r>
          </w:p>
          <w:p w:rsidR="00AA666A" w:rsidRPr="00222597" w:rsidRDefault="00AA666A" w:rsidP="00E54DBC">
            <w:pPr>
              <w:keepNext/>
              <w:keepLines/>
              <w:rPr>
                <w:rFonts w:ascii="Arial Narrow" w:hAnsi="Arial Narrow"/>
                <w:sz w:val="20"/>
              </w:rPr>
            </w:pPr>
            <w:r w:rsidRPr="00222597">
              <w:rPr>
                <w:rFonts w:ascii="Arial Narrow" w:hAnsi="Arial Narrow"/>
                <w:sz w:val="20"/>
              </w:rPr>
              <w:t>Patient must have significant bleeding/anaemia, or</w:t>
            </w:r>
          </w:p>
          <w:p w:rsidR="00AA666A" w:rsidRPr="00222597" w:rsidRDefault="00AA666A" w:rsidP="00E54DBC">
            <w:pPr>
              <w:keepNext/>
              <w:keepLines/>
              <w:rPr>
                <w:rFonts w:ascii="Arial Narrow" w:hAnsi="Arial Narrow"/>
                <w:sz w:val="20"/>
              </w:rPr>
            </w:pPr>
            <w:r w:rsidRPr="00222597">
              <w:rPr>
                <w:rFonts w:ascii="Arial Narrow" w:hAnsi="Arial Narrow"/>
                <w:sz w:val="20"/>
              </w:rPr>
              <w:t>Patient must have large and/or multiple fibroids, or</w:t>
            </w:r>
          </w:p>
          <w:p w:rsidR="00AA666A" w:rsidRPr="00222597" w:rsidRDefault="00AA666A" w:rsidP="006350CF">
            <w:pPr>
              <w:keepNext/>
              <w:keepLines/>
              <w:rPr>
                <w:rFonts w:ascii="Arial Narrow" w:hAnsi="Arial Narrow"/>
                <w:sz w:val="20"/>
              </w:rPr>
            </w:pPr>
            <w:r w:rsidRPr="00222597">
              <w:rPr>
                <w:rFonts w:ascii="Arial Narrow" w:hAnsi="Arial Narrow"/>
                <w:sz w:val="20"/>
              </w:rPr>
              <w:t>Patient must have other factors which would make surgery technically difficult</w:t>
            </w:r>
          </w:p>
        </w:tc>
      </w:tr>
      <w:tr w:rsidR="00AA666A" w:rsidRPr="00222597" w:rsidTr="006350CF">
        <w:trPr>
          <w:cantSplit/>
          <w:trHeight w:val="360"/>
        </w:trPr>
        <w:tc>
          <w:tcPr>
            <w:tcW w:w="2835" w:type="dxa"/>
            <w:tcBorders>
              <w:top w:val="single" w:sz="4" w:space="0" w:color="auto"/>
              <w:left w:val="single" w:sz="4" w:space="0" w:color="auto"/>
              <w:bottom w:val="single" w:sz="4" w:space="0" w:color="auto"/>
              <w:right w:val="single" w:sz="4" w:space="0" w:color="auto"/>
            </w:tcBorders>
          </w:tcPr>
          <w:p w:rsidR="00AA666A" w:rsidRPr="00222597" w:rsidRDefault="00AA666A" w:rsidP="006350CF">
            <w:pPr>
              <w:keepNext/>
              <w:keepLines/>
              <w:rPr>
                <w:rFonts w:ascii="Arial Narrow" w:hAnsi="Arial Narrow"/>
                <w:b/>
                <w:sz w:val="20"/>
              </w:rPr>
            </w:pPr>
            <w:r w:rsidRPr="00222597">
              <w:rPr>
                <w:rFonts w:ascii="Arial Narrow" w:hAnsi="Arial Narrow"/>
                <w:b/>
                <w:sz w:val="20"/>
              </w:rPr>
              <w:t>Population criteria:</w:t>
            </w:r>
          </w:p>
          <w:p w:rsidR="00AA666A" w:rsidRPr="00222597" w:rsidRDefault="00AA666A" w:rsidP="006350CF">
            <w:pPr>
              <w:keepNext/>
              <w:keepLines/>
              <w:rPr>
                <w:rFonts w:ascii="Arial Narrow" w:hAnsi="Arial Narrow"/>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AA666A" w:rsidRPr="00222597" w:rsidRDefault="00AA666A" w:rsidP="006350CF">
            <w:pPr>
              <w:keepNext/>
              <w:keepLines/>
              <w:rPr>
                <w:rFonts w:ascii="Arial Narrow" w:hAnsi="Arial Narrow"/>
                <w:strike/>
                <w:sz w:val="20"/>
              </w:rPr>
            </w:pPr>
            <w:r w:rsidRPr="00222597">
              <w:rPr>
                <w:rFonts w:ascii="Arial Narrow" w:hAnsi="Arial Narrow"/>
                <w:strike/>
                <w:sz w:val="20"/>
              </w:rPr>
              <w:t>Patient must be an adult female of reproductive age</w:t>
            </w:r>
          </w:p>
          <w:p w:rsidR="00AA666A" w:rsidRPr="00222597" w:rsidRDefault="00AA666A" w:rsidP="006350CF">
            <w:pPr>
              <w:keepNext/>
              <w:keepLines/>
              <w:rPr>
                <w:rFonts w:ascii="Arial Narrow" w:hAnsi="Arial Narrow"/>
                <w:sz w:val="20"/>
              </w:rPr>
            </w:pPr>
            <w:r w:rsidRPr="00222597">
              <w:rPr>
                <w:rFonts w:ascii="Arial Narrow" w:hAnsi="Arial Narrow"/>
                <w:sz w:val="20"/>
              </w:rPr>
              <w:t>The patient must be eligible for and planning surgery for uterine fibroids</w:t>
            </w:r>
          </w:p>
        </w:tc>
      </w:tr>
      <w:tr w:rsidR="00AA666A" w:rsidRPr="00222597" w:rsidTr="006350CF">
        <w:trPr>
          <w:cantSplit/>
          <w:trHeight w:val="360"/>
        </w:trPr>
        <w:tc>
          <w:tcPr>
            <w:tcW w:w="2835" w:type="dxa"/>
            <w:tcBorders>
              <w:top w:val="single" w:sz="4" w:space="0" w:color="auto"/>
              <w:left w:val="single" w:sz="4" w:space="0" w:color="auto"/>
              <w:bottom w:val="single" w:sz="4" w:space="0" w:color="auto"/>
              <w:right w:val="single" w:sz="4" w:space="0" w:color="auto"/>
            </w:tcBorders>
          </w:tcPr>
          <w:p w:rsidR="00AA666A" w:rsidRPr="00222597" w:rsidRDefault="00AA666A" w:rsidP="006350CF">
            <w:pPr>
              <w:keepNext/>
              <w:keepLines/>
              <w:rPr>
                <w:rFonts w:ascii="Arial Narrow" w:hAnsi="Arial Narrow"/>
                <w:b/>
                <w:sz w:val="20"/>
              </w:rPr>
            </w:pPr>
            <w:r w:rsidRPr="00222597">
              <w:rPr>
                <w:rFonts w:ascii="Arial Narrow" w:hAnsi="Arial Narrow"/>
                <w:b/>
                <w:sz w:val="20"/>
              </w:rPr>
              <w:t>Prescriber Instructions</w:t>
            </w:r>
          </w:p>
          <w:p w:rsidR="00AA666A" w:rsidRPr="00222597" w:rsidRDefault="00AA666A" w:rsidP="006350CF">
            <w:pPr>
              <w:keepNext/>
              <w:keepLines/>
              <w:rPr>
                <w:rFonts w:ascii="Arial Narrow" w:hAnsi="Arial Narrow"/>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AA666A" w:rsidRPr="00222597" w:rsidRDefault="00AA666A" w:rsidP="00283B40">
            <w:pPr>
              <w:keepNext/>
              <w:keepLines/>
              <w:rPr>
                <w:strike/>
              </w:rPr>
            </w:pPr>
            <w:r w:rsidRPr="00222597">
              <w:rPr>
                <w:rFonts w:ascii="Arial Narrow" w:hAnsi="Arial Narrow"/>
                <w:i/>
                <w:strike/>
                <w:sz w:val="20"/>
              </w:rPr>
              <w:t>No increase in the maximum quantity or number of repeats may be authorised</w:t>
            </w:r>
            <w:r w:rsidRPr="00222597">
              <w:rPr>
                <w:rFonts w:ascii="Arial Narrow" w:hAnsi="Arial Narrow"/>
                <w:strike/>
                <w:sz w:val="20"/>
              </w:rPr>
              <w:t>.</w:t>
            </w:r>
            <w:r w:rsidRPr="00222597">
              <w:rPr>
                <w:strike/>
              </w:rPr>
              <w:t xml:space="preserve"> </w:t>
            </w:r>
          </w:p>
          <w:p w:rsidR="00AA666A" w:rsidRPr="00222597" w:rsidRDefault="00AA666A" w:rsidP="00283B40">
            <w:pPr>
              <w:keepNext/>
              <w:keepLines/>
              <w:rPr>
                <w:rFonts w:ascii="Arial Narrow" w:hAnsi="Arial Narrow"/>
                <w:sz w:val="20"/>
              </w:rPr>
            </w:pPr>
            <w:r w:rsidRPr="00222597">
              <w:rPr>
                <w:rFonts w:ascii="Arial Narrow" w:hAnsi="Arial Narrow"/>
                <w:sz w:val="20"/>
              </w:rPr>
              <w:t xml:space="preserve">No more than one three-month cycle of therapy will be authorised within 18 months.  </w:t>
            </w:r>
          </w:p>
          <w:p w:rsidR="00AA666A" w:rsidRPr="00222597" w:rsidRDefault="00AA666A" w:rsidP="00283B40">
            <w:pPr>
              <w:keepNext/>
              <w:keepLines/>
              <w:rPr>
                <w:rFonts w:ascii="Arial Narrow" w:hAnsi="Arial Narrow"/>
                <w:sz w:val="20"/>
              </w:rPr>
            </w:pPr>
            <w:r w:rsidRPr="00222597">
              <w:rPr>
                <w:rFonts w:ascii="Arial Narrow" w:hAnsi="Arial Narrow"/>
                <w:sz w:val="20"/>
              </w:rPr>
              <w:t>No increase in the maximum quantity or number of repeats may be authorised.</w:t>
            </w:r>
          </w:p>
        </w:tc>
      </w:tr>
    </w:tbl>
    <w:p w:rsidR="00AA666A" w:rsidRPr="00222597" w:rsidRDefault="00AA666A" w:rsidP="00B64F62">
      <w:pPr>
        <w:pStyle w:val="TableFooter"/>
        <w:keepNext/>
        <w:keepLines/>
        <w:ind w:left="851" w:hanging="142"/>
      </w:pPr>
      <w:r w:rsidRPr="00222597">
        <w:t>* Dispensed price for maximum quantity (DPMQ) as reported in the submission. The submission used a DPMQ of $</w:t>
      </w:r>
      <w:r w:rsidR="001466EA">
        <w:rPr>
          <w:noProof/>
          <w:color w:val="000000"/>
          <w:highlight w:val="black"/>
        </w:rPr>
        <w:t>''''''''''''''''</w:t>
      </w:r>
      <w:r w:rsidRPr="00222597">
        <w:t xml:space="preserve"> in the economic and financial analyses.</w:t>
      </w:r>
    </w:p>
    <w:p w:rsidR="00DF7E0F" w:rsidRPr="00222597" w:rsidRDefault="00DF7E0F" w:rsidP="00D647CD"/>
    <w:p w:rsidR="00D647CD" w:rsidRPr="00222597" w:rsidRDefault="00D647CD" w:rsidP="00F15765">
      <w:pPr>
        <w:pStyle w:val="ListParagraph"/>
        <w:widowControl/>
        <w:numPr>
          <w:ilvl w:val="1"/>
          <w:numId w:val="3"/>
        </w:numPr>
        <w:rPr>
          <w:szCs w:val="22"/>
        </w:rPr>
      </w:pPr>
      <w:r w:rsidRPr="00222597">
        <w:rPr>
          <w:szCs w:val="22"/>
        </w:rPr>
        <w:t xml:space="preserve">The proposed PBS listing </w:t>
      </w:r>
      <w:r w:rsidR="00355A66" w:rsidRPr="00222597">
        <w:rPr>
          <w:szCs w:val="22"/>
        </w:rPr>
        <w:t xml:space="preserve">was </w:t>
      </w:r>
      <w:r w:rsidRPr="00222597">
        <w:rPr>
          <w:szCs w:val="22"/>
        </w:rPr>
        <w:t xml:space="preserve">consistent with the </w:t>
      </w:r>
      <w:r w:rsidR="00B413FC" w:rsidRPr="00222597">
        <w:rPr>
          <w:szCs w:val="22"/>
        </w:rPr>
        <w:t>approved</w:t>
      </w:r>
      <w:r w:rsidRPr="00222597">
        <w:rPr>
          <w:szCs w:val="22"/>
        </w:rPr>
        <w:t xml:space="preserve"> TGA indication.</w:t>
      </w:r>
    </w:p>
    <w:p w:rsidR="00D647CD" w:rsidRPr="00222597" w:rsidRDefault="00D647CD" w:rsidP="00D647CD">
      <w:pPr>
        <w:pStyle w:val="ListParagraph"/>
        <w:widowControl/>
        <w:rPr>
          <w:szCs w:val="22"/>
        </w:rPr>
      </w:pPr>
    </w:p>
    <w:p w:rsidR="00D647CD" w:rsidRPr="00222597" w:rsidRDefault="00D647CD" w:rsidP="00F15765">
      <w:pPr>
        <w:pStyle w:val="ListParagraph"/>
        <w:widowControl/>
        <w:numPr>
          <w:ilvl w:val="1"/>
          <w:numId w:val="3"/>
        </w:numPr>
        <w:rPr>
          <w:szCs w:val="22"/>
        </w:rPr>
      </w:pPr>
      <w:r w:rsidRPr="00222597">
        <w:rPr>
          <w:szCs w:val="22"/>
        </w:rPr>
        <w:t xml:space="preserve">The submission was based on a cost-minimisation analysis of </w:t>
      </w:r>
      <w:proofErr w:type="spellStart"/>
      <w:r w:rsidRPr="00222597">
        <w:rPr>
          <w:szCs w:val="22"/>
        </w:rPr>
        <w:t>ulipristal</w:t>
      </w:r>
      <w:proofErr w:type="spellEnd"/>
      <w:r w:rsidRPr="00222597">
        <w:rPr>
          <w:szCs w:val="22"/>
        </w:rPr>
        <w:t xml:space="preserve"> compared with </w:t>
      </w:r>
      <w:proofErr w:type="spellStart"/>
      <w:r w:rsidRPr="00222597">
        <w:rPr>
          <w:szCs w:val="22"/>
        </w:rPr>
        <w:t>goserelin</w:t>
      </w:r>
      <w:proofErr w:type="spellEnd"/>
      <w:r w:rsidRPr="00222597">
        <w:rPr>
          <w:szCs w:val="22"/>
        </w:rPr>
        <w:t xml:space="preserve"> </w:t>
      </w:r>
      <w:r w:rsidR="00884ED5" w:rsidRPr="00222597">
        <w:rPr>
          <w:szCs w:val="22"/>
        </w:rPr>
        <w:t xml:space="preserve">(a </w:t>
      </w:r>
      <w:proofErr w:type="spellStart"/>
      <w:r w:rsidR="0084047F" w:rsidRPr="00222597">
        <w:rPr>
          <w:szCs w:val="22"/>
        </w:rPr>
        <w:t>gonadotrophin</w:t>
      </w:r>
      <w:proofErr w:type="spellEnd"/>
      <w:r w:rsidRPr="00222597">
        <w:rPr>
          <w:szCs w:val="22"/>
        </w:rPr>
        <w:t xml:space="preserve"> releasing hormone (</w:t>
      </w:r>
      <w:proofErr w:type="spellStart"/>
      <w:r w:rsidRPr="00222597">
        <w:rPr>
          <w:szCs w:val="22"/>
        </w:rPr>
        <w:t>GnRH</w:t>
      </w:r>
      <w:proofErr w:type="spellEnd"/>
      <w:r w:rsidRPr="00222597">
        <w:rPr>
          <w:szCs w:val="22"/>
        </w:rPr>
        <w:t>) analogue), either alone or in conjunction with hormonal add-back therapy (</w:t>
      </w:r>
      <w:proofErr w:type="spellStart"/>
      <w:r w:rsidRPr="00222597">
        <w:rPr>
          <w:szCs w:val="22"/>
        </w:rPr>
        <w:t>tibolone</w:t>
      </w:r>
      <w:proofErr w:type="spellEnd"/>
      <w:r w:rsidRPr="00222597">
        <w:rPr>
          <w:szCs w:val="22"/>
        </w:rPr>
        <w:t xml:space="preserve">). </w:t>
      </w:r>
      <w:proofErr w:type="spellStart"/>
      <w:r w:rsidRPr="00222597">
        <w:rPr>
          <w:szCs w:val="22"/>
        </w:rPr>
        <w:t>Goserelin</w:t>
      </w:r>
      <w:proofErr w:type="spellEnd"/>
      <w:r w:rsidRPr="00222597">
        <w:rPr>
          <w:szCs w:val="22"/>
        </w:rPr>
        <w:t xml:space="preserve"> </w:t>
      </w:r>
      <w:r w:rsidR="00355A66" w:rsidRPr="00222597">
        <w:rPr>
          <w:szCs w:val="22"/>
        </w:rPr>
        <w:t>wa</w:t>
      </w:r>
      <w:r w:rsidRPr="00222597">
        <w:rPr>
          <w:szCs w:val="22"/>
        </w:rPr>
        <w:t xml:space="preserve">s not listed </w:t>
      </w:r>
      <w:r w:rsidR="00E8200D" w:rsidRPr="00222597">
        <w:rPr>
          <w:szCs w:val="22"/>
        </w:rPr>
        <w:t xml:space="preserve">on the PBS </w:t>
      </w:r>
      <w:r w:rsidRPr="00222597">
        <w:rPr>
          <w:szCs w:val="22"/>
        </w:rPr>
        <w:t>for the treatment of symptoms of uterine fibroids</w:t>
      </w:r>
      <w:r w:rsidR="00355A66" w:rsidRPr="00222597">
        <w:rPr>
          <w:szCs w:val="22"/>
        </w:rPr>
        <w:t xml:space="preserve"> at the time of the PBAC consideration</w:t>
      </w:r>
      <w:r w:rsidRPr="00222597">
        <w:rPr>
          <w:szCs w:val="22"/>
        </w:rPr>
        <w:t xml:space="preserve">. The cost-effectiveness of </w:t>
      </w:r>
      <w:proofErr w:type="spellStart"/>
      <w:r w:rsidRPr="00222597">
        <w:rPr>
          <w:szCs w:val="22"/>
        </w:rPr>
        <w:t>goserelin</w:t>
      </w:r>
      <w:proofErr w:type="spellEnd"/>
      <w:r w:rsidRPr="00222597">
        <w:rPr>
          <w:szCs w:val="22"/>
        </w:rPr>
        <w:t xml:space="preserve"> in the treatment of symptoms of uterine fibroids has not been </w:t>
      </w:r>
      <w:r w:rsidR="004F7158" w:rsidRPr="00222597">
        <w:rPr>
          <w:szCs w:val="22"/>
        </w:rPr>
        <w:t>accepted</w:t>
      </w:r>
      <w:r w:rsidRPr="00222597">
        <w:rPr>
          <w:szCs w:val="22"/>
        </w:rPr>
        <w:t xml:space="preserve"> by the PBAC. </w:t>
      </w:r>
    </w:p>
    <w:p w:rsidR="0091051F" w:rsidRPr="00222597" w:rsidRDefault="0091051F" w:rsidP="0091051F">
      <w:pPr>
        <w:pStyle w:val="ListParagraph"/>
        <w:rPr>
          <w:szCs w:val="22"/>
        </w:rPr>
      </w:pPr>
    </w:p>
    <w:p w:rsidR="0091051F" w:rsidRPr="00222597" w:rsidRDefault="0091051F" w:rsidP="0091051F">
      <w:pPr>
        <w:rPr>
          <w:bCs/>
          <w:szCs w:val="22"/>
        </w:rPr>
      </w:pPr>
      <w:r w:rsidRPr="00222597">
        <w:rPr>
          <w:bCs/>
          <w:i/>
          <w:szCs w:val="22"/>
        </w:rPr>
        <w:t>For more detail on PBAC’s view, see section 7 “PBAC outcome”</w:t>
      </w:r>
    </w:p>
    <w:p w:rsidR="0091051F" w:rsidRPr="00222597" w:rsidRDefault="0091051F" w:rsidP="0091051F">
      <w:pPr>
        <w:widowControl/>
        <w:rPr>
          <w:szCs w:val="22"/>
        </w:rPr>
      </w:pPr>
    </w:p>
    <w:p w:rsidR="00D647CD" w:rsidRPr="00222597" w:rsidRDefault="00D647CD" w:rsidP="001466EA">
      <w:pPr>
        <w:pStyle w:val="Heading1"/>
      </w:pPr>
      <w:bookmarkStart w:id="4" w:name="_Toc451165135"/>
      <w:r w:rsidRPr="00222597">
        <w:t>Background</w:t>
      </w:r>
      <w:bookmarkEnd w:id="4"/>
    </w:p>
    <w:p w:rsidR="00D647CD" w:rsidRPr="00222597" w:rsidRDefault="00D647CD" w:rsidP="00960382">
      <w:pPr>
        <w:keepNext/>
        <w:keepLines/>
        <w:rPr>
          <w:szCs w:val="22"/>
        </w:rPr>
      </w:pPr>
    </w:p>
    <w:p w:rsidR="000B61A0" w:rsidRPr="00222597" w:rsidRDefault="000B61A0" w:rsidP="00960382">
      <w:pPr>
        <w:pStyle w:val="ListParagraph"/>
        <w:keepNext/>
        <w:keepLines/>
        <w:widowControl/>
        <w:numPr>
          <w:ilvl w:val="1"/>
          <w:numId w:val="3"/>
        </w:numPr>
      </w:pPr>
      <w:proofErr w:type="spellStart"/>
      <w:r w:rsidRPr="00222597">
        <w:t>Ulipristal</w:t>
      </w:r>
      <w:proofErr w:type="spellEnd"/>
      <w:r w:rsidRPr="00222597">
        <w:t xml:space="preserve"> was </w:t>
      </w:r>
      <w:r w:rsidR="00F25C01" w:rsidRPr="00222597">
        <w:t>approv</w:t>
      </w:r>
      <w:r w:rsidRPr="00222597">
        <w:t xml:space="preserve">ed for registration by the TGA for intermittent treatment of moderate to severe symptoms of uterine fibroids in </w:t>
      </w:r>
      <w:r w:rsidR="00341788" w:rsidRPr="00222597">
        <w:t>adult women of reproductive age</w:t>
      </w:r>
      <w:r w:rsidRPr="00222597">
        <w:t xml:space="preserve"> at the 309th meeting of the Advisory Committee on Prescription Medicines on 1</w:t>
      </w:r>
      <w:r w:rsidR="00A647BB">
        <w:t> </w:t>
      </w:r>
      <w:r w:rsidRPr="00222597">
        <w:t>April</w:t>
      </w:r>
      <w:r w:rsidR="00A647BB">
        <w:t> </w:t>
      </w:r>
      <w:r w:rsidRPr="00222597">
        <w:t xml:space="preserve">2016. </w:t>
      </w:r>
    </w:p>
    <w:p w:rsidR="00D647CD" w:rsidRPr="00222597" w:rsidRDefault="00D647CD" w:rsidP="00D647CD">
      <w:pPr>
        <w:pStyle w:val="ListParagraph"/>
        <w:rPr>
          <w:szCs w:val="22"/>
        </w:rPr>
      </w:pPr>
    </w:p>
    <w:p w:rsidR="00FE7D41" w:rsidRPr="00222597" w:rsidRDefault="00D647CD" w:rsidP="006624B7">
      <w:pPr>
        <w:pStyle w:val="ListParagraph"/>
        <w:widowControl/>
        <w:numPr>
          <w:ilvl w:val="1"/>
          <w:numId w:val="3"/>
        </w:numPr>
      </w:pPr>
      <w:r w:rsidRPr="00222597">
        <w:rPr>
          <w:szCs w:val="22"/>
        </w:rPr>
        <w:t xml:space="preserve">This </w:t>
      </w:r>
      <w:r w:rsidR="00355A66" w:rsidRPr="00222597">
        <w:rPr>
          <w:szCs w:val="22"/>
        </w:rPr>
        <w:t>wa</w:t>
      </w:r>
      <w:r w:rsidRPr="00222597">
        <w:rPr>
          <w:szCs w:val="22"/>
        </w:rPr>
        <w:t xml:space="preserve">s the first submission of </w:t>
      </w:r>
      <w:proofErr w:type="spellStart"/>
      <w:r w:rsidRPr="00222597">
        <w:rPr>
          <w:szCs w:val="22"/>
        </w:rPr>
        <w:t>ulipristal</w:t>
      </w:r>
      <w:proofErr w:type="spellEnd"/>
      <w:r w:rsidRPr="00222597">
        <w:rPr>
          <w:szCs w:val="22"/>
        </w:rPr>
        <w:t xml:space="preserve"> to the PBAC for the treatment of </w:t>
      </w:r>
      <w:r w:rsidR="00884ED5" w:rsidRPr="00222597">
        <w:rPr>
          <w:szCs w:val="22"/>
        </w:rPr>
        <w:t xml:space="preserve">moderate-severe </w:t>
      </w:r>
      <w:r w:rsidRPr="00222597">
        <w:rPr>
          <w:szCs w:val="22"/>
        </w:rPr>
        <w:t xml:space="preserve">symptoms of uterine fibroids. </w:t>
      </w:r>
    </w:p>
    <w:p w:rsidR="005C7759" w:rsidRPr="00222597" w:rsidRDefault="005C7759" w:rsidP="005C7759"/>
    <w:p w:rsidR="0091051F" w:rsidRPr="00222597" w:rsidRDefault="0091051F" w:rsidP="0091051F">
      <w:pPr>
        <w:rPr>
          <w:bCs/>
          <w:szCs w:val="22"/>
        </w:rPr>
      </w:pPr>
      <w:r w:rsidRPr="00222597">
        <w:rPr>
          <w:bCs/>
          <w:i/>
          <w:szCs w:val="22"/>
        </w:rPr>
        <w:t>For more detail on PBAC’s view, see section 7 “PBAC outcome”</w:t>
      </w:r>
    </w:p>
    <w:p w:rsidR="0091051F" w:rsidRPr="00222597" w:rsidRDefault="0091051F" w:rsidP="005C7759"/>
    <w:p w:rsidR="00D647CD" w:rsidRPr="00222597" w:rsidRDefault="00D647CD" w:rsidP="00D647CD"/>
    <w:p w:rsidR="00D647CD" w:rsidRPr="00222597" w:rsidRDefault="00D647CD" w:rsidP="001466EA">
      <w:pPr>
        <w:pStyle w:val="Heading1"/>
      </w:pPr>
      <w:bookmarkStart w:id="5" w:name="_Toc451165136"/>
      <w:r w:rsidRPr="00222597">
        <w:t>Clinical place for the proposed therapy</w:t>
      </w:r>
      <w:bookmarkEnd w:id="5"/>
    </w:p>
    <w:p w:rsidR="00D647CD" w:rsidRPr="00222597" w:rsidRDefault="00D647CD" w:rsidP="00D647CD">
      <w:pPr>
        <w:rPr>
          <w:szCs w:val="22"/>
        </w:rPr>
      </w:pPr>
    </w:p>
    <w:p w:rsidR="00D647CD" w:rsidRPr="00222597" w:rsidRDefault="00D647CD" w:rsidP="00F15765">
      <w:pPr>
        <w:pStyle w:val="ListParagraph"/>
        <w:widowControl/>
        <w:numPr>
          <w:ilvl w:val="1"/>
          <w:numId w:val="3"/>
        </w:numPr>
        <w:rPr>
          <w:szCs w:val="22"/>
        </w:rPr>
      </w:pPr>
      <w:r w:rsidRPr="00222597">
        <w:rPr>
          <w:szCs w:val="22"/>
        </w:rPr>
        <w:t>Uterine fibroids are common benign neoplasms of the uterus</w:t>
      </w:r>
      <w:proofErr w:type="gramStart"/>
      <w:r w:rsidRPr="00222597">
        <w:rPr>
          <w:szCs w:val="22"/>
        </w:rPr>
        <w:t xml:space="preserve">.  </w:t>
      </w:r>
      <w:proofErr w:type="gramEnd"/>
      <w:r w:rsidRPr="00222597">
        <w:t xml:space="preserve">They are oestrogen dependent and exhibit maximal growth during the decade before menopause and decrease in size thereafter. Uterine fibroids are frequently asymptomatic, but can cause heavy or prolonged menstrual bleeding and resultant anaemia, dysmenorrhea, pelvic pressure, pain and bulk or pressure symptoms. </w:t>
      </w:r>
    </w:p>
    <w:p w:rsidR="00D647CD" w:rsidRPr="00222597" w:rsidRDefault="00D647CD" w:rsidP="00D647CD">
      <w:pPr>
        <w:pStyle w:val="ListParagraph"/>
        <w:widowControl/>
        <w:rPr>
          <w:szCs w:val="22"/>
        </w:rPr>
      </w:pPr>
    </w:p>
    <w:p w:rsidR="00D647CD" w:rsidRPr="00222597" w:rsidRDefault="0059469F" w:rsidP="00F15765">
      <w:pPr>
        <w:pStyle w:val="ListParagraph"/>
        <w:widowControl/>
        <w:numPr>
          <w:ilvl w:val="1"/>
          <w:numId w:val="3"/>
        </w:numPr>
      </w:pPr>
      <w:proofErr w:type="spellStart"/>
      <w:r w:rsidRPr="00222597">
        <w:t>Ulipristal</w:t>
      </w:r>
      <w:proofErr w:type="spellEnd"/>
      <w:r w:rsidRPr="00222597">
        <w:t xml:space="preserve"> is a selective progesterone receptor modulator. </w:t>
      </w:r>
      <w:r w:rsidR="00D647CD" w:rsidRPr="00222597">
        <w:t xml:space="preserve">The submission proposed </w:t>
      </w:r>
      <w:proofErr w:type="spellStart"/>
      <w:r w:rsidR="00D647CD" w:rsidRPr="00222597">
        <w:t>ulipristal</w:t>
      </w:r>
      <w:proofErr w:type="spellEnd"/>
      <w:r w:rsidR="00D647CD" w:rsidRPr="00222597">
        <w:t xml:space="preserve"> as an alternative medical management option to </w:t>
      </w:r>
      <w:proofErr w:type="spellStart"/>
      <w:r w:rsidR="00D647CD" w:rsidRPr="00222597">
        <w:t>GnRH</w:t>
      </w:r>
      <w:proofErr w:type="spellEnd"/>
      <w:r w:rsidR="00D647CD" w:rsidRPr="00222597">
        <w:t xml:space="preserve"> analogues with or without hormonal add-back therapy. The recommended dose regimen for </w:t>
      </w:r>
      <w:proofErr w:type="spellStart"/>
      <w:r w:rsidR="00D647CD" w:rsidRPr="00222597">
        <w:t>ulipristal</w:t>
      </w:r>
      <w:proofErr w:type="spellEnd"/>
      <w:r w:rsidR="00D647CD" w:rsidRPr="00222597">
        <w:t xml:space="preserve"> is one tablet of </w:t>
      </w:r>
      <w:r w:rsidR="00B413FC" w:rsidRPr="00222597">
        <w:t>5 mg</w:t>
      </w:r>
      <w:r w:rsidR="00D647CD" w:rsidRPr="00222597">
        <w:t xml:space="preserve"> taken orally once daily for treatment courses of up to </w:t>
      </w:r>
      <w:r w:rsidR="00922F80" w:rsidRPr="00222597">
        <w:t xml:space="preserve">three </w:t>
      </w:r>
      <w:r w:rsidR="00D647CD" w:rsidRPr="00222597">
        <w:t>months each. Treatments should only be initiated when menstruation has occurred:</w:t>
      </w:r>
    </w:p>
    <w:p w:rsidR="00D647CD" w:rsidRPr="00222597" w:rsidRDefault="00D647CD" w:rsidP="00F15765">
      <w:pPr>
        <w:pStyle w:val="ListParagraph"/>
        <w:widowControl/>
        <w:numPr>
          <w:ilvl w:val="0"/>
          <w:numId w:val="45"/>
        </w:numPr>
      </w:pPr>
      <w:r w:rsidRPr="00222597">
        <w:t>The first treatment course should start during the first week of menstruation;</w:t>
      </w:r>
    </w:p>
    <w:p w:rsidR="00D647CD" w:rsidRPr="00222597" w:rsidRDefault="00D647CD" w:rsidP="00F15765">
      <w:pPr>
        <w:pStyle w:val="ListParagraph"/>
        <w:widowControl/>
        <w:numPr>
          <w:ilvl w:val="0"/>
          <w:numId w:val="45"/>
        </w:numPr>
        <w:rPr>
          <w:szCs w:val="22"/>
        </w:rPr>
      </w:pPr>
      <w:r w:rsidRPr="00222597">
        <w:t>Re-treatment courses should start</w:t>
      </w:r>
      <w:r w:rsidR="007E7464" w:rsidRPr="00222597">
        <w:t>,</w:t>
      </w:r>
      <w:r w:rsidRPr="00222597">
        <w:t xml:space="preserve"> at the earliest</w:t>
      </w:r>
      <w:r w:rsidR="007E7464" w:rsidRPr="00222597">
        <w:t>,</w:t>
      </w:r>
      <w:r w:rsidRPr="00222597">
        <w:t xml:space="preserve"> during the first week of the second menstruation following the previous treatment course completion.</w:t>
      </w:r>
    </w:p>
    <w:p w:rsidR="00D647CD" w:rsidRPr="00222597" w:rsidRDefault="00D647CD" w:rsidP="00D647CD">
      <w:pPr>
        <w:pStyle w:val="ListParagraph"/>
        <w:rPr>
          <w:szCs w:val="22"/>
        </w:rPr>
      </w:pPr>
    </w:p>
    <w:p w:rsidR="00D647CD" w:rsidRPr="00222597" w:rsidRDefault="00D647CD" w:rsidP="00F15765">
      <w:pPr>
        <w:pStyle w:val="ListParagraph"/>
        <w:widowControl/>
        <w:numPr>
          <w:ilvl w:val="1"/>
          <w:numId w:val="3"/>
        </w:numPr>
        <w:rPr>
          <w:szCs w:val="22"/>
        </w:rPr>
      </w:pPr>
      <w:r w:rsidRPr="00222597">
        <w:rPr>
          <w:szCs w:val="22"/>
        </w:rPr>
        <w:t xml:space="preserve">The submission stated that </w:t>
      </w:r>
      <w:proofErr w:type="spellStart"/>
      <w:r w:rsidRPr="00222597">
        <w:rPr>
          <w:szCs w:val="22"/>
        </w:rPr>
        <w:t>ulipristal</w:t>
      </w:r>
      <w:proofErr w:type="spellEnd"/>
      <w:r w:rsidRPr="00222597">
        <w:rPr>
          <w:szCs w:val="22"/>
        </w:rPr>
        <w:t xml:space="preserve"> could be used in a broad range of clinical scenarios, including:</w:t>
      </w:r>
    </w:p>
    <w:p w:rsidR="00D647CD" w:rsidRPr="00030326" w:rsidRDefault="00222597" w:rsidP="00F15765">
      <w:pPr>
        <w:pStyle w:val="ListParagraph"/>
        <w:numPr>
          <w:ilvl w:val="0"/>
          <w:numId w:val="44"/>
        </w:numPr>
      </w:pPr>
      <w:r w:rsidRPr="00222597">
        <w:t>Short</w:t>
      </w:r>
      <w:r>
        <w:t>-</w:t>
      </w:r>
      <w:r w:rsidR="00D647CD" w:rsidRPr="00222597">
        <w:t>term use (</w:t>
      </w:r>
      <w:r w:rsidR="00922F80" w:rsidRPr="00222597">
        <w:t xml:space="preserve">three </w:t>
      </w:r>
      <w:r w:rsidR="00D647CD" w:rsidRPr="00222597">
        <w:t>months) in patients indicated for and planning surgery, as a means of sta</w:t>
      </w:r>
      <w:r w:rsidR="00D647CD" w:rsidRPr="00030326">
        <w:t>bilising symptoms, and potentially facilitating less invasive surgical techniques;</w:t>
      </w:r>
    </w:p>
    <w:p w:rsidR="00D647CD" w:rsidRPr="00222597" w:rsidRDefault="00222597" w:rsidP="00F15765">
      <w:pPr>
        <w:pStyle w:val="ListParagraph"/>
        <w:numPr>
          <w:ilvl w:val="0"/>
          <w:numId w:val="44"/>
        </w:numPr>
      </w:pPr>
      <w:r w:rsidRPr="00222597">
        <w:t>Medium</w:t>
      </w:r>
      <w:r>
        <w:t>-</w:t>
      </w:r>
      <w:r w:rsidR="00D647CD" w:rsidRPr="00222597">
        <w:t>term use, as temporary symptom relief, in older patients approaching menopause, after which the condition generally resolves without further intervention;</w:t>
      </w:r>
    </w:p>
    <w:p w:rsidR="00D647CD" w:rsidRPr="00222597" w:rsidRDefault="00222597" w:rsidP="00F15765">
      <w:pPr>
        <w:pStyle w:val="ListParagraph"/>
        <w:numPr>
          <w:ilvl w:val="0"/>
          <w:numId w:val="44"/>
        </w:numPr>
      </w:pPr>
      <w:r w:rsidRPr="00F368D9">
        <w:t>Medium</w:t>
      </w:r>
      <w:r>
        <w:t>-</w:t>
      </w:r>
      <w:r w:rsidR="00D647CD" w:rsidRPr="00222597">
        <w:t>term use, to provide symptom relief and improve fertility outcomes, in patients planning pregnancy;</w:t>
      </w:r>
    </w:p>
    <w:p w:rsidR="00D647CD" w:rsidRPr="00222597" w:rsidRDefault="00222597" w:rsidP="00F15765">
      <w:pPr>
        <w:pStyle w:val="ListParagraph"/>
        <w:widowControl/>
        <w:numPr>
          <w:ilvl w:val="0"/>
          <w:numId w:val="44"/>
        </w:numPr>
        <w:rPr>
          <w:szCs w:val="22"/>
        </w:rPr>
      </w:pPr>
      <w:r w:rsidRPr="00F368D9">
        <w:t>Longer-term</w:t>
      </w:r>
      <w:r w:rsidR="00D647CD" w:rsidRPr="00222597">
        <w:t xml:space="preserve"> intermittent therapy, of potentially several years’ duration, as a preferred alternative to currently available medical and/or surgical management options.</w:t>
      </w:r>
    </w:p>
    <w:p w:rsidR="006A22C8" w:rsidRPr="00222597" w:rsidRDefault="006A22C8" w:rsidP="006A22C8">
      <w:pPr>
        <w:ind w:left="851" w:right="277"/>
      </w:pPr>
      <w:r w:rsidRPr="00222597">
        <w:t>The proposed treatment algorithm, presented in the submission, did not differentiate between the</w:t>
      </w:r>
      <w:r w:rsidR="007E7464" w:rsidRPr="00222597">
        <w:t>se</w:t>
      </w:r>
      <w:r w:rsidRPr="00222597">
        <w:t xml:space="preserve"> four clinical scenarios.</w:t>
      </w:r>
    </w:p>
    <w:p w:rsidR="000814A1" w:rsidRPr="00222597" w:rsidRDefault="000814A1" w:rsidP="006A22C8">
      <w:pPr>
        <w:ind w:left="851" w:right="277"/>
      </w:pPr>
    </w:p>
    <w:p w:rsidR="000814A1" w:rsidRPr="001466EA" w:rsidRDefault="001466EA" w:rsidP="001466EA">
      <w:pPr>
        <w:widowControl/>
        <w:ind w:left="720" w:hanging="720"/>
        <w:rPr>
          <w:szCs w:val="22"/>
          <w:highlight w:val="black"/>
        </w:rPr>
      </w:pPr>
      <w:r>
        <w:rPr>
          <w:noProof/>
          <w:color w:val="000000"/>
          <w:szCs w:val="22"/>
          <w:highlight w:val="black"/>
        </w:rPr>
        <w:t>''''''''''''''' '''''''''''' ''''''''''''''''''' ''''''''''''' '''''''''' '''''''''''' '''''''' '''''''''''''''''''''''''''''' '''''''''' '''''''''''''''' '''''''''''''' ''''' '''''''''''''''' '''''' ''''''''''''''''' '''' ''''''''''''''''''''' '''''''''''''''''''''''' ''''''''''''''''''''' ''''''''''''''''''' ''''''''''''''''''''''''''' '''''''''' '''''''''''''''''''''''''''''''''''''''' ''''''''''''''''''''''''''''''' ''''''' ''''''''''''''' ''''''''' '''' '''''''''''''''''''''''' '''''''''''''''''''''''' '''''''''' ''''' ''''''''''''''''''' '''''' ''''''' '''''''''''''''''''''' ''''' '''''''''''''''''''''''''''''''''''''''''''' '''''''''''''''''''''''' '''' ''''''''''''''''''''</w:t>
      </w:r>
    </w:p>
    <w:p w:rsidR="00B4103E" w:rsidRPr="00222597" w:rsidRDefault="00B4103E" w:rsidP="00761680">
      <w:pPr>
        <w:pStyle w:val="ListParagraph"/>
        <w:widowControl/>
        <w:rPr>
          <w:szCs w:val="22"/>
        </w:rPr>
      </w:pPr>
    </w:p>
    <w:p w:rsidR="00542B91" w:rsidRPr="00222597" w:rsidRDefault="00542B91" w:rsidP="00185222">
      <w:pPr>
        <w:pStyle w:val="ListParagraph"/>
        <w:widowControl/>
        <w:numPr>
          <w:ilvl w:val="1"/>
          <w:numId w:val="3"/>
        </w:numPr>
        <w:spacing w:after="120"/>
        <w:ind w:right="278"/>
        <w:contextualSpacing w:val="0"/>
        <w:rPr>
          <w:szCs w:val="22"/>
        </w:rPr>
      </w:pPr>
      <w:r w:rsidRPr="00222597">
        <w:rPr>
          <w:szCs w:val="22"/>
        </w:rPr>
        <w:t>The ESC noted that the treatment algorithm was updated in the Pr</w:t>
      </w:r>
      <w:r w:rsidR="000E744D">
        <w:rPr>
          <w:szCs w:val="22"/>
        </w:rPr>
        <w:t>e-Sub-Committee Response (PSCR)</w:t>
      </w:r>
      <w:r w:rsidRPr="00222597">
        <w:rPr>
          <w:szCs w:val="22"/>
        </w:rPr>
        <w:t xml:space="preserve">. However, more clarification </w:t>
      </w:r>
      <w:r w:rsidR="003B5A49" w:rsidRPr="00222597">
        <w:rPr>
          <w:szCs w:val="22"/>
        </w:rPr>
        <w:t>wa</w:t>
      </w:r>
      <w:r w:rsidRPr="00222597">
        <w:rPr>
          <w:szCs w:val="22"/>
        </w:rPr>
        <w:t>s</w:t>
      </w:r>
      <w:r w:rsidR="003B5A49" w:rsidRPr="00222597">
        <w:rPr>
          <w:szCs w:val="22"/>
        </w:rPr>
        <w:t xml:space="preserve"> still</w:t>
      </w:r>
      <w:r w:rsidRPr="00222597">
        <w:rPr>
          <w:szCs w:val="22"/>
        </w:rPr>
        <w:t xml:space="preserve"> required in terms of </w:t>
      </w:r>
      <w:r w:rsidRPr="00222597">
        <w:t xml:space="preserve">the </w:t>
      </w:r>
      <w:r w:rsidR="00B83E4E" w:rsidRPr="00222597">
        <w:t xml:space="preserve">definition </w:t>
      </w:r>
      <w:r w:rsidRPr="00222597">
        <w:t xml:space="preserve">of moderate to severe symptoms of </w:t>
      </w:r>
      <w:r w:rsidR="003B5A49" w:rsidRPr="00222597">
        <w:t>u</w:t>
      </w:r>
      <w:r w:rsidRPr="00222597">
        <w:t xml:space="preserve">terine </w:t>
      </w:r>
      <w:r w:rsidR="003B5A49" w:rsidRPr="00222597">
        <w:t>f</w:t>
      </w:r>
      <w:r w:rsidRPr="00222597">
        <w:t>ibroids</w:t>
      </w:r>
      <w:r w:rsidR="002314CD" w:rsidRPr="00222597">
        <w:t xml:space="preserve"> and the treatment of these</w:t>
      </w:r>
      <w:r w:rsidRPr="00222597">
        <w:t xml:space="preserve"> in the Australian context, particularly with respect to the management of patients presenting with abnormal uterine bleeding only, and those patients who are not eligible for or have a preference against surgical options.</w:t>
      </w:r>
      <w:r w:rsidR="003B5A49" w:rsidRPr="00222597">
        <w:t xml:space="preserve"> </w:t>
      </w:r>
      <w:r w:rsidR="00185222" w:rsidRPr="00222597">
        <w:rPr>
          <w:szCs w:val="22"/>
        </w:rPr>
        <w:t xml:space="preserve">The ESC recommended that further clinical advice be sought from The Royal Australian and New Zealand College of Obstetricians and Gynaecologists (RANZCOG) regarding current clinical </w:t>
      </w:r>
      <w:r w:rsidR="00A72D65" w:rsidRPr="00222597">
        <w:rPr>
          <w:szCs w:val="22"/>
        </w:rPr>
        <w:t>practice</w:t>
      </w:r>
      <w:r w:rsidRPr="00222597">
        <w:rPr>
          <w:szCs w:val="22"/>
        </w:rPr>
        <w:t>.</w:t>
      </w:r>
    </w:p>
    <w:p w:rsidR="00440371" w:rsidRPr="00222597" w:rsidRDefault="00440371" w:rsidP="00440371">
      <w:pPr>
        <w:pStyle w:val="ListParagraph"/>
        <w:rPr>
          <w:szCs w:val="22"/>
        </w:rPr>
      </w:pPr>
    </w:p>
    <w:p w:rsidR="00440371" w:rsidRPr="00030326" w:rsidRDefault="00440371" w:rsidP="00185222">
      <w:pPr>
        <w:pStyle w:val="ListParagraph"/>
        <w:widowControl/>
        <w:numPr>
          <w:ilvl w:val="1"/>
          <w:numId w:val="3"/>
        </w:numPr>
        <w:spacing w:after="120"/>
        <w:ind w:right="278"/>
        <w:contextualSpacing w:val="0"/>
        <w:rPr>
          <w:szCs w:val="22"/>
        </w:rPr>
      </w:pPr>
      <w:r w:rsidRPr="00222597">
        <w:rPr>
          <w:szCs w:val="22"/>
        </w:rPr>
        <w:t>RANZCOG were supportive of a</w:t>
      </w:r>
      <w:r w:rsidR="00922F80" w:rsidRPr="00222597">
        <w:rPr>
          <w:szCs w:val="22"/>
        </w:rPr>
        <w:t xml:space="preserve"> </w:t>
      </w:r>
      <w:r w:rsidR="00222597" w:rsidRPr="00222597">
        <w:rPr>
          <w:szCs w:val="22"/>
        </w:rPr>
        <w:t>short-term</w:t>
      </w:r>
      <w:r w:rsidRPr="00222597">
        <w:rPr>
          <w:szCs w:val="22"/>
        </w:rPr>
        <w:t xml:space="preserve"> </w:t>
      </w:r>
      <w:r w:rsidR="00222597" w:rsidRPr="00222597">
        <w:rPr>
          <w:szCs w:val="22"/>
        </w:rPr>
        <w:t>three-month</w:t>
      </w:r>
      <w:r w:rsidRPr="00222597">
        <w:rPr>
          <w:szCs w:val="22"/>
        </w:rPr>
        <w:t xml:space="preserve"> course of </w:t>
      </w:r>
      <w:proofErr w:type="spellStart"/>
      <w:r w:rsidRPr="00222597">
        <w:rPr>
          <w:szCs w:val="22"/>
        </w:rPr>
        <w:t>ulipristal</w:t>
      </w:r>
      <w:proofErr w:type="spellEnd"/>
      <w:r w:rsidRPr="00222597">
        <w:rPr>
          <w:szCs w:val="22"/>
        </w:rPr>
        <w:t xml:space="preserve"> as an oral alternative to </w:t>
      </w:r>
      <w:proofErr w:type="spellStart"/>
      <w:r w:rsidRPr="00222597">
        <w:rPr>
          <w:szCs w:val="22"/>
        </w:rPr>
        <w:t>GnRH</w:t>
      </w:r>
      <w:proofErr w:type="spellEnd"/>
      <w:r w:rsidRPr="00222597">
        <w:rPr>
          <w:szCs w:val="22"/>
        </w:rPr>
        <w:t xml:space="preserve"> analogues to reduce the size of fibroids prior to surgery. RANZCOG also noted that although repeated </w:t>
      </w:r>
      <w:r w:rsidR="00222597" w:rsidRPr="00222597">
        <w:rPr>
          <w:szCs w:val="22"/>
        </w:rPr>
        <w:t>three-month</w:t>
      </w:r>
      <w:r w:rsidRPr="00222597">
        <w:rPr>
          <w:szCs w:val="22"/>
        </w:rPr>
        <w:t xml:space="preserve"> courses may have a role in the </w:t>
      </w:r>
      <w:r w:rsidR="00222597">
        <w:rPr>
          <w:szCs w:val="22"/>
        </w:rPr>
        <w:t>long-term</w:t>
      </w:r>
      <w:r w:rsidRPr="00222597">
        <w:rPr>
          <w:szCs w:val="22"/>
        </w:rPr>
        <w:t xml:space="preserve"> management of fibroids, more data </w:t>
      </w:r>
      <w:r w:rsidR="00C54289" w:rsidRPr="00030326">
        <w:rPr>
          <w:szCs w:val="22"/>
        </w:rPr>
        <w:t>wa</w:t>
      </w:r>
      <w:r w:rsidRPr="00030326">
        <w:rPr>
          <w:szCs w:val="22"/>
        </w:rPr>
        <w:t xml:space="preserve">s required </w:t>
      </w:r>
      <w:r w:rsidR="00974A7B" w:rsidRPr="00F368D9">
        <w:rPr>
          <w:szCs w:val="22"/>
        </w:rPr>
        <w:t xml:space="preserve">to address concerns regarding </w:t>
      </w:r>
      <w:r w:rsidRPr="00222597">
        <w:rPr>
          <w:szCs w:val="22"/>
        </w:rPr>
        <w:t>endometrial thickness,</w:t>
      </w:r>
      <w:r w:rsidR="00974A7B" w:rsidRPr="00222597">
        <w:rPr>
          <w:szCs w:val="22"/>
        </w:rPr>
        <w:t xml:space="preserve"> the</w:t>
      </w:r>
      <w:r w:rsidRPr="00222597">
        <w:rPr>
          <w:szCs w:val="22"/>
        </w:rPr>
        <w:t xml:space="preserve"> </w:t>
      </w:r>
      <w:r w:rsidR="00222597">
        <w:rPr>
          <w:szCs w:val="22"/>
        </w:rPr>
        <w:t>long-term</w:t>
      </w:r>
      <w:r w:rsidRPr="00222597">
        <w:rPr>
          <w:szCs w:val="22"/>
        </w:rPr>
        <w:t xml:space="preserve"> benefits of one or two courses of </w:t>
      </w:r>
      <w:proofErr w:type="spellStart"/>
      <w:r w:rsidRPr="00222597">
        <w:rPr>
          <w:szCs w:val="22"/>
        </w:rPr>
        <w:t>ulipristal</w:t>
      </w:r>
      <w:proofErr w:type="spellEnd"/>
      <w:r w:rsidRPr="00222597">
        <w:rPr>
          <w:szCs w:val="22"/>
        </w:rPr>
        <w:t xml:space="preserve"> and </w:t>
      </w:r>
      <w:r w:rsidR="00974A7B" w:rsidRPr="00222597">
        <w:rPr>
          <w:szCs w:val="22"/>
        </w:rPr>
        <w:t xml:space="preserve">the </w:t>
      </w:r>
      <w:r w:rsidR="00222597">
        <w:rPr>
          <w:szCs w:val="22"/>
        </w:rPr>
        <w:t>long-term</w:t>
      </w:r>
      <w:r w:rsidRPr="00222597">
        <w:rPr>
          <w:szCs w:val="22"/>
        </w:rPr>
        <w:t xml:space="preserve"> side effect profile and efficacy</w:t>
      </w:r>
      <w:r w:rsidR="00D575DB" w:rsidRPr="00222597">
        <w:rPr>
          <w:szCs w:val="22"/>
        </w:rPr>
        <w:t xml:space="preserve"> </w:t>
      </w:r>
      <w:r w:rsidR="00920B32" w:rsidRPr="00222597">
        <w:rPr>
          <w:szCs w:val="22"/>
        </w:rPr>
        <w:t xml:space="preserve">of </w:t>
      </w:r>
      <w:proofErr w:type="spellStart"/>
      <w:r w:rsidR="00D575DB" w:rsidRPr="00222597">
        <w:rPr>
          <w:szCs w:val="22"/>
        </w:rPr>
        <w:t>ulipristal</w:t>
      </w:r>
      <w:proofErr w:type="spellEnd"/>
      <w:r w:rsidRPr="00030326">
        <w:rPr>
          <w:szCs w:val="22"/>
        </w:rPr>
        <w:t xml:space="preserve">. </w:t>
      </w:r>
    </w:p>
    <w:p w:rsidR="001E7642" w:rsidRPr="00F368D9" w:rsidRDefault="001E7642" w:rsidP="001E7642">
      <w:pPr>
        <w:pStyle w:val="ListParagraph"/>
        <w:rPr>
          <w:szCs w:val="22"/>
        </w:rPr>
      </w:pPr>
    </w:p>
    <w:p w:rsidR="001E7642" w:rsidRPr="00030326" w:rsidRDefault="0011718D" w:rsidP="00185222">
      <w:pPr>
        <w:pStyle w:val="ListParagraph"/>
        <w:widowControl/>
        <w:numPr>
          <w:ilvl w:val="1"/>
          <w:numId w:val="3"/>
        </w:numPr>
        <w:spacing w:after="120"/>
        <w:ind w:right="278"/>
        <w:contextualSpacing w:val="0"/>
        <w:rPr>
          <w:szCs w:val="22"/>
        </w:rPr>
      </w:pPr>
      <w:r w:rsidRPr="00222597">
        <w:rPr>
          <w:szCs w:val="22"/>
        </w:rPr>
        <w:t xml:space="preserve">The sponsor requested </w:t>
      </w:r>
      <w:r w:rsidR="001E7642" w:rsidRPr="00222597">
        <w:rPr>
          <w:szCs w:val="22"/>
        </w:rPr>
        <w:t xml:space="preserve">to </w:t>
      </w:r>
      <w:r w:rsidR="00C54289" w:rsidRPr="00222597">
        <w:rPr>
          <w:szCs w:val="22"/>
        </w:rPr>
        <w:t>remove</w:t>
      </w:r>
      <w:r w:rsidR="001E7642" w:rsidRPr="00222597">
        <w:rPr>
          <w:szCs w:val="22"/>
        </w:rPr>
        <w:t xml:space="preserve"> the </w:t>
      </w:r>
      <w:r w:rsidR="00C54289" w:rsidRPr="00222597">
        <w:rPr>
          <w:szCs w:val="22"/>
        </w:rPr>
        <w:t xml:space="preserve">medium and </w:t>
      </w:r>
      <w:r w:rsidR="00222597" w:rsidRPr="00222597">
        <w:rPr>
          <w:szCs w:val="22"/>
        </w:rPr>
        <w:t>long</w:t>
      </w:r>
      <w:r w:rsidR="00222597">
        <w:rPr>
          <w:szCs w:val="22"/>
        </w:rPr>
        <w:t>-</w:t>
      </w:r>
      <w:r w:rsidR="001E7642" w:rsidRPr="00222597">
        <w:rPr>
          <w:szCs w:val="22"/>
        </w:rPr>
        <w:t xml:space="preserve">term (intermittent) use of </w:t>
      </w:r>
      <w:proofErr w:type="spellStart"/>
      <w:r w:rsidR="001E7642" w:rsidRPr="00222597">
        <w:rPr>
          <w:szCs w:val="22"/>
        </w:rPr>
        <w:t>ulipristal</w:t>
      </w:r>
      <w:proofErr w:type="spellEnd"/>
      <w:r w:rsidRPr="00222597">
        <w:rPr>
          <w:szCs w:val="22"/>
        </w:rPr>
        <w:t xml:space="preserve"> </w:t>
      </w:r>
      <w:r w:rsidR="00C54289" w:rsidRPr="00222597">
        <w:rPr>
          <w:szCs w:val="22"/>
        </w:rPr>
        <w:t xml:space="preserve">from the </w:t>
      </w:r>
      <w:r w:rsidR="00F26196" w:rsidRPr="00222597">
        <w:rPr>
          <w:szCs w:val="22"/>
        </w:rPr>
        <w:t xml:space="preserve">proposed </w:t>
      </w:r>
      <w:r w:rsidR="00C54289" w:rsidRPr="00222597">
        <w:rPr>
          <w:szCs w:val="22"/>
        </w:rPr>
        <w:t xml:space="preserve">restriction </w:t>
      </w:r>
      <w:r w:rsidRPr="00222597">
        <w:rPr>
          <w:szCs w:val="22"/>
        </w:rPr>
        <w:t xml:space="preserve">in the </w:t>
      </w:r>
      <w:r w:rsidR="007142C5">
        <w:rPr>
          <w:szCs w:val="22"/>
        </w:rPr>
        <w:t>Pre-PBAC</w:t>
      </w:r>
      <w:r w:rsidRPr="00222597">
        <w:rPr>
          <w:szCs w:val="22"/>
        </w:rPr>
        <w:t xml:space="preserve"> response </w:t>
      </w:r>
      <w:r w:rsidR="001E7642" w:rsidRPr="00222597">
        <w:rPr>
          <w:szCs w:val="22"/>
        </w:rPr>
        <w:t xml:space="preserve">as the issues surrounding this clinical </w:t>
      </w:r>
      <w:r w:rsidR="001E7642" w:rsidRPr="00030326">
        <w:rPr>
          <w:szCs w:val="22"/>
        </w:rPr>
        <w:t>scenario including treatment algorithm, definition and size of target population, identification of the appropriate main comparator, evidence o</w:t>
      </w:r>
      <w:r w:rsidR="00C865F2" w:rsidRPr="00F368D9">
        <w:rPr>
          <w:szCs w:val="22"/>
        </w:rPr>
        <w:t xml:space="preserve">f </w:t>
      </w:r>
      <w:r w:rsidR="00222597">
        <w:rPr>
          <w:szCs w:val="22"/>
        </w:rPr>
        <w:t>long-term</w:t>
      </w:r>
      <w:r w:rsidR="00C865F2" w:rsidRPr="00222597">
        <w:rPr>
          <w:szCs w:val="22"/>
        </w:rPr>
        <w:t xml:space="preserve"> effectiveness and s</w:t>
      </w:r>
      <w:r w:rsidR="001E7642" w:rsidRPr="00222597">
        <w:rPr>
          <w:szCs w:val="22"/>
        </w:rPr>
        <w:t>afety, and approach to the economic evaluation could not be adequately addressed i</w:t>
      </w:r>
      <w:r w:rsidR="001E7642" w:rsidRPr="00030326">
        <w:rPr>
          <w:szCs w:val="22"/>
        </w:rPr>
        <w:t>n th</w:t>
      </w:r>
      <w:r w:rsidR="00C865F2" w:rsidRPr="00030326">
        <w:rPr>
          <w:szCs w:val="22"/>
        </w:rPr>
        <w:t>e</w:t>
      </w:r>
      <w:r w:rsidR="001E7642" w:rsidRPr="00F368D9">
        <w:rPr>
          <w:szCs w:val="22"/>
        </w:rPr>
        <w:t xml:space="preserve"> </w:t>
      </w:r>
      <w:r w:rsidR="007142C5">
        <w:rPr>
          <w:szCs w:val="22"/>
        </w:rPr>
        <w:t>Pre-PBAC</w:t>
      </w:r>
      <w:r w:rsidR="00C350D7">
        <w:rPr>
          <w:szCs w:val="22"/>
        </w:rPr>
        <w:t xml:space="preserve"> response</w:t>
      </w:r>
      <w:r w:rsidR="001E7642" w:rsidRPr="00F368D9">
        <w:rPr>
          <w:szCs w:val="22"/>
        </w:rPr>
        <w:t xml:space="preserve">. Therefore, the sponsor focused the response on addressing the issues relating to the use of </w:t>
      </w:r>
      <w:proofErr w:type="spellStart"/>
      <w:r w:rsidR="001E7642" w:rsidRPr="00F368D9">
        <w:rPr>
          <w:szCs w:val="22"/>
        </w:rPr>
        <w:t>ulipristal</w:t>
      </w:r>
      <w:proofErr w:type="spellEnd"/>
      <w:r w:rsidR="001E7642" w:rsidRPr="00F368D9">
        <w:rPr>
          <w:szCs w:val="22"/>
        </w:rPr>
        <w:t xml:space="preserve"> in the </w:t>
      </w:r>
      <w:r w:rsidR="00222597" w:rsidRPr="00222597">
        <w:rPr>
          <w:szCs w:val="22"/>
        </w:rPr>
        <w:t>short</w:t>
      </w:r>
      <w:r w:rsidR="00222597">
        <w:rPr>
          <w:szCs w:val="22"/>
        </w:rPr>
        <w:t>-</w:t>
      </w:r>
      <w:r w:rsidR="001E7642" w:rsidRPr="00222597">
        <w:rPr>
          <w:szCs w:val="22"/>
        </w:rPr>
        <w:t xml:space="preserve">term, pre-surgical setting. </w:t>
      </w:r>
      <w:r w:rsidR="00606F88" w:rsidRPr="00222597">
        <w:rPr>
          <w:szCs w:val="22"/>
        </w:rPr>
        <w:t xml:space="preserve">The PBAC considered all of the original </w:t>
      </w:r>
      <w:r w:rsidR="00923554" w:rsidRPr="00222597">
        <w:rPr>
          <w:szCs w:val="22"/>
        </w:rPr>
        <w:t>four</w:t>
      </w:r>
      <w:r w:rsidR="00606F88" w:rsidRPr="00222597">
        <w:rPr>
          <w:szCs w:val="22"/>
        </w:rPr>
        <w:t xml:space="preserve"> requested treatment scenarios in its deliberations, taking note of the </w:t>
      </w:r>
      <w:r w:rsidR="007142C5">
        <w:rPr>
          <w:szCs w:val="22"/>
        </w:rPr>
        <w:t>Pre-PBAC</w:t>
      </w:r>
      <w:r w:rsidR="00606F88" w:rsidRPr="00222597">
        <w:rPr>
          <w:szCs w:val="22"/>
        </w:rPr>
        <w:t xml:space="preserve"> request above. </w:t>
      </w:r>
    </w:p>
    <w:p w:rsidR="0091051F" w:rsidRPr="00F368D9" w:rsidRDefault="0091051F" w:rsidP="0091051F">
      <w:pPr>
        <w:pStyle w:val="ListParagraph"/>
        <w:rPr>
          <w:szCs w:val="22"/>
        </w:rPr>
      </w:pPr>
    </w:p>
    <w:p w:rsidR="0091051F" w:rsidRPr="00222597" w:rsidRDefault="0091051F" w:rsidP="0091051F">
      <w:pPr>
        <w:rPr>
          <w:bCs/>
          <w:szCs w:val="22"/>
        </w:rPr>
      </w:pPr>
      <w:r w:rsidRPr="00222597">
        <w:rPr>
          <w:bCs/>
          <w:i/>
          <w:szCs w:val="22"/>
        </w:rPr>
        <w:t>For more detail on PBAC’s view, see section 7 “PBAC outcome”</w:t>
      </w:r>
    </w:p>
    <w:p w:rsidR="00D647CD" w:rsidRPr="00222597" w:rsidRDefault="00D647CD" w:rsidP="00D647CD">
      <w:pPr>
        <w:pStyle w:val="Header"/>
        <w:rPr>
          <w:szCs w:val="22"/>
        </w:rPr>
      </w:pPr>
    </w:p>
    <w:p w:rsidR="0091051F" w:rsidRPr="00222597" w:rsidRDefault="0091051F" w:rsidP="00D647CD">
      <w:pPr>
        <w:pStyle w:val="Header"/>
        <w:rPr>
          <w:szCs w:val="22"/>
        </w:rPr>
      </w:pPr>
    </w:p>
    <w:p w:rsidR="00D647CD" w:rsidRPr="00222597" w:rsidRDefault="00D647CD" w:rsidP="001466EA">
      <w:pPr>
        <w:pStyle w:val="Heading1"/>
      </w:pPr>
      <w:bookmarkStart w:id="6" w:name="_Toc451165137"/>
      <w:r w:rsidRPr="00222597">
        <w:t>Comparator</w:t>
      </w:r>
      <w:bookmarkEnd w:id="6"/>
    </w:p>
    <w:p w:rsidR="00D647CD" w:rsidRPr="00222597" w:rsidRDefault="00D647CD" w:rsidP="00D647CD"/>
    <w:p w:rsidR="00D647CD" w:rsidRPr="00222597" w:rsidRDefault="00D647CD" w:rsidP="00F15765">
      <w:pPr>
        <w:pStyle w:val="ListParagraph"/>
        <w:widowControl/>
        <w:numPr>
          <w:ilvl w:val="1"/>
          <w:numId w:val="3"/>
        </w:numPr>
        <w:rPr>
          <w:szCs w:val="22"/>
        </w:rPr>
      </w:pPr>
      <w:r w:rsidRPr="00222597">
        <w:t xml:space="preserve">The submission nominated </w:t>
      </w:r>
      <w:proofErr w:type="spellStart"/>
      <w:r w:rsidRPr="00222597">
        <w:t>goserelin</w:t>
      </w:r>
      <w:proofErr w:type="spellEnd"/>
      <w:r w:rsidRPr="00222597">
        <w:t xml:space="preserve">, either alone or in conjunction with hormonal add-back therapy with </w:t>
      </w:r>
      <w:proofErr w:type="spellStart"/>
      <w:r w:rsidRPr="00222597">
        <w:t>tibolone</w:t>
      </w:r>
      <w:proofErr w:type="spellEnd"/>
      <w:r w:rsidRPr="00222597">
        <w:t xml:space="preserve">, as the main comparator. The submission indicated that </w:t>
      </w:r>
      <w:proofErr w:type="spellStart"/>
      <w:r w:rsidRPr="00222597">
        <w:t>ulipristal</w:t>
      </w:r>
      <w:proofErr w:type="spellEnd"/>
      <w:r w:rsidRPr="00222597">
        <w:t xml:space="preserve"> would substitute for</w:t>
      </w:r>
      <w:r w:rsidR="004D3E4D" w:rsidRPr="00222597">
        <w:t>:</w:t>
      </w:r>
      <w:r w:rsidRPr="00222597">
        <w:t xml:space="preserve"> </w:t>
      </w:r>
    </w:p>
    <w:p w:rsidR="00D647CD" w:rsidRPr="00222597" w:rsidRDefault="00D647CD" w:rsidP="00F15765">
      <w:pPr>
        <w:pStyle w:val="ListParagraph"/>
        <w:numPr>
          <w:ilvl w:val="0"/>
          <w:numId w:val="46"/>
        </w:numPr>
      </w:pPr>
      <w:proofErr w:type="spellStart"/>
      <w:r w:rsidRPr="00222597">
        <w:t>Gosere</w:t>
      </w:r>
      <w:r w:rsidR="00180BC7" w:rsidRPr="00222597">
        <w:t>lin</w:t>
      </w:r>
      <w:proofErr w:type="spellEnd"/>
      <w:r w:rsidR="00180BC7" w:rsidRPr="00222597">
        <w:t xml:space="preserve"> in the case of </w:t>
      </w:r>
      <w:r w:rsidR="00222597">
        <w:t>short-term</w:t>
      </w:r>
      <w:r w:rsidRPr="00222597">
        <w:t xml:space="preserve"> </w:t>
      </w:r>
      <w:r w:rsidR="00056500" w:rsidRPr="00030326">
        <w:t xml:space="preserve">or </w:t>
      </w:r>
      <w:r w:rsidRPr="00030326">
        <w:t>pre-surgical use (</w:t>
      </w:r>
      <w:r w:rsidR="00B958BE" w:rsidRPr="00F368D9">
        <w:t>C</w:t>
      </w:r>
      <w:r w:rsidR="004D3E4D" w:rsidRPr="00222597">
        <w:t xml:space="preserve">linical </w:t>
      </w:r>
      <w:r w:rsidRPr="00222597">
        <w:t>scenario 1 above), and</w:t>
      </w:r>
    </w:p>
    <w:p w:rsidR="00D647CD" w:rsidRPr="00222597" w:rsidRDefault="00D647CD" w:rsidP="00F15765">
      <w:pPr>
        <w:pStyle w:val="ListParagraph"/>
        <w:numPr>
          <w:ilvl w:val="0"/>
          <w:numId w:val="46"/>
        </w:numPr>
      </w:pPr>
      <w:proofErr w:type="spellStart"/>
      <w:r w:rsidRPr="00222597">
        <w:t>Goserelin</w:t>
      </w:r>
      <w:proofErr w:type="spellEnd"/>
      <w:r w:rsidR="004913B5" w:rsidRPr="00222597">
        <w:t xml:space="preserve"> </w:t>
      </w:r>
      <w:r w:rsidRPr="00222597">
        <w:t>in conjunctio</w:t>
      </w:r>
      <w:r w:rsidR="004913B5" w:rsidRPr="00222597">
        <w:t>n with hormonal add-back therapy</w:t>
      </w:r>
      <w:r w:rsidR="00B41D61" w:rsidRPr="00222597">
        <w:t xml:space="preserve"> (ongoing use)</w:t>
      </w:r>
      <w:r w:rsidRPr="00222597">
        <w:t>,</w:t>
      </w:r>
      <w:r w:rsidR="00B958BE" w:rsidRPr="00222597">
        <w:t xml:space="preserve"> for</w:t>
      </w:r>
      <w:r w:rsidRPr="00222597">
        <w:t xml:space="preserve"> </w:t>
      </w:r>
      <w:r w:rsidR="0099422D" w:rsidRPr="00222597">
        <w:t xml:space="preserve">medium to </w:t>
      </w:r>
      <w:r w:rsidR="00222597" w:rsidRPr="00222597">
        <w:t>long-term</w:t>
      </w:r>
      <w:r w:rsidRPr="00222597">
        <w:t xml:space="preserve"> use (</w:t>
      </w:r>
      <w:r w:rsidR="00B958BE" w:rsidRPr="00222597">
        <w:t>C</w:t>
      </w:r>
      <w:r w:rsidR="004D3E4D" w:rsidRPr="00222597">
        <w:t xml:space="preserve">linical </w:t>
      </w:r>
      <w:r w:rsidRPr="00222597">
        <w:t>scenarios 2-4 above).</w:t>
      </w:r>
    </w:p>
    <w:p w:rsidR="00D647CD" w:rsidRPr="00222597" w:rsidRDefault="00D647CD" w:rsidP="00D647CD">
      <w:pPr>
        <w:pStyle w:val="ListParagraph"/>
        <w:widowControl/>
        <w:rPr>
          <w:szCs w:val="22"/>
        </w:rPr>
      </w:pPr>
    </w:p>
    <w:p w:rsidR="001108BA" w:rsidRPr="00222597" w:rsidRDefault="00056500" w:rsidP="001108BA">
      <w:pPr>
        <w:pStyle w:val="ListParagraph"/>
        <w:numPr>
          <w:ilvl w:val="1"/>
          <w:numId w:val="3"/>
        </w:numPr>
        <w:rPr>
          <w:szCs w:val="22"/>
        </w:rPr>
      </w:pPr>
      <w:proofErr w:type="spellStart"/>
      <w:r w:rsidRPr="00222597">
        <w:rPr>
          <w:szCs w:val="22"/>
        </w:rPr>
        <w:t>Goserelin</w:t>
      </w:r>
      <w:proofErr w:type="spellEnd"/>
      <w:r w:rsidRPr="00222597">
        <w:rPr>
          <w:szCs w:val="22"/>
        </w:rPr>
        <w:t xml:space="preserve"> is currently listed on the </w:t>
      </w:r>
      <w:r w:rsidR="00E8200D" w:rsidRPr="00222597">
        <w:rPr>
          <w:szCs w:val="22"/>
        </w:rPr>
        <w:t>PBS</w:t>
      </w:r>
      <w:r w:rsidRPr="00222597">
        <w:rPr>
          <w:szCs w:val="22"/>
        </w:rPr>
        <w:t xml:space="preserve"> for the treatment of carcinoma of the prostate, </w:t>
      </w:r>
      <w:r w:rsidR="008142CD" w:rsidRPr="00222597">
        <w:rPr>
          <w:szCs w:val="22"/>
        </w:rPr>
        <w:t xml:space="preserve">endometriosis </w:t>
      </w:r>
      <w:r w:rsidRPr="00222597">
        <w:rPr>
          <w:szCs w:val="22"/>
        </w:rPr>
        <w:t>and breast cancer; it is not listed on the PBS for the treatment of uterine fibroids.</w:t>
      </w:r>
    </w:p>
    <w:p w:rsidR="00060F5D" w:rsidRPr="00222597" w:rsidRDefault="00060F5D" w:rsidP="001F54FF">
      <w:pPr>
        <w:pStyle w:val="ListParagraph"/>
        <w:rPr>
          <w:szCs w:val="22"/>
        </w:rPr>
      </w:pPr>
    </w:p>
    <w:p w:rsidR="001108BA" w:rsidRPr="00222597" w:rsidRDefault="001108BA" w:rsidP="001108BA">
      <w:pPr>
        <w:pStyle w:val="ListParagraph"/>
        <w:numPr>
          <w:ilvl w:val="1"/>
          <w:numId w:val="3"/>
        </w:numPr>
        <w:rPr>
          <w:szCs w:val="22"/>
        </w:rPr>
      </w:pPr>
      <w:r w:rsidRPr="00222597">
        <w:rPr>
          <w:szCs w:val="22"/>
        </w:rPr>
        <w:t xml:space="preserve">The sponsor </w:t>
      </w:r>
      <w:r w:rsidR="003B5A49" w:rsidRPr="00222597">
        <w:rPr>
          <w:szCs w:val="22"/>
        </w:rPr>
        <w:t>stated</w:t>
      </w:r>
      <w:r w:rsidRPr="00222597">
        <w:rPr>
          <w:szCs w:val="22"/>
        </w:rPr>
        <w:t xml:space="preserve"> in the PSCR that PBS and private </w:t>
      </w:r>
      <w:proofErr w:type="spellStart"/>
      <w:r w:rsidRPr="00222597">
        <w:rPr>
          <w:szCs w:val="22"/>
        </w:rPr>
        <w:t>goserelin</w:t>
      </w:r>
      <w:proofErr w:type="spellEnd"/>
      <w:r w:rsidRPr="00222597">
        <w:rPr>
          <w:szCs w:val="22"/>
        </w:rPr>
        <w:t xml:space="preserve"> prescribing occurs for uterine fibroids in practice. The ESC </w:t>
      </w:r>
      <w:r w:rsidR="003B5A49" w:rsidRPr="00222597">
        <w:rPr>
          <w:szCs w:val="22"/>
        </w:rPr>
        <w:t>noted</w:t>
      </w:r>
      <w:r w:rsidRPr="00222597">
        <w:rPr>
          <w:szCs w:val="22"/>
        </w:rPr>
        <w:t xml:space="preserve"> that supportive evidence for this claim </w:t>
      </w:r>
      <w:r w:rsidR="00DF18EB" w:rsidRPr="00222597">
        <w:rPr>
          <w:szCs w:val="22"/>
        </w:rPr>
        <w:t>w</w:t>
      </w:r>
      <w:r w:rsidRPr="00222597">
        <w:rPr>
          <w:szCs w:val="22"/>
        </w:rPr>
        <w:t>as not provided.</w:t>
      </w:r>
      <w:r w:rsidR="00606F88" w:rsidRPr="00222597">
        <w:rPr>
          <w:szCs w:val="22"/>
        </w:rPr>
        <w:t xml:space="preserve"> The PBAC noted that this was not addressed in the </w:t>
      </w:r>
      <w:r w:rsidR="007142C5">
        <w:rPr>
          <w:szCs w:val="22"/>
        </w:rPr>
        <w:t>Pre-PBAC</w:t>
      </w:r>
      <w:r w:rsidR="00606F88" w:rsidRPr="00222597">
        <w:rPr>
          <w:szCs w:val="22"/>
        </w:rPr>
        <w:t xml:space="preserve"> response.</w:t>
      </w:r>
    </w:p>
    <w:p w:rsidR="005C5376" w:rsidRPr="00222597" w:rsidRDefault="005C5376" w:rsidP="005C5376">
      <w:pPr>
        <w:pStyle w:val="ListParagraph"/>
        <w:widowControl/>
        <w:rPr>
          <w:szCs w:val="22"/>
        </w:rPr>
      </w:pPr>
    </w:p>
    <w:p w:rsidR="003D2C6D" w:rsidRPr="00222597" w:rsidRDefault="003D2C6D" w:rsidP="00F15765">
      <w:pPr>
        <w:pStyle w:val="ListParagraph"/>
        <w:widowControl/>
        <w:numPr>
          <w:ilvl w:val="1"/>
          <w:numId w:val="3"/>
        </w:numPr>
        <w:rPr>
          <w:szCs w:val="22"/>
        </w:rPr>
      </w:pPr>
      <w:r w:rsidRPr="00222597">
        <w:t xml:space="preserve">For the </w:t>
      </w:r>
      <w:r w:rsidR="00222597" w:rsidRPr="00222597">
        <w:t>short-term</w:t>
      </w:r>
      <w:r w:rsidRPr="00222597">
        <w:t xml:space="preserve"> use of </w:t>
      </w:r>
      <w:proofErr w:type="spellStart"/>
      <w:r w:rsidRPr="00222597">
        <w:t>ulipristal</w:t>
      </w:r>
      <w:proofErr w:type="spellEnd"/>
      <w:r w:rsidRPr="00222597">
        <w:t xml:space="preserve"> in patients planning surgery, </w:t>
      </w:r>
      <w:proofErr w:type="spellStart"/>
      <w:r w:rsidRPr="00222597">
        <w:t>g</w:t>
      </w:r>
      <w:r w:rsidR="00D647CD" w:rsidRPr="00222597">
        <w:t>oserelin</w:t>
      </w:r>
      <w:proofErr w:type="spellEnd"/>
      <w:r w:rsidR="00D647CD" w:rsidRPr="00222597">
        <w:t xml:space="preserve"> </w:t>
      </w:r>
      <w:r w:rsidR="0099422D" w:rsidRPr="00222597">
        <w:t>is</w:t>
      </w:r>
      <w:r w:rsidR="00D647CD" w:rsidRPr="00222597">
        <w:t xml:space="preserve"> an appropriate comparator,</w:t>
      </w:r>
      <w:r w:rsidRPr="00222597">
        <w:t xml:space="preserve"> as</w:t>
      </w:r>
      <w:r w:rsidR="00D647CD" w:rsidRPr="00222597">
        <w:t xml:space="preserve"> </w:t>
      </w:r>
      <w:r w:rsidRPr="00222597">
        <w:t xml:space="preserve">the TGA indication for </w:t>
      </w:r>
      <w:proofErr w:type="spellStart"/>
      <w:r w:rsidRPr="00222597">
        <w:t>goserelin</w:t>
      </w:r>
      <w:proofErr w:type="spellEnd"/>
      <w:r w:rsidRPr="00222597">
        <w:t xml:space="preserve"> </w:t>
      </w:r>
      <w:r w:rsidR="00180BC7" w:rsidRPr="00222597">
        <w:t xml:space="preserve">includes its use in the management of uterine fibroids </w:t>
      </w:r>
      <w:r w:rsidRPr="00222597">
        <w:t>as an adjunct to surgery to fac</w:t>
      </w:r>
      <w:r w:rsidR="00180BC7" w:rsidRPr="00222597">
        <w:t>ilitate the operative technique</w:t>
      </w:r>
      <w:r w:rsidRPr="00222597">
        <w:t xml:space="preserve"> and reduce operative blood loss. As the aims of pre-operative use of </w:t>
      </w:r>
      <w:proofErr w:type="spellStart"/>
      <w:r w:rsidRPr="00222597">
        <w:t>goserelin</w:t>
      </w:r>
      <w:proofErr w:type="spellEnd"/>
      <w:r w:rsidRPr="00222597">
        <w:t xml:space="preserve"> include facilitating the operative technique and reducing operative blood loss, the relevant comparison </w:t>
      </w:r>
      <w:r w:rsidR="0099422D" w:rsidRPr="00222597">
        <w:t>would be</w:t>
      </w:r>
      <w:r w:rsidRPr="00222597">
        <w:t xml:space="preserve"> </w:t>
      </w:r>
      <w:proofErr w:type="spellStart"/>
      <w:r w:rsidRPr="00222597">
        <w:t>ulipristal</w:t>
      </w:r>
      <w:proofErr w:type="spellEnd"/>
      <w:r w:rsidRPr="00222597">
        <w:t xml:space="preserve"> followed by surgery versus </w:t>
      </w:r>
      <w:proofErr w:type="spellStart"/>
      <w:r w:rsidRPr="00222597">
        <w:t>goserelin</w:t>
      </w:r>
      <w:proofErr w:type="spellEnd"/>
      <w:r w:rsidRPr="00222597">
        <w:t xml:space="preserve"> followed by surgery. Surgery with no pre-treatment may also be an appropriate comparator in this setting.</w:t>
      </w:r>
      <w:r w:rsidR="00060F5D" w:rsidRPr="00222597">
        <w:t xml:space="preserve"> The sponsor agreed with this suggestion in the </w:t>
      </w:r>
      <w:proofErr w:type="gramStart"/>
      <w:r w:rsidR="00060F5D" w:rsidRPr="00222597">
        <w:t>PSCR</w:t>
      </w:r>
      <w:r w:rsidR="00003642" w:rsidRPr="00222597">
        <w:t xml:space="preserve"> </w:t>
      </w:r>
      <w:r w:rsidR="00DF18EB" w:rsidRPr="00222597">
        <w:t xml:space="preserve"> however</w:t>
      </w:r>
      <w:proofErr w:type="gramEnd"/>
      <w:r w:rsidR="00DF18EB" w:rsidRPr="00222597">
        <w:t xml:space="preserve">, no </w:t>
      </w:r>
      <w:r w:rsidR="00640DDE" w:rsidRPr="00222597">
        <w:t xml:space="preserve">surgical outcome </w:t>
      </w:r>
      <w:r w:rsidR="00DF18EB" w:rsidRPr="00222597">
        <w:t>data were provided to enable this comparison</w:t>
      </w:r>
      <w:r w:rsidR="00060F5D" w:rsidRPr="00222597">
        <w:t xml:space="preserve">. </w:t>
      </w:r>
    </w:p>
    <w:p w:rsidR="003D2C6D" w:rsidRPr="00222597" w:rsidRDefault="003D2C6D" w:rsidP="003D2C6D">
      <w:pPr>
        <w:pStyle w:val="ListParagraph"/>
        <w:widowControl/>
        <w:rPr>
          <w:szCs w:val="22"/>
        </w:rPr>
      </w:pPr>
    </w:p>
    <w:p w:rsidR="00FA0CDA" w:rsidRPr="00222597" w:rsidRDefault="00637C79" w:rsidP="00617971">
      <w:pPr>
        <w:pStyle w:val="ListParagraph"/>
        <w:widowControl/>
        <w:numPr>
          <w:ilvl w:val="1"/>
          <w:numId w:val="3"/>
        </w:numPr>
        <w:rPr>
          <w:szCs w:val="22"/>
        </w:rPr>
      </w:pPr>
      <w:r w:rsidRPr="00222597">
        <w:t xml:space="preserve">The evaluation and the ESC </w:t>
      </w:r>
      <w:r w:rsidR="00234593" w:rsidRPr="00222597">
        <w:t xml:space="preserve">noted </w:t>
      </w:r>
      <w:r w:rsidRPr="00222597">
        <w:t>that c</w:t>
      </w:r>
      <w:r w:rsidR="00B958BE" w:rsidRPr="00222597">
        <w:t>ontinuous m</w:t>
      </w:r>
      <w:r w:rsidR="00937070" w:rsidRPr="00222597">
        <w:t xml:space="preserve">edium-long term use of </w:t>
      </w:r>
      <w:proofErr w:type="spellStart"/>
      <w:r w:rsidR="00937070" w:rsidRPr="00222597">
        <w:t>g</w:t>
      </w:r>
      <w:r w:rsidR="003D2C6D" w:rsidRPr="00222597">
        <w:t>oserelin</w:t>
      </w:r>
      <w:proofErr w:type="spellEnd"/>
      <w:r w:rsidR="00937070" w:rsidRPr="00222597">
        <w:t>,</w:t>
      </w:r>
      <w:r w:rsidR="003D2C6D" w:rsidRPr="00222597">
        <w:t xml:space="preserve"> with or without add-back therapy</w:t>
      </w:r>
      <w:r w:rsidR="00937070" w:rsidRPr="00222597">
        <w:t>,</w:t>
      </w:r>
      <w:r w:rsidR="003D2C6D" w:rsidRPr="00222597">
        <w:t xml:space="preserve"> </w:t>
      </w:r>
      <w:r w:rsidR="00937070" w:rsidRPr="00222597">
        <w:t>was not considered</w:t>
      </w:r>
      <w:r w:rsidR="00D647CD" w:rsidRPr="00222597">
        <w:t xml:space="preserve"> an appropriate comparator for repeated intermittent use of </w:t>
      </w:r>
      <w:proofErr w:type="spellStart"/>
      <w:r w:rsidR="00D647CD" w:rsidRPr="00222597">
        <w:t>ulipristal</w:t>
      </w:r>
      <w:proofErr w:type="spellEnd"/>
      <w:r w:rsidR="00D647CD" w:rsidRPr="00222597">
        <w:t xml:space="preserve">. The Product Information (PI) </w:t>
      </w:r>
      <w:r w:rsidR="006D1D82" w:rsidRPr="00222597">
        <w:t>for</w:t>
      </w:r>
      <w:r w:rsidR="00D647CD" w:rsidRPr="00222597">
        <w:t xml:space="preserve"> </w:t>
      </w:r>
      <w:proofErr w:type="spellStart"/>
      <w:r w:rsidR="00D647CD" w:rsidRPr="00222597">
        <w:t>goserelin</w:t>
      </w:r>
      <w:proofErr w:type="spellEnd"/>
      <w:r w:rsidR="00D647CD" w:rsidRPr="00222597">
        <w:t xml:space="preserve"> states that</w:t>
      </w:r>
      <w:r w:rsidR="006D1D82" w:rsidRPr="00222597">
        <w:t>,</w:t>
      </w:r>
      <w:r w:rsidR="00D647CD" w:rsidRPr="00222597">
        <w:t xml:space="preserve"> in the treatment of uterine fibroids, </w:t>
      </w:r>
      <w:proofErr w:type="spellStart"/>
      <w:r w:rsidR="00D647CD" w:rsidRPr="00222597">
        <w:t>goserelin</w:t>
      </w:r>
      <w:proofErr w:type="spellEnd"/>
      <w:r w:rsidR="00D647CD" w:rsidRPr="00222597">
        <w:t xml:space="preserve"> may be used for a period of 3 to 6 months. </w:t>
      </w:r>
      <w:r w:rsidR="00484D43" w:rsidRPr="00222597">
        <w:t>This is consistent with recommendations in current evidence-based clinical management guidelines</w:t>
      </w:r>
      <w:r w:rsidR="00484D43" w:rsidRPr="00222597">
        <w:rPr>
          <w:rStyle w:val="FootnoteReference"/>
        </w:rPr>
        <w:footnoteReference w:id="1"/>
      </w:r>
      <w:r w:rsidR="00484D43" w:rsidRPr="00222597">
        <w:t>.</w:t>
      </w:r>
      <w:r w:rsidR="0027045A" w:rsidRPr="00222597">
        <w:t xml:space="preserve"> The PSCR cited several examples from previous PBAC considerations of other </w:t>
      </w:r>
      <w:r w:rsidR="00222597" w:rsidRPr="00222597">
        <w:t>medicines that</w:t>
      </w:r>
      <w:r w:rsidR="008E7AA6" w:rsidRPr="00222597">
        <w:t xml:space="preserve"> </w:t>
      </w:r>
      <w:r w:rsidR="0027045A" w:rsidRPr="00222597">
        <w:t xml:space="preserve">were </w:t>
      </w:r>
      <w:r w:rsidR="008E7AA6" w:rsidRPr="00222597">
        <w:t>accepted as comparators</w:t>
      </w:r>
      <w:r w:rsidR="008142CD" w:rsidRPr="00222597">
        <w:t xml:space="preserve"> despite not being </w:t>
      </w:r>
      <w:r w:rsidR="0027045A" w:rsidRPr="00222597">
        <w:t xml:space="preserve">PBS listed </w:t>
      </w:r>
      <w:r w:rsidR="008142CD" w:rsidRPr="00222597">
        <w:t>and/</w:t>
      </w:r>
      <w:r w:rsidR="0027045A" w:rsidRPr="00222597">
        <w:t>or TGA registere</w:t>
      </w:r>
      <w:r w:rsidR="008E7AA6" w:rsidRPr="00222597">
        <w:t>d</w:t>
      </w:r>
      <w:r w:rsidR="0027045A" w:rsidRPr="00222597">
        <w:t xml:space="preserve"> for the indication in question</w:t>
      </w:r>
      <w:r w:rsidR="008E7AA6" w:rsidRPr="00222597">
        <w:t>.</w:t>
      </w:r>
      <w:r w:rsidR="0027045A" w:rsidRPr="00222597">
        <w:t xml:space="preserve"> </w:t>
      </w:r>
      <w:r w:rsidR="006B4907" w:rsidRPr="00222597">
        <w:t>While the</w:t>
      </w:r>
      <w:r w:rsidR="0027045A" w:rsidRPr="00222597">
        <w:t xml:space="preserve"> ESC </w:t>
      </w:r>
      <w:r w:rsidR="00A3743C" w:rsidRPr="00222597">
        <w:t xml:space="preserve">noted </w:t>
      </w:r>
      <w:r w:rsidR="006B4907" w:rsidRPr="00222597">
        <w:t>these examples</w:t>
      </w:r>
      <w:r w:rsidR="004A619A" w:rsidRPr="00222597">
        <w:t>,</w:t>
      </w:r>
      <w:r w:rsidR="0027045A" w:rsidRPr="00222597">
        <w:t xml:space="preserve"> detailed clinical evidence to support the </w:t>
      </w:r>
      <w:r w:rsidR="006B4907" w:rsidRPr="00222597">
        <w:t xml:space="preserve">claimed </w:t>
      </w:r>
      <w:r w:rsidR="0027045A" w:rsidRPr="00222597">
        <w:t xml:space="preserve">use </w:t>
      </w:r>
      <w:r w:rsidR="006B4907" w:rsidRPr="00222597">
        <w:t xml:space="preserve">of </w:t>
      </w:r>
      <w:proofErr w:type="spellStart"/>
      <w:r w:rsidR="006B4907" w:rsidRPr="00222597">
        <w:t>goserelin</w:t>
      </w:r>
      <w:proofErr w:type="spellEnd"/>
      <w:r w:rsidR="006B4907" w:rsidRPr="00222597">
        <w:t xml:space="preserve"> </w:t>
      </w:r>
      <w:r w:rsidR="0027045A" w:rsidRPr="00222597">
        <w:t>outside of</w:t>
      </w:r>
      <w:r w:rsidR="008E7AA6" w:rsidRPr="00222597">
        <w:t xml:space="preserve"> the</w:t>
      </w:r>
      <w:r w:rsidR="0027045A" w:rsidRPr="00222597">
        <w:t xml:space="preserve"> </w:t>
      </w:r>
      <w:r w:rsidR="006B4907" w:rsidRPr="00222597">
        <w:t xml:space="preserve">TGA registration or PBS </w:t>
      </w:r>
      <w:r w:rsidR="0027045A" w:rsidRPr="00222597">
        <w:t xml:space="preserve">listing </w:t>
      </w:r>
      <w:r w:rsidR="006B4907" w:rsidRPr="00222597">
        <w:t xml:space="preserve">in Australian clinical practice </w:t>
      </w:r>
      <w:r w:rsidR="003F24C9" w:rsidRPr="00222597">
        <w:t>was</w:t>
      </w:r>
      <w:r w:rsidR="006B4907" w:rsidRPr="00222597">
        <w:t xml:space="preserve"> not </w:t>
      </w:r>
      <w:r w:rsidR="0027045A" w:rsidRPr="00222597">
        <w:t xml:space="preserve">provided by the sponsor. The ESC </w:t>
      </w:r>
      <w:r w:rsidR="00DB30FD" w:rsidRPr="00222597">
        <w:t xml:space="preserve">further </w:t>
      </w:r>
      <w:r w:rsidR="0027045A" w:rsidRPr="00222597">
        <w:t xml:space="preserve">noted that the claim of </w:t>
      </w:r>
      <w:proofErr w:type="spellStart"/>
      <w:r w:rsidR="0027045A" w:rsidRPr="00222597">
        <w:t>goser</w:t>
      </w:r>
      <w:r w:rsidR="00E2499D" w:rsidRPr="00222597">
        <w:t>e</w:t>
      </w:r>
      <w:r w:rsidR="0027045A" w:rsidRPr="00222597">
        <w:t>lin</w:t>
      </w:r>
      <w:proofErr w:type="spellEnd"/>
      <w:r w:rsidR="0027045A" w:rsidRPr="00222597">
        <w:t xml:space="preserve"> use with or without </w:t>
      </w:r>
      <w:proofErr w:type="spellStart"/>
      <w:r w:rsidR="0027045A" w:rsidRPr="00222597">
        <w:t>tibolone</w:t>
      </w:r>
      <w:proofErr w:type="spellEnd"/>
      <w:r w:rsidR="00E2499D" w:rsidRPr="00222597">
        <w:t xml:space="preserve"> </w:t>
      </w:r>
      <w:r w:rsidR="0027045A" w:rsidRPr="00222597">
        <w:t xml:space="preserve">for medium to </w:t>
      </w:r>
      <w:r w:rsidR="00222597" w:rsidRPr="00222597">
        <w:t>long-term</w:t>
      </w:r>
      <w:r w:rsidR="0027045A" w:rsidRPr="00222597">
        <w:t xml:space="preserve"> treatment of uterine fibroids was not supported by</w:t>
      </w:r>
      <w:r w:rsidR="00E02F63" w:rsidRPr="00222597">
        <w:t xml:space="preserve"> sufficient clinical evidence.</w:t>
      </w:r>
      <w:r w:rsidR="00484D43" w:rsidRPr="00222597">
        <w:t xml:space="preserve"> For </w:t>
      </w:r>
      <w:r w:rsidR="00D647CD" w:rsidRPr="00222597">
        <w:t xml:space="preserve">medium to </w:t>
      </w:r>
      <w:r w:rsidR="00222597" w:rsidRPr="00222597">
        <w:t>long-term</w:t>
      </w:r>
      <w:r w:rsidR="00D647CD" w:rsidRPr="00222597">
        <w:t xml:space="preserve"> use of </w:t>
      </w:r>
      <w:proofErr w:type="spellStart"/>
      <w:r w:rsidR="00D647CD" w:rsidRPr="00222597">
        <w:t>ulipristal</w:t>
      </w:r>
      <w:proofErr w:type="spellEnd"/>
      <w:r w:rsidR="00D647CD" w:rsidRPr="00222597">
        <w:t xml:space="preserve">, </w:t>
      </w:r>
      <w:r w:rsidR="00937070" w:rsidRPr="00222597">
        <w:t xml:space="preserve">it was suggested that </w:t>
      </w:r>
      <w:r w:rsidR="00D647CD" w:rsidRPr="00222597">
        <w:t xml:space="preserve">surgery </w:t>
      </w:r>
      <w:r w:rsidR="00FB5C0D" w:rsidRPr="00222597">
        <w:t xml:space="preserve">(with or without prior </w:t>
      </w:r>
      <w:r w:rsidR="00222597" w:rsidRPr="00222597">
        <w:t>short-term</w:t>
      </w:r>
      <w:r w:rsidR="00484D43" w:rsidRPr="00222597">
        <w:t xml:space="preserve"> </w:t>
      </w:r>
      <w:proofErr w:type="spellStart"/>
      <w:r w:rsidR="00FB5C0D" w:rsidRPr="00222597">
        <w:t>goserelin</w:t>
      </w:r>
      <w:proofErr w:type="spellEnd"/>
      <w:r w:rsidR="00FB5C0D" w:rsidRPr="00222597">
        <w:t xml:space="preserve"> therapy) </w:t>
      </w:r>
      <w:r w:rsidR="00286293" w:rsidRPr="00222597">
        <w:t xml:space="preserve">and other interventions (including uterine artery </w:t>
      </w:r>
      <w:proofErr w:type="spellStart"/>
      <w:r w:rsidR="00286293" w:rsidRPr="00222597">
        <w:t>embolisation</w:t>
      </w:r>
      <w:proofErr w:type="spellEnd"/>
      <w:r w:rsidR="008670BB" w:rsidRPr="00222597">
        <w:t>)</w:t>
      </w:r>
      <w:r w:rsidR="00286293" w:rsidRPr="00222597">
        <w:t xml:space="preserve"> </w:t>
      </w:r>
      <w:r w:rsidR="00937070" w:rsidRPr="00222597">
        <w:t>may b</w:t>
      </w:r>
      <w:r w:rsidR="00D647CD" w:rsidRPr="00222597">
        <w:t>e more appropriate comparator</w:t>
      </w:r>
      <w:r w:rsidR="00286293" w:rsidRPr="00222597">
        <w:t>s</w:t>
      </w:r>
      <w:r w:rsidR="00D647CD" w:rsidRPr="00222597">
        <w:t xml:space="preserve">. </w:t>
      </w:r>
      <w:r w:rsidR="00E911D4" w:rsidRPr="00222597">
        <w:t xml:space="preserve">Given the sponsor </w:t>
      </w:r>
      <w:r w:rsidR="002603A6" w:rsidRPr="00222597">
        <w:t>requested removal of medium and</w:t>
      </w:r>
      <w:r w:rsidR="00E911D4" w:rsidRPr="00222597">
        <w:t xml:space="preserve"> </w:t>
      </w:r>
      <w:r w:rsidR="00222597" w:rsidRPr="00222597">
        <w:t>long-term</w:t>
      </w:r>
      <w:r w:rsidR="00E911D4" w:rsidRPr="00222597">
        <w:t xml:space="preserve"> use of </w:t>
      </w:r>
      <w:proofErr w:type="spellStart"/>
      <w:r w:rsidR="00E911D4" w:rsidRPr="00222597">
        <w:t>ulipristal</w:t>
      </w:r>
      <w:proofErr w:type="spellEnd"/>
      <w:r w:rsidR="00AE59BD" w:rsidRPr="00222597">
        <w:t xml:space="preserve"> from the submission</w:t>
      </w:r>
      <w:r w:rsidR="00E911D4" w:rsidRPr="00222597">
        <w:t xml:space="preserve">, the PBAC did not </w:t>
      </w:r>
      <w:r w:rsidR="002603A6" w:rsidRPr="00222597">
        <w:t>nominate</w:t>
      </w:r>
      <w:r w:rsidR="00E911D4" w:rsidRPr="00222597">
        <w:t xml:space="preserve"> </w:t>
      </w:r>
      <w:r w:rsidR="00CF1246" w:rsidRPr="00222597">
        <w:t>comparator</w:t>
      </w:r>
      <w:r w:rsidR="00285E59" w:rsidRPr="00222597">
        <w:t>s</w:t>
      </w:r>
      <w:r w:rsidR="00CF1246" w:rsidRPr="00222597">
        <w:t xml:space="preserve"> for the medium</w:t>
      </w:r>
      <w:r w:rsidR="00DF18EB" w:rsidRPr="00222597">
        <w:t xml:space="preserve"> to </w:t>
      </w:r>
      <w:r w:rsidR="00222597" w:rsidRPr="00222597">
        <w:t>long-term</w:t>
      </w:r>
      <w:r w:rsidR="00CF1246" w:rsidRPr="00222597">
        <w:t xml:space="preserve"> use of </w:t>
      </w:r>
      <w:proofErr w:type="spellStart"/>
      <w:r w:rsidR="00CF1246" w:rsidRPr="00222597">
        <w:t>ulipristal</w:t>
      </w:r>
      <w:proofErr w:type="spellEnd"/>
      <w:r w:rsidR="002603A6" w:rsidRPr="00222597">
        <w:t xml:space="preserve">, however they did consider that </w:t>
      </w:r>
      <w:proofErr w:type="spellStart"/>
      <w:r w:rsidR="002603A6" w:rsidRPr="00222597">
        <w:t>goserelin</w:t>
      </w:r>
      <w:proofErr w:type="spellEnd"/>
      <w:r w:rsidR="002603A6" w:rsidRPr="00222597">
        <w:t xml:space="preserve"> was not an appropriate comparator in these scenarios.</w:t>
      </w:r>
    </w:p>
    <w:p w:rsidR="0091051F" w:rsidRPr="00222597" w:rsidRDefault="0091051F" w:rsidP="0091051F">
      <w:pPr>
        <w:pStyle w:val="PBACHeading1"/>
        <w:numPr>
          <w:ilvl w:val="0"/>
          <w:numId w:val="0"/>
        </w:numPr>
        <w:ind w:left="720" w:hanging="720"/>
      </w:pPr>
    </w:p>
    <w:p w:rsidR="0091051F" w:rsidRPr="00222597" w:rsidRDefault="0091051F" w:rsidP="0091051F">
      <w:pPr>
        <w:rPr>
          <w:bCs/>
          <w:szCs w:val="22"/>
        </w:rPr>
      </w:pPr>
      <w:r w:rsidRPr="00222597">
        <w:rPr>
          <w:bCs/>
          <w:i/>
          <w:szCs w:val="22"/>
        </w:rPr>
        <w:t>For more detail on PBAC’s view, see section 7 “PBAC outcome”</w:t>
      </w:r>
    </w:p>
    <w:p w:rsidR="0091051F" w:rsidRPr="00222597" w:rsidRDefault="0091051F" w:rsidP="0091051F">
      <w:pPr>
        <w:pStyle w:val="PBACHeading1"/>
        <w:numPr>
          <w:ilvl w:val="0"/>
          <w:numId w:val="0"/>
        </w:numPr>
        <w:ind w:left="720" w:hanging="720"/>
      </w:pPr>
    </w:p>
    <w:p w:rsidR="00D647CD" w:rsidRPr="00222597" w:rsidRDefault="00D647CD" w:rsidP="00D647CD">
      <w:pPr>
        <w:pStyle w:val="ListParagraph"/>
        <w:widowControl/>
        <w:rPr>
          <w:szCs w:val="22"/>
        </w:rPr>
      </w:pPr>
    </w:p>
    <w:p w:rsidR="00D647CD" w:rsidRPr="00222597" w:rsidRDefault="00D647CD" w:rsidP="001466EA">
      <w:pPr>
        <w:pStyle w:val="Heading1"/>
      </w:pPr>
      <w:bookmarkStart w:id="7" w:name="_Toc451165138"/>
      <w:r w:rsidRPr="00222597">
        <w:t>Consideration of the evidence</w:t>
      </w:r>
      <w:bookmarkEnd w:id="7"/>
    </w:p>
    <w:p w:rsidR="00D647CD" w:rsidRPr="00222597" w:rsidRDefault="00D647CD" w:rsidP="00D647CD"/>
    <w:p w:rsidR="00F229F8" w:rsidRPr="001466EA" w:rsidRDefault="00F229F8" w:rsidP="001466EA">
      <w:pPr>
        <w:pStyle w:val="Heading2"/>
      </w:pPr>
      <w:r w:rsidRPr="001466EA">
        <w:t>Sponsor hearing</w:t>
      </w:r>
    </w:p>
    <w:p w:rsidR="00535173" w:rsidRPr="00222597" w:rsidRDefault="00535173" w:rsidP="00F229F8">
      <w:pPr>
        <w:rPr>
          <w:b/>
          <w:bCs/>
          <w:szCs w:val="22"/>
        </w:rPr>
      </w:pPr>
    </w:p>
    <w:p w:rsidR="00F229F8" w:rsidRPr="00222597" w:rsidRDefault="00F229F8" w:rsidP="009D4B2D">
      <w:pPr>
        <w:widowControl/>
        <w:numPr>
          <w:ilvl w:val="1"/>
          <w:numId w:val="3"/>
        </w:numPr>
        <w:spacing w:after="120"/>
        <w:jc w:val="left"/>
        <w:rPr>
          <w:bCs/>
          <w:szCs w:val="22"/>
        </w:rPr>
      </w:pPr>
      <w:r w:rsidRPr="00222597">
        <w:rPr>
          <w:bCs/>
          <w:szCs w:val="22"/>
        </w:rPr>
        <w:t>There was no hearing for this item.</w:t>
      </w:r>
      <w:r w:rsidR="009D4B2D" w:rsidRPr="00222597">
        <w:rPr>
          <w:bCs/>
          <w:szCs w:val="22"/>
        </w:rPr>
        <w:t xml:space="preserve"> </w:t>
      </w:r>
    </w:p>
    <w:p w:rsidR="007436BD" w:rsidRDefault="007436BD" w:rsidP="00F229F8">
      <w:pPr>
        <w:rPr>
          <w:b/>
          <w:bCs/>
          <w:szCs w:val="22"/>
        </w:rPr>
      </w:pPr>
    </w:p>
    <w:p w:rsidR="007436BD" w:rsidRDefault="007436BD">
      <w:pPr>
        <w:widowControl/>
        <w:jc w:val="left"/>
        <w:rPr>
          <w:b/>
          <w:bCs/>
          <w:szCs w:val="22"/>
        </w:rPr>
      </w:pPr>
      <w:r>
        <w:rPr>
          <w:b/>
          <w:bCs/>
          <w:szCs w:val="22"/>
        </w:rPr>
        <w:br w:type="page"/>
      </w:r>
    </w:p>
    <w:p w:rsidR="00F229F8" w:rsidRPr="00222597" w:rsidRDefault="00F229F8" w:rsidP="001466EA">
      <w:pPr>
        <w:pStyle w:val="Heading2"/>
      </w:pPr>
      <w:r w:rsidRPr="00222597">
        <w:t>Consumer comments</w:t>
      </w:r>
    </w:p>
    <w:p w:rsidR="00535173" w:rsidRPr="00222597" w:rsidRDefault="00535173" w:rsidP="00F229F8">
      <w:pPr>
        <w:rPr>
          <w:b/>
          <w:bCs/>
          <w:szCs w:val="22"/>
        </w:rPr>
      </w:pPr>
    </w:p>
    <w:p w:rsidR="00B902BF" w:rsidRPr="00222597" w:rsidRDefault="00B902BF" w:rsidP="00121E88">
      <w:pPr>
        <w:widowControl/>
        <w:numPr>
          <w:ilvl w:val="1"/>
          <w:numId w:val="3"/>
        </w:numPr>
        <w:spacing w:after="120"/>
      </w:pPr>
      <w:r w:rsidRPr="00222597">
        <w:rPr>
          <w:bCs/>
          <w:szCs w:val="22"/>
        </w:rPr>
        <w:t>The PBAC noted and welcomed the input from health care professionals (2) via the Consumer Comments facility on the PBS website</w:t>
      </w:r>
      <w:proofErr w:type="gramStart"/>
      <w:r w:rsidRPr="00222597">
        <w:rPr>
          <w:bCs/>
          <w:szCs w:val="22"/>
        </w:rPr>
        <w:t xml:space="preserve">.  </w:t>
      </w:r>
      <w:proofErr w:type="gramEnd"/>
      <w:r w:rsidRPr="00222597">
        <w:rPr>
          <w:bCs/>
          <w:szCs w:val="22"/>
        </w:rPr>
        <w:t xml:space="preserve">The comments described a range of benefits of treatment with </w:t>
      </w:r>
      <w:proofErr w:type="spellStart"/>
      <w:r w:rsidRPr="00222597">
        <w:rPr>
          <w:bCs/>
          <w:szCs w:val="22"/>
        </w:rPr>
        <w:t>ulipristal</w:t>
      </w:r>
      <w:proofErr w:type="spellEnd"/>
      <w:r w:rsidRPr="00222597">
        <w:rPr>
          <w:bCs/>
          <w:szCs w:val="22"/>
        </w:rPr>
        <w:t xml:space="preserve"> including fewer side effects compared to </w:t>
      </w:r>
      <w:proofErr w:type="spellStart"/>
      <w:r w:rsidRPr="00222597">
        <w:rPr>
          <w:bCs/>
          <w:szCs w:val="22"/>
        </w:rPr>
        <w:t>GnRH</w:t>
      </w:r>
      <w:proofErr w:type="spellEnd"/>
      <w:r w:rsidRPr="00222597">
        <w:rPr>
          <w:bCs/>
          <w:szCs w:val="22"/>
        </w:rPr>
        <w:t xml:space="preserve"> analogues, avoidance of surgery and significant improvements with menstrual symptoms. </w:t>
      </w:r>
      <w:r w:rsidR="002603A6" w:rsidRPr="00222597">
        <w:rPr>
          <w:bCs/>
          <w:szCs w:val="22"/>
        </w:rPr>
        <w:t>As stated in paragraph 4.6 above</w:t>
      </w:r>
      <w:r w:rsidR="003F24C9" w:rsidRPr="00222597">
        <w:rPr>
          <w:bCs/>
          <w:szCs w:val="22"/>
        </w:rPr>
        <w:t>,</w:t>
      </w:r>
      <w:r w:rsidR="002603A6" w:rsidRPr="00222597">
        <w:rPr>
          <w:bCs/>
          <w:szCs w:val="22"/>
        </w:rPr>
        <w:t xml:space="preserve"> RANZCOG provided clinical input </w:t>
      </w:r>
      <w:r w:rsidR="00A73C21">
        <w:rPr>
          <w:bCs/>
          <w:szCs w:val="22"/>
        </w:rPr>
        <w:t>regarding</w:t>
      </w:r>
      <w:r w:rsidR="00A73C21" w:rsidRPr="00222597">
        <w:rPr>
          <w:bCs/>
          <w:szCs w:val="22"/>
        </w:rPr>
        <w:t xml:space="preserve"> </w:t>
      </w:r>
      <w:r w:rsidR="002603A6" w:rsidRPr="00222597">
        <w:rPr>
          <w:bCs/>
          <w:szCs w:val="22"/>
        </w:rPr>
        <w:t xml:space="preserve">the likely use of and effectiveness of </w:t>
      </w:r>
      <w:proofErr w:type="spellStart"/>
      <w:r w:rsidR="002603A6" w:rsidRPr="00222597">
        <w:rPr>
          <w:bCs/>
          <w:szCs w:val="22"/>
        </w:rPr>
        <w:t>ulipristal</w:t>
      </w:r>
      <w:proofErr w:type="spellEnd"/>
      <w:r w:rsidR="002603A6" w:rsidRPr="00222597">
        <w:rPr>
          <w:bCs/>
          <w:szCs w:val="22"/>
        </w:rPr>
        <w:t xml:space="preserve"> in moderate to severe uterine fibroids.</w:t>
      </w:r>
    </w:p>
    <w:p w:rsidR="00D647CD" w:rsidRPr="00222597" w:rsidRDefault="00D647CD" w:rsidP="001466EA">
      <w:pPr>
        <w:pStyle w:val="Heading2"/>
      </w:pPr>
      <w:bookmarkStart w:id="8" w:name="_Toc451165139"/>
      <w:r w:rsidRPr="00222597">
        <w:t>Clinical trials</w:t>
      </w:r>
      <w:bookmarkEnd w:id="8"/>
    </w:p>
    <w:p w:rsidR="00D647CD" w:rsidRPr="00222597" w:rsidRDefault="00D647CD" w:rsidP="00D647CD">
      <w:pPr>
        <w:rPr>
          <w:szCs w:val="22"/>
        </w:rPr>
      </w:pPr>
    </w:p>
    <w:p w:rsidR="00897BA1" w:rsidRPr="00222597" w:rsidRDefault="00897BA1" w:rsidP="00F15765">
      <w:pPr>
        <w:pStyle w:val="ListParagraph"/>
        <w:widowControl/>
        <w:numPr>
          <w:ilvl w:val="1"/>
          <w:numId w:val="3"/>
        </w:numPr>
      </w:pPr>
      <w:r w:rsidRPr="00222597">
        <w:t xml:space="preserve">The submission did not provide either a direct or an indirect comparison of </w:t>
      </w:r>
      <w:proofErr w:type="spellStart"/>
      <w:r w:rsidRPr="00222597">
        <w:t>ulipristal</w:t>
      </w:r>
      <w:proofErr w:type="spellEnd"/>
      <w:r w:rsidRPr="00222597">
        <w:t xml:space="preserve"> versus the nominated comparator. The submission was based on two separate sets of studies of </w:t>
      </w:r>
      <w:proofErr w:type="spellStart"/>
      <w:r w:rsidRPr="00222597">
        <w:t>ulipristal</w:t>
      </w:r>
      <w:proofErr w:type="spellEnd"/>
      <w:r w:rsidRPr="00222597">
        <w:t xml:space="preserve"> and </w:t>
      </w:r>
      <w:proofErr w:type="spellStart"/>
      <w:r w:rsidRPr="00222597">
        <w:t>goserelin</w:t>
      </w:r>
      <w:proofErr w:type="spellEnd"/>
      <w:r w:rsidRPr="00222597">
        <w:t xml:space="preserve"> and stated that, given the significant heterogeneity in the design, comparator(s), patient population, duration of treatment and follow-up, outcomes evaluated, analysis and reporting protocols and general quality of the studies, no formal meta-analysis or indirect treatment comparison was attempted. </w:t>
      </w:r>
      <w:r w:rsidR="001608CB" w:rsidRPr="00222597">
        <w:t xml:space="preserve">Given the exchangeability and transitivity issues between the two evidence sets, this </w:t>
      </w:r>
      <w:r w:rsidR="00644264" w:rsidRPr="00222597">
        <w:t>i</w:t>
      </w:r>
      <w:r w:rsidR="001608CB" w:rsidRPr="00222597">
        <w:t xml:space="preserve">s reasonable. </w:t>
      </w:r>
    </w:p>
    <w:p w:rsidR="00D647CD" w:rsidRPr="00222597" w:rsidRDefault="00D647CD" w:rsidP="00D647CD">
      <w:pPr>
        <w:widowControl/>
        <w:rPr>
          <w:szCs w:val="22"/>
        </w:rPr>
      </w:pPr>
    </w:p>
    <w:p w:rsidR="00D647CD" w:rsidRPr="00222597" w:rsidRDefault="00D647CD" w:rsidP="00F15765">
      <w:pPr>
        <w:pStyle w:val="ListParagraph"/>
        <w:widowControl/>
        <w:numPr>
          <w:ilvl w:val="1"/>
          <w:numId w:val="3"/>
        </w:numPr>
        <w:rPr>
          <w:szCs w:val="22"/>
        </w:rPr>
      </w:pPr>
      <w:r w:rsidRPr="00222597">
        <w:rPr>
          <w:szCs w:val="22"/>
        </w:rPr>
        <w:t xml:space="preserve">Details of the studies presented in the submission are provided in the table below. </w:t>
      </w:r>
    </w:p>
    <w:p w:rsidR="003B5EAF" w:rsidRPr="00222597" w:rsidRDefault="003B5EAF">
      <w:pPr>
        <w:widowControl/>
        <w:jc w:val="left"/>
        <w:rPr>
          <w:szCs w:val="22"/>
        </w:rPr>
      </w:pPr>
    </w:p>
    <w:p w:rsidR="00D647CD" w:rsidRPr="00222597" w:rsidRDefault="00EE0855" w:rsidP="00D647CD">
      <w:pPr>
        <w:pStyle w:val="TableHeader"/>
        <w:ind w:firstLine="720"/>
      </w:pPr>
      <w:r w:rsidRPr="00222597">
        <w:t>Table 1</w:t>
      </w:r>
      <w:r w:rsidR="00D647CD" w:rsidRPr="00222597">
        <w:t>: Trials and associated reports presented in the submission</w:t>
      </w:r>
    </w:p>
    <w:tbl>
      <w:tblPr>
        <w:tblW w:w="4607" w:type="pct"/>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019"/>
        <w:gridCol w:w="3565"/>
        <w:gridCol w:w="3784"/>
      </w:tblGrid>
      <w:tr w:rsidR="00D647CD" w:rsidRPr="00222597" w:rsidTr="00763607">
        <w:trPr>
          <w:tblHeader/>
        </w:trPr>
        <w:tc>
          <w:tcPr>
            <w:tcW w:w="609" w:type="pct"/>
          </w:tcPr>
          <w:p w:rsidR="00D647CD" w:rsidRPr="00222597" w:rsidRDefault="00D647CD" w:rsidP="005C5376">
            <w:pPr>
              <w:jc w:val="left"/>
              <w:rPr>
                <w:rFonts w:ascii="Arial Narrow" w:hAnsi="Arial Narrow"/>
                <w:b/>
                <w:sz w:val="20"/>
              </w:rPr>
            </w:pPr>
            <w:r w:rsidRPr="00222597">
              <w:rPr>
                <w:rFonts w:ascii="Arial Narrow" w:hAnsi="Arial Narrow"/>
                <w:b/>
                <w:sz w:val="20"/>
              </w:rPr>
              <w:t>Trial ID</w:t>
            </w:r>
          </w:p>
        </w:tc>
        <w:tc>
          <w:tcPr>
            <w:tcW w:w="2130" w:type="pct"/>
          </w:tcPr>
          <w:p w:rsidR="00D647CD" w:rsidRPr="00222597" w:rsidRDefault="00D647CD" w:rsidP="005C5376">
            <w:pPr>
              <w:jc w:val="center"/>
              <w:rPr>
                <w:rFonts w:ascii="Arial Narrow" w:hAnsi="Arial Narrow"/>
                <w:b/>
                <w:sz w:val="20"/>
              </w:rPr>
            </w:pPr>
            <w:r w:rsidRPr="00222597">
              <w:rPr>
                <w:rFonts w:ascii="Arial Narrow" w:hAnsi="Arial Narrow"/>
                <w:b/>
                <w:sz w:val="20"/>
              </w:rPr>
              <w:t>Protocol title/ Publication title</w:t>
            </w:r>
          </w:p>
        </w:tc>
        <w:tc>
          <w:tcPr>
            <w:tcW w:w="2261" w:type="pct"/>
          </w:tcPr>
          <w:p w:rsidR="00D647CD" w:rsidRPr="00222597" w:rsidRDefault="00D647CD" w:rsidP="005C5376">
            <w:pPr>
              <w:jc w:val="center"/>
              <w:rPr>
                <w:rFonts w:ascii="Arial Narrow" w:hAnsi="Arial Narrow"/>
                <w:b/>
                <w:sz w:val="20"/>
              </w:rPr>
            </w:pPr>
            <w:r w:rsidRPr="00222597">
              <w:rPr>
                <w:rFonts w:ascii="Arial Narrow" w:hAnsi="Arial Narrow"/>
                <w:b/>
                <w:sz w:val="20"/>
              </w:rPr>
              <w:t>Publication citation</w:t>
            </w:r>
          </w:p>
        </w:tc>
      </w:tr>
      <w:tr w:rsidR="00D647CD" w:rsidRPr="00222597" w:rsidTr="00763607">
        <w:trPr>
          <w:tblHeader/>
        </w:trPr>
        <w:tc>
          <w:tcPr>
            <w:tcW w:w="5000" w:type="pct"/>
            <w:gridSpan w:val="3"/>
            <w:tcBorders>
              <w:bottom w:val="single" w:sz="4" w:space="0" w:color="auto"/>
            </w:tcBorders>
          </w:tcPr>
          <w:p w:rsidR="00D647CD" w:rsidRPr="00222597" w:rsidRDefault="00D647CD" w:rsidP="005C5376">
            <w:pPr>
              <w:jc w:val="left"/>
              <w:rPr>
                <w:rFonts w:ascii="Arial Narrow" w:hAnsi="Arial Narrow"/>
                <w:b/>
                <w:sz w:val="20"/>
              </w:rPr>
            </w:pPr>
            <w:proofErr w:type="spellStart"/>
            <w:r w:rsidRPr="00222597">
              <w:rPr>
                <w:rFonts w:ascii="Arial Narrow" w:hAnsi="Arial Narrow"/>
                <w:b/>
                <w:sz w:val="20"/>
              </w:rPr>
              <w:t>Ulipristal</w:t>
            </w:r>
            <w:proofErr w:type="spellEnd"/>
            <w:r w:rsidRPr="00222597">
              <w:rPr>
                <w:rFonts w:ascii="Arial Narrow" w:hAnsi="Arial Narrow"/>
                <w:b/>
                <w:sz w:val="20"/>
              </w:rPr>
              <w:t xml:space="preserve"> randomised trials</w:t>
            </w:r>
          </w:p>
        </w:tc>
      </w:tr>
      <w:tr w:rsidR="00D647CD" w:rsidRPr="00222597" w:rsidTr="00763607">
        <w:trPr>
          <w:tblHeader/>
        </w:trPr>
        <w:tc>
          <w:tcPr>
            <w:tcW w:w="609" w:type="pct"/>
            <w:tcBorders>
              <w:bottom w:val="nil"/>
            </w:tcBorders>
          </w:tcPr>
          <w:p w:rsidR="00D647CD" w:rsidRPr="00222597" w:rsidRDefault="00D647CD" w:rsidP="005C5376">
            <w:pPr>
              <w:jc w:val="left"/>
              <w:rPr>
                <w:rFonts w:ascii="Arial Narrow" w:hAnsi="Arial Narrow"/>
                <w:sz w:val="20"/>
              </w:rPr>
            </w:pPr>
            <w:r w:rsidRPr="00222597">
              <w:rPr>
                <w:rFonts w:ascii="Arial Narrow" w:hAnsi="Arial Narrow"/>
                <w:sz w:val="20"/>
              </w:rPr>
              <w:t>PEARL I</w:t>
            </w:r>
          </w:p>
          <w:p w:rsidR="00D647CD" w:rsidRPr="00222597" w:rsidRDefault="00D647CD" w:rsidP="005C5376">
            <w:pPr>
              <w:jc w:val="left"/>
              <w:rPr>
                <w:rFonts w:ascii="Arial Narrow" w:hAnsi="Arial Narrow"/>
                <w:sz w:val="20"/>
              </w:rPr>
            </w:pPr>
            <w:r w:rsidRPr="00222597">
              <w:rPr>
                <w:rFonts w:ascii="Arial Narrow" w:hAnsi="Arial Narrow"/>
                <w:sz w:val="20"/>
              </w:rPr>
              <w:t>(PGL07-021)</w:t>
            </w:r>
          </w:p>
          <w:p w:rsidR="00D647CD" w:rsidRPr="00222597" w:rsidRDefault="00D647CD" w:rsidP="005C5376">
            <w:pPr>
              <w:jc w:val="left"/>
              <w:rPr>
                <w:rFonts w:ascii="Arial Narrow" w:hAnsi="Arial Narrow"/>
                <w:sz w:val="20"/>
              </w:rPr>
            </w:pPr>
          </w:p>
        </w:tc>
        <w:tc>
          <w:tcPr>
            <w:tcW w:w="2130" w:type="pct"/>
            <w:tcBorders>
              <w:bottom w:val="nil"/>
            </w:tcBorders>
          </w:tcPr>
          <w:p w:rsidR="00D647CD" w:rsidRPr="00222597" w:rsidRDefault="00897BA1" w:rsidP="005C5376">
            <w:pPr>
              <w:spacing w:after="60"/>
              <w:jc w:val="left"/>
              <w:rPr>
                <w:rFonts w:ascii="Arial Narrow" w:hAnsi="Arial Narrow"/>
                <w:b/>
                <w:sz w:val="20"/>
              </w:rPr>
            </w:pPr>
            <w:r w:rsidRPr="00222597">
              <w:rPr>
                <w:rFonts w:ascii="Arial Narrow" w:hAnsi="Arial Narrow"/>
                <w:sz w:val="20"/>
              </w:rPr>
              <w:t>A phase III, randomis</w:t>
            </w:r>
            <w:r w:rsidR="00D647CD" w:rsidRPr="00222597">
              <w:rPr>
                <w:rFonts w:ascii="Arial Narrow" w:hAnsi="Arial Narrow"/>
                <w:sz w:val="20"/>
              </w:rPr>
              <w:t xml:space="preserve">ed, parallel group, double-blind, </w:t>
            </w:r>
            <w:r w:rsidRPr="00222597">
              <w:rPr>
                <w:rFonts w:ascii="Arial Narrow" w:hAnsi="Arial Narrow"/>
                <w:sz w:val="20"/>
              </w:rPr>
              <w:t>placebo-controlled, multi-centre</w:t>
            </w:r>
            <w:r w:rsidR="00D647CD" w:rsidRPr="00222597">
              <w:rPr>
                <w:rFonts w:ascii="Arial Narrow" w:hAnsi="Arial Narrow"/>
                <w:sz w:val="20"/>
              </w:rPr>
              <w:t xml:space="preserve"> study to assess the efficacy and safety of </w:t>
            </w:r>
            <w:proofErr w:type="spellStart"/>
            <w:r w:rsidR="00D647CD" w:rsidRPr="00222597">
              <w:rPr>
                <w:rFonts w:ascii="Arial Narrow" w:hAnsi="Arial Narrow"/>
                <w:sz w:val="20"/>
              </w:rPr>
              <w:t>ulipristal</w:t>
            </w:r>
            <w:proofErr w:type="spellEnd"/>
            <w:r w:rsidR="00D647CD" w:rsidRPr="00222597">
              <w:rPr>
                <w:rFonts w:ascii="Arial Narrow" w:hAnsi="Arial Narrow"/>
                <w:sz w:val="20"/>
              </w:rPr>
              <w:t xml:space="preserve"> acetate versus placebo for pre-operative treatment of symptomatic uterine </w:t>
            </w:r>
            <w:proofErr w:type="spellStart"/>
            <w:r w:rsidR="00D647CD" w:rsidRPr="00222597">
              <w:rPr>
                <w:rFonts w:ascii="Arial Narrow" w:hAnsi="Arial Narrow"/>
                <w:sz w:val="20"/>
              </w:rPr>
              <w:t>myomas</w:t>
            </w:r>
            <w:proofErr w:type="spellEnd"/>
            <w:r w:rsidR="00D647CD" w:rsidRPr="00222597">
              <w:rPr>
                <w:rFonts w:ascii="Arial Narrow" w:hAnsi="Arial Narrow"/>
                <w:sz w:val="20"/>
              </w:rPr>
              <w:t>.</w:t>
            </w:r>
          </w:p>
        </w:tc>
        <w:tc>
          <w:tcPr>
            <w:tcW w:w="2261" w:type="pct"/>
            <w:tcBorders>
              <w:bottom w:val="nil"/>
            </w:tcBorders>
          </w:tcPr>
          <w:p w:rsidR="00D647CD" w:rsidRPr="00222597" w:rsidRDefault="00D647CD" w:rsidP="005C5376">
            <w:pPr>
              <w:jc w:val="left"/>
              <w:rPr>
                <w:rFonts w:ascii="Arial Narrow" w:hAnsi="Arial Narrow"/>
                <w:b/>
                <w:sz w:val="20"/>
              </w:rPr>
            </w:pPr>
            <w:r w:rsidRPr="00222597">
              <w:rPr>
                <w:rFonts w:ascii="Arial Narrow" w:hAnsi="Arial Narrow"/>
                <w:sz w:val="20"/>
              </w:rPr>
              <w:t>September 2010.</w:t>
            </w:r>
          </w:p>
        </w:tc>
      </w:tr>
      <w:tr w:rsidR="00D647CD" w:rsidRPr="00222597" w:rsidTr="00763607">
        <w:trPr>
          <w:tblHeader/>
        </w:trPr>
        <w:tc>
          <w:tcPr>
            <w:tcW w:w="609" w:type="pct"/>
            <w:tcBorders>
              <w:top w:val="nil"/>
              <w:bottom w:val="single" w:sz="4" w:space="0" w:color="auto"/>
            </w:tcBorders>
          </w:tcPr>
          <w:p w:rsidR="00D647CD" w:rsidRPr="00222597" w:rsidRDefault="00D647CD" w:rsidP="005C5376">
            <w:pPr>
              <w:jc w:val="left"/>
              <w:rPr>
                <w:rFonts w:ascii="Arial Narrow" w:hAnsi="Arial Narrow"/>
                <w:sz w:val="20"/>
              </w:rPr>
            </w:pPr>
          </w:p>
        </w:tc>
        <w:tc>
          <w:tcPr>
            <w:tcW w:w="2130" w:type="pct"/>
            <w:tcBorders>
              <w:top w:val="nil"/>
              <w:bottom w:val="single" w:sz="4" w:space="0" w:color="auto"/>
            </w:tcBorders>
          </w:tcPr>
          <w:p w:rsidR="00D647CD" w:rsidRPr="00222597" w:rsidRDefault="00D647CD" w:rsidP="005C5376">
            <w:pPr>
              <w:jc w:val="left"/>
              <w:rPr>
                <w:rFonts w:ascii="Arial Narrow" w:hAnsi="Arial Narrow"/>
                <w:sz w:val="20"/>
              </w:rPr>
            </w:pPr>
            <w:proofErr w:type="spellStart"/>
            <w:r w:rsidRPr="00222597">
              <w:rPr>
                <w:rFonts w:ascii="Arial Narrow" w:hAnsi="Arial Narrow"/>
                <w:sz w:val="20"/>
              </w:rPr>
              <w:t>Donnez</w:t>
            </w:r>
            <w:proofErr w:type="spellEnd"/>
            <w:r w:rsidRPr="00222597">
              <w:rPr>
                <w:rFonts w:ascii="Arial Narrow" w:hAnsi="Arial Narrow"/>
                <w:sz w:val="20"/>
              </w:rPr>
              <w:t xml:space="preserve"> J, </w:t>
            </w:r>
            <w:proofErr w:type="spellStart"/>
            <w:r w:rsidRPr="00222597">
              <w:rPr>
                <w:rFonts w:ascii="Arial Narrow" w:hAnsi="Arial Narrow"/>
                <w:sz w:val="20"/>
              </w:rPr>
              <w:t>Tatarchuk</w:t>
            </w:r>
            <w:proofErr w:type="spellEnd"/>
            <w:r w:rsidRPr="00222597">
              <w:rPr>
                <w:rFonts w:ascii="Arial Narrow" w:hAnsi="Arial Narrow"/>
                <w:sz w:val="20"/>
              </w:rPr>
              <w:t xml:space="preserve"> TF, </w:t>
            </w:r>
            <w:r w:rsidRPr="00222597">
              <w:rPr>
                <w:rFonts w:ascii="Arial Narrow" w:hAnsi="Arial Narrow"/>
                <w:i/>
                <w:sz w:val="20"/>
              </w:rPr>
              <w:t>et al</w:t>
            </w:r>
            <w:r w:rsidRPr="00222597">
              <w:rPr>
                <w:rFonts w:ascii="Arial Narrow" w:hAnsi="Arial Narrow"/>
                <w:sz w:val="20"/>
              </w:rPr>
              <w:t xml:space="preserve">. </w:t>
            </w:r>
            <w:proofErr w:type="spellStart"/>
            <w:r w:rsidRPr="00222597">
              <w:rPr>
                <w:rFonts w:ascii="Arial Narrow" w:hAnsi="Arial Narrow"/>
                <w:sz w:val="20"/>
              </w:rPr>
              <w:t>Ulipristal</w:t>
            </w:r>
            <w:proofErr w:type="spellEnd"/>
            <w:r w:rsidRPr="00222597">
              <w:rPr>
                <w:rFonts w:ascii="Arial Narrow" w:hAnsi="Arial Narrow"/>
                <w:sz w:val="20"/>
              </w:rPr>
              <w:t xml:space="preserve"> acetate versus placebo for fibroid treatment before surgery.</w:t>
            </w:r>
          </w:p>
        </w:tc>
        <w:tc>
          <w:tcPr>
            <w:tcW w:w="2261" w:type="pct"/>
            <w:tcBorders>
              <w:top w:val="nil"/>
              <w:bottom w:val="single" w:sz="4" w:space="0" w:color="auto"/>
            </w:tcBorders>
          </w:tcPr>
          <w:p w:rsidR="00D647CD" w:rsidRPr="00222597" w:rsidRDefault="00D647CD" w:rsidP="005C5376">
            <w:pPr>
              <w:jc w:val="left"/>
              <w:rPr>
                <w:rFonts w:ascii="Arial Narrow" w:hAnsi="Arial Narrow"/>
                <w:sz w:val="20"/>
              </w:rPr>
            </w:pPr>
            <w:r w:rsidRPr="00222597">
              <w:rPr>
                <w:rFonts w:ascii="Arial Narrow" w:hAnsi="Arial Narrow"/>
                <w:i/>
                <w:sz w:val="20"/>
              </w:rPr>
              <w:t>New England Journal of Medicine</w:t>
            </w:r>
            <w:r w:rsidRPr="00222597">
              <w:rPr>
                <w:rFonts w:ascii="Arial Narrow" w:hAnsi="Arial Narrow"/>
                <w:sz w:val="20"/>
              </w:rPr>
              <w:t xml:space="preserve"> 2012; 366 (5):409-20.</w:t>
            </w:r>
          </w:p>
        </w:tc>
      </w:tr>
      <w:tr w:rsidR="00D647CD" w:rsidRPr="00222597" w:rsidTr="00763607">
        <w:trPr>
          <w:tblHeader/>
        </w:trPr>
        <w:tc>
          <w:tcPr>
            <w:tcW w:w="609" w:type="pct"/>
            <w:tcBorders>
              <w:bottom w:val="nil"/>
            </w:tcBorders>
          </w:tcPr>
          <w:p w:rsidR="00D647CD" w:rsidRPr="00222597" w:rsidRDefault="00D647CD" w:rsidP="005C5376">
            <w:pPr>
              <w:jc w:val="left"/>
              <w:rPr>
                <w:rFonts w:ascii="Arial Narrow" w:hAnsi="Arial Narrow"/>
                <w:sz w:val="20"/>
              </w:rPr>
            </w:pPr>
            <w:r w:rsidRPr="00222597">
              <w:rPr>
                <w:rFonts w:ascii="Arial Narrow" w:hAnsi="Arial Narrow"/>
                <w:sz w:val="20"/>
              </w:rPr>
              <w:t>PEARL II</w:t>
            </w:r>
          </w:p>
          <w:p w:rsidR="00D647CD" w:rsidRPr="00222597" w:rsidRDefault="00D647CD" w:rsidP="005C5376">
            <w:pPr>
              <w:jc w:val="left"/>
              <w:rPr>
                <w:rFonts w:ascii="Arial Narrow" w:hAnsi="Arial Narrow"/>
                <w:sz w:val="20"/>
              </w:rPr>
            </w:pPr>
            <w:r w:rsidRPr="00222597">
              <w:rPr>
                <w:rFonts w:ascii="Arial Narrow" w:hAnsi="Arial Narrow"/>
                <w:sz w:val="20"/>
              </w:rPr>
              <w:t>(PGL07-022)</w:t>
            </w:r>
          </w:p>
        </w:tc>
        <w:tc>
          <w:tcPr>
            <w:tcW w:w="2130" w:type="pct"/>
            <w:tcBorders>
              <w:bottom w:val="nil"/>
            </w:tcBorders>
          </w:tcPr>
          <w:p w:rsidR="00D647CD" w:rsidRPr="00222597" w:rsidRDefault="00D647CD" w:rsidP="00897BA1">
            <w:pPr>
              <w:spacing w:after="60"/>
              <w:jc w:val="left"/>
              <w:rPr>
                <w:rFonts w:ascii="Arial Narrow" w:hAnsi="Arial Narrow"/>
                <w:sz w:val="20"/>
              </w:rPr>
            </w:pPr>
            <w:r w:rsidRPr="00222597">
              <w:rPr>
                <w:rFonts w:ascii="Arial Narrow" w:hAnsi="Arial Narrow"/>
                <w:sz w:val="20"/>
              </w:rPr>
              <w:t>A phase III, randomi</w:t>
            </w:r>
            <w:r w:rsidR="00897BA1" w:rsidRPr="00222597">
              <w:rPr>
                <w:rFonts w:ascii="Arial Narrow" w:hAnsi="Arial Narrow"/>
                <w:sz w:val="20"/>
              </w:rPr>
              <w:t>s</w:t>
            </w:r>
            <w:r w:rsidRPr="00222597">
              <w:rPr>
                <w:rFonts w:ascii="Arial Narrow" w:hAnsi="Arial Narrow"/>
                <w:sz w:val="20"/>
              </w:rPr>
              <w:t>ed, parallel group, double-blind, double-dummy, active com</w:t>
            </w:r>
            <w:r w:rsidR="00897BA1" w:rsidRPr="00222597">
              <w:rPr>
                <w:rFonts w:ascii="Arial Narrow" w:hAnsi="Arial Narrow"/>
                <w:sz w:val="20"/>
              </w:rPr>
              <w:t>parator-controlled, multi-centre</w:t>
            </w:r>
            <w:r w:rsidRPr="00222597">
              <w:rPr>
                <w:rFonts w:ascii="Arial Narrow" w:hAnsi="Arial Narrow"/>
                <w:sz w:val="20"/>
              </w:rPr>
              <w:t xml:space="preserve"> study to assess the efficacy and safety of </w:t>
            </w:r>
            <w:proofErr w:type="spellStart"/>
            <w:r w:rsidRPr="00222597">
              <w:rPr>
                <w:rFonts w:ascii="Arial Narrow" w:hAnsi="Arial Narrow"/>
                <w:sz w:val="20"/>
              </w:rPr>
              <w:t>ulipristal</w:t>
            </w:r>
            <w:proofErr w:type="spellEnd"/>
            <w:r w:rsidRPr="00222597">
              <w:rPr>
                <w:rFonts w:ascii="Arial Narrow" w:hAnsi="Arial Narrow"/>
                <w:sz w:val="20"/>
              </w:rPr>
              <w:t xml:space="preserve"> acetate versus </w:t>
            </w:r>
            <w:proofErr w:type="spellStart"/>
            <w:r w:rsidRPr="00222597">
              <w:rPr>
                <w:rFonts w:ascii="Arial Narrow" w:hAnsi="Arial Narrow"/>
                <w:sz w:val="20"/>
              </w:rPr>
              <w:t>GnRH</w:t>
            </w:r>
            <w:proofErr w:type="spellEnd"/>
            <w:r w:rsidRPr="00222597">
              <w:rPr>
                <w:rFonts w:ascii="Arial Narrow" w:hAnsi="Arial Narrow"/>
                <w:sz w:val="20"/>
              </w:rPr>
              <w:t>-agonist (</w:t>
            </w:r>
            <w:proofErr w:type="spellStart"/>
            <w:r w:rsidRPr="00222597">
              <w:rPr>
                <w:rFonts w:ascii="Arial Narrow" w:hAnsi="Arial Narrow"/>
                <w:sz w:val="20"/>
              </w:rPr>
              <w:t>leuprorelin</w:t>
            </w:r>
            <w:proofErr w:type="spellEnd"/>
            <w:r w:rsidRPr="00222597">
              <w:rPr>
                <w:rFonts w:ascii="Arial Narrow" w:hAnsi="Arial Narrow"/>
                <w:sz w:val="20"/>
              </w:rPr>
              <w:t xml:space="preserve"> 3.7</w:t>
            </w:r>
            <w:r w:rsidR="00B413FC" w:rsidRPr="00222597">
              <w:rPr>
                <w:rFonts w:ascii="Arial Narrow" w:hAnsi="Arial Narrow"/>
                <w:sz w:val="20"/>
              </w:rPr>
              <w:t>5 mg</w:t>
            </w:r>
            <w:r w:rsidRPr="00222597">
              <w:rPr>
                <w:rFonts w:ascii="Arial Narrow" w:hAnsi="Arial Narrow"/>
                <w:sz w:val="20"/>
              </w:rPr>
              <w:t xml:space="preserve">) for pre-operative treatment of symptomatic uterine </w:t>
            </w:r>
            <w:proofErr w:type="spellStart"/>
            <w:r w:rsidRPr="00222597">
              <w:rPr>
                <w:rFonts w:ascii="Arial Narrow" w:hAnsi="Arial Narrow"/>
                <w:sz w:val="20"/>
              </w:rPr>
              <w:t>myomas</w:t>
            </w:r>
            <w:proofErr w:type="spellEnd"/>
            <w:r w:rsidRPr="00222597">
              <w:rPr>
                <w:rFonts w:ascii="Arial Narrow" w:hAnsi="Arial Narrow"/>
                <w:sz w:val="20"/>
              </w:rPr>
              <w:t>.</w:t>
            </w:r>
          </w:p>
        </w:tc>
        <w:tc>
          <w:tcPr>
            <w:tcW w:w="2261" w:type="pct"/>
            <w:tcBorders>
              <w:bottom w:val="nil"/>
            </w:tcBorders>
          </w:tcPr>
          <w:p w:rsidR="00D647CD" w:rsidRPr="00222597" w:rsidRDefault="00D647CD" w:rsidP="005C5376">
            <w:pPr>
              <w:jc w:val="left"/>
              <w:rPr>
                <w:rFonts w:ascii="Arial Narrow" w:hAnsi="Arial Narrow"/>
                <w:sz w:val="20"/>
              </w:rPr>
            </w:pPr>
            <w:r w:rsidRPr="00222597">
              <w:rPr>
                <w:rFonts w:ascii="Arial Narrow" w:hAnsi="Arial Narrow"/>
                <w:sz w:val="20"/>
              </w:rPr>
              <w:t>September 2010.</w:t>
            </w:r>
          </w:p>
        </w:tc>
      </w:tr>
      <w:tr w:rsidR="00D647CD" w:rsidRPr="00222597" w:rsidTr="00763607">
        <w:trPr>
          <w:tblHeader/>
        </w:trPr>
        <w:tc>
          <w:tcPr>
            <w:tcW w:w="609" w:type="pct"/>
            <w:tcBorders>
              <w:top w:val="nil"/>
              <w:bottom w:val="single" w:sz="4" w:space="0" w:color="auto"/>
            </w:tcBorders>
          </w:tcPr>
          <w:p w:rsidR="00D647CD" w:rsidRPr="00222597" w:rsidRDefault="00D647CD" w:rsidP="005C5376">
            <w:pPr>
              <w:jc w:val="left"/>
              <w:rPr>
                <w:rFonts w:ascii="Arial Narrow" w:hAnsi="Arial Narrow"/>
                <w:sz w:val="20"/>
              </w:rPr>
            </w:pPr>
          </w:p>
        </w:tc>
        <w:tc>
          <w:tcPr>
            <w:tcW w:w="2130" w:type="pct"/>
            <w:tcBorders>
              <w:top w:val="nil"/>
              <w:bottom w:val="single" w:sz="4" w:space="0" w:color="auto"/>
            </w:tcBorders>
          </w:tcPr>
          <w:p w:rsidR="00D647CD" w:rsidRPr="00222597" w:rsidRDefault="00D647CD" w:rsidP="005C5376">
            <w:pPr>
              <w:jc w:val="left"/>
              <w:rPr>
                <w:rFonts w:ascii="Arial Narrow" w:hAnsi="Arial Narrow"/>
                <w:sz w:val="20"/>
              </w:rPr>
            </w:pPr>
            <w:proofErr w:type="spellStart"/>
            <w:r w:rsidRPr="00222597">
              <w:rPr>
                <w:rFonts w:ascii="Arial Narrow" w:hAnsi="Arial Narrow"/>
                <w:sz w:val="20"/>
              </w:rPr>
              <w:t>Donnez</w:t>
            </w:r>
            <w:proofErr w:type="spellEnd"/>
            <w:r w:rsidRPr="00222597">
              <w:rPr>
                <w:rFonts w:ascii="Arial Narrow" w:hAnsi="Arial Narrow"/>
                <w:sz w:val="20"/>
              </w:rPr>
              <w:t xml:space="preserve"> J, </w:t>
            </w:r>
            <w:proofErr w:type="spellStart"/>
            <w:r w:rsidRPr="00222597">
              <w:rPr>
                <w:rFonts w:ascii="Arial Narrow" w:hAnsi="Arial Narrow"/>
                <w:sz w:val="20"/>
              </w:rPr>
              <w:t>Tomaszewski</w:t>
            </w:r>
            <w:proofErr w:type="spellEnd"/>
            <w:r w:rsidRPr="00222597">
              <w:rPr>
                <w:rFonts w:ascii="Arial Narrow" w:hAnsi="Arial Narrow"/>
                <w:sz w:val="20"/>
              </w:rPr>
              <w:t xml:space="preserve"> J, </w:t>
            </w:r>
            <w:r w:rsidRPr="00222597">
              <w:rPr>
                <w:rFonts w:ascii="Arial Narrow" w:hAnsi="Arial Narrow"/>
                <w:i/>
                <w:sz w:val="20"/>
              </w:rPr>
              <w:t>et al.</w:t>
            </w:r>
            <w:r w:rsidRPr="00222597">
              <w:rPr>
                <w:rFonts w:ascii="Arial Narrow" w:hAnsi="Arial Narrow"/>
                <w:sz w:val="20"/>
              </w:rPr>
              <w:t xml:space="preserve"> </w:t>
            </w:r>
            <w:proofErr w:type="spellStart"/>
            <w:r w:rsidRPr="00222597">
              <w:rPr>
                <w:rFonts w:ascii="Arial Narrow" w:hAnsi="Arial Narrow"/>
                <w:sz w:val="20"/>
              </w:rPr>
              <w:t>Ulipristal</w:t>
            </w:r>
            <w:proofErr w:type="spellEnd"/>
            <w:r w:rsidRPr="00222597">
              <w:rPr>
                <w:rFonts w:ascii="Arial Narrow" w:hAnsi="Arial Narrow"/>
                <w:sz w:val="20"/>
              </w:rPr>
              <w:t xml:space="preserve"> acetate versus leuprolide acetate for uterine fibroids.</w:t>
            </w:r>
          </w:p>
        </w:tc>
        <w:tc>
          <w:tcPr>
            <w:tcW w:w="2261" w:type="pct"/>
            <w:tcBorders>
              <w:top w:val="nil"/>
              <w:bottom w:val="single" w:sz="4" w:space="0" w:color="auto"/>
            </w:tcBorders>
          </w:tcPr>
          <w:p w:rsidR="00D647CD" w:rsidRPr="00222597" w:rsidRDefault="00D647CD" w:rsidP="005C5376">
            <w:pPr>
              <w:jc w:val="left"/>
              <w:rPr>
                <w:rFonts w:ascii="Arial Narrow" w:hAnsi="Arial Narrow"/>
                <w:sz w:val="20"/>
              </w:rPr>
            </w:pPr>
            <w:r w:rsidRPr="00222597">
              <w:rPr>
                <w:rFonts w:ascii="Arial Narrow" w:hAnsi="Arial Narrow"/>
                <w:i/>
                <w:sz w:val="20"/>
              </w:rPr>
              <w:t>New England Journal of Medicine</w:t>
            </w:r>
            <w:r w:rsidRPr="00222597">
              <w:rPr>
                <w:rFonts w:ascii="Arial Narrow" w:hAnsi="Arial Narrow"/>
                <w:sz w:val="20"/>
              </w:rPr>
              <w:t xml:space="preserve"> 2012; 366 (5):421-32.</w:t>
            </w:r>
          </w:p>
        </w:tc>
      </w:tr>
      <w:tr w:rsidR="00D647CD" w:rsidRPr="00222597" w:rsidTr="00763607">
        <w:trPr>
          <w:tblHeader/>
        </w:trPr>
        <w:tc>
          <w:tcPr>
            <w:tcW w:w="609" w:type="pct"/>
            <w:tcBorders>
              <w:bottom w:val="nil"/>
            </w:tcBorders>
          </w:tcPr>
          <w:p w:rsidR="00D647CD" w:rsidRPr="00222597" w:rsidRDefault="00D647CD" w:rsidP="005C5376">
            <w:pPr>
              <w:jc w:val="left"/>
              <w:rPr>
                <w:rFonts w:ascii="Arial Narrow" w:hAnsi="Arial Narrow"/>
                <w:sz w:val="20"/>
              </w:rPr>
            </w:pPr>
            <w:r w:rsidRPr="00222597">
              <w:rPr>
                <w:rFonts w:ascii="Arial Narrow" w:hAnsi="Arial Narrow"/>
                <w:sz w:val="20"/>
              </w:rPr>
              <w:t xml:space="preserve">PEARL III </w:t>
            </w:r>
          </w:p>
          <w:p w:rsidR="00D647CD" w:rsidRPr="00222597" w:rsidRDefault="00D647CD" w:rsidP="005C5376">
            <w:pPr>
              <w:jc w:val="left"/>
              <w:rPr>
                <w:rFonts w:ascii="Arial Narrow" w:hAnsi="Arial Narrow"/>
                <w:sz w:val="20"/>
              </w:rPr>
            </w:pPr>
            <w:r w:rsidRPr="00222597">
              <w:rPr>
                <w:rFonts w:ascii="Arial Narrow" w:hAnsi="Arial Narrow"/>
                <w:sz w:val="20"/>
              </w:rPr>
              <w:t>(PGL09-026)</w:t>
            </w:r>
          </w:p>
        </w:tc>
        <w:tc>
          <w:tcPr>
            <w:tcW w:w="2130" w:type="pct"/>
            <w:tcBorders>
              <w:bottom w:val="nil"/>
            </w:tcBorders>
          </w:tcPr>
          <w:p w:rsidR="00D647CD" w:rsidRPr="00222597" w:rsidRDefault="00D647CD" w:rsidP="005C5376">
            <w:pPr>
              <w:spacing w:after="60"/>
              <w:jc w:val="left"/>
              <w:rPr>
                <w:rFonts w:ascii="Arial Narrow" w:hAnsi="Arial Narrow"/>
                <w:sz w:val="20"/>
              </w:rPr>
            </w:pPr>
            <w:r w:rsidRPr="00222597">
              <w:rPr>
                <w:rFonts w:ascii="Arial Narrow" w:hAnsi="Arial Narrow"/>
                <w:sz w:val="20"/>
              </w:rPr>
              <w:t xml:space="preserve">A phase III, multicentre, clinical study investigating the efficacy and safety of 3-months open-label treatment with PGL4001, followed by a randomised, double-blind placebo controlled period of 10 days treatment with progestin, in subjects with </w:t>
            </w:r>
            <w:proofErr w:type="spellStart"/>
            <w:r w:rsidRPr="00222597">
              <w:rPr>
                <w:rFonts w:ascii="Arial Narrow" w:hAnsi="Arial Narrow"/>
                <w:sz w:val="20"/>
              </w:rPr>
              <w:t>myomas</w:t>
            </w:r>
            <w:proofErr w:type="spellEnd"/>
            <w:r w:rsidRPr="00222597">
              <w:rPr>
                <w:rFonts w:ascii="Arial Narrow" w:hAnsi="Arial Narrow"/>
                <w:sz w:val="20"/>
              </w:rPr>
              <w:t xml:space="preserve"> and heavy uterine bleeding.</w:t>
            </w:r>
          </w:p>
        </w:tc>
        <w:tc>
          <w:tcPr>
            <w:tcW w:w="2261" w:type="pct"/>
            <w:tcBorders>
              <w:bottom w:val="nil"/>
            </w:tcBorders>
          </w:tcPr>
          <w:p w:rsidR="00D647CD" w:rsidRPr="00222597" w:rsidRDefault="00D647CD" w:rsidP="005C5376">
            <w:pPr>
              <w:jc w:val="left"/>
              <w:rPr>
                <w:rFonts w:ascii="Arial Narrow" w:hAnsi="Arial Narrow"/>
                <w:sz w:val="20"/>
              </w:rPr>
            </w:pPr>
            <w:r w:rsidRPr="00222597">
              <w:rPr>
                <w:rFonts w:ascii="Arial Narrow" w:hAnsi="Arial Narrow"/>
                <w:sz w:val="20"/>
              </w:rPr>
              <w:t>June 2012</w:t>
            </w:r>
          </w:p>
        </w:tc>
      </w:tr>
      <w:tr w:rsidR="00D647CD" w:rsidRPr="00222597" w:rsidTr="00763607">
        <w:trPr>
          <w:tblHeader/>
        </w:trPr>
        <w:tc>
          <w:tcPr>
            <w:tcW w:w="609" w:type="pct"/>
            <w:tcBorders>
              <w:top w:val="nil"/>
              <w:bottom w:val="nil"/>
            </w:tcBorders>
          </w:tcPr>
          <w:p w:rsidR="00D647CD" w:rsidRPr="00222597" w:rsidRDefault="00D647CD" w:rsidP="005C5376">
            <w:pPr>
              <w:jc w:val="left"/>
              <w:rPr>
                <w:rFonts w:ascii="Arial Narrow" w:hAnsi="Arial Narrow"/>
                <w:sz w:val="20"/>
              </w:rPr>
            </w:pPr>
            <w:r w:rsidRPr="00222597">
              <w:rPr>
                <w:rFonts w:ascii="Arial Narrow" w:hAnsi="Arial Narrow"/>
                <w:sz w:val="20"/>
              </w:rPr>
              <w:t xml:space="preserve">PEARL III extension study </w:t>
            </w:r>
          </w:p>
          <w:p w:rsidR="00D647CD" w:rsidRPr="00222597" w:rsidRDefault="00D647CD" w:rsidP="005C5376">
            <w:pPr>
              <w:jc w:val="left"/>
              <w:rPr>
                <w:rFonts w:ascii="Arial Narrow" w:hAnsi="Arial Narrow"/>
                <w:sz w:val="20"/>
              </w:rPr>
            </w:pPr>
            <w:r w:rsidRPr="00222597">
              <w:rPr>
                <w:rFonts w:ascii="Arial Narrow" w:hAnsi="Arial Narrow"/>
                <w:sz w:val="20"/>
              </w:rPr>
              <w:t>(PGL09-027)</w:t>
            </w:r>
          </w:p>
          <w:p w:rsidR="00D647CD" w:rsidRPr="00222597" w:rsidRDefault="00D647CD" w:rsidP="005C5376">
            <w:pPr>
              <w:jc w:val="left"/>
              <w:rPr>
                <w:rFonts w:ascii="Arial Narrow" w:hAnsi="Arial Narrow"/>
                <w:sz w:val="20"/>
              </w:rPr>
            </w:pPr>
          </w:p>
        </w:tc>
        <w:tc>
          <w:tcPr>
            <w:tcW w:w="2130" w:type="pct"/>
            <w:tcBorders>
              <w:top w:val="nil"/>
              <w:bottom w:val="nil"/>
            </w:tcBorders>
          </w:tcPr>
          <w:p w:rsidR="00D647CD" w:rsidRPr="00222597" w:rsidRDefault="00D647CD" w:rsidP="005C5376">
            <w:pPr>
              <w:spacing w:after="60"/>
              <w:jc w:val="left"/>
              <w:rPr>
                <w:rFonts w:ascii="Arial Narrow" w:hAnsi="Arial Narrow"/>
                <w:sz w:val="20"/>
              </w:rPr>
            </w:pPr>
            <w:r w:rsidRPr="00222597">
              <w:rPr>
                <w:rFonts w:ascii="Arial Narrow" w:hAnsi="Arial Narrow"/>
                <w:sz w:val="20"/>
              </w:rPr>
              <w:t xml:space="preserve">A phase III, multicentre, clinical study investigating the efficacy and safety of three successive periods of 3-month open-label PGL4001 treatment, each followed by ten days of double-blind treatment with progestin or placebo and a drug-free period until return of menses, in subjects with </w:t>
            </w:r>
            <w:proofErr w:type="spellStart"/>
            <w:r w:rsidRPr="00222597">
              <w:rPr>
                <w:rFonts w:ascii="Arial Narrow" w:hAnsi="Arial Narrow"/>
                <w:sz w:val="20"/>
              </w:rPr>
              <w:t>myomas</w:t>
            </w:r>
            <w:proofErr w:type="spellEnd"/>
            <w:r w:rsidRPr="00222597">
              <w:rPr>
                <w:rFonts w:ascii="Arial Narrow" w:hAnsi="Arial Narrow"/>
                <w:sz w:val="20"/>
              </w:rPr>
              <w:t xml:space="preserve"> and heavy uterine bleeding.</w:t>
            </w:r>
          </w:p>
        </w:tc>
        <w:tc>
          <w:tcPr>
            <w:tcW w:w="2261" w:type="pct"/>
            <w:tcBorders>
              <w:top w:val="nil"/>
              <w:bottom w:val="nil"/>
            </w:tcBorders>
          </w:tcPr>
          <w:p w:rsidR="00D647CD" w:rsidRPr="00222597" w:rsidRDefault="00D647CD" w:rsidP="005C5376">
            <w:pPr>
              <w:jc w:val="left"/>
              <w:rPr>
                <w:rFonts w:ascii="Arial Narrow" w:hAnsi="Arial Narrow"/>
                <w:sz w:val="20"/>
              </w:rPr>
            </w:pPr>
            <w:r w:rsidRPr="00222597">
              <w:rPr>
                <w:rFonts w:ascii="Arial Narrow" w:hAnsi="Arial Narrow"/>
                <w:sz w:val="20"/>
              </w:rPr>
              <w:t>May 2013</w:t>
            </w:r>
          </w:p>
        </w:tc>
      </w:tr>
      <w:tr w:rsidR="00D647CD" w:rsidRPr="00222597" w:rsidTr="00763607">
        <w:trPr>
          <w:tblHeader/>
        </w:trPr>
        <w:tc>
          <w:tcPr>
            <w:tcW w:w="609" w:type="pct"/>
            <w:tcBorders>
              <w:top w:val="nil"/>
              <w:bottom w:val="nil"/>
            </w:tcBorders>
          </w:tcPr>
          <w:p w:rsidR="00D647CD" w:rsidRPr="00222597" w:rsidRDefault="00D647CD" w:rsidP="005C5376">
            <w:pPr>
              <w:jc w:val="left"/>
              <w:rPr>
                <w:rFonts w:ascii="Arial Narrow" w:hAnsi="Arial Narrow"/>
                <w:sz w:val="20"/>
              </w:rPr>
            </w:pPr>
          </w:p>
        </w:tc>
        <w:tc>
          <w:tcPr>
            <w:tcW w:w="2130" w:type="pct"/>
            <w:tcBorders>
              <w:top w:val="nil"/>
              <w:bottom w:val="nil"/>
            </w:tcBorders>
          </w:tcPr>
          <w:p w:rsidR="00D647CD" w:rsidRPr="00222597" w:rsidRDefault="00D647CD" w:rsidP="005C5376">
            <w:pPr>
              <w:jc w:val="left"/>
              <w:rPr>
                <w:rFonts w:ascii="Arial Narrow" w:hAnsi="Arial Narrow"/>
                <w:sz w:val="20"/>
              </w:rPr>
            </w:pPr>
            <w:proofErr w:type="spellStart"/>
            <w:r w:rsidRPr="00222597">
              <w:rPr>
                <w:rFonts w:ascii="Arial Narrow" w:hAnsi="Arial Narrow"/>
                <w:sz w:val="20"/>
              </w:rPr>
              <w:t>Donnez</w:t>
            </w:r>
            <w:proofErr w:type="spellEnd"/>
            <w:r w:rsidRPr="00222597">
              <w:rPr>
                <w:rFonts w:ascii="Arial Narrow" w:hAnsi="Arial Narrow"/>
                <w:sz w:val="20"/>
              </w:rPr>
              <w:t xml:space="preserve"> J, Vazquez F, </w:t>
            </w:r>
            <w:r w:rsidRPr="00222597">
              <w:rPr>
                <w:rFonts w:ascii="Arial Narrow" w:hAnsi="Arial Narrow"/>
                <w:i/>
                <w:sz w:val="20"/>
              </w:rPr>
              <w:t>et al.</w:t>
            </w:r>
            <w:r w:rsidRPr="00222597">
              <w:rPr>
                <w:rFonts w:ascii="Arial Narrow" w:hAnsi="Arial Narrow"/>
                <w:sz w:val="20"/>
              </w:rPr>
              <w:t xml:space="preserve"> Long-term treatment of uterine fibroids with </w:t>
            </w:r>
            <w:proofErr w:type="spellStart"/>
            <w:r w:rsidRPr="00222597">
              <w:rPr>
                <w:rFonts w:ascii="Arial Narrow" w:hAnsi="Arial Narrow"/>
                <w:sz w:val="20"/>
              </w:rPr>
              <w:t>ulipristal</w:t>
            </w:r>
            <w:proofErr w:type="spellEnd"/>
            <w:r w:rsidRPr="00222597">
              <w:rPr>
                <w:rFonts w:ascii="Arial Narrow" w:hAnsi="Arial Narrow"/>
                <w:sz w:val="20"/>
              </w:rPr>
              <w:t xml:space="preserve"> acetate.</w:t>
            </w:r>
          </w:p>
        </w:tc>
        <w:tc>
          <w:tcPr>
            <w:tcW w:w="2261" w:type="pct"/>
            <w:tcBorders>
              <w:top w:val="nil"/>
              <w:bottom w:val="nil"/>
            </w:tcBorders>
          </w:tcPr>
          <w:p w:rsidR="00D647CD" w:rsidRPr="00222597" w:rsidRDefault="00D647CD" w:rsidP="005C5376">
            <w:pPr>
              <w:jc w:val="left"/>
              <w:rPr>
                <w:rFonts w:ascii="Arial Narrow" w:hAnsi="Arial Narrow"/>
                <w:sz w:val="20"/>
              </w:rPr>
            </w:pPr>
            <w:r w:rsidRPr="00222597">
              <w:rPr>
                <w:rFonts w:ascii="Arial Narrow" w:hAnsi="Arial Narrow"/>
                <w:i/>
                <w:sz w:val="20"/>
              </w:rPr>
              <w:t>Fertility and Sterility</w:t>
            </w:r>
            <w:r w:rsidRPr="00222597">
              <w:rPr>
                <w:rFonts w:ascii="Arial Narrow" w:hAnsi="Arial Narrow"/>
                <w:sz w:val="20"/>
              </w:rPr>
              <w:t xml:space="preserve"> 2014; 101 (6):1565-73.</w:t>
            </w:r>
          </w:p>
        </w:tc>
      </w:tr>
      <w:tr w:rsidR="00D647CD" w:rsidRPr="00222597" w:rsidTr="00763607">
        <w:trPr>
          <w:tblHeader/>
        </w:trPr>
        <w:tc>
          <w:tcPr>
            <w:tcW w:w="609" w:type="pct"/>
            <w:tcBorders>
              <w:top w:val="nil"/>
              <w:bottom w:val="single" w:sz="4" w:space="0" w:color="auto"/>
            </w:tcBorders>
          </w:tcPr>
          <w:p w:rsidR="00D647CD" w:rsidRPr="00222597" w:rsidRDefault="00D647CD" w:rsidP="005C5376">
            <w:pPr>
              <w:jc w:val="left"/>
              <w:rPr>
                <w:rFonts w:ascii="Arial Narrow" w:hAnsi="Arial Narrow"/>
                <w:sz w:val="20"/>
              </w:rPr>
            </w:pPr>
          </w:p>
        </w:tc>
        <w:tc>
          <w:tcPr>
            <w:tcW w:w="2130" w:type="pct"/>
            <w:tcBorders>
              <w:top w:val="nil"/>
              <w:bottom w:val="single" w:sz="4" w:space="0" w:color="auto"/>
            </w:tcBorders>
          </w:tcPr>
          <w:p w:rsidR="00D647CD" w:rsidRPr="00222597" w:rsidRDefault="00D647CD" w:rsidP="005C5376">
            <w:pPr>
              <w:jc w:val="left"/>
              <w:rPr>
                <w:rFonts w:ascii="Arial Narrow" w:hAnsi="Arial Narrow"/>
                <w:sz w:val="20"/>
              </w:rPr>
            </w:pPr>
            <w:proofErr w:type="spellStart"/>
            <w:r w:rsidRPr="00222597">
              <w:rPr>
                <w:rFonts w:ascii="Arial Narrow" w:hAnsi="Arial Narrow"/>
                <w:sz w:val="20"/>
              </w:rPr>
              <w:t>Luyckx</w:t>
            </w:r>
            <w:proofErr w:type="spellEnd"/>
            <w:r w:rsidRPr="00222597">
              <w:rPr>
                <w:rFonts w:ascii="Arial Narrow" w:hAnsi="Arial Narrow"/>
                <w:sz w:val="20"/>
              </w:rPr>
              <w:t xml:space="preserve"> M, </w:t>
            </w:r>
            <w:proofErr w:type="spellStart"/>
            <w:r w:rsidRPr="00222597">
              <w:rPr>
                <w:rFonts w:ascii="Arial Narrow" w:hAnsi="Arial Narrow"/>
                <w:sz w:val="20"/>
              </w:rPr>
              <w:t>Squifflet</w:t>
            </w:r>
            <w:proofErr w:type="spellEnd"/>
            <w:r w:rsidRPr="00222597">
              <w:rPr>
                <w:rFonts w:ascii="Arial Narrow" w:hAnsi="Arial Narrow"/>
                <w:sz w:val="20"/>
              </w:rPr>
              <w:t xml:space="preserve"> JL, </w:t>
            </w:r>
            <w:r w:rsidRPr="00222597">
              <w:rPr>
                <w:rFonts w:ascii="Arial Narrow" w:hAnsi="Arial Narrow"/>
                <w:i/>
                <w:sz w:val="20"/>
              </w:rPr>
              <w:t xml:space="preserve">et al. </w:t>
            </w:r>
            <w:r w:rsidRPr="00222597">
              <w:rPr>
                <w:rFonts w:ascii="Arial Narrow" w:hAnsi="Arial Narrow"/>
                <w:sz w:val="20"/>
              </w:rPr>
              <w:t xml:space="preserve">First series of 18 pregnancies after </w:t>
            </w:r>
            <w:proofErr w:type="spellStart"/>
            <w:r w:rsidRPr="00222597">
              <w:rPr>
                <w:rFonts w:ascii="Arial Narrow" w:hAnsi="Arial Narrow"/>
                <w:sz w:val="20"/>
              </w:rPr>
              <w:t>ulipristal</w:t>
            </w:r>
            <w:proofErr w:type="spellEnd"/>
            <w:r w:rsidRPr="00222597">
              <w:rPr>
                <w:rFonts w:ascii="Arial Narrow" w:hAnsi="Arial Narrow"/>
                <w:sz w:val="20"/>
              </w:rPr>
              <w:t xml:space="preserve"> acetate treatment for uterine fibroids.</w:t>
            </w:r>
          </w:p>
        </w:tc>
        <w:tc>
          <w:tcPr>
            <w:tcW w:w="2261" w:type="pct"/>
            <w:tcBorders>
              <w:top w:val="nil"/>
              <w:bottom w:val="single" w:sz="4" w:space="0" w:color="auto"/>
            </w:tcBorders>
          </w:tcPr>
          <w:p w:rsidR="00D647CD" w:rsidRPr="00222597" w:rsidRDefault="00D647CD" w:rsidP="005C5376">
            <w:pPr>
              <w:jc w:val="left"/>
              <w:rPr>
                <w:rFonts w:ascii="Arial Narrow" w:hAnsi="Arial Narrow"/>
                <w:sz w:val="20"/>
              </w:rPr>
            </w:pPr>
            <w:r w:rsidRPr="00222597">
              <w:rPr>
                <w:rFonts w:ascii="Arial Narrow" w:hAnsi="Arial Narrow"/>
                <w:i/>
                <w:sz w:val="20"/>
              </w:rPr>
              <w:t xml:space="preserve">Fertility and Sterility </w:t>
            </w:r>
            <w:r w:rsidRPr="00222597">
              <w:rPr>
                <w:rFonts w:ascii="Arial Narrow" w:hAnsi="Arial Narrow"/>
                <w:sz w:val="20"/>
              </w:rPr>
              <w:t>2014; 102 (5):1404-9.</w:t>
            </w:r>
          </w:p>
        </w:tc>
      </w:tr>
      <w:tr w:rsidR="00D647CD" w:rsidRPr="00222597" w:rsidTr="00763607">
        <w:trPr>
          <w:tblHeader/>
        </w:trPr>
        <w:tc>
          <w:tcPr>
            <w:tcW w:w="609" w:type="pct"/>
            <w:tcBorders>
              <w:top w:val="nil"/>
              <w:bottom w:val="nil"/>
            </w:tcBorders>
          </w:tcPr>
          <w:p w:rsidR="00D647CD" w:rsidRPr="00222597" w:rsidRDefault="00D647CD" w:rsidP="005C5376">
            <w:pPr>
              <w:jc w:val="left"/>
              <w:rPr>
                <w:rFonts w:ascii="Arial Narrow" w:hAnsi="Arial Narrow"/>
                <w:sz w:val="20"/>
              </w:rPr>
            </w:pPr>
            <w:r w:rsidRPr="00222597">
              <w:rPr>
                <w:rFonts w:ascii="Arial Narrow" w:hAnsi="Arial Narrow"/>
                <w:sz w:val="20"/>
              </w:rPr>
              <w:t>PEARL III extension 2</w:t>
            </w:r>
          </w:p>
          <w:p w:rsidR="00D647CD" w:rsidRPr="00222597" w:rsidRDefault="00D647CD" w:rsidP="005C5376">
            <w:pPr>
              <w:jc w:val="left"/>
              <w:rPr>
                <w:rFonts w:ascii="Arial Narrow" w:hAnsi="Arial Narrow"/>
                <w:sz w:val="20"/>
              </w:rPr>
            </w:pPr>
            <w:r w:rsidRPr="00222597">
              <w:rPr>
                <w:rFonts w:ascii="Arial Narrow" w:hAnsi="Arial Narrow"/>
                <w:sz w:val="20"/>
              </w:rPr>
              <w:t>(PGL11-024)</w:t>
            </w:r>
          </w:p>
        </w:tc>
        <w:tc>
          <w:tcPr>
            <w:tcW w:w="2130" w:type="pct"/>
            <w:tcBorders>
              <w:top w:val="nil"/>
              <w:bottom w:val="nil"/>
            </w:tcBorders>
          </w:tcPr>
          <w:p w:rsidR="00D647CD" w:rsidRPr="00222597" w:rsidRDefault="00D647CD" w:rsidP="005C5376">
            <w:pPr>
              <w:spacing w:after="60"/>
              <w:jc w:val="left"/>
              <w:rPr>
                <w:rFonts w:ascii="Arial Narrow" w:hAnsi="Arial Narrow"/>
                <w:sz w:val="20"/>
              </w:rPr>
            </w:pPr>
            <w:r w:rsidRPr="00222597">
              <w:rPr>
                <w:rFonts w:ascii="Arial Narrow" w:hAnsi="Arial Narrow"/>
                <w:sz w:val="20"/>
              </w:rPr>
              <w:t xml:space="preserve">A phase III, multicentre, extension study investigating the efficacy and safety of repeated intermittent 3-month courses of open-label administration of </w:t>
            </w:r>
            <w:proofErr w:type="spellStart"/>
            <w:r w:rsidRPr="00222597">
              <w:rPr>
                <w:rFonts w:ascii="Arial Narrow" w:hAnsi="Arial Narrow"/>
                <w:sz w:val="20"/>
              </w:rPr>
              <w:t>ulipristal</w:t>
            </w:r>
            <w:proofErr w:type="spellEnd"/>
            <w:r w:rsidRPr="00222597">
              <w:rPr>
                <w:rFonts w:ascii="Arial Narrow" w:hAnsi="Arial Narrow"/>
                <w:sz w:val="20"/>
              </w:rPr>
              <w:t xml:space="preserve"> acetate, in subjects with symptomatic uterine </w:t>
            </w:r>
            <w:proofErr w:type="spellStart"/>
            <w:r w:rsidRPr="00222597">
              <w:rPr>
                <w:rFonts w:ascii="Arial Narrow" w:hAnsi="Arial Narrow"/>
                <w:sz w:val="20"/>
              </w:rPr>
              <w:t>myomas</w:t>
            </w:r>
            <w:proofErr w:type="spellEnd"/>
            <w:r w:rsidRPr="00222597">
              <w:rPr>
                <w:rFonts w:ascii="Arial Narrow" w:hAnsi="Arial Narrow"/>
                <w:sz w:val="20"/>
              </w:rPr>
              <w:t xml:space="preserve"> and heavy uterine bleeding.</w:t>
            </w:r>
          </w:p>
        </w:tc>
        <w:tc>
          <w:tcPr>
            <w:tcW w:w="2261" w:type="pct"/>
            <w:tcBorders>
              <w:top w:val="nil"/>
              <w:bottom w:val="nil"/>
            </w:tcBorders>
          </w:tcPr>
          <w:p w:rsidR="00D647CD" w:rsidRPr="00222597" w:rsidRDefault="00D647CD" w:rsidP="005C5376">
            <w:pPr>
              <w:jc w:val="left"/>
              <w:rPr>
                <w:rFonts w:ascii="Arial Narrow" w:hAnsi="Arial Narrow"/>
                <w:sz w:val="20"/>
              </w:rPr>
            </w:pPr>
            <w:r w:rsidRPr="00222597">
              <w:rPr>
                <w:rFonts w:ascii="Arial Narrow" w:hAnsi="Arial Narrow"/>
                <w:sz w:val="20"/>
              </w:rPr>
              <w:t>July 2015.</w:t>
            </w:r>
          </w:p>
        </w:tc>
      </w:tr>
      <w:tr w:rsidR="00D647CD" w:rsidRPr="00222597" w:rsidTr="00763607">
        <w:trPr>
          <w:tblHeader/>
        </w:trPr>
        <w:tc>
          <w:tcPr>
            <w:tcW w:w="609" w:type="pct"/>
            <w:tcBorders>
              <w:bottom w:val="nil"/>
            </w:tcBorders>
          </w:tcPr>
          <w:p w:rsidR="00D647CD" w:rsidRPr="00222597" w:rsidRDefault="00D647CD" w:rsidP="005C5376">
            <w:pPr>
              <w:jc w:val="left"/>
              <w:rPr>
                <w:rFonts w:ascii="Arial Narrow" w:hAnsi="Arial Narrow"/>
                <w:sz w:val="20"/>
              </w:rPr>
            </w:pPr>
            <w:r w:rsidRPr="00222597">
              <w:rPr>
                <w:rFonts w:ascii="Arial Narrow" w:hAnsi="Arial Narrow"/>
                <w:sz w:val="20"/>
              </w:rPr>
              <w:t>PEARL IV</w:t>
            </w:r>
          </w:p>
          <w:p w:rsidR="00D647CD" w:rsidRPr="00222597" w:rsidRDefault="00D647CD" w:rsidP="005C5376">
            <w:pPr>
              <w:jc w:val="left"/>
              <w:rPr>
                <w:rFonts w:ascii="Arial Narrow" w:hAnsi="Arial Narrow"/>
                <w:sz w:val="20"/>
              </w:rPr>
            </w:pPr>
            <w:r w:rsidRPr="00222597">
              <w:rPr>
                <w:rFonts w:ascii="Arial Narrow" w:hAnsi="Arial Narrow"/>
                <w:sz w:val="20"/>
              </w:rPr>
              <w:t>(PGL11-006)</w:t>
            </w:r>
          </w:p>
        </w:tc>
        <w:tc>
          <w:tcPr>
            <w:tcW w:w="2130" w:type="pct"/>
            <w:tcBorders>
              <w:bottom w:val="nil"/>
            </w:tcBorders>
          </w:tcPr>
          <w:p w:rsidR="00D647CD" w:rsidRPr="00222597" w:rsidRDefault="00D647CD" w:rsidP="005C5376">
            <w:pPr>
              <w:spacing w:after="60"/>
              <w:jc w:val="left"/>
              <w:rPr>
                <w:rFonts w:ascii="Arial Narrow" w:hAnsi="Arial Narrow"/>
                <w:sz w:val="20"/>
              </w:rPr>
            </w:pPr>
            <w:r w:rsidRPr="00222597">
              <w:rPr>
                <w:rFonts w:ascii="Arial Narrow" w:hAnsi="Arial Narrow"/>
                <w:sz w:val="20"/>
              </w:rPr>
              <w:t xml:space="preserve">A phase III, multicentre, randomised, double-blind clinical study, investigating the efficacy and safety of repeated 12-week courses of daily </w:t>
            </w:r>
            <w:r w:rsidR="00B413FC" w:rsidRPr="00222597">
              <w:rPr>
                <w:rFonts w:ascii="Arial Narrow" w:hAnsi="Arial Narrow"/>
                <w:sz w:val="20"/>
              </w:rPr>
              <w:t>5 mg</w:t>
            </w:r>
            <w:r w:rsidRPr="00222597">
              <w:rPr>
                <w:rFonts w:ascii="Arial Narrow" w:hAnsi="Arial Narrow"/>
                <w:sz w:val="20"/>
              </w:rPr>
              <w:t xml:space="preserve"> or 1</w:t>
            </w:r>
            <w:r w:rsidR="00B413FC" w:rsidRPr="00222597">
              <w:rPr>
                <w:rFonts w:ascii="Arial Narrow" w:hAnsi="Arial Narrow"/>
                <w:sz w:val="20"/>
              </w:rPr>
              <w:t>0 mg</w:t>
            </w:r>
            <w:r w:rsidRPr="00222597">
              <w:rPr>
                <w:rFonts w:ascii="Arial Narrow" w:hAnsi="Arial Narrow"/>
                <w:sz w:val="20"/>
              </w:rPr>
              <w:t xml:space="preserve"> doses of PGL4001 for the long-term management of symptomatic uterine fibroids. </w:t>
            </w:r>
          </w:p>
        </w:tc>
        <w:tc>
          <w:tcPr>
            <w:tcW w:w="2261" w:type="pct"/>
            <w:tcBorders>
              <w:bottom w:val="nil"/>
            </w:tcBorders>
          </w:tcPr>
          <w:p w:rsidR="00D647CD" w:rsidRPr="00222597" w:rsidRDefault="00D647CD" w:rsidP="005C5376">
            <w:pPr>
              <w:jc w:val="left"/>
              <w:rPr>
                <w:rFonts w:ascii="Arial Narrow" w:hAnsi="Arial Narrow"/>
                <w:sz w:val="20"/>
              </w:rPr>
            </w:pPr>
            <w:r w:rsidRPr="00222597">
              <w:rPr>
                <w:rFonts w:ascii="Arial Narrow" w:hAnsi="Arial Narrow"/>
                <w:sz w:val="20"/>
              </w:rPr>
              <w:t>May 2014.</w:t>
            </w:r>
          </w:p>
        </w:tc>
      </w:tr>
      <w:tr w:rsidR="00D647CD" w:rsidRPr="00222597" w:rsidTr="00763607">
        <w:trPr>
          <w:tblHeader/>
        </w:trPr>
        <w:tc>
          <w:tcPr>
            <w:tcW w:w="609" w:type="pct"/>
            <w:tcBorders>
              <w:top w:val="nil"/>
              <w:bottom w:val="nil"/>
            </w:tcBorders>
          </w:tcPr>
          <w:p w:rsidR="00D647CD" w:rsidRPr="00222597" w:rsidRDefault="00D647CD" w:rsidP="005C5376">
            <w:pPr>
              <w:jc w:val="left"/>
              <w:rPr>
                <w:rFonts w:ascii="Arial Narrow" w:hAnsi="Arial Narrow"/>
                <w:sz w:val="20"/>
              </w:rPr>
            </w:pPr>
          </w:p>
        </w:tc>
        <w:tc>
          <w:tcPr>
            <w:tcW w:w="2130" w:type="pct"/>
            <w:tcBorders>
              <w:top w:val="nil"/>
              <w:bottom w:val="nil"/>
            </w:tcBorders>
          </w:tcPr>
          <w:p w:rsidR="00D647CD" w:rsidRPr="00222597" w:rsidRDefault="00D647CD" w:rsidP="005C5376">
            <w:pPr>
              <w:spacing w:after="60"/>
              <w:jc w:val="left"/>
              <w:rPr>
                <w:rFonts w:ascii="Arial Narrow" w:hAnsi="Arial Narrow"/>
                <w:sz w:val="20"/>
              </w:rPr>
            </w:pPr>
            <w:proofErr w:type="spellStart"/>
            <w:r w:rsidRPr="00222597">
              <w:rPr>
                <w:rFonts w:ascii="Arial Narrow" w:hAnsi="Arial Narrow"/>
                <w:sz w:val="20"/>
              </w:rPr>
              <w:t>Donnez</w:t>
            </w:r>
            <w:proofErr w:type="spellEnd"/>
            <w:r w:rsidRPr="00222597">
              <w:rPr>
                <w:rFonts w:ascii="Arial Narrow" w:hAnsi="Arial Narrow"/>
                <w:sz w:val="20"/>
              </w:rPr>
              <w:t xml:space="preserve"> J, </w:t>
            </w:r>
            <w:proofErr w:type="spellStart"/>
            <w:r w:rsidRPr="00222597">
              <w:rPr>
                <w:rFonts w:ascii="Arial Narrow" w:hAnsi="Arial Narrow"/>
                <w:sz w:val="20"/>
              </w:rPr>
              <w:t>Hudecek</w:t>
            </w:r>
            <w:proofErr w:type="spellEnd"/>
            <w:r w:rsidRPr="00222597">
              <w:rPr>
                <w:rFonts w:ascii="Arial Narrow" w:hAnsi="Arial Narrow"/>
                <w:sz w:val="20"/>
              </w:rPr>
              <w:t xml:space="preserve"> R, </w:t>
            </w:r>
            <w:r w:rsidRPr="00222597">
              <w:rPr>
                <w:rFonts w:ascii="Arial Narrow" w:hAnsi="Arial Narrow"/>
                <w:i/>
                <w:sz w:val="20"/>
              </w:rPr>
              <w:t>et al.</w:t>
            </w:r>
            <w:r w:rsidRPr="00222597">
              <w:rPr>
                <w:rFonts w:ascii="Arial Narrow" w:hAnsi="Arial Narrow"/>
                <w:sz w:val="20"/>
              </w:rPr>
              <w:t xml:space="preserve"> Efficacy and safety of repeated use of </w:t>
            </w:r>
            <w:proofErr w:type="spellStart"/>
            <w:r w:rsidRPr="00222597">
              <w:rPr>
                <w:rFonts w:ascii="Arial Narrow" w:hAnsi="Arial Narrow"/>
                <w:sz w:val="20"/>
              </w:rPr>
              <w:t>ulipristal</w:t>
            </w:r>
            <w:proofErr w:type="spellEnd"/>
            <w:r w:rsidRPr="00222597">
              <w:rPr>
                <w:rFonts w:ascii="Arial Narrow" w:hAnsi="Arial Narrow"/>
                <w:sz w:val="20"/>
              </w:rPr>
              <w:t xml:space="preserve"> acetate in uterine fibroids.</w:t>
            </w:r>
          </w:p>
        </w:tc>
        <w:tc>
          <w:tcPr>
            <w:tcW w:w="2261" w:type="pct"/>
            <w:tcBorders>
              <w:top w:val="nil"/>
              <w:bottom w:val="nil"/>
            </w:tcBorders>
          </w:tcPr>
          <w:p w:rsidR="00D647CD" w:rsidRPr="00222597" w:rsidRDefault="00D647CD" w:rsidP="005C5376">
            <w:pPr>
              <w:jc w:val="left"/>
              <w:rPr>
                <w:rFonts w:ascii="Arial Narrow" w:hAnsi="Arial Narrow"/>
                <w:sz w:val="20"/>
              </w:rPr>
            </w:pPr>
            <w:r w:rsidRPr="00222597">
              <w:rPr>
                <w:rFonts w:ascii="Arial Narrow" w:hAnsi="Arial Narrow"/>
                <w:i/>
                <w:sz w:val="20"/>
              </w:rPr>
              <w:t xml:space="preserve">Fertility and Sterility </w:t>
            </w:r>
            <w:r w:rsidRPr="00222597">
              <w:rPr>
                <w:rFonts w:ascii="Arial Narrow" w:hAnsi="Arial Narrow"/>
                <w:sz w:val="20"/>
              </w:rPr>
              <w:t>2015; 103 (2):519-27.</w:t>
            </w:r>
          </w:p>
        </w:tc>
      </w:tr>
      <w:tr w:rsidR="00D647CD" w:rsidRPr="00222597" w:rsidTr="00763607">
        <w:trPr>
          <w:tblHeader/>
        </w:trPr>
        <w:tc>
          <w:tcPr>
            <w:tcW w:w="609" w:type="pct"/>
            <w:tcBorders>
              <w:top w:val="nil"/>
              <w:bottom w:val="single" w:sz="4" w:space="0" w:color="auto"/>
            </w:tcBorders>
          </w:tcPr>
          <w:p w:rsidR="00D647CD" w:rsidRPr="00222597" w:rsidRDefault="00D647CD" w:rsidP="005C5376">
            <w:pPr>
              <w:jc w:val="left"/>
              <w:rPr>
                <w:rFonts w:ascii="Arial Narrow" w:hAnsi="Arial Narrow"/>
                <w:sz w:val="20"/>
              </w:rPr>
            </w:pPr>
          </w:p>
        </w:tc>
        <w:tc>
          <w:tcPr>
            <w:tcW w:w="2130" w:type="pct"/>
            <w:tcBorders>
              <w:top w:val="nil"/>
              <w:bottom w:val="single" w:sz="4" w:space="0" w:color="auto"/>
            </w:tcBorders>
          </w:tcPr>
          <w:p w:rsidR="00D647CD" w:rsidRPr="00222597" w:rsidRDefault="00D647CD" w:rsidP="005C5376">
            <w:pPr>
              <w:jc w:val="left"/>
              <w:rPr>
                <w:rFonts w:ascii="Arial Narrow" w:hAnsi="Arial Narrow"/>
                <w:sz w:val="20"/>
              </w:rPr>
            </w:pPr>
            <w:proofErr w:type="spellStart"/>
            <w:r w:rsidRPr="00222597">
              <w:rPr>
                <w:rFonts w:ascii="Arial Narrow" w:hAnsi="Arial Narrow"/>
                <w:sz w:val="20"/>
              </w:rPr>
              <w:t>Donnez</w:t>
            </w:r>
            <w:proofErr w:type="spellEnd"/>
            <w:r w:rsidRPr="00222597">
              <w:rPr>
                <w:rFonts w:ascii="Arial Narrow" w:hAnsi="Arial Narrow"/>
                <w:sz w:val="20"/>
              </w:rPr>
              <w:t xml:space="preserve"> J, </w:t>
            </w:r>
            <w:proofErr w:type="spellStart"/>
            <w:r w:rsidRPr="00222597">
              <w:rPr>
                <w:rFonts w:ascii="Arial Narrow" w:hAnsi="Arial Narrow"/>
                <w:sz w:val="20"/>
              </w:rPr>
              <w:t>Donnez</w:t>
            </w:r>
            <w:proofErr w:type="spellEnd"/>
            <w:r w:rsidRPr="00222597">
              <w:rPr>
                <w:rFonts w:ascii="Arial Narrow" w:hAnsi="Arial Narrow"/>
                <w:sz w:val="20"/>
              </w:rPr>
              <w:t xml:space="preserve"> O, </w:t>
            </w:r>
            <w:r w:rsidRPr="00222597">
              <w:rPr>
                <w:rFonts w:ascii="Arial Narrow" w:hAnsi="Arial Narrow"/>
                <w:i/>
                <w:sz w:val="20"/>
              </w:rPr>
              <w:t xml:space="preserve">et al. </w:t>
            </w:r>
            <w:r w:rsidRPr="00222597">
              <w:rPr>
                <w:rFonts w:ascii="Arial Narrow" w:hAnsi="Arial Narrow"/>
                <w:sz w:val="20"/>
              </w:rPr>
              <w:t xml:space="preserve">Long-term medical management of uterine fibroids with </w:t>
            </w:r>
            <w:proofErr w:type="spellStart"/>
            <w:r w:rsidRPr="00222597">
              <w:rPr>
                <w:rFonts w:ascii="Arial Narrow" w:hAnsi="Arial Narrow"/>
                <w:sz w:val="20"/>
              </w:rPr>
              <w:t>ulipristal</w:t>
            </w:r>
            <w:proofErr w:type="spellEnd"/>
            <w:r w:rsidRPr="00222597">
              <w:rPr>
                <w:rFonts w:ascii="Arial Narrow" w:hAnsi="Arial Narrow"/>
                <w:sz w:val="20"/>
              </w:rPr>
              <w:t xml:space="preserve"> acetate.</w:t>
            </w:r>
          </w:p>
        </w:tc>
        <w:tc>
          <w:tcPr>
            <w:tcW w:w="2261" w:type="pct"/>
            <w:tcBorders>
              <w:top w:val="nil"/>
              <w:bottom w:val="single" w:sz="4" w:space="0" w:color="auto"/>
            </w:tcBorders>
          </w:tcPr>
          <w:p w:rsidR="00D647CD" w:rsidRPr="00222597" w:rsidRDefault="00D647CD" w:rsidP="005C5376">
            <w:pPr>
              <w:jc w:val="left"/>
              <w:rPr>
                <w:rFonts w:ascii="Arial Narrow" w:hAnsi="Arial Narrow"/>
                <w:i/>
                <w:sz w:val="20"/>
              </w:rPr>
            </w:pPr>
            <w:r w:rsidRPr="00222597">
              <w:rPr>
                <w:rFonts w:ascii="Arial Narrow" w:hAnsi="Arial Narrow"/>
                <w:i/>
                <w:sz w:val="20"/>
              </w:rPr>
              <w:t xml:space="preserve">Fertility and Sterility </w:t>
            </w:r>
            <w:r w:rsidRPr="00222597">
              <w:rPr>
                <w:rFonts w:ascii="Arial Narrow" w:hAnsi="Arial Narrow"/>
                <w:sz w:val="20"/>
              </w:rPr>
              <w:t>2016; 105 (1):165-73.</w:t>
            </w:r>
          </w:p>
        </w:tc>
      </w:tr>
      <w:tr w:rsidR="00D647CD" w:rsidRPr="00222597" w:rsidTr="00763607">
        <w:trPr>
          <w:tblHeader/>
        </w:trPr>
        <w:tc>
          <w:tcPr>
            <w:tcW w:w="609" w:type="pct"/>
            <w:tcBorders>
              <w:top w:val="single" w:sz="4" w:space="0" w:color="auto"/>
              <w:bottom w:val="nil"/>
            </w:tcBorders>
          </w:tcPr>
          <w:p w:rsidR="00D647CD" w:rsidRPr="00222597" w:rsidRDefault="00D647CD" w:rsidP="005C5376">
            <w:pPr>
              <w:jc w:val="left"/>
              <w:rPr>
                <w:rFonts w:ascii="Arial Narrow" w:hAnsi="Arial Narrow"/>
                <w:sz w:val="20"/>
              </w:rPr>
            </w:pPr>
            <w:r w:rsidRPr="00222597">
              <w:rPr>
                <w:rFonts w:ascii="Arial Narrow" w:hAnsi="Arial Narrow"/>
                <w:sz w:val="20"/>
              </w:rPr>
              <w:t>PGL-N-0090</w:t>
            </w:r>
          </w:p>
        </w:tc>
        <w:tc>
          <w:tcPr>
            <w:tcW w:w="2130" w:type="pct"/>
            <w:tcBorders>
              <w:top w:val="single" w:sz="4" w:space="0" w:color="auto"/>
              <w:bottom w:val="nil"/>
            </w:tcBorders>
          </w:tcPr>
          <w:p w:rsidR="00D647CD" w:rsidRPr="00222597" w:rsidRDefault="00D647CD" w:rsidP="005C5376">
            <w:pPr>
              <w:spacing w:after="60"/>
              <w:jc w:val="left"/>
              <w:rPr>
                <w:rFonts w:ascii="Arial Narrow" w:hAnsi="Arial Narrow"/>
                <w:sz w:val="20"/>
              </w:rPr>
            </w:pPr>
            <w:r w:rsidRPr="00222597">
              <w:rPr>
                <w:rFonts w:ascii="Arial Narrow" w:hAnsi="Arial Narrow"/>
                <w:sz w:val="20"/>
              </w:rPr>
              <w:t>Treatment o</w:t>
            </w:r>
            <w:r w:rsidR="00142983" w:rsidRPr="00222597">
              <w:rPr>
                <w:rFonts w:ascii="Arial Narrow" w:hAnsi="Arial Narrow"/>
                <w:sz w:val="20"/>
              </w:rPr>
              <w:t>f leiomyom</w:t>
            </w:r>
            <w:r w:rsidRPr="00222597">
              <w:rPr>
                <w:rFonts w:ascii="Arial Narrow" w:hAnsi="Arial Narrow"/>
                <w:sz w:val="20"/>
              </w:rPr>
              <w:t xml:space="preserve">a with the selective progesterone receptor modulator </w:t>
            </w:r>
            <w:proofErr w:type="spellStart"/>
            <w:r w:rsidRPr="00222597">
              <w:rPr>
                <w:rFonts w:ascii="Arial Narrow" w:hAnsi="Arial Narrow"/>
                <w:sz w:val="20"/>
              </w:rPr>
              <w:t>ulipristal</w:t>
            </w:r>
            <w:proofErr w:type="spellEnd"/>
            <w:r w:rsidRPr="00222597">
              <w:rPr>
                <w:rFonts w:ascii="Arial Narrow" w:hAnsi="Arial Narrow"/>
                <w:sz w:val="20"/>
              </w:rPr>
              <w:t xml:space="preserve"> acetate with optional three month extension.</w:t>
            </w:r>
          </w:p>
        </w:tc>
        <w:tc>
          <w:tcPr>
            <w:tcW w:w="2261" w:type="pct"/>
            <w:tcBorders>
              <w:top w:val="single" w:sz="4" w:space="0" w:color="auto"/>
              <w:bottom w:val="nil"/>
            </w:tcBorders>
          </w:tcPr>
          <w:p w:rsidR="00D647CD" w:rsidRPr="00222597" w:rsidRDefault="00D647CD" w:rsidP="005C5376">
            <w:pPr>
              <w:jc w:val="left"/>
              <w:rPr>
                <w:rFonts w:ascii="Arial Narrow" w:hAnsi="Arial Narrow"/>
                <w:sz w:val="20"/>
              </w:rPr>
            </w:pPr>
            <w:r w:rsidRPr="00222597">
              <w:rPr>
                <w:rFonts w:ascii="Arial Narrow" w:hAnsi="Arial Narrow"/>
                <w:sz w:val="20"/>
              </w:rPr>
              <w:t>June 2010</w:t>
            </w:r>
          </w:p>
        </w:tc>
      </w:tr>
      <w:tr w:rsidR="00D647CD" w:rsidRPr="00222597" w:rsidTr="00763607">
        <w:trPr>
          <w:tblHeader/>
        </w:trPr>
        <w:tc>
          <w:tcPr>
            <w:tcW w:w="609" w:type="pct"/>
            <w:tcBorders>
              <w:top w:val="nil"/>
              <w:bottom w:val="nil"/>
            </w:tcBorders>
          </w:tcPr>
          <w:p w:rsidR="00D647CD" w:rsidRPr="00222597" w:rsidRDefault="00D647CD" w:rsidP="005C5376">
            <w:pPr>
              <w:jc w:val="left"/>
              <w:rPr>
                <w:rFonts w:ascii="Arial Narrow" w:hAnsi="Arial Narrow"/>
                <w:sz w:val="20"/>
              </w:rPr>
            </w:pPr>
          </w:p>
        </w:tc>
        <w:tc>
          <w:tcPr>
            <w:tcW w:w="2130" w:type="pct"/>
            <w:tcBorders>
              <w:top w:val="nil"/>
              <w:bottom w:val="nil"/>
            </w:tcBorders>
          </w:tcPr>
          <w:p w:rsidR="00D647CD" w:rsidRPr="00222597" w:rsidRDefault="00D647CD" w:rsidP="005C5376">
            <w:pPr>
              <w:spacing w:after="60"/>
              <w:jc w:val="left"/>
              <w:rPr>
                <w:rFonts w:ascii="Arial Narrow" w:hAnsi="Arial Narrow"/>
                <w:sz w:val="20"/>
              </w:rPr>
            </w:pPr>
            <w:r w:rsidRPr="00222597">
              <w:rPr>
                <w:rFonts w:ascii="Arial Narrow" w:hAnsi="Arial Narrow"/>
                <w:sz w:val="20"/>
              </w:rPr>
              <w:t xml:space="preserve">Neiman LK, Blocker W, </w:t>
            </w:r>
            <w:r w:rsidRPr="00222597">
              <w:rPr>
                <w:rFonts w:ascii="Arial Narrow" w:hAnsi="Arial Narrow"/>
                <w:i/>
                <w:sz w:val="20"/>
              </w:rPr>
              <w:t>et al.</w:t>
            </w:r>
            <w:r w:rsidRPr="00222597">
              <w:rPr>
                <w:rFonts w:ascii="Arial Narrow" w:hAnsi="Arial Narrow"/>
                <w:sz w:val="20"/>
              </w:rPr>
              <w:t xml:space="preserve"> Efficacy and tolerability of CDB-2914 treatment for symptomatic uterine fibroids: a randomized double-bli</w:t>
            </w:r>
            <w:r w:rsidR="00BC2991" w:rsidRPr="00222597">
              <w:rPr>
                <w:rFonts w:ascii="Arial Narrow" w:hAnsi="Arial Narrow"/>
                <w:sz w:val="20"/>
              </w:rPr>
              <w:t xml:space="preserve">nd, placebo-controlled, phase </w:t>
            </w:r>
            <w:proofErr w:type="spellStart"/>
            <w:r w:rsidR="00BC2991" w:rsidRPr="00222597">
              <w:rPr>
                <w:rFonts w:ascii="Arial Narrow" w:hAnsi="Arial Narrow"/>
                <w:sz w:val="20"/>
              </w:rPr>
              <w:t>II</w:t>
            </w:r>
            <w:r w:rsidRPr="00222597">
              <w:rPr>
                <w:rFonts w:ascii="Arial Narrow" w:hAnsi="Arial Narrow"/>
                <w:sz w:val="20"/>
              </w:rPr>
              <w:t>b</w:t>
            </w:r>
            <w:proofErr w:type="spellEnd"/>
            <w:r w:rsidRPr="00222597">
              <w:rPr>
                <w:rFonts w:ascii="Arial Narrow" w:hAnsi="Arial Narrow"/>
                <w:sz w:val="20"/>
              </w:rPr>
              <w:t xml:space="preserve"> study.</w:t>
            </w:r>
          </w:p>
        </w:tc>
        <w:tc>
          <w:tcPr>
            <w:tcW w:w="2261" w:type="pct"/>
            <w:tcBorders>
              <w:top w:val="nil"/>
              <w:bottom w:val="nil"/>
            </w:tcBorders>
          </w:tcPr>
          <w:p w:rsidR="00D647CD" w:rsidRPr="00222597" w:rsidRDefault="00D647CD" w:rsidP="005C5376">
            <w:pPr>
              <w:jc w:val="left"/>
              <w:rPr>
                <w:rFonts w:ascii="Arial Narrow" w:hAnsi="Arial Narrow"/>
                <w:sz w:val="20"/>
              </w:rPr>
            </w:pPr>
            <w:r w:rsidRPr="00222597">
              <w:rPr>
                <w:rFonts w:ascii="Arial Narrow" w:hAnsi="Arial Narrow"/>
                <w:i/>
                <w:sz w:val="20"/>
              </w:rPr>
              <w:t>Fertility and Sterility</w:t>
            </w:r>
            <w:r w:rsidRPr="00222597">
              <w:rPr>
                <w:rFonts w:ascii="Arial Narrow" w:hAnsi="Arial Narrow"/>
                <w:sz w:val="20"/>
              </w:rPr>
              <w:t xml:space="preserve"> 2011; 95 (2):767-72.</w:t>
            </w:r>
          </w:p>
        </w:tc>
      </w:tr>
      <w:tr w:rsidR="00D647CD" w:rsidRPr="00222597" w:rsidTr="00763607">
        <w:trPr>
          <w:tblHeader/>
        </w:trPr>
        <w:tc>
          <w:tcPr>
            <w:tcW w:w="609" w:type="pct"/>
            <w:tcBorders>
              <w:top w:val="nil"/>
            </w:tcBorders>
          </w:tcPr>
          <w:p w:rsidR="00D647CD" w:rsidRPr="00222597" w:rsidRDefault="00D647CD" w:rsidP="005C5376">
            <w:pPr>
              <w:jc w:val="left"/>
              <w:rPr>
                <w:rFonts w:ascii="Arial Narrow" w:hAnsi="Arial Narrow"/>
                <w:sz w:val="20"/>
              </w:rPr>
            </w:pPr>
          </w:p>
        </w:tc>
        <w:tc>
          <w:tcPr>
            <w:tcW w:w="2130" w:type="pct"/>
            <w:tcBorders>
              <w:top w:val="nil"/>
            </w:tcBorders>
          </w:tcPr>
          <w:p w:rsidR="00D647CD" w:rsidRPr="00222597" w:rsidRDefault="00D647CD" w:rsidP="005C5376">
            <w:pPr>
              <w:spacing w:after="60"/>
              <w:jc w:val="left"/>
              <w:rPr>
                <w:rFonts w:ascii="Arial Narrow" w:hAnsi="Arial Narrow"/>
                <w:sz w:val="20"/>
              </w:rPr>
            </w:pPr>
            <w:proofErr w:type="spellStart"/>
            <w:r w:rsidRPr="00222597">
              <w:rPr>
                <w:rFonts w:ascii="Arial Narrow" w:hAnsi="Arial Narrow"/>
                <w:sz w:val="20"/>
              </w:rPr>
              <w:t>Levens</w:t>
            </w:r>
            <w:proofErr w:type="spellEnd"/>
            <w:r w:rsidRPr="00222597">
              <w:rPr>
                <w:rFonts w:ascii="Arial Narrow" w:hAnsi="Arial Narrow"/>
                <w:sz w:val="20"/>
              </w:rPr>
              <w:t xml:space="preserve"> ED, </w:t>
            </w:r>
            <w:proofErr w:type="spellStart"/>
            <w:r w:rsidRPr="00222597">
              <w:rPr>
                <w:rFonts w:ascii="Arial Narrow" w:hAnsi="Arial Narrow"/>
                <w:sz w:val="20"/>
              </w:rPr>
              <w:t>Potlog-Nahari</w:t>
            </w:r>
            <w:proofErr w:type="spellEnd"/>
            <w:r w:rsidRPr="00222597">
              <w:rPr>
                <w:rFonts w:ascii="Arial Narrow" w:hAnsi="Arial Narrow"/>
                <w:sz w:val="20"/>
              </w:rPr>
              <w:t xml:space="preserve"> C, </w:t>
            </w:r>
            <w:r w:rsidRPr="00222597">
              <w:rPr>
                <w:rFonts w:ascii="Arial Narrow" w:hAnsi="Arial Narrow"/>
                <w:i/>
                <w:sz w:val="20"/>
              </w:rPr>
              <w:t xml:space="preserve">et al. </w:t>
            </w:r>
            <w:r w:rsidRPr="00222597">
              <w:rPr>
                <w:rFonts w:ascii="Arial Narrow" w:hAnsi="Arial Narrow"/>
                <w:sz w:val="20"/>
              </w:rPr>
              <w:t xml:space="preserve">CDB-2914 for uterine </w:t>
            </w:r>
            <w:proofErr w:type="spellStart"/>
            <w:r w:rsidRPr="00222597">
              <w:rPr>
                <w:rFonts w:ascii="Arial Narrow" w:hAnsi="Arial Narrow"/>
                <w:sz w:val="20"/>
              </w:rPr>
              <w:t>leiomyomata</w:t>
            </w:r>
            <w:proofErr w:type="spellEnd"/>
            <w:r w:rsidRPr="00222597">
              <w:rPr>
                <w:rFonts w:ascii="Arial Narrow" w:hAnsi="Arial Narrow"/>
                <w:sz w:val="20"/>
              </w:rPr>
              <w:t xml:space="preserve"> treatment: a randomized controlled trial.</w:t>
            </w:r>
          </w:p>
        </w:tc>
        <w:tc>
          <w:tcPr>
            <w:tcW w:w="2261" w:type="pct"/>
            <w:tcBorders>
              <w:top w:val="nil"/>
            </w:tcBorders>
          </w:tcPr>
          <w:p w:rsidR="00D647CD" w:rsidRPr="00222597" w:rsidRDefault="00D647CD" w:rsidP="005C5376">
            <w:pPr>
              <w:jc w:val="left"/>
              <w:rPr>
                <w:rFonts w:ascii="Arial Narrow" w:hAnsi="Arial Narrow"/>
                <w:sz w:val="20"/>
              </w:rPr>
            </w:pPr>
            <w:r w:rsidRPr="00222597">
              <w:rPr>
                <w:rFonts w:ascii="Arial Narrow" w:hAnsi="Arial Narrow"/>
                <w:i/>
                <w:sz w:val="20"/>
              </w:rPr>
              <w:t xml:space="preserve">Obstetrics &amp; </w:t>
            </w:r>
            <w:proofErr w:type="spellStart"/>
            <w:r w:rsidRPr="00222597">
              <w:rPr>
                <w:rFonts w:ascii="Arial Narrow" w:hAnsi="Arial Narrow"/>
                <w:i/>
                <w:sz w:val="20"/>
              </w:rPr>
              <w:t>Gynecology</w:t>
            </w:r>
            <w:proofErr w:type="spellEnd"/>
            <w:r w:rsidRPr="00222597">
              <w:rPr>
                <w:rFonts w:ascii="Arial Narrow" w:hAnsi="Arial Narrow"/>
                <w:sz w:val="20"/>
              </w:rPr>
              <w:t xml:space="preserve"> 2008; 111 (5):1129-36.</w:t>
            </w:r>
          </w:p>
        </w:tc>
      </w:tr>
      <w:tr w:rsidR="00D647CD" w:rsidRPr="00222597" w:rsidTr="00763607">
        <w:trPr>
          <w:tblHeader/>
        </w:trPr>
        <w:tc>
          <w:tcPr>
            <w:tcW w:w="5000" w:type="pct"/>
            <w:gridSpan w:val="3"/>
          </w:tcPr>
          <w:p w:rsidR="00D647CD" w:rsidRPr="00222597" w:rsidRDefault="00D647CD" w:rsidP="005C5376">
            <w:pPr>
              <w:jc w:val="left"/>
              <w:rPr>
                <w:rFonts w:ascii="Arial Narrow" w:hAnsi="Arial Narrow"/>
                <w:b/>
                <w:sz w:val="20"/>
              </w:rPr>
            </w:pPr>
            <w:proofErr w:type="spellStart"/>
            <w:r w:rsidRPr="00222597">
              <w:rPr>
                <w:rFonts w:ascii="Arial Narrow" w:hAnsi="Arial Narrow"/>
                <w:b/>
                <w:sz w:val="20"/>
              </w:rPr>
              <w:t>Goserelin</w:t>
            </w:r>
            <w:proofErr w:type="spellEnd"/>
            <w:r w:rsidRPr="00222597">
              <w:rPr>
                <w:rFonts w:ascii="Arial Narrow" w:hAnsi="Arial Narrow"/>
                <w:b/>
                <w:sz w:val="20"/>
              </w:rPr>
              <w:t xml:space="preserve"> studies</w:t>
            </w:r>
          </w:p>
        </w:tc>
      </w:tr>
      <w:tr w:rsidR="00D647CD" w:rsidRPr="00222597" w:rsidTr="00763607">
        <w:trPr>
          <w:tblHeader/>
        </w:trPr>
        <w:tc>
          <w:tcPr>
            <w:tcW w:w="5000" w:type="pct"/>
            <w:gridSpan w:val="3"/>
          </w:tcPr>
          <w:p w:rsidR="00D647CD" w:rsidRPr="00222597" w:rsidRDefault="00D647CD" w:rsidP="005C5376">
            <w:pPr>
              <w:jc w:val="left"/>
              <w:rPr>
                <w:rFonts w:ascii="Arial Narrow" w:hAnsi="Arial Narrow"/>
                <w:i/>
                <w:sz w:val="20"/>
              </w:rPr>
            </w:pPr>
            <w:r w:rsidRPr="00222597">
              <w:rPr>
                <w:rFonts w:ascii="Arial Narrow" w:hAnsi="Arial Narrow"/>
                <w:i/>
                <w:sz w:val="20"/>
              </w:rPr>
              <w:t>Randomised trials</w:t>
            </w:r>
          </w:p>
        </w:tc>
      </w:tr>
      <w:tr w:rsidR="00D647CD" w:rsidRPr="00222597" w:rsidTr="00763607">
        <w:trPr>
          <w:tblHeader/>
        </w:trPr>
        <w:tc>
          <w:tcPr>
            <w:tcW w:w="609" w:type="pct"/>
          </w:tcPr>
          <w:p w:rsidR="00D647CD" w:rsidRPr="00222597" w:rsidRDefault="00D647CD" w:rsidP="005C5376">
            <w:pPr>
              <w:jc w:val="left"/>
              <w:rPr>
                <w:rFonts w:ascii="Arial Narrow" w:hAnsi="Arial Narrow"/>
                <w:sz w:val="20"/>
              </w:rPr>
            </w:pPr>
            <w:r w:rsidRPr="00222597">
              <w:rPr>
                <w:rFonts w:ascii="Arial Narrow" w:hAnsi="Arial Narrow"/>
                <w:sz w:val="20"/>
              </w:rPr>
              <w:t>Morris 2008</w:t>
            </w:r>
          </w:p>
        </w:tc>
        <w:tc>
          <w:tcPr>
            <w:tcW w:w="2130" w:type="pct"/>
          </w:tcPr>
          <w:p w:rsidR="00D647CD" w:rsidRPr="00222597" w:rsidRDefault="00D647CD" w:rsidP="005C5376">
            <w:pPr>
              <w:jc w:val="left"/>
              <w:rPr>
                <w:rFonts w:ascii="Arial Narrow" w:hAnsi="Arial Narrow"/>
                <w:b/>
                <w:sz w:val="20"/>
              </w:rPr>
            </w:pPr>
            <w:r w:rsidRPr="00222597">
              <w:rPr>
                <w:rFonts w:ascii="Arial Narrow" w:hAnsi="Arial Narrow"/>
                <w:sz w:val="20"/>
              </w:rPr>
              <w:t xml:space="preserve">Morris EP, </w:t>
            </w:r>
            <w:proofErr w:type="spellStart"/>
            <w:r w:rsidRPr="00222597">
              <w:rPr>
                <w:rFonts w:ascii="Arial Narrow" w:hAnsi="Arial Narrow"/>
                <w:sz w:val="20"/>
              </w:rPr>
              <w:t>Rymer</w:t>
            </w:r>
            <w:proofErr w:type="spellEnd"/>
            <w:r w:rsidRPr="00222597">
              <w:rPr>
                <w:rFonts w:ascii="Arial Narrow" w:hAnsi="Arial Narrow"/>
                <w:sz w:val="20"/>
              </w:rPr>
              <w:t xml:space="preserve"> J, </w:t>
            </w:r>
            <w:r w:rsidRPr="00222597">
              <w:rPr>
                <w:rFonts w:ascii="Arial Narrow" w:hAnsi="Arial Narrow"/>
                <w:i/>
                <w:sz w:val="20"/>
              </w:rPr>
              <w:t>et al.</w:t>
            </w:r>
            <w:r w:rsidRPr="00222597">
              <w:rPr>
                <w:rFonts w:ascii="Arial Narrow" w:hAnsi="Arial Narrow"/>
                <w:sz w:val="20"/>
              </w:rPr>
              <w:t xml:space="preserve"> Efficacy of </w:t>
            </w:r>
            <w:proofErr w:type="spellStart"/>
            <w:r w:rsidRPr="00222597">
              <w:rPr>
                <w:rFonts w:ascii="Arial Narrow" w:hAnsi="Arial Narrow"/>
                <w:sz w:val="20"/>
              </w:rPr>
              <w:t>tibolone</w:t>
            </w:r>
            <w:proofErr w:type="spellEnd"/>
            <w:r w:rsidRPr="00222597">
              <w:rPr>
                <w:rFonts w:ascii="Arial Narrow" w:hAnsi="Arial Narrow"/>
                <w:sz w:val="20"/>
              </w:rPr>
              <w:t xml:space="preserve"> as “add-back” therapy in conjunction with a gonadotropin –releasing hormone analogue in the treatment of uterine fibroids.</w:t>
            </w:r>
          </w:p>
        </w:tc>
        <w:tc>
          <w:tcPr>
            <w:tcW w:w="2261" w:type="pct"/>
          </w:tcPr>
          <w:p w:rsidR="00D647CD" w:rsidRPr="00222597" w:rsidRDefault="00D647CD" w:rsidP="005C5376">
            <w:pPr>
              <w:jc w:val="left"/>
              <w:rPr>
                <w:rFonts w:ascii="Arial Narrow" w:hAnsi="Arial Narrow"/>
                <w:b/>
                <w:sz w:val="20"/>
              </w:rPr>
            </w:pPr>
            <w:r w:rsidRPr="00222597">
              <w:rPr>
                <w:rFonts w:ascii="Arial Narrow" w:hAnsi="Arial Narrow"/>
                <w:i/>
                <w:sz w:val="20"/>
              </w:rPr>
              <w:t>Fertility and Sterility</w:t>
            </w:r>
            <w:r w:rsidRPr="00222597">
              <w:rPr>
                <w:rFonts w:ascii="Arial Narrow" w:hAnsi="Arial Narrow"/>
                <w:sz w:val="20"/>
              </w:rPr>
              <w:t xml:space="preserve"> 2008; 89 (2):421-8.</w:t>
            </w:r>
          </w:p>
        </w:tc>
      </w:tr>
      <w:tr w:rsidR="00D647CD" w:rsidRPr="00222597" w:rsidTr="00763607">
        <w:trPr>
          <w:tblHeader/>
        </w:trPr>
        <w:tc>
          <w:tcPr>
            <w:tcW w:w="609" w:type="pct"/>
          </w:tcPr>
          <w:p w:rsidR="00D647CD" w:rsidRPr="00222597" w:rsidRDefault="00D647CD" w:rsidP="005C5376">
            <w:pPr>
              <w:jc w:val="left"/>
              <w:rPr>
                <w:rFonts w:ascii="Arial Narrow" w:hAnsi="Arial Narrow"/>
                <w:sz w:val="20"/>
              </w:rPr>
            </w:pPr>
            <w:proofErr w:type="spellStart"/>
            <w:r w:rsidRPr="00222597">
              <w:rPr>
                <w:rFonts w:ascii="Arial Narrow" w:hAnsi="Arial Narrow"/>
                <w:sz w:val="20"/>
              </w:rPr>
              <w:t>Caird</w:t>
            </w:r>
            <w:proofErr w:type="spellEnd"/>
            <w:r w:rsidRPr="00222597">
              <w:rPr>
                <w:rFonts w:ascii="Arial Narrow" w:hAnsi="Arial Narrow"/>
                <w:sz w:val="20"/>
              </w:rPr>
              <w:t xml:space="preserve"> 1997</w:t>
            </w:r>
          </w:p>
        </w:tc>
        <w:tc>
          <w:tcPr>
            <w:tcW w:w="2130" w:type="pct"/>
          </w:tcPr>
          <w:p w:rsidR="00D647CD" w:rsidRPr="00222597" w:rsidRDefault="00D647CD" w:rsidP="005C5376">
            <w:pPr>
              <w:jc w:val="left"/>
              <w:rPr>
                <w:rFonts w:ascii="Arial Narrow" w:hAnsi="Arial Narrow"/>
                <w:sz w:val="20"/>
              </w:rPr>
            </w:pPr>
            <w:proofErr w:type="spellStart"/>
            <w:r w:rsidRPr="00222597">
              <w:rPr>
                <w:rFonts w:ascii="Arial Narrow" w:hAnsi="Arial Narrow"/>
                <w:sz w:val="20"/>
              </w:rPr>
              <w:t>Caird</w:t>
            </w:r>
            <w:proofErr w:type="spellEnd"/>
            <w:r w:rsidRPr="00222597">
              <w:rPr>
                <w:rFonts w:ascii="Arial Narrow" w:hAnsi="Arial Narrow"/>
                <w:sz w:val="20"/>
              </w:rPr>
              <w:t xml:space="preserve"> LE, West CP, </w:t>
            </w:r>
            <w:r w:rsidRPr="00222597">
              <w:rPr>
                <w:rFonts w:ascii="Arial Narrow" w:hAnsi="Arial Narrow"/>
                <w:i/>
                <w:sz w:val="20"/>
              </w:rPr>
              <w:t>et al.</w:t>
            </w:r>
            <w:r w:rsidRPr="00222597">
              <w:rPr>
                <w:rFonts w:ascii="Arial Narrow" w:hAnsi="Arial Narrow"/>
                <w:sz w:val="20"/>
              </w:rPr>
              <w:t xml:space="preserve"> </w:t>
            </w:r>
            <w:proofErr w:type="spellStart"/>
            <w:r w:rsidRPr="00222597">
              <w:rPr>
                <w:rFonts w:ascii="Arial Narrow" w:hAnsi="Arial Narrow"/>
                <w:sz w:val="20"/>
              </w:rPr>
              <w:t>Medroxyprogesterone</w:t>
            </w:r>
            <w:proofErr w:type="spellEnd"/>
            <w:r w:rsidRPr="00222597">
              <w:rPr>
                <w:rFonts w:ascii="Arial Narrow" w:hAnsi="Arial Narrow"/>
                <w:sz w:val="20"/>
              </w:rPr>
              <w:t xml:space="preserve"> acetate with </w:t>
            </w:r>
            <w:proofErr w:type="spellStart"/>
            <w:r w:rsidRPr="00222597">
              <w:rPr>
                <w:rFonts w:ascii="Arial Narrow" w:hAnsi="Arial Narrow"/>
                <w:sz w:val="20"/>
              </w:rPr>
              <w:t>Zoladex</w:t>
            </w:r>
            <w:r w:rsidRPr="00222597">
              <w:rPr>
                <w:rFonts w:ascii="Arial Narrow" w:hAnsi="Arial Narrow"/>
                <w:sz w:val="20"/>
                <w:vertAlign w:val="superscript"/>
              </w:rPr>
              <w:t>TM</w:t>
            </w:r>
            <w:proofErr w:type="spellEnd"/>
            <w:r w:rsidRPr="00222597">
              <w:rPr>
                <w:rFonts w:ascii="Arial Narrow" w:hAnsi="Arial Narrow"/>
                <w:sz w:val="20"/>
              </w:rPr>
              <w:t xml:space="preserve"> for long-term treatment of fibroids: effects on bone density and patient acceptability.</w:t>
            </w:r>
          </w:p>
        </w:tc>
        <w:tc>
          <w:tcPr>
            <w:tcW w:w="2261" w:type="pct"/>
          </w:tcPr>
          <w:p w:rsidR="00D647CD" w:rsidRPr="00222597" w:rsidRDefault="00D647CD" w:rsidP="005C5376">
            <w:pPr>
              <w:jc w:val="left"/>
              <w:rPr>
                <w:rFonts w:ascii="Arial Narrow" w:hAnsi="Arial Narrow"/>
                <w:sz w:val="20"/>
              </w:rPr>
            </w:pPr>
            <w:r w:rsidRPr="00222597">
              <w:rPr>
                <w:rFonts w:ascii="Arial Narrow" w:hAnsi="Arial Narrow"/>
                <w:i/>
                <w:sz w:val="20"/>
              </w:rPr>
              <w:t>Human Reproduction</w:t>
            </w:r>
            <w:r w:rsidRPr="00222597">
              <w:rPr>
                <w:rFonts w:ascii="Arial Narrow" w:hAnsi="Arial Narrow"/>
                <w:sz w:val="20"/>
              </w:rPr>
              <w:t xml:space="preserve"> 1997; 12 (3):436-40.</w:t>
            </w:r>
          </w:p>
        </w:tc>
      </w:tr>
      <w:tr w:rsidR="00D647CD" w:rsidRPr="00222597" w:rsidTr="00763607">
        <w:trPr>
          <w:tblHeader/>
        </w:trPr>
        <w:tc>
          <w:tcPr>
            <w:tcW w:w="609" w:type="pct"/>
          </w:tcPr>
          <w:p w:rsidR="00D647CD" w:rsidRPr="00222597" w:rsidRDefault="00D647CD" w:rsidP="005C5376">
            <w:pPr>
              <w:jc w:val="left"/>
              <w:rPr>
                <w:rFonts w:ascii="Arial Narrow" w:hAnsi="Arial Narrow"/>
                <w:sz w:val="20"/>
              </w:rPr>
            </w:pPr>
            <w:proofErr w:type="spellStart"/>
            <w:r w:rsidRPr="00222597">
              <w:rPr>
                <w:rFonts w:ascii="Arial Narrow" w:hAnsi="Arial Narrow"/>
                <w:sz w:val="20"/>
              </w:rPr>
              <w:t>Espejo</w:t>
            </w:r>
            <w:proofErr w:type="spellEnd"/>
            <w:r w:rsidRPr="00222597">
              <w:rPr>
                <w:rFonts w:ascii="Arial Narrow" w:hAnsi="Arial Narrow"/>
                <w:sz w:val="20"/>
              </w:rPr>
              <w:t xml:space="preserve"> 1999</w:t>
            </w:r>
          </w:p>
        </w:tc>
        <w:tc>
          <w:tcPr>
            <w:tcW w:w="2130" w:type="pct"/>
          </w:tcPr>
          <w:p w:rsidR="00D647CD" w:rsidRPr="00222597" w:rsidRDefault="00D647CD" w:rsidP="005C5376">
            <w:pPr>
              <w:jc w:val="left"/>
              <w:rPr>
                <w:rFonts w:ascii="Arial Narrow" w:hAnsi="Arial Narrow"/>
                <w:sz w:val="20"/>
              </w:rPr>
            </w:pPr>
            <w:proofErr w:type="spellStart"/>
            <w:r w:rsidRPr="00222597">
              <w:rPr>
                <w:rFonts w:ascii="Arial Narrow" w:hAnsi="Arial Narrow"/>
                <w:sz w:val="20"/>
              </w:rPr>
              <w:t>Espejo</w:t>
            </w:r>
            <w:proofErr w:type="spellEnd"/>
            <w:r w:rsidRPr="00222597">
              <w:rPr>
                <w:rFonts w:ascii="Arial Narrow" w:hAnsi="Arial Narrow"/>
                <w:sz w:val="20"/>
              </w:rPr>
              <w:t xml:space="preserve"> MR, </w:t>
            </w:r>
            <w:proofErr w:type="spellStart"/>
            <w:r w:rsidRPr="00222597">
              <w:rPr>
                <w:rFonts w:ascii="Arial Narrow" w:hAnsi="Arial Narrow"/>
                <w:sz w:val="20"/>
              </w:rPr>
              <w:t>Espejo</w:t>
            </w:r>
            <w:proofErr w:type="spellEnd"/>
            <w:r w:rsidRPr="00222597">
              <w:rPr>
                <w:rFonts w:ascii="Arial Narrow" w:hAnsi="Arial Narrow"/>
                <w:sz w:val="20"/>
              </w:rPr>
              <w:t xml:space="preserve"> AI, </w:t>
            </w:r>
            <w:r w:rsidRPr="00222597">
              <w:rPr>
                <w:rFonts w:ascii="Arial Narrow" w:hAnsi="Arial Narrow"/>
                <w:i/>
                <w:sz w:val="20"/>
              </w:rPr>
              <w:t>et al.</w:t>
            </w:r>
            <w:r w:rsidRPr="00222597">
              <w:rPr>
                <w:rFonts w:ascii="Arial Narrow" w:hAnsi="Arial Narrow"/>
                <w:sz w:val="20"/>
              </w:rPr>
              <w:t xml:space="preserve"> Add-back therapy of uterine fibroids with </w:t>
            </w:r>
            <w:proofErr w:type="spellStart"/>
            <w:r w:rsidRPr="00222597">
              <w:rPr>
                <w:rFonts w:ascii="Arial Narrow" w:hAnsi="Arial Narrow"/>
                <w:sz w:val="20"/>
              </w:rPr>
              <w:t>tibolone</w:t>
            </w:r>
            <w:proofErr w:type="spellEnd"/>
            <w:r w:rsidRPr="00222597">
              <w:rPr>
                <w:rFonts w:ascii="Arial Narrow" w:hAnsi="Arial Narrow"/>
                <w:sz w:val="20"/>
              </w:rPr>
              <w:t xml:space="preserve"> and </w:t>
            </w:r>
            <w:proofErr w:type="spellStart"/>
            <w:r w:rsidRPr="00222597">
              <w:rPr>
                <w:rFonts w:ascii="Arial Narrow" w:hAnsi="Arial Narrow"/>
                <w:sz w:val="20"/>
              </w:rPr>
              <w:t>goserelin</w:t>
            </w:r>
            <w:proofErr w:type="spellEnd"/>
            <w:r w:rsidRPr="00222597">
              <w:rPr>
                <w:rFonts w:ascii="Arial Narrow" w:hAnsi="Arial Narrow"/>
                <w:sz w:val="20"/>
              </w:rPr>
              <w:t>.</w:t>
            </w:r>
          </w:p>
        </w:tc>
        <w:tc>
          <w:tcPr>
            <w:tcW w:w="2261" w:type="pct"/>
          </w:tcPr>
          <w:p w:rsidR="00D647CD" w:rsidRPr="00222597" w:rsidRDefault="00D647CD" w:rsidP="005C5376">
            <w:pPr>
              <w:jc w:val="left"/>
              <w:rPr>
                <w:rFonts w:ascii="Arial Narrow" w:hAnsi="Arial Narrow"/>
                <w:sz w:val="20"/>
              </w:rPr>
            </w:pPr>
            <w:r w:rsidRPr="00222597">
              <w:rPr>
                <w:rFonts w:ascii="Arial Narrow" w:hAnsi="Arial Narrow"/>
                <w:i/>
                <w:sz w:val="20"/>
              </w:rPr>
              <w:t xml:space="preserve">European Journal of Obstetrics &amp; </w:t>
            </w:r>
            <w:proofErr w:type="spellStart"/>
            <w:r w:rsidRPr="00222597">
              <w:rPr>
                <w:rFonts w:ascii="Arial Narrow" w:hAnsi="Arial Narrow"/>
                <w:i/>
                <w:sz w:val="20"/>
              </w:rPr>
              <w:t>Gynecology</w:t>
            </w:r>
            <w:proofErr w:type="spellEnd"/>
            <w:r w:rsidRPr="00222597">
              <w:rPr>
                <w:rFonts w:ascii="Arial Narrow" w:hAnsi="Arial Narrow"/>
                <w:i/>
                <w:sz w:val="20"/>
              </w:rPr>
              <w:t xml:space="preserve"> and Reproductive Biology</w:t>
            </w:r>
            <w:r w:rsidRPr="00222597">
              <w:rPr>
                <w:rFonts w:ascii="Arial Narrow" w:hAnsi="Arial Narrow"/>
                <w:sz w:val="20"/>
              </w:rPr>
              <w:t xml:space="preserve"> 1999; 86 (</w:t>
            </w:r>
            <w:proofErr w:type="spellStart"/>
            <w:r w:rsidRPr="00222597">
              <w:rPr>
                <w:rFonts w:ascii="Arial Narrow" w:hAnsi="Arial Narrow"/>
                <w:sz w:val="20"/>
              </w:rPr>
              <w:t>Suppl</w:t>
            </w:r>
            <w:proofErr w:type="spellEnd"/>
            <w:r w:rsidRPr="00222597">
              <w:rPr>
                <w:rFonts w:ascii="Arial Narrow" w:hAnsi="Arial Narrow"/>
                <w:sz w:val="20"/>
              </w:rPr>
              <w:t xml:space="preserve"> 1)</w:t>
            </w:r>
            <w:proofErr w:type="gramStart"/>
            <w:r w:rsidRPr="00222597">
              <w:rPr>
                <w:rFonts w:ascii="Arial Narrow" w:hAnsi="Arial Narrow"/>
                <w:sz w:val="20"/>
              </w:rPr>
              <w:t>;S19</w:t>
            </w:r>
            <w:proofErr w:type="gramEnd"/>
            <w:r w:rsidRPr="00222597">
              <w:rPr>
                <w:rFonts w:ascii="Arial Narrow" w:hAnsi="Arial Narrow"/>
                <w:sz w:val="20"/>
              </w:rPr>
              <w:t>.</w:t>
            </w:r>
          </w:p>
        </w:tc>
      </w:tr>
      <w:tr w:rsidR="00D647CD" w:rsidRPr="00222597" w:rsidTr="00763607">
        <w:trPr>
          <w:tblHeader/>
        </w:trPr>
        <w:tc>
          <w:tcPr>
            <w:tcW w:w="609" w:type="pct"/>
          </w:tcPr>
          <w:p w:rsidR="00D647CD" w:rsidRPr="00222597" w:rsidRDefault="00D647CD" w:rsidP="005C5376">
            <w:pPr>
              <w:jc w:val="left"/>
              <w:rPr>
                <w:rFonts w:ascii="Arial Narrow" w:hAnsi="Arial Narrow"/>
                <w:sz w:val="20"/>
              </w:rPr>
            </w:pPr>
            <w:proofErr w:type="spellStart"/>
            <w:r w:rsidRPr="00222597">
              <w:rPr>
                <w:rFonts w:ascii="Arial Narrow" w:hAnsi="Arial Narrow"/>
                <w:sz w:val="20"/>
              </w:rPr>
              <w:t>Parazzini</w:t>
            </w:r>
            <w:proofErr w:type="spellEnd"/>
            <w:r w:rsidRPr="00222597">
              <w:rPr>
                <w:rFonts w:ascii="Arial Narrow" w:hAnsi="Arial Narrow"/>
                <w:sz w:val="20"/>
              </w:rPr>
              <w:t xml:space="preserve"> 1999</w:t>
            </w:r>
          </w:p>
        </w:tc>
        <w:tc>
          <w:tcPr>
            <w:tcW w:w="2130" w:type="pct"/>
          </w:tcPr>
          <w:p w:rsidR="00D647CD" w:rsidRPr="00222597" w:rsidRDefault="00F57135" w:rsidP="005C5376">
            <w:pPr>
              <w:jc w:val="left"/>
              <w:rPr>
                <w:rFonts w:ascii="Arial Narrow" w:hAnsi="Arial Narrow"/>
                <w:sz w:val="20"/>
              </w:rPr>
            </w:pPr>
            <w:proofErr w:type="spellStart"/>
            <w:r w:rsidRPr="00222597">
              <w:rPr>
                <w:rFonts w:ascii="Arial Narrow" w:hAnsi="Arial Narrow"/>
                <w:sz w:val="20"/>
              </w:rPr>
              <w:t>Parazzini</w:t>
            </w:r>
            <w:proofErr w:type="spellEnd"/>
            <w:r w:rsidRPr="00222597">
              <w:rPr>
                <w:rFonts w:ascii="Arial Narrow" w:hAnsi="Arial Narrow"/>
                <w:sz w:val="20"/>
              </w:rPr>
              <w:t xml:space="preserve"> F</w:t>
            </w:r>
            <w:r w:rsidR="00D647CD" w:rsidRPr="00222597">
              <w:rPr>
                <w:rFonts w:ascii="Arial Narrow" w:hAnsi="Arial Narrow"/>
                <w:sz w:val="20"/>
              </w:rPr>
              <w:t xml:space="preserve">, </w:t>
            </w:r>
            <w:proofErr w:type="spellStart"/>
            <w:r w:rsidR="00D647CD" w:rsidRPr="00222597">
              <w:rPr>
                <w:rFonts w:ascii="Arial Narrow" w:hAnsi="Arial Narrow"/>
                <w:sz w:val="20"/>
              </w:rPr>
              <w:t>Bortolotti</w:t>
            </w:r>
            <w:proofErr w:type="spellEnd"/>
            <w:r w:rsidR="00D647CD" w:rsidRPr="00222597">
              <w:rPr>
                <w:rFonts w:ascii="Arial Narrow" w:hAnsi="Arial Narrow"/>
                <w:sz w:val="20"/>
              </w:rPr>
              <w:t xml:space="preserve"> A, </w:t>
            </w:r>
            <w:r w:rsidR="00D647CD" w:rsidRPr="00222597">
              <w:rPr>
                <w:rFonts w:ascii="Arial Narrow" w:hAnsi="Arial Narrow"/>
                <w:i/>
                <w:sz w:val="20"/>
              </w:rPr>
              <w:t>et al.</w:t>
            </w:r>
            <w:r w:rsidR="00D647CD" w:rsidRPr="00222597">
              <w:rPr>
                <w:rFonts w:ascii="Arial Narrow" w:hAnsi="Arial Narrow"/>
                <w:sz w:val="20"/>
              </w:rPr>
              <w:t xml:space="preserve"> </w:t>
            </w:r>
            <w:proofErr w:type="spellStart"/>
            <w:r w:rsidR="00D647CD" w:rsidRPr="00222597">
              <w:rPr>
                <w:rFonts w:ascii="Arial Narrow" w:hAnsi="Arial Narrow"/>
                <w:sz w:val="20"/>
              </w:rPr>
              <w:t>Goserelin</w:t>
            </w:r>
            <w:proofErr w:type="spellEnd"/>
            <w:r w:rsidR="00D647CD" w:rsidRPr="00222597">
              <w:rPr>
                <w:rFonts w:ascii="Arial Narrow" w:hAnsi="Arial Narrow"/>
                <w:sz w:val="20"/>
              </w:rPr>
              <w:t xml:space="preserve"> acetate to avoid hysterectomy in pre-menopausal women with fibroids requiring surgery.</w:t>
            </w:r>
          </w:p>
        </w:tc>
        <w:tc>
          <w:tcPr>
            <w:tcW w:w="2261" w:type="pct"/>
          </w:tcPr>
          <w:p w:rsidR="00D647CD" w:rsidRPr="00222597" w:rsidRDefault="00D647CD" w:rsidP="005C5376">
            <w:pPr>
              <w:jc w:val="left"/>
              <w:rPr>
                <w:rFonts w:ascii="Arial Narrow" w:hAnsi="Arial Narrow"/>
                <w:i/>
                <w:sz w:val="20"/>
              </w:rPr>
            </w:pPr>
            <w:r w:rsidRPr="00222597">
              <w:rPr>
                <w:rFonts w:ascii="Arial Narrow" w:hAnsi="Arial Narrow"/>
                <w:i/>
                <w:sz w:val="20"/>
              </w:rPr>
              <w:t xml:space="preserve">European Journal of Obstetrics &amp; </w:t>
            </w:r>
            <w:proofErr w:type="spellStart"/>
            <w:r w:rsidRPr="00222597">
              <w:rPr>
                <w:rFonts w:ascii="Arial Narrow" w:hAnsi="Arial Narrow"/>
                <w:i/>
                <w:sz w:val="20"/>
              </w:rPr>
              <w:t>Gynecology</w:t>
            </w:r>
            <w:proofErr w:type="spellEnd"/>
            <w:r w:rsidRPr="00222597">
              <w:rPr>
                <w:rFonts w:ascii="Arial Narrow" w:hAnsi="Arial Narrow"/>
                <w:i/>
                <w:sz w:val="20"/>
              </w:rPr>
              <w:t xml:space="preserve"> and Reproductive Biology</w:t>
            </w:r>
            <w:r w:rsidRPr="00222597">
              <w:rPr>
                <w:rFonts w:ascii="Arial Narrow" w:hAnsi="Arial Narrow"/>
                <w:sz w:val="20"/>
              </w:rPr>
              <w:t xml:space="preserve"> 1999; 87:31-33.</w:t>
            </w:r>
          </w:p>
        </w:tc>
      </w:tr>
      <w:tr w:rsidR="00D647CD" w:rsidRPr="00222597" w:rsidTr="00763607">
        <w:trPr>
          <w:tblHeader/>
        </w:trPr>
        <w:tc>
          <w:tcPr>
            <w:tcW w:w="609" w:type="pct"/>
          </w:tcPr>
          <w:p w:rsidR="00D647CD" w:rsidRPr="00222597" w:rsidRDefault="00D647CD" w:rsidP="005C5376">
            <w:pPr>
              <w:jc w:val="left"/>
              <w:rPr>
                <w:rFonts w:ascii="Arial Narrow" w:hAnsi="Arial Narrow"/>
                <w:sz w:val="20"/>
              </w:rPr>
            </w:pPr>
            <w:r w:rsidRPr="00222597">
              <w:rPr>
                <w:rFonts w:ascii="Arial Narrow" w:hAnsi="Arial Narrow"/>
                <w:sz w:val="20"/>
              </w:rPr>
              <w:t>Lim 2008</w:t>
            </w:r>
          </w:p>
        </w:tc>
        <w:tc>
          <w:tcPr>
            <w:tcW w:w="2130" w:type="pct"/>
          </w:tcPr>
          <w:p w:rsidR="00D647CD" w:rsidRPr="00222597" w:rsidRDefault="00D647CD" w:rsidP="005C5376">
            <w:pPr>
              <w:jc w:val="left"/>
              <w:rPr>
                <w:rFonts w:ascii="Arial Narrow" w:hAnsi="Arial Narrow"/>
                <w:sz w:val="20"/>
              </w:rPr>
            </w:pPr>
            <w:r w:rsidRPr="00222597">
              <w:rPr>
                <w:rFonts w:ascii="Arial Narrow" w:hAnsi="Arial Narrow"/>
                <w:sz w:val="20"/>
              </w:rPr>
              <w:t xml:space="preserve">Lim SS, </w:t>
            </w:r>
            <w:proofErr w:type="spellStart"/>
            <w:r w:rsidRPr="00222597">
              <w:rPr>
                <w:rFonts w:ascii="Arial Narrow" w:hAnsi="Arial Narrow"/>
                <w:sz w:val="20"/>
              </w:rPr>
              <w:t>Sockalingam</w:t>
            </w:r>
            <w:proofErr w:type="spellEnd"/>
            <w:r w:rsidRPr="00222597">
              <w:rPr>
                <w:rFonts w:ascii="Arial Narrow" w:hAnsi="Arial Narrow"/>
                <w:sz w:val="20"/>
              </w:rPr>
              <w:t xml:space="preserve"> JK and Tan PC. </w:t>
            </w:r>
            <w:proofErr w:type="spellStart"/>
            <w:r w:rsidRPr="00222597">
              <w:rPr>
                <w:rFonts w:ascii="Arial Narrow" w:hAnsi="Arial Narrow"/>
                <w:sz w:val="20"/>
              </w:rPr>
              <w:t>Goserelin</w:t>
            </w:r>
            <w:proofErr w:type="spellEnd"/>
            <w:r w:rsidRPr="00222597">
              <w:rPr>
                <w:rFonts w:ascii="Arial Narrow" w:hAnsi="Arial Narrow"/>
                <w:sz w:val="20"/>
              </w:rPr>
              <w:t xml:space="preserve"> versus leuprolide before hysterectomy for uterine fibroids.</w:t>
            </w:r>
          </w:p>
        </w:tc>
        <w:tc>
          <w:tcPr>
            <w:tcW w:w="2261" w:type="pct"/>
          </w:tcPr>
          <w:p w:rsidR="00D647CD" w:rsidRPr="00222597" w:rsidRDefault="00D647CD" w:rsidP="005C5376">
            <w:pPr>
              <w:jc w:val="left"/>
              <w:rPr>
                <w:rFonts w:ascii="Arial Narrow" w:hAnsi="Arial Narrow"/>
                <w:sz w:val="20"/>
              </w:rPr>
            </w:pPr>
            <w:r w:rsidRPr="00222597">
              <w:rPr>
                <w:rFonts w:ascii="Arial Narrow" w:hAnsi="Arial Narrow"/>
                <w:i/>
                <w:sz w:val="20"/>
              </w:rPr>
              <w:t xml:space="preserve">International Journal of </w:t>
            </w:r>
            <w:proofErr w:type="spellStart"/>
            <w:r w:rsidRPr="00222597">
              <w:rPr>
                <w:rFonts w:ascii="Arial Narrow" w:hAnsi="Arial Narrow"/>
                <w:i/>
                <w:sz w:val="20"/>
              </w:rPr>
              <w:t>Gynecology</w:t>
            </w:r>
            <w:proofErr w:type="spellEnd"/>
            <w:r w:rsidRPr="00222597">
              <w:rPr>
                <w:rFonts w:ascii="Arial Narrow" w:hAnsi="Arial Narrow"/>
                <w:i/>
                <w:sz w:val="20"/>
              </w:rPr>
              <w:t xml:space="preserve"> and Obstetrics</w:t>
            </w:r>
            <w:r w:rsidRPr="00222597">
              <w:rPr>
                <w:rFonts w:ascii="Arial Narrow" w:hAnsi="Arial Narrow"/>
                <w:sz w:val="20"/>
              </w:rPr>
              <w:t xml:space="preserve"> 2008; 101:178-183.</w:t>
            </w:r>
          </w:p>
        </w:tc>
      </w:tr>
      <w:tr w:rsidR="00D647CD" w:rsidRPr="00222597" w:rsidTr="00763607">
        <w:trPr>
          <w:tblHeader/>
        </w:trPr>
        <w:tc>
          <w:tcPr>
            <w:tcW w:w="5000" w:type="pct"/>
            <w:gridSpan w:val="3"/>
          </w:tcPr>
          <w:p w:rsidR="00D647CD" w:rsidRPr="00222597" w:rsidRDefault="00D647CD" w:rsidP="005C5376">
            <w:pPr>
              <w:jc w:val="left"/>
              <w:rPr>
                <w:rFonts w:ascii="Arial Narrow" w:hAnsi="Arial Narrow"/>
                <w:i/>
                <w:sz w:val="20"/>
              </w:rPr>
            </w:pPr>
            <w:r w:rsidRPr="00222597">
              <w:rPr>
                <w:rFonts w:ascii="Arial Narrow" w:hAnsi="Arial Narrow"/>
                <w:i/>
                <w:sz w:val="20"/>
              </w:rPr>
              <w:t>Systematic reviews</w:t>
            </w:r>
          </w:p>
        </w:tc>
      </w:tr>
      <w:tr w:rsidR="00D647CD" w:rsidRPr="00222597" w:rsidTr="00763607">
        <w:trPr>
          <w:tblHeader/>
        </w:trPr>
        <w:tc>
          <w:tcPr>
            <w:tcW w:w="609" w:type="pct"/>
          </w:tcPr>
          <w:p w:rsidR="00D647CD" w:rsidRPr="00222597" w:rsidRDefault="00D647CD" w:rsidP="005C5376">
            <w:pPr>
              <w:jc w:val="left"/>
              <w:rPr>
                <w:rFonts w:ascii="Arial Narrow" w:hAnsi="Arial Narrow"/>
                <w:sz w:val="20"/>
              </w:rPr>
            </w:pPr>
            <w:r w:rsidRPr="00222597">
              <w:rPr>
                <w:rFonts w:ascii="Arial Narrow" w:hAnsi="Arial Narrow"/>
                <w:sz w:val="20"/>
              </w:rPr>
              <w:t>Moroni 2015</w:t>
            </w:r>
          </w:p>
        </w:tc>
        <w:tc>
          <w:tcPr>
            <w:tcW w:w="2130" w:type="pct"/>
          </w:tcPr>
          <w:p w:rsidR="00D647CD" w:rsidRPr="00222597" w:rsidRDefault="00D647CD" w:rsidP="005C5376">
            <w:pPr>
              <w:jc w:val="left"/>
              <w:rPr>
                <w:rFonts w:ascii="Arial Narrow" w:hAnsi="Arial Narrow"/>
                <w:b/>
                <w:sz w:val="20"/>
              </w:rPr>
            </w:pPr>
            <w:r w:rsidRPr="00222597">
              <w:rPr>
                <w:rFonts w:ascii="Arial Narrow" w:hAnsi="Arial Narrow"/>
                <w:sz w:val="20"/>
              </w:rPr>
              <w:t xml:space="preserve">Moroni RM, Martins WP, </w:t>
            </w:r>
            <w:r w:rsidRPr="00222597">
              <w:rPr>
                <w:rFonts w:ascii="Arial Narrow" w:hAnsi="Arial Narrow"/>
                <w:i/>
                <w:sz w:val="20"/>
              </w:rPr>
              <w:t xml:space="preserve">et al. </w:t>
            </w:r>
            <w:r w:rsidRPr="00222597">
              <w:rPr>
                <w:rFonts w:ascii="Arial Narrow" w:hAnsi="Arial Narrow"/>
                <w:sz w:val="20"/>
              </w:rPr>
              <w:t xml:space="preserve">Add-back therapy with </w:t>
            </w:r>
            <w:proofErr w:type="spellStart"/>
            <w:r w:rsidRPr="00222597">
              <w:rPr>
                <w:rFonts w:ascii="Arial Narrow" w:hAnsi="Arial Narrow"/>
                <w:sz w:val="20"/>
              </w:rPr>
              <w:t>GnRH</w:t>
            </w:r>
            <w:proofErr w:type="spellEnd"/>
            <w:r w:rsidRPr="00222597">
              <w:rPr>
                <w:rFonts w:ascii="Arial Narrow" w:hAnsi="Arial Narrow"/>
                <w:sz w:val="20"/>
              </w:rPr>
              <w:t xml:space="preserve"> analogues for uterine fibroids.</w:t>
            </w:r>
          </w:p>
        </w:tc>
        <w:tc>
          <w:tcPr>
            <w:tcW w:w="2261" w:type="pct"/>
          </w:tcPr>
          <w:p w:rsidR="00D647CD" w:rsidRPr="00222597" w:rsidRDefault="00D647CD" w:rsidP="005C5376">
            <w:pPr>
              <w:jc w:val="left"/>
              <w:rPr>
                <w:rFonts w:ascii="Arial Narrow" w:hAnsi="Arial Narrow"/>
                <w:sz w:val="20"/>
              </w:rPr>
            </w:pPr>
            <w:r w:rsidRPr="00222597">
              <w:rPr>
                <w:rFonts w:ascii="Arial Narrow" w:hAnsi="Arial Narrow"/>
                <w:i/>
                <w:sz w:val="20"/>
              </w:rPr>
              <w:t xml:space="preserve">Cochrane Database of Systematic Reviews </w:t>
            </w:r>
            <w:r w:rsidRPr="00222597">
              <w:rPr>
                <w:rFonts w:ascii="Arial Narrow" w:hAnsi="Arial Narrow"/>
                <w:sz w:val="20"/>
              </w:rPr>
              <w:t>2015; Issue 3. Art No.: CD010854. DOI: 10.1002/14651858.CD010854.pub2.</w:t>
            </w:r>
          </w:p>
        </w:tc>
      </w:tr>
      <w:tr w:rsidR="00D647CD" w:rsidRPr="00222597" w:rsidTr="00763607">
        <w:trPr>
          <w:tblHeader/>
        </w:trPr>
        <w:tc>
          <w:tcPr>
            <w:tcW w:w="609" w:type="pct"/>
          </w:tcPr>
          <w:p w:rsidR="00D647CD" w:rsidRPr="00222597" w:rsidRDefault="00D647CD" w:rsidP="005C5376">
            <w:pPr>
              <w:jc w:val="left"/>
              <w:rPr>
                <w:rFonts w:ascii="Arial Narrow" w:hAnsi="Arial Narrow"/>
                <w:sz w:val="20"/>
              </w:rPr>
            </w:pPr>
            <w:proofErr w:type="spellStart"/>
            <w:r w:rsidRPr="00222597">
              <w:rPr>
                <w:rFonts w:ascii="Arial Narrow" w:hAnsi="Arial Narrow"/>
                <w:sz w:val="20"/>
              </w:rPr>
              <w:t>Lethaby</w:t>
            </w:r>
            <w:proofErr w:type="spellEnd"/>
            <w:r w:rsidRPr="00222597">
              <w:rPr>
                <w:rFonts w:ascii="Arial Narrow" w:hAnsi="Arial Narrow"/>
                <w:sz w:val="20"/>
              </w:rPr>
              <w:t xml:space="preserve"> 2001</w:t>
            </w:r>
          </w:p>
        </w:tc>
        <w:tc>
          <w:tcPr>
            <w:tcW w:w="2130" w:type="pct"/>
          </w:tcPr>
          <w:p w:rsidR="00D647CD" w:rsidRPr="00222597" w:rsidRDefault="00D647CD" w:rsidP="005C5376">
            <w:pPr>
              <w:jc w:val="left"/>
              <w:rPr>
                <w:rFonts w:ascii="Arial Narrow" w:hAnsi="Arial Narrow"/>
                <w:b/>
                <w:sz w:val="20"/>
              </w:rPr>
            </w:pPr>
            <w:proofErr w:type="spellStart"/>
            <w:r w:rsidRPr="00222597">
              <w:rPr>
                <w:rFonts w:ascii="Arial Narrow" w:hAnsi="Arial Narrow"/>
                <w:sz w:val="20"/>
              </w:rPr>
              <w:t>Lethaby</w:t>
            </w:r>
            <w:proofErr w:type="spellEnd"/>
            <w:r w:rsidRPr="00222597">
              <w:rPr>
                <w:rFonts w:ascii="Arial Narrow" w:hAnsi="Arial Narrow"/>
                <w:sz w:val="20"/>
              </w:rPr>
              <w:t xml:space="preserve"> A, </w:t>
            </w:r>
            <w:proofErr w:type="spellStart"/>
            <w:r w:rsidRPr="00222597">
              <w:rPr>
                <w:rFonts w:ascii="Arial Narrow" w:hAnsi="Arial Narrow"/>
                <w:sz w:val="20"/>
              </w:rPr>
              <w:t>Vollenhoven</w:t>
            </w:r>
            <w:proofErr w:type="spellEnd"/>
            <w:r w:rsidRPr="00222597">
              <w:rPr>
                <w:rFonts w:ascii="Arial Narrow" w:hAnsi="Arial Narrow"/>
                <w:sz w:val="20"/>
              </w:rPr>
              <w:t xml:space="preserve"> B and </w:t>
            </w:r>
            <w:proofErr w:type="spellStart"/>
            <w:r w:rsidRPr="00222597">
              <w:rPr>
                <w:rFonts w:ascii="Arial Narrow" w:hAnsi="Arial Narrow"/>
                <w:sz w:val="20"/>
              </w:rPr>
              <w:t>Sowter</w:t>
            </w:r>
            <w:proofErr w:type="spellEnd"/>
            <w:r w:rsidRPr="00222597">
              <w:rPr>
                <w:rFonts w:ascii="Arial Narrow" w:hAnsi="Arial Narrow"/>
                <w:sz w:val="20"/>
              </w:rPr>
              <w:t xml:space="preserve"> MC. Pre-operative </w:t>
            </w:r>
            <w:proofErr w:type="spellStart"/>
            <w:r w:rsidR="00BC2991" w:rsidRPr="00222597">
              <w:rPr>
                <w:rFonts w:ascii="Arial Narrow" w:hAnsi="Arial Narrow"/>
                <w:sz w:val="20"/>
              </w:rPr>
              <w:t>GnRH</w:t>
            </w:r>
            <w:proofErr w:type="spellEnd"/>
            <w:r w:rsidRPr="00222597">
              <w:rPr>
                <w:rFonts w:ascii="Arial Narrow" w:hAnsi="Arial Narrow"/>
                <w:sz w:val="20"/>
              </w:rPr>
              <w:t xml:space="preserve"> analogue therapy before hysterectomy or myomectomy for uterine fibroids.</w:t>
            </w:r>
          </w:p>
        </w:tc>
        <w:tc>
          <w:tcPr>
            <w:tcW w:w="2261" w:type="pct"/>
          </w:tcPr>
          <w:p w:rsidR="00D647CD" w:rsidRPr="00222597" w:rsidRDefault="00D647CD" w:rsidP="005C5376">
            <w:pPr>
              <w:jc w:val="left"/>
              <w:rPr>
                <w:rFonts w:ascii="Arial Narrow" w:hAnsi="Arial Narrow"/>
                <w:b/>
                <w:sz w:val="20"/>
              </w:rPr>
            </w:pPr>
            <w:r w:rsidRPr="00222597">
              <w:rPr>
                <w:rFonts w:ascii="Arial Narrow" w:hAnsi="Arial Narrow"/>
                <w:i/>
                <w:sz w:val="20"/>
              </w:rPr>
              <w:t>Cochrane Database of Systematic Reviews</w:t>
            </w:r>
            <w:r w:rsidRPr="00222597">
              <w:rPr>
                <w:rFonts w:ascii="Arial Narrow" w:hAnsi="Arial Narrow"/>
                <w:sz w:val="20"/>
              </w:rPr>
              <w:t xml:space="preserve"> 2001; Issue 2. Art. No.: CD000547. DOI:10.1002/14651858.CD000547.</w:t>
            </w:r>
          </w:p>
        </w:tc>
      </w:tr>
    </w:tbl>
    <w:p w:rsidR="00D647CD" w:rsidRPr="00222597" w:rsidRDefault="00D647CD" w:rsidP="00D647CD">
      <w:pPr>
        <w:pStyle w:val="TableFooter"/>
        <w:ind w:firstLine="720"/>
      </w:pPr>
      <w:r w:rsidRPr="00222597">
        <w:t>Source: Table B-3, p26 of the submission.</w:t>
      </w:r>
    </w:p>
    <w:p w:rsidR="00D647CD" w:rsidRPr="00222597" w:rsidRDefault="00D647CD" w:rsidP="00D647CD">
      <w:pPr>
        <w:widowControl/>
        <w:rPr>
          <w:szCs w:val="22"/>
        </w:rPr>
      </w:pPr>
    </w:p>
    <w:p w:rsidR="00153E1D" w:rsidRPr="00222597" w:rsidRDefault="00153E1D" w:rsidP="00F15765">
      <w:pPr>
        <w:pStyle w:val="ListParagraph"/>
        <w:widowControl/>
        <w:numPr>
          <w:ilvl w:val="1"/>
          <w:numId w:val="3"/>
        </w:numPr>
        <w:rPr>
          <w:szCs w:val="22"/>
        </w:rPr>
      </w:pPr>
      <w:r w:rsidRPr="00222597">
        <w:rPr>
          <w:szCs w:val="22"/>
        </w:rPr>
        <w:t xml:space="preserve">The submission did not </w:t>
      </w:r>
      <w:r w:rsidR="00A73C21">
        <w:rPr>
          <w:szCs w:val="22"/>
        </w:rPr>
        <w:t>justify</w:t>
      </w:r>
      <w:r w:rsidR="00A73C21" w:rsidRPr="00222597">
        <w:rPr>
          <w:szCs w:val="22"/>
        </w:rPr>
        <w:t xml:space="preserve"> </w:t>
      </w:r>
      <w:r w:rsidRPr="00222597">
        <w:rPr>
          <w:szCs w:val="22"/>
        </w:rPr>
        <w:t xml:space="preserve">the inclusion or exclusion of </w:t>
      </w:r>
      <w:r w:rsidR="00F57135" w:rsidRPr="00222597">
        <w:rPr>
          <w:szCs w:val="22"/>
        </w:rPr>
        <w:t xml:space="preserve">the </w:t>
      </w:r>
      <w:proofErr w:type="spellStart"/>
      <w:r w:rsidRPr="00222597">
        <w:rPr>
          <w:szCs w:val="22"/>
        </w:rPr>
        <w:t>goserelin</w:t>
      </w:r>
      <w:proofErr w:type="spellEnd"/>
      <w:r w:rsidRPr="00222597">
        <w:rPr>
          <w:szCs w:val="22"/>
        </w:rPr>
        <w:t xml:space="preserve"> studies. It is not clear why some studies of limited relevance were included, while others were excluded. </w:t>
      </w:r>
      <w:r w:rsidR="009C6DE8" w:rsidRPr="00222597">
        <w:rPr>
          <w:szCs w:val="22"/>
        </w:rPr>
        <w:t xml:space="preserve">The PSCR stated that the </w:t>
      </w:r>
      <w:proofErr w:type="spellStart"/>
      <w:r w:rsidR="009C6DE8" w:rsidRPr="00222597">
        <w:rPr>
          <w:szCs w:val="22"/>
        </w:rPr>
        <w:t>goserelin</w:t>
      </w:r>
      <w:proofErr w:type="spellEnd"/>
      <w:r w:rsidR="009C6DE8" w:rsidRPr="00222597">
        <w:rPr>
          <w:szCs w:val="22"/>
        </w:rPr>
        <w:t xml:space="preserve"> studies were not excluded but were considered adequately summarised in the included systematic reviews. </w:t>
      </w:r>
      <w:r w:rsidR="00283B80" w:rsidRPr="00222597">
        <w:rPr>
          <w:szCs w:val="22"/>
        </w:rPr>
        <w:t xml:space="preserve">The ESC noted that </w:t>
      </w:r>
      <w:r w:rsidR="0055328C" w:rsidRPr="00222597">
        <w:rPr>
          <w:szCs w:val="22"/>
        </w:rPr>
        <w:t xml:space="preserve">uncertainty </w:t>
      </w:r>
      <w:r w:rsidR="00731678" w:rsidRPr="00222597">
        <w:rPr>
          <w:szCs w:val="22"/>
        </w:rPr>
        <w:t xml:space="preserve">regarding </w:t>
      </w:r>
      <w:r w:rsidR="0055328C" w:rsidRPr="00222597">
        <w:rPr>
          <w:szCs w:val="22"/>
        </w:rPr>
        <w:t>the selection of studies</w:t>
      </w:r>
      <w:r w:rsidR="0027045A" w:rsidRPr="00222597">
        <w:rPr>
          <w:szCs w:val="22"/>
        </w:rPr>
        <w:t xml:space="preserve"> </w:t>
      </w:r>
      <w:r w:rsidR="00C3524C" w:rsidRPr="00222597">
        <w:rPr>
          <w:szCs w:val="22"/>
        </w:rPr>
        <w:t xml:space="preserve">for inclusion </w:t>
      </w:r>
      <w:r w:rsidR="0027045A" w:rsidRPr="00222597">
        <w:rPr>
          <w:szCs w:val="22"/>
        </w:rPr>
        <w:t>in the submission</w:t>
      </w:r>
      <w:r w:rsidR="00731678" w:rsidRPr="00222597">
        <w:rPr>
          <w:szCs w:val="22"/>
        </w:rPr>
        <w:t xml:space="preserve"> remained</w:t>
      </w:r>
      <w:r w:rsidR="0055328C" w:rsidRPr="00222597">
        <w:rPr>
          <w:szCs w:val="22"/>
        </w:rPr>
        <w:t>.</w:t>
      </w:r>
    </w:p>
    <w:p w:rsidR="00D647CD" w:rsidRPr="00222597" w:rsidRDefault="00D647CD" w:rsidP="00D647CD">
      <w:pPr>
        <w:pStyle w:val="ListParagraph"/>
        <w:widowControl/>
        <w:rPr>
          <w:szCs w:val="22"/>
        </w:rPr>
      </w:pPr>
    </w:p>
    <w:p w:rsidR="00994D26" w:rsidRPr="00222597" w:rsidRDefault="00994D26" w:rsidP="00F15765">
      <w:pPr>
        <w:pStyle w:val="ListParagraph"/>
        <w:widowControl/>
        <w:numPr>
          <w:ilvl w:val="1"/>
          <w:numId w:val="3"/>
        </w:numPr>
      </w:pPr>
      <w:r w:rsidRPr="00222597">
        <w:t xml:space="preserve">The submission included an abstract of </w:t>
      </w:r>
      <w:proofErr w:type="spellStart"/>
      <w:r w:rsidRPr="00222597">
        <w:t>Espejo</w:t>
      </w:r>
      <w:proofErr w:type="spellEnd"/>
      <w:r w:rsidRPr="00222597">
        <w:t xml:space="preserve"> 1999 </w:t>
      </w:r>
      <w:r w:rsidR="004A4F9E">
        <w:t xml:space="preserve">(Table 1) </w:t>
      </w:r>
      <w:r w:rsidRPr="00222597">
        <w:t xml:space="preserve">for the </w:t>
      </w:r>
      <w:r w:rsidR="00222597" w:rsidRPr="00222597">
        <w:t>short-term</w:t>
      </w:r>
      <w:r w:rsidRPr="00222597">
        <w:t xml:space="preserve"> use of </w:t>
      </w:r>
      <w:proofErr w:type="spellStart"/>
      <w:r w:rsidRPr="00222597">
        <w:t>goserelin</w:t>
      </w:r>
      <w:proofErr w:type="spellEnd"/>
      <w:proofErr w:type="gramStart"/>
      <w:r w:rsidRPr="00222597">
        <w:t xml:space="preserve">.  </w:t>
      </w:r>
      <w:proofErr w:type="gramEnd"/>
      <w:r w:rsidRPr="00222597">
        <w:t xml:space="preserve">Given the lack of information available for this study, and as it did not include a comparison of </w:t>
      </w:r>
      <w:proofErr w:type="spellStart"/>
      <w:r w:rsidRPr="00222597">
        <w:t>goserelin</w:t>
      </w:r>
      <w:proofErr w:type="spellEnd"/>
      <w:r w:rsidRPr="00222597">
        <w:t xml:space="preserve"> with a relevant comparator (all patients received </w:t>
      </w:r>
      <w:proofErr w:type="spellStart"/>
      <w:r w:rsidRPr="00222597">
        <w:t>goserelin</w:t>
      </w:r>
      <w:proofErr w:type="spellEnd"/>
      <w:r w:rsidRPr="00222597">
        <w:t xml:space="preserve">), this study was not </w:t>
      </w:r>
      <w:r w:rsidR="00DF18EB" w:rsidRPr="00222597">
        <w:t>included in the evaluation</w:t>
      </w:r>
      <w:r w:rsidRPr="00222597">
        <w:t>.</w:t>
      </w:r>
    </w:p>
    <w:p w:rsidR="00994D26" w:rsidRPr="00222597" w:rsidRDefault="00994D26" w:rsidP="00994D26">
      <w:pPr>
        <w:pStyle w:val="ListParagraph"/>
        <w:widowControl/>
      </w:pPr>
    </w:p>
    <w:p w:rsidR="00994D26" w:rsidRPr="00222597" w:rsidRDefault="00994D26" w:rsidP="00F15765">
      <w:pPr>
        <w:pStyle w:val="ListParagraph"/>
        <w:widowControl/>
        <w:numPr>
          <w:ilvl w:val="1"/>
          <w:numId w:val="3"/>
        </w:numPr>
      </w:pPr>
      <w:r w:rsidRPr="00222597">
        <w:t xml:space="preserve">The submission also presented evidence for the medium-long term use of </w:t>
      </w:r>
      <w:proofErr w:type="spellStart"/>
      <w:r w:rsidRPr="00222597">
        <w:t>goserelin</w:t>
      </w:r>
      <w:proofErr w:type="spellEnd"/>
      <w:r w:rsidRPr="00222597">
        <w:t xml:space="preserve"> ± add-back therapy (</w:t>
      </w:r>
      <w:proofErr w:type="spellStart"/>
      <w:r w:rsidRPr="00222597">
        <w:t>Parazzini</w:t>
      </w:r>
      <w:proofErr w:type="spellEnd"/>
      <w:r w:rsidRPr="00222597">
        <w:t xml:space="preserve"> 1999 and </w:t>
      </w:r>
      <w:proofErr w:type="spellStart"/>
      <w:r w:rsidRPr="00222597">
        <w:t>Caird</w:t>
      </w:r>
      <w:proofErr w:type="spellEnd"/>
      <w:r w:rsidRPr="00222597">
        <w:t xml:space="preserve"> 1997</w:t>
      </w:r>
      <w:r w:rsidR="00855B10">
        <w:t>, Table 1</w:t>
      </w:r>
      <w:r w:rsidRPr="00222597">
        <w:t xml:space="preserve">). Since the PI for </w:t>
      </w:r>
      <w:proofErr w:type="spellStart"/>
      <w:r w:rsidRPr="00222597">
        <w:t>goserelin</w:t>
      </w:r>
      <w:proofErr w:type="spellEnd"/>
      <w:r w:rsidRPr="00222597">
        <w:t xml:space="preserve"> does not recommend its use beyond six months in the treatment of symptoms of uterine fibroids, and given the lack of relevant outcomes reported and the high risk of bias, the results of these studies were only </w:t>
      </w:r>
      <w:r w:rsidR="008F7C8F" w:rsidRPr="00222597">
        <w:t xml:space="preserve">evaluated </w:t>
      </w:r>
      <w:r w:rsidRPr="00222597">
        <w:t>as supplementary evidence.</w:t>
      </w:r>
    </w:p>
    <w:p w:rsidR="00994D26" w:rsidRPr="00222597" w:rsidRDefault="00994D26" w:rsidP="00D647CD">
      <w:pPr>
        <w:pStyle w:val="ListParagraph"/>
        <w:widowControl/>
        <w:rPr>
          <w:szCs w:val="22"/>
        </w:rPr>
      </w:pPr>
    </w:p>
    <w:p w:rsidR="00D647CD" w:rsidRPr="00222597" w:rsidRDefault="00D647CD" w:rsidP="00F15765">
      <w:pPr>
        <w:pStyle w:val="ListParagraph"/>
        <w:widowControl/>
        <w:numPr>
          <w:ilvl w:val="1"/>
          <w:numId w:val="3"/>
        </w:numPr>
        <w:rPr>
          <w:szCs w:val="22"/>
        </w:rPr>
      </w:pPr>
      <w:r w:rsidRPr="00222597">
        <w:rPr>
          <w:szCs w:val="22"/>
        </w:rPr>
        <w:t xml:space="preserve">The key features of the comparative and non-comparative studies </w:t>
      </w:r>
      <w:r w:rsidR="00662FAA" w:rsidRPr="00222597">
        <w:rPr>
          <w:szCs w:val="22"/>
        </w:rPr>
        <w:t xml:space="preserve">of </w:t>
      </w:r>
      <w:proofErr w:type="spellStart"/>
      <w:r w:rsidR="00662FAA" w:rsidRPr="00222597">
        <w:rPr>
          <w:szCs w:val="22"/>
        </w:rPr>
        <w:t>ulipristal</w:t>
      </w:r>
      <w:proofErr w:type="spellEnd"/>
      <w:r w:rsidR="00662FAA" w:rsidRPr="00222597">
        <w:rPr>
          <w:szCs w:val="22"/>
        </w:rPr>
        <w:t xml:space="preserve"> and of </w:t>
      </w:r>
      <w:proofErr w:type="spellStart"/>
      <w:r w:rsidRPr="00222597">
        <w:rPr>
          <w:szCs w:val="22"/>
        </w:rPr>
        <w:t>goserelin</w:t>
      </w:r>
      <w:proofErr w:type="spellEnd"/>
      <w:r w:rsidRPr="00222597">
        <w:rPr>
          <w:szCs w:val="22"/>
        </w:rPr>
        <w:t xml:space="preserve"> are summarised in the table below</w:t>
      </w:r>
      <w:proofErr w:type="gramStart"/>
      <w:r w:rsidRPr="00222597">
        <w:rPr>
          <w:szCs w:val="22"/>
        </w:rPr>
        <w:t xml:space="preserve">.  </w:t>
      </w:r>
      <w:proofErr w:type="gramEnd"/>
      <w:r w:rsidR="008F7C8F" w:rsidRPr="00222597">
        <w:rPr>
          <w:szCs w:val="22"/>
        </w:rPr>
        <w:t>T</w:t>
      </w:r>
      <w:r w:rsidR="004D3E4D" w:rsidRPr="00222597">
        <w:rPr>
          <w:szCs w:val="22"/>
        </w:rPr>
        <w:t xml:space="preserve">he evidence </w:t>
      </w:r>
      <w:r w:rsidR="008F7C8F" w:rsidRPr="00222597">
        <w:rPr>
          <w:szCs w:val="22"/>
        </w:rPr>
        <w:t>was</w:t>
      </w:r>
      <w:r w:rsidR="00756054" w:rsidRPr="00222597">
        <w:rPr>
          <w:szCs w:val="22"/>
        </w:rPr>
        <w:t xml:space="preserve"> </w:t>
      </w:r>
      <w:r w:rsidR="004D3E4D" w:rsidRPr="00222597">
        <w:rPr>
          <w:szCs w:val="22"/>
        </w:rPr>
        <w:t>presented firstly</w:t>
      </w:r>
      <w:r w:rsidR="00E77CC6" w:rsidRPr="00222597">
        <w:rPr>
          <w:szCs w:val="22"/>
        </w:rPr>
        <w:t>,</w:t>
      </w:r>
      <w:r w:rsidR="004D3E4D" w:rsidRPr="00222597">
        <w:rPr>
          <w:szCs w:val="22"/>
        </w:rPr>
        <w:t xml:space="preserve"> for the </w:t>
      </w:r>
      <w:r w:rsidR="00222597" w:rsidRPr="00222597">
        <w:rPr>
          <w:szCs w:val="22"/>
        </w:rPr>
        <w:t>short-term</w:t>
      </w:r>
      <w:r w:rsidR="004D3E4D" w:rsidRPr="00222597">
        <w:rPr>
          <w:szCs w:val="22"/>
        </w:rPr>
        <w:t xml:space="preserve"> use of </w:t>
      </w:r>
      <w:proofErr w:type="spellStart"/>
      <w:r w:rsidR="004D3E4D" w:rsidRPr="00222597">
        <w:rPr>
          <w:szCs w:val="22"/>
        </w:rPr>
        <w:t>ulipristal</w:t>
      </w:r>
      <w:proofErr w:type="spellEnd"/>
      <w:r w:rsidR="004D3E4D" w:rsidRPr="00222597">
        <w:rPr>
          <w:szCs w:val="22"/>
        </w:rPr>
        <w:t xml:space="preserve"> (</w:t>
      </w:r>
      <w:r w:rsidR="00E77CC6" w:rsidRPr="00222597">
        <w:rPr>
          <w:szCs w:val="22"/>
        </w:rPr>
        <w:t>relevant to clinical scenario 1</w:t>
      </w:r>
      <w:r w:rsidR="004D3E4D" w:rsidRPr="00222597">
        <w:rPr>
          <w:szCs w:val="22"/>
        </w:rPr>
        <w:t xml:space="preserve">) </w:t>
      </w:r>
      <w:r w:rsidR="00E77CC6" w:rsidRPr="00222597">
        <w:rPr>
          <w:szCs w:val="22"/>
        </w:rPr>
        <w:t>and</w:t>
      </w:r>
      <w:r w:rsidR="004D3E4D" w:rsidRPr="00222597">
        <w:rPr>
          <w:szCs w:val="22"/>
        </w:rPr>
        <w:t xml:space="preserve">, secondly, for the repeated intermittent medium-long term use of </w:t>
      </w:r>
      <w:proofErr w:type="spellStart"/>
      <w:r w:rsidR="004D3E4D" w:rsidRPr="00222597">
        <w:rPr>
          <w:szCs w:val="22"/>
        </w:rPr>
        <w:t>ulipristal</w:t>
      </w:r>
      <w:proofErr w:type="spellEnd"/>
      <w:r w:rsidR="00F46C47" w:rsidRPr="00222597">
        <w:rPr>
          <w:szCs w:val="22"/>
        </w:rPr>
        <w:t xml:space="preserve"> (relevant to clinical scenarios 2-4)</w:t>
      </w:r>
      <w:r w:rsidR="004D3E4D" w:rsidRPr="00222597">
        <w:rPr>
          <w:szCs w:val="22"/>
        </w:rPr>
        <w:t>.</w:t>
      </w:r>
    </w:p>
    <w:p w:rsidR="00D647CD" w:rsidRPr="00222597" w:rsidRDefault="00D647CD" w:rsidP="00D647CD"/>
    <w:p w:rsidR="00BE3EED" w:rsidRDefault="00BE3EED">
      <w:pPr>
        <w:widowControl/>
        <w:jc w:val="left"/>
        <w:rPr>
          <w:rFonts w:ascii="Arial Narrow" w:hAnsi="Arial Narrow"/>
          <w:b/>
          <w:sz w:val="20"/>
        </w:rPr>
      </w:pPr>
      <w:r>
        <w:br w:type="page"/>
      </w:r>
    </w:p>
    <w:p w:rsidR="00D647CD" w:rsidRPr="00222597" w:rsidRDefault="00EE0855" w:rsidP="00D647CD">
      <w:pPr>
        <w:pStyle w:val="TableHeader"/>
        <w:ind w:firstLine="720"/>
      </w:pPr>
      <w:r w:rsidRPr="00222597">
        <w:t>Table 2</w:t>
      </w:r>
      <w:r w:rsidR="00D647CD" w:rsidRPr="00222597">
        <w:t xml:space="preserve">: Key features of the included evidence </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25"/>
        <w:gridCol w:w="2440"/>
        <w:gridCol w:w="1434"/>
        <w:gridCol w:w="1078"/>
        <w:gridCol w:w="2368"/>
      </w:tblGrid>
      <w:tr w:rsidR="00D647CD" w:rsidRPr="00222597" w:rsidTr="00A3599A">
        <w:trPr>
          <w:tblHeader/>
        </w:trPr>
        <w:tc>
          <w:tcPr>
            <w:tcW w:w="614" w:type="pct"/>
            <w:shd w:val="clear" w:color="auto" w:fill="auto"/>
            <w:vAlign w:val="center"/>
          </w:tcPr>
          <w:p w:rsidR="00D647CD" w:rsidRPr="00121E88" w:rsidRDefault="00D647CD" w:rsidP="005C5376">
            <w:pPr>
              <w:jc w:val="left"/>
              <w:rPr>
                <w:rFonts w:ascii="Arial Narrow" w:hAnsi="Arial Narrow"/>
                <w:b/>
                <w:sz w:val="20"/>
                <w:szCs w:val="16"/>
              </w:rPr>
            </w:pPr>
            <w:r w:rsidRPr="00121E88">
              <w:rPr>
                <w:rFonts w:ascii="Arial Narrow" w:hAnsi="Arial Narrow"/>
                <w:b/>
                <w:sz w:val="20"/>
                <w:szCs w:val="16"/>
              </w:rPr>
              <w:t>Trial</w:t>
            </w:r>
          </w:p>
        </w:tc>
        <w:tc>
          <w:tcPr>
            <w:tcW w:w="1462" w:type="pct"/>
            <w:shd w:val="clear" w:color="auto" w:fill="auto"/>
            <w:vAlign w:val="center"/>
          </w:tcPr>
          <w:p w:rsidR="00D647CD" w:rsidRPr="00121E88" w:rsidRDefault="00D647CD" w:rsidP="005C5376">
            <w:pPr>
              <w:jc w:val="center"/>
              <w:rPr>
                <w:rFonts w:ascii="Arial Narrow" w:hAnsi="Arial Narrow"/>
                <w:b/>
                <w:sz w:val="20"/>
                <w:szCs w:val="16"/>
              </w:rPr>
            </w:pPr>
            <w:r w:rsidRPr="00121E88">
              <w:rPr>
                <w:rFonts w:ascii="Arial Narrow" w:hAnsi="Arial Narrow"/>
                <w:b/>
                <w:sz w:val="20"/>
                <w:szCs w:val="16"/>
              </w:rPr>
              <w:t>Design/ duration</w:t>
            </w:r>
          </w:p>
        </w:tc>
        <w:tc>
          <w:tcPr>
            <w:tcW w:w="859" w:type="pct"/>
            <w:shd w:val="clear" w:color="auto" w:fill="auto"/>
            <w:vAlign w:val="center"/>
          </w:tcPr>
          <w:p w:rsidR="00D647CD" w:rsidRPr="00121E88" w:rsidRDefault="00D647CD" w:rsidP="005C5376">
            <w:pPr>
              <w:jc w:val="center"/>
              <w:rPr>
                <w:rFonts w:ascii="Arial Narrow" w:hAnsi="Arial Narrow"/>
                <w:b/>
                <w:sz w:val="20"/>
                <w:szCs w:val="16"/>
              </w:rPr>
            </w:pPr>
            <w:r w:rsidRPr="00121E88">
              <w:rPr>
                <w:rFonts w:ascii="Arial Narrow" w:hAnsi="Arial Narrow"/>
                <w:b/>
                <w:sz w:val="20"/>
                <w:szCs w:val="16"/>
              </w:rPr>
              <w:t>Risk of bias</w:t>
            </w:r>
          </w:p>
        </w:tc>
        <w:tc>
          <w:tcPr>
            <w:tcW w:w="646" w:type="pct"/>
            <w:shd w:val="clear" w:color="auto" w:fill="auto"/>
            <w:vAlign w:val="center"/>
          </w:tcPr>
          <w:p w:rsidR="00D647CD" w:rsidRPr="00121E88" w:rsidRDefault="00D647CD" w:rsidP="005C5376">
            <w:pPr>
              <w:jc w:val="center"/>
              <w:rPr>
                <w:rFonts w:ascii="Arial Narrow" w:hAnsi="Arial Narrow"/>
                <w:b/>
                <w:sz w:val="20"/>
                <w:szCs w:val="16"/>
              </w:rPr>
            </w:pPr>
            <w:r w:rsidRPr="00121E88">
              <w:rPr>
                <w:rFonts w:ascii="Arial Narrow" w:hAnsi="Arial Narrow"/>
                <w:b/>
                <w:sz w:val="20"/>
                <w:szCs w:val="16"/>
              </w:rPr>
              <w:t>Patient population</w:t>
            </w:r>
          </w:p>
        </w:tc>
        <w:tc>
          <w:tcPr>
            <w:tcW w:w="1418" w:type="pct"/>
            <w:shd w:val="clear" w:color="auto" w:fill="auto"/>
            <w:vAlign w:val="center"/>
          </w:tcPr>
          <w:p w:rsidR="00D647CD" w:rsidRPr="00121E88" w:rsidRDefault="006969E1" w:rsidP="005C5376">
            <w:pPr>
              <w:jc w:val="center"/>
              <w:rPr>
                <w:rFonts w:ascii="Arial Narrow" w:hAnsi="Arial Narrow"/>
                <w:b/>
                <w:sz w:val="20"/>
                <w:szCs w:val="16"/>
              </w:rPr>
            </w:pPr>
            <w:r w:rsidRPr="00121E88">
              <w:rPr>
                <w:rFonts w:ascii="Arial Narrow" w:hAnsi="Arial Narrow"/>
                <w:b/>
                <w:sz w:val="20"/>
                <w:szCs w:val="16"/>
              </w:rPr>
              <w:t>Outcomes</w:t>
            </w:r>
          </w:p>
        </w:tc>
      </w:tr>
      <w:tr w:rsidR="00D647CD" w:rsidRPr="00222597" w:rsidTr="005C5376">
        <w:tc>
          <w:tcPr>
            <w:tcW w:w="5000" w:type="pct"/>
            <w:gridSpan w:val="5"/>
            <w:shd w:val="clear" w:color="auto" w:fill="auto"/>
            <w:vAlign w:val="center"/>
          </w:tcPr>
          <w:p w:rsidR="00D647CD" w:rsidRPr="00121E88" w:rsidRDefault="00D647CD" w:rsidP="005C5376">
            <w:pPr>
              <w:jc w:val="left"/>
              <w:rPr>
                <w:rFonts w:ascii="Arial Narrow" w:hAnsi="Arial Narrow"/>
                <w:b/>
                <w:sz w:val="20"/>
                <w:szCs w:val="16"/>
              </w:rPr>
            </w:pPr>
            <w:proofErr w:type="spellStart"/>
            <w:r w:rsidRPr="00121E88">
              <w:rPr>
                <w:rFonts w:ascii="Arial Narrow" w:hAnsi="Arial Narrow"/>
                <w:b/>
                <w:sz w:val="20"/>
                <w:szCs w:val="16"/>
              </w:rPr>
              <w:t>Ulipristal</w:t>
            </w:r>
            <w:proofErr w:type="spellEnd"/>
            <w:r w:rsidRPr="00121E88">
              <w:rPr>
                <w:rFonts w:ascii="Arial Narrow" w:hAnsi="Arial Narrow"/>
                <w:b/>
                <w:sz w:val="20"/>
                <w:szCs w:val="16"/>
              </w:rPr>
              <w:t xml:space="preserve"> – </w:t>
            </w:r>
            <w:r w:rsidR="00222597">
              <w:rPr>
                <w:rFonts w:ascii="Arial Narrow" w:hAnsi="Arial Narrow"/>
                <w:b/>
                <w:sz w:val="20"/>
                <w:szCs w:val="16"/>
              </w:rPr>
              <w:t>short-term</w:t>
            </w:r>
            <w:r w:rsidRPr="00121E88">
              <w:rPr>
                <w:rFonts w:ascii="Arial Narrow" w:hAnsi="Arial Narrow"/>
                <w:b/>
                <w:sz w:val="20"/>
                <w:szCs w:val="16"/>
              </w:rPr>
              <w:t xml:space="preserve"> use (Clinical scenario 1)</w:t>
            </w:r>
          </w:p>
        </w:tc>
      </w:tr>
      <w:tr w:rsidR="00D647CD" w:rsidRPr="00222597" w:rsidTr="00A3599A">
        <w:tc>
          <w:tcPr>
            <w:tcW w:w="614" w:type="pct"/>
            <w:shd w:val="clear" w:color="auto" w:fill="auto"/>
            <w:vAlign w:val="center"/>
          </w:tcPr>
          <w:p w:rsidR="00D647CD" w:rsidRPr="00121E88" w:rsidRDefault="00D647CD" w:rsidP="005C5376">
            <w:pPr>
              <w:jc w:val="left"/>
              <w:rPr>
                <w:rFonts w:ascii="Arial Narrow" w:hAnsi="Arial Narrow"/>
                <w:sz w:val="20"/>
                <w:szCs w:val="16"/>
              </w:rPr>
            </w:pPr>
            <w:r w:rsidRPr="00121E88">
              <w:rPr>
                <w:rFonts w:ascii="Arial Narrow" w:hAnsi="Arial Narrow"/>
                <w:sz w:val="20"/>
                <w:szCs w:val="16"/>
              </w:rPr>
              <w:t>PEARL I</w:t>
            </w:r>
          </w:p>
        </w:tc>
        <w:tc>
          <w:tcPr>
            <w:tcW w:w="1462" w:type="pct"/>
            <w:shd w:val="clear" w:color="auto" w:fill="auto"/>
            <w:vAlign w:val="center"/>
          </w:tcPr>
          <w:p w:rsidR="00D647CD" w:rsidRPr="00121E88" w:rsidRDefault="00D647CD" w:rsidP="005C5376">
            <w:pPr>
              <w:jc w:val="left"/>
              <w:rPr>
                <w:rFonts w:ascii="Arial Narrow" w:hAnsi="Arial Narrow"/>
                <w:sz w:val="20"/>
                <w:szCs w:val="16"/>
              </w:rPr>
            </w:pPr>
            <w:r w:rsidRPr="00121E88">
              <w:rPr>
                <w:rFonts w:ascii="Arial Narrow" w:hAnsi="Arial Narrow"/>
                <w:sz w:val="20"/>
                <w:szCs w:val="16"/>
              </w:rPr>
              <w:t xml:space="preserve">RCT comparing UPA </w:t>
            </w:r>
            <w:r w:rsidR="00B413FC" w:rsidRPr="00121E88">
              <w:rPr>
                <w:rFonts w:ascii="Arial Narrow" w:hAnsi="Arial Narrow"/>
                <w:sz w:val="20"/>
                <w:szCs w:val="16"/>
              </w:rPr>
              <w:t>5 mg</w:t>
            </w:r>
            <w:r w:rsidRPr="00121E88">
              <w:rPr>
                <w:rFonts w:ascii="Arial Narrow" w:hAnsi="Arial Narrow"/>
                <w:sz w:val="20"/>
                <w:szCs w:val="16"/>
              </w:rPr>
              <w:t xml:space="preserve"> (n=96) and UPA 1</w:t>
            </w:r>
            <w:r w:rsidR="00B413FC" w:rsidRPr="00121E88">
              <w:rPr>
                <w:rFonts w:ascii="Arial Narrow" w:hAnsi="Arial Narrow"/>
                <w:sz w:val="20"/>
                <w:szCs w:val="16"/>
              </w:rPr>
              <w:t>0 mg</w:t>
            </w:r>
            <w:r w:rsidRPr="00121E88">
              <w:rPr>
                <w:rFonts w:ascii="Arial Narrow" w:hAnsi="Arial Narrow"/>
                <w:sz w:val="20"/>
                <w:szCs w:val="16"/>
              </w:rPr>
              <w:t xml:space="preserve"> (n=98) with placebo (n=48), 3 months</w:t>
            </w:r>
          </w:p>
        </w:tc>
        <w:tc>
          <w:tcPr>
            <w:tcW w:w="859" w:type="pct"/>
            <w:shd w:val="clear" w:color="auto" w:fill="auto"/>
            <w:vAlign w:val="center"/>
          </w:tcPr>
          <w:p w:rsidR="00D647CD" w:rsidRPr="00121E88" w:rsidRDefault="00D647CD" w:rsidP="005C5376">
            <w:pPr>
              <w:jc w:val="center"/>
              <w:rPr>
                <w:rFonts w:ascii="Arial Narrow" w:hAnsi="Arial Narrow"/>
                <w:sz w:val="20"/>
                <w:szCs w:val="16"/>
              </w:rPr>
            </w:pPr>
            <w:r w:rsidRPr="00121E88">
              <w:rPr>
                <w:rFonts w:ascii="Arial Narrow" w:hAnsi="Arial Narrow"/>
                <w:sz w:val="20"/>
                <w:szCs w:val="16"/>
              </w:rPr>
              <w:t>Low</w:t>
            </w:r>
          </w:p>
        </w:tc>
        <w:tc>
          <w:tcPr>
            <w:tcW w:w="646" w:type="pct"/>
            <w:shd w:val="clear" w:color="auto" w:fill="auto"/>
            <w:vAlign w:val="center"/>
          </w:tcPr>
          <w:p w:rsidR="00D647CD" w:rsidRPr="00121E88" w:rsidRDefault="00D647CD" w:rsidP="005C5376">
            <w:pPr>
              <w:jc w:val="center"/>
              <w:rPr>
                <w:rFonts w:ascii="Arial Narrow" w:hAnsi="Arial Narrow"/>
                <w:sz w:val="20"/>
                <w:szCs w:val="16"/>
              </w:rPr>
            </w:pPr>
            <w:r w:rsidRPr="00121E88">
              <w:rPr>
                <w:rFonts w:ascii="Arial Narrow" w:hAnsi="Arial Narrow"/>
                <w:sz w:val="20"/>
                <w:szCs w:val="16"/>
              </w:rPr>
              <w:t>Pre-menopausal women with moderate to severe symptoms of uterine fibroid</w:t>
            </w:r>
          </w:p>
        </w:tc>
        <w:tc>
          <w:tcPr>
            <w:tcW w:w="1418" w:type="pct"/>
            <w:shd w:val="clear" w:color="auto" w:fill="auto"/>
            <w:vAlign w:val="center"/>
          </w:tcPr>
          <w:p w:rsidR="00D647CD" w:rsidRPr="00222597" w:rsidRDefault="00D647CD" w:rsidP="0019714C">
            <w:pPr>
              <w:jc w:val="left"/>
              <w:rPr>
                <w:rFonts w:ascii="Arial Narrow" w:hAnsi="Arial Narrow"/>
                <w:sz w:val="20"/>
              </w:rPr>
            </w:pPr>
            <w:r w:rsidRPr="00222597">
              <w:rPr>
                <w:rFonts w:ascii="Arial Narrow" w:hAnsi="Arial Narrow"/>
                <w:sz w:val="20"/>
              </w:rPr>
              <w:t xml:space="preserve">1) Percentage of patients with reduction </w:t>
            </w:r>
            <w:r w:rsidR="00F70149" w:rsidRPr="00222597">
              <w:rPr>
                <w:rFonts w:ascii="Arial Narrow" w:hAnsi="Arial Narrow"/>
                <w:sz w:val="20"/>
              </w:rPr>
              <w:t>of</w:t>
            </w:r>
            <w:r w:rsidRPr="00222597">
              <w:rPr>
                <w:rFonts w:ascii="Arial Narrow" w:hAnsi="Arial Narrow"/>
                <w:sz w:val="20"/>
              </w:rPr>
              <w:t xml:space="preserve"> uterine bleeding at </w:t>
            </w:r>
            <w:r w:rsidR="002E77DF" w:rsidRPr="00030326">
              <w:rPr>
                <w:rFonts w:ascii="Arial Narrow" w:hAnsi="Arial Narrow"/>
                <w:sz w:val="20"/>
              </w:rPr>
              <w:t>Week</w:t>
            </w:r>
            <w:r w:rsidRPr="00F368D9">
              <w:rPr>
                <w:rFonts w:ascii="Arial Narrow" w:hAnsi="Arial Narrow"/>
                <w:sz w:val="20"/>
              </w:rPr>
              <w:t xml:space="preserve"> 13, defined as a </w:t>
            </w:r>
            <w:r w:rsidR="00F70149" w:rsidRPr="00222597">
              <w:rPr>
                <w:rFonts w:ascii="Arial Narrow" w:hAnsi="Arial Narrow"/>
                <w:sz w:val="20"/>
              </w:rPr>
              <w:t>PBA chart score of less than 75</w:t>
            </w:r>
          </w:p>
          <w:p w:rsidR="00D647CD" w:rsidRPr="00222597" w:rsidRDefault="00D647CD" w:rsidP="0019714C">
            <w:pPr>
              <w:jc w:val="left"/>
              <w:rPr>
                <w:rFonts w:ascii="Arial Narrow" w:hAnsi="Arial Narrow"/>
                <w:sz w:val="20"/>
              </w:rPr>
            </w:pPr>
            <w:r w:rsidRPr="00222597">
              <w:rPr>
                <w:rFonts w:ascii="Arial Narrow" w:hAnsi="Arial Narrow"/>
                <w:sz w:val="20"/>
              </w:rPr>
              <w:t xml:space="preserve">2) Change in total fibroid volume from screening to </w:t>
            </w:r>
            <w:r w:rsidR="002E77DF" w:rsidRPr="00222597">
              <w:rPr>
                <w:rFonts w:ascii="Arial Narrow" w:hAnsi="Arial Narrow"/>
                <w:sz w:val="20"/>
              </w:rPr>
              <w:t>Week</w:t>
            </w:r>
            <w:r w:rsidRPr="00222597">
              <w:rPr>
                <w:rFonts w:ascii="Arial Narrow" w:hAnsi="Arial Narrow"/>
                <w:sz w:val="20"/>
              </w:rPr>
              <w:t xml:space="preserve"> 13, assessed by MRI</w:t>
            </w:r>
          </w:p>
          <w:p w:rsidR="00D647CD" w:rsidRPr="00222597" w:rsidRDefault="00D647CD" w:rsidP="0019714C">
            <w:pPr>
              <w:jc w:val="left"/>
              <w:rPr>
                <w:rFonts w:ascii="Arial Narrow" w:hAnsi="Arial Narrow"/>
                <w:sz w:val="20"/>
              </w:rPr>
            </w:pPr>
            <w:r w:rsidRPr="00222597">
              <w:rPr>
                <w:rFonts w:ascii="Arial Narrow" w:hAnsi="Arial Narrow"/>
                <w:sz w:val="20"/>
              </w:rPr>
              <w:t xml:space="preserve">3) Reduction in uterine volume </w:t>
            </w:r>
            <w:r w:rsidR="002E77DF" w:rsidRPr="00222597">
              <w:rPr>
                <w:rFonts w:ascii="Arial Narrow" w:hAnsi="Arial Narrow"/>
                <w:sz w:val="20"/>
              </w:rPr>
              <w:t>from screen</w:t>
            </w:r>
            <w:r w:rsidR="00F70149" w:rsidRPr="00222597">
              <w:rPr>
                <w:rFonts w:ascii="Arial Narrow" w:hAnsi="Arial Narrow"/>
                <w:sz w:val="20"/>
              </w:rPr>
              <w:t>ing to Week 13, assessed by MRI</w:t>
            </w:r>
          </w:p>
          <w:p w:rsidR="00D647CD" w:rsidRPr="00121E88" w:rsidRDefault="00D647CD" w:rsidP="0019714C">
            <w:pPr>
              <w:jc w:val="left"/>
              <w:rPr>
                <w:rFonts w:ascii="Arial Narrow" w:hAnsi="Arial Narrow"/>
                <w:sz w:val="20"/>
                <w:szCs w:val="16"/>
              </w:rPr>
            </w:pPr>
            <w:r w:rsidRPr="00222597">
              <w:rPr>
                <w:rFonts w:ascii="Arial Narrow" w:hAnsi="Arial Narrow"/>
                <w:sz w:val="20"/>
              </w:rPr>
              <w:t>4) Changes in haemoglobin, haematocrit, and ferritin levels</w:t>
            </w:r>
          </w:p>
        </w:tc>
      </w:tr>
      <w:tr w:rsidR="00D647CD" w:rsidRPr="00222597" w:rsidTr="00A3599A">
        <w:tc>
          <w:tcPr>
            <w:tcW w:w="614" w:type="pct"/>
            <w:shd w:val="clear" w:color="auto" w:fill="auto"/>
            <w:vAlign w:val="center"/>
          </w:tcPr>
          <w:p w:rsidR="00D647CD" w:rsidRPr="00121E88" w:rsidRDefault="00D647CD" w:rsidP="005C5376">
            <w:pPr>
              <w:jc w:val="left"/>
              <w:rPr>
                <w:rFonts w:ascii="Arial Narrow" w:hAnsi="Arial Narrow"/>
                <w:sz w:val="20"/>
                <w:szCs w:val="16"/>
              </w:rPr>
            </w:pPr>
            <w:r w:rsidRPr="00121E88">
              <w:rPr>
                <w:rFonts w:ascii="Arial Narrow" w:hAnsi="Arial Narrow"/>
                <w:sz w:val="20"/>
                <w:szCs w:val="16"/>
              </w:rPr>
              <w:t>PEARL II</w:t>
            </w:r>
          </w:p>
        </w:tc>
        <w:tc>
          <w:tcPr>
            <w:tcW w:w="1462" w:type="pct"/>
            <w:shd w:val="clear" w:color="auto" w:fill="auto"/>
            <w:vAlign w:val="center"/>
          </w:tcPr>
          <w:p w:rsidR="00D647CD" w:rsidRPr="00121E88" w:rsidRDefault="00D647CD" w:rsidP="005C5376">
            <w:pPr>
              <w:jc w:val="left"/>
              <w:rPr>
                <w:rFonts w:ascii="Arial Narrow" w:hAnsi="Arial Narrow"/>
                <w:sz w:val="20"/>
                <w:szCs w:val="16"/>
              </w:rPr>
            </w:pPr>
            <w:r w:rsidRPr="00121E88">
              <w:rPr>
                <w:rFonts w:ascii="Arial Narrow" w:hAnsi="Arial Narrow"/>
                <w:sz w:val="20"/>
                <w:szCs w:val="16"/>
              </w:rPr>
              <w:t xml:space="preserve">Non-inferiority RCT comparing UPA </w:t>
            </w:r>
            <w:r w:rsidR="00B413FC" w:rsidRPr="00121E88">
              <w:rPr>
                <w:rFonts w:ascii="Arial Narrow" w:hAnsi="Arial Narrow"/>
                <w:sz w:val="20"/>
                <w:szCs w:val="16"/>
              </w:rPr>
              <w:t>5 mg</w:t>
            </w:r>
            <w:r w:rsidRPr="00121E88">
              <w:rPr>
                <w:rFonts w:ascii="Arial Narrow" w:hAnsi="Arial Narrow"/>
                <w:sz w:val="20"/>
                <w:szCs w:val="16"/>
              </w:rPr>
              <w:t xml:space="preserve"> (n=102) and UPA 1</w:t>
            </w:r>
            <w:r w:rsidR="00B413FC" w:rsidRPr="00121E88">
              <w:rPr>
                <w:rFonts w:ascii="Arial Narrow" w:hAnsi="Arial Narrow"/>
                <w:sz w:val="20"/>
                <w:szCs w:val="16"/>
              </w:rPr>
              <w:t>0 mg</w:t>
            </w:r>
            <w:r w:rsidRPr="00121E88">
              <w:rPr>
                <w:rFonts w:ascii="Arial Narrow" w:hAnsi="Arial Narrow"/>
                <w:sz w:val="20"/>
                <w:szCs w:val="16"/>
              </w:rPr>
              <w:t xml:space="preserve"> (n=103) with </w:t>
            </w:r>
            <w:proofErr w:type="spellStart"/>
            <w:r w:rsidRPr="00121E88">
              <w:rPr>
                <w:rFonts w:ascii="Arial Narrow" w:hAnsi="Arial Narrow"/>
                <w:sz w:val="20"/>
                <w:szCs w:val="16"/>
              </w:rPr>
              <w:t>leuprorelin</w:t>
            </w:r>
            <w:proofErr w:type="spellEnd"/>
            <w:r w:rsidRPr="00121E88">
              <w:rPr>
                <w:rFonts w:ascii="Arial Narrow" w:hAnsi="Arial Narrow"/>
                <w:sz w:val="20"/>
                <w:szCs w:val="16"/>
              </w:rPr>
              <w:t xml:space="preserve"> (n=102), 3 months</w:t>
            </w:r>
          </w:p>
        </w:tc>
        <w:tc>
          <w:tcPr>
            <w:tcW w:w="859" w:type="pct"/>
            <w:shd w:val="clear" w:color="auto" w:fill="auto"/>
            <w:vAlign w:val="center"/>
          </w:tcPr>
          <w:p w:rsidR="00D647CD" w:rsidRPr="00121E88" w:rsidRDefault="00D647CD" w:rsidP="005C5376">
            <w:pPr>
              <w:jc w:val="center"/>
              <w:rPr>
                <w:rFonts w:ascii="Arial Narrow" w:hAnsi="Arial Narrow"/>
                <w:sz w:val="20"/>
                <w:szCs w:val="16"/>
              </w:rPr>
            </w:pPr>
            <w:r w:rsidRPr="00121E88">
              <w:rPr>
                <w:rFonts w:ascii="Arial Narrow" w:hAnsi="Arial Narrow"/>
                <w:sz w:val="20"/>
                <w:szCs w:val="16"/>
              </w:rPr>
              <w:t>Low</w:t>
            </w:r>
          </w:p>
        </w:tc>
        <w:tc>
          <w:tcPr>
            <w:tcW w:w="646" w:type="pct"/>
            <w:shd w:val="clear" w:color="auto" w:fill="auto"/>
            <w:vAlign w:val="center"/>
          </w:tcPr>
          <w:p w:rsidR="00D647CD" w:rsidRPr="00121E88" w:rsidRDefault="00D647CD" w:rsidP="005C5376">
            <w:pPr>
              <w:jc w:val="center"/>
              <w:rPr>
                <w:rFonts w:ascii="Arial Narrow" w:hAnsi="Arial Narrow"/>
                <w:sz w:val="20"/>
                <w:szCs w:val="16"/>
              </w:rPr>
            </w:pPr>
            <w:r w:rsidRPr="00121E88">
              <w:rPr>
                <w:rFonts w:ascii="Arial Narrow" w:hAnsi="Arial Narrow"/>
                <w:sz w:val="20"/>
                <w:szCs w:val="16"/>
              </w:rPr>
              <w:t>As above</w:t>
            </w:r>
          </w:p>
        </w:tc>
        <w:tc>
          <w:tcPr>
            <w:tcW w:w="1418" w:type="pct"/>
            <w:shd w:val="clear" w:color="auto" w:fill="auto"/>
            <w:vAlign w:val="center"/>
          </w:tcPr>
          <w:p w:rsidR="00D647CD" w:rsidRPr="00F368D9" w:rsidRDefault="00D647CD" w:rsidP="005C5376">
            <w:pPr>
              <w:jc w:val="left"/>
              <w:rPr>
                <w:rFonts w:ascii="Arial Narrow" w:hAnsi="Arial Narrow"/>
                <w:sz w:val="20"/>
              </w:rPr>
            </w:pPr>
            <w:r w:rsidRPr="00222597">
              <w:rPr>
                <w:rFonts w:ascii="Arial Narrow" w:hAnsi="Arial Narrow"/>
                <w:sz w:val="20"/>
              </w:rPr>
              <w:t xml:space="preserve">1) Proportion of patients with </w:t>
            </w:r>
            <w:r w:rsidR="00F70149" w:rsidRPr="00222597">
              <w:rPr>
                <w:rFonts w:ascii="Arial Narrow" w:hAnsi="Arial Narrow"/>
                <w:sz w:val="20"/>
              </w:rPr>
              <w:t>reduction</w:t>
            </w:r>
            <w:r w:rsidRPr="00222597">
              <w:rPr>
                <w:rFonts w:ascii="Arial Narrow" w:hAnsi="Arial Narrow"/>
                <w:sz w:val="20"/>
              </w:rPr>
              <w:t xml:space="preserve"> of uterine bleeding at </w:t>
            </w:r>
            <w:r w:rsidR="002E77DF" w:rsidRPr="00030326">
              <w:rPr>
                <w:rFonts w:ascii="Arial Narrow" w:hAnsi="Arial Narrow"/>
                <w:sz w:val="20"/>
              </w:rPr>
              <w:t>Week</w:t>
            </w:r>
            <w:r w:rsidR="00F70149" w:rsidRPr="00030326">
              <w:rPr>
                <w:rFonts w:ascii="Arial Narrow" w:hAnsi="Arial Narrow"/>
                <w:sz w:val="20"/>
              </w:rPr>
              <w:t xml:space="preserve"> 13, defined as above</w:t>
            </w:r>
          </w:p>
          <w:p w:rsidR="00D647CD" w:rsidRPr="00222597" w:rsidRDefault="00D647CD" w:rsidP="005C5376">
            <w:pPr>
              <w:jc w:val="left"/>
              <w:rPr>
                <w:rFonts w:ascii="Arial Narrow" w:hAnsi="Arial Narrow"/>
                <w:sz w:val="20"/>
              </w:rPr>
            </w:pPr>
            <w:r w:rsidRPr="00222597">
              <w:rPr>
                <w:rFonts w:ascii="Arial Narrow" w:hAnsi="Arial Narrow"/>
                <w:sz w:val="20"/>
              </w:rPr>
              <w:t xml:space="preserve">2) Change in uterine volume from baseline to </w:t>
            </w:r>
            <w:r w:rsidR="002E77DF" w:rsidRPr="00222597">
              <w:rPr>
                <w:rFonts w:ascii="Arial Narrow" w:hAnsi="Arial Narrow"/>
                <w:sz w:val="20"/>
              </w:rPr>
              <w:t>Week</w:t>
            </w:r>
            <w:r w:rsidRPr="00222597">
              <w:rPr>
                <w:rFonts w:ascii="Arial Narrow" w:hAnsi="Arial Narrow"/>
                <w:sz w:val="20"/>
              </w:rPr>
              <w:t xml:space="preserve"> 13</w:t>
            </w:r>
          </w:p>
          <w:p w:rsidR="00D647CD" w:rsidRPr="00222597" w:rsidRDefault="00D647CD" w:rsidP="005C5376">
            <w:pPr>
              <w:jc w:val="left"/>
              <w:rPr>
                <w:rFonts w:ascii="Arial Narrow" w:hAnsi="Arial Narrow"/>
                <w:sz w:val="20"/>
              </w:rPr>
            </w:pPr>
            <w:r w:rsidRPr="00222597">
              <w:rPr>
                <w:rFonts w:ascii="Arial Narrow" w:hAnsi="Arial Narrow"/>
                <w:sz w:val="20"/>
              </w:rPr>
              <w:t xml:space="preserve">3) Change in volume of the 3 largest fibroids from baseline to </w:t>
            </w:r>
            <w:r w:rsidR="002E77DF" w:rsidRPr="00222597">
              <w:rPr>
                <w:rFonts w:ascii="Arial Narrow" w:hAnsi="Arial Narrow"/>
                <w:sz w:val="20"/>
              </w:rPr>
              <w:t>Week</w:t>
            </w:r>
            <w:r w:rsidRPr="00222597">
              <w:rPr>
                <w:rFonts w:ascii="Arial Narrow" w:hAnsi="Arial Narrow"/>
                <w:sz w:val="20"/>
              </w:rPr>
              <w:t xml:space="preserve"> 13</w:t>
            </w:r>
          </w:p>
          <w:p w:rsidR="00D647CD" w:rsidRPr="00121E88" w:rsidRDefault="00D647CD" w:rsidP="005C5376">
            <w:pPr>
              <w:jc w:val="left"/>
              <w:rPr>
                <w:rFonts w:ascii="Arial Narrow" w:hAnsi="Arial Narrow"/>
                <w:sz w:val="20"/>
                <w:szCs w:val="16"/>
              </w:rPr>
            </w:pPr>
            <w:r w:rsidRPr="00222597">
              <w:rPr>
                <w:rFonts w:ascii="Arial Narrow" w:hAnsi="Arial Narrow"/>
                <w:sz w:val="20"/>
              </w:rPr>
              <w:t>4) Change in haemoglobin, haematocrit and ferritin levels</w:t>
            </w:r>
          </w:p>
        </w:tc>
      </w:tr>
      <w:tr w:rsidR="00D647CD" w:rsidRPr="00222597" w:rsidTr="005C5376">
        <w:tc>
          <w:tcPr>
            <w:tcW w:w="5000" w:type="pct"/>
            <w:gridSpan w:val="5"/>
            <w:shd w:val="clear" w:color="auto" w:fill="auto"/>
            <w:vAlign w:val="center"/>
          </w:tcPr>
          <w:p w:rsidR="00D647CD" w:rsidRPr="00121E88" w:rsidRDefault="00D647CD" w:rsidP="005C5376">
            <w:pPr>
              <w:jc w:val="left"/>
              <w:rPr>
                <w:rFonts w:ascii="Arial Narrow" w:hAnsi="Arial Narrow"/>
                <w:b/>
                <w:sz w:val="20"/>
                <w:szCs w:val="16"/>
              </w:rPr>
            </w:pPr>
            <w:proofErr w:type="spellStart"/>
            <w:r w:rsidRPr="00121E88">
              <w:rPr>
                <w:rFonts w:ascii="Arial Narrow" w:hAnsi="Arial Narrow"/>
                <w:b/>
                <w:sz w:val="20"/>
                <w:szCs w:val="16"/>
              </w:rPr>
              <w:t>Ulipristal</w:t>
            </w:r>
            <w:proofErr w:type="spellEnd"/>
            <w:r w:rsidRPr="00121E88">
              <w:rPr>
                <w:rFonts w:ascii="Arial Narrow" w:hAnsi="Arial Narrow"/>
                <w:b/>
                <w:sz w:val="20"/>
                <w:szCs w:val="16"/>
              </w:rPr>
              <w:t xml:space="preserve"> – medium to </w:t>
            </w:r>
            <w:r w:rsidR="00222597">
              <w:rPr>
                <w:rFonts w:ascii="Arial Narrow" w:hAnsi="Arial Narrow"/>
                <w:b/>
                <w:sz w:val="20"/>
                <w:szCs w:val="16"/>
              </w:rPr>
              <w:t>long-term</w:t>
            </w:r>
            <w:r w:rsidRPr="00121E88">
              <w:rPr>
                <w:rFonts w:ascii="Arial Narrow" w:hAnsi="Arial Narrow"/>
                <w:b/>
                <w:sz w:val="20"/>
                <w:szCs w:val="16"/>
              </w:rPr>
              <w:t xml:space="preserve"> use (Clinical scenarios 2-4)</w:t>
            </w:r>
          </w:p>
        </w:tc>
      </w:tr>
      <w:tr w:rsidR="00D647CD" w:rsidRPr="00222597" w:rsidTr="00A3599A">
        <w:tc>
          <w:tcPr>
            <w:tcW w:w="614" w:type="pct"/>
            <w:shd w:val="clear" w:color="auto" w:fill="auto"/>
            <w:vAlign w:val="center"/>
          </w:tcPr>
          <w:p w:rsidR="00D647CD" w:rsidRPr="00121E88" w:rsidRDefault="00D647CD" w:rsidP="005C5376">
            <w:pPr>
              <w:jc w:val="left"/>
              <w:rPr>
                <w:rFonts w:ascii="Arial Narrow" w:hAnsi="Arial Narrow"/>
                <w:sz w:val="20"/>
                <w:szCs w:val="16"/>
              </w:rPr>
            </w:pPr>
            <w:r w:rsidRPr="00121E88">
              <w:rPr>
                <w:rFonts w:ascii="Arial Narrow" w:hAnsi="Arial Narrow"/>
                <w:sz w:val="20"/>
                <w:szCs w:val="16"/>
              </w:rPr>
              <w:t>PEARL III and extensions</w:t>
            </w:r>
          </w:p>
        </w:tc>
        <w:tc>
          <w:tcPr>
            <w:tcW w:w="1462" w:type="pct"/>
            <w:shd w:val="clear" w:color="auto" w:fill="auto"/>
            <w:vAlign w:val="center"/>
          </w:tcPr>
          <w:p w:rsidR="00EE0855" w:rsidRPr="00121E88" w:rsidRDefault="00BC4C8E" w:rsidP="005C5376">
            <w:pPr>
              <w:jc w:val="left"/>
              <w:rPr>
                <w:rFonts w:ascii="Arial Narrow" w:hAnsi="Arial Narrow"/>
                <w:sz w:val="20"/>
                <w:szCs w:val="16"/>
              </w:rPr>
            </w:pPr>
            <w:r w:rsidRPr="00121E88">
              <w:rPr>
                <w:rFonts w:ascii="Arial Narrow" w:hAnsi="Arial Narrow"/>
                <w:sz w:val="20"/>
                <w:szCs w:val="16"/>
              </w:rPr>
              <w:t>RCT (N=201) and Extension 1</w:t>
            </w:r>
            <w:r w:rsidR="00D647CD" w:rsidRPr="00121E88">
              <w:rPr>
                <w:rFonts w:ascii="Arial Narrow" w:hAnsi="Arial Narrow"/>
                <w:sz w:val="20"/>
                <w:szCs w:val="16"/>
              </w:rPr>
              <w:t xml:space="preserve"> </w:t>
            </w:r>
            <w:r w:rsidRPr="00121E88">
              <w:rPr>
                <w:rFonts w:ascii="Arial Narrow" w:hAnsi="Arial Narrow"/>
                <w:sz w:val="20"/>
                <w:szCs w:val="16"/>
              </w:rPr>
              <w:t>(N=</w:t>
            </w:r>
            <w:r w:rsidR="002C58B1" w:rsidRPr="00121E88">
              <w:rPr>
                <w:rFonts w:ascii="Arial Narrow" w:hAnsi="Arial Narrow"/>
                <w:sz w:val="20"/>
                <w:szCs w:val="16"/>
              </w:rPr>
              <w:t>132) all patients received UPA 1</w:t>
            </w:r>
            <w:r w:rsidR="00B413FC" w:rsidRPr="00121E88">
              <w:rPr>
                <w:rFonts w:ascii="Arial Narrow" w:hAnsi="Arial Narrow"/>
                <w:sz w:val="20"/>
                <w:szCs w:val="16"/>
              </w:rPr>
              <w:t>0 mg</w:t>
            </w:r>
            <w:r w:rsidR="002C58B1" w:rsidRPr="00121E88">
              <w:rPr>
                <w:rFonts w:ascii="Arial Narrow" w:hAnsi="Arial Narrow"/>
                <w:sz w:val="20"/>
                <w:szCs w:val="16"/>
              </w:rPr>
              <w:t xml:space="preserve"> (</w:t>
            </w:r>
            <w:r w:rsidR="00D647CD" w:rsidRPr="00121E88">
              <w:rPr>
                <w:rFonts w:ascii="Arial Narrow" w:hAnsi="Arial Narrow"/>
                <w:sz w:val="20"/>
                <w:szCs w:val="16"/>
              </w:rPr>
              <w:t>one 3-month course in the initial trial, three courses in Extension 1). Patients were randomised to receive either progestin or placebo for 10 days a</w:t>
            </w:r>
            <w:r w:rsidR="00EE0855" w:rsidRPr="00121E88">
              <w:rPr>
                <w:rFonts w:ascii="Arial Narrow" w:hAnsi="Arial Narrow"/>
                <w:sz w:val="20"/>
                <w:szCs w:val="16"/>
              </w:rPr>
              <w:t>fter each UPA treatment course.*</w:t>
            </w:r>
          </w:p>
          <w:p w:rsidR="00D647CD" w:rsidRPr="00121E88" w:rsidRDefault="00D647CD" w:rsidP="005C5376">
            <w:pPr>
              <w:jc w:val="left"/>
              <w:rPr>
                <w:rFonts w:ascii="Arial Narrow" w:hAnsi="Arial Narrow"/>
                <w:sz w:val="20"/>
                <w:szCs w:val="16"/>
              </w:rPr>
            </w:pPr>
            <w:r w:rsidRPr="00121E88">
              <w:rPr>
                <w:rFonts w:ascii="Arial Narrow" w:hAnsi="Arial Narrow"/>
                <w:sz w:val="20"/>
                <w:szCs w:val="16"/>
              </w:rPr>
              <w:t>Patients received additional four courses of open-label treatment with UPA 1</w:t>
            </w:r>
            <w:r w:rsidR="00B413FC" w:rsidRPr="00121E88">
              <w:rPr>
                <w:rFonts w:ascii="Arial Narrow" w:hAnsi="Arial Narrow"/>
                <w:sz w:val="20"/>
                <w:szCs w:val="16"/>
              </w:rPr>
              <w:t>0 mg</w:t>
            </w:r>
            <w:r w:rsidRPr="00121E88">
              <w:rPr>
                <w:rFonts w:ascii="Arial Narrow" w:hAnsi="Arial Narrow"/>
                <w:sz w:val="20"/>
                <w:szCs w:val="16"/>
              </w:rPr>
              <w:t xml:space="preserve"> in Extension 2 (n=64)</w:t>
            </w:r>
          </w:p>
        </w:tc>
        <w:tc>
          <w:tcPr>
            <w:tcW w:w="859" w:type="pct"/>
            <w:shd w:val="clear" w:color="auto" w:fill="auto"/>
            <w:vAlign w:val="center"/>
          </w:tcPr>
          <w:p w:rsidR="00D647CD" w:rsidRPr="00121E88" w:rsidRDefault="00D10E10" w:rsidP="00B0486D">
            <w:pPr>
              <w:jc w:val="center"/>
              <w:rPr>
                <w:rFonts w:ascii="Arial Narrow" w:hAnsi="Arial Narrow"/>
                <w:sz w:val="20"/>
                <w:szCs w:val="16"/>
              </w:rPr>
            </w:pPr>
            <w:r w:rsidRPr="00121E88">
              <w:rPr>
                <w:rFonts w:ascii="Arial Narrow" w:hAnsi="Arial Narrow"/>
                <w:sz w:val="20"/>
                <w:szCs w:val="16"/>
              </w:rPr>
              <w:t>Unclear**</w:t>
            </w:r>
          </w:p>
        </w:tc>
        <w:tc>
          <w:tcPr>
            <w:tcW w:w="646" w:type="pct"/>
            <w:shd w:val="clear" w:color="auto" w:fill="auto"/>
            <w:vAlign w:val="center"/>
          </w:tcPr>
          <w:p w:rsidR="00D647CD" w:rsidRPr="00121E88" w:rsidRDefault="00D647CD" w:rsidP="005C5376">
            <w:pPr>
              <w:jc w:val="center"/>
              <w:rPr>
                <w:rFonts w:ascii="Arial Narrow" w:hAnsi="Arial Narrow"/>
                <w:sz w:val="20"/>
                <w:szCs w:val="16"/>
              </w:rPr>
            </w:pPr>
            <w:r w:rsidRPr="00121E88">
              <w:rPr>
                <w:rFonts w:ascii="Arial Narrow" w:hAnsi="Arial Narrow"/>
                <w:sz w:val="20"/>
                <w:szCs w:val="16"/>
              </w:rPr>
              <w:t>As above</w:t>
            </w:r>
          </w:p>
        </w:tc>
        <w:tc>
          <w:tcPr>
            <w:tcW w:w="1418" w:type="pct"/>
            <w:shd w:val="clear" w:color="auto" w:fill="auto"/>
            <w:vAlign w:val="center"/>
          </w:tcPr>
          <w:p w:rsidR="00D647CD" w:rsidRPr="00222597" w:rsidRDefault="00D647CD" w:rsidP="005C5376">
            <w:pPr>
              <w:jc w:val="left"/>
              <w:rPr>
                <w:rFonts w:ascii="Arial Narrow" w:hAnsi="Arial Narrow"/>
                <w:sz w:val="20"/>
              </w:rPr>
            </w:pPr>
            <w:r w:rsidRPr="00222597">
              <w:rPr>
                <w:rFonts w:ascii="Arial Narrow" w:hAnsi="Arial Narrow"/>
                <w:sz w:val="20"/>
              </w:rPr>
              <w:t>1) Subjects in amenorrhoea at the end of each treatment course;</w:t>
            </w:r>
          </w:p>
          <w:p w:rsidR="00D647CD" w:rsidRPr="00030326" w:rsidRDefault="00D647CD" w:rsidP="005C5376">
            <w:pPr>
              <w:jc w:val="left"/>
              <w:rPr>
                <w:rFonts w:ascii="Arial Narrow" w:hAnsi="Arial Narrow"/>
                <w:sz w:val="20"/>
              </w:rPr>
            </w:pPr>
            <w:r w:rsidRPr="00030326">
              <w:rPr>
                <w:rFonts w:ascii="Arial Narrow" w:hAnsi="Arial Narrow"/>
                <w:sz w:val="20"/>
              </w:rPr>
              <w:t>2) Change in volume of 3 largest fibroids</w:t>
            </w:r>
          </w:p>
          <w:p w:rsidR="00D647CD" w:rsidRPr="00121E88" w:rsidRDefault="00D647CD" w:rsidP="005C5376">
            <w:pPr>
              <w:jc w:val="left"/>
              <w:rPr>
                <w:rFonts w:ascii="Arial Narrow" w:hAnsi="Arial Narrow"/>
                <w:sz w:val="20"/>
                <w:szCs w:val="16"/>
              </w:rPr>
            </w:pPr>
          </w:p>
        </w:tc>
      </w:tr>
      <w:tr w:rsidR="00D647CD" w:rsidRPr="00222597" w:rsidTr="00A3599A">
        <w:tc>
          <w:tcPr>
            <w:tcW w:w="614" w:type="pct"/>
            <w:shd w:val="clear" w:color="auto" w:fill="auto"/>
            <w:vAlign w:val="center"/>
          </w:tcPr>
          <w:p w:rsidR="00D647CD" w:rsidRPr="00121E88" w:rsidRDefault="00D647CD" w:rsidP="005C5376">
            <w:pPr>
              <w:jc w:val="left"/>
              <w:rPr>
                <w:rFonts w:ascii="Arial Narrow" w:hAnsi="Arial Narrow"/>
                <w:sz w:val="20"/>
                <w:szCs w:val="16"/>
              </w:rPr>
            </w:pPr>
            <w:r w:rsidRPr="00121E88">
              <w:rPr>
                <w:rFonts w:ascii="Arial Narrow" w:hAnsi="Arial Narrow"/>
                <w:sz w:val="20"/>
                <w:szCs w:val="16"/>
              </w:rPr>
              <w:t>PEARL IV</w:t>
            </w:r>
          </w:p>
        </w:tc>
        <w:tc>
          <w:tcPr>
            <w:tcW w:w="1462" w:type="pct"/>
            <w:shd w:val="clear" w:color="auto" w:fill="auto"/>
            <w:vAlign w:val="center"/>
          </w:tcPr>
          <w:p w:rsidR="00D647CD" w:rsidRPr="00121E88" w:rsidRDefault="00D647CD" w:rsidP="005C5376">
            <w:pPr>
              <w:jc w:val="left"/>
              <w:rPr>
                <w:rFonts w:ascii="Arial Narrow" w:hAnsi="Arial Narrow"/>
                <w:sz w:val="20"/>
                <w:szCs w:val="16"/>
              </w:rPr>
            </w:pPr>
            <w:r w:rsidRPr="00121E88">
              <w:rPr>
                <w:rFonts w:ascii="Arial Narrow" w:hAnsi="Arial Narrow"/>
                <w:sz w:val="20"/>
                <w:szCs w:val="16"/>
              </w:rPr>
              <w:t xml:space="preserve">RCT comparing UPA </w:t>
            </w:r>
            <w:r w:rsidR="00B413FC" w:rsidRPr="00121E88">
              <w:rPr>
                <w:rFonts w:ascii="Arial Narrow" w:hAnsi="Arial Narrow"/>
                <w:sz w:val="20"/>
                <w:szCs w:val="16"/>
              </w:rPr>
              <w:t>5 mg</w:t>
            </w:r>
            <w:r w:rsidRPr="00121E88">
              <w:rPr>
                <w:rFonts w:ascii="Arial Narrow" w:hAnsi="Arial Narrow"/>
                <w:sz w:val="20"/>
                <w:szCs w:val="16"/>
              </w:rPr>
              <w:t xml:space="preserve"> </w:t>
            </w:r>
            <w:r w:rsidR="00AD34B2" w:rsidRPr="00121E88">
              <w:rPr>
                <w:rFonts w:ascii="Arial Narrow" w:hAnsi="Arial Narrow"/>
                <w:sz w:val="20"/>
                <w:szCs w:val="16"/>
              </w:rPr>
              <w:t xml:space="preserve">(n=228) </w:t>
            </w:r>
            <w:r w:rsidRPr="00121E88">
              <w:rPr>
                <w:rFonts w:ascii="Arial Narrow" w:hAnsi="Arial Narrow"/>
                <w:sz w:val="20"/>
                <w:szCs w:val="16"/>
              </w:rPr>
              <w:t>with UPA 1</w:t>
            </w:r>
            <w:r w:rsidR="00B413FC" w:rsidRPr="00121E88">
              <w:rPr>
                <w:rFonts w:ascii="Arial Narrow" w:hAnsi="Arial Narrow"/>
                <w:sz w:val="20"/>
                <w:szCs w:val="16"/>
              </w:rPr>
              <w:t>0 mg</w:t>
            </w:r>
            <w:r w:rsidR="00AD34B2" w:rsidRPr="00121E88">
              <w:rPr>
                <w:rFonts w:ascii="Arial Narrow" w:hAnsi="Arial Narrow"/>
                <w:sz w:val="20"/>
                <w:szCs w:val="16"/>
              </w:rPr>
              <w:t xml:space="preserve"> (n=223)</w:t>
            </w:r>
            <w:r w:rsidRPr="00121E88">
              <w:rPr>
                <w:rFonts w:ascii="Arial Narrow" w:hAnsi="Arial Narrow"/>
                <w:sz w:val="20"/>
                <w:szCs w:val="16"/>
              </w:rPr>
              <w:t xml:space="preserve"> (four 12-week treatment  courses)</w:t>
            </w:r>
          </w:p>
        </w:tc>
        <w:tc>
          <w:tcPr>
            <w:tcW w:w="859" w:type="pct"/>
            <w:shd w:val="clear" w:color="auto" w:fill="auto"/>
            <w:vAlign w:val="center"/>
          </w:tcPr>
          <w:p w:rsidR="00D647CD" w:rsidRPr="00121E88" w:rsidRDefault="00D10E10" w:rsidP="005C5376">
            <w:pPr>
              <w:jc w:val="center"/>
              <w:rPr>
                <w:rFonts w:ascii="Arial Narrow" w:hAnsi="Arial Narrow"/>
                <w:sz w:val="20"/>
                <w:szCs w:val="16"/>
              </w:rPr>
            </w:pPr>
            <w:r w:rsidRPr="00121E88">
              <w:rPr>
                <w:rFonts w:ascii="Arial Narrow" w:hAnsi="Arial Narrow"/>
                <w:sz w:val="20"/>
                <w:szCs w:val="16"/>
              </w:rPr>
              <w:t>Unclear**</w:t>
            </w:r>
          </w:p>
        </w:tc>
        <w:tc>
          <w:tcPr>
            <w:tcW w:w="646" w:type="pct"/>
            <w:shd w:val="clear" w:color="auto" w:fill="auto"/>
            <w:vAlign w:val="center"/>
          </w:tcPr>
          <w:p w:rsidR="00D647CD" w:rsidRPr="00121E88" w:rsidRDefault="00D647CD" w:rsidP="005C5376">
            <w:pPr>
              <w:jc w:val="center"/>
              <w:rPr>
                <w:rFonts w:ascii="Arial Narrow" w:hAnsi="Arial Narrow"/>
                <w:sz w:val="20"/>
                <w:szCs w:val="16"/>
              </w:rPr>
            </w:pPr>
            <w:r w:rsidRPr="00121E88">
              <w:rPr>
                <w:rFonts w:ascii="Arial Narrow" w:hAnsi="Arial Narrow"/>
                <w:sz w:val="20"/>
                <w:szCs w:val="16"/>
              </w:rPr>
              <w:t>As above</w:t>
            </w:r>
          </w:p>
        </w:tc>
        <w:tc>
          <w:tcPr>
            <w:tcW w:w="1418" w:type="pct"/>
            <w:shd w:val="clear" w:color="auto" w:fill="auto"/>
          </w:tcPr>
          <w:p w:rsidR="00D647CD" w:rsidRPr="00222597" w:rsidRDefault="00D647CD" w:rsidP="0019714C">
            <w:pPr>
              <w:jc w:val="left"/>
              <w:rPr>
                <w:rFonts w:ascii="Arial Narrow" w:hAnsi="Arial Narrow"/>
                <w:sz w:val="20"/>
              </w:rPr>
            </w:pPr>
            <w:r w:rsidRPr="00222597">
              <w:rPr>
                <w:rFonts w:ascii="Arial Narrow" w:hAnsi="Arial Narrow"/>
                <w:sz w:val="20"/>
              </w:rPr>
              <w:t>1) Percentage of subject</w:t>
            </w:r>
            <w:r w:rsidR="00F57135" w:rsidRPr="00222597">
              <w:rPr>
                <w:rFonts w:ascii="Arial Narrow" w:hAnsi="Arial Narrow"/>
                <w:sz w:val="20"/>
              </w:rPr>
              <w:t>s</w:t>
            </w:r>
            <w:r w:rsidRPr="00222597">
              <w:rPr>
                <w:rFonts w:ascii="Arial Narrow" w:hAnsi="Arial Narrow"/>
                <w:sz w:val="20"/>
              </w:rPr>
              <w:t xml:space="preserve"> in amenorrhoea at the end of both treatment courses 1 and 2;</w:t>
            </w:r>
          </w:p>
          <w:p w:rsidR="00D647CD" w:rsidRPr="00F368D9" w:rsidRDefault="00D647CD" w:rsidP="0019714C">
            <w:pPr>
              <w:jc w:val="left"/>
              <w:rPr>
                <w:rFonts w:ascii="Arial Narrow" w:hAnsi="Arial Narrow"/>
                <w:sz w:val="20"/>
              </w:rPr>
            </w:pPr>
            <w:r w:rsidRPr="00030326">
              <w:rPr>
                <w:rFonts w:ascii="Arial Narrow" w:hAnsi="Arial Narrow"/>
                <w:sz w:val="20"/>
              </w:rPr>
              <w:t>2) P</w:t>
            </w:r>
            <w:r w:rsidR="00F70149" w:rsidRPr="00030326">
              <w:rPr>
                <w:rFonts w:ascii="Arial Narrow" w:hAnsi="Arial Narrow"/>
                <w:sz w:val="20"/>
              </w:rPr>
              <w:t>ercentage</w:t>
            </w:r>
            <w:r w:rsidRPr="00F368D9">
              <w:rPr>
                <w:rFonts w:ascii="Arial Narrow" w:hAnsi="Arial Narrow"/>
                <w:sz w:val="20"/>
              </w:rPr>
              <w:t xml:space="preserve"> of subjects in amenorrhoea at the end of all four treatment courses.</w:t>
            </w:r>
          </w:p>
          <w:p w:rsidR="00D647CD" w:rsidRPr="00222597" w:rsidRDefault="00D647CD" w:rsidP="0019714C">
            <w:pPr>
              <w:jc w:val="left"/>
              <w:rPr>
                <w:rFonts w:ascii="Arial Narrow" w:hAnsi="Arial Narrow"/>
                <w:sz w:val="20"/>
              </w:rPr>
            </w:pPr>
            <w:r w:rsidRPr="00222597">
              <w:rPr>
                <w:rFonts w:ascii="Arial Narrow" w:hAnsi="Arial Narrow"/>
                <w:sz w:val="20"/>
              </w:rPr>
              <w:t>3) Controlled bleeding in the last 56 days of each individual treatment course</w:t>
            </w:r>
          </w:p>
          <w:p w:rsidR="00D647CD" w:rsidRPr="00222597" w:rsidRDefault="00D647CD" w:rsidP="0019714C">
            <w:pPr>
              <w:jc w:val="left"/>
              <w:rPr>
                <w:rFonts w:ascii="Arial Narrow" w:hAnsi="Arial Narrow"/>
                <w:sz w:val="20"/>
              </w:rPr>
            </w:pPr>
            <w:r w:rsidRPr="00222597">
              <w:rPr>
                <w:rFonts w:ascii="Arial Narrow" w:hAnsi="Arial Narrow"/>
                <w:sz w:val="20"/>
              </w:rPr>
              <w:t xml:space="preserve">4) </w:t>
            </w:r>
            <w:r w:rsidR="0019714C" w:rsidRPr="00222597">
              <w:rPr>
                <w:rFonts w:ascii="Arial Narrow" w:hAnsi="Arial Narrow"/>
                <w:sz w:val="20"/>
              </w:rPr>
              <w:t>Change in v</w:t>
            </w:r>
            <w:r w:rsidRPr="00222597">
              <w:rPr>
                <w:rFonts w:ascii="Arial Narrow" w:hAnsi="Arial Narrow"/>
                <w:sz w:val="20"/>
              </w:rPr>
              <w:t>olume of the 3 largest fibroids</w:t>
            </w:r>
          </w:p>
          <w:p w:rsidR="0019714C" w:rsidRPr="00121E88" w:rsidRDefault="0019714C" w:rsidP="0019714C">
            <w:pPr>
              <w:jc w:val="left"/>
              <w:rPr>
                <w:rFonts w:ascii="Arial Narrow" w:hAnsi="Arial Narrow"/>
                <w:sz w:val="20"/>
                <w:szCs w:val="16"/>
              </w:rPr>
            </w:pPr>
            <w:r w:rsidRPr="00222597">
              <w:rPr>
                <w:rFonts w:ascii="Arial Narrow" w:hAnsi="Arial Narrow"/>
                <w:sz w:val="20"/>
              </w:rPr>
              <w:t>5) Change in uterine volume</w:t>
            </w:r>
          </w:p>
        </w:tc>
      </w:tr>
      <w:tr w:rsidR="00D647CD" w:rsidRPr="00222597" w:rsidTr="005C5376">
        <w:tc>
          <w:tcPr>
            <w:tcW w:w="5000" w:type="pct"/>
            <w:gridSpan w:val="5"/>
            <w:shd w:val="clear" w:color="auto" w:fill="auto"/>
            <w:vAlign w:val="center"/>
          </w:tcPr>
          <w:p w:rsidR="00D647CD" w:rsidRPr="00121E88" w:rsidRDefault="00D647CD" w:rsidP="005C5376">
            <w:pPr>
              <w:jc w:val="left"/>
              <w:rPr>
                <w:rFonts w:ascii="Arial Narrow" w:hAnsi="Arial Narrow"/>
                <w:b/>
                <w:sz w:val="20"/>
                <w:szCs w:val="16"/>
              </w:rPr>
            </w:pPr>
            <w:proofErr w:type="spellStart"/>
            <w:r w:rsidRPr="00121E88">
              <w:rPr>
                <w:rFonts w:ascii="Arial Narrow" w:hAnsi="Arial Narrow"/>
                <w:b/>
                <w:sz w:val="20"/>
                <w:szCs w:val="16"/>
              </w:rPr>
              <w:t>Goserelin</w:t>
            </w:r>
            <w:proofErr w:type="spellEnd"/>
            <w:r w:rsidRPr="00121E88">
              <w:rPr>
                <w:rFonts w:ascii="Arial Narrow" w:hAnsi="Arial Narrow"/>
                <w:b/>
                <w:sz w:val="20"/>
                <w:szCs w:val="16"/>
              </w:rPr>
              <w:t xml:space="preserve"> – </w:t>
            </w:r>
            <w:r w:rsidR="00222597">
              <w:rPr>
                <w:rFonts w:ascii="Arial Narrow" w:hAnsi="Arial Narrow"/>
                <w:b/>
                <w:sz w:val="20"/>
                <w:szCs w:val="16"/>
              </w:rPr>
              <w:t>short-term</w:t>
            </w:r>
            <w:r w:rsidRPr="00121E88">
              <w:rPr>
                <w:rFonts w:ascii="Arial Narrow" w:hAnsi="Arial Narrow"/>
                <w:b/>
                <w:sz w:val="20"/>
                <w:szCs w:val="16"/>
              </w:rPr>
              <w:t xml:space="preserve"> use </w:t>
            </w:r>
            <w:r w:rsidRPr="00222597">
              <w:rPr>
                <w:rFonts w:ascii="Arial Narrow" w:hAnsi="Arial Narrow"/>
                <w:b/>
                <w:sz w:val="20"/>
              </w:rPr>
              <w:t>(≤ 6 months)</w:t>
            </w:r>
            <w:r w:rsidR="00F57135" w:rsidRPr="00222597">
              <w:rPr>
                <w:rFonts w:ascii="Arial Narrow" w:hAnsi="Arial Narrow"/>
                <w:b/>
                <w:sz w:val="20"/>
              </w:rPr>
              <w:t xml:space="preserve"> (Clinical scenario 1)</w:t>
            </w:r>
          </w:p>
        </w:tc>
      </w:tr>
      <w:tr w:rsidR="00D647CD" w:rsidRPr="00222597" w:rsidTr="00A3599A">
        <w:tc>
          <w:tcPr>
            <w:tcW w:w="614" w:type="pct"/>
            <w:shd w:val="clear" w:color="auto" w:fill="auto"/>
            <w:vAlign w:val="center"/>
          </w:tcPr>
          <w:p w:rsidR="00D647CD" w:rsidRPr="00121E88" w:rsidRDefault="00D647CD" w:rsidP="005C5376">
            <w:pPr>
              <w:jc w:val="left"/>
              <w:rPr>
                <w:rFonts w:ascii="Arial Narrow" w:hAnsi="Arial Narrow"/>
                <w:sz w:val="20"/>
                <w:szCs w:val="16"/>
              </w:rPr>
            </w:pPr>
            <w:r w:rsidRPr="00121E88">
              <w:rPr>
                <w:rFonts w:ascii="Arial Narrow" w:hAnsi="Arial Narrow"/>
                <w:sz w:val="20"/>
                <w:szCs w:val="16"/>
              </w:rPr>
              <w:t>Lim 2008</w:t>
            </w:r>
          </w:p>
        </w:tc>
        <w:tc>
          <w:tcPr>
            <w:tcW w:w="1462" w:type="pct"/>
            <w:shd w:val="clear" w:color="auto" w:fill="auto"/>
            <w:vAlign w:val="center"/>
          </w:tcPr>
          <w:p w:rsidR="00D647CD" w:rsidRPr="00121E88" w:rsidRDefault="00D647CD" w:rsidP="005C5376">
            <w:pPr>
              <w:jc w:val="left"/>
              <w:rPr>
                <w:rFonts w:ascii="Arial Narrow" w:hAnsi="Arial Narrow"/>
                <w:sz w:val="20"/>
                <w:szCs w:val="16"/>
              </w:rPr>
            </w:pPr>
            <w:r w:rsidRPr="00121E88">
              <w:rPr>
                <w:rFonts w:ascii="Arial Narrow" w:hAnsi="Arial Narrow"/>
                <w:sz w:val="20"/>
                <w:szCs w:val="16"/>
              </w:rPr>
              <w:t xml:space="preserve">RCT comparing </w:t>
            </w:r>
            <w:proofErr w:type="spellStart"/>
            <w:r w:rsidRPr="00121E88">
              <w:rPr>
                <w:rFonts w:ascii="Arial Narrow" w:hAnsi="Arial Narrow"/>
                <w:sz w:val="20"/>
                <w:szCs w:val="16"/>
              </w:rPr>
              <w:t>goserelin</w:t>
            </w:r>
            <w:proofErr w:type="spellEnd"/>
            <w:r w:rsidRPr="00121E88">
              <w:rPr>
                <w:rFonts w:ascii="Arial Narrow" w:hAnsi="Arial Narrow"/>
                <w:sz w:val="20"/>
                <w:szCs w:val="16"/>
              </w:rPr>
              <w:t xml:space="preserve"> (n=34) with </w:t>
            </w:r>
            <w:proofErr w:type="spellStart"/>
            <w:r w:rsidRPr="00121E88">
              <w:rPr>
                <w:rFonts w:ascii="Arial Narrow" w:hAnsi="Arial Narrow"/>
                <w:sz w:val="20"/>
                <w:szCs w:val="16"/>
              </w:rPr>
              <w:t>leuprorelin</w:t>
            </w:r>
            <w:proofErr w:type="spellEnd"/>
            <w:r w:rsidRPr="00121E88">
              <w:rPr>
                <w:rFonts w:ascii="Arial Narrow" w:hAnsi="Arial Narrow"/>
                <w:sz w:val="20"/>
                <w:szCs w:val="16"/>
              </w:rPr>
              <w:t xml:space="preserve"> (n=32) for 3 months</w:t>
            </w:r>
          </w:p>
        </w:tc>
        <w:tc>
          <w:tcPr>
            <w:tcW w:w="859" w:type="pct"/>
            <w:shd w:val="clear" w:color="auto" w:fill="auto"/>
            <w:vAlign w:val="center"/>
          </w:tcPr>
          <w:p w:rsidR="00D647CD" w:rsidRPr="00121E88" w:rsidRDefault="00D647CD" w:rsidP="005C5376">
            <w:pPr>
              <w:jc w:val="center"/>
              <w:rPr>
                <w:rFonts w:ascii="Arial Narrow" w:hAnsi="Arial Narrow"/>
                <w:sz w:val="20"/>
                <w:szCs w:val="16"/>
              </w:rPr>
            </w:pPr>
            <w:r w:rsidRPr="00121E88">
              <w:rPr>
                <w:rFonts w:ascii="Arial Narrow" w:hAnsi="Arial Narrow"/>
                <w:sz w:val="20"/>
                <w:szCs w:val="16"/>
              </w:rPr>
              <w:t xml:space="preserve">High </w:t>
            </w:r>
          </w:p>
        </w:tc>
        <w:tc>
          <w:tcPr>
            <w:tcW w:w="646" w:type="pct"/>
            <w:shd w:val="clear" w:color="auto" w:fill="auto"/>
            <w:vAlign w:val="center"/>
          </w:tcPr>
          <w:p w:rsidR="00D647CD" w:rsidRPr="00121E88" w:rsidRDefault="00D647CD" w:rsidP="005C5376">
            <w:pPr>
              <w:jc w:val="center"/>
              <w:rPr>
                <w:rFonts w:ascii="Arial Narrow" w:hAnsi="Arial Narrow"/>
                <w:sz w:val="20"/>
                <w:szCs w:val="16"/>
              </w:rPr>
            </w:pPr>
            <w:r w:rsidRPr="00121E88">
              <w:rPr>
                <w:rFonts w:ascii="Arial Narrow" w:hAnsi="Arial Narrow"/>
                <w:sz w:val="20"/>
                <w:szCs w:val="16"/>
              </w:rPr>
              <w:t>As above</w:t>
            </w:r>
          </w:p>
        </w:tc>
        <w:tc>
          <w:tcPr>
            <w:tcW w:w="1418" w:type="pct"/>
            <w:shd w:val="clear" w:color="auto" w:fill="auto"/>
            <w:vAlign w:val="center"/>
          </w:tcPr>
          <w:p w:rsidR="00D647CD" w:rsidRPr="00121E88" w:rsidRDefault="00D647CD" w:rsidP="00BC2991">
            <w:pPr>
              <w:jc w:val="left"/>
              <w:rPr>
                <w:rFonts w:ascii="Arial Narrow" w:hAnsi="Arial Narrow"/>
                <w:sz w:val="20"/>
                <w:szCs w:val="16"/>
              </w:rPr>
            </w:pPr>
            <w:r w:rsidRPr="00121E88">
              <w:rPr>
                <w:rFonts w:ascii="Arial Narrow" w:hAnsi="Arial Narrow"/>
                <w:sz w:val="20"/>
                <w:szCs w:val="16"/>
              </w:rPr>
              <w:t>1) Preoperative haemoglobin level</w:t>
            </w:r>
          </w:p>
          <w:p w:rsidR="00D647CD" w:rsidRPr="00121E88" w:rsidRDefault="00D647CD" w:rsidP="005C5376">
            <w:pPr>
              <w:rPr>
                <w:rFonts w:ascii="Arial Narrow" w:hAnsi="Arial Narrow"/>
                <w:sz w:val="20"/>
                <w:szCs w:val="16"/>
              </w:rPr>
            </w:pPr>
            <w:r w:rsidRPr="00121E88">
              <w:rPr>
                <w:rFonts w:ascii="Arial Narrow" w:hAnsi="Arial Narrow"/>
                <w:sz w:val="20"/>
                <w:szCs w:val="16"/>
              </w:rPr>
              <w:t>2) Operative time</w:t>
            </w:r>
          </w:p>
          <w:p w:rsidR="00D647CD" w:rsidRPr="00121E88" w:rsidRDefault="00D647CD" w:rsidP="005C5376">
            <w:pPr>
              <w:rPr>
                <w:rFonts w:ascii="Arial Narrow" w:hAnsi="Arial Narrow"/>
                <w:sz w:val="20"/>
                <w:szCs w:val="16"/>
              </w:rPr>
            </w:pPr>
            <w:r w:rsidRPr="00121E88">
              <w:rPr>
                <w:rFonts w:ascii="Arial Narrow" w:hAnsi="Arial Narrow"/>
                <w:sz w:val="20"/>
                <w:szCs w:val="16"/>
              </w:rPr>
              <w:t>3) Intraoperative blood loss</w:t>
            </w:r>
          </w:p>
          <w:p w:rsidR="00D647CD" w:rsidRPr="00121E88" w:rsidRDefault="00D647CD" w:rsidP="005C5376">
            <w:pPr>
              <w:rPr>
                <w:rFonts w:ascii="Arial Narrow" w:hAnsi="Arial Narrow"/>
                <w:sz w:val="20"/>
                <w:szCs w:val="16"/>
              </w:rPr>
            </w:pPr>
            <w:r w:rsidRPr="00121E88">
              <w:rPr>
                <w:rFonts w:ascii="Arial Narrow" w:hAnsi="Arial Narrow"/>
                <w:sz w:val="20"/>
                <w:szCs w:val="16"/>
              </w:rPr>
              <w:t>4) Reduction in uterine size</w:t>
            </w:r>
          </w:p>
          <w:p w:rsidR="00D647CD" w:rsidRPr="00121E88" w:rsidRDefault="00D647CD" w:rsidP="005C5376">
            <w:pPr>
              <w:rPr>
                <w:rFonts w:ascii="Arial Narrow" w:hAnsi="Arial Narrow"/>
                <w:sz w:val="20"/>
                <w:szCs w:val="16"/>
              </w:rPr>
            </w:pPr>
            <w:r w:rsidRPr="00121E88">
              <w:rPr>
                <w:rFonts w:ascii="Arial Narrow" w:hAnsi="Arial Narrow"/>
                <w:sz w:val="20"/>
                <w:szCs w:val="16"/>
              </w:rPr>
              <w:t>5) Blood transfusion</w:t>
            </w:r>
          </w:p>
          <w:p w:rsidR="00D647CD" w:rsidRPr="00121E88" w:rsidRDefault="00D647CD" w:rsidP="005C5376">
            <w:pPr>
              <w:rPr>
                <w:rFonts w:ascii="Arial Narrow" w:hAnsi="Arial Narrow"/>
                <w:sz w:val="20"/>
                <w:szCs w:val="16"/>
              </w:rPr>
            </w:pPr>
            <w:r w:rsidRPr="00121E88">
              <w:rPr>
                <w:rFonts w:ascii="Arial Narrow" w:hAnsi="Arial Narrow"/>
                <w:sz w:val="20"/>
                <w:szCs w:val="16"/>
              </w:rPr>
              <w:t>6) Intraoperative complications</w:t>
            </w:r>
          </w:p>
        </w:tc>
      </w:tr>
      <w:tr w:rsidR="00D647CD" w:rsidRPr="00222597" w:rsidTr="00A3599A">
        <w:tc>
          <w:tcPr>
            <w:tcW w:w="614" w:type="pct"/>
            <w:shd w:val="clear" w:color="auto" w:fill="auto"/>
            <w:vAlign w:val="center"/>
          </w:tcPr>
          <w:p w:rsidR="00D647CD" w:rsidRPr="00121E88" w:rsidRDefault="00D647CD" w:rsidP="005C5376">
            <w:pPr>
              <w:jc w:val="left"/>
              <w:rPr>
                <w:rFonts w:ascii="Arial Narrow" w:hAnsi="Arial Narrow"/>
                <w:sz w:val="20"/>
                <w:szCs w:val="16"/>
              </w:rPr>
            </w:pPr>
            <w:r w:rsidRPr="00121E88">
              <w:rPr>
                <w:rFonts w:ascii="Arial Narrow" w:hAnsi="Arial Narrow"/>
                <w:sz w:val="20"/>
                <w:szCs w:val="16"/>
              </w:rPr>
              <w:t>Morris 2008</w:t>
            </w:r>
          </w:p>
        </w:tc>
        <w:tc>
          <w:tcPr>
            <w:tcW w:w="1462" w:type="pct"/>
            <w:shd w:val="clear" w:color="auto" w:fill="auto"/>
            <w:vAlign w:val="center"/>
          </w:tcPr>
          <w:p w:rsidR="00D647CD" w:rsidRPr="00121E88" w:rsidRDefault="00D647CD" w:rsidP="005C5376">
            <w:pPr>
              <w:jc w:val="left"/>
              <w:rPr>
                <w:rFonts w:ascii="Arial Narrow" w:hAnsi="Arial Narrow"/>
                <w:sz w:val="20"/>
                <w:szCs w:val="16"/>
              </w:rPr>
            </w:pPr>
            <w:r w:rsidRPr="00121E88">
              <w:rPr>
                <w:rFonts w:ascii="Arial Narrow" w:hAnsi="Arial Narrow"/>
                <w:sz w:val="20"/>
                <w:szCs w:val="16"/>
              </w:rPr>
              <w:t xml:space="preserve">RCT comparing </w:t>
            </w:r>
            <w:proofErr w:type="spellStart"/>
            <w:r w:rsidRPr="00121E88">
              <w:rPr>
                <w:rFonts w:ascii="Arial Narrow" w:hAnsi="Arial Narrow"/>
                <w:sz w:val="20"/>
                <w:szCs w:val="16"/>
              </w:rPr>
              <w:t>goserelin</w:t>
            </w:r>
            <w:proofErr w:type="spellEnd"/>
            <w:r w:rsidRPr="00121E88">
              <w:rPr>
                <w:rFonts w:ascii="Arial Narrow" w:hAnsi="Arial Narrow"/>
                <w:sz w:val="20"/>
                <w:szCs w:val="16"/>
              </w:rPr>
              <w:t xml:space="preserve"> + placebo for 6 months (n=25), </w:t>
            </w:r>
            <w:proofErr w:type="spellStart"/>
            <w:r w:rsidRPr="00121E88">
              <w:rPr>
                <w:rFonts w:ascii="Arial Narrow" w:hAnsi="Arial Narrow"/>
                <w:sz w:val="20"/>
                <w:szCs w:val="16"/>
              </w:rPr>
              <w:t>goserelin</w:t>
            </w:r>
            <w:proofErr w:type="spellEnd"/>
            <w:r w:rsidRPr="00121E88">
              <w:rPr>
                <w:rFonts w:ascii="Arial Narrow" w:hAnsi="Arial Narrow"/>
                <w:sz w:val="20"/>
                <w:szCs w:val="16"/>
              </w:rPr>
              <w:t xml:space="preserve"> + </w:t>
            </w:r>
            <w:proofErr w:type="spellStart"/>
            <w:r w:rsidRPr="00121E88">
              <w:rPr>
                <w:rFonts w:ascii="Arial Narrow" w:hAnsi="Arial Narrow"/>
                <w:sz w:val="20"/>
                <w:szCs w:val="16"/>
              </w:rPr>
              <w:t>tibolone</w:t>
            </w:r>
            <w:proofErr w:type="spellEnd"/>
            <w:r w:rsidRPr="00121E88">
              <w:rPr>
                <w:rFonts w:ascii="Arial Narrow" w:hAnsi="Arial Narrow"/>
                <w:sz w:val="20"/>
                <w:szCs w:val="16"/>
              </w:rPr>
              <w:t xml:space="preserve"> fo</w:t>
            </w:r>
            <w:r w:rsidR="00BC2991" w:rsidRPr="00121E88">
              <w:rPr>
                <w:rFonts w:ascii="Arial Narrow" w:hAnsi="Arial Narrow"/>
                <w:sz w:val="20"/>
                <w:szCs w:val="16"/>
              </w:rPr>
              <w:t xml:space="preserve">r 6 months (n=25) and </w:t>
            </w:r>
            <w:proofErr w:type="spellStart"/>
            <w:r w:rsidR="00BC2991" w:rsidRPr="00121E88">
              <w:rPr>
                <w:rFonts w:ascii="Arial Narrow" w:hAnsi="Arial Narrow"/>
                <w:sz w:val="20"/>
                <w:szCs w:val="16"/>
              </w:rPr>
              <w:t>goserelin</w:t>
            </w:r>
            <w:proofErr w:type="spellEnd"/>
            <w:r w:rsidRPr="00121E88">
              <w:rPr>
                <w:rFonts w:ascii="Arial Narrow" w:hAnsi="Arial Narrow"/>
                <w:sz w:val="20"/>
                <w:szCs w:val="16"/>
              </w:rPr>
              <w:t xml:space="preserve"> + placebo for 3 months followed by </w:t>
            </w:r>
            <w:proofErr w:type="spellStart"/>
            <w:r w:rsidRPr="00121E88">
              <w:rPr>
                <w:rFonts w:ascii="Arial Narrow" w:hAnsi="Arial Narrow"/>
                <w:sz w:val="20"/>
                <w:szCs w:val="16"/>
              </w:rPr>
              <w:t>goserelin</w:t>
            </w:r>
            <w:proofErr w:type="spellEnd"/>
            <w:r w:rsidRPr="00121E88">
              <w:rPr>
                <w:rFonts w:ascii="Arial Narrow" w:hAnsi="Arial Narrow"/>
                <w:sz w:val="20"/>
                <w:szCs w:val="16"/>
              </w:rPr>
              <w:t xml:space="preserve"> + </w:t>
            </w:r>
            <w:proofErr w:type="spellStart"/>
            <w:r w:rsidRPr="00121E88">
              <w:rPr>
                <w:rFonts w:ascii="Arial Narrow" w:hAnsi="Arial Narrow"/>
                <w:sz w:val="20"/>
                <w:szCs w:val="16"/>
              </w:rPr>
              <w:t>tibolone</w:t>
            </w:r>
            <w:proofErr w:type="spellEnd"/>
            <w:r w:rsidRPr="00121E88">
              <w:rPr>
                <w:rFonts w:ascii="Arial Narrow" w:hAnsi="Arial Narrow"/>
                <w:sz w:val="20"/>
                <w:szCs w:val="16"/>
              </w:rPr>
              <w:t xml:space="preserve"> for 3 months (n=25). </w:t>
            </w:r>
          </w:p>
        </w:tc>
        <w:tc>
          <w:tcPr>
            <w:tcW w:w="859" w:type="pct"/>
            <w:shd w:val="clear" w:color="auto" w:fill="auto"/>
            <w:vAlign w:val="center"/>
          </w:tcPr>
          <w:p w:rsidR="00D647CD" w:rsidRPr="00121E88" w:rsidRDefault="00D647CD" w:rsidP="005C5376">
            <w:pPr>
              <w:jc w:val="center"/>
              <w:rPr>
                <w:rFonts w:ascii="Arial Narrow" w:hAnsi="Arial Narrow"/>
                <w:sz w:val="20"/>
                <w:szCs w:val="16"/>
              </w:rPr>
            </w:pPr>
            <w:r w:rsidRPr="00121E88">
              <w:rPr>
                <w:rFonts w:ascii="Arial Narrow" w:hAnsi="Arial Narrow"/>
                <w:sz w:val="20"/>
                <w:szCs w:val="16"/>
              </w:rPr>
              <w:t>High</w:t>
            </w:r>
          </w:p>
        </w:tc>
        <w:tc>
          <w:tcPr>
            <w:tcW w:w="646" w:type="pct"/>
            <w:shd w:val="clear" w:color="auto" w:fill="auto"/>
            <w:vAlign w:val="center"/>
          </w:tcPr>
          <w:p w:rsidR="00D647CD" w:rsidRPr="00121E88" w:rsidRDefault="00D647CD" w:rsidP="005C5376">
            <w:pPr>
              <w:jc w:val="center"/>
              <w:rPr>
                <w:rFonts w:ascii="Arial Narrow" w:hAnsi="Arial Narrow"/>
                <w:sz w:val="20"/>
                <w:szCs w:val="16"/>
              </w:rPr>
            </w:pPr>
            <w:r w:rsidRPr="00121E88">
              <w:rPr>
                <w:rFonts w:ascii="Arial Narrow" w:hAnsi="Arial Narrow"/>
                <w:sz w:val="20"/>
                <w:szCs w:val="16"/>
              </w:rPr>
              <w:t>As above</w:t>
            </w:r>
          </w:p>
        </w:tc>
        <w:tc>
          <w:tcPr>
            <w:tcW w:w="1418" w:type="pct"/>
            <w:shd w:val="clear" w:color="auto" w:fill="auto"/>
            <w:vAlign w:val="center"/>
          </w:tcPr>
          <w:p w:rsidR="00D647CD" w:rsidRPr="00121E88" w:rsidRDefault="00D647CD" w:rsidP="005C5376">
            <w:pPr>
              <w:jc w:val="left"/>
              <w:rPr>
                <w:rFonts w:ascii="Arial Narrow" w:hAnsi="Arial Narrow"/>
                <w:sz w:val="20"/>
                <w:szCs w:val="16"/>
              </w:rPr>
            </w:pPr>
            <w:r w:rsidRPr="00121E88">
              <w:rPr>
                <w:rFonts w:ascii="Arial Narrow" w:hAnsi="Arial Narrow"/>
                <w:sz w:val="20"/>
                <w:szCs w:val="16"/>
              </w:rPr>
              <w:t>Changes in uterine and fibroid volume as secondary outcomes</w:t>
            </w:r>
          </w:p>
        </w:tc>
      </w:tr>
      <w:tr w:rsidR="00D647CD" w:rsidRPr="00222597" w:rsidTr="00A3599A">
        <w:tc>
          <w:tcPr>
            <w:tcW w:w="614" w:type="pct"/>
            <w:shd w:val="clear" w:color="auto" w:fill="auto"/>
            <w:vAlign w:val="center"/>
          </w:tcPr>
          <w:p w:rsidR="00D647CD" w:rsidRPr="00121E88" w:rsidRDefault="00D647CD" w:rsidP="005C5376">
            <w:pPr>
              <w:jc w:val="left"/>
              <w:rPr>
                <w:rFonts w:ascii="Arial Narrow" w:hAnsi="Arial Narrow"/>
                <w:sz w:val="20"/>
                <w:szCs w:val="16"/>
              </w:rPr>
            </w:pPr>
            <w:proofErr w:type="spellStart"/>
            <w:r w:rsidRPr="00121E88">
              <w:rPr>
                <w:rFonts w:ascii="Arial Narrow" w:hAnsi="Arial Narrow"/>
                <w:sz w:val="20"/>
                <w:szCs w:val="16"/>
              </w:rPr>
              <w:t>Lethaby</w:t>
            </w:r>
            <w:proofErr w:type="spellEnd"/>
            <w:r w:rsidRPr="00121E88">
              <w:rPr>
                <w:rFonts w:ascii="Arial Narrow" w:hAnsi="Arial Narrow"/>
                <w:sz w:val="20"/>
                <w:szCs w:val="16"/>
              </w:rPr>
              <w:t xml:space="preserve"> 2001</w:t>
            </w:r>
          </w:p>
        </w:tc>
        <w:tc>
          <w:tcPr>
            <w:tcW w:w="1462" w:type="pct"/>
            <w:shd w:val="clear" w:color="auto" w:fill="auto"/>
            <w:vAlign w:val="center"/>
          </w:tcPr>
          <w:p w:rsidR="00D647CD" w:rsidRPr="00121E88" w:rsidRDefault="00D647CD" w:rsidP="005C5376">
            <w:pPr>
              <w:jc w:val="left"/>
              <w:rPr>
                <w:rFonts w:ascii="Arial Narrow" w:hAnsi="Arial Narrow"/>
                <w:sz w:val="20"/>
                <w:szCs w:val="16"/>
              </w:rPr>
            </w:pPr>
            <w:r w:rsidRPr="00121E88">
              <w:rPr>
                <w:rFonts w:ascii="Arial Narrow" w:hAnsi="Arial Narrow"/>
                <w:sz w:val="20"/>
                <w:szCs w:val="16"/>
              </w:rPr>
              <w:t xml:space="preserve">Systematic review of RCTs comparing </w:t>
            </w:r>
            <w:proofErr w:type="spellStart"/>
            <w:r w:rsidRPr="00121E88">
              <w:rPr>
                <w:rFonts w:ascii="Arial Narrow" w:hAnsi="Arial Narrow"/>
                <w:sz w:val="20"/>
                <w:szCs w:val="16"/>
              </w:rPr>
              <w:t>GnRH</w:t>
            </w:r>
            <w:proofErr w:type="spellEnd"/>
            <w:r w:rsidRPr="00121E88">
              <w:rPr>
                <w:rFonts w:ascii="Arial Narrow" w:hAnsi="Arial Narrow"/>
                <w:sz w:val="20"/>
                <w:szCs w:val="16"/>
              </w:rPr>
              <w:t xml:space="preserve"> analogue to either placebo, no treatment, or other medical therapy prior to surgery</w:t>
            </w:r>
          </w:p>
        </w:tc>
        <w:tc>
          <w:tcPr>
            <w:tcW w:w="859" w:type="pct"/>
            <w:shd w:val="clear" w:color="auto" w:fill="auto"/>
            <w:vAlign w:val="center"/>
          </w:tcPr>
          <w:p w:rsidR="00D647CD" w:rsidRPr="00121E88" w:rsidRDefault="00D647CD" w:rsidP="005C5376">
            <w:pPr>
              <w:jc w:val="center"/>
              <w:rPr>
                <w:rFonts w:ascii="Arial Narrow" w:hAnsi="Arial Narrow"/>
                <w:sz w:val="20"/>
                <w:szCs w:val="16"/>
              </w:rPr>
            </w:pPr>
            <w:r w:rsidRPr="00121E88">
              <w:rPr>
                <w:rFonts w:ascii="Arial Narrow" w:hAnsi="Arial Narrow"/>
                <w:sz w:val="20"/>
                <w:szCs w:val="16"/>
              </w:rPr>
              <w:t>Unclear</w:t>
            </w:r>
          </w:p>
        </w:tc>
        <w:tc>
          <w:tcPr>
            <w:tcW w:w="646" w:type="pct"/>
            <w:shd w:val="clear" w:color="auto" w:fill="auto"/>
            <w:vAlign w:val="center"/>
          </w:tcPr>
          <w:p w:rsidR="00D647CD" w:rsidRPr="00121E88" w:rsidRDefault="00D647CD" w:rsidP="005C5376">
            <w:pPr>
              <w:jc w:val="center"/>
              <w:rPr>
                <w:rFonts w:ascii="Arial Narrow" w:hAnsi="Arial Narrow"/>
                <w:sz w:val="20"/>
                <w:szCs w:val="16"/>
              </w:rPr>
            </w:pPr>
            <w:r w:rsidRPr="00121E88">
              <w:rPr>
                <w:rFonts w:ascii="Arial Narrow" w:hAnsi="Arial Narrow"/>
                <w:sz w:val="20"/>
                <w:szCs w:val="16"/>
              </w:rPr>
              <w:t>Unclear</w:t>
            </w:r>
          </w:p>
        </w:tc>
        <w:tc>
          <w:tcPr>
            <w:tcW w:w="1418" w:type="pct"/>
            <w:shd w:val="clear" w:color="auto" w:fill="auto"/>
            <w:vAlign w:val="center"/>
          </w:tcPr>
          <w:p w:rsidR="00D647CD" w:rsidRPr="00121E88" w:rsidRDefault="00D647CD" w:rsidP="005C5376">
            <w:pPr>
              <w:jc w:val="left"/>
              <w:rPr>
                <w:rFonts w:ascii="Arial Narrow" w:hAnsi="Arial Narrow"/>
                <w:sz w:val="20"/>
                <w:szCs w:val="16"/>
              </w:rPr>
            </w:pPr>
            <w:r w:rsidRPr="00121E88">
              <w:rPr>
                <w:rFonts w:ascii="Arial Narrow" w:hAnsi="Arial Narrow"/>
                <w:sz w:val="20"/>
                <w:szCs w:val="16"/>
              </w:rPr>
              <w:t>1) Reduction in uterine volume and/or fibroid volume</w:t>
            </w:r>
          </w:p>
          <w:p w:rsidR="00D647CD" w:rsidRPr="00121E88" w:rsidRDefault="00D647CD" w:rsidP="005C5376">
            <w:pPr>
              <w:jc w:val="left"/>
              <w:rPr>
                <w:rFonts w:ascii="Arial Narrow" w:hAnsi="Arial Narrow"/>
                <w:sz w:val="20"/>
                <w:szCs w:val="16"/>
              </w:rPr>
            </w:pPr>
            <w:r w:rsidRPr="00121E88">
              <w:rPr>
                <w:rFonts w:ascii="Arial Narrow" w:hAnsi="Arial Narrow"/>
                <w:sz w:val="20"/>
                <w:szCs w:val="16"/>
              </w:rPr>
              <w:t xml:space="preserve">2) Change in </w:t>
            </w:r>
            <w:proofErr w:type="spellStart"/>
            <w:r w:rsidRPr="00121E88">
              <w:rPr>
                <w:rFonts w:ascii="Arial Narrow" w:hAnsi="Arial Narrow"/>
                <w:sz w:val="20"/>
                <w:szCs w:val="16"/>
              </w:rPr>
              <w:t>haematologic</w:t>
            </w:r>
            <w:proofErr w:type="spellEnd"/>
            <w:r w:rsidRPr="00121E88">
              <w:rPr>
                <w:rFonts w:ascii="Arial Narrow" w:hAnsi="Arial Narrow"/>
                <w:sz w:val="20"/>
                <w:szCs w:val="16"/>
              </w:rPr>
              <w:t xml:space="preserve"> indices</w:t>
            </w:r>
          </w:p>
          <w:p w:rsidR="00D647CD" w:rsidRPr="00121E88" w:rsidRDefault="00D647CD" w:rsidP="005C5376">
            <w:pPr>
              <w:jc w:val="left"/>
              <w:rPr>
                <w:rFonts w:ascii="Arial Narrow" w:hAnsi="Arial Narrow"/>
                <w:sz w:val="20"/>
                <w:szCs w:val="16"/>
              </w:rPr>
            </w:pPr>
            <w:r w:rsidRPr="00121E88">
              <w:rPr>
                <w:rFonts w:ascii="Arial Narrow" w:hAnsi="Arial Narrow"/>
                <w:sz w:val="20"/>
                <w:szCs w:val="16"/>
              </w:rPr>
              <w:t>3) Duration of operation</w:t>
            </w:r>
          </w:p>
          <w:p w:rsidR="00D647CD" w:rsidRPr="00121E88" w:rsidRDefault="00D647CD" w:rsidP="005C5376">
            <w:pPr>
              <w:jc w:val="left"/>
              <w:rPr>
                <w:rFonts w:ascii="Arial Narrow" w:hAnsi="Arial Narrow"/>
                <w:sz w:val="20"/>
                <w:szCs w:val="16"/>
              </w:rPr>
            </w:pPr>
            <w:r w:rsidRPr="00121E88">
              <w:rPr>
                <w:rFonts w:ascii="Arial Narrow" w:hAnsi="Arial Narrow"/>
                <w:sz w:val="20"/>
                <w:szCs w:val="16"/>
              </w:rPr>
              <w:t>4) Intra-operative blood loss</w:t>
            </w:r>
          </w:p>
          <w:p w:rsidR="00D647CD" w:rsidRPr="00121E88" w:rsidRDefault="00D647CD" w:rsidP="005C5376">
            <w:pPr>
              <w:jc w:val="left"/>
              <w:rPr>
                <w:rFonts w:ascii="Arial Narrow" w:hAnsi="Arial Narrow"/>
                <w:sz w:val="20"/>
                <w:szCs w:val="16"/>
              </w:rPr>
            </w:pPr>
            <w:r w:rsidRPr="00121E88">
              <w:rPr>
                <w:rFonts w:ascii="Arial Narrow" w:hAnsi="Arial Narrow"/>
                <w:sz w:val="20"/>
                <w:szCs w:val="16"/>
              </w:rPr>
              <w:t>5) Frequency of blood transfusions</w:t>
            </w:r>
          </w:p>
          <w:p w:rsidR="00D647CD" w:rsidRPr="00121E88" w:rsidRDefault="00D647CD" w:rsidP="005C5376">
            <w:pPr>
              <w:jc w:val="left"/>
              <w:rPr>
                <w:rFonts w:ascii="Arial Narrow" w:hAnsi="Arial Narrow"/>
                <w:sz w:val="20"/>
                <w:szCs w:val="16"/>
              </w:rPr>
            </w:pPr>
            <w:r w:rsidRPr="00121E88">
              <w:rPr>
                <w:rFonts w:ascii="Arial Narrow" w:hAnsi="Arial Narrow"/>
                <w:sz w:val="20"/>
                <w:szCs w:val="16"/>
              </w:rPr>
              <w:t>6) Post-operative morbidity</w:t>
            </w:r>
          </w:p>
        </w:tc>
      </w:tr>
    </w:tbl>
    <w:p w:rsidR="00D647CD" w:rsidRPr="00222597" w:rsidRDefault="00BC2991" w:rsidP="00D647CD">
      <w:pPr>
        <w:pStyle w:val="TableFooter"/>
        <w:ind w:left="720"/>
      </w:pPr>
      <w:proofErr w:type="spellStart"/>
      <w:r w:rsidRPr="00222597">
        <w:t>GnRH</w:t>
      </w:r>
      <w:proofErr w:type="spellEnd"/>
      <w:r w:rsidR="00662FAA" w:rsidRPr="00222597">
        <w:t xml:space="preserve"> = </w:t>
      </w:r>
      <w:proofErr w:type="spellStart"/>
      <w:r w:rsidR="00662FAA" w:rsidRPr="00222597">
        <w:t>gonadotrophin</w:t>
      </w:r>
      <w:proofErr w:type="spellEnd"/>
      <w:r w:rsidR="00662FAA" w:rsidRPr="00222597">
        <w:t>-releasing hormone; MRI = magne</w:t>
      </w:r>
      <w:r w:rsidR="00E961BB" w:rsidRPr="00222597">
        <w:t>tic resonance imaging; PBA</w:t>
      </w:r>
      <w:r w:rsidR="00662FAA" w:rsidRPr="00222597">
        <w:t xml:space="preserve"> = p</w:t>
      </w:r>
      <w:r w:rsidR="00E961BB" w:rsidRPr="00222597">
        <w:t>ictorial blood-loss assessment</w:t>
      </w:r>
      <w:r w:rsidR="00662FAA" w:rsidRPr="00222597">
        <w:t xml:space="preserve">; </w:t>
      </w:r>
      <w:r w:rsidR="00D647CD" w:rsidRPr="00222597">
        <w:t xml:space="preserve">RCT = randomised controlled </w:t>
      </w:r>
      <w:r w:rsidR="00662FAA" w:rsidRPr="00222597">
        <w:t xml:space="preserve">trial; UPA = </w:t>
      </w:r>
      <w:proofErr w:type="spellStart"/>
      <w:r w:rsidR="00662FAA" w:rsidRPr="00222597">
        <w:t>ulipristal</w:t>
      </w:r>
      <w:proofErr w:type="spellEnd"/>
      <w:r w:rsidR="00662FAA" w:rsidRPr="00222597">
        <w:t xml:space="preserve"> acetate</w:t>
      </w:r>
      <w:r w:rsidR="00D647CD" w:rsidRPr="00222597">
        <w:t xml:space="preserve"> </w:t>
      </w:r>
    </w:p>
    <w:p w:rsidR="00BC4C8E" w:rsidRPr="00222597" w:rsidRDefault="00BC4C8E" w:rsidP="00D647CD">
      <w:pPr>
        <w:pStyle w:val="TableFooter"/>
        <w:ind w:left="720"/>
      </w:pPr>
      <w:r w:rsidRPr="00222597">
        <w:t xml:space="preserve">* In PEARL III, </w:t>
      </w:r>
      <w:r w:rsidR="002C58B1" w:rsidRPr="00222597">
        <w:t>98 patients were randomised to progestin and 103 to placebo. In PEARL III Extension 1, 64 patients received progestin and 68 received placebo.</w:t>
      </w:r>
    </w:p>
    <w:p w:rsidR="00D10E10" w:rsidRPr="00222597" w:rsidRDefault="00D10E10" w:rsidP="00D647CD">
      <w:pPr>
        <w:pStyle w:val="TableFooter"/>
        <w:ind w:left="720"/>
      </w:pPr>
      <w:r w:rsidRPr="00222597">
        <w:t xml:space="preserve">** PEARL III and IV were non-comparative in respect to </w:t>
      </w:r>
      <w:proofErr w:type="spellStart"/>
      <w:r w:rsidRPr="00222597">
        <w:t>ulipristal</w:t>
      </w:r>
      <w:proofErr w:type="spellEnd"/>
      <w:r w:rsidRPr="00222597">
        <w:t xml:space="preserve"> (all patients received </w:t>
      </w:r>
      <w:proofErr w:type="spellStart"/>
      <w:r w:rsidRPr="00222597">
        <w:t>ulipristal</w:t>
      </w:r>
      <w:proofErr w:type="spellEnd"/>
      <w:r w:rsidRPr="00222597">
        <w:t>). There was potential for bias in attributing causation and assessment of the severity of adverse events.</w:t>
      </w:r>
    </w:p>
    <w:p w:rsidR="00D647CD" w:rsidRPr="00222597" w:rsidRDefault="00D647CD" w:rsidP="00D647CD">
      <w:pPr>
        <w:pStyle w:val="TableFooter"/>
        <w:ind w:left="720"/>
      </w:pPr>
      <w:proofErr w:type="spellStart"/>
      <w:r w:rsidRPr="00222597">
        <w:t>Leuprorelin</w:t>
      </w:r>
      <w:proofErr w:type="spellEnd"/>
      <w:r w:rsidRPr="00222597">
        <w:t xml:space="preserve"> – a </w:t>
      </w:r>
      <w:proofErr w:type="spellStart"/>
      <w:r w:rsidRPr="00222597">
        <w:t>GnRH</w:t>
      </w:r>
      <w:proofErr w:type="spellEnd"/>
      <w:r w:rsidRPr="00222597">
        <w:t xml:space="preserve"> agonist listed on the PBS for prostate cancer, not </w:t>
      </w:r>
      <w:r w:rsidR="000279DD" w:rsidRPr="00222597">
        <w:t xml:space="preserve">TGA </w:t>
      </w:r>
      <w:r w:rsidRPr="00222597">
        <w:t xml:space="preserve">registered for treatment of fibroids. The submission referred to as leuprolide acetate. In Australia, this is referred to as </w:t>
      </w:r>
      <w:proofErr w:type="spellStart"/>
      <w:r w:rsidRPr="00222597">
        <w:t>leuprorelin</w:t>
      </w:r>
      <w:proofErr w:type="spellEnd"/>
      <w:r w:rsidRPr="00222597">
        <w:t xml:space="preserve"> acetate (both TGA and PBS).</w:t>
      </w:r>
    </w:p>
    <w:p w:rsidR="00D647CD" w:rsidRPr="00222597" w:rsidRDefault="00D647CD" w:rsidP="00D647CD">
      <w:pPr>
        <w:pStyle w:val="TableFooter"/>
        <w:ind w:left="720"/>
        <w:rPr>
          <w:i/>
        </w:rPr>
      </w:pPr>
      <w:r w:rsidRPr="00222597">
        <w:rPr>
          <w:i/>
        </w:rPr>
        <w:t>Source: compiled during the evaluation</w:t>
      </w:r>
      <w:r w:rsidR="00F57135" w:rsidRPr="00222597">
        <w:rPr>
          <w:i/>
        </w:rPr>
        <w:t>.</w:t>
      </w:r>
    </w:p>
    <w:p w:rsidR="00D647CD" w:rsidRPr="00222597" w:rsidRDefault="00D647CD" w:rsidP="00D647CD">
      <w:pPr>
        <w:rPr>
          <w:szCs w:val="22"/>
        </w:rPr>
      </w:pPr>
    </w:p>
    <w:p w:rsidR="00D647CD" w:rsidRPr="00222597" w:rsidRDefault="00D647CD" w:rsidP="00F15765">
      <w:pPr>
        <w:pStyle w:val="ListParagraph"/>
        <w:widowControl/>
        <w:numPr>
          <w:ilvl w:val="1"/>
          <w:numId w:val="3"/>
        </w:numPr>
      </w:pPr>
      <w:r w:rsidRPr="00222597">
        <w:t xml:space="preserve">As the dose of </w:t>
      </w:r>
      <w:proofErr w:type="spellStart"/>
      <w:r w:rsidRPr="00222597">
        <w:t>ulipristal</w:t>
      </w:r>
      <w:proofErr w:type="spellEnd"/>
      <w:r w:rsidRPr="00222597">
        <w:t xml:space="preserve"> used in PEARL III (1</w:t>
      </w:r>
      <w:r w:rsidR="00B413FC" w:rsidRPr="00222597">
        <w:t>0 mg</w:t>
      </w:r>
      <w:r w:rsidRPr="00222597">
        <w:t xml:space="preserve"> daily) is not consistent with the recommended dose in the draft PI (</w:t>
      </w:r>
      <w:r w:rsidR="00B413FC" w:rsidRPr="00222597">
        <w:t>5 mg</w:t>
      </w:r>
      <w:r w:rsidRPr="00222597">
        <w:t xml:space="preserve"> daily), this trial </w:t>
      </w:r>
      <w:r w:rsidR="00A73C21">
        <w:t>was</w:t>
      </w:r>
      <w:r w:rsidRPr="00222597">
        <w:t xml:space="preserve"> </w:t>
      </w:r>
      <w:r w:rsidR="008F7C8F" w:rsidRPr="00222597">
        <w:t xml:space="preserve">evaluated </w:t>
      </w:r>
      <w:r w:rsidRPr="00222597">
        <w:t xml:space="preserve">as supplementary evidence. </w:t>
      </w:r>
    </w:p>
    <w:p w:rsidR="00D647CD" w:rsidRPr="00222597" w:rsidRDefault="00D647CD" w:rsidP="00D647CD">
      <w:pPr>
        <w:pStyle w:val="ListParagraph"/>
        <w:widowControl/>
      </w:pPr>
    </w:p>
    <w:p w:rsidR="00D647CD" w:rsidRPr="00222597" w:rsidRDefault="00D647CD" w:rsidP="00F15765">
      <w:pPr>
        <w:pStyle w:val="ListParagraph"/>
        <w:widowControl/>
        <w:numPr>
          <w:ilvl w:val="1"/>
          <w:numId w:val="3"/>
        </w:numPr>
      </w:pPr>
      <w:proofErr w:type="spellStart"/>
      <w:r w:rsidRPr="00222597">
        <w:t>Lethaby</w:t>
      </w:r>
      <w:proofErr w:type="spellEnd"/>
      <w:r w:rsidRPr="00222597">
        <w:t xml:space="preserve"> 2001 </w:t>
      </w:r>
      <w:r w:rsidR="00BA2DD8" w:rsidRPr="00222597">
        <w:t>wa</w:t>
      </w:r>
      <w:r w:rsidRPr="00222597">
        <w:t xml:space="preserve">s a Cochrane systematic review of </w:t>
      </w:r>
      <w:r w:rsidR="00AE0A75" w:rsidRPr="00222597">
        <w:t>randomised controlled trials (</w:t>
      </w:r>
      <w:r w:rsidRPr="00222597">
        <w:t>RCTs</w:t>
      </w:r>
      <w:r w:rsidR="00AE0A75" w:rsidRPr="00222597">
        <w:t>)</w:t>
      </w:r>
      <w:r w:rsidRPr="00222597">
        <w:t xml:space="preserve"> comparing </w:t>
      </w:r>
      <w:proofErr w:type="spellStart"/>
      <w:r w:rsidRPr="00222597">
        <w:t>GnRH</w:t>
      </w:r>
      <w:proofErr w:type="spellEnd"/>
      <w:r w:rsidRPr="00222597">
        <w:t xml:space="preserve"> analogue treatment versus placebo, no treatment, or other medical therapy prior to surgery for uterine fibroids. The submission did not provide details of the </w:t>
      </w:r>
      <w:r w:rsidR="00BA2DD8" w:rsidRPr="00222597">
        <w:t>seven</w:t>
      </w:r>
      <w:r w:rsidRPr="00222597">
        <w:t xml:space="preserve"> individual </w:t>
      </w:r>
      <w:proofErr w:type="spellStart"/>
      <w:r w:rsidRPr="00222597">
        <w:t>goserelin</w:t>
      </w:r>
      <w:proofErr w:type="spellEnd"/>
      <w:r w:rsidRPr="00222597">
        <w:t xml:space="preserve"> trials</w:t>
      </w:r>
      <w:r w:rsidR="00BA2DD8" w:rsidRPr="00222597">
        <w:t xml:space="preserve"> included in the review</w:t>
      </w:r>
      <w:r w:rsidRPr="00222597">
        <w:t xml:space="preserve">. The risk of bias in these studies could not be fully assessed based on the data provided in </w:t>
      </w:r>
      <w:proofErr w:type="spellStart"/>
      <w:r w:rsidRPr="00222597">
        <w:t>Lethaby</w:t>
      </w:r>
      <w:proofErr w:type="spellEnd"/>
      <w:r w:rsidRPr="00222597">
        <w:t xml:space="preserve"> 2001.</w:t>
      </w:r>
      <w:r w:rsidR="004D65E1" w:rsidRPr="00222597">
        <w:t xml:space="preserve"> The references for these studies were provided with the PSCR. The ESC considered that these studies did not substantially add to the evidence base for </w:t>
      </w:r>
      <w:proofErr w:type="spellStart"/>
      <w:r w:rsidR="004D65E1" w:rsidRPr="00222597">
        <w:t>goserelin</w:t>
      </w:r>
      <w:proofErr w:type="spellEnd"/>
      <w:r w:rsidR="004D65E1" w:rsidRPr="00222597">
        <w:t>.</w:t>
      </w:r>
    </w:p>
    <w:p w:rsidR="00D647CD" w:rsidRPr="00222597" w:rsidRDefault="00D647CD" w:rsidP="00D647CD">
      <w:pPr>
        <w:pStyle w:val="ListParagraph"/>
      </w:pPr>
    </w:p>
    <w:p w:rsidR="00D647CD" w:rsidRPr="00222597" w:rsidRDefault="00D647CD" w:rsidP="001F54FF">
      <w:pPr>
        <w:pStyle w:val="ListParagraph"/>
        <w:widowControl/>
        <w:numPr>
          <w:ilvl w:val="1"/>
          <w:numId w:val="3"/>
        </w:numPr>
      </w:pPr>
      <w:r w:rsidRPr="00222597">
        <w:t xml:space="preserve">Overall, the evidence presented in the submission for the </w:t>
      </w:r>
      <w:r w:rsidR="00222597" w:rsidRPr="00222597">
        <w:t>short-term</w:t>
      </w:r>
      <w:r w:rsidRPr="00222597">
        <w:t xml:space="preserve"> effectiveness of </w:t>
      </w:r>
      <w:proofErr w:type="spellStart"/>
      <w:r w:rsidRPr="00222597">
        <w:t>goserelin</w:t>
      </w:r>
      <w:proofErr w:type="spellEnd"/>
      <w:r w:rsidRPr="00222597">
        <w:t xml:space="preserve"> consisted of relatively small, predominantly open-label trials, with insufficient details to assess the risk of bias.</w:t>
      </w:r>
    </w:p>
    <w:p w:rsidR="00161F27" w:rsidRPr="00222597" w:rsidRDefault="00161F27" w:rsidP="00503871">
      <w:pPr>
        <w:pStyle w:val="ListParagraph"/>
        <w:widowControl/>
      </w:pPr>
    </w:p>
    <w:p w:rsidR="00B902BF" w:rsidRPr="00222597" w:rsidRDefault="00B902BF" w:rsidP="00C30EF9"/>
    <w:p w:rsidR="00D647CD" w:rsidRPr="00222597" w:rsidRDefault="00D647CD" w:rsidP="001466EA">
      <w:pPr>
        <w:pStyle w:val="Heading2"/>
        <w:keepNext/>
      </w:pPr>
      <w:bookmarkStart w:id="9" w:name="_Toc451165140"/>
      <w:r w:rsidRPr="00222597">
        <w:t>Comparative effectiveness</w:t>
      </w:r>
      <w:bookmarkEnd w:id="9"/>
    </w:p>
    <w:p w:rsidR="00D647CD" w:rsidRPr="00222597" w:rsidRDefault="00D647CD" w:rsidP="00960382">
      <w:pPr>
        <w:keepNext/>
        <w:keepLines/>
        <w:rPr>
          <w:szCs w:val="22"/>
        </w:rPr>
      </w:pPr>
    </w:p>
    <w:p w:rsidR="00153E1D" w:rsidRPr="00222597" w:rsidRDefault="00222597" w:rsidP="00960382">
      <w:pPr>
        <w:keepNext/>
        <w:keepLines/>
        <w:rPr>
          <w:szCs w:val="22"/>
          <w:u w:val="single"/>
        </w:rPr>
      </w:pPr>
      <w:r>
        <w:rPr>
          <w:szCs w:val="22"/>
          <w:u w:val="single"/>
        </w:rPr>
        <w:t>Short-term</w:t>
      </w:r>
      <w:r w:rsidR="00153E1D" w:rsidRPr="00222597">
        <w:rPr>
          <w:szCs w:val="22"/>
          <w:u w:val="single"/>
        </w:rPr>
        <w:t xml:space="preserve"> use of </w:t>
      </w:r>
      <w:proofErr w:type="spellStart"/>
      <w:r w:rsidR="00153E1D" w:rsidRPr="00222597">
        <w:rPr>
          <w:szCs w:val="22"/>
          <w:u w:val="single"/>
        </w:rPr>
        <w:t>ulipristal</w:t>
      </w:r>
      <w:proofErr w:type="spellEnd"/>
      <w:r w:rsidR="00153E1D" w:rsidRPr="00222597">
        <w:rPr>
          <w:szCs w:val="22"/>
          <w:u w:val="single"/>
        </w:rPr>
        <w:t xml:space="preserve"> in patients planning surgery (Clinical scenario 1)</w:t>
      </w:r>
    </w:p>
    <w:p w:rsidR="00153E1D" w:rsidRPr="00030326" w:rsidRDefault="00153E1D" w:rsidP="00960382">
      <w:pPr>
        <w:keepNext/>
        <w:keepLines/>
        <w:rPr>
          <w:szCs w:val="22"/>
        </w:rPr>
      </w:pPr>
    </w:p>
    <w:p w:rsidR="00D647CD" w:rsidRPr="00222597" w:rsidRDefault="00D647CD" w:rsidP="00960382">
      <w:pPr>
        <w:pStyle w:val="ListParagraph"/>
        <w:keepNext/>
        <w:keepLines/>
        <w:widowControl/>
        <w:numPr>
          <w:ilvl w:val="1"/>
          <w:numId w:val="3"/>
        </w:numPr>
        <w:rPr>
          <w:szCs w:val="22"/>
        </w:rPr>
      </w:pPr>
      <w:r w:rsidRPr="00F368D9">
        <w:rPr>
          <w:szCs w:val="22"/>
        </w:rPr>
        <w:t xml:space="preserve">The main results of the </w:t>
      </w:r>
      <w:r w:rsidR="00222597" w:rsidRPr="00222597">
        <w:rPr>
          <w:szCs w:val="22"/>
        </w:rPr>
        <w:t>short-term</w:t>
      </w:r>
      <w:r w:rsidRPr="00222597">
        <w:rPr>
          <w:szCs w:val="22"/>
        </w:rPr>
        <w:t xml:space="preserve"> </w:t>
      </w:r>
      <w:proofErr w:type="spellStart"/>
      <w:r w:rsidRPr="00222597">
        <w:rPr>
          <w:szCs w:val="22"/>
        </w:rPr>
        <w:t>ulipristal</w:t>
      </w:r>
      <w:proofErr w:type="spellEnd"/>
      <w:r w:rsidRPr="00222597">
        <w:rPr>
          <w:szCs w:val="22"/>
        </w:rPr>
        <w:t xml:space="preserve"> trials PEARL I and PEARL II are presented below</w:t>
      </w:r>
      <w:r w:rsidRPr="00222597">
        <w:rPr>
          <w:color w:val="3366FF"/>
          <w:szCs w:val="22"/>
        </w:rPr>
        <w:t>.</w:t>
      </w:r>
    </w:p>
    <w:p w:rsidR="00D647CD" w:rsidRPr="00222597" w:rsidRDefault="00D647CD" w:rsidP="00960382">
      <w:pPr>
        <w:keepNext/>
        <w:keepLines/>
        <w:widowControl/>
        <w:rPr>
          <w:szCs w:val="22"/>
        </w:rPr>
      </w:pPr>
    </w:p>
    <w:p w:rsidR="00D647CD" w:rsidRPr="00030326" w:rsidRDefault="00D1773B" w:rsidP="00960382">
      <w:pPr>
        <w:pStyle w:val="TableHeader"/>
        <w:keepNext/>
        <w:keepLines/>
        <w:ind w:left="709"/>
      </w:pPr>
      <w:r w:rsidRPr="00222597">
        <w:t>Table 3</w:t>
      </w:r>
      <w:r w:rsidR="00D647CD" w:rsidRPr="00222597">
        <w:t xml:space="preserve">: Main results in the </w:t>
      </w:r>
      <w:r w:rsidR="00222597">
        <w:t>short-term</w:t>
      </w:r>
      <w:r w:rsidR="00D647CD" w:rsidRPr="00222597">
        <w:t xml:space="preserve"> </w:t>
      </w:r>
      <w:proofErr w:type="spellStart"/>
      <w:r w:rsidR="00D647CD" w:rsidRPr="00222597">
        <w:t>ulipristal</w:t>
      </w:r>
      <w:proofErr w:type="spellEnd"/>
      <w:r w:rsidR="00D647CD" w:rsidRPr="00222597">
        <w:t xml:space="preserve"> trials PEARL I and PEARL II</w:t>
      </w:r>
      <w:r w:rsidR="00D647CD" w:rsidRPr="00030326">
        <w:t xml:space="preserve"> </w:t>
      </w:r>
    </w:p>
    <w:tbl>
      <w:tblPr>
        <w:tblW w:w="4590"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39"/>
        <w:gridCol w:w="1714"/>
        <w:gridCol w:w="1714"/>
        <w:gridCol w:w="1884"/>
        <w:gridCol w:w="1886"/>
      </w:tblGrid>
      <w:tr w:rsidR="00D647CD" w:rsidRPr="00222597" w:rsidTr="00E10335">
        <w:tc>
          <w:tcPr>
            <w:tcW w:w="683" w:type="pct"/>
            <w:tcBorders>
              <w:top w:val="single" w:sz="4" w:space="0" w:color="auto"/>
              <w:bottom w:val="single" w:sz="8" w:space="0" w:color="auto"/>
            </w:tcBorders>
            <w:shd w:val="clear" w:color="auto" w:fill="auto"/>
            <w:vAlign w:val="center"/>
          </w:tcPr>
          <w:p w:rsidR="00D647CD" w:rsidRPr="00121E88" w:rsidRDefault="00D647CD" w:rsidP="00960382">
            <w:pPr>
              <w:keepNext/>
              <w:keepLines/>
              <w:jc w:val="left"/>
              <w:rPr>
                <w:rFonts w:ascii="Arial Narrow" w:hAnsi="Arial Narrow"/>
                <w:b/>
                <w:sz w:val="20"/>
              </w:rPr>
            </w:pPr>
            <w:r w:rsidRPr="00121E88">
              <w:rPr>
                <w:rFonts w:ascii="Arial Narrow" w:hAnsi="Arial Narrow"/>
                <w:b/>
                <w:sz w:val="20"/>
              </w:rPr>
              <w:t>PEARL I</w:t>
            </w:r>
          </w:p>
        </w:tc>
        <w:tc>
          <w:tcPr>
            <w:tcW w:w="1028" w:type="pct"/>
            <w:tcBorders>
              <w:top w:val="single" w:sz="4" w:space="0" w:color="auto"/>
              <w:bottom w:val="single" w:sz="8" w:space="0" w:color="auto"/>
            </w:tcBorders>
            <w:shd w:val="clear" w:color="auto" w:fill="auto"/>
            <w:vAlign w:val="center"/>
          </w:tcPr>
          <w:p w:rsidR="00D647CD" w:rsidRPr="00121E88" w:rsidRDefault="00D647CD" w:rsidP="00960382">
            <w:pPr>
              <w:keepNext/>
              <w:keepLines/>
              <w:jc w:val="center"/>
              <w:rPr>
                <w:rFonts w:ascii="Arial Narrow" w:hAnsi="Arial Narrow"/>
                <w:b/>
                <w:sz w:val="20"/>
              </w:rPr>
            </w:pPr>
            <w:proofErr w:type="spellStart"/>
            <w:r w:rsidRPr="00121E88">
              <w:rPr>
                <w:rFonts w:ascii="Arial Narrow" w:hAnsi="Arial Narrow"/>
                <w:b/>
                <w:sz w:val="20"/>
              </w:rPr>
              <w:t>Ulipristal</w:t>
            </w:r>
            <w:proofErr w:type="spellEnd"/>
            <w:r w:rsidRPr="00121E88">
              <w:rPr>
                <w:rFonts w:ascii="Arial Narrow" w:hAnsi="Arial Narrow"/>
                <w:b/>
                <w:sz w:val="20"/>
              </w:rPr>
              <w:t xml:space="preserve"> </w:t>
            </w:r>
            <w:r w:rsidR="00B413FC" w:rsidRPr="00121E88">
              <w:rPr>
                <w:rFonts w:ascii="Arial Narrow" w:hAnsi="Arial Narrow"/>
                <w:b/>
                <w:sz w:val="20"/>
              </w:rPr>
              <w:t>5 mg</w:t>
            </w:r>
          </w:p>
        </w:tc>
        <w:tc>
          <w:tcPr>
            <w:tcW w:w="1028" w:type="pct"/>
            <w:tcBorders>
              <w:top w:val="single" w:sz="4" w:space="0" w:color="auto"/>
              <w:bottom w:val="single" w:sz="8" w:space="0" w:color="auto"/>
            </w:tcBorders>
            <w:shd w:val="clear" w:color="auto" w:fill="auto"/>
            <w:vAlign w:val="center"/>
          </w:tcPr>
          <w:p w:rsidR="00D647CD" w:rsidRPr="00121E88" w:rsidRDefault="00D647CD" w:rsidP="00960382">
            <w:pPr>
              <w:keepNext/>
              <w:keepLines/>
              <w:jc w:val="center"/>
              <w:rPr>
                <w:rFonts w:ascii="Arial Narrow" w:hAnsi="Arial Narrow"/>
                <w:b/>
                <w:sz w:val="20"/>
              </w:rPr>
            </w:pPr>
            <w:r w:rsidRPr="00121E88">
              <w:rPr>
                <w:rFonts w:ascii="Arial Narrow" w:hAnsi="Arial Narrow"/>
                <w:b/>
                <w:sz w:val="20"/>
              </w:rPr>
              <w:t>Placebo</w:t>
            </w:r>
          </w:p>
        </w:tc>
        <w:tc>
          <w:tcPr>
            <w:tcW w:w="1130" w:type="pct"/>
            <w:tcBorders>
              <w:top w:val="single" w:sz="4" w:space="0" w:color="auto"/>
              <w:bottom w:val="single" w:sz="8" w:space="0" w:color="auto"/>
            </w:tcBorders>
            <w:shd w:val="clear" w:color="auto" w:fill="auto"/>
            <w:vAlign w:val="center"/>
          </w:tcPr>
          <w:p w:rsidR="00D647CD" w:rsidRPr="00121E88" w:rsidRDefault="00D647CD" w:rsidP="00960382">
            <w:pPr>
              <w:keepNext/>
              <w:keepLines/>
              <w:jc w:val="center"/>
              <w:rPr>
                <w:rFonts w:ascii="Arial Narrow" w:hAnsi="Arial Narrow"/>
                <w:b/>
                <w:sz w:val="20"/>
              </w:rPr>
            </w:pPr>
            <w:r w:rsidRPr="00121E88">
              <w:rPr>
                <w:rFonts w:ascii="Arial Narrow" w:hAnsi="Arial Narrow"/>
                <w:b/>
                <w:sz w:val="20"/>
              </w:rPr>
              <w:t xml:space="preserve">Absolute difference </w:t>
            </w:r>
          </w:p>
          <w:p w:rsidR="00D647CD" w:rsidRPr="00121E88" w:rsidRDefault="00D647CD" w:rsidP="00960382">
            <w:pPr>
              <w:keepNext/>
              <w:keepLines/>
              <w:jc w:val="center"/>
              <w:rPr>
                <w:rFonts w:ascii="Arial Narrow" w:hAnsi="Arial Narrow"/>
                <w:b/>
                <w:sz w:val="20"/>
              </w:rPr>
            </w:pPr>
            <w:r w:rsidRPr="00121E88">
              <w:rPr>
                <w:rFonts w:ascii="Arial Narrow" w:hAnsi="Arial Narrow"/>
                <w:b/>
                <w:sz w:val="20"/>
              </w:rPr>
              <w:t>(95% CI)</w:t>
            </w:r>
          </w:p>
        </w:tc>
        <w:tc>
          <w:tcPr>
            <w:tcW w:w="1131" w:type="pct"/>
            <w:tcBorders>
              <w:top w:val="single" w:sz="4" w:space="0" w:color="auto"/>
              <w:bottom w:val="single" w:sz="8" w:space="0" w:color="auto"/>
            </w:tcBorders>
            <w:shd w:val="clear" w:color="auto" w:fill="auto"/>
            <w:vAlign w:val="center"/>
          </w:tcPr>
          <w:p w:rsidR="00D647CD" w:rsidRPr="00121E88" w:rsidRDefault="00D647CD" w:rsidP="00960382">
            <w:pPr>
              <w:keepNext/>
              <w:keepLines/>
              <w:jc w:val="center"/>
              <w:rPr>
                <w:rFonts w:ascii="Arial Narrow" w:hAnsi="Arial Narrow"/>
                <w:b/>
                <w:sz w:val="20"/>
              </w:rPr>
            </w:pPr>
            <w:r w:rsidRPr="00121E88">
              <w:rPr>
                <w:rFonts w:ascii="Arial Narrow" w:hAnsi="Arial Narrow"/>
                <w:b/>
                <w:sz w:val="20"/>
              </w:rPr>
              <w:t>Relative risk</w:t>
            </w:r>
          </w:p>
          <w:p w:rsidR="00D647CD" w:rsidRPr="00121E88" w:rsidRDefault="00D647CD" w:rsidP="00960382">
            <w:pPr>
              <w:keepNext/>
              <w:keepLines/>
              <w:jc w:val="center"/>
              <w:rPr>
                <w:rFonts w:ascii="Arial Narrow" w:hAnsi="Arial Narrow"/>
                <w:b/>
                <w:sz w:val="20"/>
              </w:rPr>
            </w:pPr>
            <w:r w:rsidRPr="00121E88">
              <w:rPr>
                <w:rFonts w:ascii="Arial Narrow" w:hAnsi="Arial Narrow"/>
                <w:b/>
                <w:sz w:val="20"/>
              </w:rPr>
              <w:t>(95%</w:t>
            </w:r>
            <w:r w:rsidR="0024078A" w:rsidRPr="00121E88">
              <w:rPr>
                <w:rFonts w:ascii="Arial Narrow" w:hAnsi="Arial Narrow"/>
                <w:b/>
                <w:sz w:val="20"/>
              </w:rPr>
              <w:t xml:space="preserve"> </w:t>
            </w:r>
            <w:r w:rsidRPr="00121E88">
              <w:rPr>
                <w:rFonts w:ascii="Arial Narrow" w:hAnsi="Arial Narrow"/>
                <w:b/>
                <w:sz w:val="20"/>
              </w:rPr>
              <w:t>CI)</w:t>
            </w:r>
          </w:p>
        </w:tc>
      </w:tr>
      <w:tr w:rsidR="00D647CD" w:rsidRPr="00222597" w:rsidTr="00E10335">
        <w:tc>
          <w:tcPr>
            <w:tcW w:w="5000" w:type="pct"/>
            <w:gridSpan w:val="5"/>
            <w:tcBorders>
              <w:top w:val="single" w:sz="8" w:space="0" w:color="auto"/>
              <w:bottom w:val="single" w:sz="4" w:space="0" w:color="auto"/>
            </w:tcBorders>
            <w:shd w:val="clear" w:color="auto" w:fill="auto"/>
          </w:tcPr>
          <w:p w:rsidR="00D647CD" w:rsidRPr="00121E88" w:rsidRDefault="00D647CD" w:rsidP="00960382">
            <w:pPr>
              <w:keepNext/>
              <w:keepLines/>
              <w:jc w:val="left"/>
              <w:rPr>
                <w:rFonts w:ascii="Arial Narrow" w:hAnsi="Arial Narrow"/>
                <w:i/>
                <w:sz w:val="20"/>
              </w:rPr>
            </w:pPr>
            <w:r w:rsidRPr="00121E88">
              <w:rPr>
                <w:rFonts w:ascii="Arial Narrow" w:hAnsi="Arial Narrow"/>
                <w:i/>
                <w:sz w:val="20"/>
              </w:rPr>
              <w:t>PBA chart score &lt; 75 at Week 13, n/N (%)</w:t>
            </w:r>
            <w:r w:rsidR="00AB4C1F" w:rsidRPr="00121E88">
              <w:rPr>
                <w:rFonts w:ascii="Arial Narrow" w:hAnsi="Arial Narrow"/>
                <w:i/>
                <w:sz w:val="20"/>
              </w:rPr>
              <w:t>, ITT analysis</w:t>
            </w:r>
          </w:p>
        </w:tc>
      </w:tr>
      <w:tr w:rsidR="00D647CD" w:rsidRPr="00222597" w:rsidTr="00E10335">
        <w:tc>
          <w:tcPr>
            <w:tcW w:w="683" w:type="pct"/>
            <w:tcBorders>
              <w:bottom w:val="single" w:sz="8" w:space="0" w:color="auto"/>
            </w:tcBorders>
            <w:shd w:val="clear" w:color="auto" w:fill="auto"/>
            <w:vAlign w:val="center"/>
          </w:tcPr>
          <w:p w:rsidR="00D647CD" w:rsidRPr="00121E88" w:rsidRDefault="00D647CD" w:rsidP="00960382">
            <w:pPr>
              <w:keepNext/>
              <w:keepLines/>
              <w:ind w:left="223"/>
              <w:jc w:val="left"/>
              <w:rPr>
                <w:rFonts w:ascii="Arial Narrow" w:hAnsi="Arial Narrow"/>
                <w:sz w:val="20"/>
                <w:vertAlign w:val="superscript"/>
              </w:rPr>
            </w:pPr>
            <w:r w:rsidRPr="00121E88">
              <w:rPr>
                <w:rFonts w:ascii="Arial Narrow" w:hAnsi="Arial Narrow"/>
                <w:sz w:val="20"/>
              </w:rPr>
              <w:t>n/N (%)</w:t>
            </w:r>
            <w:r w:rsidRPr="00121E88">
              <w:rPr>
                <w:rFonts w:ascii="Arial Narrow" w:hAnsi="Arial Narrow"/>
                <w:sz w:val="20"/>
                <w:vertAlign w:val="superscript"/>
              </w:rPr>
              <w:t>a</w:t>
            </w:r>
          </w:p>
        </w:tc>
        <w:tc>
          <w:tcPr>
            <w:tcW w:w="1028" w:type="pct"/>
            <w:tcBorders>
              <w:bottom w:val="single" w:sz="8" w:space="0" w:color="auto"/>
            </w:tcBorders>
            <w:shd w:val="clear" w:color="auto" w:fill="auto"/>
          </w:tcPr>
          <w:p w:rsidR="00D647CD" w:rsidRPr="00121E88" w:rsidRDefault="00D647CD" w:rsidP="00960382">
            <w:pPr>
              <w:keepNext/>
              <w:keepLines/>
              <w:jc w:val="center"/>
              <w:rPr>
                <w:rFonts w:ascii="Arial Narrow" w:hAnsi="Arial Narrow"/>
                <w:sz w:val="20"/>
              </w:rPr>
            </w:pPr>
            <w:r w:rsidRPr="00222597">
              <w:rPr>
                <w:rFonts w:ascii="Arial Narrow" w:hAnsi="Arial Narrow"/>
                <w:sz w:val="20"/>
              </w:rPr>
              <w:t>86/94 (91.5%)</w:t>
            </w:r>
          </w:p>
        </w:tc>
        <w:tc>
          <w:tcPr>
            <w:tcW w:w="1028" w:type="pct"/>
            <w:tcBorders>
              <w:bottom w:val="single" w:sz="8" w:space="0" w:color="auto"/>
            </w:tcBorders>
            <w:shd w:val="clear" w:color="auto" w:fill="auto"/>
          </w:tcPr>
          <w:p w:rsidR="00D647CD" w:rsidRPr="00121E88" w:rsidRDefault="00D647CD" w:rsidP="00960382">
            <w:pPr>
              <w:keepNext/>
              <w:keepLines/>
              <w:jc w:val="center"/>
              <w:rPr>
                <w:rFonts w:ascii="Arial Narrow" w:hAnsi="Arial Narrow"/>
                <w:sz w:val="20"/>
              </w:rPr>
            </w:pPr>
            <w:r w:rsidRPr="00222597">
              <w:rPr>
                <w:rFonts w:ascii="Arial Narrow" w:hAnsi="Arial Narrow"/>
                <w:sz w:val="20"/>
              </w:rPr>
              <w:t>9/48 (18.8%)</w:t>
            </w:r>
          </w:p>
        </w:tc>
        <w:tc>
          <w:tcPr>
            <w:tcW w:w="1130" w:type="pct"/>
            <w:tcBorders>
              <w:bottom w:val="single" w:sz="8" w:space="0" w:color="auto"/>
            </w:tcBorders>
            <w:shd w:val="clear" w:color="auto" w:fill="auto"/>
          </w:tcPr>
          <w:p w:rsidR="00D647CD" w:rsidRPr="00121E88" w:rsidRDefault="00D647CD" w:rsidP="00960382">
            <w:pPr>
              <w:keepNext/>
              <w:keepLines/>
              <w:jc w:val="center"/>
              <w:rPr>
                <w:rFonts w:ascii="Arial Narrow" w:hAnsi="Arial Narrow"/>
                <w:b/>
                <w:sz w:val="20"/>
              </w:rPr>
            </w:pPr>
            <w:r w:rsidRPr="00222597">
              <w:rPr>
                <w:rFonts w:ascii="Arial Narrow" w:hAnsi="Arial Narrow"/>
                <w:b/>
                <w:sz w:val="20"/>
              </w:rPr>
              <w:t>72.7% (55.1%, 83.2%)</w:t>
            </w:r>
          </w:p>
        </w:tc>
        <w:tc>
          <w:tcPr>
            <w:tcW w:w="1131" w:type="pct"/>
            <w:tcBorders>
              <w:bottom w:val="single" w:sz="8" w:space="0" w:color="auto"/>
            </w:tcBorders>
            <w:shd w:val="clear" w:color="auto" w:fill="auto"/>
          </w:tcPr>
          <w:p w:rsidR="00D647CD" w:rsidRPr="00121E88" w:rsidRDefault="00D647CD" w:rsidP="00960382">
            <w:pPr>
              <w:keepNext/>
              <w:keepLines/>
              <w:jc w:val="center"/>
              <w:rPr>
                <w:rFonts w:ascii="Arial Narrow" w:hAnsi="Arial Narrow"/>
                <w:b/>
                <w:sz w:val="20"/>
              </w:rPr>
            </w:pPr>
            <w:r w:rsidRPr="00222597">
              <w:rPr>
                <w:rFonts w:ascii="Arial Narrow" w:hAnsi="Arial Narrow"/>
                <w:b/>
                <w:i/>
                <w:sz w:val="20"/>
              </w:rPr>
              <w:t>4.88 (2.70, 8.82)</w:t>
            </w:r>
          </w:p>
        </w:tc>
      </w:tr>
      <w:tr w:rsidR="00D647CD" w:rsidRPr="00222597" w:rsidTr="00E10335">
        <w:tc>
          <w:tcPr>
            <w:tcW w:w="5000" w:type="pct"/>
            <w:gridSpan w:val="5"/>
            <w:tcBorders>
              <w:top w:val="single" w:sz="8" w:space="0" w:color="auto"/>
              <w:bottom w:val="single" w:sz="4" w:space="0" w:color="auto"/>
            </w:tcBorders>
            <w:shd w:val="clear" w:color="auto" w:fill="auto"/>
          </w:tcPr>
          <w:p w:rsidR="00D647CD" w:rsidRPr="00121E88" w:rsidRDefault="00D647CD" w:rsidP="00960382">
            <w:pPr>
              <w:keepNext/>
              <w:keepLines/>
              <w:jc w:val="left"/>
              <w:rPr>
                <w:rFonts w:ascii="Arial Narrow" w:hAnsi="Arial Narrow"/>
                <w:i/>
                <w:sz w:val="20"/>
                <w:vertAlign w:val="superscript"/>
              </w:rPr>
            </w:pPr>
            <w:r w:rsidRPr="00121E88">
              <w:rPr>
                <w:rFonts w:ascii="Arial Narrow" w:hAnsi="Arial Narrow"/>
                <w:i/>
                <w:sz w:val="20"/>
              </w:rPr>
              <w:t>% change in total fibroid volume from screening to Week 13 (cm</w:t>
            </w:r>
            <w:r w:rsidRPr="00121E88">
              <w:rPr>
                <w:rFonts w:ascii="Arial Narrow" w:hAnsi="Arial Narrow"/>
                <w:i/>
                <w:sz w:val="20"/>
                <w:vertAlign w:val="superscript"/>
              </w:rPr>
              <w:t>3</w:t>
            </w:r>
            <w:r w:rsidRPr="00121E88">
              <w:rPr>
                <w:rFonts w:ascii="Arial Narrow" w:hAnsi="Arial Narrow"/>
                <w:i/>
                <w:sz w:val="20"/>
              </w:rPr>
              <w:t>)</w:t>
            </w:r>
            <w:r w:rsidRPr="00121E88">
              <w:rPr>
                <w:rFonts w:ascii="Arial Narrow" w:hAnsi="Arial Narrow"/>
                <w:i/>
                <w:sz w:val="20"/>
                <w:vertAlign w:val="superscript"/>
              </w:rPr>
              <w:t>b</w:t>
            </w:r>
          </w:p>
        </w:tc>
      </w:tr>
      <w:tr w:rsidR="00D647CD" w:rsidRPr="00222597" w:rsidTr="00E10335">
        <w:tc>
          <w:tcPr>
            <w:tcW w:w="683" w:type="pct"/>
            <w:tcBorders>
              <w:bottom w:val="single" w:sz="8" w:space="0" w:color="auto"/>
            </w:tcBorders>
            <w:shd w:val="clear" w:color="auto" w:fill="auto"/>
            <w:vAlign w:val="center"/>
          </w:tcPr>
          <w:p w:rsidR="00D647CD" w:rsidRPr="00121E88" w:rsidRDefault="00D647CD" w:rsidP="00960382">
            <w:pPr>
              <w:keepNext/>
              <w:keepLines/>
              <w:jc w:val="left"/>
              <w:rPr>
                <w:rFonts w:ascii="Arial Narrow" w:hAnsi="Arial Narrow"/>
                <w:sz w:val="20"/>
                <w:vertAlign w:val="superscript"/>
              </w:rPr>
            </w:pPr>
            <w:r w:rsidRPr="00121E88">
              <w:rPr>
                <w:rFonts w:ascii="Arial Narrow" w:hAnsi="Arial Narrow"/>
                <w:sz w:val="20"/>
              </w:rPr>
              <w:t>Median (range)</w:t>
            </w:r>
          </w:p>
        </w:tc>
        <w:tc>
          <w:tcPr>
            <w:tcW w:w="1028" w:type="pct"/>
            <w:tcBorders>
              <w:bottom w:val="single" w:sz="8" w:space="0" w:color="auto"/>
            </w:tcBorders>
            <w:shd w:val="clear" w:color="auto" w:fill="auto"/>
          </w:tcPr>
          <w:p w:rsidR="00D647CD" w:rsidRPr="00222597" w:rsidRDefault="00D647CD" w:rsidP="00960382">
            <w:pPr>
              <w:keepNext/>
              <w:keepLines/>
              <w:jc w:val="center"/>
              <w:rPr>
                <w:rFonts w:ascii="Arial Narrow" w:hAnsi="Arial Narrow"/>
                <w:sz w:val="20"/>
              </w:rPr>
            </w:pPr>
            <w:r w:rsidRPr="00222597">
              <w:rPr>
                <w:rFonts w:ascii="Arial Narrow" w:hAnsi="Arial Narrow"/>
                <w:sz w:val="20"/>
              </w:rPr>
              <w:t>-21.2%</w:t>
            </w:r>
          </w:p>
          <w:p w:rsidR="00D647CD" w:rsidRPr="00121E88" w:rsidRDefault="00D647CD" w:rsidP="00960382">
            <w:pPr>
              <w:keepNext/>
              <w:keepLines/>
              <w:jc w:val="center"/>
              <w:rPr>
                <w:rFonts w:ascii="Arial Narrow" w:hAnsi="Arial Narrow"/>
                <w:sz w:val="20"/>
              </w:rPr>
            </w:pPr>
            <w:r w:rsidRPr="00222597">
              <w:rPr>
                <w:rFonts w:ascii="Arial Narrow" w:hAnsi="Arial Narrow"/>
                <w:sz w:val="20"/>
              </w:rPr>
              <w:t>(-41.2 to -1.1)</w:t>
            </w:r>
          </w:p>
        </w:tc>
        <w:tc>
          <w:tcPr>
            <w:tcW w:w="1028" w:type="pct"/>
            <w:tcBorders>
              <w:bottom w:val="single" w:sz="8" w:space="0" w:color="auto"/>
            </w:tcBorders>
            <w:shd w:val="clear" w:color="auto" w:fill="auto"/>
          </w:tcPr>
          <w:p w:rsidR="00D647CD" w:rsidRPr="00222597" w:rsidRDefault="00D647CD" w:rsidP="00960382">
            <w:pPr>
              <w:keepNext/>
              <w:keepLines/>
              <w:jc w:val="center"/>
              <w:rPr>
                <w:rFonts w:ascii="Arial Narrow" w:hAnsi="Arial Narrow"/>
                <w:sz w:val="20"/>
              </w:rPr>
            </w:pPr>
            <w:r w:rsidRPr="00222597">
              <w:rPr>
                <w:rFonts w:ascii="Arial Narrow" w:hAnsi="Arial Narrow"/>
                <w:sz w:val="20"/>
              </w:rPr>
              <w:t>3.0%</w:t>
            </w:r>
          </w:p>
          <w:p w:rsidR="00D647CD" w:rsidRPr="00121E88" w:rsidRDefault="00D647CD" w:rsidP="00960382">
            <w:pPr>
              <w:keepNext/>
              <w:keepLines/>
              <w:jc w:val="center"/>
              <w:rPr>
                <w:rFonts w:ascii="Arial Narrow" w:hAnsi="Arial Narrow"/>
                <w:sz w:val="20"/>
              </w:rPr>
            </w:pPr>
            <w:r w:rsidRPr="00222597">
              <w:rPr>
                <w:rFonts w:ascii="Arial Narrow" w:hAnsi="Arial Narrow"/>
                <w:sz w:val="20"/>
              </w:rPr>
              <w:t>(-19.7 to 23.0)</w:t>
            </w:r>
          </w:p>
        </w:tc>
        <w:tc>
          <w:tcPr>
            <w:tcW w:w="1130" w:type="pct"/>
            <w:tcBorders>
              <w:bottom w:val="single" w:sz="8" w:space="0" w:color="auto"/>
            </w:tcBorders>
            <w:shd w:val="clear" w:color="auto" w:fill="auto"/>
          </w:tcPr>
          <w:p w:rsidR="00D647CD" w:rsidRPr="00121E88" w:rsidRDefault="00D647CD" w:rsidP="00960382">
            <w:pPr>
              <w:keepNext/>
              <w:keepLines/>
              <w:jc w:val="center"/>
              <w:rPr>
                <w:rFonts w:ascii="Arial Narrow" w:hAnsi="Arial Narrow"/>
                <w:b/>
                <w:sz w:val="20"/>
              </w:rPr>
            </w:pPr>
            <w:r w:rsidRPr="00222597">
              <w:rPr>
                <w:rFonts w:ascii="Arial Narrow" w:hAnsi="Arial Narrow"/>
                <w:b/>
                <w:sz w:val="20"/>
              </w:rPr>
              <w:t>-22.6% (-36.1</w:t>
            </w:r>
            <w:r w:rsidR="00C22E35" w:rsidRPr="00222597">
              <w:rPr>
                <w:rFonts w:ascii="Arial Narrow" w:hAnsi="Arial Narrow"/>
                <w:b/>
                <w:sz w:val="20"/>
              </w:rPr>
              <w:t>%</w:t>
            </w:r>
            <w:r w:rsidRPr="00222597">
              <w:rPr>
                <w:rFonts w:ascii="Arial Narrow" w:hAnsi="Arial Narrow"/>
                <w:b/>
                <w:sz w:val="20"/>
              </w:rPr>
              <w:t>, -8.2</w:t>
            </w:r>
            <w:r w:rsidR="00C22E35" w:rsidRPr="00222597">
              <w:rPr>
                <w:rFonts w:ascii="Arial Narrow" w:hAnsi="Arial Narrow"/>
                <w:b/>
                <w:sz w:val="20"/>
              </w:rPr>
              <w:t>%</w:t>
            </w:r>
            <w:r w:rsidRPr="00222597">
              <w:rPr>
                <w:rFonts w:ascii="Arial Narrow" w:hAnsi="Arial Narrow"/>
                <w:b/>
                <w:sz w:val="20"/>
              </w:rPr>
              <w:t>)</w:t>
            </w:r>
          </w:p>
        </w:tc>
        <w:tc>
          <w:tcPr>
            <w:tcW w:w="1131" w:type="pct"/>
            <w:tcBorders>
              <w:bottom w:val="single" w:sz="8" w:space="0" w:color="auto"/>
            </w:tcBorders>
            <w:shd w:val="clear" w:color="auto" w:fill="auto"/>
            <w:vAlign w:val="center"/>
          </w:tcPr>
          <w:p w:rsidR="00D647CD" w:rsidRPr="00121E88" w:rsidRDefault="00D647CD" w:rsidP="00960382">
            <w:pPr>
              <w:keepNext/>
              <w:keepLines/>
              <w:jc w:val="center"/>
              <w:rPr>
                <w:rFonts w:ascii="Arial Narrow" w:hAnsi="Arial Narrow"/>
                <w:sz w:val="20"/>
              </w:rPr>
            </w:pPr>
          </w:p>
        </w:tc>
      </w:tr>
      <w:tr w:rsidR="00D647CD" w:rsidRPr="00222597" w:rsidTr="00E10335">
        <w:tc>
          <w:tcPr>
            <w:tcW w:w="5000" w:type="pct"/>
            <w:gridSpan w:val="5"/>
            <w:tcBorders>
              <w:top w:val="single" w:sz="8" w:space="0" w:color="auto"/>
            </w:tcBorders>
            <w:shd w:val="clear" w:color="auto" w:fill="auto"/>
          </w:tcPr>
          <w:p w:rsidR="00D647CD" w:rsidRPr="00121E88" w:rsidRDefault="00D647CD" w:rsidP="00960382">
            <w:pPr>
              <w:keepNext/>
              <w:keepLines/>
              <w:jc w:val="left"/>
              <w:rPr>
                <w:rFonts w:ascii="Arial Narrow" w:hAnsi="Arial Narrow"/>
                <w:i/>
                <w:sz w:val="20"/>
              </w:rPr>
            </w:pPr>
            <w:r w:rsidRPr="00121E88">
              <w:rPr>
                <w:rFonts w:ascii="Arial Narrow" w:hAnsi="Arial Narrow"/>
                <w:i/>
                <w:sz w:val="20"/>
              </w:rPr>
              <w:t>% change in uterine volume from screening to Week 13 (cm</w:t>
            </w:r>
            <w:r w:rsidRPr="00121E88">
              <w:rPr>
                <w:rFonts w:ascii="Arial Narrow" w:hAnsi="Arial Narrow"/>
                <w:i/>
                <w:sz w:val="20"/>
                <w:vertAlign w:val="superscript"/>
              </w:rPr>
              <w:t>3</w:t>
            </w:r>
            <w:r w:rsidRPr="00121E88">
              <w:rPr>
                <w:rFonts w:ascii="Arial Narrow" w:hAnsi="Arial Narrow"/>
                <w:i/>
                <w:sz w:val="20"/>
              </w:rPr>
              <w:t>)</w:t>
            </w:r>
          </w:p>
        </w:tc>
      </w:tr>
      <w:tr w:rsidR="00D647CD" w:rsidRPr="00222597" w:rsidTr="005C5376">
        <w:tc>
          <w:tcPr>
            <w:tcW w:w="683" w:type="pct"/>
            <w:shd w:val="clear" w:color="auto" w:fill="auto"/>
          </w:tcPr>
          <w:p w:rsidR="00D647CD" w:rsidRPr="00222597" w:rsidRDefault="00D647CD" w:rsidP="00960382">
            <w:pPr>
              <w:keepNext/>
              <w:keepLines/>
              <w:jc w:val="left"/>
              <w:rPr>
                <w:rFonts w:ascii="Arial Narrow" w:hAnsi="Arial Narrow"/>
                <w:sz w:val="20"/>
              </w:rPr>
            </w:pPr>
            <w:r w:rsidRPr="00222597">
              <w:rPr>
                <w:rFonts w:ascii="Arial Narrow" w:hAnsi="Arial Narrow"/>
                <w:sz w:val="20"/>
              </w:rPr>
              <w:t>Mean (SD)</w:t>
            </w:r>
          </w:p>
        </w:tc>
        <w:tc>
          <w:tcPr>
            <w:tcW w:w="1028" w:type="pct"/>
            <w:shd w:val="clear" w:color="auto" w:fill="auto"/>
          </w:tcPr>
          <w:p w:rsidR="00D647CD" w:rsidRPr="00222597" w:rsidRDefault="00D647CD" w:rsidP="00960382">
            <w:pPr>
              <w:keepNext/>
              <w:keepLines/>
              <w:jc w:val="center"/>
              <w:rPr>
                <w:rFonts w:ascii="Arial Narrow" w:hAnsi="Arial Narrow"/>
                <w:sz w:val="20"/>
              </w:rPr>
            </w:pPr>
            <w:r w:rsidRPr="00222597">
              <w:rPr>
                <w:rFonts w:ascii="Arial Narrow" w:hAnsi="Arial Narrow"/>
                <w:sz w:val="20"/>
              </w:rPr>
              <w:t>-8.67% (34.4)</w:t>
            </w:r>
          </w:p>
        </w:tc>
        <w:tc>
          <w:tcPr>
            <w:tcW w:w="1028" w:type="pct"/>
            <w:shd w:val="clear" w:color="auto" w:fill="auto"/>
          </w:tcPr>
          <w:p w:rsidR="00D647CD" w:rsidRPr="00222597" w:rsidRDefault="00D647CD" w:rsidP="00960382">
            <w:pPr>
              <w:keepNext/>
              <w:keepLines/>
              <w:jc w:val="center"/>
              <w:rPr>
                <w:rFonts w:ascii="Arial Narrow" w:hAnsi="Arial Narrow"/>
                <w:sz w:val="20"/>
              </w:rPr>
            </w:pPr>
            <w:r w:rsidRPr="00222597">
              <w:rPr>
                <w:rFonts w:ascii="Arial Narrow" w:hAnsi="Arial Narrow"/>
                <w:sz w:val="20"/>
              </w:rPr>
              <w:t>5.91</w:t>
            </w:r>
            <w:r w:rsidR="00F57135" w:rsidRPr="00222597">
              <w:rPr>
                <w:rFonts w:ascii="Arial Narrow" w:hAnsi="Arial Narrow"/>
                <w:sz w:val="20"/>
              </w:rPr>
              <w:t>%</w:t>
            </w:r>
            <w:r w:rsidRPr="00222597">
              <w:rPr>
                <w:rFonts w:ascii="Arial Narrow" w:hAnsi="Arial Narrow"/>
                <w:sz w:val="20"/>
              </w:rPr>
              <w:t xml:space="preserve"> (20.1)</w:t>
            </w:r>
          </w:p>
        </w:tc>
        <w:tc>
          <w:tcPr>
            <w:tcW w:w="1130" w:type="pct"/>
            <w:shd w:val="clear" w:color="auto" w:fill="auto"/>
          </w:tcPr>
          <w:p w:rsidR="00D647CD" w:rsidRPr="00121E88" w:rsidRDefault="00D647CD" w:rsidP="00960382">
            <w:pPr>
              <w:keepNext/>
              <w:keepLines/>
              <w:jc w:val="center"/>
              <w:rPr>
                <w:rFonts w:ascii="Arial Narrow" w:hAnsi="Arial Narrow"/>
                <w:sz w:val="20"/>
              </w:rPr>
            </w:pPr>
          </w:p>
        </w:tc>
        <w:tc>
          <w:tcPr>
            <w:tcW w:w="1131" w:type="pct"/>
            <w:shd w:val="clear" w:color="auto" w:fill="auto"/>
            <w:vAlign w:val="center"/>
          </w:tcPr>
          <w:p w:rsidR="00D647CD" w:rsidRPr="00121E88" w:rsidRDefault="00D647CD" w:rsidP="00960382">
            <w:pPr>
              <w:keepNext/>
              <w:keepLines/>
              <w:jc w:val="center"/>
              <w:rPr>
                <w:rFonts w:ascii="Arial Narrow" w:hAnsi="Arial Narrow"/>
                <w:sz w:val="20"/>
              </w:rPr>
            </w:pPr>
          </w:p>
        </w:tc>
      </w:tr>
      <w:tr w:rsidR="00D647CD" w:rsidRPr="00222597" w:rsidTr="005C5376">
        <w:tc>
          <w:tcPr>
            <w:tcW w:w="5000" w:type="pct"/>
            <w:gridSpan w:val="5"/>
            <w:tcBorders>
              <w:bottom w:val="single" w:sz="4" w:space="0" w:color="auto"/>
            </w:tcBorders>
            <w:shd w:val="clear" w:color="auto" w:fill="auto"/>
          </w:tcPr>
          <w:p w:rsidR="00D647CD" w:rsidRPr="00121E88" w:rsidRDefault="00D647CD" w:rsidP="00960382">
            <w:pPr>
              <w:keepNext/>
              <w:keepLines/>
              <w:jc w:val="left"/>
              <w:rPr>
                <w:rFonts w:ascii="Arial Narrow" w:hAnsi="Arial Narrow"/>
                <w:sz w:val="20"/>
              </w:rPr>
            </w:pPr>
            <w:r w:rsidRPr="00121E88">
              <w:rPr>
                <w:rFonts w:ascii="Arial Narrow" w:hAnsi="Arial Narrow"/>
                <w:sz w:val="20"/>
              </w:rPr>
              <w:t>Log</w:t>
            </w:r>
            <w:r w:rsidRPr="00121E88">
              <w:rPr>
                <w:rFonts w:ascii="Arial Narrow" w:hAnsi="Arial Narrow"/>
                <w:sz w:val="20"/>
                <w:vertAlign w:val="subscript"/>
              </w:rPr>
              <w:t>10</w:t>
            </w:r>
            <w:r w:rsidRPr="00121E88">
              <w:rPr>
                <w:rFonts w:ascii="Arial Narrow" w:hAnsi="Arial Narrow"/>
                <w:sz w:val="20"/>
              </w:rPr>
              <w:t xml:space="preserve"> volume, mean change (SE)</w:t>
            </w:r>
          </w:p>
        </w:tc>
      </w:tr>
      <w:tr w:rsidR="00D647CD" w:rsidRPr="00222597" w:rsidTr="00E10335">
        <w:tc>
          <w:tcPr>
            <w:tcW w:w="683" w:type="pct"/>
            <w:tcBorders>
              <w:bottom w:val="double" w:sz="4" w:space="0" w:color="auto"/>
            </w:tcBorders>
            <w:shd w:val="clear" w:color="auto" w:fill="auto"/>
          </w:tcPr>
          <w:p w:rsidR="00D647CD" w:rsidRPr="00222597" w:rsidRDefault="00D647CD" w:rsidP="00960382">
            <w:pPr>
              <w:keepNext/>
              <w:keepLines/>
              <w:spacing w:after="120"/>
              <w:jc w:val="left"/>
              <w:rPr>
                <w:rFonts w:ascii="Arial Narrow" w:hAnsi="Arial Narrow"/>
                <w:sz w:val="20"/>
              </w:rPr>
            </w:pPr>
            <w:r w:rsidRPr="00222597">
              <w:rPr>
                <w:rFonts w:ascii="Arial Narrow" w:hAnsi="Arial Narrow"/>
                <w:sz w:val="20"/>
              </w:rPr>
              <w:t>Mean (SE)</w:t>
            </w:r>
          </w:p>
        </w:tc>
        <w:tc>
          <w:tcPr>
            <w:tcW w:w="1028" w:type="pct"/>
            <w:tcBorders>
              <w:bottom w:val="double" w:sz="4" w:space="0" w:color="auto"/>
            </w:tcBorders>
            <w:shd w:val="clear" w:color="auto" w:fill="auto"/>
          </w:tcPr>
          <w:p w:rsidR="00D647CD" w:rsidRPr="00222597" w:rsidRDefault="00D647CD" w:rsidP="00960382">
            <w:pPr>
              <w:keepNext/>
              <w:keepLines/>
              <w:spacing w:after="120"/>
              <w:jc w:val="center"/>
              <w:rPr>
                <w:rFonts w:ascii="Arial Narrow" w:hAnsi="Arial Narrow"/>
                <w:sz w:val="20"/>
              </w:rPr>
            </w:pPr>
            <w:r w:rsidRPr="00222597">
              <w:rPr>
                <w:rFonts w:ascii="Arial Narrow" w:hAnsi="Arial Narrow"/>
                <w:sz w:val="20"/>
              </w:rPr>
              <w:t>-0.072 (0.015)</w:t>
            </w:r>
          </w:p>
        </w:tc>
        <w:tc>
          <w:tcPr>
            <w:tcW w:w="1028" w:type="pct"/>
            <w:tcBorders>
              <w:bottom w:val="double" w:sz="4" w:space="0" w:color="auto"/>
            </w:tcBorders>
            <w:shd w:val="clear" w:color="auto" w:fill="auto"/>
          </w:tcPr>
          <w:p w:rsidR="00D647CD" w:rsidRPr="00222597" w:rsidRDefault="00D647CD" w:rsidP="00960382">
            <w:pPr>
              <w:keepNext/>
              <w:keepLines/>
              <w:spacing w:after="120"/>
              <w:jc w:val="center"/>
              <w:rPr>
                <w:rFonts w:ascii="Arial Narrow" w:hAnsi="Arial Narrow"/>
                <w:sz w:val="20"/>
              </w:rPr>
            </w:pPr>
            <w:r w:rsidRPr="00222597">
              <w:rPr>
                <w:rFonts w:ascii="Arial Narrow" w:hAnsi="Arial Narrow"/>
                <w:sz w:val="20"/>
              </w:rPr>
              <w:t>0.007 (0.019)</w:t>
            </w:r>
          </w:p>
        </w:tc>
        <w:tc>
          <w:tcPr>
            <w:tcW w:w="1130" w:type="pct"/>
            <w:tcBorders>
              <w:bottom w:val="double" w:sz="4" w:space="0" w:color="auto"/>
            </w:tcBorders>
            <w:shd w:val="clear" w:color="auto" w:fill="auto"/>
          </w:tcPr>
          <w:p w:rsidR="00D647CD" w:rsidRPr="00222597" w:rsidRDefault="00D647CD" w:rsidP="00960382">
            <w:pPr>
              <w:keepNext/>
              <w:keepLines/>
              <w:spacing w:after="120"/>
              <w:jc w:val="center"/>
              <w:rPr>
                <w:rFonts w:ascii="Arial Narrow" w:hAnsi="Arial Narrow"/>
                <w:b/>
                <w:sz w:val="20"/>
              </w:rPr>
            </w:pPr>
            <w:r w:rsidRPr="00222597">
              <w:rPr>
                <w:rFonts w:ascii="Arial Narrow" w:hAnsi="Arial Narrow"/>
                <w:b/>
                <w:sz w:val="20"/>
              </w:rPr>
              <w:t>-0.079 (-0.131. -0.028)</w:t>
            </w:r>
          </w:p>
        </w:tc>
        <w:tc>
          <w:tcPr>
            <w:tcW w:w="1131" w:type="pct"/>
            <w:tcBorders>
              <w:bottom w:val="double" w:sz="4" w:space="0" w:color="auto"/>
            </w:tcBorders>
            <w:shd w:val="clear" w:color="auto" w:fill="auto"/>
            <w:vAlign w:val="center"/>
          </w:tcPr>
          <w:p w:rsidR="00D647CD" w:rsidRPr="00121E88" w:rsidRDefault="00D647CD" w:rsidP="00960382">
            <w:pPr>
              <w:keepNext/>
              <w:keepLines/>
              <w:spacing w:after="120"/>
              <w:jc w:val="center"/>
              <w:rPr>
                <w:rFonts w:ascii="Arial Narrow" w:hAnsi="Arial Narrow"/>
                <w:sz w:val="20"/>
              </w:rPr>
            </w:pPr>
          </w:p>
        </w:tc>
      </w:tr>
      <w:tr w:rsidR="00D647CD" w:rsidRPr="00222597" w:rsidTr="00E10335">
        <w:tc>
          <w:tcPr>
            <w:tcW w:w="683" w:type="pct"/>
            <w:tcBorders>
              <w:top w:val="double" w:sz="4" w:space="0" w:color="auto"/>
              <w:bottom w:val="single" w:sz="8" w:space="0" w:color="auto"/>
            </w:tcBorders>
            <w:shd w:val="clear" w:color="auto" w:fill="auto"/>
            <w:vAlign w:val="center"/>
          </w:tcPr>
          <w:p w:rsidR="00D647CD" w:rsidRPr="00121E88" w:rsidRDefault="00D647CD" w:rsidP="00960382">
            <w:pPr>
              <w:keepNext/>
              <w:keepLines/>
              <w:jc w:val="left"/>
              <w:rPr>
                <w:rFonts w:ascii="Arial Narrow" w:hAnsi="Arial Narrow"/>
                <w:b/>
                <w:sz w:val="20"/>
              </w:rPr>
            </w:pPr>
            <w:r w:rsidRPr="00121E88">
              <w:rPr>
                <w:rFonts w:ascii="Arial Narrow" w:hAnsi="Arial Narrow"/>
                <w:b/>
                <w:sz w:val="20"/>
              </w:rPr>
              <w:t>PEARL II</w:t>
            </w:r>
          </w:p>
        </w:tc>
        <w:tc>
          <w:tcPr>
            <w:tcW w:w="1028" w:type="pct"/>
            <w:tcBorders>
              <w:top w:val="double" w:sz="4" w:space="0" w:color="auto"/>
              <w:bottom w:val="single" w:sz="8" w:space="0" w:color="auto"/>
            </w:tcBorders>
            <w:shd w:val="clear" w:color="auto" w:fill="auto"/>
            <w:vAlign w:val="center"/>
          </w:tcPr>
          <w:p w:rsidR="00D647CD" w:rsidRPr="00121E88" w:rsidRDefault="00D647CD" w:rsidP="00960382">
            <w:pPr>
              <w:keepNext/>
              <w:keepLines/>
              <w:jc w:val="center"/>
              <w:rPr>
                <w:rFonts w:ascii="Arial Narrow" w:hAnsi="Arial Narrow"/>
                <w:b/>
                <w:sz w:val="20"/>
              </w:rPr>
            </w:pPr>
            <w:proofErr w:type="spellStart"/>
            <w:r w:rsidRPr="00121E88">
              <w:rPr>
                <w:rFonts w:ascii="Arial Narrow" w:hAnsi="Arial Narrow"/>
                <w:b/>
                <w:sz w:val="20"/>
              </w:rPr>
              <w:t>Ulipristal</w:t>
            </w:r>
            <w:proofErr w:type="spellEnd"/>
            <w:r w:rsidRPr="00121E88">
              <w:rPr>
                <w:rFonts w:ascii="Arial Narrow" w:hAnsi="Arial Narrow"/>
                <w:b/>
                <w:sz w:val="20"/>
              </w:rPr>
              <w:t xml:space="preserve"> </w:t>
            </w:r>
            <w:r w:rsidR="00B413FC" w:rsidRPr="00121E88">
              <w:rPr>
                <w:rFonts w:ascii="Arial Narrow" w:hAnsi="Arial Narrow"/>
                <w:b/>
                <w:sz w:val="20"/>
              </w:rPr>
              <w:t>5 mg</w:t>
            </w:r>
          </w:p>
        </w:tc>
        <w:tc>
          <w:tcPr>
            <w:tcW w:w="1028" w:type="pct"/>
            <w:tcBorders>
              <w:top w:val="double" w:sz="4" w:space="0" w:color="auto"/>
              <w:bottom w:val="single" w:sz="8" w:space="0" w:color="auto"/>
            </w:tcBorders>
            <w:shd w:val="clear" w:color="auto" w:fill="auto"/>
            <w:vAlign w:val="center"/>
          </w:tcPr>
          <w:p w:rsidR="00D647CD" w:rsidRPr="00121E88" w:rsidRDefault="00D647CD" w:rsidP="00960382">
            <w:pPr>
              <w:keepNext/>
              <w:keepLines/>
              <w:jc w:val="center"/>
              <w:rPr>
                <w:rFonts w:ascii="Arial Narrow" w:hAnsi="Arial Narrow"/>
                <w:b/>
                <w:sz w:val="20"/>
              </w:rPr>
            </w:pPr>
            <w:proofErr w:type="spellStart"/>
            <w:r w:rsidRPr="00121E88">
              <w:rPr>
                <w:rFonts w:ascii="Arial Narrow" w:hAnsi="Arial Narrow"/>
                <w:b/>
                <w:sz w:val="20"/>
              </w:rPr>
              <w:t>Leuprorelin</w:t>
            </w:r>
            <w:proofErr w:type="spellEnd"/>
          </w:p>
        </w:tc>
        <w:tc>
          <w:tcPr>
            <w:tcW w:w="1130" w:type="pct"/>
            <w:tcBorders>
              <w:top w:val="double" w:sz="4" w:space="0" w:color="auto"/>
              <w:bottom w:val="single" w:sz="8" w:space="0" w:color="auto"/>
            </w:tcBorders>
            <w:shd w:val="clear" w:color="auto" w:fill="auto"/>
            <w:vAlign w:val="center"/>
          </w:tcPr>
          <w:p w:rsidR="00D647CD" w:rsidRPr="00121E88" w:rsidRDefault="00D647CD" w:rsidP="00960382">
            <w:pPr>
              <w:keepNext/>
              <w:keepLines/>
              <w:jc w:val="center"/>
              <w:rPr>
                <w:rFonts w:ascii="Arial Narrow" w:hAnsi="Arial Narrow"/>
                <w:b/>
                <w:sz w:val="20"/>
              </w:rPr>
            </w:pPr>
            <w:r w:rsidRPr="00121E88">
              <w:rPr>
                <w:rFonts w:ascii="Arial Narrow" w:hAnsi="Arial Narrow"/>
                <w:b/>
                <w:sz w:val="20"/>
              </w:rPr>
              <w:t xml:space="preserve">Absolute difference </w:t>
            </w:r>
          </w:p>
          <w:p w:rsidR="00D647CD" w:rsidRPr="00121E88" w:rsidRDefault="00D647CD" w:rsidP="00960382">
            <w:pPr>
              <w:keepNext/>
              <w:keepLines/>
              <w:jc w:val="center"/>
              <w:rPr>
                <w:rFonts w:ascii="Arial Narrow" w:hAnsi="Arial Narrow"/>
                <w:b/>
                <w:sz w:val="20"/>
              </w:rPr>
            </w:pPr>
            <w:r w:rsidRPr="00121E88">
              <w:rPr>
                <w:rFonts w:ascii="Arial Narrow" w:hAnsi="Arial Narrow"/>
                <w:b/>
                <w:sz w:val="20"/>
              </w:rPr>
              <w:t>(95% CI)</w:t>
            </w:r>
          </w:p>
        </w:tc>
        <w:tc>
          <w:tcPr>
            <w:tcW w:w="1131" w:type="pct"/>
            <w:tcBorders>
              <w:top w:val="double" w:sz="4" w:space="0" w:color="auto"/>
              <w:bottom w:val="single" w:sz="8" w:space="0" w:color="auto"/>
            </w:tcBorders>
            <w:shd w:val="clear" w:color="auto" w:fill="auto"/>
            <w:vAlign w:val="center"/>
          </w:tcPr>
          <w:p w:rsidR="00D647CD" w:rsidRPr="00121E88" w:rsidRDefault="00D647CD" w:rsidP="00960382">
            <w:pPr>
              <w:keepNext/>
              <w:keepLines/>
              <w:jc w:val="center"/>
              <w:rPr>
                <w:rFonts w:ascii="Arial Narrow" w:hAnsi="Arial Narrow"/>
                <w:b/>
                <w:sz w:val="20"/>
              </w:rPr>
            </w:pPr>
            <w:r w:rsidRPr="00121E88">
              <w:rPr>
                <w:rFonts w:ascii="Arial Narrow" w:hAnsi="Arial Narrow"/>
                <w:b/>
                <w:sz w:val="20"/>
              </w:rPr>
              <w:t>Relative risk</w:t>
            </w:r>
          </w:p>
          <w:p w:rsidR="00D647CD" w:rsidRPr="00121E88" w:rsidRDefault="00D647CD" w:rsidP="00960382">
            <w:pPr>
              <w:keepNext/>
              <w:keepLines/>
              <w:jc w:val="center"/>
              <w:rPr>
                <w:rFonts w:ascii="Arial Narrow" w:hAnsi="Arial Narrow"/>
                <w:b/>
                <w:sz w:val="20"/>
              </w:rPr>
            </w:pPr>
            <w:r w:rsidRPr="00121E88">
              <w:rPr>
                <w:rFonts w:ascii="Arial Narrow" w:hAnsi="Arial Narrow"/>
                <w:b/>
                <w:sz w:val="20"/>
              </w:rPr>
              <w:t>(95%</w:t>
            </w:r>
            <w:r w:rsidR="0024078A" w:rsidRPr="00121E88">
              <w:rPr>
                <w:rFonts w:ascii="Arial Narrow" w:hAnsi="Arial Narrow"/>
                <w:b/>
                <w:sz w:val="20"/>
              </w:rPr>
              <w:t xml:space="preserve"> </w:t>
            </w:r>
            <w:r w:rsidRPr="00121E88">
              <w:rPr>
                <w:rFonts w:ascii="Arial Narrow" w:hAnsi="Arial Narrow"/>
                <w:b/>
                <w:sz w:val="20"/>
              </w:rPr>
              <w:t>CI)</w:t>
            </w:r>
          </w:p>
        </w:tc>
      </w:tr>
      <w:tr w:rsidR="00D647CD" w:rsidRPr="00222597" w:rsidTr="00E10335">
        <w:tc>
          <w:tcPr>
            <w:tcW w:w="5000" w:type="pct"/>
            <w:gridSpan w:val="5"/>
            <w:tcBorders>
              <w:top w:val="single" w:sz="8" w:space="0" w:color="auto"/>
              <w:bottom w:val="single" w:sz="4" w:space="0" w:color="auto"/>
            </w:tcBorders>
            <w:shd w:val="clear" w:color="auto" w:fill="auto"/>
          </w:tcPr>
          <w:p w:rsidR="00D647CD" w:rsidRPr="00121E88" w:rsidRDefault="00D647CD" w:rsidP="00960382">
            <w:pPr>
              <w:keepNext/>
              <w:keepLines/>
              <w:jc w:val="left"/>
              <w:rPr>
                <w:rFonts w:ascii="Arial Narrow" w:hAnsi="Arial Narrow"/>
                <w:i/>
                <w:sz w:val="20"/>
              </w:rPr>
            </w:pPr>
            <w:r w:rsidRPr="00121E88">
              <w:rPr>
                <w:rFonts w:ascii="Arial Narrow" w:hAnsi="Arial Narrow"/>
                <w:i/>
                <w:sz w:val="20"/>
              </w:rPr>
              <w:t>PBA chart score &lt; 75 at Week 13</w:t>
            </w:r>
            <w:r w:rsidR="002C1CC9" w:rsidRPr="00121E88">
              <w:rPr>
                <w:rFonts w:ascii="Arial Narrow" w:hAnsi="Arial Narrow"/>
                <w:i/>
                <w:sz w:val="20"/>
                <w:vertAlign w:val="superscript"/>
              </w:rPr>
              <w:t>a</w:t>
            </w:r>
            <w:r w:rsidRPr="00121E88">
              <w:rPr>
                <w:rFonts w:ascii="Arial Narrow" w:hAnsi="Arial Narrow"/>
                <w:i/>
                <w:sz w:val="20"/>
              </w:rPr>
              <w:t>, n/N (%)</w:t>
            </w:r>
          </w:p>
        </w:tc>
      </w:tr>
      <w:tr w:rsidR="00D647CD" w:rsidRPr="00222597" w:rsidTr="00E10335">
        <w:tc>
          <w:tcPr>
            <w:tcW w:w="683" w:type="pct"/>
            <w:tcBorders>
              <w:bottom w:val="nil"/>
            </w:tcBorders>
            <w:shd w:val="clear" w:color="auto" w:fill="auto"/>
            <w:vAlign w:val="center"/>
          </w:tcPr>
          <w:p w:rsidR="00D647CD" w:rsidRPr="00121E88" w:rsidRDefault="002C1CC9" w:rsidP="00960382">
            <w:pPr>
              <w:keepNext/>
              <w:keepLines/>
              <w:ind w:left="81"/>
              <w:jc w:val="left"/>
              <w:rPr>
                <w:rFonts w:ascii="Arial Narrow" w:hAnsi="Arial Narrow"/>
                <w:sz w:val="20"/>
                <w:vertAlign w:val="superscript"/>
              </w:rPr>
            </w:pPr>
            <w:r w:rsidRPr="00121E88">
              <w:rPr>
                <w:rFonts w:ascii="Arial Narrow" w:hAnsi="Arial Narrow"/>
                <w:sz w:val="20"/>
              </w:rPr>
              <w:t>PP analysis</w:t>
            </w:r>
          </w:p>
        </w:tc>
        <w:tc>
          <w:tcPr>
            <w:tcW w:w="1028" w:type="pct"/>
            <w:tcBorders>
              <w:bottom w:val="nil"/>
            </w:tcBorders>
            <w:shd w:val="clear" w:color="auto" w:fill="auto"/>
          </w:tcPr>
          <w:p w:rsidR="00D647CD" w:rsidRPr="00121E88" w:rsidRDefault="00D647CD" w:rsidP="00960382">
            <w:pPr>
              <w:keepNext/>
              <w:keepLines/>
              <w:jc w:val="center"/>
              <w:rPr>
                <w:rFonts w:ascii="Arial Narrow" w:hAnsi="Arial Narrow"/>
                <w:sz w:val="20"/>
              </w:rPr>
            </w:pPr>
            <w:r w:rsidRPr="00222597">
              <w:rPr>
                <w:rFonts w:ascii="Arial Narrow" w:hAnsi="Arial Narrow"/>
                <w:sz w:val="20"/>
              </w:rPr>
              <w:t>84/93 (90.3%)</w:t>
            </w:r>
          </w:p>
        </w:tc>
        <w:tc>
          <w:tcPr>
            <w:tcW w:w="1028" w:type="pct"/>
            <w:tcBorders>
              <w:bottom w:val="nil"/>
            </w:tcBorders>
            <w:shd w:val="clear" w:color="auto" w:fill="auto"/>
          </w:tcPr>
          <w:p w:rsidR="00D647CD" w:rsidRPr="00121E88" w:rsidRDefault="00D647CD" w:rsidP="00960382">
            <w:pPr>
              <w:keepNext/>
              <w:keepLines/>
              <w:jc w:val="center"/>
              <w:rPr>
                <w:rFonts w:ascii="Arial Narrow" w:hAnsi="Arial Narrow"/>
                <w:sz w:val="20"/>
              </w:rPr>
            </w:pPr>
            <w:r w:rsidRPr="00222597">
              <w:rPr>
                <w:rFonts w:ascii="Arial Narrow" w:hAnsi="Arial Narrow"/>
                <w:sz w:val="20"/>
              </w:rPr>
              <w:t>82/92 (89.1%)</w:t>
            </w:r>
          </w:p>
        </w:tc>
        <w:tc>
          <w:tcPr>
            <w:tcW w:w="1130" w:type="pct"/>
            <w:tcBorders>
              <w:bottom w:val="nil"/>
            </w:tcBorders>
            <w:shd w:val="clear" w:color="auto" w:fill="auto"/>
          </w:tcPr>
          <w:p w:rsidR="00D647CD" w:rsidRPr="00121E88" w:rsidRDefault="00D647CD" w:rsidP="00960382">
            <w:pPr>
              <w:keepNext/>
              <w:keepLines/>
              <w:jc w:val="center"/>
              <w:rPr>
                <w:rFonts w:ascii="Arial Narrow" w:hAnsi="Arial Narrow"/>
                <w:sz w:val="20"/>
                <w:vertAlign w:val="superscript"/>
              </w:rPr>
            </w:pPr>
            <w:r w:rsidRPr="00222597">
              <w:rPr>
                <w:rFonts w:ascii="Arial Narrow" w:hAnsi="Arial Narrow"/>
                <w:sz w:val="20"/>
              </w:rPr>
              <w:t>1.2% (-9.3%, 11.8%)</w:t>
            </w:r>
            <w:r w:rsidR="000910E1" w:rsidRPr="00222597">
              <w:rPr>
                <w:rFonts w:ascii="Arial Narrow" w:hAnsi="Arial Narrow"/>
                <w:sz w:val="20"/>
                <w:vertAlign w:val="superscript"/>
              </w:rPr>
              <w:t>c</w:t>
            </w:r>
          </w:p>
        </w:tc>
        <w:tc>
          <w:tcPr>
            <w:tcW w:w="1131" w:type="pct"/>
            <w:tcBorders>
              <w:bottom w:val="nil"/>
            </w:tcBorders>
            <w:shd w:val="clear" w:color="auto" w:fill="auto"/>
          </w:tcPr>
          <w:p w:rsidR="00D647CD" w:rsidRPr="00121E88" w:rsidRDefault="00D647CD" w:rsidP="00960382">
            <w:pPr>
              <w:keepNext/>
              <w:keepLines/>
              <w:jc w:val="center"/>
              <w:rPr>
                <w:rFonts w:ascii="Arial Narrow" w:hAnsi="Arial Narrow"/>
                <w:sz w:val="20"/>
              </w:rPr>
            </w:pPr>
            <w:r w:rsidRPr="00222597">
              <w:rPr>
                <w:rFonts w:ascii="Arial Narrow" w:hAnsi="Arial Narrow"/>
                <w:i/>
                <w:sz w:val="20"/>
              </w:rPr>
              <w:t>1.01 (0.92, 1.12)</w:t>
            </w:r>
          </w:p>
        </w:tc>
      </w:tr>
      <w:tr w:rsidR="002C1CC9" w:rsidRPr="00222597" w:rsidTr="00E10335">
        <w:tc>
          <w:tcPr>
            <w:tcW w:w="683" w:type="pct"/>
            <w:tcBorders>
              <w:top w:val="nil"/>
              <w:bottom w:val="single" w:sz="8" w:space="0" w:color="auto"/>
            </w:tcBorders>
            <w:shd w:val="clear" w:color="auto" w:fill="auto"/>
            <w:vAlign w:val="center"/>
          </w:tcPr>
          <w:p w:rsidR="002C1CC9" w:rsidRPr="00121E88" w:rsidRDefault="002C1CC9" w:rsidP="00960382">
            <w:pPr>
              <w:keepNext/>
              <w:keepLines/>
              <w:ind w:left="81"/>
              <w:jc w:val="left"/>
              <w:rPr>
                <w:rFonts w:ascii="Arial Narrow" w:hAnsi="Arial Narrow"/>
                <w:sz w:val="20"/>
              </w:rPr>
            </w:pPr>
            <w:r w:rsidRPr="00121E88">
              <w:rPr>
                <w:rFonts w:ascii="Arial Narrow" w:hAnsi="Arial Narrow"/>
                <w:sz w:val="20"/>
              </w:rPr>
              <w:t>ITT analysis</w:t>
            </w:r>
          </w:p>
        </w:tc>
        <w:tc>
          <w:tcPr>
            <w:tcW w:w="1028" w:type="pct"/>
            <w:tcBorders>
              <w:top w:val="nil"/>
              <w:bottom w:val="single" w:sz="8" w:space="0" w:color="auto"/>
            </w:tcBorders>
            <w:shd w:val="clear" w:color="auto" w:fill="auto"/>
          </w:tcPr>
          <w:p w:rsidR="002C1CC9" w:rsidRPr="00222597" w:rsidRDefault="002C1CC9" w:rsidP="00960382">
            <w:pPr>
              <w:keepNext/>
              <w:keepLines/>
              <w:jc w:val="center"/>
              <w:rPr>
                <w:rFonts w:ascii="Arial Narrow" w:hAnsi="Arial Narrow"/>
                <w:sz w:val="20"/>
              </w:rPr>
            </w:pPr>
            <w:r w:rsidRPr="00222597">
              <w:rPr>
                <w:rFonts w:ascii="Arial Narrow" w:hAnsi="Arial Narrow"/>
                <w:sz w:val="20"/>
              </w:rPr>
              <w:t>90/98 (91.8%)</w:t>
            </w:r>
          </w:p>
        </w:tc>
        <w:tc>
          <w:tcPr>
            <w:tcW w:w="1028" w:type="pct"/>
            <w:tcBorders>
              <w:top w:val="nil"/>
              <w:bottom w:val="single" w:sz="8" w:space="0" w:color="auto"/>
            </w:tcBorders>
            <w:shd w:val="clear" w:color="auto" w:fill="auto"/>
          </w:tcPr>
          <w:p w:rsidR="002C1CC9" w:rsidRPr="00222597" w:rsidRDefault="002C1CC9" w:rsidP="00960382">
            <w:pPr>
              <w:keepNext/>
              <w:keepLines/>
              <w:jc w:val="center"/>
              <w:rPr>
                <w:rFonts w:ascii="Arial Narrow" w:hAnsi="Arial Narrow"/>
                <w:sz w:val="20"/>
              </w:rPr>
            </w:pPr>
            <w:r w:rsidRPr="00222597">
              <w:rPr>
                <w:rFonts w:ascii="Arial Narrow" w:hAnsi="Arial Narrow"/>
                <w:sz w:val="20"/>
              </w:rPr>
              <w:t>87/98 (88.8%)</w:t>
            </w:r>
          </w:p>
        </w:tc>
        <w:tc>
          <w:tcPr>
            <w:tcW w:w="1130" w:type="pct"/>
            <w:tcBorders>
              <w:top w:val="nil"/>
              <w:bottom w:val="single" w:sz="8" w:space="0" w:color="auto"/>
            </w:tcBorders>
            <w:shd w:val="clear" w:color="auto" w:fill="auto"/>
          </w:tcPr>
          <w:p w:rsidR="002C1CC9" w:rsidRPr="00030326" w:rsidRDefault="002C1CC9" w:rsidP="00960382">
            <w:pPr>
              <w:keepNext/>
              <w:keepLines/>
              <w:jc w:val="center"/>
              <w:rPr>
                <w:rFonts w:ascii="Arial Narrow" w:hAnsi="Arial Narrow"/>
                <w:sz w:val="20"/>
              </w:rPr>
            </w:pPr>
            <w:r w:rsidRPr="00030326">
              <w:rPr>
                <w:rFonts w:ascii="Arial Narrow" w:hAnsi="Arial Narrow"/>
                <w:sz w:val="20"/>
              </w:rPr>
              <w:t>3.1% (-6.9%, NR)</w:t>
            </w:r>
          </w:p>
        </w:tc>
        <w:tc>
          <w:tcPr>
            <w:tcW w:w="1131" w:type="pct"/>
            <w:tcBorders>
              <w:top w:val="nil"/>
              <w:bottom w:val="single" w:sz="8" w:space="0" w:color="auto"/>
            </w:tcBorders>
            <w:shd w:val="clear" w:color="auto" w:fill="auto"/>
          </w:tcPr>
          <w:p w:rsidR="002C1CC9" w:rsidRPr="00F368D9" w:rsidRDefault="002C1CC9" w:rsidP="00960382">
            <w:pPr>
              <w:keepNext/>
              <w:keepLines/>
              <w:jc w:val="center"/>
              <w:rPr>
                <w:rFonts w:ascii="Arial Narrow" w:hAnsi="Arial Narrow"/>
                <w:i/>
                <w:sz w:val="20"/>
              </w:rPr>
            </w:pPr>
          </w:p>
        </w:tc>
      </w:tr>
      <w:tr w:rsidR="00D647CD" w:rsidRPr="00222597" w:rsidTr="00E10335">
        <w:tc>
          <w:tcPr>
            <w:tcW w:w="5000" w:type="pct"/>
            <w:gridSpan w:val="5"/>
            <w:tcBorders>
              <w:top w:val="single" w:sz="8" w:space="0" w:color="auto"/>
              <w:bottom w:val="single" w:sz="4" w:space="0" w:color="auto"/>
            </w:tcBorders>
            <w:shd w:val="clear" w:color="auto" w:fill="auto"/>
          </w:tcPr>
          <w:p w:rsidR="00D647CD" w:rsidRPr="00121E88" w:rsidRDefault="00D647CD" w:rsidP="00960382">
            <w:pPr>
              <w:keepNext/>
              <w:keepLines/>
              <w:jc w:val="left"/>
              <w:rPr>
                <w:rFonts w:ascii="Arial Narrow" w:hAnsi="Arial Narrow"/>
                <w:i/>
                <w:sz w:val="20"/>
                <w:vertAlign w:val="superscript"/>
              </w:rPr>
            </w:pPr>
            <w:r w:rsidRPr="00121E88">
              <w:rPr>
                <w:rFonts w:ascii="Arial Narrow" w:hAnsi="Arial Narrow"/>
                <w:i/>
                <w:sz w:val="20"/>
              </w:rPr>
              <w:t>% change in total volume of 3 largest fibroids from screening to Week 13 (cm</w:t>
            </w:r>
            <w:r w:rsidRPr="00121E88">
              <w:rPr>
                <w:rFonts w:ascii="Arial Narrow" w:hAnsi="Arial Narrow"/>
                <w:i/>
                <w:sz w:val="20"/>
                <w:vertAlign w:val="superscript"/>
              </w:rPr>
              <w:t>3</w:t>
            </w:r>
            <w:r w:rsidRPr="00121E88">
              <w:rPr>
                <w:rFonts w:ascii="Arial Narrow" w:hAnsi="Arial Narrow"/>
                <w:i/>
                <w:sz w:val="20"/>
              </w:rPr>
              <w:t>)</w:t>
            </w:r>
          </w:p>
        </w:tc>
      </w:tr>
      <w:tr w:rsidR="00D647CD" w:rsidRPr="00222597" w:rsidTr="005C5376">
        <w:tc>
          <w:tcPr>
            <w:tcW w:w="683" w:type="pct"/>
            <w:tcBorders>
              <w:top w:val="single" w:sz="4" w:space="0" w:color="auto"/>
            </w:tcBorders>
            <w:shd w:val="clear" w:color="auto" w:fill="auto"/>
            <w:vAlign w:val="center"/>
          </w:tcPr>
          <w:p w:rsidR="00D647CD" w:rsidRPr="00121E88" w:rsidRDefault="00D647CD" w:rsidP="00960382">
            <w:pPr>
              <w:keepNext/>
              <w:keepLines/>
              <w:jc w:val="left"/>
              <w:rPr>
                <w:rFonts w:ascii="Arial Narrow" w:hAnsi="Arial Narrow"/>
                <w:sz w:val="20"/>
              </w:rPr>
            </w:pPr>
            <w:r w:rsidRPr="00121E88">
              <w:rPr>
                <w:rFonts w:ascii="Arial Narrow" w:hAnsi="Arial Narrow"/>
                <w:sz w:val="20"/>
              </w:rPr>
              <w:t>Median (range)</w:t>
            </w:r>
          </w:p>
        </w:tc>
        <w:tc>
          <w:tcPr>
            <w:tcW w:w="1028" w:type="pct"/>
            <w:tcBorders>
              <w:top w:val="single" w:sz="4" w:space="0" w:color="auto"/>
            </w:tcBorders>
            <w:shd w:val="clear" w:color="auto" w:fill="auto"/>
            <w:vAlign w:val="center"/>
          </w:tcPr>
          <w:p w:rsidR="00D647CD" w:rsidRPr="00222597" w:rsidRDefault="00D647CD" w:rsidP="00960382">
            <w:pPr>
              <w:keepNext/>
              <w:keepLines/>
              <w:jc w:val="center"/>
              <w:rPr>
                <w:rFonts w:ascii="Arial Narrow" w:hAnsi="Arial Narrow"/>
                <w:sz w:val="20"/>
              </w:rPr>
            </w:pPr>
            <w:r w:rsidRPr="00222597">
              <w:rPr>
                <w:rFonts w:ascii="Arial Narrow" w:hAnsi="Arial Narrow"/>
                <w:sz w:val="20"/>
              </w:rPr>
              <w:t xml:space="preserve">-35.6% </w:t>
            </w:r>
          </w:p>
          <w:p w:rsidR="00D647CD" w:rsidRPr="00121E88" w:rsidRDefault="00D647CD" w:rsidP="00960382">
            <w:pPr>
              <w:keepNext/>
              <w:keepLines/>
              <w:jc w:val="center"/>
              <w:rPr>
                <w:rFonts w:ascii="Arial Narrow" w:hAnsi="Arial Narrow"/>
                <w:sz w:val="20"/>
              </w:rPr>
            </w:pPr>
            <w:r w:rsidRPr="00222597">
              <w:rPr>
                <w:rFonts w:ascii="Arial Narrow" w:hAnsi="Arial Narrow"/>
                <w:sz w:val="20"/>
              </w:rPr>
              <w:t>(-98.0 to 230.8)</w:t>
            </w:r>
          </w:p>
        </w:tc>
        <w:tc>
          <w:tcPr>
            <w:tcW w:w="1028" w:type="pct"/>
            <w:tcBorders>
              <w:top w:val="single" w:sz="4" w:space="0" w:color="auto"/>
            </w:tcBorders>
            <w:shd w:val="clear" w:color="auto" w:fill="auto"/>
            <w:vAlign w:val="center"/>
          </w:tcPr>
          <w:p w:rsidR="00D647CD" w:rsidRPr="00222597" w:rsidRDefault="00D647CD" w:rsidP="00960382">
            <w:pPr>
              <w:keepNext/>
              <w:keepLines/>
              <w:jc w:val="center"/>
              <w:rPr>
                <w:rFonts w:ascii="Arial Narrow" w:hAnsi="Arial Narrow"/>
                <w:sz w:val="20"/>
              </w:rPr>
            </w:pPr>
            <w:r w:rsidRPr="00222597">
              <w:rPr>
                <w:rFonts w:ascii="Arial Narrow" w:hAnsi="Arial Narrow"/>
                <w:sz w:val="20"/>
              </w:rPr>
              <w:t>-53.5%</w:t>
            </w:r>
          </w:p>
          <w:p w:rsidR="00D647CD" w:rsidRPr="00121E88" w:rsidRDefault="00D647CD" w:rsidP="00960382">
            <w:pPr>
              <w:keepNext/>
              <w:keepLines/>
              <w:jc w:val="center"/>
              <w:rPr>
                <w:rFonts w:ascii="Arial Narrow" w:hAnsi="Arial Narrow"/>
                <w:sz w:val="20"/>
              </w:rPr>
            </w:pPr>
            <w:r w:rsidRPr="00222597">
              <w:rPr>
                <w:rFonts w:ascii="Arial Narrow" w:hAnsi="Arial Narrow"/>
                <w:sz w:val="20"/>
              </w:rPr>
              <w:t xml:space="preserve"> (</w:t>
            </w:r>
            <w:r w:rsidR="00F57135" w:rsidRPr="00222597">
              <w:rPr>
                <w:rFonts w:ascii="Arial Narrow" w:hAnsi="Arial Narrow"/>
                <w:sz w:val="20"/>
              </w:rPr>
              <w:t>-</w:t>
            </w:r>
            <w:r w:rsidRPr="00222597">
              <w:rPr>
                <w:rFonts w:ascii="Arial Narrow" w:hAnsi="Arial Narrow"/>
                <w:sz w:val="20"/>
              </w:rPr>
              <w:t>91.0 to 527.7)</w:t>
            </w:r>
          </w:p>
        </w:tc>
        <w:tc>
          <w:tcPr>
            <w:tcW w:w="1130" w:type="pct"/>
            <w:tcBorders>
              <w:top w:val="single" w:sz="4" w:space="0" w:color="auto"/>
            </w:tcBorders>
            <w:shd w:val="clear" w:color="auto" w:fill="auto"/>
            <w:vAlign w:val="center"/>
          </w:tcPr>
          <w:p w:rsidR="00D647CD" w:rsidRPr="00121E88" w:rsidRDefault="00D647CD" w:rsidP="00960382">
            <w:pPr>
              <w:keepNext/>
              <w:keepLines/>
              <w:jc w:val="center"/>
              <w:rPr>
                <w:rFonts w:ascii="Arial Narrow" w:hAnsi="Arial Narrow"/>
                <w:sz w:val="20"/>
              </w:rPr>
            </w:pPr>
          </w:p>
        </w:tc>
        <w:tc>
          <w:tcPr>
            <w:tcW w:w="1131" w:type="pct"/>
            <w:tcBorders>
              <w:top w:val="single" w:sz="4" w:space="0" w:color="auto"/>
            </w:tcBorders>
            <w:shd w:val="clear" w:color="auto" w:fill="auto"/>
            <w:vAlign w:val="center"/>
          </w:tcPr>
          <w:p w:rsidR="00D647CD" w:rsidRPr="00121E88" w:rsidRDefault="00D647CD" w:rsidP="00960382">
            <w:pPr>
              <w:keepNext/>
              <w:keepLines/>
              <w:jc w:val="center"/>
              <w:rPr>
                <w:rFonts w:ascii="Arial Narrow" w:hAnsi="Arial Narrow"/>
                <w:sz w:val="20"/>
              </w:rPr>
            </w:pPr>
          </w:p>
        </w:tc>
      </w:tr>
      <w:tr w:rsidR="00D647CD" w:rsidRPr="00222597" w:rsidTr="005C5376">
        <w:tc>
          <w:tcPr>
            <w:tcW w:w="5000" w:type="pct"/>
            <w:gridSpan w:val="5"/>
            <w:tcBorders>
              <w:bottom w:val="single" w:sz="4" w:space="0" w:color="auto"/>
            </w:tcBorders>
            <w:shd w:val="clear" w:color="auto" w:fill="auto"/>
          </w:tcPr>
          <w:p w:rsidR="00D647CD" w:rsidRPr="00121E88" w:rsidRDefault="00D647CD" w:rsidP="00960382">
            <w:pPr>
              <w:keepNext/>
              <w:keepLines/>
              <w:ind w:left="81"/>
              <w:jc w:val="left"/>
              <w:rPr>
                <w:rFonts w:ascii="Arial Narrow" w:hAnsi="Arial Narrow"/>
                <w:sz w:val="20"/>
              </w:rPr>
            </w:pPr>
            <w:r w:rsidRPr="00121E88">
              <w:rPr>
                <w:rFonts w:ascii="Arial Narrow" w:hAnsi="Arial Narrow"/>
                <w:sz w:val="20"/>
              </w:rPr>
              <w:t>Log</w:t>
            </w:r>
            <w:r w:rsidRPr="00121E88">
              <w:rPr>
                <w:rFonts w:ascii="Arial Narrow" w:hAnsi="Arial Narrow"/>
                <w:sz w:val="20"/>
                <w:vertAlign w:val="subscript"/>
              </w:rPr>
              <w:t>10</w:t>
            </w:r>
            <w:r w:rsidRPr="00121E88">
              <w:rPr>
                <w:rFonts w:ascii="Arial Narrow" w:hAnsi="Arial Narrow"/>
                <w:sz w:val="20"/>
              </w:rPr>
              <w:t xml:space="preserve"> volume, mean change (SE)</w:t>
            </w:r>
          </w:p>
        </w:tc>
      </w:tr>
      <w:tr w:rsidR="00D647CD" w:rsidRPr="00222597" w:rsidTr="00E10335">
        <w:tc>
          <w:tcPr>
            <w:tcW w:w="683" w:type="pct"/>
            <w:tcBorders>
              <w:bottom w:val="nil"/>
            </w:tcBorders>
            <w:shd w:val="clear" w:color="auto" w:fill="auto"/>
            <w:vAlign w:val="center"/>
          </w:tcPr>
          <w:p w:rsidR="00D647CD" w:rsidRPr="00121E88" w:rsidRDefault="00D647CD" w:rsidP="00960382">
            <w:pPr>
              <w:keepNext/>
              <w:keepLines/>
              <w:ind w:left="81"/>
              <w:jc w:val="left"/>
              <w:rPr>
                <w:rFonts w:ascii="Arial Narrow" w:hAnsi="Arial Narrow"/>
                <w:sz w:val="20"/>
              </w:rPr>
            </w:pPr>
            <w:r w:rsidRPr="00121E88">
              <w:rPr>
                <w:rFonts w:ascii="Arial Narrow" w:hAnsi="Arial Narrow"/>
                <w:sz w:val="20"/>
              </w:rPr>
              <w:t>PP analysis</w:t>
            </w:r>
          </w:p>
        </w:tc>
        <w:tc>
          <w:tcPr>
            <w:tcW w:w="1028" w:type="pct"/>
            <w:tcBorders>
              <w:bottom w:val="nil"/>
            </w:tcBorders>
            <w:shd w:val="clear" w:color="auto" w:fill="auto"/>
          </w:tcPr>
          <w:p w:rsidR="00D647CD" w:rsidRPr="00222597" w:rsidRDefault="00D647CD" w:rsidP="00960382">
            <w:pPr>
              <w:keepNext/>
              <w:keepLines/>
              <w:jc w:val="center"/>
              <w:rPr>
                <w:rFonts w:ascii="Arial Narrow" w:hAnsi="Arial Narrow"/>
                <w:sz w:val="20"/>
              </w:rPr>
            </w:pPr>
            <w:r w:rsidRPr="00222597">
              <w:rPr>
                <w:rFonts w:ascii="Arial Narrow" w:hAnsi="Arial Narrow"/>
                <w:sz w:val="20"/>
              </w:rPr>
              <w:t>-0.179 (0.037)</w:t>
            </w:r>
          </w:p>
        </w:tc>
        <w:tc>
          <w:tcPr>
            <w:tcW w:w="1028" w:type="pct"/>
            <w:tcBorders>
              <w:bottom w:val="nil"/>
            </w:tcBorders>
            <w:shd w:val="clear" w:color="auto" w:fill="auto"/>
          </w:tcPr>
          <w:p w:rsidR="00D647CD" w:rsidRPr="00222597" w:rsidRDefault="00D647CD" w:rsidP="00960382">
            <w:pPr>
              <w:keepNext/>
              <w:keepLines/>
              <w:jc w:val="center"/>
              <w:rPr>
                <w:rFonts w:ascii="Arial Narrow" w:hAnsi="Arial Narrow"/>
                <w:sz w:val="20"/>
              </w:rPr>
            </w:pPr>
            <w:r w:rsidRPr="00222597">
              <w:rPr>
                <w:rFonts w:ascii="Arial Narrow" w:hAnsi="Arial Narrow"/>
                <w:sz w:val="20"/>
              </w:rPr>
              <w:t>-0.268 (0.037)</w:t>
            </w:r>
          </w:p>
        </w:tc>
        <w:tc>
          <w:tcPr>
            <w:tcW w:w="1130" w:type="pct"/>
            <w:tcBorders>
              <w:bottom w:val="nil"/>
            </w:tcBorders>
            <w:shd w:val="clear" w:color="auto" w:fill="auto"/>
          </w:tcPr>
          <w:p w:rsidR="00D647CD" w:rsidRPr="00030326" w:rsidRDefault="00D647CD" w:rsidP="00960382">
            <w:pPr>
              <w:keepNext/>
              <w:keepLines/>
              <w:jc w:val="center"/>
              <w:rPr>
                <w:rFonts w:ascii="Arial Narrow" w:hAnsi="Arial Narrow"/>
                <w:sz w:val="20"/>
              </w:rPr>
            </w:pPr>
            <w:r w:rsidRPr="00030326">
              <w:rPr>
                <w:rFonts w:ascii="Arial Narrow" w:hAnsi="Arial Narrow"/>
                <w:sz w:val="20"/>
              </w:rPr>
              <w:t>0.089 (-0.003, 0.181)</w:t>
            </w:r>
          </w:p>
        </w:tc>
        <w:tc>
          <w:tcPr>
            <w:tcW w:w="1131" w:type="pct"/>
            <w:tcBorders>
              <w:bottom w:val="nil"/>
            </w:tcBorders>
            <w:shd w:val="clear" w:color="auto" w:fill="auto"/>
            <w:vAlign w:val="center"/>
          </w:tcPr>
          <w:p w:rsidR="00D647CD" w:rsidRPr="00121E88" w:rsidRDefault="00D647CD" w:rsidP="00960382">
            <w:pPr>
              <w:keepNext/>
              <w:keepLines/>
              <w:jc w:val="center"/>
              <w:rPr>
                <w:rFonts w:ascii="Arial Narrow" w:hAnsi="Arial Narrow"/>
                <w:sz w:val="20"/>
              </w:rPr>
            </w:pPr>
          </w:p>
        </w:tc>
      </w:tr>
      <w:tr w:rsidR="00D647CD" w:rsidRPr="00222597" w:rsidTr="00E10335">
        <w:tc>
          <w:tcPr>
            <w:tcW w:w="683" w:type="pct"/>
            <w:tcBorders>
              <w:top w:val="nil"/>
              <w:bottom w:val="single" w:sz="8" w:space="0" w:color="auto"/>
            </w:tcBorders>
            <w:shd w:val="clear" w:color="auto" w:fill="auto"/>
            <w:vAlign w:val="center"/>
          </w:tcPr>
          <w:p w:rsidR="00D647CD" w:rsidRPr="00121E88" w:rsidRDefault="00D647CD" w:rsidP="00960382">
            <w:pPr>
              <w:keepNext/>
              <w:keepLines/>
              <w:ind w:left="81"/>
              <w:jc w:val="left"/>
              <w:rPr>
                <w:rFonts w:ascii="Arial Narrow" w:hAnsi="Arial Narrow"/>
                <w:sz w:val="20"/>
              </w:rPr>
            </w:pPr>
            <w:r w:rsidRPr="00121E88">
              <w:rPr>
                <w:rFonts w:ascii="Arial Narrow" w:hAnsi="Arial Narrow"/>
                <w:sz w:val="20"/>
              </w:rPr>
              <w:t>ITT analysis</w:t>
            </w:r>
          </w:p>
        </w:tc>
        <w:tc>
          <w:tcPr>
            <w:tcW w:w="1028" w:type="pct"/>
            <w:tcBorders>
              <w:top w:val="nil"/>
              <w:bottom w:val="single" w:sz="8" w:space="0" w:color="auto"/>
            </w:tcBorders>
            <w:shd w:val="clear" w:color="auto" w:fill="auto"/>
          </w:tcPr>
          <w:p w:rsidR="00D647CD" w:rsidRPr="00222597" w:rsidRDefault="00D647CD" w:rsidP="00960382">
            <w:pPr>
              <w:keepNext/>
              <w:keepLines/>
              <w:jc w:val="center"/>
              <w:rPr>
                <w:rFonts w:ascii="Arial Narrow" w:hAnsi="Arial Narrow"/>
                <w:sz w:val="20"/>
              </w:rPr>
            </w:pPr>
            <w:r w:rsidRPr="00222597">
              <w:rPr>
                <w:rFonts w:ascii="Arial Narrow" w:hAnsi="Arial Narrow"/>
                <w:sz w:val="20"/>
              </w:rPr>
              <w:t>-0.179 (0.036)</w:t>
            </w:r>
          </w:p>
        </w:tc>
        <w:tc>
          <w:tcPr>
            <w:tcW w:w="1028" w:type="pct"/>
            <w:tcBorders>
              <w:top w:val="nil"/>
              <w:bottom w:val="single" w:sz="8" w:space="0" w:color="auto"/>
            </w:tcBorders>
            <w:shd w:val="clear" w:color="auto" w:fill="auto"/>
          </w:tcPr>
          <w:p w:rsidR="00D647CD" w:rsidRPr="00222597" w:rsidRDefault="00D647CD" w:rsidP="00960382">
            <w:pPr>
              <w:keepNext/>
              <w:keepLines/>
              <w:jc w:val="center"/>
              <w:rPr>
                <w:rFonts w:ascii="Arial Narrow" w:hAnsi="Arial Narrow"/>
                <w:sz w:val="20"/>
              </w:rPr>
            </w:pPr>
            <w:r w:rsidRPr="00222597">
              <w:rPr>
                <w:rFonts w:ascii="Arial Narrow" w:hAnsi="Arial Narrow"/>
                <w:sz w:val="20"/>
              </w:rPr>
              <w:t>-0.215 (0.036)</w:t>
            </w:r>
          </w:p>
        </w:tc>
        <w:tc>
          <w:tcPr>
            <w:tcW w:w="1130" w:type="pct"/>
            <w:tcBorders>
              <w:top w:val="nil"/>
              <w:bottom w:val="single" w:sz="8" w:space="0" w:color="auto"/>
            </w:tcBorders>
            <w:shd w:val="clear" w:color="auto" w:fill="auto"/>
          </w:tcPr>
          <w:p w:rsidR="00D647CD" w:rsidRPr="00030326" w:rsidRDefault="00D647CD" w:rsidP="00960382">
            <w:pPr>
              <w:keepNext/>
              <w:keepLines/>
              <w:jc w:val="center"/>
              <w:rPr>
                <w:rFonts w:ascii="Arial Narrow" w:hAnsi="Arial Narrow"/>
                <w:b/>
                <w:sz w:val="20"/>
              </w:rPr>
            </w:pPr>
            <w:r w:rsidRPr="00030326">
              <w:rPr>
                <w:rFonts w:ascii="Arial Narrow" w:hAnsi="Arial Narrow"/>
                <w:b/>
                <w:sz w:val="20"/>
              </w:rPr>
              <w:t>0.095 (0.005, 0.186)</w:t>
            </w:r>
          </w:p>
        </w:tc>
        <w:tc>
          <w:tcPr>
            <w:tcW w:w="1131" w:type="pct"/>
            <w:tcBorders>
              <w:top w:val="nil"/>
              <w:bottom w:val="single" w:sz="8" w:space="0" w:color="auto"/>
            </w:tcBorders>
            <w:shd w:val="clear" w:color="auto" w:fill="auto"/>
            <w:vAlign w:val="center"/>
          </w:tcPr>
          <w:p w:rsidR="00D647CD" w:rsidRPr="00121E88" w:rsidRDefault="00D647CD" w:rsidP="00960382">
            <w:pPr>
              <w:keepNext/>
              <w:keepLines/>
              <w:jc w:val="center"/>
              <w:rPr>
                <w:rFonts w:ascii="Arial Narrow" w:hAnsi="Arial Narrow"/>
                <w:sz w:val="20"/>
              </w:rPr>
            </w:pPr>
          </w:p>
        </w:tc>
      </w:tr>
      <w:tr w:rsidR="00D647CD" w:rsidRPr="00222597" w:rsidTr="00E10335">
        <w:tc>
          <w:tcPr>
            <w:tcW w:w="5000" w:type="pct"/>
            <w:gridSpan w:val="5"/>
            <w:tcBorders>
              <w:top w:val="single" w:sz="8" w:space="0" w:color="auto"/>
            </w:tcBorders>
            <w:shd w:val="clear" w:color="auto" w:fill="auto"/>
          </w:tcPr>
          <w:p w:rsidR="00D647CD" w:rsidRPr="00121E88" w:rsidRDefault="00D647CD" w:rsidP="00960382">
            <w:pPr>
              <w:keepNext/>
              <w:keepLines/>
              <w:jc w:val="left"/>
              <w:rPr>
                <w:rFonts w:ascii="Arial Narrow" w:hAnsi="Arial Narrow"/>
                <w:i/>
                <w:sz w:val="20"/>
              </w:rPr>
            </w:pPr>
            <w:r w:rsidRPr="00121E88">
              <w:rPr>
                <w:rFonts w:ascii="Arial Narrow" w:hAnsi="Arial Narrow"/>
                <w:i/>
                <w:sz w:val="20"/>
              </w:rPr>
              <w:t>% change in uterine volume from screening to Week 13 (cm</w:t>
            </w:r>
            <w:r w:rsidRPr="00121E88">
              <w:rPr>
                <w:rFonts w:ascii="Arial Narrow" w:hAnsi="Arial Narrow"/>
                <w:i/>
                <w:sz w:val="20"/>
                <w:vertAlign w:val="superscript"/>
              </w:rPr>
              <w:t>3</w:t>
            </w:r>
            <w:r w:rsidRPr="00121E88">
              <w:rPr>
                <w:rFonts w:ascii="Arial Narrow" w:hAnsi="Arial Narrow"/>
                <w:i/>
                <w:sz w:val="20"/>
              </w:rPr>
              <w:t>)</w:t>
            </w:r>
          </w:p>
        </w:tc>
      </w:tr>
      <w:tr w:rsidR="00D647CD" w:rsidRPr="00222597" w:rsidTr="005C5376">
        <w:tc>
          <w:tcPr>
            <w:tcW w:w="683" w:type="pct"/>
            <w:shd w:val="clear" w:color="auto" w:fill="auto"/>
            <w:vAlign w:val="center"/>
          </w:tcPr>
          <w:p w:rsidR="00D647CD" w:rsidRPr="00222597" w:rsidRDefault="00D647CD" w:rsidP="00960382">
            <w:pPr>
              <w:keepNext/>
              <w:keepLines/>
              <w:jc w:val="left"/>
              <w:rPr>
                <w:rFonts w:ascii="Arial Narrow" w:hAnsi="Arial Narrow"/>
                <w:sz w:val="20"/>
              </w:rPr>
            </w:pPr>
            <w:r w:rsidRPr="00222597">
              <w:rPr>
                <w:rFonts w:ascii="Arial Narrow" w:hAnsi="Arial Narrow"/>
                <w:sz w:val="20"/>
              </w:rPr>
              <w:t>Mean (SD)</w:t>
            </w:r>
          </w:p>
        </w:tc>
        <w:tc>
          <w:tcPr>
            <w:tcW w:w="1028" w:type="pct"/>
            <w:shd w:val="clear" w:color="auto" w:fill="auto"/>
            <w:vAlign w:val="center"/>
          </w:tcPr>
          <w:p w:rsidR="00D647CD" w:rsidRPr="00121E88" w:rsidRDefault="00D647CD" w:rsidP="00960382">
            <w:pPr>
              <w:keepNext/>
              <w:keepLines/>
              <w:jc w:val="center"/>
              <w:rPr>
                <w:rFonts w:ascii="Arial Narrow" w:hAnsi="Arial Narrow"/>
                <w:sz w:val="20"/>
              </w:rPr>
            </w:pPr>
            <w:r w:rsidRPr="00222597">
              <w:rPr>
                <w:rFonts w:ascii="Arial Narrow" w:hAnsi="Arial Narrow"/>
                <w:sz w:val="20"/>
              </w:rPr>
              <w:t>-1.3% (123.8)</w:t>
            </w:r>
          </w:p>
        </w:tc>
        <w:tc>
          <w:tcPr>
            <w:tcW w:w="1028" w:type="pct"/>
            <w:shd w:val="clear" w:color="auto" w:fill="auto"/>
            <w:vAlign w:val="center"/>
          </w:tcPr>
          <w:p w:rsidR="00D647CD" w:rsidRPr="00121E88" w:rsidRDefault="00D647CD" w:rsidP="00960382">
            <w:pPr>
              <w:keepNext/>
              <w:keepLines/>
              <w:jc w:val="center"/>
              <w:rPr>
                <w:rFonts w:ascii="Arial Narrow" w:hAnsi="Arial Narrow"/>
                <w:sz w:val="20"/>
              </w:rPr>
            </w:pPr>
            <w:r w:rsidRPr="00222597">
              <w:rPr>
                <w:rFonts w:ascii="Arial Narrow" w:hAnsi="Arial Narrow"/>
                <w:sz w:val="20"/>
              </w:rPr>
              <w:t>-39.0% (38.6)</w:t>
            </w:r>
          </w:p>
        </w:tc>
        <w:tc>
          <w:tcPr>
            <w:tcW w:w="1130" w:type="pct"/>
            <w:shd w:val="clear" w:color="auto" w:fill="auto"/>
            <w:vAlign w:val="center"/>
          </w:tcPr>
          <w:p w:rsidR="00D647CD" w:rsidRPr="00121E88" w:rsidRDefault="00D647CD" w:rsidP="00960382">
            <w:pPr>
              <w:keepNext/>
              <w:keepLines/>
              <w:jc w:val="center"/>
              <w:rPr>
                <w:rFonts w:ascii="Arial Narrow" w:hAnsi="Arial Narrow"/>
                <w:sz w:val="20"/>
              </w:rPr>
            </w:pPr>
          </w:p>
        </w:tc>
        <w:tc>
          <w:tcPr>
            <w:tcW w:w="1131" w:type="pct"/>
            <w:shd w:val="clear" w:color="auto" w:fill="auto"/>
            <w:vAlign w:val="center"/>
          </w:tcPr>
          <w:p w:rsidR="00D647CD" w:rsidRPr="00121E88" w:rsidRDefault="00D647CD" w:rsidP="00960382">
            <w:pPr>
              <w:keepNext/>
              <w:keepLines/>
              <w:jc w:val="center"/>
              <w:rPr>
                <w:rFonts w:ascii="Arial Narrow" w:hAnsi="Arial Narrow"/>
                <w:sz w:val="20"/>
              </w:rPr>
            </w:pPr>
          </w:p>
        </w:tc>
      </w:tr>
      <w:tr w:rsidR="00D647CD" w:rsidRPr="00222597" w:rsidTr="005C5376">
        <w:tc>
          <w:tcPr>
            <w:tcW w:w="5000" w:type="pct"/>
            <w:gridSpan w:val="5"/>
            <w:tcBorders>
              <w:bottom w:val="single" w:sz="4" w:space="0" w:color="auto"/>
            </w:tcBorders>
            <w:shd w:val="clear" w:color="auto" w:fill="auto"/>
          </w:tcPr>
          <w:p w:rsidR="00D647CD" w:rsidRPr="00121E88" w:rsidRDefault="00D647CD" w:rsidP="00960382">
            <w:pPr>
              <w:keepNext/>
              <w:keepLines/>
              <w:ind w:left="81"/>
              <w:jc w:val="left"/>
              <w:rPr>
                <w:rFonts w:ascii="Arial Narrow" w:hAnsi="Arial Narrow"/>
                <w:sz w:val="20"/>
              </w:rPr>
            </w:pPr>
            <w:r w:rsidRPr="00121E88">
              <w:rPr>
                <w:rFonts w:ascii="Arial Narrow" w:hAnsi="Arial Narrow"/>
                <w:sz w:val="20"/>
              </w:rPr>
              <w:t>Log</w:t>
            </w:r>
            <w:r w:rsidRPr="00121E88">
              <w:rPr>
                <w:rFonts w:ascii="Arial Narrow" w:hAnsi="Arial Narrow"/>
                <w:sz w:val="20"/>
                <w:vertAlign w:val="subscript"/>
              </w:rPr>
              <w:t>10</w:t>
            </w:r>
            <w:r w:rsidRPr="00121E88">
              <w:rPr>
                <w:rFonts w:ascii="Arial Narrow" w:hAnsi="Arial Narrow"/>
                <w:sz w:val="20"/>
              </w:rPr>
              <w:t xml:space="preserve"> volume, mean change (SE)</w:t>
            </w:r>
          </w:p>
        </w:tc>
      </w:tr>
      <w:tr w:rsidR="00D647CD" w:rsidRPr="00222597" w:rsidTr="005C5376">
        <w:tc>
          <w:tcPr>
            <w:tcW w:w="683" w:type="pct"/>
            <w:tcBorders>
              <w:bottom w:val="nil"/>
            </w:tcBorders>
            <w:shd w:val="clear" w:color="auto" w:fill="auto"/>
            <w:vAlign w:val="center"/>
          </w:tcPr>
          <w:p w:rsidR="00D647CD" w:rsidRPr="00121E88" w:rsidRDefault="00D647CD" w:rsidP="00960382">
            <w:pPr>
              <w:keepNext/>
              <w:keepLines/>
              <w:ind w:left="81"/>
              <w:jc w:val="left"/>
              <w:rPr>
                <w:rFonts w:ascii="Arial Narrow" w:hAnsi="Arial Narrow"/>
                <w:sz w:val="20"/>
              </w:rPr>
            </w:pPr>
            <w:r w:rsidRPr="00121E88">
              <w:rPr>
                <w:rFonts w:ascii="Arial Narrow" w:hAnsi="Arial Narrow"/>
                <w:sz w:val="20"/>
              </w:rPr>
              <w:t>PP analysis</w:t>
            </w:r>
          </w:p>
        </w:tc>
        <w:tc>
          <w:tcPr>
            <w:tcW w:w="1028" w:type="pct"/>
            <w:tcBorders>
              <w:bottom w:val="nil"/>
            </w:tcBorders>
            <w:shd w:val="clear" w:color="auto" w:fill="auto"/>
            <w:vAlign w:val="center"/>
          </w:tcPr>
          <w:p w:rsidR="00D647CD" w:rsidRPr="00121E88" w:rsidRDefault="00D647CD" w:rsidP="00960382">
            <w:pPr>
              <w:keepNext/>
              <w:keepLines/>
              <w:jc w:val="center"/>
              <w:rPr>
                <w:rFonts w:ascii="Arial Narrow" w:hAnsi="Arial Narrow"/>
                <w:sz w:val="20"/>
              </w:rPr>
            </w:pPr>
            <w:r w:rsidRPr="00222597">
              <w:rPr>
                <w:rFonts w:ascii="Arial Narrow" w:hAnsi="Arial Narrow"/>
                <w:sz w:val="20"/>
              </w:rPr>
              <w:t>-0.077 (0.029)</w:t>
            </w:r>
          </w:p>
        </w:tc>
        <w:tc>
          <w:tcPr>
            <w:tcW w:w="1028" w:type="pct"/>
            <w:tcBorders>
              <w:bottom w:val="nil"/>
            </w:tcBorders>
            <w:shd w:val="clear" w:color="auto" w:fill="auto"/>
            <w:vAlign w:val="center"/>
          </w:tcPr>
          <w:p w:rsidR="00D647CD" w:rsidRPr="00121E88" w:rsidRDefault="00D647CD" w:rsidP="00960382">
            <w:pPr>
              <w:keepNext/>
              <w:keepLines/>
              <w:jc w:val="center"/>
              <w:rPr>
                <w:rFonts w:ascii="Arial Narrow" w:hAnsi="Arial Narrow"/>
                <w:sz w:val="20"/>
              </w:rPr>
            </w:pPr>
            <w:r w:rsidRPr="00222597">
              <w:rPr>
                <w:rFonts w:ascii="Arial Narrow" w:hAnsi="Arial Narrow"/>
                <w:sz w:val="20"/>
              </w:rPr>
              <w:t>-0.246 (0.028)</w:t>
            </w:r>
          </w:p>
        </w:tc>
        <w:tc>
          <w:tcPr>
            <w:tcW w:w="1130" w:type="pct"/>
            <w:tcBorders>
              <w:bottom w:val="nil"/>
            </w:tcBorders>
            <w:shd w:val="clear" w:color="auto" w:fill="auto"/>
            <w:vAlign w:val="center"/>
          </w:tcPr>
          <w:p w:rsidR="00D647CD" w:rsidRPr="00121E88" w:rsidRDefault="00D647CD" w:rsidP="00960382">
            <w:pPr>
              <w:keepNext/>
              <w:keepLines/>
              <w:jc w:val="center"/>
              <w:rPr>
                <w:rFonts w:ascii="Arial Narrow" w:hAnsi="Arial Narrow"/>
                <w:b/>
                <w:sz w:val="20"/>
              </w:rPr>
            </w:pPr>
            <w:r w:rsidRPr="00222597">
              <w:rPr>
                <w:rFonts w:ascii="Arial Narrow" w:hAnsi="Arial Narrow"/>
                <w:b/>
                <w:sz w:val="20"/>
              </w:rPr>
              <w:t>0.169 (0.097, 0.241)</w:t>
            </w:r>
          </w:p>
        </w:tc>
        <w:tc>
          <w:tcPr>
            <w:tcW w:w="1131" w:type="pct"/>
            <w:tcBorders>
              <w:bottom w:val="nil"/>
            </w:tcBorders>
            <w:shd w:val="clear" w:color="auto" w:fill="auto"/>
            <w:vAlign w:val="center"/>
          </w:tcPr>
          <w:p w:rsidR="00D647CD" w:rsidRPr="00121E88" w:rsidRDefault="00D647CD" w:rsidP="00960382">
            <w:pPr>
              <w:keepNext/>
              <w:keepLines/>
              <w:jc w:val="center"/>
              <w:rPr>
                <w:rFonts w:ascii="Arial Narrow" w:hAnsi="Arial Narrow"/>
                <w:sz w:val="20"/>
              </w:rPr>
            </w:pPr>
          </w:p>
        </w:tc>
      </w:tr>
      <w:tr w:rsidR="00D647CD" w:rsidRPr="00222597" w:rsidTr="005C5376">
        <w:tc>
          <w:tcPr>
            <w:tcW w:w="683" w:type="pct"/>
            <w:tcBorders>
              <w:top w:val="nil"/>
            </w:tcBorders>
            <w:shd w:val="clear" w:color="auto" w:fill="auto"/>
            <w:vAlign w:val="center"/>
          </w:tcPr>
          <w:p w:rsidR="00D647CD" w:rsidRPr="00121E88" w:rsidRDefault="00D647CD" w:rsidP="00960382">
            <w:pPr>
              <w:keepNext/>
              <w:keepLines/>
              <w:ind w:left="81"/>
              <w:jc w:val="left"/>
              <w:rPr>
                <w:rFonts w:ascii="Arial Narrow" w:hAnsi="Arial Narrow"/>
                <w:sz w:val="20"/>
              </w:rPr>
            </w:pPr>
            <w:r w:rsidRPr="00121E88">
              <w:rPr>
                <w:rFonts w:ascii="Arial Narrow" w:hAnsi="Arial Narrow"/>
                <w:sz w:val="20"/>
              </w:rPr>
              <w:t>ITT analysis</w:t>
            </w:r>
          </w:p>
        </w:tc>
        <w:tc>
          <w:tcPr>
            <w:tcW w:w="1028" w:type="pct"/>
            <w:tcBorders>
              <w:top w:val="nil"/>
            </w:tcBorders>
            <w:shd w:val="clear" w:color="auto" w:fill="auto"/>
          </w:tcPr>
          <w:p w:rsidR="00D647CD" w:rsidRPr="00121E88" w:rsidRDefault="00D647CD" w:rsidP="00960382">
            <w:pPr>
              <w:keepNext/>
              <w:keepLines/>
              <w:jc w:val="center"/>
              <w:rPr>
                <w:rFonts w:ascii="Arial Narrow" w:hAnsi="Arial Narrow"/>
                <w:sz w:val="20"/>
              </w:rPr>
            </w:pPr>
            <w:r w:rsidRPr="00222597">
              <w:rPr>
                <w:rFonts w:ascii="Arial Narrow" w:hAnsi="Arial Narrow"/>
                <w:sz w:val="20"/>
              </w:rPr>
              <w:t>-0.079 (0.028)</w:t>
            </w:r>
          </w:p>
        </w:tc>
        <w:tc>
          <w:tcPr>
            <w:tcW w:w="1028" w:type="pct"/>
            <w:tcBorders>
              <w:top w:val="nil"/>
            </w:tcBorders>
            <w:shd w:val="clear" w:color="auto" w:fill="auto"/>
          </w:tcPr>
          <w:p w:rsidR="00D647CD" w:rsidRPr="00121E88" w:rsidRDefault="00D647CD" w:rsidP="00960382">
            <w:pPr>
              <w:keepNext/>
              <w:keepLines/>
              <w:jc w:val="center"/>
              <w:rPr>
                <w:rFonts w:ascii="Arial Narrow" w:hAnsi="Arial Narrow"/>
                <w:sz w:val="20"/>
              </w:rPr>
            </w:pPr>
            <w:r w:rsidRPr="00222597">
              <w:rPr>
                <w:rFonts w:ascii="Arial Narrow" w:hAnsi="Arial Narrow"/>
                <w:sz w:val="20"/>
              </w:rPr>
              <w:t>-0.240 (0.028)</w:t>
            </w:r>
          </w:p>
        </w:tc>
        <w:tc>
          <w:tcPr>
            <w:tcW w:w="1130" w:type="pct"/>
            <w:tcBorders>
              <w:top w:val="nil"/>
            </w:tcBorders>
            <w:shd w:val="clear" w:color="auto" w:fill="auto"/>
          </w:tcPr>
          <w:p w:rsidR="00D647CD" w:rsidRPr="00121E88" w:rsidRDefault="00D647CD" w:rsidP="00960382">
            <w:pPr>
              <w:keepNext/>
              <w:keepLines/>
              <w:jc w:val="center"/>
              <w:rPr>
                <w:rFonts w:ascii="Arial Narrow" w:hAnsi="Arial Narrow"/>
                <w:b/>
                <w:sz w:val="20"/>
              </w:rPr>
            </w:pPr>
            <w:r w:rsidRPr="00222597">
              <w:rPr>
                <w:rFonts w:ascii="Arial Narrow" w:hAnsi="Arial Narrow"/>
                <w:b/>
                <w:sz w:val="20"/>
              </w:rPr>
              <w:t>0.161 (0.091, 0.232)</w:t>
            </w:r>
          </w:p>
        </w:tc>
        <w:tc>
          <w:tcPr>
            <w:tcW w:w="1131" w:type="pct"/>
            <w:tcBorders>
              <w:top w:val="nil"/>
            </w:tcBorders>
            <w:shd w:val="clear" w:color="auto" w:fill="auto"/>
            <w:vAlign w:val="center"/>
          </w:tcPr>
          <w:p w:rsidR="00D647CD" w:rsidRPr="00121E88" w:rsidRDefault="00D647CD" w:rsidP="00960382">
            <w:pPr>
              <w:keepNext/>
              <w:keepLines/>
              <w:jc w:val="center"/>
              <w:rPr>
                <w:rFonts w:ascii="Arial Narrow" w:hAnsi="Arial Narrow"/>
                <w:sz w:val="20"/>
              </w:rPr>
            </w:pPr>
          </w:p>
        </w:tc>
      </w:tr>
    </w:tbl>
    <w:p w:rsidR="00582936" w:rsidRPr="00222597" w:rsidRDefault="00582936" w:rsidP="00960382">
      <w:pPr>
        <w:pStyle w:val="TableFooter"/>
        <w:keepNext/>
        <w:keepLines/>
        <w:ind w:left="709"/>
      </w:pPr>
      <w:r w:rsidRPr="00222597">
        <w:t xml:space="preserve">PBA = pictorial blood-loss assessment; CI = confidence interval; </w:t>
      </w:r>
      <w:r w:rsidR="002C1CC9" w:rsidRPr="00222597">
        <w:t xml:space="preserve">NR = not reported; </w:t>
      </w:r>
      <w:r w:rsidRPr="00222597">
        <w:t>SD = standard deviation; SE = standard error; PP = per protocol; ITT = intention to treat; LOCF = last observation carried forward.</w:t>
      </w:r>
    </w:p>
    <w:p w:rsidR="00D647CD" w:rsidRPr="00222597" w:rsidRDefault="00D647CD" w:rsidP="00960382">
      <w:pPr>
        <w:pStyle w:val="TableFooter"/>
        <w:keepNext/>
        <w:keepLines/>
        <w:ind w:left="709"/>
      </w:pPr>
      <w:proofErr w:type="gramStart"/>
      <w:r w:rsidRPr="00222597">
        <w:rPr>
          <w:vertAlign w:val="superscript"/>
        </w:rPr>
        <w:t>a</w:t>
      </w:r>
      <w:proofErr w:type="gramEnd"/>
      <w:r w:rsidRPr="00222597">
        <w:t xml:space="preserve"> L</w:t>
      </w:r>
      <w:r w:rsidR="00BC2991" w:rsidRPr="00222597">
        <w:t>ast observation carried forward</w:t>
      </w:r>
    </w:p>
    <w:p w:rsidR="00D647CD" w:rsidRPr="00222597" w:rsidRDefault="00D647CD" w:rsidP="00960382">
      <w:pPr>
        <w:pStyle w:val="TableFooter"/>
        <w:keepNext/>
        <w:keepLines/>
        <w:ind w:left="709"/>
      </w:pPr>
      <w:proofErr w:type="gramStart"/>
      <w:r w:rsidRPr="00222597">
        <w:rPr>
          <w:vertAlign w:val="superscript"/>
        </w:rPr>
        <w:t>b</w:t>
      </w:r>
      <w:proofErr w:type="gramEnd"/>
      <w:r w:rsidRPr="00222597">
        <w:t xml:space="preserve"> Change in total fibroid volume, defined as the sum of all the individual fibroid volumes</w:t>
      </w:r>
    </w:p>
    <w:p w:rsidR="00D647CD" w:rsidRPr="00222597" w:rsidRDefault="00D647CD" w:rsidP="00960382">
      <w:pPr>
        <w:pStyle w:val="TableFooter"/>
        <w:keepNext/>
        <w:keepLines/>
        <w:ind w:left="709"/>
      </w:pPr>
      <w:proofErr w:type="gramStart"/>
      <w:r w:rsidRPr="00222597">
        <w:rPr>
          <w:vertAlign w:val="superscript"/>
        </w:rPr>
        <w:t>c</w:t>
      </w:r>
      <w:proofErr w:type="gramEnd"/>
      <w:r w:rsidRPr="00222597">
        <w:t xml:space="preserve"> </w:t>
      </w:r>
      <w:r w:rsidR="005A63FF" w:rsidRPr="00222597">
        <w:t>Pre-specified n</w:t>
      </w:r>
      <w:r w:rsidR="000910E1" w:rsidRPr="00222597">
        <w:t>on-inferiority margin -20%</w:t>
      </w:r>
    </w:p>
    <w:p w:rsidR="00CD6962" w:rsidRPr="00222597" w:rsidRDefault="00CD6962" w:rsidP="00960382">
      <w:pPr>
        <w:pStyle w:val="TableFooter"/>
        <w:keepNext/>
        <w:keepLines/>
        <w:ind w:left="709"/>
      </w:pPr>
      <w:r w:rsidRPr="00222597">
        <w:t>Figures in bold indicate a statistically significant result.</w:t>
      </w:r>
    </w:p>
    <w:p w:rsidR="001608CB" w:rsidRPr="00222597" w:rsidRDefault="001608CB" w:rsidP="00960382">
      <w:pPr>
        <w:pStyle w:val="TableFooter"/>
        <w:keepNext/>
        <w:keepLines/>
        <w:ind w:left="709"/>
      </w:pPr>
      <w:r w:rsidRPr="00222597">
        <w:t>Note: The PBA chart scale ranges from 0 to &gt;500 (with no defined upper limit), with higher scores indicating a greater severity of bleeding. A PBA chart score &gt; 100 indicates menorrhagia.</w:t>
      </w:r>
    </w:p>
    <w:p w:rsidR="00D647CD" w:rsidRPr="00222597" w:rsidRDefault="00D647CD" w:rsidP="00960382">
      <w:pPr>
        <w:pStyle w:val="TableFooter"/>
        <w:keepNext/>
        <w:keepLines/>
        <w:ind w:left="709"/>
      </w:pPr>
      <w:r w:rsidRPr="00222597">
        <w:t xml:space="preserve">Source: Tables B-26, B-27 and B-32, pp58-61 of the submission; Tables B-41, B-44 and B-45, pp69-71 of the submission; Table 21, p107 PEARL I CSR; Tables </w:t>
      </w:r>
      <w:r w:rsidR="002C1CC9" w:rsidRPr="00222597">
        <w:t xml:space="preserve">14.2.2.2, </w:t>
      </w:r>
      <w:r w:rsidR="005A63FF" w:rsidRPr="00222597">
        <w:t xml:space="preserve">14.2.11.2, </w:t>
      </w:r>
      <w:r w:rsidRPr="00222597">
        <w:t>and 14.2.13.2 PEARL II CSR</w:t>
      </w:r>
      <w:r w:rsidR="00C22E35" w:rsidRPr="00222597">
        <w:t xml:space="preserve">; Table 2, </w:t>
      </w:r>
      <w:proofErr w:type="spellStart"/>
      <w:r w:rsidR="00C22E35" w:rsidRPr="00222597">
        <w:t>Donnez</w:t>
      </w:r>
      <w:proofErr w:type="spellEnd"/>
      <w:r w:rsidR="00C22E35" w:rsidRPr="00222597">
        <w:t xml:space="preserve"> </w:t>
      </w:r>
      <w:r w:rsidR="00C22E35" w:rsidRPr="00222597">
        <w:rPr>
          <w:i/>
        </w:rPr>
        <w:t xml:space="preserve">et al. </w:t>
      </w:r>
      <w:r w:rsidR="00C22E35" w:rsidRPr="00222597">
        <w:t>2012a</w:t>
      </w:r>
      <w:r w:rsidR="00C22E35" w:rsidRPr="00222597">
        <w:rPr>
          <w:rStyle w:val="FootnoteReference"/>
        </w:rPr>
        <w:footnoteReference w:id="2"/>
      </w:r>
      <w:r w:rsidR="00216376" w:rsidRPr="00222597">
        <w:t xml:space="preserve">; Table 2 </w:t>
      </w:r>
      <w:proofErr w:type="spellStart"/>
      <w:r w:rsidR="00216376" w:rsidRPr="00222597">
        <w:t>Donnez</w:t>
      </w:r>
      <w:proofErr w:type="spellEnd"/>
      <w:r w:rsidR="00216376" w:rsidRPr="00222597">
        <w:t xml:space="preserve"> </w:t>
      </w:r>
      <w:r w:rsidR="00216376" w:rsidRPr="00222597">
        <w:rPr>
          <w:i/>
        </w:rPr>
        <w:t xml:space="preserve">et al. </w:t>
      </w:r>
      <w:r w:rsidR="00216376" w:rsidRPr="00222597">
        <w:t>(2012b).</w:t>
      </w:r>
      <w:r w:rsidR="00216376" w:rsidRPr="00222597">
        <w:rPr>
          <w:rStyle w:val="FootnoteReference"/>
        </w:rPr>
        <w:footnoteReference w:id="3"/>
      </w:r>
    </w:p>
    <w:p w:rsidR="00D647CD" w:rsidRPr="00222597" w:rsidRDefault="00D647CD" w:rsidP="00D647CD">
      <w:pPr>
        <w:pStyle w:val="TableHeader"/>
      </w:pPr>
    </w:p>
    <w:p w:rsidR="00D647CD" w:rsidRPr="00222597" w:rsidRDefault="00D647CD" w:rsidP="00960382">
      <w:pPr>
        <w:pStyle w:val="ListParagraph"/>
        <w:keepNext/>
        <w:keepLines/>
        <w:widowControl/>
        <w:numPr>
          <w:ilvl w:val="1"/>
          <w:numId w:val="3"/>
        </w:numPr>
      </w:pPr>
      <w:r w:rsidRPr="00222597">
        <w:t>The results of PEARL I support</w:t>
      </w:r>
      <w:r w:rsidR="00F552AA" w:rsidRPr="00222597">
        <w:t>ed</w:t>
      </w:r>
      <w:r w:rsidRPr="00222597">
        <w:t xml:space="preserve"> the claim that a single </w:t>
      </w:r>
      <w:r w:rsidR="00D1773B" w:rsidRPr="00222597">
        <w:t xml:space="preserve">3-month </w:t>
      </w:r>
      <w:r w:rsidRPr="00222597">
        <w:t xml:space="preserve">course of </w:t>
      </w:r>
      <w:proofErr w:type="spellStart"/>
      <w:r w:rsidRPr="00222597">
        <w:t>ulipristal</w:t>
      </w:r>
      <w:proofErr w:type="spellEnd"/>
      <w:r w:rsidRPr="00222597">
        <w:t xml:space="preserve"> </w:t>
      </w:r>
      <w:r w:rsidR="00F552AA" w:rsidRPr="00222597">
        <w:t>i</w:t>
      </w:r>
      <w:r w:rsidRPr="00222597">
        <w:t xml:space="preserve">s superior to placebo in terms of controlling abnormal uterine bleeding and reducing both fibroid and uterine volume in pre-menopausal women who </w:t>
      </w:r>
      <w:r w:rsidR="00F552AA" w:rsidRPr="00222597">
        <w:t>a</w:t>
      </w:r>
      <w:r w:rsidRPr="00222597">
        <w:t xml:space="preserve">re eligible for surgical management. </w:t>
      </w:r>
      <w:proofErr w:type="spellStart"/>
      <w:r w:rsidRPr="00222597">
        <w:t>Ulipristal</w:t>
      </w:r>
      <w:proofErr w:type="spellEnd"/>
      <w:r w:rsidRPr="00222597">
        <w:t xml:space="preserve"> was also superior to placebo in increasing haemoglobin levels in anaemic patients who were also receiving oral iron supplementation. </w:t>
      </w:r>
    </w:p>
    <w:p w:rsidR="00D647CD" w:rsidRPr="00222597" w:rsidRDefault="00D647CD" w:rsidP="00D647CD"/>
    <w:p w:rsidR="00841AD3" w:rsidRPr="00222597" w:rsidRDefault="00841AD3" w:rsidP="006405AC">
      <w:pPr>
        <w:pStyle w:val="ListParagraph"/>
        <w:widowControl/>
        <w:numPr>
          <w:ilvl w:val="1"/>
          <w:numId w:val="3"/>
        </w:numPr>
      </w:pPr>
      <w:r w:rsidRPr="00222597">
        <w:t xml:space="preserve">The results of PEARL II supported the claim that a single </w:t>
      </w:r>
      <w:r w:rsidR="00030326">
        <w:t>three</w:t>
      </w:r>
      <w:r w:rsidRPr="00030326">
        <w:t xml:space="preserve">-month course of </w:t>
      </w:r>
      <w:proofErr w:type="spellStart"/>
      <w:r w:rsidRPr="00030326">
        <w:t>ulipristal</w:t>
      </w:r>
      <w:proofErr w:type="spellEnd"/>
      <w:r w:rsidRPr="00030326">
        <w:t xml:space="preserve"> </w:t>
      </w:r>
      <w:r w:rsidR="00B413FC" w:rsidRPr="00030326">
        <w:t>5 mg</w:t>
      </w:r>
      <w:r w:rsidRPr="00030326">
        <w:t xml:space="preserve"> daily is non-inferior to </w:t>
      </w:r>
      <w:r w:rsidR="00030326">
        <w:t>three</w:t>
      </w:r>
      <w:r w:rsidRPr="00030326">
        <w:t xml:space="preserve"> months of </w:t>
      </w:r>
      <w:proofErr w:type="spellStart"/>
      <w:r w:rsidRPr="00030326">
        <w:t>leuprorelin</w:t>
      </w:r>
      <w:proofErr w:type="spellEnd"/>
      <w:r w:rsidRPr="00030326">
        <w:t xml:space="preserve"> therapy in controlling abnormal uterine bleeding</w:t>
      </w:r>
      <w:r w:rsidR="001608CB" w:rsidRPr="00030326">
        <w:t xml:space="preserve">, based on a pre-specified non-inferiority margin of -20% in </w:t>
      </w:r>
      <w:r w:rsidR="00375328" w:rsidRPr="00F368D9">
        <w:t>the proportion of patients with</w:t>
      </w:r>
      <w:r w:rsidR="006405AC">
        <w:t xml:space="preserve"> </w:t>
      </w:r>
      <w:r w:rsidR="006405AC" w:rsidRPr="006405AC">
        <w:t>Pictorial Bleeding Assessment</w:t>
      </w:r>
      <w:r w:rsidR="00375328" w:rsidRPr="00F368D9">
        <w:t xml:space="preserve"> </w:t>
      </w:r>
      <w:r w:rsidR="006405AC">
        <w:t>(</w:t>
      </w:r>
      <w:r w:rsidR="001608CB" w:rsidRPr="00222597">
        <w:t>PBA</w:t>
      </w:r>
      <w:r w:rsidR="006405AC">
        <w:t>)</w:t>
      </w:r>
      <w:r w:rsidR="001608CB" w:rsidRPr="00222597">
        <w:t xml:space="preserve"> chart score</w:t>
      </w:r>
      <w:r w:rsidR="001608CB" w:rsidRPr="00222597">
        <w:rPr>
          <w:rStyle w:val="FootnoteReference"/>
        </w:rPr>
        <w:footnoteReference w:id="4"/>
      </w:r>
      <w:r w:rsidR="00375328" w:rsidRPr="00222597">
        <w:t xml:space="preserve"> &lt;75 at Week 13</w:t>
      </w:r>
      <w:r w:rsidRPr="00222597">
        <w:t xml:space="preserve">, but </w:t>
      </w:r>
      <w:proofErr w:type="spellStart"/>
      <w:r w:rsidRPr="00222597">
        <w:t>leuprorelin</w:t>
      </w:r>
      <w:proofErr w:type="spellEnd"/>
      <w:r w:rsidRPr="00222597">
        <w:t xml:space="preserve"> may be more effective in reducing both fibroid and uterine volume.</w:t>
      </w:r>
    </w:p>
    <w:p w:rsidR="00D647CD" w:rsidRPr="00222597" w:rsidRDefault="00D647CD" w:rsidP="00D647CD">
      <w:pPr>
        <w:pStyle w:val="ListParagraph"/>
      </w:pPr>
    </w:p>
    <w:p w:rsidR="00D647CD" w:rsidRPr="00222597" w:rsidRDefault="00E717DC" w:rsidP="00F15765">
      <w:pPr>
        <w:pStyle w:val="ListParagraph"/>
        <w:widowControl/>
        <w:numPr>
          <w:ilvl w:val="1"/>
          <w:numId w:val="3"/>
        </w:numPr>
      </w:pPr>
      <w:r w:rsidRPr="00222597">
        <w:t xml:space="preserve">Neither of the two </w:t>
      </w:r>
      <w:r w:rsidR="00222597" w:rsidRPr="00222597">
        <w:t>short-term</w:t>
      </w:r>
      <w:r w:rsidRPr="00222597">
        <w:t xml:space="preserve"> </w:t>
      </w:r>
      <w:proofErr w:type="spellStart"/>
      <w:r w:rsidRPr="00222597">
        <w:t>ulipristal</w:t>
      </w:r>
      <w:proofErr w:type="spellEnd"/>
      <w:r w:rsidRPr="00222597">
        <w:t xml:space="preserve"> trials evaluated possible treatment-related differences in </w:t>
      </w:r>
      <w:r w:rsidR="00D647CD" w:rsidRPr="00222597">
        <w:t>surgical outcomes, including the potential to allow less invasive surgical procedures.</w:t>
      </w:r>
    </w:p>
    <w:p w:rsidR="00D647CD" w:rsidRPr="00222597" w:rsidRDefault="00D647CD" w:rsidP="00D647CD">
      <w:pPr>
        <w:pStyle w:val="ListParagraph"/>
      </w:pPr>
    </w:p>
    <w:p w:rsidR="00D647CD" w:rsidRPr="00030326" w:rsidRDefault="00D647CD" w:rsidP="00F15765">
      <w:pPr>
        <w:pStyle w:val="ListParagraph"/>
        <w:widowControl/>
        <w:numPr>
          <w:ilvl w:val="1"/>
          <w:numId w:val="3"/>
        </w:numPr>
      </w:pPr>
      <w:r w:rsidRPr="00222597">
        <w:t xml:space="preserve">The results </w:t>
      </w:r>
      <w:r w:rsidR="00CC58F3" w:rsidRPr="00222597">
        <w:t xml:space="preserve">for </w:t>
      </w:r>
      <w:r w:rsidR="006A1910" w:rsidRPr="00222597">
        <w:t>t</w:t>
      </w:r>
      <w:r w:rsidR="00211964" w:rsidRPr="00222597">
        <w:t>he comparison</w:t>
      </w:r>
      <w:r w:rsidR="0084251D" w:rsidRPr="00222597">
        <w:t xml:space="preserve"> of </w:t>
      </w:r>
      <w:proofErr w:type="spellStart"/>
      <w:r w:rsidRPr="00222597">
        <w:t>goserelin</w:t>
      </w:r>
      <w:proofErr w:type="spellEnd"/>
      <w:r w:rsidR="008170B9" w:rsidRPr="00222597">
        <w:t xml:space="preserve"> </w:t>
      </w:r>
      <w:r w:rsidR="0084251D" w:rsidRPr="00222597">
        <w:t>and</w:t>
      </w:r>
      <w:r w:rsidR="008170B9" w:rsidRPr="00222597">
        <w:t xml:space="preserve"> </w:t>
      </w:r>
      <w:proofErr w:type="spellStart"/>
      <w:r w:rsidR="008170B9" w:rsidRPr="00222597">
        <w:t>leuprorelin</w:t>
      </w:r>
      <w:proofErr w:type="spellEnd"/>
      <w:r w:rsidR="0084251D" w:rsidRPr="00222597">
        <w:t xml:space="preserve">, when used </w:t>
      </w:r>
      <w:r w:rsidR="00222597">
        <w:t>short-term</w:t>
      </w:r>
      <w:r w:rsidR="0084251D" w:rsidRPr="00222597">
        <w:t xml:space="preserve"> prior to hysterectomy</w:t>
      </w:r>
      <w:r w:rsidR="006A1910" w:rsidRPr="00222597">
        <w:t xml:space="preserve"> (Lim 2008)</w:t>
      </w:r>
      <w:r w:rsidR="0084251D" w:rsidRPr="00030326">
        <w:t xml:space="preserve">, </w:t>
      </w:r>
      <w:r w:rsidRPr="00030326">
        <w:t>are presented below.</w:t>
      </w:r>
    </w:p>
    <w:p w:rsidR="00D647CD" w:rsidRPr="00F368D9" w:rsidRDefault="00D647CD" w:rsidP="00D647CD">
      <w:pPr>
        <w:pStyle w:val="ListParagraph"/>
        <w:rPr>
          <w:i/>
        </w:rPr>
      </w:pPr>
    </w:p>
    <w:p w:rsidR="00D22D4D" w:rsidRPr="00030326" w:rsidRDefault="00D1773B" w:rsidP="00D22D4D">
      <w:pPr>
        <w:pStyle w:val="Caption"/>
        <w:ind w:left="709"/>
      </w:pPr>
      <w:r w:rsidRPr="00222597">
        <w:t>Table 4</w:t>
      </w:r>
      <w:r w:rsidR="00D647CD" w:rsidRPr="00222597">
        <w:t xml:space="preserve">: </w:t>
      </w:r>
      <w:r w:rsidR="00D22D4D" w:rsidRPr="00222597">
        <w:t xml:space="preserve">Outcomes for </w:t>
      </w:r>
      <w:r w:rsidR="00222597">
        <w:t>short-term</w:t>
      </w:r>
      <w:r w:rsidR="00D22D4D" w:rsidRPr="00222597">
        <w:t xml:space="preserve"> (3 months) </w:t>
      </w:r>
      <w:r w:rsidR="00841AD3" w:rsidRPr="00222597">
        <w:t xml:space="preserve">use of </w:t>
      </w:r>
      <w:proofErr w:type="spellStart"/>
      <w:r w:rsidR="00D22D4D" w:rsidRPr="00030326">
        <w:t>goserelin</w:t>
      </w:r>
      <w:proofErr w:type="spellEnd"/>
      <w:r w:rsidR="00D22D4D" w:rsidRPr="00030326">
        <w:t xml:space="preserve"> versus </w:t>
      </w:r>
      <w:proofErr w:type="spellStart"/>
      <w:r w:rsidR="00D22D4D" w:rsidRPr="00030326">
        <w:t>leuprorelin</w:t>
      </w:r>
      <w:proofErr w:type="spellEnd"/>
      <w:r w:rsidR="00D22D4D" w:rsidRPr="00030326">
        <w:t xml:space="preserve"> (Lim 2008)</w:t>
      </w:r>
    </w:p>
    <w:tbl>
      <w:tblPr>
        <w:tblW w:w="4615" w:type="pct"/>
        <w:tblInd w:w="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552"/>
        <w:gridCol w:w="2144"/>
        <w:gridCol w:w="1960"/>
        <w:gridCol w:w="1727"/>
      </w:tblGrid>
      <w:tr w:rsidR="00D647CD" w:rsidRPr="00222597" w:rsidTr="005C5376">
        <w:tc>
          <w:tcPr>
            <w:tcW w:w="1522" w:type="pct"/>
            <w:tcBorders>
              <w:bottom w:val="double" w:sz="4" w:space="0" w:color="auto"/>
            </w:tcBorders>
            <w:vAlign w:val="center"/>
          </w:tcPr>
          <w:p w:rsidR="00D647CD" w:rsidRPr="00222597" w:rsidRDefault="00D647CD" w:rsidP="005C5376">
            <w:pPr>
              <w:jc w:val="left"/>
              <w:rPr>
                <w:rFonts w:ascii="Arial Narrow" w:hAnsi="Arial Narrow"/>
                <w:b/>
                <w:sz w:val="20"/>
              </w:rPr>
            </w:pPr>
            <w:r w:rsidRPr="00F368D9">
              <w:rPr>
                <w:rFonts w:ascii="Arial Narrow" w:hAnsi="Arial Narrow"/>
                <w:b/>
                <w:sz w:val="20"/>
              </w:rPr>
              <w:t>Lim 20</w:t>
            </w:r>
            <w:r w:rsidRPr="00222597">
              <w:rPr>
                <w:rFonts w:ascii="Arial Narrow" w:hAnsi="Arial Narrow"/>
                <w:b/>
                <w:sz w:val="20"/>
              </w:rPr>
              <w:t>08</w:t>
            </w:r>
          </w:p>
        </w:tc>
        <w:tc>
          <w:tcPr>
            <w:tcW w:w="1279" w:type="pct"/>
            <w:tcBorders>
              <w:bottom w:val="double" w:sz="4" w:space="0" w:color="auto"/>
            </w:tcBorders>
            <w:vAlign w:val="center"/>
          </w:tcPr>
          <w:p w:rsidR="00D647CD" w:rsidRPr="00222597" w:rsidRDefault="00D647CD" w:rsidP="005C5376">
            <w:pPr>
              <w:jc w:val="center"/>
              <w:rPr>
                <w:rFonts w:ascii="Arial Narrow" w:hAnsi="Arial Narrow"/>
                <w:b/>
                <w:sz w:val="20"/>
              </w:rPr>
            </w:pPr>
            <w:proofErr w:type="spellStart"/>
            <w:r w:rsidRPr="00222597">
              <w:rPr>
                <w:rFonts w:ascii="Arial Narrow" w:hAnsi="Arial Narrow"/>
                <w:b/>
                <w:sz w:val="20"/>
              </w:rPr>
              <w:t>Goserelin</w:t>
            </w:r>
            <w:proofErr w:type="spellEnd"/>
          </w:p>
          <w:p w:rsidR="00D647CD" w:rsidRPr="00222597" w:rsidRDefault="00D647CD" w:rsidP="005C5376">
            <w:pPr>
              <w:ind w:right="-108"/>
              <w:jc w:val="center"/>
              <w:rPr>
                <w:rFonts w:ascii="Arial Narrow" w:hAnsi="Arial Narrow"/>
                <w:b/>
                <w:sz w:val="20"/>
              </w:rPr>
            </w:pPr>
            <w:r w:rsidRPr="00222597">
              <w:rPr>
                <w:rFonts w:ascii="Arial Narrow" w:hAnsi="Arial Narrow"/>
                <w:b/>
                <w:sz w:val="20"/>
              </w:rPr>
              <w:t>N=34</w:t>
            </w:r>
          </w:p>
        </w:tc>
        <w:tc>
          <w:tcPr>
            <w:tcW w:w="1169" w:type="pct"/>
            <w:tcBorders>
              <w:bottom w:val="double" w:sz="4" w:space="0" w:color="auto"/>
            </w:tcBorders>
            <w:vAlign w:val="center"/>
          </w:tcPr>
          <w:p w:rsidR="00D647CD" w:rsidRPr="00222597" w:rsidRDefault="00D647CD" w:rsidP="005C5376">
            <w:pPr>
              <w:jc w:val="center"/>
              <w:rPr>
                <w:rFonts w:ascii="Arial Narrow" w:hAnsi="Arial Narrow"/>
                <w:b/>
                <w:sz w:val="20"/>
              </w:rPr>
            </w:pPr>
            <w:proofErr w:type="spellStart"/>
            <w:r w:rsidRPr="00222597">
              <w:rPr>
                <w:rFonts w:ascii="Arial Narrow" w:hAnsi="Arial Narrow"/>
                <w:b/>
                <w:sz w:val="20"/>
              </w:rPr>
              <w:t>Leuprorelin</w:t>
            </w:r>
            <w:proofErr w:type="spellEnd"/>
            <w:r w:rsidRPr="00222597">
              <w:rPr>
                <w:rFonts w:ascii="Arial Narrow" w:hAnsi="Arial Narrow"/>
                <w:b/>
                <w:sz w:val="20"/>
              </w:rPr>
              <w:t xml:space="preserve"> </w:t>
            </w:r>
          </w:p>
          <w:p w:rsidR="00D647CD" w:rsidRPr="00222597" w:rsidRDefault="00D647CD" w:rsidP="005C5376">
            <w:pPr>
              <w:jc w:val="center"/>
              <w:rPr>
                <w:rFonts w:ascii="Arial Narrow" w:hAnsi="Arial Narrow"/>
                <w:sz w:val="20"/>
              </w:rPr>
            </w:pPr>
            <w:r w:rsidRPr="00222597">
              <w:rPr>
                <w:rFonts w:ascii="Arial Narrow" w:hAnsi="Arial Narrow"/>
                <w:b/>
                <w:sz w:val="20"/>
              </w:rPr>
              <w:t>N=31</w:t>
            </w:r>
          </w:p>
        </w:tc>
        <w:tc>
          <w:tcPr>
            <w:tcW w:w="1030" w:type="pct"/>
            <w:tcBorders>
              <w:bottom w:val="double" w:sz="4" w:space="0" w:color="auto"/>
            </w:tcBorders>
            <w:vAlign w:val="center"/>
          </w:tcPr>
          <w:p w:rsidR="00D647CD" w:rsidRPr="00222597" w:rsidRDefault="00D647CD" w:rsidP="005C5376">
            <w:pPr>
              <w:jc w:val="center"/>
              <w:rPr>
                <w:rFonts w:ascii="Arial Narrow" w:hAnsi="Arial Narrow"/>
                <w:b/>
                <w:sz w:val="20"/>
                <w:vertAlign w:val="superscript"/>
              </w:rPr>
            </w:pPr>
            <w:r w:rsidRPr="00222597">
              <w:rPr>
                <w:rFonts w:ascii="Arial Narrow" w:hAnsi="Arial Narrow"/>
                <w:b/>
                <w:sz w:val="20"/>
              </w:rPr>
              <w:t>p-</w:t>
            </w:r>
            <w:proofErr w:type="spellStart"/>
            <w:r w:rsidRPr="00222597">
              <w:rPr>
                <w:rFonts w:ascii="Arial Narrow" w:hAnsi="Arial Narrow"/>
                <w:b/>
                <w:sz w:val="20"/>
              </w:rPr>
              <w:t>value</w:t>
            </w:r>
            <w:r w:rsidRPr="00222597">
              <w:rPr>
                <w:rFonts w:ascii="Arial Narrow" w:hAnsi="Arial Narrow"/>
                <w:b/>
                <w:sz w:val="20"/>
                <w:vertAlign w:val="superscript"/>
              </w:rPr>
              <w:t>a</w:t>
            </w:r>
            <w:proofErr w:type="spellEnd"/>
          </w:p>
        </w:tc>
      </w:tr>
      <w:tr w:rsidR="00D647CD" w:rsidRPr="00222597" w:rsidTr="005C5376">
        <w:tc>
          <w:tcPr>
            <w:tcW w:w="1522" w:type="pct"/>
          </w:tcPr>
          <w:p w:rsidR="00D647CD" w:rsidRPr="00222597" w:rsidRDefault="00D647CD" w:rsidP="005C5376">
            <w:pPr>
              <w:jc w:val="left"/>
              <w:rPr>
                <w:rFonts w:ascii="Arial Narrow" w:hAnsi="Arial Narrow"/>
                <w:sz w:val="20"/>
              </w:rPr>
            </w:pPr>
            <w:r w:rsidRPr="00222597">
              <w:rPr>
                <w:rFonts w:ascii="Arial Narrow" w:hAnsi="Arial Narrow"/>
                <w:sz w:val="20"/>
              </w:rPr>
              <w:t>Haemoglobin, g/</w:t>
            </w:r>
            <w:proofErr w:type="spellStart"/>
            <w:r w:rsidRPr="00222597">
              <w:rPr>
                <w:rFonts w:ascii="Arial Narrow" w:hAnsi="Arial Narrow"/>
                <w:sz w:val="20"/>
              </w:rPr>
              <w:t>dL</w:t>
            </w:r>
            <w:proofErr w:type="spellEnd"/>
            <w:r w:rsidRPr="00222597">
              <w:rPr>
                <w:rFonts w:ascii="Arial Narrow" w:hAnsi="Arial Narrow"/>
                <w:sz w:val="20"/>
              </w:rPr>
              <w:t>, mean (SD)</w:t>
            </w:r>
          </w:p>
          <w:p w:rsidR="00D647CD" w:rsidRPr="00222597" w:rsidRDefault="00D647CD" w:rsidP="005C5376">
            <w:pPr>
              <w:ind w:left="251"/>
              <w:jc w:val="left"/>
              <w:rPr>
                <w:rFonts w:ascii="Arial Narrow" w:hAnsi="Arial Narrow"/>
                <w:sz w:val="20"/>
              </w:rPr>
            </w:pPr>
            <w:r w:rsidRPr="00222597">
              <w:rPr>
                <w:rFonts w:ascii="Arial Narrow" w:hAnsi="Arial Narrow"/>
                <w:sz w:val="20"/>
              </w:rPr>
              <w:t>Baseline</w:t>
            </w:r>
          </w:p>
          <w:p w:rsidR="00D647CD" w:rsidRPr="00222597" w:rsidRDefault="00D647CD" w:rsidP="005C5376">
            <w:pPr>
              <w:ind w:left="251"/>
              <w:jc w:val="left"/>
              <w:rPr>
                <w:rFonts w:ascii="Arial Narrow" w:hAnsi="Arial Narrow"/>
                <w:sz w:val="20"/>
              </w:rPr>
            </w:pPr>
            <w:r w:rsidRPr="00222597">
              <w:rPr>
                <w:rFonts w:ascii="Arial Narrow" w:hAnsi="Arial Narrow"/>
                <w:sz w:val="20"/>
              </w:rPr>
              <w:t>Admission for surgery</w:t>
            </w:r>
          </w:p>
        </w:tc>
        <w:tc>
          <w:tcPr>
            <w:tcW w:w="1279" w:type="pct"/>
          </w:tcPr>
          <w:p w:rsidR="00D647CD" w:rsidRPr="00222597" w:rsidRDefault="00D647CD" w:rsidP="005C5376">
            <w:pPr>
              <w:jc w:val="center"/>
              <w:rPr>
                <w:rFonts w:ascii="Arial Narrow" w:hAnsi="Arial Narrow"/>
                <w:sz w:val="20"/>
              </w:rPr>
            </w:pPr>
          </w:p>
          <w:p w:rsidR="00D647CD" w:rsidRPr="00222597" w:rsidRDefault="00D647CD" w:rsidP="005C5376">
            <w:pPr>
              <w:jc w:val="center"/>
              <w:rPr>
                <w:rFonts w:ascii="Arial Narrow" w:hAnsi="Arial Narrow"/>
                <w:sz w:val="20"/>
              </w:rPr>
            </w:pPr>
            <w:r w:rsidRPr="00222597">
              <w:rPr>
                <w:rFonts w:ascii="Arial Narrow" w:hAnsi="Arial Narrow"/>
                <w:sz w:val="20"/>
              </w:rPr>
              <w:t>9.9 (1.7)</w:t>
            </w:r>
          </w:p>
          <w:p w:rsidR="00D647CD" w:rsidRPr="00222597" w:rsidRDefault="00D647CD" w:rsidP="005C5376">
            <w:pPr>
              <w:jc w:val="center"/>
              <w:rPr>
                <w:rFonts w:ascii="Arial Narrow" w:hAnsi="Arial Narrow"/>
                <w:sz w:val="20"/>
              </w:rPr>
            </w:pPr>
            <w:r w:rsidRPr="00222597">
              <w:rPr>
                <w:rFonts w:ascii="Arial Narrow" w:hAnsi="Arial Narrow"/>
                <w:sz w:val="20"/>
              </w:rPr>
              <w:t>11.9 (1.4)</w:t>
            </w:r>
          </w:p>
        </w:tc>
        <w:tc>
          <w:tcPr>
            <w:tcW w:w="1169" w:type="pct"/>
          </w:tcPr>
          <w:p w:rsidR="00D647CD" w:rsidRPr="00222597" w:rsidRDefault="00D647CD" w:rsidP="005C5376">
            <w:pPr>
              <w:jc w:val="center"/>
              <w:rPr>
                <w:rFonts w:ascii="Arial Narrow" w:hAnsi="Arial Narrow"/>
                <w:sz w:val="20"/>
              </w:rPr>
            </w:pPr>
          </w:p>
          <w:p w:rsidR="00D647CD" w:rsidRPr="00222597" w:rsidRDefault="00D647CD" w:rsidP="005C5376">
            <w:pPr>
              <w:jc w:val="center"/>
              <w:rPr>
                <w:rFonts w:ascii="Arial Narrow" w:hAnsi="Arial Narrow"/>
                <w:sz w:val="20"/>
              </w:rPr>
            </w:pPr>
            <w:r w:rsidRPr="00222597">
              <w:rPr>
                <w:rFonts w:ascii="Arial Narrow" w:hAnsi="Arial Narrow"/>
                <w:sz w:val="20"/>
              </w:rPr>
              <w:t>10.1 (1.4)</w:t>
            </w:r>
          </w:p>
          <w:p w:rsidR="00D647CD" w:rsidRPr="00222597" w:rsidRDefault="00D647CD" w:rsidP="005C5376">
            <w:pPr>
              <w:jc w:val="center"/>
              <w:rPr>
                <w:rFonts w:ascii="Arial Narrow" w:hAnsi="Arial Narrow"/>
                <w:sz w:val="20"/>
              </w:rPr>
            </w:pPr>
            <w:r w:rsidRPr="00222597">
              <w:rPr>
                <w:rFonts w:ascii="Arial Narrow" w:hAnsi="Arial Narrow"/>
                <w:sz w:val="20"/>
              </w:rPr>
              <w:t>12.0 (1.5)</w:t>
            </w:r>
          </w:p>
        </w:tc>
        <w:tc>
          <w:tcPr>
            <w:tcW w:w="1030" w:type="pct"/>
          </w:tcPr>
          <w:p w:rsidR="00D647CD" w:rsidRPr="00222597" w:rsidRDefault="00D647CD" w:rsidP="005C5376">
            <w:pPr>
              <w:jc w:val="center"/>
              <w:rPr>
                <w:rFonts w:ascii="Arial Narrow" w:hAnsi="Arial Narrow"/>
                <w:sz w:val="20"/>
              </w:rPr>
            </w:pPr>
          </w:p>
          <w:p w:rsidR="00D647CD" w:rsidRPr="00222597" w:rsidRDefault="00D647CD" w:rsidP="005C5376">
            <w:pPr>
              <w:jc w:val="center"/>
              <w:rPr>
                <w:rFonts w:ascii="Arial Narrow" w:hAnsi="Arial Narrow"/>
                <w:sz w:val="20"/>
              </w:rPr>
            </w:pPr>
          </w:p>
          <w:p w:rsidR="00D647CD" w:rsidRPr="00222597" w:rsidRDefault="00D647CD" w:rsidP="005C5376">
            <w:pPr>
              <w:jc w:val="center"/>
              <w:rPr>
                <w:rFonts w:ascii="Arial Narrow" w:hAnsi="Arial Narrow"/>
                <w:sz w:val="20"/>
              </w:rPr>
            </w:pPr>
            <w:r w:rsidRPr="00222597">
              <w:rPr>
                <w:rFonts w:ascii="Arial Narrow" w:hAnsi="Arial Narrow"/>
                <w:sz w:val="20"/>
              </w:rPr>
              <w:t>0.89</w:t>
            </w:r>
          </w:p>
        </w:tc>
      </w:tr>
      <w:tr w:rsidR="00D647CD" w:rsidRPr="00222597" w:rsidTr="005C5376">
        <w:tc>
          <w:tcPr>
            <w:tcW w:w="1522" w:type="pct"/>
          </w:tcPr>
          <w:p w:rsidR="00D647CD" w:rsidRPr="00222597" w:rsidRDefault="00D647CD" w:rsidP="005C5376">
            <w:pPr>
              <w:jc w:val="left"/>
              <w:rPr>
                <w:rFonts w:ascii="Arial Narrow" w:hAnsi="Arial Narrow"/>
                <w:sz w:val="20"/>
              </w:rPr>
            </w:pPr>
            <w:r w:rsidRPr="00222597">
              <w:rPr>
                <w:rFonts w:ascii="Arial Narrow" w:hAnsi="Arial Narrow"/>
                <w:sz w:val="20"/>
              </w:rPr>
              <w:t>Uterine volume (mL), mean (SD)</w:t>
            </w:r>
          </w:p>
          <w:p w:rsidR="00D647CD" w:rsidRPr="00222597" w:rsidRDefault="00D647CD" w:rsidP="005C5376">
            <w:pPr>
              <w:ind w:left="251"/>
              <w:jc w:val="left"/>
              <w:rPr>
                <w:rFonts w:ascii="Arial Narrow" w:hAnsi="Arial Narrow"/>
                <w:sz w:val="20"/>
              </w:rPr>
            </w:pPr>
            <w:r w:rsidRPr="00222597">
              <w:rPr>
                <w:rFonts w:ascii="Arial Narrow" w:hAnsi="Arial Narrow"/>
                <w:sz w:val="20"/>
              </w:rPr>
              <w:t>Baseline</w:t>
            </w:r>
          </w:p>
          <w:p w:rsidR="00D647CD" w:rsidRPr="00222597" w:rsidRDefault="00D647CD" w:rsidP="005C5376">
            <w:pPr>
              <w:ind w:left="251"/>
              <w:jc w:val="left"/>
              <w:rPr>
                <w:rFonts w:ascii="Arial Narrow" w:hAnsi="Arial Narrow"/>
                <w:sz w:val="20"/>
              </w:rPr>
            </w:pPr>
            <w:r w:rsidRPr="00222597">
              <w:rPr>
                <w:rFonts w:ascii="Arial Narrow" w:hAnsi="Arial Narrow"/>
                <w:sz w:val="20"/>
              </w:rPr>
              <w:t>Admission for surgery</w:t>
            </w:r>
          </w:p>
          <w:p w:rsidR="00D647CD" w:rsidRPr="00222597" w:rsidRDefault="00D647CD" w:rsidP="005C5376">
            <w:pPr>
              <w:ind w:left="109"/>
              <w:jc w:val="left"/>
              <w:rPr>
                <w:rFonts w:ascii="Arial Narrow" w:hAnsi="Arial Narrow"/>
                <w:i/>
                <w:sz w:val="20"/>
              </w:rPr>
            </w:pPr>
            <w:r w:rsidRPr="00222597">
              <w:rPr>
                <w:rFonts w:ascii="Arial Narrow" w:hAnsi="Arial Narrow"/>
                <w:i/>
                <w:sz w:val="20"/>
              </w:rPr>
              <w:t>% decrease in mean volume</w:t>
            </w:r>
          </w:p>
        </w:tc>
        <w:tc>
          <w:tcPr>
            <w:tcW w:w="1279" w:type="pct"/>
          </w:tcPr>
          <w:p w:rsidR="00D647CD" w:rsidRPr="00222597" w:rsidRDefault="00D647CD" w:rsidP="005C5376">
            <w:pPr>
              <w:jc w:val="center"/>
              <w:rPr>
                <w:rFonts w:ascii="Arial Narrow" w:hAnsi="Arial Narrow"/>
                <w:sz w:val="20"/>
              </w:rPr>
            </w:pPr>
          </w:p>
          <w:p w:rsidR="00D647CD" w:rsidRPr="00222597" w:rsidRDefault="00D647CD" w:rsidP="005C5376">
            <w:pPr>
              <w:jc w:val="center"/>
              <w:rPr>
                <w:rFonts w:ascii="Arial Narrow" w:hAnsi="Arial Narrow"/>
                <w:sz w:val="20"/>
              </w:rPr>
            </w:pPr>
            <w:r w:rsidRPr="00222597">
              <w:rPr>
                <w:rFonts w:ascii="Arial Narrow" w:hAnsi="Arial Narrow"/>
                <w:sz w:val="20"/>
              </w:rPr>
              <w:t>597 (247)</w:t>
            </w:r>
          </w:p>
          <w:p w:rsidR="00D647CD" w:rsidRPr="00222597" w:rsidRDefault="00D647CD" w:rsidP="005C5376">
            <w:pPr>
              <w:jc w:val="center"/>
              <w:rPr>
                <w:rFonts w:ascii="Arial Narrow" w:hAnsi="Arial Narrow"/>
                <w:sz w:val="20"/>
              </w:rPr>
            </w:pPr>
            <w:r w:rsidRPr="00222597">
              <w:rPr>
                <w:rFonts w:ascii="Arial Narrow" w:hAnsi="Arial Narrow"/>
                <w:sz w:val="20"/>
              </w:rPr>
              <w:t>438 (237)</w:t>
            </w:r>
          </w:p>
          <w:p w:rsidR="00D647CD" w:rsidRPr="00222597" w:rsidRDefault="00D647CD" w:rsidP="005C5376">
            <w:pPr>
              <w:jc w:val="center"/>
              <w:rPr>
                <w:rFonts w:ascii="Arial Narrow" w:hAnsi="Arial Narrow"/>
                <w:i/>
                <w:sz w:val="20"/>
              </w:rPr>
            </w:pPr>
            <w:r w:rsidRPr="00222597">
              <w:rPr>
                <w:rFonts w:ascii="Arial Narrow" w:hAnsi="Arial Narrow"/>
                <w:i/>
                <w:sz w:val="20"/>
              </w:rPr>
              <w:t>26.6%</w:t>
            </w:r>
          </w:p>
        </w:tc>
        <w:tc>
          <w:tcPr>
            <w:tcW w:w="1169" w:type="pct"/>
          </w:tcPr>
          <w:p w:rsidR="00D647CD" w:rsidRPr="00222597" w:rsidRDefault="00D647CD" w:rsidP="005C5376">
            <w:pPr>
              <w:jc w:val="center"/>
              <w:rPr>
                <w:rFonts w:ascii="Arial Narrow" w:hAnsi="Arial Narrow"/>
                <w:sz w:val="20"/>
              </w:rPr>
            </w:pPr>
          </w:p>
          <w:p w:rsidR="00D647CD" w:rsidRPr="00222597" w:rsidRDefault="00D647CD" w:rsidP="005C5376">
            <w:pPr>
              <w:jc w:val="center"/>
              <w:rPr>
                <w:rFonts w:ascii="Arial Narrow" w:hAnsi="Arial Narrow"/>
                <w:sz w:val="20"/>
              </w:rPr>
            </w:pPr>
            <w:r w:rsidRPr="00222597">
              <w:rPr>
                <w:rFonts w:ascii="Arial Narrow" w:hAnsi="Arial Narrow"/>
                <w:sz w:val="20"/>
              </w:rPr>
              <w:t>578 (211)</w:t>
            </w:r>
          </w:p>
          <w:p w:rsidR="00D647CD" w:rsidRPr="00222597" w:rsidRDefault="00D647CD" w:rsidP="005C5376">
            <w:pPr>
              <w:jc w:val="center"/>
              <w:rPr>
                <w:rFonts w:ascii="Arial Narrow" w:hAnsi="Arial Narrow"/>
                <w:sz w:val="20"/>
              </w:rPr>
            </w:pPr>
            <w:r w:rsidRPr="00222597">
              <w:rPr>
                <w:rFonts w:ascii="Arial Narrow" w:hAnsi="Arial Narrow"/>
                <w:sz w:val="20"/>
              </w:rPr>
              <w:t>433 (188)</w:t>
            </w:r>
          </w:p>
          <w:p w:rsidR="00D647CD" w:rsidRPr="00222597" w:rsidRDefault="00D647CD" w:rsidP="005C5376">
            <w:pPr>
              <w:jc w:val="center"/>
              <w:rPr>
                <w:rFonts w:ascii="Arial Narrow" w:hAnsi="Arial Narrow"/>
                <w:i/>
                <w:sz w:val="20"/>
              </w:rPr>
            </w:pPr>
            <w:r w:rsidRPr="00222597">
              <w:rPr>
                <w:rFonts w:ascii="Arial Narrow" w:hAnsi="Arial Narrow"/>
                <w:i/>
                <w:sz w:val="20"/>
              </w:rPr>
              <w:t>25.1%</w:t>
            </w:r>
          </w:p>
        </w:tc>
        <w:tc>
          <w:tcPr>
            <w:tcW w:w="1030" w:type="pct"/>
          </w:tcPr>
          <w:p w:rsidR="00D647CD" w:rsidRPr="00222597" w:rsidRDefault="00D647CD" w:rsidP="005C5376">
            <w:pPr>
              <w:jc w:val="center"/>
              <w:rPr>
                <w:rFonts w:ascii="Arial Narrow" w:hAnsi="Arial Narrow"/>
                <w:sz w:val="20"/>
              </w:rPr>
            </w:pPr>
          </w:p>
          <w:p w:rsidR="00D647CD" w:rsidRPr="00222597" w:rsidRDefault="00D647CD" w:rsidP="005C5376">
            <w:pPr>
              <w:jc w:val="center"/>
              <w:rPr>
                <w:rFonts w:ascii="Arial Narrow" w:hAnsi="Arial Narrow"/>
                <w:sz w:val="20"/>
              </w:rPr>
            </w:pPr>
          </w:p>
          <w:p w:rsidR="00D647CD" w:rsidRPr="00222597" w:rsidRDefault="00D647CD" w:rsidP="005C5376">
            <w:pPr>
              <w:jc w:val="center"/>
              <w:rPr>
                <w:rFonts w:ascii="Arial Narrow" w:hAnsi="Arial Narrow"/>
                <w:sz w:val="20"/>
              </w:rPr>
            </w:pPr>
            <w:r w:rsidRPr="00222597">
              <w:rPr>
                <w:rFonts w:ascii="Arial Narrow" w:hAnsi="Arial Narrow"/>
                <w:sz w:val="20"/>
              </w:rPr>
              <w:t>0.94</w:t>
            </w:r>
          </w:p>
        </w:tc>
      </w:tr>
    </w:tbl>
    <w:p w:rsidR="00D647CD" w:rsidRPr="00222597" w:rsidRDefault="00D647CD" w:rsidP="00D647CD">
      <w:pPr>
        <w:pStyle w:val="TableFooter"/>
        <w:ind w:left="720"/>
      </w:pPr>
      <w:r w:rsidRPr="00222597">
        <w:t>SD = standard deviation</w:t>
      </w:r>
    </w:p>
    <w:p w:rsidR="00D647CD" w:rsidRPr="00222597" w:rsidRDefault="00D647CD" w:rsidP="00D647CD">
      <w:pPr>
        <w:pStyle w:val="TableFooter"/>
        <w:ind w:left="720"/>
      </w:pPr>
      <w:proofErr w:type="gramStart"/>
      <w:r w:rsidRPr="00222597">
        <w:rPr>
          <w:vertAlign w:val="superscript"/>
        </w:rPr>
        <w:t>a</w:t>
      </w:r>
      <w:proofErr w:type="gramEnd"/>
      <w:r w:rsidRPr="00222597">
        <w:t xml:space="preserve"> </w:t>
      </w:r>
      <w:proofErr w:type="spellStart"/>
      <w:r w:rsidRPr="00222597">
        <w:t>Goserelin</w:t>
      </w:r>
      <w:proofErr w:type="spellEnd"/>
      <w:r w:rsidRPr="00222597">
        <w:t xml:space="preserve"> versus </w:t>
      </w:r>
      <w:proofErr w:type="spellStart"/>
      <w:r w:rsidRPr="00222597">
        <w:t>leuprorelin</w:t>
      </w:r>
      <w:proofErr w:type="spellEnd"/>
      <w:r w:rsidRPr="00222597">
        <w:t xml:space="preserve"> </w:t>
      </w:r>
    </w:p>
    <w:p w:rsidR="003A6192" w:rsidRPr="00222597" w:rsidRDefault="003A6192" w:rsidP="00D647CD">
      <w:pPr>
        <w:pStyle w:val="TableFooter"/>
        <w:ind w:left="720"/>
        <w:rPr>
          <w:i/>
        </w:rPr>
      </w:pPr>
      <w:r w:rsidRPr="00222597">
        <w:rPr>
          <w:i/>
        </w:rPr>
        <w:t>Figures in italics were calculated during the evaluation.</w:t>
      </w:r>
    </w:p>
    <w:p w:rsidR="00D647CD" w:rsidRPr="00222597" w:rsidRDefault="00D647CD" w:rsidP="00D647CD">
      <w:pPr>
        <w:pStyle w:val="TableFooter"/>
        <w:ind w:left="720"/>
      </w:pPr>
      <w:r w:rsidRPr="00222597">
        <w:t xml:space="preserve">Source: </w:t>
      </w:r>
      <w:r w:rsidR="00DB1F8E" w:rsidRPr="00222597">
        <w:t xml:space="preserve">Table (unnumbered), p46 and </w:t>
      </w:r>
      <w:r w:rsidRPr="00222597">
        <w:t>Table</w:t>
      </w:r>
      <w:r w:rsidR="00DB1F8E" w:rsidRPr="00222597">
        <w:t>s</w:t>
      </w:r>
      <w:r w:rsidRPr="00222597">
        <w:t xml:space="preserve"> B-9</w:t>
      </w:r>
      <w:r w:rsidR="00DB1F8E" w:rsidRPr="00222597">
        <w:t>0 and B-91</w:t>
      </w:r>
      <w:r w:rsidRPr="00222597">
        <w:t>, p</w:t>
      </w:r>
      <w:r w:rsidR="00DB1F8E" w:rsidRPr="00222597">
        <w:t>p</w:t>
      </w:r>
      <w:r w:rsidRPr="00222597">
        <w:t>123</w:t>
      </w:r>
      <w:r w:rsidR="00DB1F8E" w:rsidRPr="00222597">
        <w:t>-4</w:t>
      </w:r>
      <w:r w:rsidRPr="00222597">
        <w:t xml:space="preserve"> of the submission</w:t>
      </w:r>
      <w:r w:rsidR="00DB1F8E" w:rsidRPr="00222597">
        <w:t>.</w:t>
      </w:r>
    </w:p>
    <w:p w:rsidR="00D647CD" w:rsidRPr="00222597" w:rsidRDefault="00D647CD" w:rsidP="00D647CD">
      <w:pPr>
        <w:pStyle w:val="TableFooter"/>
      </w:pPr>
    </w:p>
    <w:p w:rsidR="00886298" w:rsidRPr="00030326" w:rsidRDefault="00886298" w:rsidP="00F15765">
      <w:pPr>
        <w:pStyle w:val="ListParagraph"/>
        <w:widowControl/>
        <w:numPr>
          <w:ilvl w:val="1"/>
          <w:numId w:val="3"/>
        </w:numPr>
      </w:pPr>
      <w:r w:rsidRPr="00222597">
        <w:t xml:space="preserve">Lim 2008 demonstrated that </w:t>
      </w:r>
      <w:proofErr w:type="spellStart"/>
      <w:r w:rsidRPr="00222597">
        <w:t>goserelin</w:t>
      </w:r>
      <w:proofErr w:type="spellEnd"/>
      <w:r w:rsidRPr="00222597">
        <w:t xml:space="preserve"> and </w:t>
      </w:r>
      <w:proofErr w:type="spellStart"/>
      <w:r w:rsidRPr="00222597">
        <w:t>leuprorelin</w:t>
      </w:r>
      <w:proofErr w:type="spellEnd"/>
      <w:r w:rsidRPr="00222597">
        <w:t xml:space="preserve"> appear to have reasonably similar effectiveness in terms of improving haemoglobin levels and reducing uterine volume, when administered for </w:t>
      </w:r>
      <w:r w:rsidR="00030326">
        <w:t>three</w:t>
      </w:r>
      <w:r w:rsidRPr="00030326">
        <w:t xml:space="preserve"> months. In addition to exchangeability or transitivity concerns, the outcomes in Lim 2008 were reported in a manner that did not allow an indirect comparison of </w:t>
      </w:r>
      <w:proofErr w:type="spellStart"/>
      <w:r w:rsidRPr="00030326">
        <w:t>ulipristal</w:t>
      </w:r>
      <w:proofErr w:type="spellEnd"/>
      <w:r w:rsidRPr="00030326">
        <w:t xml:space="preserve"> and </w:t>
      </w:r>
      <w:proofErr w:type="spellStart"/>
      <w:r w:rsidRPr="00030326">
        <w:t>goserelin</w:t>
      </w:r>
      <w:proofErr w:type="spellEnd"/>
      <w:r w:rsidRPr="00030326">
        <w:t xml:space="preserve"> to be performed, i.e. using </w:t>
      </w:r>
      <w:proofErr w:type="spellStart"/>
      <w:r w:rsidRPr="00030326">
        <w:t>leuprorelin</w:t>
      </w:r>
      <w:proofErr w:type="spellEnd"/>
      <w:r w:rsidRPr="00030326">
        <w:t xml:space="preserve"> as the common comparator.</w:t>
      </w:r>
    </w:p>
    <w:p w:rsidR="00D647CD" w:rsidRPr="00F368D9" w:rsidRDefault="00D647CD" w:rsidP="00D647CD">
      <w:pPr>
        <w:pStyle w:val="ListParagraph"/>
        <w:widowControl/>
      </w:pPr>
    </w:p>
    <w:p w:rsidR="00D647CD" w:rsidRPr="00222597" w:rsidRDefault="00D647CD" w:rsidP="00F15765">
      <w:pPr>
        <w:pStyle w:val="ListParagraph"/>
        <w:widowControl/>
        <w:numPr>
          <w:ilvl w:val="1"/>
          <w:numId w:val="3"/>
        </w:numPr>
        <w:rPr>
          <w:szCs w:val="22"/>
        </w:rPr>
      </w:pPr>
      <w:r w:rsidRPr="00222597">
        <w:t xml:space="preserve">Based on the evidence presented in </w:t>
      </w:r>
      <w:r w:rsidR="00886298" w:rsidRPr="00222597">
        <w:t xml:space="preserve">the systematic review by </w:t>
      </w:r>
      <w:proofErr w:type="spellStart"/>
      <w:r w:rsidRPr="00222597">
        <w:t>Lethaby</w:t>
      </w:r>
      <w:proofErr w:type="spellEnd"/>
      <w:r w:rsidRPr="00222597">
        <w:t xml:space="preserve"> 2001, </w:t>
      </w:r>
      <w:proofErr w:type="spellStart"/>
      <w:r w:rsidRPr="00222597">
        <w:t>goserelin</w:t>
      </w:r>
      <w:proofErr w:type="spellEnd"/>
      <w:r w:rsidRPr="00222597">
        <w:t xml:space="preserve"> </w:t>
      </w:r>
      <w:r w:rsidR="00640DDE" w:rsidRPr="00222597">
        <w:t xml:space="preserve">was </w:t>
      </w:r>
      <w:r w:rsidRPr="00222597">
        <w:t xml:space="preserve">superior to both no pre-treatment and placebo in reducing uterine and fibroid size, and in improving </w:t>
      </w:r>
      <w:proofErr w:type="spellStart"/>
      <w:r w:rsidRPr="00222597">
        <w:t>haematologic</w:t>
      </w:r>
      <w:proofErr w:type="spellEnd"/>
      <w:r w:rsidRPr="00222597">
        <w:t xml:space="preserve"> indices prior to surgery. </w:t>
      </w:r>
      <w:r w:rsidR="001E3857" w:rsidRPr="00222597">
        <w:t>As all outcomes were reported as mean pre-operative value</w:t>
      </w:r>
      <w:r w:rsidR="0075410F" w:rsidRPr="00222597">
        <w:t>s</w:t>
      </w:r>
      <w:r w:rsidR="001E3857" w:rsidRPr="00222597">
        <w:t xml:space="preserve">, rather than the change from baseline, and as baseline values were not provided, an indirect comparison of </w:t>
      </w:r>
      <w:proofErr w:type="spellStart"/>
      <w:r w:rsidR="001E3857" w:rsidRPr="00222597">
        <w:t>ulipristal</w:t>
      </w:r>
      <w:proofErr w:type="spellEnd"/>
      <w:r w:rsidR="001E3857" w:rsidRPr="00222597">
        <w:t xml:space="preserve"> and </w:t>
      </w:r>
      <w:proofErr w:type="spellStart"/>
      <w:r w:rsidR="001E3857" w:rsidRPr="00222597">
        <w:t>goserelin</w:t>
      </w:r>
      <w:proofErr w:type="spellEnd"/>
      <w:r w:rsidR="001E3857" w:rsidRPr="00222597">
        <w:t xml:space="preserve">, </w:t>
      </w:r>
      <w:r w:rsidR="006B0FC4" w:rsidRPr="00222597">
        <w:t xml:space="preserve">with placebo as the common comparator, </w:t>
      </w:r>
      <w:r w:rsidR="001E3857" w:rsidRPr="00222597">
        <w:t xml:space="preserve">was not feasible. </w:t>
      </w:r>
    </w:p>
    <w:p w:rsidR="00D647CD" w:rsidRPr="00222597" w:rsidRDefault="00D647CD" w:rsidP="00D647CD">
      <w:pPr>
        <w:pStyle w:val="ListParagraph"/>
        <w:rPr>
          <w:szCs w:val="22"/>
        </w:rPr>
      </w:pPr>
    </w:p>
    <w:p w:rsidR="00886298" w:rsidRPr="00F368D9" w:rsidRDefault="009A302C" w:rsidP="00F15765">
      <w:pPr>
        <w:pStyle w:val="ListParagraph"/>
        <w:numPr>
          <w:ilvl w:val="1"/>
          <w:numId w:val="3"/>
        </w:numPr>
        <w:rPr>
          <w:szCs w:val="22"/>
        </w:rPr>
      </w:pPr>
      <w:r w:rsidRPr="00222597">
        <w:t>Given t</w:t>
      </w:r>
      <w:r w:rsidR="00886298" w:rsidRPr="00222597">
        <w:t xml:space="preserve">he </w:t>
      </w:r>
      <w:r w:rsidR="009D408A" w:rsidRPr="00222597">
        <w:t>absence</w:t>
      </w:r>
      <w:r w:rsidR="00886298" w:rsidRPr="00222597">
        <w:t xml:space="preserve"> of direct evidence, </w:t>
      </w:r>
      <w:r w:rsidR="009D408A" w:rsidRPr="00222597">
        <w:t xml:space="preserve">and the lack of comparable outcomes between the </w:t>
      </w:r>
      <w:proofErr w:type="spellStart"/>
      <w:r w:rsidR="009D408A" w:rsidRPr="00222597">
        <w:t>ulipristal</w:t>
      </w:r>
      <w:proofErr w:type="spellEnd"/>
      <w:r w:rsidR="009D408A" w:rsidRPr="00222597">
        <w:t xml:space="preserve"> and </w:t>
      </w:r>
      <w:proofErr w:type="spellStart"/>
      <w:r w:rsidR="009D408A" w:rsidRPr="00222597">
        <w:t>goserelin</w:t>
      </w:r>
      <w:proofErr w:type="spellEnd"/>
      <w:r w:rsidR="009D408A" w:rsidRPr="00222597">
        <w:t xml:space="preserve"> trials</w:t>
      </w:r>
      <w:r w:rsidR="00886298" w:rsidRPr="00222597">
        <w:t xml:space="preserve">, it was not possible to draw any conclusions regarding the relative effectiveness of </w:t>
      </w:r>
      <w:r w:rsidR="00222597">
        <w:t>short-term</w:t>
      </w:r>
      <w:r w:rsidR="00886298" w:rsidRPr="00222597">
        <w:t xml:space="preserve"> </w:t>
      </w:r>
      <w:proofErr w:type="spellStart"/>
      <w:r w:rsidR="00886298" w:rsidRPr="00222597">
        <w:t>ulipristal</w:t>
      </w:r>
      <w:proofErr w:type="spellEnd"/>
      <w:r w:rsidR="00886298" w:rsidRPr="00222597">
        <w:t xml:space="preserve"> and </w:t>
      </w:r>
      <w:proofErr w:type="spellStart"/>
      <w:r w:rsidR="00886298" w:rsidRPr="00222597">
        <w:t>goserelin</w:t>
      </w:r>
      <w:proofErr w:type="spellEnd"/>
      <w:r w:rsidR="00886298" w:rsidRPr="00222597">
        <w:t xml:space="preserve"> in terms of either reduction of abnormal uterine bleeding, reduction in uterine and/or fibroid volume, or surgical outcomes.</w:t>
      </w:r>
      <w:r w:rsidR="0027045A" w:rsidRPr="00030326">
        <w:t xml:space="preserve"> The ESC </w:t>
      </w:r>
      <w:r w:rsidR="002C6B0B" w:rsidRPr="00030326">
        <w:t xml:space="preserve">and PBAC </w:t>
      </w:r>
      <w:r w:rsidR="0027045A" w:rsidRPr="00030326">
        <w:t>agreed with this conclusion.</w:t>
      </w:r>
    </w:p>
    <w:p w:rsidR="00D647CD" w:rsidRPr="00222597" w:rsidRDefault="00D647CD" w:rsidP="00D647CD">
      <w:pPr>
        <w:pStyle w:val="ListParagraph"/>
      </w:pPr>
    </w:p>
    <w:p w:rsidR="002C0483" w:rsidRPr="00222597" w:rsidRDefault="002C0483" w:rsidP="002C0483">
      <w:pPr>
        <w:pStyle w:val="ListParagraph"/>
        <w:ind w:left="0"/>
        <w:rPr>
          <w:u w:val="single"/>
        </w:rPr>
      </w:pPr>
      <w:r w:rsidRPr="00222597">
        <w:rPr>
          <w:u w:val="single"/>
        </w:rPr>
        <w:t xml:space="preserve">Repeated intermittent medium-long term use of </w:t>
      </w:r>
      <w:proofErr w:type="spellStart"/>
      <w:r w:rsidRPr="00222597">
        <w:rPr>
          <w:u w:val="single"/>
        </w:rPr>
        <w:t>ulipristal</w:t>
      </w:r>
      <w:proofErr w:type="spellEnd"/>
      <w:r w:rsidRPr="00222597">
        <w:rPr>
          <w:u w:val="single"/>
        </w:rPr>
        <w:t xml:space="preserve"> (Clinical scenarios 2-4)</w:t>
      </w:r>
    </w:p>
    <w:p w:rsidR="002C0483" w:rsidRPr="00222597" w:rsidRDefault="002C0483" w:rsidP="00D647CD">
      <w:pPr>
        <w:pStyle w:val="ListParagraph"/>
      </w:pPr>
    </w:p>
    <w:p w:rsidR="00D647CD" w:rsidRPr="00222597" w:rsidRDefault="00D647CD" w:rsidP="00F15765">
      <w:pPr>
        <w:pStyle w:val="ListParagraph"/>
        <w:numPr>
          <w:ilvl w:val="1"/>
          <w:numId w:val="3"/>
        </w:numPr>
        <w:rPr>
          <w:szCs w:val="22"/>
        </w:rPr>
      </w:pPr>
      <w:r w:rsidRPr="00222597">
        <w:rPr>
          <w:szCs w:val="22"/>
        </w:rPr>
        <w:t>The results of PEARL IV indicate</w:t>
      </w:r>
      <w:r w:rsidR="00D1773B" w:rsidRPr="00222597">
        <w:rPr>
          <w:szCs w:val="22"/>
        </w:rPr>
        <w:t>d</w:t>
      </w:r>
      <w:r w:rsidRPr="00222597">
        <w:rPr>
          <w:szCs w:val="22"/>
        </w:rPr>
        <w:t xml:space="preserve"> that four </w:t>
      </w:r>
      <w:r w:rsidR="00D1773B" w:rsidRPr="00222597">
        <w:rPr>
          <w:szCs w:val="22"/>
        </w:rPr>
        <w:t xml:space="preserve">intermittent </w:t>
      </w:r>
      <w:r w:rsidRPr="00222597">
        <w:rPr>
          <w:szCs w:val="22"/>
        </w:rPr>
        <w:t xml:space="preserve">courses of </w:t>
      </w:r>
      <w:proofErr w:type="spellStart"/>
      <w:r w:rsidRPr="00222597">
        <w:rPr>
          <w:szCs w:val="22"/>
        </w:rPr>
        <w:t>ulipristal</w:t>
      </w:r>
      <w:proofErr w:type="spellEnd"/>
      <w:r w:rsidRPr="00222597">
        <w:rPr>
          <w:szCs w:val="22"/>
        </w:rPr>
        <w:t xml:space="preserve"> </w:t>
      </w:r>
      <w:r w:rsidR="00AC3F3C" w:rsidRPr="00222597">
        <w:rPr>
          <w:szCs w:val="22"/>
        </w:rPr>
        <w:t xml:space="preserve">5 </w:t>
      </w:r>
      <w:r w:rsidR="00B413FC" w:rsidRPr="00222597">
        <w:rPr>
          <w:szCs w:val="22"/>
        </w:rPr>
        <w:t>mg</w:t>
      </w:r>
      <w:r w:rsidRPr="00222597">
        <w:rPr>
          <w:szCs w:val="22"/>
        </w:rPr>
        <w:t xml:space="preserve">/daily </w:t>
      </w:r>
      <w:r w:rsidR="00D1773B" w:rsidRPr="00222597">
        <w:rPr>
          <w:szCs w:val="22"/>
        </w:rPr>
        <w:t>w</w:t>
      </w:r>
      <w:r w:rsidR="007C588E" w:rsidRPr="00222597">
        <w:rPr>
          <w:szCs w:val="22"/>
        </w:rPr>
        <w:t>ere</w:t>
      </w:r>
      <w:r w:rsidRPr="00222597">
        <w:rPr>
          <w:szCs w:val="22"/>
        </w:rPr>
        <w:t xml:space="preserve"> effective in </w:t>
      </w:r>
      <w:r w:rsidR="00B84439" w:rsidRPr="00222597">
        <w:rPr>
          <w:szCs w:val="22"/>
        </w:rPr>
        <w:t xml:space="preserve">controlling abnormal uterine </w:t>
      </w:r>
      <w:r w:rsidRPr="00222597">
        <w:rPr>
          <w:szCs w:val="22"/>
        </w:rPr>
        <w:t xml:space="preserve">bleeding and reducing fibroid and uterine volumes. However, given the non-comparative nature of PEARL IV, the </w:t>
      </w:r>
      <w:r w:rsidR="00E72EEF" w:rsidRPr="00222597">
        <w:rPr>
          <w:szCs w:val="22"/>
        </w:rPr>
        <w:t xml:space="preserve">magnitude </w:t>
      </w:r>
      <w:r w:rsidRPr="00222597">
        <w:rPr>
          <w:szCs w:val="22"/>
        </w:rPr>
        <w:t xml:space="preserve">of </w:t>
      </w:r>
      <w:r w:rsidR="00B84439" w:rsidRPr="00222597">
        <w:rPr>
          <w:szCs w:val="22"/>
        </w:rPr>
        <w:t xml:space="preserve">the </w:t>
      </w:r>
      <w:r w:rsidRPr="00222597">
        <w:rPr>
          <w:szCs w:val="22"/>
        </w:rPr>
        <w:t xml:space="preserve">treatment effect is unclear. </w:t>
      </w:r>
      <w:r w:rsidR="00B84439" w:rsidRPr="00222597">
        <w:rPr>
          <w:szCs w:val="22"/>
        </w:rPr>
        <w:t xml:space="preserve">The </w:t>
      </w:r>
      <w:r w:rsidRPr="00222597">
        <w:t xml:space="preserve">effectiveness of repeated intermittent courses of </w:t>
      </w:r>
      <w:proofErr w:type="spellStart"/>
      <w:r w:rsidRPr="00222597">
        <w:t>ulipristal</w:t>
      </w:r>
      <w:proofErr w:type="spellEnd"/>
      <w:r w:rsidRPr="00222597">
        <w:t xml:space="preserve"> in either delaying or preventing the requirement for surgery or o</w:t>
      </w:r>
      <w:r w:rsidR="00D1773B" w:rsidRPr="00222597">
        <w:t xml:space="preserve">ther interventions such as uterine artery </w:t>
      </w:r>
      <w:proofErr w:type="spellStart"/>
      <w:r w:rsidR="00D1773B" w:rsidRPr="00222597">
        <w:t>embolisation</w:t>
      </w:r>
      <w:proofErr w:type="spellEnd"/>
      <w:r w:rsidR="008372AD" w:rsidRPr="00222597">
        <w:t xml:space="preserve"> (UAE)</w:t>
      </w:r>
      <w:r w:rsidR="00B84439" w:rsidRPr="00222597">
        <w:t xml:space="preserve"> was not evaluated</w:t>
      </w:r>
      <w:r w:rsidRPr="00222597">
        <w:t>.</w:t>
      </w:r>
    </w:p>
    <w:p w:rsidR="00D647CD" w:rsidRPr="00222597" w:rsidRDefault="00D647CD" w:rsidP="00D647CD">
      <w:pPr>
        <w:pStyle w:val="ListParagraph"/>
        <w:rPr>
          <w:szCs w:val="22"/>
        </w:rPr>
      </w:pPr>
    </w:p>
    <w:p w:rsidR="00D647CD" w:rsidRPr="00030326" w:rsidRDefault="00D1773B" w:rsidP="00F15765">
      <w:pPr>
        <w:pStyle w:val="ListParagraph"/>
        <w:widowControl/>
        <w:numPr>
          <w:ilvl w:val="1"/>
          <w:numId w:val="3"/>
        </w:numPr>
        <w:rPr>
          <w:szCs w:val="22"/>
        </w:rPr>
      </w:pPr>
      <w:r w:rsidRPr="00222597">
        <w:rPr>
          <w:szCs w:val="22"/>
        </w:rPr>
        <w:t>The</w:t>
      </w:r>
      <w:r w:rsidR="002C6B0B" w:rsidRPr="00222597">
        <w:rPr>
          <w:szCs w:val="22"/>
        </w:rPr>
        <w:t xml:space="preserve"> PBAC noted that the</w:t>
      </w:r>
      <w:r w:rsidRPr="00222597">
        <w:rPr>
          <w:szCs w:val="22"/>
        </w:rPr>
        <w:t xml:space="preserve"> submission did not present any e</w:t>
      </w:r>
      <w:r w:rsidR="00D647CD" w:rsidRPr="00222597">
        <w:rPr>
          <w:szCs w:val="22"/>
        </w:rPr>
        <w:t>vidence on</w:t>
      </w:r>
      <w:r w:rsidRPr="00222597">
        <w:rPr>
          <w:szCs w:val="22"/>
        </w:rPr>
        <w:t xml:space="preserve"> the </w:t>
      </w:r>
      <w:r w:rsidR="00222597">
        <w:rPr>
          <w:szCs w:val="22"/>
        </w:rPr>
        <w:t>long-term</w:t>
      </w:r>
      <w:r w:rsidRPr="00222597">
        <w:rPr>
          <w:szCs w:val="22"/>
        </w:rPr>
        <w:t xml:space="preserve"> effectiveness </w:t>
      </w:r>
      <w:r w:rsidR="005F394A" w:rsidRPr="00222597">
        <w:rPr>
          <w:szCs w:val="22"/>
        </w:rPr>
        <w:t xml:space="preserve">of </w:t>
      </w:r>
      <w:proofErr w:type="spellStart"/>
      <w:r w:rsidR="005F394A" w:rsidRPr="00222597">
        <w:rPr>
          <w:szCs w:val="22"/>
        </w:rPr>
        <w:t>ulipristal</w:t>
      </w:r>
      <w:proofErr w:type="spellEnd"/>
      <w:r w:rsidR="005F394A" w:rsidRPr="00222597">
        <w:rPr>
          <w:szCs w:val="22"/>
        </w:rPr>
        <w:t xml:space="preserve"> </w:t>
      </w:r>
      <w:r w:rsidR="00AC3F3C" w:rsidRPr="00222597">
        <w:rPr>
          <w:szCs w:val="22"/>
        </w:rPr>
        <w:t xml:space="preserve">5 </w:t>
      </w:r>
      <w:r w:rsidR="00B413FC" w:rsidRPr="00222597">
        <w:rPr>
          <w:szCs w:val="22"/>
        </w:rPr>
        <w:t>mg</w:t>
      </w:r>
      <w:r w:rsidR="005F394A" w:rsidRPr="00222597">
        <w:rPr>
          <w:szCs w:val="22"/>
        </w:rPr>
        <w:t xml:space="preserve"> </w:t>
      </w:r>
      <w:r w:rsidR="00D647CD" w:rsidRPr="00030326">
        <w:rPr>
          <w:szCs w:val="22"/>
        </w:rPr>
        <w:t xml:space="preserve">daily </w:t>
      </w:r>
      <w:r w:rsidRPr="00030326">
        <w:rPr>
          <w:szCs w:val="22"/>
        </w:rPr>
        <w:t xml:space="preserve">beyond four intermittent </w:t>
      </w:r>
      <w:r w:rsidR="00030326">
        <w:rPr>
          <w:szCs w:val="22"/>
        </w:rPr>
        <w:t>three</w:t>
      </w:r>
      <w:r w:rsidRPr="00030326">
        <w:rPr>
          <w:szCs w:val="22"/>
        </w:rPr>
        <w:t xml:space="preserve">-month courses. </w:t>
      </w:r>
    </w:p>
    <w:p w:rsidR="00D647CD" w:rsidRPr="00F368D9" w:rsidRDefault="00D647CD" w:rsidP="00D647CD">
      <w:pPr>
        <w:rPr>
          <w:szCs w:val="22"/>
        </w:rPr>
      </w:pPr>
    </w:p>
    <w:p w:rsidR="00D647CD" w:rsidRPr="00222597" w:rsidRDefault="00D647CD" w:rsidP="001466EA">
      <w:pPr>
        <w:pStyle w:val="Heading2"/>
      </w:pPr>
      <w:bookmarkStart w:id="10" w:name="_Toc451165141"/>
      <w:r w:rsidRPr="00222597">
        <w:t>Comparative harms</w:t>
      </w:r>
      <w:bookmarkEnd w:id="10"/>
    </w:p>
    <w:p w:rsidR="00D647CD" w:rsidRPr="00222597" w:rsidRDefault="00D647CD" w:rsidP="00D647CD">
      <w:pPr>
        <w:ind w:left="720" w:hanging="720"/>
        <w:rPr>
          <w:szCs w:val="22"/>
        </w:rPr>
      </w:pPr>
    </w:p>
    <w:p w:rsidR="002C0483" w:rsidRPr="00030326" w:rsidRDefault="00222597" w:rsidP="002C0483">
      <w:pPr>
        <w:rPr>
          <w:szCs w:val="22"/>
          <w:u w:val="single"/>
        </w:rPr>
      </w:pPr>
      <w:r>
        <w:rPr>
          <w:szCs w:val="22"/>
          <w:u w:val="single"/>
        </w:rPr>
        <w:t>Short-term</w:t>
      </w:r>
      <w:r w:rsidR="002C0483" w:rsidRPr="00222597">
        <w:rPr>
          <w:szCs w:val="22"/>
          <w:u w:val="single"/>
        </w:rPr>
        <w:t xml:space="preserve"> use of </w:t>
      </w:r>
      <w:proofErr w:type="spellStart"/>
      <w:r w:rsidR="002C0483" w:rsidRPr="00222597">
        <w:rPr>
          <w:szCs w:val="22"/>
          <w:u w:val="single"/>
        </w:rPr>
        <w:t>ulipristal</w:t>
      </w:r>
      <w:proofErr w:type="spellEnd"/>
      <w:r w:rsidR="002C0483" w:rsidRPr="00222597">
        <w:rPr>
          <w:szCs w:val="22"/>
          <w:u w:val="single"/>
        </w:rPr>
        <w:t xml:space="preserve"> in patients planning surgery (Clinical scenario 1)</w:t>
      </w:r>
    </w:p>
    <w:p w:rsidR="002C0483" w:rsidRPr="00F368D9" w:rsidRDefault="002C0483" w:rsidP="00D647CD">
      <w:pPr>
        <w:ind w:left="720" w:hanging="720"/>
        <w:rPr>
          <w:szCs w:val="22"/>
        </w:rPr>
      </w:pPr>
    </w:p>
    <w:p w:rsidR="00D647CD" w:rsidRPr="00222597" w:rsidRDefault="00D647CD" w:rsidP="00F15765">
      <w:pPr>
        <w:pStyle w:val="ListParagraph"/>
        <w:widowControl/>
        <w:numPr>
          <w:ilvl w:val="1"/>
          <w:numId w:val="3"/>
        </w:numPr>
        <w:rPr>
          <w:szCs w:val="22"/>
        </w:rPr>
      </w:pPr>
      <w:r w:rsidRPr="00222597">
        <w:rPr>
          <w:szCs w:val="22"/>
        </w:rPr>
        <w:t xml:space="preserve">The key adverse events (AEs) in PEARL I are summarised below. </w:t>
      </w:r>
      <w:r w:rsidRPr="00222597">
        <w:t xml:space="preserve">The most frequent treatment-emergent AEs (TEAEs) </w:t>
      </w:r>
      <w:r w:rsidR="003C78D7" w:rsidRPr="00222597">
        <w:t xml:space="preserve">in the </w:t>
      </w:r>
      <w:proofErr w:type="spellStart"/>
      <w:r w:rsidR="003C78D7" w:rsidRPr="00222597">
        <w:t>ulipristal</w:t>
      </w:r>
      <w:proofErr w:type="spellEnd"/>
      <w:r w:rsidR="003C78D7" w:rsidRPr="00222597">
        <w:t xml:space="preserve"> treatment arm</w:t>
      </w:r>
      <w:r w:rsidRPr="00222597">
        <w:t xml:space="preserve"> were headache, and gastrointestinal</w:t>
      </w:r>
      <w:r w:rsidR="00886298" w:rsidRPr="00222597">
        <w:t xml:space="preserve"> AEs</w:t>
      </w:r>
      <w:r w:rsidRPr="00222597">
        <w:t xml:space="preserve">. Hot flushes were reported in 2.1% and 0% of patients in the </w:t>
      </w:r>
      <w:proofErr w:type="spellStart"/>
      <w:r w:rsidRPr="00222597">
        <w:t>ulipristal</w:t>
      </w:r>
      <w:proofErr w:type="spellEnd"/>
      <w:r w:rsidRPr="00222597">
        <w:t xml:space="preserve"> </w:t>
      </w:r>
      <w:r w:rsidR="000F20EC" w:rsidRPr="00222597">
        <w:t xml:space="preserve">5 </w:t>
      </w:r>
      <w:r w:rsidR="00B413FC" w:rsidRPr="00222597">
        <w:t>mg</w:t>
      </w:r>
      <w:r w:rsidRPr="00222597">
        <w:t xml:space="preserve"> and placebo groups, respectively.</w:t>
      </w:r>
    </w:p>
    <w:p w:rsidR="00D647CD" w:rsidRPr="00222597" w:rsidRDefault="00D647CD" w:rsidP="00D647CD">
      <w:pPr>
        <w:pStyle w:val="ListParagraph"/>
        <w:widowControl/>
        <w:rPr>
          <w:szCs w:val="22"/>
        </w:rPr>
      </w:pPr>
    </w:p>
    <w:p w:rsidR="00DB657F" w:rsidRPr="00222597" w:rsidRDefault="00DB657F">
      <w:pPr>
        <w:widowControl/>
        <w:jc w:val="left"/>
        <w:rPr>
          <w:rFonts w:ascii="Arial Narrow" w:hAnsi="Arial Narrow"/>
          <w:b/>
          <w:sz w:val="20"/>
        </w:rPr>
      </w:pPr>
      <w:r w:rsidRPr="00222597">
        <w:br w:type="page"/>
      </w:r>
    </w:p>
    <w:p w:rsidR="00D647CD" w:rsidRPr="00222597" w:rsidRDefault="007536B3" w:rsidP="00D647CD">
      <w:pPr>
        <w:pStyle w:val="TableHeader"/>
        <w:ind w:firstLine="720"/>
      </w:pPr>
      <w:r w:rsidRPr="00222597">
        <w:t>Table 5</w:t>
      </w:r>
      <w:r w:rsidR="00D647CD" w:rsidRPr="00222597">
        <w:t xml:space="preserve">: Summary of adverse events in the </w:t>
      </w:r>
      <w:r w:rsidR="00D22D4D" w:rsidRPr="00222597">
        <w:t>PEARL I (</w:t>
      </w:r>
      <w:proofErr w:type="spellStart"/>
      <w:r w:rsidR="00D22D4D" w:rsidRPr="00222597">
        <w:t>u</w:t>
      </w:r>
      <w:r w:rsidR="00D647CD" w:rsidRPr="00222597">
        <w:t>lipristal</w:t>
      </w:r>
      <w:proofErr w:type="spellEnd"/>
      <w:r w:rsidR="00D647CD" w:rsidRPr="00222597">
        <w:t xml:space="preserve"> versus placebo</w:t>
      </w:r>
      <w:r w:rsidR="00D22D4D" w:rsidRPr="00222597">
        <w:t>)</w:t>
      </w:r>
      <w:r w:rsidR="00D647CD" w:rsidRPr="00222597">
        <w:t xml:space="preserve"> </w:t>
      </w:r>
    </w:p>
    <w:tbl>
      <w:tblPr>
        <w:tblW w:w="4638"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165"/>
        <w:gridCol w:w="1548"/>
        <w:gridCol w:w="1570"/>
        <w:gridCol w:w="2141"/>
      </w:tblGrid>
      <w:tr w:rsidR="002A0A2D" w:rsidRPr="00222597" w:rsidTr="002A0A2D">
        <w:tc>
          <w:tcPr>
            <w:tcW w:w="1878" w:type="pct"/>
            <w:vAlign w:val="center"/>
          </w:tcPr>
          <w:p w:rsidR="002A0A2D" w:rsidRPr="00222597" w:rsidRDefault="002A0A2D" w:rsidP="002A0A2D">
            <w:pPr>
              <w:keepNext/>
              <w:keepLines/>
              <w:tabs>
                <w:tab w:val="left" w:pos="818"/>
              </w:tabs>
              <w:jc w:val="left"/>
              <w:rPr>
                <w:rFonts w:ascii="Arial Narrow" w:hAnsi="Arial Narrow"/>
                <w:sz w:val="20"/>
              </w:rPr>
            </w:pPr>
            <w:r w:rsidRPr="00222597">
              <w:rPr>
                <w:rFonts w:ascii="Arial Narrow" w:hAnsi="Arial Narrow"/>
                <w:b/>
                <w:sz w:val="20"/>
              </w:rPr>
              <w:t>PEARL I</w:t>
            </w:r>
          </w:p>
        </w:tc>
        <w:tc>
          <w:tcPr>
            <w:tcW w:w="919" w:type="pct"/>
            <w:vAlign w:val="center"/>
          </w:tcPr>
          <w:p w:rsidR="002A0A2D" w:rsidRPr="00222597" w:rsidRDefault="002A0A2D" w:rsidP="00B47EE5">
            <w:pPr>
              <w:keepNext/>
              <w:keepLines/>
              <w:jc w:val="center"/>
              <w:rPr>
                <w:rFonts w:ascii="Arial Narrow" w:hAnsi="Arial Narrow"/>
                <w:b/>
                <w:sz w:val="20"/>
              </w:rPr>
            </w:pPr>
            <w:proofErr w:type="spellStart"/>
            <w:r w:rsidRPr="00222597">
              <w:rPr>
                <w:rFonts w:ascii="Arial Narrow" w:hAnsi="Arial Narrow"/>
                <w:b/>
                <w:sz w:val="20"/>
              </w:rPr>
              <w:t>Ulipristal</w:t>
            </w:r>
            <w:proofErr w:type="spellEnd"/>
            <w:r w:rsidRPr="00222597">
              <w:rPr>
                <w:rFonts w:ascii="Arial Narrow" w:hAnsi="Arial Narrow"/>
                <w:b/>
                <w:sz w:val="20"/>
              </w:rPr>
              <w:t xml:space="preserve"> </w:t>
            </w:r>
            <w:r w:rsidR="00B413FC" w:rsidRPr="00222597">
              <w:rPr>
                <w:rFonts w:ascii="Arial Narrow" w:hAnsi="Arial Narrow"/>
                <w:b/>
                <w:sz w:val="20"/>
              </w:rPr>
              <w:t>5 mg</w:t>
            </w:r>
          </w:p>
          <w:p w:rsidR="002A0A2D" w:rsidRPr="00222597" w:rsidRDefault="002A0A2D" w:rsidP="00B47EE5">
            <w:pPr>
              <w:keepNext/>
              <w:keepLines/>
              <w:jc w:val="center"/>
              <w:rPr>
                <w:rFonts w:ascii="Arial Narrow" w:hAnsi="Arial Narrow"/>
                <w:b/>
                <w:sz w:val="20"/>
              </w:rPr>
            </w:pPr>
            <w:proofErr w:type="gramStart"/>
            <w:r w:rsidRPr="00222597">
              <w:rPr>
                <w:rFonts w:ascii="Arial Narrow" w:hAnsi="Arial Narrow"/>
                <w:b/>
                <w:sz w:val="20"/>
              </w:rPr>
              <w:t>n</w:t>
            </w:r>
            <w:proofErr w:type="gramEnd"/>
            <w:r w:rsidRPr="00222597">
              <w:rPr>
                <w:rFonts w:ascii="Arial Narrow" w:hAnsi="Arial Narrow"/>
                <w:b/>
                <w:sz w:val="20"/>
              </w:rPr>
              <w:t xml:space="preserve"> (%)</w:t>
            </w:r>
          </w:p>
          <w:p w:rsidR="002A0A2D" w:rsidRPr="00222597" w:rsidRDefault="002A0A2D" w:rsidP="00B47EE5">
            <w:pPr>
              <w:keepNext/>
              <w:keepLines/>
              <w:jc w:val="center"/>
              <w:rPr>
                <w:rFonts w:ascii="Arial Narrow" w:hAnsi="Arial Narrow"/>
                <w:sz w:val="20"/>
              </w:rPr>
            </w:pPr>
            <w:r w:rsidRPr="00222597">
              <w:rPr>
                <w:rFonts w:ascii="Arial Narrow" w:hAnsi="Arial Narrow"/>
                <w:b/>
                <w:sz w:val="20"/>
              </w:rPr>
              <w:t>N=95</w:t>
            </w:r>
          </w:p>
        </w:tc>
        <w:tc>
          <w:tcPr>
            <w:tcW w:w="932" w:type="pct"/>
            <w:vAlign w:val="center"/>
          </w:tcPr>
          <w:p w:rsidR="002A0A2D" w:rsidRPr="00222597" w:rsidRDefault="002A0A2D" w:rsidP="00B47EE5">
            <w:pPr>
              <w:keepNext/>
              <w:keepLines/>
              <w:jc w:val="center"/>
              <w:rPr>
                <w:rFonts w:ascii="Arial Narrow" w:hAnsi="Arial Narrow"/>
                <w:b/>
                <w:sz w:val="20"/>
              </w:rPr>
            </w:pPr>
            <w:r w:rsidRPr="00222597">
              <w:rPr>
                <w:rFonts w:ascii="Arial Narrow" w:hAnsi="Arial Narrow"/>
                <w:b/>
                <w:sz w:val="20"/>
              </w:rPr>
              <w:t>Placebo</w:t>
            </w:r>
          </w:p>
          <w:p w:rsidR="002A0A2D" w:rsidRPr="00222597" w:rsidRDefault="002A0A2D" w:rsidP="00B47EE5">
            <w:pPr>
              <w:keepNext/>
              <w:keepLines/>
              <w:jc w:val="center"/>
              <w:rPr>
                <w:rFonts w:ascii="Arial Narrow" w:hAnsi="Arial Narrow"/>
                <w:b/>
                <w:sz w:val="20"/>
              </w:rPr>
            </w:pPr>
            <w:proofErr w:type="gramStart"/>
            <w:r w:rsidRPr="00222597">
              <w:rPr>
                <w:rFonts w:ascii="Arial Narrow" w:hAnsi="Arial Narrow"/>
                <w:b/>
                <w:sz w:val="20"/>
              </w:rPr>
              <w:t>n</w:t>
            </w:r>
            <w:proofErr w:type="gramEnd"/>
            <w:r w:rsidRPr="00222597">
              <w:rPr>
                <w:rFonts w:ascii="Arial Narrow" w:hAnsi="Arial Narrow"/>
                <w:b/>
                <w:sz w:val="20"/>
              </w:rPr>
              <w:t xml:space="preserve"> (%)</w:t>
            </w:r>
          </w:p>
          <w:p w:rsidR="002A0A2D" w:rsidRPr="00222597" w:rsidRDefault="002A0A2D" w:rsidP="00B47EE5">
            <w:pPr>
              <w:keepNext/>
              <w:keepLines/>
              <w:jc w:val="center"/>
              <w:rPr>
                <w:rFonts w:ascii="Arial Narrow" w:hAnsi="Arial Narrow"/>
                <w:sz w:val="20"/>
              </w:rPr>
            </w:pPr>
            <w:r w:rsidRPr="00222597">
              <w:rPr>
                <w:rFonts w:ascii="Arial Narrow" w:hAnsi="Arial Narrow"/>
                <w:b/>
                <w:sz w:val="20"/>
              </w:rPr>
              <w:t>N=48</w:t>
            </w:r>
          </w:p>
        </w:tc>
        <w:tc>
          <w:tcPr>
            <w:tcW w:w="1271" w:type="pct"/>
          </w:tcPr>
          <w:p w:rsidR="002A0A2D" w:rsidRPr="00222597" w:rsidRDefault="002A0A2D" w:rsidP="00B47EE5">
            <w:pPr>
              <w:keepNext/>
              <w:keepLines/>
              <w:jc w:val="center"/>
              <w:rPr>
                <w:rFonts w:ascii="Arial Narrow" w:hAnsi="Arial Narrow"/>
                <w:b/>
                <w:sz w:val="20"/>
              </w:rPr>
            </w:pPr>
            <w:r w:rsidRPr="00222597">
              <w:rPr>
                <w:rFonts w:ascii="Arial Narrow" w:hAnsi="Arial Narrow"/>
                <w:b/>
                <w:sz w:val="20"/>
              </w:rPr>
              <w:t>Absolute difference</w:t>
            </w:r>
          </w:p>
          <w:p w:rsidR="002A0A2D" w:rsidRPr="00222597" w:rsidRDefault="002A0A2D" w:rsidP="00B47EE5">
            <w:pPr>
              <w:keepNext/>
              <w:keepLines/>
              <w:jc w:val="center"/>
              <w:rPr>
                <w:rFonts w:ascii="Arial Narrow" w:hAnsi="Arial Narrow"/>
                <w:b/>
                <w:sz w:val="20"/>
              </w:rPr>
            </w:pPr>
            <w:r w:rsidRPr="00222597">
              <w:rPr>
                <w:rFonts w:ascii="Arial Narrow" w:hAnsi="Arial Narrow"/>
                <w:b/>
                <w:sz w:val="20"/>
              </w:rPr>
              <w:t>(95% CI)</w:t>
            </w:r>
          </w:p>
        </w:tc>
      </w:tr>
      <w:tr w:rsidR="002A0A2D" w:rsidRPr="00222597" w:rsidTr="002A0A2D">
        <w:tc>
          <w:tcPr>
            <w:tcW w:w="1878" w:type="pct"/>
            <w:tcBorders>
              <w:bottom w:val="single" w:sz="4" w:space="0" w:color="auto"/>
            </w:tcBorders>
            <w:vAlign w:val="center"/>
          </w:tcPr>
          <w:p w:rsidR="002A0A2D" w:rsidRPr="00222597" w:rsidRDefault="002A0A2D" w:rsidP="00B47EE5">
            <w:pPr>
              <w:tabs>
                <w:tab w:val="left" w:pos="960"/>
              </w:tabs>
              <w:jc w:val="left"/>
              <w:rPr>
                <w:rFonts w:ascii="Arial Narrow" w:hAnsi="Arial Narrow"/>
                <w:sz w:val="20"/>
              </w:rPr>
            </w:pPr>
            <w:r w:rsidRPr="00222597">
              <w:rPr>
                <w:rFonts w:ascii="Arial Narrow" w:hAnsi="Arial Narrow"/>
                <w:sz w:val="20"/>
              </w:rPr>
              <w:t>At least 1 AE</w:t>
            </w:r>
          </w:p>
          <w:p w:rsidR="002A0A2D" w:rsidRPr="00222597" w:rsidRDefault="002A0A2D" w:rsidP="00B47EE5">
            <w:pPr>
              <w:tabs>
                <w:tab w:val="left" w:pos="960"/>
              </w:tabs>
              <w:jc w:val="left"/>
              <w:rPr>
                <w:rFonts w:ascii="Arial Narrow" w:hAnsi="Arial Narrow"/>
                <w:sz w:val="20"/>
              </w:rPr>
            </w:pPr>
            <w:r w:rsidRPr="00222597">
              <w:rPr>
                <w:rFonts w:ascii="Arial Narrow" w:hAnsi="Arial Narrow"/>
                <w:sz w:val="20"/>
              </w:rPr>
              <w:t>At least 1 TEAE</w:t>
            </w:r>
          </w:p>
          <w:p w:rsidR="002A0A2D" w:rsidRPr="00222597" w:rsidRDefault="002A0A2D" w:rsidP="00B47EE5">
            <w:pPr>
              <w:tabs>
                <w:tab w:val="left" w:pos="960"/>
              </w:tabs>
              <w:jc w:val="left"/>
              <w:rPr>
                <w:rFonts w:ascii="Arial Narrow" w:hAnsi="Arial Narrow"/>
                <w:sz w:val="20"/>
              </w:rPr>
            </w:pPr>
            <w:r w:rsidRPr="00222597">
              <w:rPr>
                <w:rFonts w:ascii="Arial Narrow" w:hAnsi="Arial Narrow"/>
                <w:sz w:val="20"/>
              </w:rPr>
              <w:t>Drug-related TEAE</w:t>
            </w:r>
          </w:p>
          <w:p w:rsidR="002A0A2D" w:rsidRPr="00222597" w:rsidRDefault="002A0A2D" w:rsidP="00B47EE5">
            <w:pPr>
              <w:tabs>
                <w:tab w:val="left" w:pos="960"/>
              </w:tabs>
              <w:jc w:val="left"/>
              <w:rPr>
                <w:rFonts w:ascii="Arial Narrow" w:hAnsi="Arial Narrow"/>
                <w:sz w:val="20"/>
              </w:rPr>
            </w:pPr>
            <w:r w:rsidRPr="00222597">
              <w:rPr>
                <w:rFonts w:ascii="Arial Narrow" w:hAnsi="Arial Narrow"/>
                <w:sz w:val="20"/>
              </w:rPr>
              <w:t>At least 1 Serious TEAE</w:t>
            </w:r>
          </w:p>
          <w:p w:rsidR="002A0A2D" w:rsidRPr="00222597" w:rsidRDefault="002A0A2D" w:rsidP="00B47EE5">
            <w:pPr>
              <w:tabs>
                <w:tab w:val="left" w:pos="960"/>
              </w:tabs>
              <w:jc w:val="left"/>
              <w:rPr>
                <w:rFonts w:ascii="Arial Narrow" w:hAnsi="Arial Narrow"/>
                <w:sz w:val="20"/>
              </w:rPr>
            </w:pPr>
            <w:r w:rsidRPr="00222597">
              <w:rPr>
                <w:rFonts w:ascii="Arial Narrow" w:hAnsi="Arial Narrow"/>
                <w:sz w:val="20"/>
              </w:rPr>
              <w:t>TEAE leading to discontinuation</w:t>
            </w:r>
          </w:p>
          <w:p w:rsidR="002A0A2D" w:rsidRPr="00222597" w:rsidRDefault="002A0A2D" w:rsidP="00B47EE5">
            <w:pPr>
              <w:tabs>
                <w:tab w:val="left" w:pos="960"/>
              </w:tabs>
              <w:jc w:val="left"/>
              <w:rPr>
                <w:rFonts w:ascii="Arial Narrow" w:hAnsi="Arial Narrow"/>
                <w:sz w:val="20"/>
              </w:rPr>
            </w:pPr>
            <w:r w:rsidRPr="00222597">
              <w:rPr>
                <w:rFonts w:ascii="Arial Narrow" w:hAnsi="Arial Narrow"/>
                <w:sz w:val="20"/>
              </w:rPr>
              <w:t>TEAE leading to study withdrawal</w:t>
            </w:r>
          </w:p>
          <w:p w:rsidR="002A0A2D" w:rsidRPr="00222597" w:rsidRDefault="002A0A2D" w:rsidP="00B47EE5">
            <w:pPr>
              <w:tabs>
                <w:tab w:val="left" w:pos="109"/>
              </w:tabs>
              <w:jc w:val="left"/>
              <w:rPr>
                <w:rFonts w:ascii="Arial Narrow" w:hAnsi="Arial Narrow"/>
                <w:sz w:val="20"/>
              </w:rPr>
            </w:pPr>
            <w:r w:rsidRPr="00222597">
              <w:rPr>
                <w:rFonts w:ascii="Arial Narrow" w:hAnsi="Arial Narrow"/>
                <w:sz w:val="20"/>
              </w:rPr>
              <w:t>Serious TEAE in follow-up (Week 17-38)</w:t>
            </w:r>
          </w:p>
        </w:tc>
        <w:tc>
          <w:tcPr>
            <w:tcW w:w="919" w:type="pct"/>
            <w:tcBorders>
              <w:bottom w:val="single" w:sz="4" w:space="0" w:color="auto"/>
            </w:tcBorders>
          </w:tcPr>
          <w:p w:rsidR="002A0A2D" w:rsidRPr="00222597" w:rsidRDefault="002A0A2D" w:rsidP="00B47EE5">
            <w:pPr>
              <w:jc w:val="center"/>
              <w:rPr>
                <w:rFonts w:ascii="Arial Narrow" w:hAnsi="Arial Narrow"/>
                <w:sz w:val="20"/>
              </w:rPr>
            </w:pPr>
            <w:r w:rsidRPr="00222597">
              <w:rPr>
                <w:rFonts w:ascii="Arial Narrow" w:hAnsi="Arial Narrow"/>
                <w:sz w:val="20"/>
              </w:rPr>
              <w:t>48 (50.5%)</w:t>
            </w:r>
          </w:p>
          <w:p w:rsidR="002A0A2D" w:rsidRPr="00222597" w:rsidRDefault="002A0A2D" w:rsidP="00B47EE5">
            <w:pPr>
              <w:jc w:val="center"/>
              <w:rPr>
                <w:rFonts w:ascii="Arial Narrow" w:hAnsi="Arial Narrow"/>
                <w:sz w:val="20"/>
              </w:rPr>
            </w:pPr>
            <w:r w:rsidRPr="00222597">
              <w:rPr>
                <w:rFonts w:ascii="Arial Narrow" w:hAnsi="Arial Narrow"/>
                <w:sz w:val="20"/>
              </w:rPr>
              <w:t>47 (49.5%)</w:t>
            </w:r>
          </w:p>
          <w:p w:rsidR="002A0A2D" w:rsidRPr="00222597" w:rsidRDefault="002A0A2D" w:rsidP="00B47EE5">
            <w:pPr>
              <w:jc w:val="center"/>
              <w:rPr>
                <w:rFonts w:ascii="Arial Narrow" w:hAnsi="Arial Narrow"/>
                <w:sz w:val="20"/>
              </w:rPr>
            </w:pPr>
            <w:r w:rsidRPr="00222597">
              <w:rPr>
                <w:rFonts w:ascii="Arial Narrow" w:hAnsi="Arial Narrow"/>
                <w:sz w:val="20"/>
              </w:rPr>
              <w:t>18 (18.9%)</w:t>
            </w:r>
          </w:p>
          <w:p w:rsidR="002A0A2D" w:rsidRPr="00222597" w:rsidRDefault="002A0A2D" w:rsidP="00B47EE5">
            <w:pPr>
              <w:jc w:val="center"/>
              <w:rPr>
                <w:rFonts w:ascii="Arial Narrow" w:hAnsi="Arial Narrow"/>
                <w:sz w:val="20"/>
              </w:rPr>
            </w:pPr>
            <w:r w:rsidRPr="00222597">
              <w:rPr>
                <w:rFonts w:ascii="Arial Narrow" w:hAnsi="Arial Narrow"/>
                <w:sz w:val="20"/>
              </w:rPr>
              <w:t>2 (2.1%)</w:t>
            </w:r>
          </w:p>
          <w:p w:rsidR="002A0A2D" w:rsidRPr="00222597" w:rsidRDefault="002A0A2D" w:rsidP="00B47EE5">
            <w:pPr>
              <w:jc w:val="center"/>
              <w:rPr>
                <w:rFonts w:ascii="Arial Narrow" w:hAnsi="Arial Narrow"/>
                <w:sz w:val="20"/>
              </w:rPr>
            </w:pPr>
            <w:r w:rsidRPr="00222597">
              <w:rPr>
                <w:rFonts w:ascii="Arial Narrow" w:hAnsi="Arial Narrow"/>
                <w:sz w:val="20"/>
              </w:rPr>
              <w:t>1 (1.1%)</w:t>
            </w:r>
          </w:p>
          <w:p w:rsidR="002A0A2D" w:rsidRPr="00222597" w:rsidRDefault="002A0A2D" w:rsidP="00B47EE5">
            <w:pPr>
              <w:jc w:val="center"/>
              <w:rPr>
                <w:rFonts w:ascii="Arial Narrow" w:hAnsi="Arial Narrow"/>
                <w:sz w:val="20"/>
              </w:rPr>
            </w:pPr>
            <w:r w:rsidRPr="00222597">
              <w:rPr>
                <w:rFonts w:ascii="Arial Narrow" w:hAnsi="Arial Narrow"/>
                <w:sz w:val="20"/>
              </w:rPr>
              <w:t>0</w:t>
            </w:r>
          </w:p>
          <w:p w:rsidR="002A0A2D" w:rsidRPr="00222597" w:rsidRDefault="002A0A2D" w:rsidP="00B47EE5">
            <w:pPr>
              <w:jc w:val="center"/>
              <w:rPr>
                <w:rFonts w:ascii="Arial Narrow" w:hAnsi="Arial Narrow"/>
                <w:sz w:val="20"/>
                <w:vertAlign w:val="superscript"/>
              </w:rPr>
            </w:pPr>
            <w:r w:rsidRPr="00222597">
              <w:rPr>
                <w:rFonts w:ascii="Arial Narrow" w:hAnsi="Arial Narrow"/>
                <w:sz w:val="20"/>
              </w:rPr>
              <w:t>0</w:t>
            </w:r>
          </w:p>
        </w:tc>
        <w:tc>
          <w:tcPr>
            <w:tcW w:w="932" w:type="pct"/>
            <w:tcBorders>
              <w:bottom w:val="single" w:sz="4" w:space="0" w:color="auto"/>
            </w:tcBorders>
          </w:tcPr>
          <w:p w:rsidR="002A0A2D" w:rsidRPr="00222597" w:rsidRDefault="002A0A2D" w:rsidP="00B47EE5">
            <w:pPr>
              <w:jc w:val="center"/>
              <w:rPr>
                <w:rFonts w:ascii="Arial Narrow" w:hAnsi="Arial Narrow"/>
                <w:sz w:val="20"/>
              </w:rPr>
            </w:pPr>
            <w:r w:rsidRPr="00222597">
              <w:rPr>
                <w:rFonts w:ascii="Arial Narrow" w:hAnsi="Arial Narrow"/>
                <w:sz w:val="20"/>
              </w:rPr>
              <w:t>24 (50.0%)</w:t>
            </w:r>
          </w:p>
          <w:p w:rsidR="002A0A2D" w:rsidRPr="00222597" w:rsidRDefault="002A0A2D" w:rsidP="00B47EE5">
            <w:pPr>
              <w:jc w:val="center"/>
              <w:rPr>
                <w:rFonts w:ascii="Arial Narrow" w:hAnsi="Arial Narrow"/>
                <w:sz w:val="20"/>
              </w:rPr>
            </w:pPr>
            <w:r w:rsidRPr="00222597">
              <w:rPr>
                <w:rFonts w:ascii="Arial Narrow" w:hAnsi="Arial Narrow"/>
                <w:sz w:val="20"/>
              </w:rPr>
              <w:t>22 (45.8%)</w:t>
            </w:r>
          </w:p>
          <w:p w:rsidR="002A0A2D" w:rsidRPr="00222597" w:rsidRDefault="002A0A2D" w:rsidP="00B47EE5">
            <w:pPr>
              <w:jc w:val="center"/>
              <w:rPr>
                <w:rFonts w:ascii="Arial Narrow" w:hAnsi="Arial Narrow"/>
                <w:sz w:val="20"/>
              </w:rPr>
            </w:pPr>
            <w:r w:rsidRPr="00222597">
              <w:rPr>
                <w:rFonts w:ascii="Arial Narrow" w:hAnsi="Arial Narrow"/>
                <w:sz w:val="20"/>
              </w:rPr>
              <w:t>4 (8.3%)</w:t>
            </w:r>
          </w:p>
          <w:p w:rsidR="002A0A2D" w:rsidRPr="00222597" w:rsidRDefault="002A0A2D" w:rsidP="00B47EE5">
            <w:pPr>
              <w:jc w:val="center"/>
              <w:rPr>
                <w:rFonts w:ascii="Arial Narrow" w:hAnsi="Arial Narrow"/>
                <w:sz w:val="20"/>
              </w:rPr>
            </w:pPr>
            <w:r w:rsidRPr="00222597">
              <w:rPr>
                <w:rFonts w:ascii="Arial Narrow" w:hAnsi="Arial Narrow"/>
                <w:sz w:val="20"/>
              </w:rPr>
              <w:t>2 (4.2%)</w:t>
            </w:r>
          </w:p>
          <w:p w:rsidR="002A0A2D" w:rsidRPr="00222597" w:rsidRDefault="002A0A2D" w:rsidP="00B47EE5">
            <w:pPr>
              <w:jc w:val="center"/>
              <w:rPr>
                <w:rFonts w:ascii="Arial Narrow" w:hAnsi="Arial Narrow"/>
                <w:sz w:val="20"/>
              </w:rPr>
            </w:pPr>
            <w:r w:rsidRPr="00222597">
              <w:rPr>
                <w:rFonts w:ascii="Arial Narrow" w:hAnsi="Arial Narrow"/>
                <w:sz w:val="20"/>
              </w:rPr>
              <w:t>1 (2.1%)</w:t>
            </w:r>
          </w:p>
          <w:p w:rsidR="002A0A2D" w:rsidRPr="00222597" w:rsidRDefault="002A0A2D" w:rsidP="00B47EE5">
            <w:pPr>
              <w:jc w:val="center"/>
              <w:rPr>
                <w:rFonts w:ascii="Arial Narrow" w:hAnsi="Arial Narrow"/>
                <w:sz w:val="20"/>
              </w:rPr>
            </w:pPr>
            <w:r w:rsidRPr="00222597">
              <w:rPr>
                <w:rFonts w:ascii="Arial Narrow" w:hAnsi="Arial Narrow"/>
                <w:sz w:val="20"/>
              </w:rPr>
              <w:t>0</w:t>
            </w:r>
          </w:p>
          <w:p w:rsidR="002A0A2D" w:rsidRPr="00222597" w:rsidRDefault="002A0A2D" w:rsidP="00B47EE5">
            <w:pPr>
              <w:jc w:val="center"/>
              <w:rPr>
                <w:rFonts w:ascii="Arial Narrow" w:hAnsi="Arial Narrow"/>
                <w:sz w:val="20"/>
                <w:vertAlign w:val="superscript"/>
              </w:rPr>
            </w:pPr>
            <w:r w:rsidRPr="00222597">
              <w:rPr>
                <w:rFonts w:ascii="Arial Narrow" w:hAnsi="Arial Narrow"/>
                <w:sz w:val="20"/>
              </w:rPr>
              <w:t>1 (2.1%)</w:t>
            </w:r>
          </w:p>
        </w:tc>
        <w:tc>
          <w:tcPr>
            <w:tcW w:w="1271" w:type="pct"/>
            <w:tcBorders>
              <w:bottom w:val="single" w:sz="4" w:space="0" w:color="auto"/>
            </w:tcBorders>
          </w:tcPr>
          <w:p w:rsidR="002A0A2D" w:rsidRPr="00222597" w:rsidRDefault="002A0A2D" w:rsidP="00B47EE5">
            <w:pPr>
              <w:jc w:val="center"/>
              <w:rPr>
                <w:rFonts w:ascii="Arial Narrow" w:hAnsi="Arial Narrow"/>
                <w:i/>
                <w:sz w:val="20"/>
              </w:rPr>
            </w:pPr>
            <w:r w:rsidRPr="00222597">
              <w:rPr>
                <w:rFonts w:ascii="Arial Narrow" w:hAnsi="Arial Narrow"/>
                <w:i/>
                <w:sz w:val="20"/>
              </w:rPr>
              <w:t>0.5% (-16.8%, 17.9%)</w:t>
            </w:r>
          </w:p>
          <w:p w:rsidR="002A0A2D" w:rsidRPr="00222597" w:rsidRDefault="002A0A2D" w:rsidP="00B47EE5">
            <w:pPr>
              <w:jc w:val="center"/>
              <w:rPr>
                <w:rFonts w:ascii="Arial Narrow" w:hAnsi="Arial Narrow"/>
                <w:i/>
                <w:sz w:val="20"/>
              </w:rPr>
            </w:pPr>
            <w:r w:rsidRPr="00222597">
              <w:rPr>
                <w:rFonts w:ascii="Arial Narrow" w:hAnsi="Arial Narrow"/>
                <w:i/>
                <w:sz w:val="20"/>
              </w:rPr>
              <w:t>3.6% (-13.7%, 21.0%)</w:t>
            </w:r>
          </w:p>
          <w:p w:rsidR="002A0A2D" w:rsidRPr="00222597" w:rsidRDefault="002A0A2D" w:rsidP="00B47EE5">
            <w:pPr>
              <w:jc w:val="center"/>
              <w:rPr>
                <w:rFonts w:ascii="Arial Narrow" w:hAnsi="Arial Narrow"/>
                <w:i/>
                <w:sz w:val="20"/>
              </w:rPr>
            </w:pPr>
            <w:r w:rsidRPr="00222597">
              <w:rPr>
                <w:rFonts w:ascii="Arial Narrow" w:hAnsi="Arial Narrow"/>
                <w:i/>
                <w:sz w:val="20"/>
              </w:rPr>
              <w:t>10.6% (-0.5%, 21.7%)</w:t>
            </w:r>
          </w:p>
          <w:p w:rsidR="002A0A2D" w:rsidRPr="00222597" w:rsidRDefault="002A0A2D" w:rsidP="00B47EE5">
            <w:pPr>
              <w:jc w:val="center"/>
              <w:rPr>
                <w:rFonts w:ascii="Arial Narrow" w:hAnsi="Arial Narrow"/>
                <w:i/>
                <w:sz w:val="20"/>
              </w:rPr>
            </w:pPr>
            <w:r w:rsidRPr="00222597">
              <w:rPr>
                <w:rFonts w:ascii="Arial Narrow" w:hAnsi="Arial Narrow"/>
                <w:i/>
                <w:sz w:val="20"/>
              </w:rPr>
              <w:t>-2.1% (-8.4%, 4.3%)</w:t>
            </w:r>
          </w:p>
          <w:p w:rsidR="002A0A2D" w:rsidRPr="00222597" w:rsidRDefault="002A0A2D" w:rsidP="00B47EE5">
            <w:pPr>
              <w:jc w:val="center"/>
              <w:rPr>
                <w:rFonts w:ascii="Arial Narrow" w:hAnsi="Arial Narrow"/>
                <w:i/>
                <w:sz w:val="20"/>
              </w:rPr>
            </w:pPr>
            <w:r w:rsidRPr="00222597">
              <w:rPr>
                <w:rFonts w:ascii="Arial Narrow" w:hAnsi="Arial Narrow"/>
                <w:i/>
                <w:sz w:val="20"/>
              </w:rPr>
              <w:t>-1.0% (-5.6%, 3.5%)</w:t>
            </w:r>
          </w:p>
          <w:p w:rsidR="002A0A2D" w:rsidRPr="00222597" w:rsidRDefault="002A0A2D" w:rsidP="00B47EE5">
            <w:pPr>
              <w:jc w:val="center"/>
              <w:rPr>
                <w:rFonts w:ascii="Arial Narrow" w:hAnsi="Arial Narrow"/>
                <w:i/>
                <w:sz w:val="20"/>
              </w:rPr>
            </w:pPr>
            <w:r w:rsidRPr="00222597">
              <w:rPr>
                <w:rFonts w:ascii="Arial Narrow" w:hAnsi="Arial Narrow"/>
                <w:i/>
                <w:sz w:val="20"/>
              </w:rPr>
              <w:t>-</w:t>
            </w:r>
          </w:p>
          <w:p w:rsidR="002A0A2D" w:rsidRPr="00222597" w:rsidRDefault="002A0A2D" w:rsidP="00B47EE5">
            <w:pPr>
              <w:jc w:val="center"/>
              <w:rPr>
                <w:rFonts w:ascii="Arial Narrow" w:hAnsi="Arial Narrow"/>
                <w:i/>
                <w:sz w:val="20"/>
              </w:rPr>
            </w:pPr>
            <w:r w:rsidRPr="00222597">
              <w:rPr>
                <w:rFonts w:ascii="Arial Narrow" w:hAnsi="Arial Narrow"/>
                <w:i/>
                <w:sz w:val="20"/>
              </w:rPr>
              <w:t>-2.1% (-6.1</w:t>
            </w:r>
            <w:r w:rsidR="00FE124C" w:rsidRPr="00222597">
              <w:rPr>
                <w:rFonts w:ascii="Arial Narrow" w:hAnsi="Arial Narrow"/>
                <w:i/>
                <w:sz w:val="20"/>
              </w:rPr>
              <w:t>%</w:t>
            </w:r>
            <w:r w:rsidRPr="00222597">
              <w:rPr>
                <w:rFonts w:ascii="Arial Narrow" w:hAnsi="Arial Narrow"/>
                <w:i/>
                <w:sz w:val="20"/>
              </w:rPr>
              <w:t>, 2.0</w:t>
            </w:r>
            <w:r w:rsidR="00FE124C" w:rsidRPr="00222597">
              <w:rPr>
                <w:rFonts w:ascii="Arial Narrow" w:hAnsi="Arial Narrow"/>
                <w:i/>
                <w:sz w:val="20"/>
              </w:rPr>
              <w:t>%</w:t>
            </w:r>
            <w:r w:rsidRPr="00222597">
              <w:rPr>
                <w:rFonts w:ascii="Arial Narrow" w:hAnsi="Arial Narrow"/>
                <w:i/>
                <w:sz w:val="20"/>
              </w:rPr>
              <w:t>)</w:t>
            </w:r>
          </w:p>
        </w:tc>
      </w:tr>
      <w:tr w:rsidR="002A0A2D" w:rsidRPr="00222597" w:rsidTr="002A0A2D">
        <w:tc>
          <w:tcPr>
            <w:tcW w:w="5000" w:type="pct"/>
            <w:gridSpan w:val="4"/>
            <w:tcBorders>
              <w:bottom w:val="single" w:sz="4" w:space="0" w:color="auto"/>
            </w:tcBorders>
            <w:vAlign w:val="center"/>
          </w:tcPr>
          <w:p w:rsidR="002A0A2D" w:rsidRPr="00222597" w:rsidRDefault="002A0A2D" w:rsidP="00B47EE5">
            <w:pPr>
              <w:jc w:val="left"/>
              <w:rPr>
                <w:rFonts w:ascii="Arial Narrow" w:hAnsi="Arial Narrow"/>
                <w:sz w:val="20"/>
              </w:rPr>
            </w:pPr>
            <w:r w:rsidRPr="00222597">
              <w:rPr>
                <w:rFonts w:ascii="Arial Narrow" w:hAnsi="Arial Narrow"/>
                <w:sz w:val="20"/>
              </w:rPr>
              <w:t xml:space="preserve">TEAEs occurring in at least 3% of the patients in any </w:t>
            </w:r>
            <w:proofErr w:type="spellStart"/>
            <w:r w:rsidRPr="00222597">
              <w:rPr>
                <w:rFonts w:ascii="Arial Narrow" w:hAnsi="Arial Narrow"/>
                <w:sz w:val="20"/>
              </w:rPr>
              <w:t>group</w:t>
            </w:r>
            <w:r w:rsidRPr="00222597">
              <w:rPr>
                <w:rFonts w:ascii="Arial Narrow" w:hAnsi="Arial Narrow"/>
                <w:sz w:val="20"/>
                <w:vertAlign w:val="superscript"/>
              </w:rPr>
              <w:t>a</w:t>
            </w:r>
            <w:proofErr w:type="spellEnd"/>
          </w:p>
        </w:tc>
      </w:tr>
      <w:tr w:rsidR="002A0A2D" w:rsidRPr="00222597" w:rsidTr="002A0A2D">
        <w:tc>
          <w:tcPr>
            <w:tcW w:w="1878" w:type="pct"/>
            <w:tcBorders>
              <w:top w:val="single" w:sz="4" w:space="0" w:color="auto"/>
            </w:tcBorders>
            <w:vAlign w:val="center"/>
          </w:tcPr>
          <w:p w:rsidR="002A0A2D" w:rsidRPr="00222597" w:rsidRDefault="002A0A2D" w:rsidP="00B47EE5">
            <w:pPr>
              <w:ind w:left="109"/>
              <w:jc w:val="left"/>
              <w:rPr>
                <w:rFonts w:ascii="Arial Narrow" w:hAnsi="Arial Narrow"/>
                <w:sz w:val="20"/>
              </w:rPr>
            </w:pPr>
            <w:r w:rsidRPr="00222597">
              <w:rPr>
                <w:rFonts w:ascii="Arial Narrow" w:hAnsi="Arial Narrow"/>
                <w:sz w:val="20"/>
              </w:rPr>
              <w:t>Headache</w:t>
            </w:r>
          </w:p>
          <w:p w:rsidR="002A0A2D" w:rsidRPr="00222597" w:rsidRDefault="002A0A2D" w:rsidP="00B47EE5">
            <w:pPr>
              <w:ind w:left="109"/>
              <w:jc w:val="left"/>
              <w:rPr>
                <w:rFonts w:ascii="Arial Narrow" w:hAnsi="Arial Narrow"/>
                <w:sz w:val="20"/>
              </w:rPr>
            </w:pPr>
            <w:r w:rsidRPr="00222597">
              <w:rPr>
                <w:rFonts w:ascii="Arial Narrow" w:hAnsi="Arial Narrow"/>
                <w:sz w:val="20"/>
              </w:rPr>
              <w:t>Constipation</w:t>
            </w:r>
          </w:p>
          <w:p w:rsidR="002A0A2D" w:rsidRPr="00222597" w:rsidRDefault="002A0A2D" w:rsidP="00B47EE5">
            <w:pPr>
              <w:ind w:left="109"/>
              <w:jc w:val="left"/>
              <w:rPr>
                <w:rFonts w:ascii="Arial Narrow" w:hAnsi="Arial Narrow"/>
                <w:sz w:val="20"/>
              </w:rPr>
            </w:pPr>
            <w:r w:rsidRPr="00222597">
              <w:rPr>
                <w:rFonts w:ascii="Arial Narrow" w:hAnsi="Arial Narrow"/>
                <w:sz w:val="20"/>
              </w:rPr>
              <w:t>Pyrexia</w:t>
            </w:r>
          </w:p>
          <w:p w:rsidR="002A0A2D" w:rsidRPr="00222597" w:rsidRDefault="002A0A2D" w:rsidP="00B47EE5">
            <w:pPr>
              <w:ind w:left="109"/>
              <w:jc w:val="left"/>
              <w:rPr>
                <w:rFonts w:ascii="Arial Narrow" w:hAnsi="Arial Narrow"/>
                <w:sz w:val="20"/>
              </w:rPr>
            </w:pPr>
            <w:proofErr w:type="spellStart"/>
            <w:r w:rsidRPr="00222597">
              <w:rPr>
                <w:rFonts w:ascii="Arial Narrow" w:hAnsi="Arial Narrow"/>
                <w:sz w:val="20"/>
              </w:rPr>
              <w:t>Hypercholesterolaemia</w:t>
            </w:r>
            <w:proofErr w:type="spellEnd"/>
          </w:p>
          <w:p w:rsidR="002A0A2D" w:rsidRPr="00222597" w:rsidRDefault="002A0A2D" w:rsidP="00B47EE5">
            <w:pPr>
              <w:ind w:left="109"/>
              <w:jc w:val="left"/>
              <w:rPr>
                <w:rFonts w:ascii="Arial Narrow" w:hAnsi="Arial Narrow"/>
                <w:sz w:val="20"/>
              </w:rPr>
            </w:pPr>
            <w:proofErr w:type="spellStart"/>
            <w:r w:rsidRPr="00222597">
              <w:rPr>
                <w:rFonts w:ascii="Arial Narrow" w:hAnsi="Arial Narrow"/>
                <w:sz w:val="20"/>
              </w:rPr>
              <w:t>Hypertriglyceridaemia</w:t>
            </w:r>
            <w:proofErr w:type="spellEnd"/>
          </w:p>
          <w:p w:rsidR="002A0A2D" w:rsidRPr="00222597" w:rsidRDefault="002A0A2D" w:rsidP="00B47EE5">
            <w:pPr>
              <w:ind w:left="109"/>
              <w:jc w:val="left"/>
              <w:rPr>
                <w:rFonts w:ascii="Arial Narrow" w:hAnsi="Arial Narrow"/>
                <w:sz w:val="20"/>
              </w:rPr>
            </w:pPr>
            <w:proofErr w:type="spellStart"/>
            <w:r w:rsidRPr="00222597">
              <w:rPr>
                <w:rFonts w:ascii="Arial Narrow" w:hAnsi="Arial Narrow"/>
                <w:sz w:val="20"/>
              </w:rPr>
              <w:t>Nasopharyngitis</w:t>
            </w:r>
            <w:proofErr w:type="spellEnd"/>
          </w:p>
          <w:p w:rsidR="002A0A2D" w:rsidRPr="00222597" w:rsidRDefault="002A0A2D" w:rsidP="00B47EE5">
            <w:pPr>
              <w:ind w:left="109"/>
              <w:jc w:val="left"/>
              <w:rPr>
                <w:rFonts w:ascii="Arial Narrow" w:hAnsi="Arial Narrow"/>
                <w:sz w:val="20"/>
              </w:rPr>
            </w:pPr>
            <w:r w:rsidRPr="00222597">
              <w:rPr>
                <w:rFonts w:ascii="Arial Narrow" w:hAnsi="Arial Narrow"/>
                <w:sz w:val="20"/>
              </w:rPr>
              <w:t>Breast pain or tenderness</w:t>
            </w:r>
          </w:p>
          <w:p w:rsidR="002A0A2D" w:rsidRPr="00222597" w:rsidRDefault="002A0A2D" w:rsidP="00B47EE5">
            <w:pPr>
              <w:ind w:left="109"/>
              <w:jc w:val="left"/>
              <w:rPr>
                <w:rFonts w:ascii="Arial Narrow" w:hAnsi="Arial Narrow"/>
                <w:sz w:val="20"/>
              </w:rPr>
            </w:pPr>
            <w:r w:rsidRPr="00222597">
              <w:rPr>
                <w:rFonts w:ascii="Arial Narrow" w:hAnsi="Arial Narrow"/>
                <w:sz w:val="20"/>
              </w:rPr>
              <w:t>Abdominal pain</w:t>
            </w:r>
          </w:p>
          <w:p w:rsidR="002A0A2D" w:rsidRPr="00222597" w:rsidRDefault="002A0A2D" w:rsidP="00B47EE5">
            <w:pPr>
              <w:ind w:left="109"/>
              <w:jc w:val="left"/>
              <w:rPr>
                <w:rFonts w:ascii="Arial Narrow" w:hAnsi="Arial Narrow"/>
                <w:sz w:val="20"/>
              </w:rPr>
            </w:pPr>
            <w:r w:rsidRPr="00222597">
              <w:rPr>
                <w:rFonts w:ascii="Arial Narrow" w:hAnsi="Arial Narrow"/>
                <w:sz w:val="20"/>
              </w:rPr>
              <w:t>Hypothyroidism</w:t>
            </w:r>
          </w:p>
          <w:p w:rsidR="002A0A2D" w:rsidRPr="00222597" w:rsidRDefault="002A0A2D" w:rsidP="00B47EE5">
            <w:pPr>
              <w:ind w:left="109"/>
              <w:jc w:val="left"/>
              <w:rPr>
                <w:rFonts w:ascii="Arial Narrow" w:hAnsi="Arial Narrow"/>
                <w:sz w:val="20"/>
              </w:rPr>
            </w:pPr>
            <w:r w:rsidRPr="00222597">
              <w:rPr>
                <w:rFonts w:ascii="Arial Narrow" w:hAnsi="Arial Narrow"/>
                <w:sz w:val="20"/>
              </w:rPr>
              <w:t>Influenza</w:t>
            </w:r>
          </w:p>
          <w:p w:rsidR="002A0A2D" w:rsidRPr="00222597" w:rsidRDefault="002A0A2D" w:rsidP="00B47EE5">
            <w:pPr>
              <w:ind w:left="109"/>
              <w:jc w:val="left"/>
              <w:rPr>
                <w:rFonts w:ascii="Arial Narrow" w:hAnsi="Arial Narrow"/>
                <w:sz w:val="20"/>
              </w:rPr>
            </w:pPr>
            <w:r w:rsidRPr="00222597">
              <w:rPr>
                <w:rFonts w:ascii="Arial Narrow" w:hAnsi="Arial Narrow"/>
                <w:sz w:val="20"/>
              </w:rPr>
              <w:t>Dizziness</w:t>
            </w:r>
          </w:p>
          <w:p w:rsidR="002A0A2D" w:rsidRPr="00222597" w:rsidRDefault="002A0A2D" w:rsidP="00B47EE5">
            <w:pPr>
              <w:ind w:left="109"/>
              <w:jc w:val="left"/>
              <w:rPr>
                <w:rFonts w:ascii="Arial Narrow" w:hAnsi="Arial Narrow"/>
                <w:sz w:val="20"/>
              </w:rPr>
            </w:pPr>
            <w:r w:rsidRPr="00222597">
              <w:rPr>
                <w:rFonts w:ascii="Arial Narrow" w:hAnsi="Arial Narrow"/>
                <w:sz w:val="20"/>
              </w:rPr>
              <w:t>Dysmenorrhoea</w:t>
            </w:r>
          </w:p>
        </w:tc>
        <w:tc>
          <w:tcPr>
            <w:tcW w:w="919" w:type="pct"/>
            <w:tcBorders>
              <w:top w:val="single" w:sz="4" w:space="0" w:color="auto"/>
            </w:tcBorders>
          </w:tcPr>
          <w:p w:rsidR="002A0A2D" w:rsidRPr="00222597" w:rsidRDefault="002A0A2D" w:rsidP="00B47EE5">
            <w:pPr>
              <w:jc w:val="center"/>
              <w:rPr>
                <w:rFonts w:ascii="Arial Narrow" w:hAnsi="Arial Narrow"/>
                <w:sz w:val="20"/>
              </w:rPr>
            </w:pPr>
            <w:r w:rsidRPr="00222597">
              <w:rPr>
                <w:rFonts w:ascii="Arial Narrow" w:hAnsi="Arial Narrow"/>
                <w:sz w:val="20"/>
              </w:rPr>
              <w:t>4 (4.2%)</w:t>
            </w:r>
          </w:p>
          <w:p w:rsidR="002A0A2D" w:rsidRPr="00222597" w:rsidRDefault="002A0A2D" w:rsidP="00B47EE5">
            <w:pPr>
              <w:jc w:val="center"/>
              <w:rPr>
                <w:rFonts w:ascii="Arial Narrow" w:hAnsi="Arial Narrow"/>
                <w:sz w:val="20"/>
              </w:rPr>
            </w:pPr>
            <w:r w:rsidRPr="00222597">
              <w:rPr>
                <w:rFonts w:ascii="Arial Narrow" w:hAnsi="Arial Narrow"/>
                <w:sz w:val="20"/>
              </w:rPr>
              <w:t>4 (4.2%)</w:t>
            </w:r>
          </w:p>
          <w:p w:rsidR="002A0A2D" w:rsidRPr="00222597" w:rsidRDefault="002A0A2D" w:rsidP="00B47EE5">
            <w:pPr>
              <w:jc w:val="center"/>
              <w:rPr>
                <w:rFonts w:ascii="Arial Narrow" w:hAnsi="Arial Narrow"/>
                <w:sz w:val="20"/>
              </w:rPr>
            </w:pPr>
            <w:r w:rsidRPr="00222597">
              <w:rPr>
                <w:rFonts w:ascii="Arial Narrow" w:hAnsi="Arial Narrow"/>
                <w:sz w:val="20"/>
              </w:rPr>
              <w:t>3 (3.2%)</w:t>
            </w:r>
          </w:p>
          <w:p w:rsidR="002A0A2D" w:rsidRPr="00222597" w:rsidRDefault="002A0A2D" w:rsidP="00B47EE5">
            <w:pPr>
              <w:jc w:val="center"/>
              <w:rPr>
                <w:rFonts w:ascii="Arial Narrow" w:hAnsi="Arial Narrow"/>
                <w:sz w:val="20"/>
              </w:rPr>
            </w:pPr>
            <w:r w:rsidRPr="00222597">
              <w:rPr>
                <w:rFonts w:ascii="Arial Narrow" w:hAnsi="Arial Narrow"/>
                <w:sz w:val="20"/>
              </w:rPr>
              <w:t>3 (3.2%)</w:t>
            </w:r>
          </w:p>
          <w:p w:rsidR="002A0A2D" w:rsidRPr="00222597" w:rsidRDefault="002A0A2D" w:rsidP="00B47EE5">
            <w:pPr>
              <w:jc w:val="center"/>
              <w:rPr>
                <w:rFonts w:ascii="Arial Narrow" w:hAnsi="Arial Narrow"/>
                <w:sz w:val="20"/>
              </w:rPr>
            </w:pPr>
            <w:r w:rsidRPr="00222597">
              <w:rPr>
                <w:rFonts w:ascii="Arial Narrow" w:hAnsi="Arial Narrow"/>
                <w:sz w:val="20"/>
              </w:rPr>
              <w:t>3 (3.2%)</w:t>
            </w:r>
          </w:p>
          <w:p w:rsidR="002A0A2D" w:rsidRPr="00222597" w:rsidRDefault="002A0A2D" w:rsidP="00B47EE5">
            <w:pPr>
              <w:jc w:val="center"/>
              <w:rPr>
                <w:rFonts w:ascii="Arial Narrow" w:hAnsi="Arial Narrow"/>
                <w:sz w:val="20"/>
              </w:rPr>
            </w:pPr>
            <w:r w:rsidRPr="00222597">
              <w:rPr>
                <w:rFonts w:ascii="Arial Narrow" w:hAnsi="Arial Narrow"/>
                <w:sz w:val="20"/>
              </w:rPr>
              <w:t>3 (3.2%)</w:t>
            </w:r>
          </w:p>
          <w:p w:rsidR="002A0A2D" w:rsidRPr="00222597" w:rsidRDefault="002A0A2D" w:rsidP="00B47EE5">
            <w:pPr>
              <w:jc w:val="center"/>
              <w:rPr>
                <w:rFonts w:ascii="Arial Narrow" w:hAnsi="Arial Narrow"/>
                <w:sz w:val="20"/>
              </w:rPr>
            </w:pPr>
            <w:r w:rsidRPr="00222597">
              <w:rPr>
                <w:rFonts w:ascii="Arial Narrow" w:hAnsi="Arial Narrow"/>
                <w:sz w:val="20"/>
              </w:rPr>
              <w:t>2 (2.1%)</w:t>
            </w:r>
          </w:p>
          <w:p w:rsidR="002A0A2D" w:rsidRPr="00222597" w:rsidRDefault="002A0A2D" w:rsidP="00B47EE5">
            <w:pPr>
              <w:jc w:val="center"/>
              <w:rPr>
                <w:rFonts w:ascii="Arial Narrow" w:hAnsi="Arial Narrow"/>
                <w:sz w:val="20"/>
              </w:rPr>
            </w:pPr>
            <w:r w:rsidRPr="00222597">
              <w:rPr>
                <w:rFonts w:ascii="Arial Narrow" w:hAnsi="Arial Narrow"/>
                <w:sz w:val="20"/>
              </w:rPr>
              <w:t>2 (2.1%)</w:t>
            </w:r>
          </w:p>
          <w:p w:rsidR="002A0A2D" w:rsidRPr="00222597" w:rsidRDefault="002A0A2D" w:rsidP="00B47EE5">
            <w:pPr>
              <w:jc w:val="center"/>
              <w:rPr>
                <w:rFonts w:ascii="Arial Narrow" w:hAnsi="Arial Narrow"/>
                <w:sz w:val="20"/>
              </w:rPr>
            </w:pPr>
            <w:r w:rsidRPr="00222597">
              <w:rPr>
                <w:rFonts w:ascii="Arial Narrow" w:hAnsi="Arial Narrow"/>
                <w:sz w:val="20"/>
              </w:rPr>
              <w:t>2 (2.1%)</w:t>
            </w:r>
          </w:p>
          <w:p w:rsidR="002A0A2D" w:rsidRPr="00222597" w:rsidRDefault="002A0A2D" w:rsidP="00B47EE5">
            <w:pPr>
              <w:jc w:val="center"/>
              <w:rPr>
                <w:rFonts w:ascii="Arial Narrow" w:hAnsi="Arial Narrow"/>
                <w:sz w:val="20"/>
              </w:rPr>
            </w:pPr>
            <w:r w:rsidRPr="00222597">
              <w:rPr>
                <w:rFonts w:ascii="Arial Narrow" w:hAnsi="Arial Narrow"/>
                <w:sz w:val="20"/>
              </w:rPr>
              <w:t>1 (1.1%)</w:t>
            </w:r>
          </w:p>
          <w:p w:rsidR="002A0A2D" w:rsidRPr="00222597" w:rsidRDefault="002A0A2D" w:rsidP="00B47EE5">
            <w:pPr>
              <w:jc w:val="center"/>
              <w:rPr>
                <w:rFonts w:ascii="Arial Narrow" w:hAnsi="Arial Narrow"/>
                <w:sz w:val="20"/>
              </w:rPr>
            </w:pPr>
            <w:r w:rsidRPr="00222597">
              <w:rPr>
                <w:rFonts w:ascii="Arial Narrow" w:hAnsi="Arial Narrow"/>
                <w:sz w:val="20"/>
              </w:rPr>
              <w:t>1 (1.1%)</w:t>
            </w:r>
          </w:p>
          <w:p w:rsidR="002A0A2D" w:rsidRPr="00222597" w:rsidRDefault="002A0A2D" w:rsidP="00B47EE5">
            <w:pPr>
              <w:jc w:val="center"/>
              <w:rPr>
                <w:rFonts w:ascii="Arial Narrow" w:hAnsi="Arial Narrow"/>
                <w:sz w:val="20"/>
              </w:rPr>
            </w:pPr>
            <w:r w:rsidRPr="00222597">
              <w:rPr>
                <w:rFonts w:ascii="Arial Narrow" w:hAnsi="Arial Narrow"/>
                <w:sz w:val="20"/>
              </w:rPr>
              <w:t>0</w:t>
            </w:r>
          </w:p>
        </w:tc>
        <w:tc>
          <w:tcPr>
            <w:tcW w:w="932" w:type="pct"/>
            <w:tcBorders>
              <w:top w:val="single" w:sz="4" w:space="0" w:color="auto"/>
            </w:tcBorders>
          </w:tcPr>
          <w:p w:rsidR="002A0A2D" w:rsidRPr="00222597" w:rsidRDefault="002A0A2D" w:rsidP="00B47EE5">
            <w:pPr>
              <w:jc w:val="center"/>
              <w:rPr>
                <w:rFonts w:ascii="Arial Narrow" w:hAnsi="Arial Narrow"/>
                <w:sz w:val="20"/>
              </w:rPr>
            </w:pPr>
            <w:r w:rsidRPr="00222597">
              <w:rPr>
                <w:rFonts w:ascii="Arial Narrow" w:hAnsi="Arial Narrow"/>
                <w:sz w:val="20"/>
              </w:rPr>
              <w:t>2 (4.2%)</w:t>
            </w:r>
          </w:p>
          <w:p w:rsidR="002A0A2D" w:rsidRPr="00222597" w:rsidRDefault="002A0A2D" w:rsidP="00B47EE5">
            <w:pPr>
              <w:jc w:val="center"/>
              <w:rPr>
                <w:rFonts w:ascii="Arial Narrow" w:hAnsi="Arial Narrow"/>
                <w:sz w:val="20"/>
              </w:rPr>
            </w:pPr>
            <w:r w:rsidRPr="00222597">
              <w:rPr>
                <w:rFonts w:ascii="Arial Narrow" w:hAnsi="Arial Narrow"/>
                <w:sz w:val="20"/>
              </w:rPr>
              <w:t>1 (2.1%)</w:t>
            </w:r>
          </w:p>
          <w:p w:rsidR="002A0A2D" w:rsidRPr="00222597" w:rsidRDefault="002A0A2D" w:rsidP="00B47EE5">
            <w:pPr>
              <w:jc w:val="center"/>
              <w:rPr>
                <w:rFonts w:ascii="Arial Narrow" w:hAnsi="Arial Narrow"/>
                <w:sz w:val="20"/>
              </w:rPr>
            </w:pPr>
            <w:r w:rsidRPr="00222597">
              <w:rPr>
                <w:rFonts w:ascii="Arial Narrow" w:hAnsi="Arial Narrow"/>
                <w:sz w:val="20"/>
              </w:rPr>
              <w:t>2 (4.2%)</w:t>
            </w:r>
          </w:p>
          <w:p w:rsidR="002A0A2D" w:rsidRPr="00222597" w:rsidRDefault="002A0A2D" w:rsidP="00B47EE5">
            <w:pPr>
              <w:jc w:val="center"/>
              <w:rPr>
                <w:rFonts w:ascii="Arial Narrow" w:hAnsi="Arial Narrow"/>
                <w:sz w:val="20"/>
              </w:rPr>
            </w:pPr>
            <w:r w:rsidRPr="00222597">
              <w:rPr>
                <w:rFonts w:ascii="Arial Narrow" w:hAnsi="Arial Narrow"/>
                <w:sz w:val="20"/>
              </w:rPr>
              <w:t>1 (2.1%)</w:t>
            </w:r>
          </w:p>
          <w:p w:rsidR="002A0A2D" w:rsidRPr="00222597" w:rsidRDefault="002A0A2D" w:rsidP="00B47EE5">
            <w:pPr>
              <w:jc w:val="center"/>
              <w:rPr>
                <w:rFonts w:ascii="Arial Narrow" w:hAnsi="Arial Narrow"/>
                <w:sz w:val="20"/>
              </w:rPr>
            </w:pPr>
            <w:r w:rsidRPr="00222597">
              <w:rPr>
                <w:rFonts w:ascii="Arial Narrow" w:hAnsi="Arial Narrow"/>
                <w:sz w:val="20"/>
              </w:rPr>
              <w:t>1 (2.1%)</w:t>
            </w:r>
          </w:p>
          <w:p w:rsidR="002A0A2D" w:rsidRPr="00222597" w:rsidRDefault="002A0A2D" w:rsidP="00B47EE5">
            <w:pPr>
              <w:jc w:val="center"/>
              <w:rPr>
                <w:rFonts w:ascii="Arial Narrow" w:hAnsi="Arial Narrow"/>
                <w:sz w:val="20"/>
              </w:rPr>
            </w:pPr>
            <w:r w:rsidRPr="00222597">
              <w:rPr>
                <w:rFonts w:ascii="Arial Narrow" w:hAnsi="Arial Narrow"/>
                <w:sz w:val="20"/>
              </w:rPr>
              <w:t>0</w:t>
            </w:r>
          </w:p>
          <w:p w:rsidR="002A0A2D" w:rsidRPr="00222597" w:rsidRDefault="002A0A2D" w:rsidP="00B47EE5">
            <w:pPr>
              <w:jc w:val="center"/>
              <w:rPr>
                <w:rFonts w:ascii="Arial Narrow" w:hAnsi="Arial Narrow"/>
                <w:sz w:val="20"/>
              </w:rPr>
            </w:pPr>
            <w:r w:rsidRPr="00222597">
              <w:rPr>
                <w:rFonts w:ascii="Arial Narrow" w:hAnsi="Arial Narrow"/>
                <w:sz w:val="20"/>
              </w:rPr>
              <w:t>0</w:t>
            </w:r>
          </w:p>
          <w:p w:rsidR="002A0A2D" w:rsidRPr="00222597" w:rsidRDefault="002A0A2D" w:rsidP="00B47EE5">
            <w:pPr>
              <w:jc w:val="center"/>
              <w:rPr>
                <w:rFonts w:ascii="Arial Narrow" w:hAnsi="Arial Narrow"/>
                <w:sz w:val="20"/>
              </w:rPr>
            </w:pPr>
            <w:r w:rsidRPr="00222597">
              <w:rPr>
                <w:rFonts w:ascii="Arial Narrow" w:hAnsi="Arial Narrow"/>
                <w:sz w:val="20"/>
              </w:rPr>
              <w:t>2 (4.2%)</w:t>
            </w:r>
          </w:p>
          <w:p w:rsidR="002A0A2D" w:rsidRPr="00222597" w:rsidRDefault="002A0A2D" w:rsidP="00B47EE5">
            <w:pPr>
              <w:jc w:val="center"/>
              <w:rPr>
                <w:rFonts w:ascii="Arial Narrow" w:hAnsi="Arial Narrow"/>
                <w:sz w:val="20"/>
              </w:rPr>
            </w:pPr>
            <w:r w:rsidRPr="00222597">
              <w:rPr>
                <w:rFonts w:ascii="Arial Narrow" w:hAnsi="Arial Narrow"/>
                <w:sz w:val="20"/>
              </w:rPr>
              <w:t>0</w:t>
            </w:r>
          </w:p>
          <w:p w:rsidR="002A0A2D" w:rsidRPr="00222597" w:rsidRDefault="002A0A2D" w:rsidP="00B47EE5">
            <w:pPr>
              <w:jc w:val="center"/>
              <w:rPr>
                <w:rFonts w:ascii="Arial Narrow" w:hAnsi="Arial Narrow"/>
                <w:sz w:val="20"/>
              </w:rPr>
            </w:pPr>
            <w:r w:rsidRPr="00222597">
              <w:rPr>
                <w:rFonts w:ascii="Arial Narrow" w:hAnsi="Arial Narrow"/>
                <w:sz w:val="20"/>
              </w:rPr>
              <w:t>1 (2.1%)</w:t>
            </w:r>
          </w:p>
          <w:p w:rsidR="002A0A2D" w:rsidRPr="00222597" w:rsidRDefault="002A0A2D" w:rsidP="00B47EE5">
            <w:pPr>
              <w:jc w:val="center"/>
              <w:rPr>
                <w:rFonts w:ascii="Arial Narrow" w:hAnsi="Arial Narrow"/>
                <w:sz w:val="20"/>
              </w:rPr>
            </w:pPr>
            <w:r w:rsidRPr="00222597">
              <w:rPr>
                <w:rFonts w:ascii="Arial Narrow" w:hAnsi="Arial Narrow"/>
                <w:sz w:val="20"/>
              </w:rPr>
              <w:t>0</w:t>
            </w:r>
          </w:p>
          <w:p w:rsidR="002A0A2D" w:rsidRPr="00222597" w:rsidRDefault="002A0A2D" w:rsidP="00B47EE5">
            <w:pPr>
              <w:jc w:val="center"/>
              <w:rPr>
                <w:rFonts w:ascii="Arial Narrow" w:hAnsi="Arial Narrow"/>
                <w:sz w:val="20"/>
              </w:rPr>
            </w:pPr>
            <w:r w:rsidRPr="00222597">
              <w:rPr>
                <w:rFonts w:ascii="Arial Narrow" w:hAnsi="Arial Narrow"/>
                <w:sz w:val="20"/>
              </w:rPr>
              <w:t>2 (4.2%)</w:t>
            </w:r>
          </w:p>
        </w:tc>
        <w:tc>
          <w:tcPr>
            <w:tcW w:w="1271" w:type="pct"/>
            <w:tcBorders>
              <w:top w:val="single" w:sz="4" w:space="0" w:color="auto"/>
            </w:tcBorders>
          </w:tcPr>
          <w:p w:rsidR="002A0A2D" w:rsidRPr="00222597" w:rsidRDefault="002E11B0" w:rsidP="00B47EE5">
            <w:pPr>
              <w:jc w:val="center"/>
              <w:rPr>
                <w:rFonts w:ascii="Arial Narrow" w:hAnsi="Arial Narrow"/>
                <w:i/>
                <w:sz w:val="20"/>
              </w:rPr>
            </w:pPr>
            <w:r w:rsidRPr="00222597">
              <w:rPr>
                <w:rFonts w:ascii="Arial Narrow" w:hAnsi="Arial Narrow"/>
                <w:i/>
                <w:sz w:val="20"/>
              </w:rPr>
              <w:t>0.0</w:t>
            </w:r>
            <w:r w:rsidR="002A0A2D" w:rsidRPr="00222597">
              <w:rPr>
                <w:rFonts w:ascii="Arial Narrow" w:hAnsi="Arial Narrow"/>
                <w:i/>
                <w:sz w:val="20"/>
              </w:rPr>
              <w:t>% (-6.9%, 7.0%)</w:t>
            </w:r>
          </w:p>
          <w:p w:rsidR="002A0A2D" w:rsidRPr="00222597" w:rsidRDefault="002A0A2D" w:rsidP="00B47EE5">
            <w:pPr>
              <w:jc w:val="center"/>
              <w:rPr>
                <w:rFonts w:ascii="Arial Narrow" w:hAnsi="Arial Narrow"/>
                <w:i/>
                <w:sz w:val="20"/>
              </w:rPr>
            </w:pPr>
            <w:r w:rsidRPr="00222597">
              <w:rPr>
                <w:rFonts w:ascii="Arial Narrow" w:hAnsi="Arial Narrow"/>
                <w:i/>
                <w:sz w:val="20"/>
              </w:rPr>
              <w:t>2.0% (-3.6%, 7.8%)</w:t>
            </w:r>
          </w:p>
          <w:p w:rsidR="002A0A2D" w:rsidRPr="00222597" w:rsidRDefault="002A0A2D" w:rsidP="00B47EE5">
            <w:pPr>
              <w:jc w:val="center"/>
              <w:rPr>
                <w:rFonts w:ascii="Arial Narrow" w:hAnsi="Arial Narrow"/>
                <w:i/>
                <w:sz w:val="20"/>
              </w:rPr>
            </w:pPr>
            <w:r w:rsidRPr="00222597">
              <w:rPr>
                <w:rFonts w:ascii="Arial Narrow" w:hAnsi="Arial Narrow"/>
                <w:i/>
                <w:sz w:val="20"/>
              </w:rPr>
              <w:t>-1.0% (-7.7%, 5.6%)</w:t>
            </w:r>
          </w:p>
          <w:p w:rsidR="002A0A2D" w:rsidRPr="00222597" w:rsidRDefault="002A0A2D" w:rsidP="00B47EE5">
            <w:pPr>
              <w:jc w:val="center"/>
              <w:rPr>
                <w:rFonts w:ascii="Arial Narrow" w:hAnsi="Arial Narrow"/>
                <w:i/>
                <w:sz w:val="20"/>
              </w:rPr>
            </w:pPr>
            <w:r w:rsidRPr="00222597">
              <w:rPr>
                <w:rFonts w:ascii="Arial Narrow" w:hAnsi="Arial Narrow"/>
                <w:i/>
                <w:sz w:val="20"/>
              </w:rPr>
              <w:t>1.1% (-4.3%, 6.4%)</w:t>
            </w:r>
          </w:p>
          <w:p w:rsidR="002A0A2D" w:rsidRPr="00222597" w:rsidRDefault="002A0A2D" w:rsidP="00B47EE5">
            <w:pPr>
              <w:jc w:val="center"/>
              <w:rPr>
                <w:rFonts w:ascii="Arial Narrow" w:hAnsi="Arial Narrow"/>
                <w:i/>
                <w:sz w:val="20"/>
              </w:rPr>
            </w:pPr>
            <w:r w:rsidRPr="00222597">
              <w:rPr>
                <w:rFonts w:ascii="Arial Narrow" w:hAnsi="Arial Narrow"/>
                <w:i/>
                <w:sz w:val="20"/>
              </w:rPr>
              <w:t>1.1% (-4.3%, 6.4%)</w:t>
            </w:r>
          </w:p>
          <w:p w:rsidR="002A0A2D" w:rsidRPr="00222597" w:rsidRDefault="002A0A2D" w:rsidP="00B47EE5">
            <w:pPr>
              <w:jc w:val="center"/>
              <w:rPr>
                <w:rFonts w:ascii="Arial Narrow" w:hAnsi="Arial Narrow"/>
                <w:i/>
                <w:sz w:val="20"/>
              </w:rPr>
            </w:pPr>
            <w:r w:rsidRPr="00222597">
              <w:rPr>
                <w:rFonts w:ascii="Arial Narrow" w:hAnsi="Arial Narrow"/>
                <w:i/>
                <w:sz w:val="20"/>
              </w:rPr>
              <w:t>3.2% (-0.4%, 6.7%)</w:t>
            </w:r>
          </w:p>
          <w:p w:rsidR="002A0A2D" w:rsidRPr="00222597" w:rsidRDefault="002A0A2D" w:rsidP="00B47EE5">
            <w:pPr>
              <w:jc w:val="center"/>
              <w:rPr>
                <w:rFonts w:ascii="Arial Narrow" w:hAnsi="Arial Narrow"/>
                <w:i/>
                <w:sz w:val="20"/>
              </w:rPr>
            </w:pPr>
            <w:r w:rsidRPr="00222597">
              <w:rPr>
                <w:rFonts w:ascii="Arial Narrow" w:hAnsi="Arial Narrow"/>
                <w:i/>
                <w:sz w:val="20"/>
              </w:rPr>
              <w:t>2.1% (-0.8%, 5.0%)</w:t>
            </w:r>
          </w:p>
          <w:p w:rsidR="002A0A2D" w:rsidRPr="00222597" w:rsidRDefault="002A0A2D" w:rsidP="00B47EE5">
            <w:pPr>
              <w:jc w:val="center"/>
              <w:rPr>
                <w:rFonts w:ascii="Arial Narrow" w:hAnsi="Arial Narrow"/>
                <w:i/>
                <w:sz w:val="20"/>
              </w:rPr>
            </w:pPr>
            <w:r w:rsidRPr="00222597">
              <w:rPr>
                <w:rFonts w:ascii="Arial Narrow" w:hAnsi="Arial Narrow"/>
                <w:i/>
                <w:sz w:val="20"/>
              </w:rPr>
              <w:t>-2.1% (-8.4%, 4.3%)</w:t>
            </w:r>
          </w:p>
          <w:p w:rsidR="002A0A2D" w:rsidRPr="00222597" w:rsidRDefault="002A0A2D" w:rsidP="00B47EE5">
            <w:pPr>
              <w:jc w:val="center"/>
              <w:rPr>
                <w:rFonts w:ascii="Arial Narrow" w:hAnsi="Arial Narrow"/>
                <w:i/>
                <w:sz w:val="20"/>
              </w:rPr>
            </w:pPr>
            <w:r w:rsidRPr="00222597">
              <w:rPr>
                <w:rFonts w:ascii="Arial Narrow" w:hAnsi="Arial Narrow"/>
                <w:i/>
                <w:sz w:val="20"/>
              </w:rPr>
              <w:t>2.1% (-0.8%, 5.0%)</w:t>
            </w:r>
          </w:p>
          <w:p w:rsidR="002A0A2D" w:rsidRPr="00222597" w:rsidRDefault="002A0A2D" w:rsidP="00B47EE5">
            <w:pPr>
              <w:jc w:val="center"/>
              <w:rPr>
                <w:rFonts w:ascii="Arial Narrow" w:hAnsi="Arial Narrow"/>
                <w:i/>
                <w:sz w:val="20"/>
              </w:rPr>
            </w:pPr>
            <w:r w:rsidRPr="00222597">
              <w:rPr>
                <w:rFonts w:ascii="Arial Narrow" w:hAnsi="Arial Narrow"/>
                <w:i/>
                <w:sz w:val="20"/>
              </w:rPr>
              <w:t>-1.0% (-5.6%, 3.5%)</w:t>
            </w:r>
          </w:p>
          <w:p w:rsidR="002A0A2D" w:rsidRPr="00222597" w:rsidRDefault="002A0A2D" w:rsidP="00B47EE5">
            <w:pPr>
              <w:jc w:val="center"/>
              <w:rPr>
                <w:rFonts w:ascii="Arial Narrow" w:hAnsi="Arial Narrow"/>
                <w:i/>
                <w:sz w:val="20"/>
              </w:rPr>
            </w:pPr>
            <w:r w:rsidRPr="00222597">
              <w:rPr>
                <w:rFonts w:ascii="Arial Narrow" w:hAnsi="Arial Narrow"/>
                <w:i/>
                <w:sz w:val="20"/>
              </w:rPr>
              <w:t>1.1% (-1.0%, 3.1%)</w:t>
            </w:r>
          </w:p>
          <w:p w:rsidR="002A0A2D" w:rsidRPr="00222597" w:rsidRDefault="002A0A2D" w:rsidP="00B47EE5">
            <w:pPr>
              <w:jc w:val="center"/>
              <w:rPr>
                <w:rFonts w:ascii="Arial Narrow" w:hAnsi="Arial Narrow"/>
                <w:i/>
                <w:sz w:val="20"/>
              </w:rPr>
            </w:pPr>
            <w:r w:rsidRPr="00222597">
              <w:rPr>
                <w:rFonts w:ascii="Arial Narrow" w:hAnsi="Arial Narrow"/>
                <w:i/>
                <w:sz w:val="20"/>
              </w:rPr>
              <w:t>-4.2% (-9.8%, 1.5%)</w:t>
            </w:r>
          </w:p>
        </w:tc>
      </w:tr>
    </w:tbl>
    <w:p w:rsidR="002A0A2D" w:rsidRPr="00222597" w:rsidRDefault="002A0A2D" w:rsidP="002A0A2D">
      <w:pPr>
        <w:pStyle w:val="TableFooter"/>
        <w:ind w:left="709"/>
      </w:pPr>
      <w:r w:rsidRPr="00222597">
        <w:t>AE = adverse event; CI = confidence interval; TEAE = treatment-emergent AE</w:t>
      </w:r>
    </w:p>
    <w:p w:rsidR="002B0AE4" w:rsidRPr="00222597" w:rsidRDefault="002B0AE4" w:rsidP="002B0AE4">
      <w:pPr>
        <w:pStyle w:val="TableFooter"/>
        <w:ind w:left="709"/>
        <w:rPr>
          <w:i/>
        </w:rPr>
      </w:pPr>
      <w:r w:rsidRPr="00222597">
        <w:rPr>
          <w:i/>
        </w:rPr>
        <w:t>Figures in italics were calculated during the evaluation.</w:t>
      </w:r>
    </w:p>
    <w:p w:rsidR="00D647CD" w:rsidRPr="00222597" w:rsidRDefault="00D647CD" w:rsidP="00D647CD">
      <w:pPr>
        <w:pStyle w:val="TableFooter"/>
        <w:ind w:left="720"/>
      </w:pPr>
      <w:r w:rsidRPr="00222597">
        <w:t>Source: Tables B-38 and B-39, pp66-67 of the submission</w:t>
      </w:r>
      <w:r w:rsidR="00DE0803" w:rsidRPr="00222597">
        <w:t xml:space="preserve">; Table 3, p418 </w:t>
      </w:r>
      <w:proofErr w:type="spellStart"/>
      <w:r w:rsidR="00DE0803" w:rsidRPr="00222597">
        <w:t>Donnez</w:t>
      </w:r>
      <w:proofErr w:type="spellEnd"/>
      <w:r w:rsidR="00DE0803" w:rsidRPr="00222597">
        <w:t xml:space="preserve"> </w:t>
      </w:r>
      <w:r w:rsidR="00DE0803" w:rsidRPr="00222597">
        <w:rPr>
          <w:i/>
        </w:rPr>
        <w:t>et al</w:t>
      </w:r>
      <w:r w:rsidR="00DE0803" w:rsidRPr="00222597">
        <w:t xml:space="preserve"> (2012a)</w:t>
      </w:r>
      <w:r w:rsidR="00DE0803" w:rsidRPr="00222597">
        <w:rPr>
          <w:rStyle w:val="FootnoteReference"/>
        </w:rPr>
        <w:footnoteReference w:id="5"/>
      </w:r>
    </w:p>
    <w:p w:rsidR="00D647CD" w:rsidRPr="00222597" w:rsidRDefault="00D647CD" w:rsidP="00D647CD">
      <w:pPr>
        <w:pStyle w:val="ListParagraph"/>
        <w:widowControl/>
        <w:rPr>
          <w:szCs w:val="22"/>
        </w:rPr>
      </w:pPr>
    </w:p>
    <w:p w:rsidR="00D647CD" w:rsidRPr="00222597" w:rsidRDefault="007536B3" w:rsidP="00F15765">
      <w:pPr>
        <w:pStyle w:val="ListParagraph"/>
        <w:widowControl/>
        <w:numPr>
          <w:ilvl w:val="1"/>
          <w:numId w:val="3"/>
        </w:numPr>
      </w:pPr>
      <w:r w:rsidRPr="00222597">
        <w:t>Table 6</w:t>
      </w:r>
      <w:r w:rsidR="00D647CD" w:rsidRPr="00222597">
        <w:t xml:space="preserve"> presents the result</w:t>
      </w:r>
      <w:r w:rsidR="003C78D7" w:rsidRPr="00222597">
        <w:t>s</w:t>
      </w:r>
      <w:r w:rsidR="00D647CD" w:rsidRPr="00222597">
        <w:t xml:space="preserve"> for the primary safety endpoints in PEARL II, for </w:t>
      </w:r>
      <w:proofErr w:type="spellStart"/>
      <w:r w:rsidR="00D647CD" w:rsidRPr="00222597">
        <w:t>ulipristal</w:t>
      </w:r>
      <w:proofErr w:type="spellEnd"/>
      <w:r w:rsidR="00D647CD" w:rsidRPr="00222597">
        <w:t xml:space="preserve"> compared to </w:t>
      </w:r>
      <w:r w:rsidR="00A82BD6" w:rsidRPr="00222597">
        <w:t xml:space="preserve">the </w:t>
      </w:r>
      <w:proofErr w:type="spellStart"/>
      <w:r w:rsidR="00A82BD6" w:rsidRPr="00222597">
        <w:t>GnRH</w:t>
      </w:r>
      <w:proofErr w:type="spellEnd"/>
      <w:r w:rsidR="00A82BD6" w:rsidRPr="00222597">
        <w:t xml:space="preserve"> analogue </w:t>
      </w:r>
      <w:proofErr w:type="spellStart"/>
      <w:r w:rsidR="00D647CD" w:rsidRPr="00222597">
        <w:t>leuprorelin</w:t>
      </w:r>
      <w:proofErr w:type="spellEnd"/>
      <w:r w:rsidR="00D647CD" w:rsidRPr="00222597">
        <w:t>.</w:t>
      </w:r>
    </w:p>
    <w:p w:rsidR="003C78D7" w:rsidRPr="00222597" w:rsidRDefault="003C78D7" w:rsidP="003C78D7">
      <w:pPr>
        <w:pStyle w:val="ListParagraph"/>
        <w:widowControl/>
      </w:pPr>
    </w:p>
    <w:p w:rsidR="003C78D7" w:rsidRPr="00222597" w:rsidRDefault="003C78D7" w:rsidP="003C78D7">
      <w:pPr>
        <w:pStyle w:val="TableHeader"/>
        <w:ind w:left="709"/>
      </w:pPr>
      <w:r w:rsidRPr="00222597">
        <w:t>Table 6: Primary safety outcomes in PEARL II</w:t>
      </w:r>
      <w:r w:rsidR="00D22D4D" w:rsidRPr="00222597">
        <w:t xml:space="preserve"> (</w:t>
      </w:r>
      <w:proofErr w:type="spellStart"/>
      <w:r w:rsidR="00D22D4D" w:rsidRPr="00222597">
        <w:t>ulipristal</w:t>
      </w:r>
      <w:proofErr w:type="spellEnd"/>
      <w:r w:rsidR="00D22D4D" w:rsidRPr="00222597">
        <w:t xml:space="preserve"> versus </w:t>
      </w:r>
      <w:proofErr w:type="spellStart"/>
      <w:r w:rsidR="00D22D4D" w:rsidRPr="00222597">
        <w:t>leuprorelin</w:t>
      </w:r>
      <w:proofErr w:type="spellEnd"/>
      <w:r w:rsidR="00D22D4D" w:rsidRPr="00222597">
        <w:t>)</w:t>
      </w:r>
    </w:p>
    <w:tbl>
      <w:tblPr>
        <w:tblStyle w:val="TableGrid"/>
        <w:tblW w:w="8353" w:type="dxa"/>
        <w:tblInd w:w="704" w:type="dxa"/>
        <w:tblLook w:val="04A0" w:firstRow="1" w:lastRow="0" w:firstColumn="1" w:lastColumn="0" w:noHBand="0" w:noVBand="1"/>
        <w:tblCaption w:val="Table 6: Primary safety outcomes in PEARL II (ulipristal versus leuprorelin)"/>
      </w:tblPr>
      <w:tblGrid>
        <w:gridCol w:w="2693"/>
        <w:gridCol w:w="1705"/>
        <w:gridCol w:w="1701"/>
        <w:gridCol w:w="2254"/>
      </w:tblGrid>
      <w:tr w:rsidR="003C78D7" w:rsidRPr="00222597" w:rsidTr="001466EA">
        <w:trPr>
          <w:tblHeader/>
        </w:trPr>
        <w:tc>
          <w:tcPr>
            <w:tcW w:w="2693" w:type="dxa"/>
          </w:tcPr>
          <w:p w:rsidR="003C78D7" w:rsidRPr="00222597" w:rsidRDefault="003C78D7" w:rsidP="003C78D7">
            <w:pPr>
              <w:pStyle w:val="Tabletext"/>
              <w:rPr>
                <w:b/>
              </w:rPr>
            </w:pPr>
          </w:p>
        </w:tc>
        <w:tc>
          <w:tcPr>
            <w:tcW w:w="1705" w:type="dxa"/>
          </w:tcPr>
          <w:p w:rsidR="003C78D7" w:rsidRPr="00222597" w:rsidRDefault="003C78D7" w:rsidP="003C78D7">
            <w:pPr>
              <w:pStyle w:val="Tabletext"/>
              <w:jc w:val="center"/>
              <w:rPr>
                <w:b/>
              </w:rPr>
            </w:pPr>
            <w:proofErr w:type="spellStart"/>
            <w:r w:rsidRPr="00222597">
              <w:rPr>
                <w:b/>
              </w:rPr>
              <w:t>Ulipristal</w:t>
            </w:r>
            <w:proofErr w:type="spellEnd"/>
            <w:r w:rsidRPr="00222597">
              <w:rPr>
                <w:b/>
              </w:rPr>
              <w:t xml:space="preserve"> </w:t>
            </w:r>
            <w:r w:rsidR="00B413FC" w:rsidRPr="00222597">
              <w:rPr>
                <w:b/>
              </w:rPr>
              <w:t>5 mg</w:t>
            </w:r>
          </w:p>
          <w:p w:rsidR="003C78D7" w:rsidRPr="00222597" w:rsidRDefault="003C78D7" w:rsidP="003C78D7">
            <w:pPr>
              <w:pStyle w:val="Tabletext"/>
              <w:jc w:val="center"/>
              <w:rPr>
                <w:b/>
              </w:rPr>
            </w:pPr>
            <w:r w:rsidRPr="00222597">
              <w:rPr>
                <w:b/>
              </w:rPr>
              <w:t>(N=97)</w:t>
            </w:r>
          </w:p>
        </w:tc>
        <w:tc>
          <w:tcPr>
            <w:tcW w:w="1701" w:type="dxa"/>
          </w:tcPr>
          <w:p w:rsidR="003C78D7" w:rsidRPr="00222597" w:rsidRDefault="003C78D7" w:rsidP="003C78D7">
            <w:pPr>
              <w:pStyle w:val="Tabletext"/>
              <w:jc w:val="center"/>
              <w:rPr>
                <w:b/>
              </w:rPr>
            </w:pPr>
            <w:proofErr w:type="spellStart"/>
            <w:r w:rsidRPr="00222597">
              <w:rPr>
                <w:b/>
              </w:rPr>
              <w:t>Leuprorelin</w:t>
            </w:r>
            <w:proofErr w:type="spellEnd"/>
          </w:p>
          <w:p w:rsidR="003C78D7" w:rsidRPr="00222597" w:rsidRDefault="003C78D7" w:rsidP="003C78D7">
            <w:pPr>
              <w:pStyle w:val="Tabletext"/>
              <w:jc w:val="center"/>
              <w:rPr>
                <w:b/>
              </w:rPr>
            </w:pPr>
            <w:r w:rsidRPr="00222597">
              <w:rPr>
                <w:b/>
              </w:rPr>
              <w:t>(N=101)</w:t>
            </w:r>
          </w:p>
        </w:tc>
        <w:tc>
          <w:tcPr>
            <w:tcW w:w="2254" w:type="dxa"/>
          </w:tcPr>
          <w:p w:rsidR="003C78D7" w:rsidRPr="00222597" w:rsidRDefault="003C78D7" w:rsidP="003C78D7">
            <w:pPr>
              <w:pStyle w:val="Tabletext"/>
              <w:jc w:val="center"/>
              <w:rPr>
                <w:b/>
              </w:rPr>
            </w:pPr>
            <w:r w:rsidRPr="00222597">
              <w:rPr>
                <w:b/>
              </w:rPr>
              <w:t>Absolute difference</w:t>
            </w:r>
          </w:p>
          <w:p w:rsidR="003C78D7" w:rsidRPr="00222597" w:rsidRDefault="003C78D7" w:rsidP="003C78D7">
            <w:pPr>
              <w:pStyle w:val="Tabletext"/>
              <w:jc w:val="center"/>
              <w:rPr>
                <w:b/>
              </w:rPr>
            </w:pPr>
            <w:r w:rsidRPr="00222597">
              <w:rPr>
                <w:b/>
              </w:rPr>
              <w:t>(95% CI)</w:t>
            </w:r>
          </w:p>
        </w:tc>
      </w:tr>
      <w:tr w:rsidR="003C78D7" w:rsidRPr="00222597" w:rsidTr="003C78D7">
        <w:tc>
          <w:tcPr>
            <w:tcW w:w="2693" w:type="dxa"/>
          </w:tcPr>
          <w:p w:rsidR="003C78D7" w:rsidRPr="00222597" w:rsidRDefault="003C78D7" w:rsidP="00C34EA8">
            <w:pPr>
              <w:pStyle w:val="Tabletext"/>
              <w:ind w:left="176" w:hanging="176"/>
            </w:pPr>
            <w:r w:rsidRPr="00222597">
              <w:t>Log</w:t>
            </w:r>
            <w:r w:rsidRPr="00222597">
              <w:rPr>
                <w:vertAlign w:val="subscript"/>
              </w:rPr>
              <w:t>10</w:t>
            </w:r>
            <w:r w:rsidRPr="00222597">
              <w:t xml:space="preserve"> oestradiol level at Week 13 (</w:t>
            </w:r>
            <w:proofErr w:type="spellStart"/>
            <w:r w:rsidRPr="00222597">
              <w:t>pg</w:t>
            </w:r>
            <w:proofErr w:type="spellEnd"/>
            <w:r w:rsidRPr="00222597">
              <w:t>/mL), mean (SE)</w:t>
            </w:r>
          </w:p>
        </w:tc>
        <w:tc>
          <w:tcPr>
            <w:tcW w:w="1705" w:type="dxa"/>
          </w:tcPr>
          <w:p w:rsidR="003C78D7" w:rsidRPr="00222597" w:rsidRDefault="003C78D7" w:rsidP="003C78D7">
            <w:pPr>
              <w:pStyle w:val="Tabletext"/>
              <w:jc w:val="center"/>
            </w:pPr>
            <w:r w:rsidRPr="00222597">
              <w:t>1.897 (0.041)</w:t>
            </w:r>
          </w:p>
        </w:tc>
        <w:tc>
          <w:tcPr>
            <w:tcW w:w="1701" w:type="dxa"/>
          </w:tcPr>
          <w:p w:rsidR="003C78D7" w:rsidRPr="00222597" w:rsidRDefault="003C78D7" w:rsidP="0034198E">
            <w:pPr>
              <w:pStyle w:val="Tabletext"/>
              <w:jc w:val="center"/>
            </w:pPr>
            <w:r w:rsidRPr="00222597">
              <w:t>1.</w:t>
            </w:r>
            <w:r w:rsidR="0034198E" w:rsidRPr="00222597">
              <w:t>381</w:t>
            </w:r>
            <w:r w:rsidRPr="00222597">
              <w:t xml:space="preserve"> (0.041)</w:t>
            </w:r>
          </w:p>
        </w:tc>
        <w:tc>
          <w:tcPr>
            <w:tcW w:w="2254" w:type="dxa"/>
          </w:tcPr>
          <w:p w:rsidR="003C78D7" w:rsidRPr="00222597" w:rsidRDefault="003C78D7" w:rsidP="003C78D7">
            <w:pPr>
              <w:pStyle w:val="Tabletext"/>
              <w:jc w:val="center"/>
              <w:rPr>
                <w:b/>
              </w:rPr>
            </w:pPr>
            <w:r w:rsidRPr="00222597">
              <w:rPr>
                <w:b/>
              </w:rPr>
              <w:t>0.516</w:t>
            </w:r>
          </w:p>
          <w:p w:rsidR="003C78D7" w:rsidRPr="00222597" w:rsidRDefault="003C78D7" w:rsidP="003C78D7">
            <w:pPr>
              <w:pStyle w:val="Tabletext"/>
              <w:jc w:val="center"/>
            </w:pPr>
            <w:r w:rsidRPr="00222597">
              <w:rPr>
                <w:b/>
              </w:rPr>
              <w:t>(0.413, 0.619)</w:t>
            </w:r>
          </w:p>
        </w:tc>
      </w:tr>
      <w:tr w:rsidR="003C78D7" w:rsidRPr="00222597" w:rsidTr="003C78D7">
        <w:tc>
          <w:tcPr>
            <w:tcW w:w="2693" w:type="dxa"/>
            <w:tcBorders>
              <w:bottom w:val="single" w:sz="4" w:space="0" w:color="auto"/>
            </w:tcBorders>
          </w:tcPr>
          <w:p w:rsidR="003C78D7" w:rsidRPr="00222597" w:rsidRDefault="003C78D7" w:rsidP="003C78D7">
            <w:pPr>
              <w:pStyle w:val="Tabletext"/>
            </w:pPr>
            <w:r w:rsidRPr="00222597">
              <w:t>Hot flush, n (%)</w:t>
            </w:r>
          </w:p>
        </w:tc>
        <w:tc>
          <w:tcPr>
            <w:tcW w:w="1705" w:type="dxa"/>
            <w:tcBorders>
              <w:bottom w:val="single" w:sz="4" w:space="0" w:color="auto"/>
            </w:tcBorders>
          </w:tcPr>
          <w:p w:rsidR="003C78D7" w:rsidRPr="00222597" w:rsidRDefault="003C78D7" w:rsidP="003C78D7">
            <w:pPr>
              <w:pStyle w:val="Tabletext"/>
              <w:jc w:val="center"/>
            </w:pPr>
            <w:r w:rsidRPr="00222597">
              <w:t>23 (23.7%)</w:t>
            </w:r>
          </w:p>
        </w:tc>
        <w:tc>
          <w:tcPr>
            <w:tcW w:w="1701" w:type="dxa"/>
            <w:tcBorders>
              <w:bottom w:val="single" w:sz="4" w:space="0" w:color="auto"/>
            </w:tcBorders>
          </w:tcPr>
          <w:p w:rsidR="003C78D7" w:rsidRPr="00222597" w:rsidRDefault="003C78D7" w:rsidP="003C78D7">
            <w:pPr>
              <w:pStyle w:val="Tabletext"/>
              <w:jc w:val="center"/>
            </w:pPr>
            <w:r w:rsidRPr="00222597">
              <w:t>63 (62.4%)</w:t>
            </w:r>
          </w:p>
        </w:tc>
        <w:tc>
          <w:tcPr>
            <w:tcW w:w="2254" w:type="dxa"/>
            <w:tcBorders>
              <w:bottom w:val="single" w:sz="4" w:space="0" w:color="auto"/>
            </w:tcBorders>
          </w:tcPr>
          <w:p w:rsidR="003C78D7" w:rsidRPr="00222597" w:rsidRDefault="003C78D7" w:rsidP="003C78D7">
            <w:pPr>
              <w:pStyle w:val="Tabletext"/>
              <w:jc w:val="center"/>
              <w:rPr>
                <w:b/>
              </w:rPr>
            </w:pPr>
            <w:r w:rsidRPr="00222597">
              <w:rPr>
                <w:b/>
              </w:rPr>
              <w:t>-28.3%</w:t>
            </w:r>
          </w:p>
          <w:p w:rsidR="003C78D7" w:rsidRPr="00222597" w:rsidRDefault="003C78D7" w:rsidP="003C78D7">
            <w:pPr>
              <w:pStyle w:val="Tabletext"/>
              <w:jc w:val="center"/>
            </w:pPr>
            <w:r w:rsidRPr="00222597">
              <w:rPr>
                <w:b/>
              </w:rPr>
              <w:t>(-40.6%, -14.6%)</w:t>
            </w:r>
          </w:p>
        </w:tc>
      </w:tr>
    </w:tbl>
    <w:p w:rsidR="003C78D7" w:rsidRPr="00222597" w:rsidRDefault="003C78D7" w:rsidP="003C78D7">
      <w:pPr>
        <w:pStyle w:val="TableFooter"/>
        <w:ind w:left="709"/>
      </w:pPr>
      <w:r w:rsidRPr="00222597">
        <w:t>CI = confidence interval; SE = standard error</w:t>
      </w:r>
    </w:p>
    <w:p w:rsidR="00886298" w:rsidRPr="00222597" w:rsidRDefault="00886298" w:rsidP="003C78D7">
      <w:pPr>
        <w:pStyle w:val="TableFooter"/>
        <w:ind w:left="709"/>
      </w:pPr>
      <w:r w:rsidRPr="00222597">
        <w:t>Figures in bold indicate statistically significant results</w:t>
      </w:r>
      <w:r w:rsidR="00975521" w:rsidRPr="00222597">
        <w:t>.</w:t>
      </w:r>
    </w:p>
    <w:p w:rsidR="003C78D7" w:rsidRPr="00222597" w:rsidRDefault="003C78D7" w:rsidP="003C78D7">
      <w:pPr>
        <w:pStyle w:val="TableFooter"/>
        <w:ind w:left="709"/>
      </w:pPr>
      <w:r w:rsidRPr="00222597">
        <w:t>Source: Tables B-50 and B-51, p76 of the submission</w:t>
      </w:r>
    </w:p>
    <w:p w:rsidR="003C78D7" w:rsidRPr="00222597" w:rsidRDefault="003C78D7" w:rsidP="003C78D7">
      <w:pPr>
        <w:pStyle w:val="ListParagraph"/>
        <w:widowControl/>
      </w:pPr>
    </w:p>
    <w:p w:rsidR="00960382" w:rsidRPr="00222597" w:rsidRDefault="00154D9C" w:rsidP="003C78D7">
      <w:pPr>
        <w:pStyle w:val="ListParagraph"/>
        <w:widowControl/>
        <w:numPr>
          <w:ilvl w:val="1"/>
          <w:numId w:val="3"/>
        </w:numPr>
      </w:pPr>
      <w:r w:rsidRPr="00222597">
        <w:t xml:space="preserve">Patients in the </w:t>
      </w:r>
      <w:proofErr w:type="spellStart"/>
      <w:r w:rsidRPr="00222597">
        <w:t>leuprorelin</w:t>
      </w:r>
      <w:proofErr w:type="spellEnd"/>
      <w:r w:rsidRPr="00222597">
        <w:t xml:space="preserve"> group had, on average, a significantly greater reduction in serum oestradiol levels compared to those receiving </w:t>
      </w:r>
      <w:proofErr w:type="spellStart"/>
      <w:r w:rsidRPr="00222597">
        <w:t>ulipristal</w:t>
      </w:r>
      <w:proofErr w:type="spellEnd"/>
      <w:r w:rsidRPr="00222597">
        <w:t xml:space="preserve"> </w:t>
      </w:r>
      <w:r w:rsidR="00B413FC" w:rsidRPr="00222597">
        <w:t>5 mg</w:t>
      </w:r>
      <w:r w:rsidRPr="00222597">
        <w:t xml:space="preserve"> daily. Consistent with this finding, moderate to severe hot flushes were significantly less common with </w:t>
      </w:r>
      <w:proofErr w:type="spellStart"/>
      <w:r w:rsidRPr="00222597">
        <w:t>ulipristal</w:t>
      </w:r>
      <w:proofErr w:type="spellEnd"/>
      <w:r w:rsidRPr="00222597">
        <w:t xml:space="preserve"> </w:t>
      </w:r>
      <w:r w:rsidR="00B413FC" w:rsidRPr="00222597">
        <w:t>5 mg</w:t>
      </w:r>
      <w:r w:rsidRPr="00222597">
        <w:t xml:space="preserve"> daily than with </w:t>
      </w:r>
      <w:proofErr w:type="spellStart"/>
      <w:r w:rsidRPr="00222597">
        <w:t>leuprorelin</w:t>
      </w:r>
      <w:proofErr w:type="spellEnd"/>
      <w:r w:rsidRPr="00222597">
        <w:t>.</w:t>
      </w:r>
    </w:p>
    <w:p w:rsidR="00960382" w:rsidRPr="00222597" w:rsidRDefault="00960382" w:rsidP="003C78D7">
      <w:pPr>
        <w:pStyle w:val="ListParagraph"/>
        <w:widowControl/>
      </w:pPr>
    </w:p>
    <w:p w:rsidR="00960382" w:rsidRPr="00222597" w:rsidRDefault="00960382" w:rsidP="003C78D7">
      <w:pPr>
        <w:pStyle w:val="ListParagraph"/>
        <w:widowControl/>
      </w:pPr>
    </w:p>
    <w:p w:rsidR="00D647CD" w:rsidRPr="00222597" w:rsidRDefault="003C78D7" w:rsidP="00960382">
      <w:pPr>
        <w:pStyle w:val="ListParagraph"/>
        <w:keepNext/>
        <w:keepLines/>
        <w:widowControl/>
        <w:numPr>
          <w:ilvl w:val="1"/>
          <w:numId w:val="3"/>
        </w:numPr>
      </w:pPr>
      <w:r w:rsidRPr="00222597">
        <w:t>The key AEs occurring in PEARL II are summarised below.</w:t>
      </w:r>
    </w:p>
    <w:p w:rsidR="003C78D7" w:rsidRPr="00222597" w:rsidRDefault="003C78D7" w:rsidP="00960382">
      <w:pPr>
        <w:pStyle w:val="ListParagraph"/>
        <w:keepNext/>
        <w:keepLines/>
        <w:widowControl/>
      </w:pPr>
    </w:p>
    <w:p w:rsidR="00D647CD" w:rsidRPr="00222597" w:rsidRDefault="00D647CD" w:rsidP="001466EA">
      <w:pPr>
        <w:pStyle w:val="TableHeader"/>
        <w:keepNext/>
        <w:ind w:left="709"/>
      </w:pPr>
      <w:bookmarkStart w:id="11" w:name="_GoBack"/>
      <w:r w:rsidRPr="00222597">
        <w:t xml:space="preserve">Table </w:t>
      </w:r>
      <w:r w:rsidR="008606C7" w:rsidRPr="00222597">
        <w:t>7</w:t>
      </w:r>
      <w:r w:rsidRPr="00222597">
        <w:t xml:space="preserve">: Summary of key adverse events in the </w:t>
      </w:r>
      <w:r w:rsidR="00D22D4D" w:rsidRPr="00222597">
        <w:t>PEARL II (</w:t>
      </w:r>
      <w:proofErr w:type="spellStart"/>
      <w:r w:rsidR="00D22D4D" w:rsidRPr="00222597">
        <w:t>u</w:t>
      </w:r>
      <w:r w:rsidRPr="00222597">
        <w:t>lipristal</w:t>
      </w:r>
      <w:proofErr w:type="spellEnd"/>
      <w:r w:rsidRPr="00222597">
        <w:t xml:space="preserve"> versus </w:t>
      </w:r>
      <w:proofErr w:type="spellStart"/>
      <w:r w:rsidRPr="00222597">
        <w:t>leuprorelin</w:t>
      </w:r>
      <w:proofErr w:type="spellEnd"/>
      <w:r w:rsidR="00D22D4D" w:rsidRPr="00222597">
        <w:t>)</w:t>
      </w:r>
    </w:p>
    <w:tbl>
      <w:tblPr>
        <w:tblW w:w="4638"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119"/>
        <w:gridCol w:w="1592"/>
        <w:gridCol w:w="1572"/>
        <w:gridCol w:w="2141"/>
      </w:tblGrid>
      <w:tr w:rsidR="002B0AE4" w:rsidRPr="00222597" w:rsidTr="002B0AE4">
        <w:tc>
          <w:tcPr>
            <w:tcW w:w="1851" w:type="pct"/>
            <w:vAlign w:val="center"/>
          </w:tcPr>
          <w:bookmarkEnd w:id="11"/>
          <w:p w:rsidR="002B0AE4" w:rsidRPr="00222597" w:rsidRDefault="002B0AE4" w:rsidP="00960382">
            <w:pPr>
              <w:keepNext/>
              <w:keepLines/>
              <w:tabs>
                <w:tab w:val="left" w:pos="150"/>
              </w:tabs>
              <w:jc w:val="left"/>
              <w:rPr>
                <w:rFonts w:ascii="Arial Narrow" w:hAnsi="Arial Narrow"/>
                <w:sz w:val="20"/>
              </w:rPr>
            </w:pPr>
            <w:r w:rsidRPr="00222597">
              <w:rPr>
                <w:rFonts w:ascii="Arial Narrow" w:hAnsi="Arial Narrow"/>
                <w:b/>
                <w:sz w:val="20"/>
              </w:rPr>
              <w:t>PEARL II</w:t>
            </w:r>
          </w:p>
        </w:tc>
        <w:tc>
          <w:tcPr>
            <w:tcW w:w="945" w:type="pct"/>
            <w:vAlign w:val="center"/>
          </w:tcPr>
          <w:p w:rsidR="002B0AE4" w:rsidRPr="00222597" w:rsidRDefault="002B0AE4" w:rsidP="00960382">
            <w:pPr>
              <w:keepNext/>
              <w:keepLines/>
              <w:jc w:val="center"/>
              <w:rPr>
                <w:rFonts w:ascii="Arial Narrow" w:hAnsi="Arial Narrow"/>
                <w:b/>
                <w:sz w:val="20"/>
              </w:rPr>
            </w:pPr>
            <w:proofErr w:type="spellStart"/>
            <w:r w:rsidRPr="00222597">
              <w:rPr>
                <w:rFonts w:ascii="Arial Narrow" w:hAnsi="Arial Narrow"/>
                <w:b/>
                <w:sz w:val="20"/>
              </w:rPr>
              <w:t>Ulipristal</w:t>
            </w:r>
            <w:proofErr w:type="spellEnd"/>
            <w:r w:rsidRPr="00222597">
              <w:rPr>
                <w:rFonts w:ascii="Arial Narrow" w:hAnsi="Arial Narrow"/>
                <w:b/>
                <w:sz w:val="20"/>
              </w:rPr>
              <w:t xml:space="preserve"> </w:t>
            </w:r>
            <w:r w:rsidR="00B413FC" w:rsidRPr="00222597">
              <w:rPr>
                <w:rFonts w:ascii="Arial Narrow" w:hAnsi="Arial Narrow"/>
                <w:b/>
                <w:sz w:val="20"/>
              </w:rPr>
              <w:t>5 mg</w:t>
            </w:r>
          </w:p>
          <w:p w:rsidR="002B0AE4" w:rsidRPr="00222597" w:rsidRDefault="002B0AE4" w:rsidP="00960382">
            <w:pPr>
              <w:keepNext/>
              <w:keepLines/>
              <w:jc w:val="center"/>
              <w:rPr>
                <w:rFonts w:ascii="Arial Narrow" w:hAnsi="Arial Narrow"/>
                <w:b/>
                <w:sz w:val="20"/>
              </w:rPr>
            </w:pPr>
            <w:proofErr w:type="gramStart"/>
            <w:r w:rsidRPr="00222597">
              <w:rPr>
                <w:rFonts w:ascii="Arial Narrow" w:hAnsi="Arial Narrow"/>
                <w:b/>
                <w:sz w:val="20"/>
              </w:rPr>
              <w:t>n</w:t>
            </w:r>
            <w:proofErr w:type="gramEnd"/>
            <w:r w:rsidRPr="00222597">
              <w:rPr>
                <w:rFonts w:ascii="Arial Narrow" w:hAnsi="Arial Narrow"/>
                <w:b/>
                <w:sz w:val="20"/>
              </w:rPr>
              <w:t xml:space="preserve"> (%)</w:t>
            </w:r>
          </w:p>
          <w:p w:rsidR="002B0AE4" w:rsidRPr="00222597" w:rsidRDefault="002B0AE4" w:rsidP="00960382">
            <w:pPr>
              <w:keepNext/>
              <w:keepLines/>
              <w:jc w:val="center"/>
              <w:rPr>
                <w:rFonts w:ascii="Arial Narrow" w:hAnsi="Arial Narrow"/>
                <w:sz w:val="20"/>
              </w:rPr>
            </w:pPr>
            <w:r w:rsidRPr="00222597">
              <w:rPr>
                <w:rFonts w:ascii="Arial Narrow" w:hAnsi="Arial Narrow"/>
                <w:b/>
                <w:sz w:val="20"/>
              </w:rPr>
              <w:t>N=97</w:t>
            </w:r>
          </w:p>
        </w:tc>
        <w:tc>
          <w:tcPr>
            <w:tcW w:w="933" w:type="pct"/>
            <w:vAlign w:val="center"/>
          </w:tcPr>
          <w:p w:rsidR="002B0AE4" w:rsidRPr="00222597" w:rsidRDefault="002B0AE4" w:rsidP="00960382">
            <w:pPr>
              <w:keepNext/>
              <w:keepLines/>
              <w:jc w:val="center"/>
              <w:rPr>
                <w:rFonts w:ascii="Arial Narrow" w:hAnsi="Arial Narrow"/>
                <w:b/>
                <w:sz w:val="20"/>
              </w:rPr>
            </w:pPr>
            <w:proofErr w:type="spellStart"/>
            <w:r w:rsidRPr="00222597">
              <w:rPr>
                <w:rFonts w:ascii="Arial Narrow" w:hAnsi="Arial Narrow"/>
                <w:b/>
                <w:sz w:val="20"/>
              </w:rPr>
              <w:t>Leuprorelin</w:t>
            </w:r>
            <w:proofErr w:type="spellEnd"/>
            <w:r w:rsidRPr="00222597">
              <w:rPr>
                <w:rFonts w:ascii="Arial Narrow" w:hAnsi="Arial Narrow"/>
                <w:b/>
                <w:sz w:val="20"/>
              </w:rPr>
              <w:t xml:space="preserve"> </w:t>
            </w:r>
          </w:p>
          <w:p w:rsidR="002B0AE4" w:rsidRPr="00222597" w:rsidRDefault="002B0AE4" w:rsidP="00960382">
            <w:pPr>
              <w:keepNext/>
              <w:keepLines/>
              <w:jc w:val="center"/>
              <w:rPr>
                <w:rFonts w:ascii="Arial Narrow" w:hAnsi="Arial Narrow"/>
                <w:b/>
                <w:sz w:val="20"/>
              </w:rPr>
            </w:pPr>
            <w:proofErr w:type="gramStart"/>
            <w:r w:rsidRPr="00222597">
              <w:rPr>
                <w:rFonts w:ascii="Arial Narrow" w:hAnsi="Arial Narrow"/>
                <w:b/>
                <w:sz w:val="20"/>
              </w:rPr>
              <w:t>n</w:t>
            </w:r>
            <w:proofErr w:type="gramEnd"/>
            <w:r w:rsidRPr="00222597">
              <w:rPr>
                <w:rFonts w:ascii="Arial Narrow" w:hAnsi="Arial Narrow"/>
                <w:b/>
                <w:sz w:val="20"/>
              </w:rPr>
              <w:t xml:space="preserve"> (%)</w:t>
            </w:r>
          </w:p>
          <w:p w:rsidR="002B0AE4" w:rsidRPr="00222597" w:rsidRDefault="002B0AE4" w:rsidP="00960382">
            <w:pPr>
              <w:keepNext/>
              <w:keepLines/>
              <w:jc w:val="center"/>
              <w:rPr>
                <w:rFonts w:ascii="Arial Narrow" w:hAnsi="Arial Narrow"/>
                <w:sz w:val="20"/>
              </w:rPr>
            </w:pPr>
            <w:r w:rsidRPr="00222597">
              <w:rPr>
                <w:rFonts w:ascii="Arial Narrow" w:hAnsi="Arial Narrow"/>
                <w:b/>
                <w:sz w:val="20"/>
              </w:rPr>
              <w:t>N=101</w:t>
            </w:r>
          </w:p>
        </w:tc>
        <w:tc>
          <w:tcPr>
            <w:tcW w:w="1271" w:type="pct"/>
          </w:tcPr>
          <w:p w:rsidR="002B0AE4" w:rsidRPr="00222597" w:rsidRDefault="002B0AE4" w:rsidP="00960382">
            <w:pPr>
              <w:keepNext/>
              <w:keepLines/>
              <w:jc w:val="center"/>
              <w:rPr>
                <w:rFonts w:ascii="Arial Narrow" w:hAnsi="Arial Narrow"/>
                <w:b/>
                <w:sz w:val="20"/>
              </w:rPr>
            </w:pPr>
            <w:r w:rsidRPr="00222597">
              <w:rPr>
                <w:rFonts w:ascii="Arial Narrow" w:hAnsi="Arial Narrow"/>
                <w:b/>
                <w:sz w:val="20"/>
              </w:rPr>
              <w:t>Absolute difference</w:t>
            </w:r>
          </w:p>
          <w:p w:rsidR="002B0AE4" w:rsidRPr="00222597" w:rsidRDefault="002B0AE4" w:rsidP="00960382">
            <w:pPr>
              <w:keepNext/>
              <w:keepLines/>
              <w:jc w:val="center"/>
              <w:rPr>
                <w:rFonts w:ascii="Arial Narrow" w:hAnsi="Arial Narrow"/>
                <w:b/>
                <w:sz w:val="20"/>
              </w:rPr>
            </w:pPr>
            <w:r w:rsidRPr="00222597">
              <w:rPr>
                <w:rFonts w:ascii="Arial Narrow" w:hAnsi="Arial Narrow"/>
                <w:b/>
                <w:sz w:val="20"/>
              </w:rPr>
              <w:t>(95% CI)</w:t>
            </w:r>
          </w:p>
        </w:tc>
      </w:tr>
      <w:tr w:rsidR="002B0AE4" w:rsidRPr="00222597" w:rsidTr="002B0AE4">
        <w:tc>
          <w:tcPr>
            <w:tcW w:w="1851" w:type="pct"/>
            <w:tcBorders>
              <w:bottom w:val="single" w:sz="4" w:space="0" w:color="auto"/>
            </w:tcBorders>
            <w:vAlign w:val="center"/>
          </w:tcPr>
          <w:p w:rsidR="002B0AE4" w:rsidRPr="00222597" w:rsidRDefault="002B0AE4" w:rsidP="00960382">
            <w:pPr>
              <w:keepNext/>
              <w:keepLines/>
              <w:tabs>
                <w:tab w:val="left" w:pos="960"/>
              </w:tabs>
              <w:jc w:val="left"/>
              <w:rPr>
                <w:rFonts w:ascii="Arial Narrow" w:hAnsi="Arial Narrow"/>
                <w:sz w:val="20"/>
              </w:rPr>
            </w:pPr>
            <w:r w:rsidRPr="00222597">
              <w:rPr>
                <w:rFonts w:ascii="Arial Narrow" w:hAnsi="Arial Narrow"/>
                <w:sz w:val="20"/>
              </w:rPr>
              <w:t>At least 1 AE</w:t>
            </w:r>
          </w:p>
          <w:p w:rsidR="002B0AE4" w:rsidRPr="00222597" w:rsidRDefault="002B0AE4" w:rsidP="00960382">
            <w:pPr>
              <w:keepNext/>
              <w:keepLines/>
              <w:tabs>
                <w:tab w:val="left" w:pos="960"/>
              </w:tabs>
              <w:jc w:val="left"/>
              <w:rPr>
                <w:rFonts w:ascii="Arial Narrow" w:hAnsi="Arial Narrow"/>
                <w:sz w:val="20"/>
              </w:rPr>
            </w:pPr>
            <w:r w:rsidRPr="00222597">
              <w:rPr>
                <w:rFonts w:ascii="Arial Narrow" w:hAnsi="Arial Narrow"/>
                <w:sz w:val="20"/>
              </w:rPr>
              <w:t>At least 1 TEAE</w:t>
            </w:r>
          </w:p>
          <w:p w:rsidR="002B0AE4" w:rsidRPr="00222597" w:rsidRDefault="002B0AE4" w:rsidP="00960382">
            <w:pPr>
              <w:keepNext/>
              <w:keepLines/>
              <w:tabs>
                <w:tab w:val="left" w:pos="960"/>
              </w:tabs>
              <w:jc w:val="left"/>
              <w:rPr>
                <w:rFonts w:ascii="Arial Narrow" w:hAnsi="Arial Narrow"/>
                <w:sz w:val="20"/>
              </w:rPr>
            </w:pPr>
            <w:r w:rsidRPr="00222597">
              <w:rPr>
                <w:rFonts w:ascii="Arial Narrow" w:hAnsi="Arial Narrow"/>
                <w:sz w:val="20"/>
              </w:rPr>
              <w:t>Drug-related TEAE</w:t>
            </w:r>
          </w:p>
          <w:p w:rsidR="002B0AE4" w:rsidRPr="00222597" w:rsidRDefault="002B0AE4" w:rsidP="00960382">
            <w:pPr>
              <w:keepNext/>
              <w:keepLines/>
              <w:tabs>
                <w:tab w:val="left" w:pos="960"/>
              </w:tabs>
              <w:jc w:val="left"/>
              <w:rPr>
                <w:rFonts w:ascii="Arial Narrow" w:hAnsi="Arial Narrow"/>
                <w:sz w:val="20"/>
              </w:rPr>
            </w:pPr>
            <w:r w:rsidRPr="00222597">
              <w:rPr>
                <w:rFonts w:ascii="Arial Narrow" w:hAnsi="Arial Narrow"/>
                <w:sz w:val="20"/>
              </w:rPr>
              <w:t>At least 1 Serious TEAE</w:t>
            </w:r>
          </w:p>
          <w:p w:rsidR="002B0AE4" w:rsidRPr="00222597" w:rsidRDefault="002B0AE4" w:rsidP="00960382">
            <w:pPr>
              <w:keepNext/>
              <w:keepLines/>
              <w:tabs>
                <w:tab w:val="left" w:pos="960"/>
              </w:tabs>
              <w:jc w:val="left"/>
              <w:rPr>
                <w:rFonts w:ascii="Arial Narrow" w:hAnsi="Arial Narrow"/>
                <w:sz w:val="20"/>
              </w:rPr>
            </w:pPr>
            <w:r w:rsidRPr="00222597">
              <w:rPr>
                <w:rFonts w:ascii="Arial Narrow" w:hAnsi="Arial Narrow"/>
                <w:sz w:val="20"/>
              </w:rPr>
              <w:t>TEAE leading to discontinuation</w:t>
            </w:r>
          </w:p>
          <w:p w:rsidR="002B0AE4" w:rsidRPr="00222597" w:rsidRDefault="002B0AE4" w:rsidP="00960382">
            <w:pPr>
              <w:keepNext/>
              <w:keepLines/>
              <w:tabs>
                <w:tab w:val="left" w:pos="960"/>
              </w:tabs>
              <w:jc w:val="left"/>
              <w:rPr>
                <w:rFonts w:ascii="Arial Narrow" w:hAnsi="Arial Narrow"/>
                <w:sz w:val="20"/>
              </w:rPr>
            </w:pPr>
            <w:r w:rsidRPr="00222597">
              <w:rPr>
                <w:rFonts w:ascii="Arial Narrow" w:hAnsi="Arial Narrow"/>
                <w:sz w:val="20"/>
              </w:rPr>
              <w:t>TEAE leading to study withdrawal</w:t>
            </w:r>
          </w:p>
          <w:p w:rsidR="002B0AE4" w:rsidRPr="00222597" w:rsidRDefault="002B0AE4" w:rsidP="00960382">
            <w:pPr>
              <w:keepNext/>
              <w:keepLines/>
              <w:tabs>
                <w:tab w:val="left" w:pos="109"/>
              </w:tabs>
              <w:jc w:val="left"/>
              <w:rPr>
                <w:rFonts w:ascii="Arial Narrow" w:hAnsi="Arial Narrow"/>
                <w:sz w:val="20"/>
              </w:rPr>
            </w:pPr>
            <w:r w:rsidRPr="00222597">
              <w:rPr>
                <w:rFonts w:ascii="Arial Narrow" w:hAnsi="Arial Narrow"/>
                <w:sz w:val="20"/>
              </w:rPr>
              <w:t>Serious TEAE in follow-up (Week 17-38)</w:t>
            </w:r>
          </w:p>
        </w:tc>
        <w:tc>
          <w:tcPr>
            <w:tcW w:w="945" w:type="pct"/>
            <w:tcBorders>
              <w:bottom w:val="single" w:sz="4" w:space="0" w:color="auto"/>
            </w:tcBorders>
          </w:tcPr>
          <w:p w:rsidR="002B0AE4" w:rsidRPr="00222597" w:rsidRDefault="002B0AE4" w:rsidP="00960382">
            <w:pPr>
              <w:keepNext/>
              <w:keepLines/>
              <w:jc w:val="center"/>
              <w:rPr>
                <w:rFonts w:ascii="Arial Narrow" w:hAnsi="Arial Narrow"/>
                <w:sz w:val="20"/>
              </w:rPr>
            </w:pPr>
            <w:r w:rsidRPr="00222597">
              <w:rPr>
                <w:rFonts w:ascii="Arial Narrow" w:hAnsi="Arial Narrow"/>
                <w:sz w:val="20"/>
              </w:rPr>
              <w:t>76 (78.4%)</w:t>
            </w:r>
          </w:p>
          <w:p w:rsidR="002B0AE4" w:rsidRPr="00222597" w:rsidRDefault="002B0AE4" w:rsidP="00960382">
            <w:pPr>
              <w:keepNext/>
              <w:keepLines/>
              <w:jc w:val="center"/>
              <w:rPr>
                <w:rFonts w:ascii="Arial Narrow" w:hAnsi="Arial Narrow"/>
                <w:sz w:val="20"/>
              </w:rPr>
            </w:pPr>
            <w:r w:rsidRPr="00222597">
              <w:rPr>
                <w:rFonts w:ascii="Arial Narrow" w:hAnsi="Arial Narrow"/>
                <w:sz w:val="20"/>
              </w:rPr>
              <w:t>75 (77.3%)</w:t>
            </w:r>
          </w:p>
          <w:p w:rsidR="002B0AE4" w:rsidRPr="00222597" w:rsidRDefault="002B0AE4" w:rsidP="00960382">
            <w:pPr>
              <w:keepNext/>
              <w:keepLines/>
              <w:jc w:val="center"/>
              <w:rPr>
                <w:rFonts w:ascii="Arial Narrow" w:hAnsi="Arial Narrow"/>
                <w:sz w:val="20"/>
              </w:rPr>
            </w:pPr>
            <w:r w:rsidRPr="00222597">
              <w:rPr>
                <w:rFonts w:ascii="Arial Narrow" w:hAnsi="Arial Narrow"/>
                <w:sz w:val="20"/>
              </w:rPr>
              <w:t>57 (58.8%)</w:t>
            </w:r>
          </w:p>
          <w:p w:rsidR="002B0AE4" w:rsidRPr="00222597" w:rsidRDefault="002B0AE4" w:rsidP="00960382">
            <w:pPr>
              <w:keepNext/>
              <w:keepLines/>
              <w:jc w:val="center"/>
              <w:rPr>
                <w:rFonts w:ascii="Arial Narrow" w:hAnsi="Arial Narrow"/>
                <w:sz w:val="20"/>
              </w:rPr>
            </w:pPr>
            <w:r w:rsidRPr="00222597">
              <w:rPr>
                <w:rFonts w:ascii="Arial Narrow" w:hAnsi="Arial Narrow"/>
                <w:sz w:val="20"/>
              </w:rPr>
              <w:t>5 (5.2%)</w:t>
            </w:r>
          </w:p>
          <w:p w:rsidR="002B0AE4" w:rsidRPr="00222597" w:rsidRDefault="002B0AE4" w:rsidP="00960382">
            <w:pPr>
              <w:keepNext/>
              <w:keepLines/>
              <w:jc w:val="center"/>
              <w:rPr>
                <w:rFonts w:ascii="Arial Narrow" w:hAnsi="Arial Narrow"/>
                <w:sz w:val="20"/>
              </w:rPr>
            </w:pPr>
            <w:r w:rsidRPr="00222597">
              <w:rPr>
                <w:rFonts w:ascii="Arial Narrow" w:hAnsi="Arial Narrow"/>
                <w:sz w:val="20"/>
              </w:rPr>
              <w:t>1 (1.0%)</w:t>
            </w:r>
          </w:p>
          <w:p w:rsidR="002B0AE4" w:rsidRPr="00222597" w:rsidRDefault="002B0AE4" w:rsidP="00960382">
            <w:pPr>
              <w:keepNext/>
              <w:keepLines/>
              <w:jc w:val="center"/>
              <w:rPr>
                <w:rFonts w:ascii="Arial Narrow" w:hAnsi="Arial Narrow"/>
                <w:sz w:val="20"/>
              </w:rPr>
            </w:pPr>
            <w:r w:rsidRPr="00222597">
              <w:rPr>
                <w:rFonts w:ascii="Arial Narrow" w:hAnsi="Arial Narrow"/>
                <w:sz w:val="20"/>
              </w:rPr>
              <w:t>1 (1.0%)</w:t>
            </w:r>
          </w:p>
          <w:p w:rsidR="002B0AE4" w:rsidRPr="00222597" w:rsidRDefault="002B0AE4" w:rsidP="00960382">
            <w:pPr>
              <w:keepNext/>
              <w:keepLines/>
              <w:jc w:val="center"/>
              <w:rPr>
                <w:rFonts w:ascii="Arial Narrow" w:hAnsi="Arial Narrow"/>
                <w:sz w:val="20"/>
              </w:rPr>
            </w:pPr>
            <w:r w:rsidRPr="00222597">
              <w:rPr>
                <w:rFonts w:ascii="Arial Narrow" w:hAnsi="Arial Narrow"/>
                <w:sz w:val="20"/>
              </w:rPr>
              <w:t>3 (3.1%)</w:t>
            </w:r>
          </w:p>
        </w:tc>
        <w:tc>
          <w:tcPr>
            <w:tcW w:w="933" w:type="pct"/>
            <w:tcBorders>
              <w:bottom w:val="single" w:sz="4" w:space="0" w:color="auto"/>
            </w:tcBorders>
          </w:tcPr>
          <w:p w:rsidR="002B0AE4" w:rsidRPr="00222597" w:rsidRDefault="002B0AE4" w:rsidP="00960382">
            <w:pPr>
              <w:keepNext/>
              <w:keepLines/>
              <w:jc w:val="center"/>
              <w:rPr>
                <w:rFonts w:ascii="Arial Narrow" w:hAnsi="Arial Narrow"/>
                <w:sz w:val="20"/>
              </w:rPr>
            </w:pPr>
            <w:r w:rsidRPr="00222597">
              <w:rPr>
                <w:rFonts w:ascii="Arial Narrow" w:hAnsi="Arial Narrow"/>
                <w:sz w:val="20"/>
              </w:rPr>
              <w:t>90 (89.1%)</w:t>
            </w:r>
          </w:p>
          <w:p w:rsidR="002B0AE4" w:rsidRPr="00222597" w:rsidRDefault="002B0AE4" w:rsidP="00960382">
            <w:pPr>
              <w:keepNext/>
              <w:keepLines/>
              <w:jc w:val="center"/>
              <w:rPr>
                <w:rFonts w:ascii="Arial Narrow" w:hAnsi="Arial Narrow"/>
                <w:sz w:val="20"/>
              </w:rPr>
            </w:pPr>
            <w:r w:rsidRPr="00222597">
              <w:rPr>
                <w:rFonts w:ascii="Arial Narrow" w:hAnsi="Arial Narrow"/>
                <w:sz w:val="20"/>
              </w:rPr>
              <w:t>85 (84.2%)</w:t>
            </w:r>
          </w:p>
          <w:p w:rsidR="002B0AE4" w:rsidRPr="00222597" w:rsidRDefault="002B0AE4" w:rsidP="00960382">
            <w:pPr>
              <w:keepNext/>
              <w:keepLines/>
              <w:jc w:val="center"/>
              <w:rPr>
                <w:rFonts w:ascii="Arial Narrow" w:hAnsi="Arial Narrow"/>
                <w:sz w:val="20"/>
              </w:rPr>
            </w:pPr>
            <w:r w:rsidRPr="00222597">
              <w:rPr>
                <w:rFonts w:ascii="Arial Narrow" w:hAnsi="Arial Narrow"/>
                <w:sz w:val="20"/>
              </w:rPr>
              <w:t>71 (70.3%)</w:t>
            </w:r>
          </w:p>
          <w:p w:rsidR="002B0AE4" w:rsidRPr="00222597" w:rsidRDefault="002B0AE4" w:rsidP="00960382">
            <w:pPr>
              <w:keepNext/>
              <w:keepLines/>
              <w:jc w:val="center"/>
              <w:rPr>
                <w:rFonts w:ascii="Arial Narrow" w:hAnsi="Arial Narrow"/>
                <w:sz w:val="20"/>
              </w:rPr>
            </w:pPr>
            <w:r w:rsidRPr="00222597">
              <w:rPr>
                <w:rFonts w:ascii="Arial Narrow" w:hAnsi="Arial Narrow"/>
                <w:sz w:val="20"/>
              </w:rPr>
              <w:t>4 (4.0%)</w:t>
            </w:r>
          </w:p>
          <w:p w:rsidR="002B0AE4" w:rsidRPr="00222597" w:rsidRDefault="002B0AE4" w:rsidP="00960382">
            <w:pPr>
              <w:keepNext/>
              <w:keepLines/>
              <w:jc w:val="center"/>
              <w:rPr>
                <w:rFonts w:ascii="Arial Narrow" w:hAnsi="Arial Narrow"/>
                <w:sz w:val="20"/>
              </w:rPr>
            </w:pPr>
            <w:r w:rsidRPr="00222597">
              <w:rPr>
                <w:rFonts w:ascii="Arial Narrow" w:hAnsi="Arial Narrow"/>
                <w:sz w:val="20"/>
              </w:rPr>
              <w:t>6 (5.9%)</w:t>
            </w:r>
          </w:p>
          <w:p w:rsidR="002B0AE4" w:rsidRPr="00222597" w:rsidRDefault="002B0AE4" w:rsidP="00960382">
            <w:pPr>
              <w:keepNext/>
              <w:keepLines/>
              <w:jc w:val="center"/>
              <w:rPr>
                <w:rFonts w:ascii="Arial Narrow" w:hAnsi="Arial Narrow"/>
                <w:sz w:val="20"/>
              </w:rPr>
            </w:pPr>
            <w:r w:rsidRPr="00222597">
              <w:rPr>
                <w:rFonts w:ascii="Arial Narrow" w:hAnsi="Arial Narrow"/>
                <w:sz w:val="20"/>
              </w:rPr>
              <w:t>5 (5.0)</w:t>
            </w:r>
          </w:p>
          <w:p w:rsidR="002B0AE4" w:rsidRPr="00222597" w:rsidRDefault="002B0AE4" w:rsidP="00960382">
            <w:pPr>
              <w:keepNext/>
              <w:keepLines/>
              <w:jc w:val="center"/>
              <w:rPr>
                <w:rFonts w:ascii="Arial Narrow" w:hAnsi="Arial Narrow"/>
                <w:sz w:val="20"/>
              </w:rPr>
            </w:pPr>
            <w:r w:rsidRPr="00222597">
              <w:rPr>
                <w:rFonts w:ascii="Arial Narrow" w:hAnsi="Arial Narrow"/>
                <w:sz w:val="20"/>
              </w:rPr>
              <w:t>2 (2.0%)</w:t>
            </w:r>
          </w:p>
        </w:tc>
        <w:tc>
          <w:tcPr>
            <w:tcW w:w="1271" w:type="pct"/>
            <w:tcBorders>
              <w:bottom w:val="single" w:sz="4" w:space="0" w:color="auto"/>
            </w:tcBorders>
          </w:tcPr>
          <w:p w:rsidR="002B0AE4" w:rsidRPr="00222597" w:rsidRDefault="002B0AE4" w:rsidP="00960382">
            <w:pPr>
              <w:keepNext/>
              <w:keepLines/>
              <w:jc w:val="center"/>
              <w:rPr>
                <w:rFonts w:ascii="Arial Narrow" w:hAnsi="Arial Narrow"/>
                <w:i/>
                <w:sz w:val="20"/>
              </w:rPr>
            </w:pPr>
            <w:r w:rsidRPr="00222597">
              <w:rPr>
                <w:rFonts w:ascii="Arial Narrow" w:hAnsi="Arial Narrow"/>
                <w:i/>
                <w:sz w:val="20"/>
              </w:rPr>
              <w:t>-10.8% (-21.0%, -0.6%)</w:t>
            </w:r>
          </w:p>
          <w:p w:rsidR="002B0AE4" w:rsidRPr="00222597" w:rsidRDefault="002B0AE4" w:rsidP="00960382">
            <w:pPr>
              <w:keepNext/>
              <w:keepLines/>
              <w:jc w:val="center"/>
              <w:rPr>
                <w:rFonts w:ascii="Arial Narrow" w:hAnsi="Arial Narrow"/>
                <w:i/>
                <w:sz w:val="20"/>
              </w:rPr>
            </w:pPr>
            <w:r w:rsidRPr="00222597">
              <w:rPr>
                <w:rFonts w:ascii="Arial Narrow" w:hAnsi="Arial Narrow"/>
                <w:i/>
                <w:sz w:val="20"/>
              </w:rPr>
              <w:t>-6.8% (-17.8%, 4.1%)</w:t>
            </w:r>
          </w:p>
          <w:p w:rsidR="002B0AE4" w:rsidRPr="00222597" w:rsidRDefault="002B0AE4" w:rsidP="00960382">
            <w:pPr>
              <w:keepNext/>
              <w:keepLines/>
              <w:jc w:val="center"/>
              <w:rPr>
                <w:rFonts w:ascii="Arial Narrow" w:hAnsi="Arial Narrow"/>
                <w:i/>
                <w:sz w:val="20"/>
              </w:rPr>
            </w:pPr>
            <w:r w:rsidRPr="00222597">
              <w:rPr>
                <w:rFonts w:ascii="Arial Narrow" w:hAnsi="Arial Narrow"/>
                <w:i/>
                <w:sz w:val="20"/>
              </w:rPr>
              <w:t>-11.5% (-24.8%, 1.7%)</w:t>
            </w:r>
          </w:p>
          <w:p w:rsidR="002B0AE4" w:rsidRPr="00222597" w:rsidRDefault="002B0AE4" w:rsidP="00960382">
            <w:pPr>
              <w:keepNext/>
              <w:keepLines/>
              <w:jc w:val="center"/>
              <w:rPr>
                <w:rFonts w:ascii="Arial Narrow" w:hAnsi="Arial Narrow"/>
                <w:i/>
                <w:sz w:val="20"/>
              </w:rPr>
            </w:pPr>
            <w:r w:rsidRPr="00222597">
              <w:rPr>
                <w:rFonts w:ascii="Arial Narrow" w:hAnsi="Arial Narrow"/>
                <w:i/>
                <w:sz w:val="20"/>
              </w:rPr>
              <w:t>1.2% (-4.6%, 7.0%)</w:t>
            </w:r>
          </w:p>
          <w:p w:rsidR="002B0AE4" w:rsidRPr="00222597" w:rsidRDefault="002B0AE4" w:rsidP="00960382">
            <w:pPr>
              <w:keepNext/>
              <w:keepLines/>
              <w:jc w:val="center"/>
              <w:rPr>
                <w:rFonts w:ascii="Arial Narrow" w:hAnsi="Arial Narrow"/>
                <w:i/>
                <w:sz w:val="20"/>
              </w:rPr>
            </w:pPr>
            <w:r w:rsidRPr="00222597">
              <w:rPr>
                <w:rFonts w:ascii="Arial Narrow" w:hAnsi="Arial Narrow"/>
                <w:i/>
                <w:sz w:val="20"/>
              </w:rPr>
              <w:t>-4.9% (-9.9%, 0.1%)</w:t>
            </w:r>
          </w:p>
          <w:p w:rsidR="002B0AE4" w:rsidRPr="00222597" w:rsidRDefault="002B0AE4" w:rsidP="00960382">
            <w:pPr>
              <w:keepNext/>
              <w:keepLines/>
              <w:jc w:val="center"/>
              <w:rPr>
                <w:rFonts w:ascii="Arial Narrow" w:hAnsi="Arial Narrow"/>
                <w:i/>
                <w:sz w:val="20"/>
              </w:rPr>
            </w:pPr>
            <w:r w:rsidRPr="00222597">
              <w:rPr>
                <w:rFonts w:ascii="Arial Narrow" w:hAnsi="Arial Narrow"/>
                <w:i/>
                <w:sz w:val="20"/>
              </w:rPr>
              <w:t>-3.9% (-8.6%, 0.8%)</w:t>
            </w:r>
          </w:p>
          <w:p w:rsidR="002B0AE4" w:rsidRPr="00222597" w:rsidRDefault="002B0AE4" w:rsidP="00960382">
            <w:pPr>
              <w:keepNext/>
              <w:keepLines/>
              <w:jc w:val="center"/>
              <w:rPr>
                <w:rFonts w:ascii="Arial Narrow" w:hAnsi="Arial Narrow"/>
                <w:i/>
                <w:sz w:val="20"/>
              </w:rPr>
            </w:pPr>
            <w:r w:rsidRPr="00222597">
              <w:rPr>
                <w:rFonts w:ascii="Arial Narrow" w:hAnsi="Arial Narrow"/>
                <w:i/>
                <w:sz w:val="20"/>
              </w:rPr>
              <w:t>1.1% (-3.3%, 5.5%)</w:t>
            </w:r>
          </w:p>
        </w:tc>
      </w:tr>
      <w:tr w:rsidR="002B0AE4" w:rsidRPr="00222597" w:rsidTr="002B0AE4">
        <w:tc>
          <w:tcPr>
            <w:tcW w:w="5000" w:type="pct"/>
            <w:gridSpan w:val="4"/>
            <w:tcBorders>
              <w:bottom w:val="single" w:sz="4" w:space="0" w:color="auto"/>
            </w:tcBorders>
            <w:vAlign w:val="center"/>
          </w:tcPr>
          <w:p w:rsidR="002B0AE4" w:rsidRPr="00222597" w:rsidRDefault="002B0AE4" w:rsidP="00960382">
            <w:pPr>
              <w:keepNext/>
              <w:keepLines/>
              <w:jc w:val="left"/>
              <w:rPr>
                <w:rFonts w:ascii="Arial Narrow" w:hAnsi="Arial Narrow"/>
                <w:sz w:val="20"/>
              </w:rPr>
            </w:pPr>
            <w:r w:rsidRPr="00222597">
              <w:rPr>
                <w:rFonts w:ascii="Arial Narrow" w:hAnsi="Arial Narrow"/>
                <w:sz w:val="20"/>
              </w:rPr>
              <w:t xml:space="preserve">AEs occurring in at least 5% of the patients in any </w:t>
            </w:r>
            <w:proofErr w:type="spellStart"/>
            <w:r w:rsidRPr="00222597">
              <w:rPr>
                <w:rFonts w:ascii="Arial Narrow" w:hAnsi="Arial Narrow"/>
                <w:sz w:val="20"/>
              </w:rPr>
              <w:t>group</w:t>
            </w:r>
            <w:r w:rsidRPr="00222597">
              <w:rPr>
                <w:rFonts w:ascii="Arial Narrow" w:hAnsi="Arial Narrow"/>
                <w:sz w:val="20"/>
                <w:vertAlign w:val="superscript"/>
              </w:rPr>
              <w:t>a</w:t>
            </w:r>
            <w:proofErr w:type="spellEnd"/>
          </w:p>
        </w:tc>
      </w:tr>
      <w:tr w:rsidR="002B0AE4" w:rsidRPr="00222597" w:rsidTr="002B0AE4">
        <w:trPr>
          <w:trHeight w:val="2858"/>
        </w:trPr>
        <w:tc>
          <w:tcPr>
            <w:tcW w:w="1851" w:type="pct"/>
            <w:tcBorders>
              <w:top w:val="single" w:sz="4" w:space="0" w:color="auto"/>
              <w:bottom w:val="single" w:sz="4" w:space="0" w:color="auto"/>
            </w:tcBorders>
          </w:tcPr>
          <w:p w:rsidR="002B0AE4" w:rsidRPr="00222597" w:rsidRDefault="002B0AE4" w:rsidP="00960382">
            <w:pPr>
              <w:keepNext/>
              <w:keepLines/>
              <w:tabs>
                <w:tab w:val="left" w:pos="393"/>
              </w:tabs>
              <w:ind w:left="109"/>
              <w:jc w:val="left"/>
              <w:rPr>
                <w:rFonts w:ascii="Arial Narrow" w:hAnsi="Arial Narrow"/>
                <w:sz w:val="20"/>
              </w:rPr>
            </w:pPr>
            <w:r w:rsidRPr="00222597">
              <w:rPr>
                <w:rFonts w:ascii="Arial Narrow" w:hAnsi="Arial Narrow"/>
                <w:sz w:val="20"/>
              </w:rPr>
              <w:t>Hot flush</w:t>
            </w:r>
          </w:p>
          <w:p w:rsidR="002B0AE4" w:rsidRPr="00222597" w:rsidRDefault="002B0AE4" w:rsidP="00960382">
            <w:pPr>
              <w:keepNext/>
              <w:keepLines/>
              <w:tabs>
                <w:tab w:val="left" w:pos="393"/>
              </w:tabs>
              <w:ind w:left="109"/>
              <w:jc w:val="left"/>
              <w:rPr>
                <w:rFonts w:ascii="Arial Narrow" w:hAnsi="Arial Narrow"/>
                <w:sz w:val="20"/>
              </w:rPr>
            </w:pPr>
            <w:r w:rsidRPr="00222597">
              <w:rPr>
                <w:rFonts w:ascii="Arial Narrow" w:hAnsi="Arial Narrow"/>
                <w:sz w:val="20"/>
              </w:rPr>
              <w:t>Headache</w:t>
            </w:r>
          </w:p>
          <w:p w:rsidR="002B0AE4" w:rsidRPr="00222597" w:rsidRDefault="002B0AE4" w:rsidP="00960382">
            <w:pPr>
              <w:keepNext/>
              <w:keepLines/>
              <w:tabs>
                <w:tab w:val="left" w:pos="393"/>
              </w:tabs>
              <w:ind w:left="109"/>
              <w:jc w:val="left"/>
              <w:rPr>
                <w:rFonts w:ascii="Arial Narrow" w:hAnsi="Arial Narrow"/>
                <w:sz w:val="20"/>
              </w:rPr>
            </w:pPr>
            <w:r w:rsidRPr="00222597">
              <w:rPr>
                <w:rFonts w:ascii="Arial Narrow" w:hAnsi="Arial Narrow"/>
                <w:sz w:val="20"/>
              </w:rPr>
              <w:t>Procedural pain</w:t>
            </w:r>
          </w:p>
          <w:p w:rsidR="002B0AE4" w:rsidRPr="00222597" w:rsidRDefault="002B0AE4" w:rsidP="00960382">
            <w:pPr>
              <w:keepNext/>
              <w:keepLines/>
              <w:tabs>
                <w:tab w:val="left" w:pos="393"/>
              </w:tabs>
              <w:ind w:left="109"/>
              <w:jc w:val="left"/>
              <w:rPr>
                <w:rFonts w:ascii="Arial Narrow" w:hAnsi="Arial Narrow"/>
                <w:sz w:val="20"/>
              </w:rPr>
            </w:pPr>
            <w:r w:rsidRPr="00222597">
              <w:rPr>
                <w:rFonts w:ascii="Arial Narrow" w:hAnsi="Arial Narrow"/>
                <w:sz w:val="20"/>
              </w:rPr>
              <w:t>Abdominal pain</w:t>
            </w:r>
          </w:p>
          <w:p w:rsidR="002B0AE4" w:rsidRPr="00222597" w:rsidRDefault="002B0AE4" w:rsidP="00960382">
            <w:pPr>
              <w:keepNext/>
              <w:keepLines/>
              <w:tabs>
                <w:tab w:val="left" w:pos="393"/>
              </w:tabs>
              <w:ind w:left="109"/>
              <w:jc w:val="left"/>
              <w:rPr>
                <w:rFonts w:ascii="Arial Narrow" w:hAnsi="Arial Narrow"/>
                <w:sz w:val="20"/>
              </w:rPr>
            </w:pPr>
            <w:r w:rsidRPr="00222597">
              <w:rPr>
                <w:rFonts w:ascii="Arial Narrow" w:hAnsi="Arial Narrow"/>
                <w:sz w:val="20"/>
              </w:rPr>
              <w:t>Nausea</w:t>
            </w:r>
          </w:p>
          <w:p w:rsidR="002B0AE4" w:rsidRPr="00222597" w:rsidRDefault="002B0AE4" w:rsidP="00960382">
            <w:pPr>
              <w:keepNext/>
              <w:keepLines/>
              <w:tabs>
                <w:tab w:val="left" w:pos="393"/>
              </w:tabs>
              <w:ind w:left="109"/>
              <w:jc w:val="left"/>
              <w:rPr>
                <w:rFonts w:ascii="Arial Narrow" w:hAnsi="Arial Narrow"/>
                <w:sz w:val="20"/>
              </w:rPr>
            </w:pPr>
            <w:proofErr w:type="spellStart"/>
            <w:r w:rsidRPr="00222597">
              <w:rPr>
                <w:rFonts w:ascii="Arial Narrow" w:hAnsi="Arial Narrow"/>
                <w:sz w:val="20"/>
              </w:rPr>
              <w:t>Nasopharyngitis</w:t>
            </w:r>
            <w:proofErr w:type="spellEnd"/>
          </w:p>
          <w:p w:rsidR="002B0AE4" w:rsidRPr="00222597" w:rsidRDefault="002B0AE4" w:rsidP="00960382">
            <w:pPr>
              <w:keepNext/>
              <w:keepLines/>
              <w:tabs>
                <w:tab w:val="left" w:pos="393"/>
              </w:tabs>
              <w:ind w:left="109"/>
              <w:jc w:val="left"/>
              <w:rPr>
                <w:rFonts w:ascii="Arial Narrow" w:hAnsi="Arial Narrow"/>
                <w:sz w:val="20"/>
              </w:rPr>
            </w:pPr>
            <w:r w:rsidRPr="00222597">
              <w:rPr>
                <w:rFonts w:ascii="Arial Narrow" w:hAnsi="Arial Narrow"/>
                <w:sz w:val="20"/>
              </w:rPr>
              <w:t xml:space="preserve">Anaemia </w:t>
            </w:r>
          </w:p>
          <w:p w:rsidR="002B0AE4" w:rsidRPr="00222597" w:rsidRDefault="002B0AE4" w:rsidP="00960382">
            <w:pPr>
              <w:keepNext/>
              <w:keepLines/>
              <w:tabs>
                <w:tab w:val="left" w:pos="393"/>
              </w:tabs>
              <w:ind w:left="109"/>
              <w:jc w:val="left"/>
              <w:rPr>
                <w:rFonts w:ascii="Arial Narrow" w:hAnsi="Arial Narrow"/>
                <w:sz w:val="20"/>
              </w:rPr>
            </w:pPr>
            <w:r w:rsidRPr="00222597">
              <w:rPr>
                <w:rFonts w:ascii="Arial Narrow" w:hAnsi="Arial Narrow"/>
                <w:sz w:val="20"/>
              </w:rPr>
              <w:t>Breast pain or tenderness</w:t>
            </w:r>
          </w:p>
          <w:p w:rsidR="002B0AE4" w:rsidRPr="00222597" w:rsidRDefault="002B0AE4" w:rsidP="00960382">
            <w:pPr>
              <w:keepNext/>
              <w:keepLines/>
              <w:tabs>
                <w:tab w:val="left" w:pos="393"/>
              </w:tabs>
              <w:ind w:left="109"/>
              <w:jc w:val="left"/>
              <w:rPr>
                <w:rFonts w:ascii="Arial Narrow" w:hAnsi="Arial Narrow"/>
                <w:sz w:val="20"/>
              </w:rPr>
            </w:pPr>
            <w:r w:rsidRPr="00222597">
              <w:rPr>
                <w:rFonts w:ascii="Arial Narrow" w:hAnsi="Arial Narrow"/>
                <w:sz w:val="20"/>
              </w:rPr>
              <w:t xml:space="preserve">Pharyngitis </w:t>
            </w:r>
          </w:p>
          <w:p w:rsidR="002B0AE4" w:rsidRPr="00222597" w:rsidRDefault="002B0AE4" w:rsidP="00960382">
            <w:pPr>
              <w:keepNext/>
              <w:keepLines/>
              <w:tabs>
                <w:tab w:val="left" w:pos="393"/>
              </w:tabs>
              <w:ind w:left="109"/>
              <w:jc w:val="left"/>
              <w:rPr>
                <w:rFonts w:ascii="Arial Narrow" w:hAnsi="Arial Narrow"/>
                <w:sz w:val="20"/>
              </w:rPr>
            </w:pPr>
            <w:r w:rsidRPr="00222597">
              <w:rPr>
                <w:rFonts w:ascii="Arial Narrow" w:hAnsi="Arial Narrow"/>
                <w:sz w:val="20"/>
              </w:rPr>
              <w:t>Fatigue</w:t>
            </w:r>
          </w:p>
          <w:p w:rsidR="002B0AE4" w:rsidRPr="00222597" w:rsidRDefault="002B0AE4" w:rsidP="00960382">
            <w:pPr>
              <w:keepNext/>
              <w:keepLines/>
              <w:tabs>
                <w:tab w:val="left" w:pos="393"/>
              </w:tabs>
              <w:ind w:left="109"/>
              <w:jc w:val="left"/>
              <w:rPr>
                <w:rFonts w:ascii="Arial Narrow" w:hAnsi="Arial Narrow"/>
                <w:sz w:val="20"/>
              </w:rPr>
            </w:pPr>
            <w:r w:rsidRPr="00222597">
              <w:rPr>
                <w:rFonts w:ascii="Arial Narrow" w:hAnsi="Arial Narrow"/>
                <w:sz w:val="20"/>
              </w:rPr>
              <w:t>Influenza</w:t>
            </w:r>
          </w:p>
          <w:p w:rsidR="002B0AE4" w:rsidRPr="00222597" w:rsidRDefault="002B0AE4" w:rsidP="00960382">
            <w:pPr>
              <w:keepNext/>
              <w:keepLines/>
              <w:tabs>
                <w:tab w:val="left" w:pos="393"/>
              </w:tabs>
              <w:ind w:left="109"/>
              <w:jc w:val="left"/>
              <w:rPr>
                <w:rFonts w:ascii="Arial Narrow" w:hAnsi="Arial Narrow"/>
                <w:sz w:val="20"/>
              </w:rPr>
            </w:pPr>
            <w:r w:rsidRPr="00222597">
              <w:rPr>
                <w:rFonts w:ascii="Arial Narrow" w:hAnsi="Arial Narrow"/>
                <w:sz w:val="20"/>
              </w:rPr>
              <w:t>Insomnia</w:t>
            </w:r>
          </w:p>
          <w:p w:rsidR="002B0AE4" w:rsidRPr="00222597" w:rsidRDefault="002B0AE4" w:rsidP="00960382">
            <w:pPr>
              <w:keepNext/>
              <w:keepLines/>
              <w:tabs>
                <w:tab w:val="left" w:pos="393"/>
              </w:tabs>
              <w:ind w:left="109"/>
              <w:jc w:val="left"/>
              <w:rPr>
                <w:rFonts w:ascii="Arial Narrow" w:hAnsi="Arial Narrow"/>
                <w:sz w:val="20"/>
              </w:rPr>
            </w:pPr>
            <w:r w:rsidRPr="00222597">
              <w:rPr>
                <w:rFonts w:ascii="Arial Narrow" w:hAnsi="Arial Narrow"/>
                <w:sz w:val="20"/>
              </w:rPr>
              <w:t>Acne</w:t>
            </w:r>
          </w:p>
        </w:tc>
        <w:tc>
          <w:tcPr>
            <w:tcW w:w="945" w:type="pct"/>
            <w:tcBorders>
              <w:top w:val="single" w:sz="4" w:space="0" w:color="auto"/>
              <w:bottom w:val="single" w:sz="4" w:space="0" w:color="auto"/>
            </w:tcBorders>
          </w:tcPr>
          <w:p w:rsidR="002B0AE4" w:rsidRPr="00222597" w:rsidRDefault="002B0AE4" w:rsidP="00960382">
            <w:pPr>
              <w:keepNext/>
              <w:keepLines/>
              <w:jc w:val="center"/>
              <w:rPr>
                <w:rFonts w:ascii="Arial Narrow" w:hAnsi="Arial Narrow"/>
                <w:sz w:val="20"/>
              </w:rPr>
            </w:pPr>
            <w:r w:rsidRPr="00222597">
              <w:rPr>
                <w:rFonts w:ascii="Arial Narrow" w:hAnsi="Arial Narrow"/>
                <w:sz w:val="20"/>
              </w:rPr>
              <w:t>25 (25.8%)</w:t>
            </w:r>
          </w:p>
          <w:p w:rsidR="002B0AE4" w:rsidRPr="00222597" w:rsidRDefault="002B0AE4" w:rsidP="00960382">
            <w:pPr>
              <w:keepNext/>
              <w:keepLines/>
              <w:jc w:val="center"/>
              <w:rPr>
                <w:rFonts w:ascii="Arial Narrow" w:hAnsi="Arial Narrow"/>
                <w:sz w:val="20"/>
              </w:rPr>
            </w:pPr>
            <w:r w:rsidRPr="00222597">
              <w:rPr>
                <w:rFonts w:ascii="Arial Narrow" w:hAnsi="Arial Narrow"/>
                <w:sz w:val="20"/>
              </w:rPr>
              <w:t>25 (25.8%)</w:t>
            </w:r>
          </w:p>
          <w:p w:rsidR="002B0AE4" w:rsidRPr="00222597" w:rsidRDefault="002B0AE4" w:rsidP="00960382">
            <w:pPr>
              <w:keepNext/>
              <w:keepLines/>
              <w:jc w:val="center"/>
              <w:rPr>
                <w:rFonts w:ascii="Arial Narrow" w:hAnsi="Arial Narrow"/>
                <w:sz w:val="20"/>
              </w:rPr>
            </w:pPr>
            <w:r w:rsidRPr="00222597">
              <w:rPr>
                <w:rFonts w:ascii="Arial Narrow" w:hAnsi="Arial Narrow"/>
                <w:sz w:val="20"/>
              </w:rPr>
              <w:t>9 (9.3%)</w:t>
            </w:r>
          </w:p>
          <w:p w:rsidR="002B0AE4" w:rsidRPr="00222597" w:rsidRDefault="002B0AE4" w:rsidP="00960382">
            <w:pPr>
              <w:keepNext/>
              <w:keepLines/>
              <w:jc w:val="center"/>
              <w:rPr>
                <w:rFonts w:ascii="Arial Narrow" w:hAnsi="Arial Narrow"/>
                <w:sz w:val="20"/>
              </w:rPr>
            </w:pPr>
            <w:r w:rsidRPr="00222597">
              <w:rPr>
                <w:rFonts w:ascii="Arial Narrow" w:hAnsi="Arial Narrow"/>
                <w:sz w:val="20"/>
              </w:rPr>
              <w:t>6 (6.2%)</w:t>
            </w:r>
          </w:p>
          <w:p w:rsidR="002B0AE4" w:rsidRPr="00222597" w:rsidRDefault="002B0AE4" w:rsidP="00960382">
            <w:pPr>
              <w:keepNext/>
              <w:keepLines/>
              <w:jc w:val="center"/>
              <w:rPr>
                <w:rFonts w:ascii="Arial Narrow" w:hAnsi="Arial Narrow"/>
                <w:sz w:val="20"/>
              </w:rPr>
            </w:pPr>
            <w:r w:rsidRPr="00222597">
              <w:rPr>
                <w:rFonts w:ascii="Arial Narrow" w:hAnsi="Arial Narrow"/>
                <w:sz w:val="20"/>
              </w:rPr>
              <w:t>6 (6.2%)</w:t>
            </w:r>
          </w:p>
          <w:p w:rsidR="002B0AE4" w:rsidRPr="00222597" w:rsidRDefault="002B0AE4" w:rsidP="00960382">
            <w:pPr>
              <w:keepNext/>
              <w:keepLines/>
              <w:jc w:val="center"/>
              <w:rPr>
                <w:rFonts w:ascii="Arial Narrow" w:hAnsi="Arial Narrow"/>
                <w:sz w:val="20"/>
              </w:rPr>
            </w:pPr>
            <w:r w:rsidRPr="00222597">
              <w:rPr>
                <w:rFonts w:ascii="Arial Narrow" w:hAnsi="Arial Narrow"/>
                <w:sz w:val="20"/>
              </w:rPr>
              <w:t>6 (6.2%)</w:t>
            </w:r>
          </w:p>
          <w:p w:rsidR="002B0AE4" w:rsidRPr="00222597" w:rsidRDefault="002B0AE4" w:rsidP="00960382">
            <w:pPr>
              <w:keepNext/>
              <w:keepLines/>
              <w:jc w:val="center"/>
              <w:rPr>
                <w:rFonts w:ascii="Arial Narrow" w:hAnsi="Arial Narrow"/>
                <w:sz w:val="20"/>
              </w:rPr>
            </w:pPr>
            <w:r w:rsidRPr="00222597">
              <w:rPr>
                <w:rFonts w:ascii="Arial Narrow" w:hAnsi="Arial Narrow"/>
                <w:sz w:val="20"/>
              </w:rPr>
              <w:t>5 (5.2%)</w:t>
            </w:r>
          </w:p>
          <w:p w:rsidR="002B0AE4" w:rsidRPr="00222597" w:rsidRDefault="002B0AE4" w:rsidP="00960382">
            <w:pPr>
              <w:keepNext/>
              <w:keepLines/>
              <w:jc w:val="center"/>
              <w:rPr>
                <w:rFonts w:ascii="Arial Narrow" w:hAnsi="Arial Narrow"/>
                <w:sz w:val="20"/>
              </w:rPr>
            </w:pPr>
            <w:r w:rsidRPr="00222597">
              <w:rPr>
                <w:rFonts w:ascii="Arial Narrow" w:hAnsi="Arial Narrow"/>
                <w:sz w:val="20"/>
              </w:rPr>
              <w:t>5 (5.2%)</w:t>
            </w:r>
          </w:p>
          <w:p w:rsidR="002B0AE4" w:rsidRPr="00222597" w:rsidRDefault="002B0AE4" w:rsidP="00960382">
            <w:pPr>
              <w:keepNext/>
              <w:keepLines/>
              <w:jc w:val="center"/>
              <w:rPr>
                <w:rFonts w:ascii="Arial Narrow" w:hAnsi="Arial Narrow"/>
                <w:sz w:val="20"/>
              </w:rPr>
            </w:pPr>
            <w:r w:rsidRPr="00222597">
              <w:rPr>
                <w:rFonts w:ascii="Arial Narrow" w:hAnsi="Arial Narrow"/>
                <w:sz w:val="20"/>
              </w:rPr>
              <w:t>5 (5.2%)</w:t>
            </w:r>
          </w:p>
          <w:p w:rsidR="002B0AE4" w:rsidRPr="00222597" w:rsidRDefault="002B0AE4" w:rsidP="00960382">
            <w:pPr>
              <w:keepNext/>
              <w:keepLines/>
              <w:jc w:val="center"/>
              <w:rPr>
                <w:rFonts w:ascii="Arial Narrow" w:hAnsi="Arial Narrow"/>
                <w:sz w:val="20"/>
              </w:rPr>
            </w:pPr>
            <w:r w:rsidRPr="00222597">
              <w:rPr>
                <w:rFonts w:ascii="Arial Narrow" w:hAnsi="Arial Narrow"/>
                <w:sz w:val="20"/>
              </w:rPr>
              <w:t>4 (4.1%)</w:t>
            </w:r>
          </w:p>
          <w:p w:rsidR="002B0AE4" w:rsidRPr="00222597" w:rsidRDefault="002B0AE4" w:rsidP="00960382">
            <w:pPr>
              <w:keepNext/>
              <w:keepLines/>
              <w:jc w:val="center"/>
              <w:rPr>
                <w:rFonts w:ascii="Arial Narrow" w:hAnsi="Arial Narrow"/>
                <w:sz w:val="20"/>
              </w:rPr>
            </w:pPr>
            <w:r w:rsidRPr="00222597">
              <w:rPr>
                <w:rFonts w:ascii="Arial Narrow" w:hAnsi="Arial Narrow"/>
                <w:sz w:val="20"/>
              </w:rPr>
              <w:t>2 (2.1%)</w:t>
            </w:r>
          </w:p>
          <w:p w:rsidR="002B0AE4" w:rsidRPr="00222597" w:rsidRDefault="002B0AE4" w:rsidP="00960382">
            <w:pPr>
              <w:keepNext/>
              <w:keepLines/>
              <w:jc w:val="center"/>
              <w:rPr>
                <w:rFonts w:ascii="Arial Narrow" w:hAnsi="Arial Narrow"/>
                <w:sz w:val="20"/>
              </w:rPr>
            </w:pPr>
            <w:r w:rsidRPr="00222597">
              <w:rPr>
                <w:rFonts w:ascii="Arial Narrow" w:hAnsi="Arial Narrow"/>
                <w:sz w:val="20"/>
              </w:rPr>
              <w:t>2 (2.1%)</w:t>
            </w:r>
          </w:p>
          <w:p w:rsidR="002B0AE4" w:rsidRPr="00222597" w:rsidRDefault="002B0AE4" w:rsidP="00960382">
            <w:pPr>
              <w:keepNext/>
              <w:keepLines/>
              <w:jc w:val="center"/>
              <w:rPr>
                <w:rFonts w:ascii="Arial Narrow" w:hAnsi="Arial Narrow"/>
                <w:sz w:val="20"/>
              </w:rPr>
            </w:pPr>
            <w:r w:rsidRPr="00222597">
              <w:rPr>
                <w:rFonts w:ascii="Arial Narrow" w:hAnsi="Arial Narrow"/>
                <w:sz w:val="20"/>
              </w:rPr>
              <w:t>0</w:t>
            </w:r>
          </w:p>
        </w:tc>
        <w:tc>
          <w:tcPr>
            <w:tcW w:w="933" w:type="pct"/>
            <w:tcBorders>
              <w:top w:val="single" w:sz="4" w:space="0" w:color="auto"/>
              <w:bottom w:val="single" w:sz="4" w:space="0" w:color="auto"/>
            </w:tcBorders>
          </w:tcPr>
          <w:p w:rsidR="002B0AE4" w:rsidRPr="00222597" w:rsidRDefault="002B0AE4" w:rsidP="00960382">
            <w:pPr>
              <w:keepNext/>
              <w:keepLines/>
              <w:jc w:val="center"/>
              <w:rPr>
                <w:rFonts w:ascii="Arial Narrow" w:hAnsi="Arial Narrow"/>
                <w:sz w:val="20"/>
              </w:rPr>
            </w:pPr>
            <w:r w:rsidRPr="00222597">
              <w:rPr>
                <w:rFonts w:ascii="Arial Narrow" w:hAnsi="Arial Narrow"/>
                <w:sz w:val="20"/>
              </w:rPr>
              <w:t>66 (65.3%)</w:t>
            </w:r>
          </w:p>
          <w:p w:rsidR="002B0AE4" w:rsidRPr="00222597" w:rsidRDefault="002B0AE4" w:rsidP="00960382">
            <w:pPr>
              <w:keepNext/>
              <w:keepLines/>
              <w:jc w:val="center"/>
              <w:rPr>
                <w:rFonts w:ascii="Arial Narrow" w:hAnsi="Arial Narrow"/>
                <w:sz w:val="20"/>
              </w:rPr>
            </w:pPr>
            <w:r w:rsidRPr="00222597">
              <w:rPr>
                <w:rFonts w:ascii="Arial Narrow" w:hAnsi="Arial Narrow"/>
                <w:sz w:val="20"/>
              </w:rPr>
              <w:t>29 (28.7%)</w:t>
            </w:r>
          </w:p>
          <w:p w:rsidR="002B0AE4" w:rsidRPr="00222597" w:rsidRDefault="002B0AE4" w:rsidP="00960382">
            <w:pPr>
              <w:keepNext/>
              <w:keepLines/>
              <w:jc w:val="center"/>
              <w:rPr>
                <w:rFonts w:ascii="Arial Narrow" w:hAnsi="Arial Narrow"/>
                <w:sz w:val="20"/>
              </w:rPr>
            </w:pPr>
            <w:r w:rsidRPr="00222597">
              <w:rPr>
                <w:rFonts w:ascii="Arial Narrow" w:hAnsi="Arial Narrow"/>
                <w:sz w:val="20"/>
              </w:rPr>
              <w:t>9 (8.9%)</w:t>
            </w:r>
          </w:p>
          <w:p w:rsidR="002B0AE4" w:rsidRPr="00222597" w:rsidRDefault="002B0AE4" w:rsidP="00960382">
            <w:pPr>
              <w:keepNext/>
              <w:keepLines/>
              <w:jc w:val="center"/>
              <w:rPr>
                <w:rFonts w:ascii="Arial Narrow" w:hAnsi="Arial Narrow"/>
                <w:sz w:val="20"/>
              </w:rPr>
            </w:pPr>
            <w:r w:rsidRPr="00222597">
              <w:rPr>
                <w:rFonts w:ascii="Arial Narrow" w:hAnsi="Arial Narrow"/>
                <w:sz w:val="20"/>
              </w:rPr>
              <w:t>14 (13.9%)</w:t>
            </w:r>
          </w:p>
          <w:p w:rsidR="002B0AE4" w:rsidRPr="00222597" w:rsidRDefault="002B0AE4" w:rsidP="00960382">
            <w:pPr>
              <w:keepNext/>
              <w:keepLines/>
              <w:jc w:val="center"/>
              <w:rPr>
                <w:rFonts w:ascii="Arial Narrow" w:hAnsi="Arial Narrow"/>
                <w:sz w:val="20"/>
              </w:rPr>
            </w:pPr>
            <w:r w:rsidRPr="00222597">
              <w:rPr>
                <w:rFonts w:ascii="Arial Narrow" w:hAnsi="Arial Narrow"/>
                <w:sz w:val="20"/>
              </w:rPr>
              <w:t>6 (5.9%)</w:t>
            </w:r>
          </w:p>
          <w:p w:rsidR="002B0AE4" w:rsidRPr="00222597" w:rsidRDefault="002B0AE4" w:rsidP="00960382">
            <w:pPr>
              <w:keepNext/>
              <w:keepLines/>
              <w:jc w:val="center"/>
              <w:rPr>
                <w:rFonts w:ascii="Arial Narrow" w:hAnsi="Arial Narrow"/>
                <w:sz w:val="20"/>
              </w:rPr>
            </w:pPr>
            <w:r w:rsidRPr="00222597">
              <w:rPr>
                <w:rFonts w:ascii="Arial Narrow" w:hAnsi="Arial Narrow"/>
                <w:sz w:val="20"/>
              </w:rPr>
              <w:t>2 (2.0%)</w:t>
            </w:r>
          </w:p>
          <w:p w:rsidR="002B0AE4" w:rsidRPr="00222597" w:rsidRDefault="002B0AE4" w:rsidP="00960382">
            <w:pPr>
              <w:keepNext/>
              <w:keepLines/>
              <w:jc w:val="center"/>
              <w:rPr>
                <w:rFonts w:ascii="Arial Narrow" w:hAnsi="Arial Narrow"/>
                <w:sz w:val="20"/>
              </w:rPr>
            </w:pPr>
            <w:r w:rsidRPr="00222597">
              <w:rPr>
                <w:rFonts w:ascii="Arial Narrow" w:hAnsi="Arial Narrow"/>
                <w:sz w:val="20"/>
              </w:rPr>
              <w:t>5 (5.0%)</w:t>
            </w:r>
          </w:p>
          <w:p w:rsidR="002B0AE4" w:rsidRPr="00222597" w:rsidRDefault="002B0AE4" w:rsidP="00960382">
            <w:pPr>
              <w:keepNext/>
              <w:keepLines/>
              <w:jc w:val="center"/>
              <w:rPr>
                <w:rFonts w:ascii="Arial Narrow" w:hAnsi="Arial Narrow"/>
                <w:sz w:val="20"/>
              </w:rPr>
            </w:pPr>
            <w:r w:rsidRPr="00222597">
              <w:rPr>
                <w:rFonts w:ascii="Arial Narrow" w:hAnsi="Arial Narrow"/>
                <w:sz w:val="20"/>
              </w:rPr>
              <w:t>2 (2.0%)</w:t>
            </w:r>
          </w:p>
          <w:p w:rsidR="002B0AE4" w:rsidRPr="00222597" w:rsidRDefault="002B0AE4" w:rsidP="00960382">
            <w:pPr>
              <w:keepNext/>
              <w:keepLines/>
              <w:jc w:val="center"/>
              <w:rPr>
                <w:rFonts w:ascii="Arial Narrow" w:hAnsi="Arial Narrow"/>
                <w:sz w:val="20"/>
              </w:rPr>
            </w:pPr>
            <w:r w:rsidRPr="00222597">
              <w:rPr>
                <w:rFonts w:ascii="Arial Narrow" w:hAnsi="Arial Narrow"/>
                <w:sz w:val="20"/>
              </w:rPr>
              <w:t>2 (2.0%)</w:t>
            </w:r>
          </w:p>
          <w:p w:rsidR="002B0AE4" w:rsidRPr="00222597" w:rsidRDefault="002B0AE4" w:rsidP="00960382">
            <w:pPr>
              <w:keepNext/>
              <w:keepLines/>
              <w:jc w:val="center"/>
              <w:rPr>
                <w:rFonts w:ascii="Arial Narrow" w:hAnsi="Arial Narrow"/>
                <w:sz w:val="20"/>
              </w:rPr>
            </w:pPr>
            <w:r w:rsidRPr="00222597">
              <w:rPr>
                <w:rFonts w:ascii="Arial Narrow" w:hAnsi="Arial Narrow"/>
                <w:sz w:val="20"/>
              </w:rPr>
              <w:t>3 (3.0%)</w:t>
            </w:r>
          </w:p>
          <w:p w:rsidR="002B0AE4" w:rsidRPr="00222597" w:rsidRDefault="002B0AE4" w:rsidP="00960382">
            <w:pPr>
              <w:keepNext/>
              <w:keepLines/>
              <w:jc w:val="center"/>
              <w:rPr>
                <w:rFonts w:ascii="Arial Narrow" w:hAnsi="Arial Narrow"/>
                <w:sz w:val="20"/>
              </w:rPr>
            </w:pPr>
            <w:r w:rsidRPr="00222597">
              <w:rPr>
                <w:rFonts w:ascii="Arial Narrow" w:hAnsi="Arial Narrow"/>
                <w:sz w:val="20"/>
              </w:rPr>
              <w:t>5 (5.2%)</w:t>
            </w:r>
          </w:p>
          <w:p w:rsidR="002B0AE4" w:rsidRPr="00222597" w:rsidRDefault="002B0AE4" w:rsidP="00960382">
            <w:pPr>
              <w:keepNext/>
              <w:keepLines/>
              <w:jc w:val="center"/>
              <w:rPr>
                <w:rFonts w:ascii="Arial Narrow" w:hAnsi="Arial Narrow"/>
                <w:sz w:val="20"/>
              </w:rPr>
            </w:pPr>
            <w:r w:rsidRPr="00222597">
              <w:rPr>
                <w:rFonts w:ascii="Arial Narrow" w:hAnsi="Arial Narrow"/>
                <w:sz w:val="20"/>
              </w:rPr>
              <w:t>5 (5.2%)</w:t>
            </w:r>
          </w:p>
          <w:p w:rsidR="002B0AE4" w:rsidRPr="00222597" w:rsidRDefault="002B0AE4" w:rsidP="00960382">
            <w:pPr>
              <w:keepNext/>
              <w:keepLines/>
              <w:jc w:val="center"/>
              <w:rPr>
                <w:rFonts w:ascii="Arial Narrow" w:hAnsi="Arial Narrow"/>
                <w:sz w:val="20"/>
              </w:rPr>
            </w:pPr>
            <w:r w:rsidRPr="00222597">
              <w:rPr>
                <w:rFonts w:ascii="Arial Narrow" w:hAnsi="Arial Narrow"/>
                <w:sz w:val="20"/>
              </w:rPr>
              <w:t>5 (5.0%)</w:t>
            </w:r>
          </w:p>
        </w:tc>
        <w:tc>
          <w:tcPr>
            <w:tcW w:w="1271" w:type="pct"/>
            <w:tcBorders>
              <w:top w:val="single" w:sz="4" w:space="0" w:color="auto"/>
              <w:bottom w:val="single" w:sz="4" w:space="0" w:color="auto"/>
            </w:tcBorders>
          </w:tcPr>
          <w:p w:rsidR="002B0AE4" w:rsidRPr="00222597" w:rsidRDefault="002B0AE4" w:rsidP="00960382">
            <w:pPr>
              <w:keepNext/>
              <w:keepLines/>
              <w:jc w:val="center"/>
              <w:rPr>
                <w:rFonts w:ascii="Arial Narrow" w:hAnsi="Arial Narrow"/>
                <w:i/>
                <w:sz w:val="20"/>
              </w:rPr>
            </w:pPr>
            <w:r w:rsidRPr="00222597">
              <w:rPr>
                <w:rFonts w:ascii="Arial Narrow" w:hAnsi="Arial Narrow"/>
                <w:i/>
                <w:sz w:val="20"/>
              </w:rPr>
              <w:t>-39.6% (-52.3%, -26.8%)</w:t>
            </w:r>
          </w:p>
          <w:p w:rsidR="002B0AE4" w:rsidRPr="00222597" w:rsidRDefault="002B0AE4" w:rsidP="00960382">
            <w:pPr>
              <w:keepNext/>
              <w:keepLines/>
              <w:jc w:val="center"/>
              <w:rPr>
                <w:rFonts w:ascii="Arial Narrow" w:hAnsi="Arial Narrow"/>
                <w:i/>
                <w:sz w:val="20"/>
              </w:rPr>
            </w:pPr>
            <w:r w:rsidRPr="00222597">
              <w:rPr>
                <w:rFonts w:ascii="Arial Narrow" w:hAnsi="Arial Narrow"/>
                <w:i/>
                <w:sz w:val="20"/>
              </w:rPr>
              <w:t>-2.9% (-15.3%, 9.5%)</w:t>
            </w:r>
          </w:p>
          <w:p w:rsidR="002B0AE4" w:rsidRPr="00222597" w:rsidRDefault="002B0AE4" w:rsidP="00960382">
            <w:pPr>
              <w:keepNext/>
              <w:keepLines/>
              <w:jc w:val="center"/>
              <w:rPr>
                <w:rFonts w:ascii="Arial Narrow" w:hAnsi="Arial Narrow"/>
                <w:i/>
                <w:sz w:val="20"/>
              </w:rPr>
            </w:pPr>
            <w:r w:rsidRPr="00222597">
              <w:rPr>
                <w:rFonts w:ascii="Arial Narrow" w:hAnsi="Arial Narrow"/>
                <w:i/>
                <w:sz w:val="20"/>
              </w:rPr>
              <w:t>0.4% (-7.6%, 8.4%)</w:t>
            </w:r>
          </w:p>
          <w:p w:rsidR="002B0AE4" w:rsidRPr="00222597" w:rsidRDefault="002B0AE4" w:rsidP="00960382">
            <w:pPr>
              <w:keepNext/>
              <w:keepLines/>
              <w:jc w:val="center"/>
              <w:rPr>
                <w:rFonts w:ascii="Arial Narrow" w:hAnsi="Arial Narrow"/>
                <w:i/>
                <w:sz w:val="20"/>
              </w:rPr>
            </w:pPr>
            <w:r w:rsidRPr="00222597">
              <w:rPr>
                <w:rFonts w:ascii="Arial Narrow" w:hAnsi="Arial Narrow"/>
                <w:i/>
                <w:sz w:val="20"/>
              </w:rPr>
              <w:t>-7.7% (-15.9%, 0.6%)</w:t>
            </w:r>
          </w:p>
          <w:p w:rsidR="002B0AE4" w:rsidRPr="00222597" w:rsidRDefault="002B0AE4" w:rsidP="00960382">
            <w:pPr>
              <w:keepNext/>
              <w:keepLines/>
              <w:jc w:val="center"/>
              <w:rPr>
                <w:rFonts w:ascii="Arial Narrow" w:hAnsi="Arial Narrow"/>
                <w:i/>
                <w:sz w:val="20"/>
              </w:rPr>
            </w:pPr>
            <w:r w:rsidRPr="00222597">
              <w:rPr>
                <w:rFonts w:ascii="Arial Narrow" w:hAnsi="Arial Narrow"/>
                <w:i/>
                <w:sz w:val="20"/>
              </w:rPr>
              <w:t>0.2% (-6.4%, 6.9%)</w:t>
            </w:r>
          </w:p>
          <w:p w:rsidR="002B0AE4" w:rsidRPr="00222597" w:rsidRDefault="002B0AE4" w:rsidP="00960382">
            <w:pPr>
              <w:keepNext/>
              <w:keepLines/>
              <w:jc w:val="center"/>
              <w:rPr>
                <w:rFonts w:ascii="Arial Narrow" w:hAnsi="Arial Narrow"/>
                <w:i/>
                <w:sz w:val="20"/>
              </w:rPr>
            </w:pPr>
            <w:r w:rsidRPr="00222597">
              <w:rPr>
                <w:rFonts w:ascii="Arial Narrow" w:hAnsi="Arial Narrow"/>
                <w:i/>
                <w:sz w:val="20"/>
              </w:rPr>
              <w:t>4.2% (-1.3%, 9.7%)</w:t>
            </w:r>
          </w:p>
          <w:p w:rsidR="002B0AE4" w:rsidRPr="00222597" w:rsidRDefault="002B0AE4" w:rsidP="00960382">
            <w:pPr>
              <w:keepNext/>
              <w:keepLines/>
              <w:jc w:val="center"/>
              <w:rPr>
                <w:rFonts w:ascii="Arial Narrow" w:hAnsi="Arial Narrow"/>
                <w:i/>
                <w:sz w:val="20"/>
              </w:rPr>
            </w:pPr>
            <w:r w:rsidRPr="00222597">
              <w:rPr>
                <w:rFonts w:ascii="Arial Narrow" w:hAnsi="Arial Narrow"/>
                <w:i/>
                <w:sz w:val="20"/>
              </w:rPr>
              <w:t>0.2% (-5.9%, 6.3%)</w:t>
            </w:r>
          </w:p>
          <w:p w:rsidR="002B0AE4" w:rsidRPr="00222597" w:rsidRDefault="002B0AE4" w:rsidP="00960382">
            <w:pPr>
              <w:keepNext/>
              <w:keepLines/>
              <w:jc w:val="center"/>
              <w:rPr>
                <w:rFonts w:ascii="Arial Narrow" w:hAnsi="Arial Narrow"/>
                <w:i/>
                <w:sz w:val="20"/>
              </w:rPr>
            </w:pPr>
            <w:r w:rsidRPr="00222597">
              <w:rPr>
                <w:rFonts w:ascii="Arial Narrow" w:hAnsi="Arial Narrow"/>
                <w:i/>
                <w:sz w:val="20"/>
              </w:rPr>
              <w:t>3.2% (-2.0%, 8.3%)</w:t>
            </w:r>
          </w:p>
          <w:p w:rsidR="002B0AE4" w:rsidRPr="00222597" w:rsidRDefault="002B0AE4" w:rsidP="00960382">
            <w:pPr>
              <w:keepNext/>
              <w:keepLines/>
              <w:jc w:val="center"/>
              <w:rPr>
                <w:rFonts w:ascii="Arial Narrow" w:hAnsi="Arial Narrow"/>
                <w:i/>
                <w:sz w:val="20"/>
              </w:rPr>
            </w:pPr>
            <w:r w:rsidRPr="00222597">
              <w:rPr>
                <w:rFonts w:ascii="Arial Narrow" w:hAnsi="Arial Narrow"/>
                <w:i/>
                <w:sz w:val="20"/>
              </w:rPr>
              <w:t>3.2% (-2.0%, 8.3%)</w:t>
            </w:r>
          </w:p>
          <w:p w:rsidR="002B0AE4" w:rsidRPr="00222597" w:rsidRDefault="002B0AE4" w:rsidP="00960382">
            <w:pPr>
              <w:keepNext/>
              <w:keepLines/>
              <w:jc w:val="center"/>
              <w:rPr>
                <w:rFonts w:ascii="Arial Narrow" w:hAnsi="Arial Narrow"/>
                <w:i/>
                <w:sz w:val="20"/>
              </w:rPr>
            </w:pPr>
            <w:r w:rsidRPr="00222597">
              <w:rPr>
                <w:rFonts w:ascii="Arial Narrow" w:hAnsi="Arial Narrow"/>
                <w:i/>
                <w:sz w:val="20"/>
              </w:rPr>
              <w:t>1.1% (-4.0%, 6.3%)</w:t>
            </w:r>
          </w:p>
          <w:p w:rsidR="002B0AE4" w:rsidRPr="00222597" w:rsidRDefault="002B0AE4" w:rsidP="00960382">
            <w:pPr>
              <w:keepNext/>
              <w:keepLines/>
              <w:jc w:val="center"/>
              <w:rPr>
                <w:rFonts w:ascii="Arial Narrow" w:hAnsi="Arial Narrow"/>
                <w:i/>
                <w:sz w:val="20"/>
              </w:rPr>
            </w:pPr>
            <w:r w:rsidRPr="00222597">
              <w:rPr>
                <w:rFonts w:ascii="Arial Narrow" w:hAnsi="Arial Narrow"/>
                <w:i/>
                <w:sz w:val="20"/>
              </w:rPr>
              <w:t>-2.9% (-8.0%, 2.2%)</w:t>
            </w:r>
          </w:p>
          <w:p w:rsidR="002B0AE4" w:rsidRPr="00222597" w:rsidRDefault="002B0AE4" w:rsidP="00960382">
            <w:pPr>
              <w:keepNext/>
              <w:keepLines/>
              <w:jc w:val="center"/>
              <w:rPr>
                <w:rFonts w:ascii="Arial Narrow" w:hAnsi="Arial Narrow"/>
                <w:i/>
                <w:sz w:val="20"/>
              </w:rPr>
            </w:pPr>
            <w:r w:rsidRPr="00222597">
              <w:rPr>
                <w:rFonts w:ascii="Arial Narrow" w:hAnsi="Arial Narrow"/>
                <w:i/>
                <w:sz w:val="20"/>
              </w:rPr>
              <w:t>-2.9% (-8.0%, 2.2%)</w:t>
            </w:r>
          </w:p>
          <w:p w:rsidR="002B0AE4" w:rsidRPr="00222597" w:rsidRDefault="002B0AE4" w:rsidP="00960382">
            <w:pPr>
              <w:keepNext/>
              <w:keepLines/>
              <w:jc w:val="center"/>
              <w:rPr>
                <w:rFonts w:ascii="Arial Narrow" w:hAnsi="Arial Narrow"/>
                <w:i/>
                <w:sz w:val="20"/>
              </w:rPr>
            </w:pPr>
            <w:r w:rsidRPr="00222597">
              <w:rPr>
                <w:rFonts w:ascii="Arial Narrow" w:hAnsi="Arial Narrow"/>
                <w:i/>
                <w:sz w:val="20"/>
              </w:rPr>
              <w:t>-5.0% (-9.2%, 0.7%)</w:t>
            </w:r>
          </w:p>
        </w:tc>
      </w:tr>
    </w:tbl>
    <w:p w:rsidR="00D647CD" w:rsidRPr="00222597" w:rsidRDefault="00D647CD" w:rsidP="00960382">
      <w:pPr>
        <w:pStyle w:val="TableFooter"/>
        <w:keepNext/>
        <w:keepLines/>
        <w:ind w:left="720"/>
      </w:pPr>
      <w:r w:rsidRPr="00222597">
        <w:t xml:space="preserve">AE = adverse event; </w:t>
      </w:r>
      <w:r w:rsidR="002B0AE4" w:rsidRPr="00222597">
        <w:t xml:space="preserve">CI = confidence interval; </w:t>
      </w:r>
      <w:r w:rsidR="00116531" w:rsidRPr="00222597">
        <w:t>TEAE = treatment-emergent adverse event</w:t>
      </w:r>
    </w:p>
    <w:p w:rsidR="002B0AE4" w:rsidRPr="00222597" w:rsidRDefault="002B0AE4" w:rsidP="00960382">
      <w:pPr>
        <w:pStyle w:val="TableFooter"/>
        <w:keepNext/>
        <w:keepLines/>
        <w:ind w:left="709"/>
        <w:rPr>
          <w:i/>
        </w:rPr>
      </w:pPr>
      <w:r w:rsidRPr="00222597">
        <w:rPr>
          <w:i/>
        </w:rPr>
        <w:t>Figures in italics were calculated during the evaluation.</w:t>
      </w:r>
    </w:p>
    <w:p w:rsidR="00D647CD" w:rsidRPr="00222597" w:rsidRDefault="00D647CD" w:rsidP="00960382">
      <w:pPr>
        <w:pStyle w:val="TableFooter"/>
        <w:keepNext/>
        <w:keepLines/>
        <w:ind w:left="720"/>
      </w:pPr>
      <w:r w:rsidRPr="00222597">
        <w:t>Source: Tables B-</w:t>
      </w:r>
      <w:r w:rsidR="00D22D4D" w:rsidRPr="00222597">
        <w:t xml:space="preserve">52 and B-53, pp77-78 </w:t>
      </w:r>
      <w:r w:rsidRPr="00222597">
        <w:t>of the submission</w:t>
      </w:r>
      <w:r w:rsidR="00C34EA8" w:rsidRPr="00222597">
        <w:t xml:space="preserve">; Table 3, p430 </w:t>
      </w:r>
      <w:proofErr w:type="spellStart"/>
      <w:r w:rsidR="00C34EA8" w:rsidRPr="00222597">
        <w:t>Donnez</w:t>
      </w:r>
      <w:proofErr w:type="spellEnd"/>
      <w:r w:rsidR="00C34EA8" w:rsidRPr="00222597">
        <w:t xml:space="preserve"> </w:t>
      </w:r>
      <w:r w:rsidR="00C34EA8" w:rsidRPr="00222597">
        <w:rPr>
          <w:i/>
        </w:rPr>
        <w:t xml:space="preserve">et al </w:t>
      </w:r>
      <w:r w:rsidR="00C34EA8" w:rsidRPr="00222597">
        <w:t>(2012b)</w:t>
      </w:r>
      <w:r w:rsidR="00C34EA8" w:rsidRPr="00222597">
        <w:rPr>
          <w:rStyle w:val="FootnoteReference"/>
        </w:rPr>
        <w:footnoteReference w:id="6"/>
      </w:r>
    </w:p>
    <w:p w:rsidR="007536B3" w:rsidRPr="00222597" w:rsidRDefault="007536B3" w:rsidP="00960382">
      <w:pPr>
        <w:pStyle w:val="ListParagraph"/>
        <w:keepNext/>
        <w:keepLines/>
        <w:widowControl/>
        <w:rPr>
          <w:szCs w:val="22"/>
        </w:rPr>
      </w:pPr>
    </w:p>
    <w:p w:rsidR="009A302C" w:rsidRPr="00222597" w:rsidRDefault="009A302C" w:rsidP="00F15765">
      <w:pPr>
        <w:pStyle w:val="ListParagraph"/>
        <w:widowControl/>
        <w:numPr>
          <w:ilvl w:val="1"/>
          <w:numId w:val="3"/>
        </w:numPr>
      </w:pPr>
      <w:r w:rsidRPr="00222597">
        <w:t xml:space="preserve">Overall, </w:t>
      </w:r>
      <w:proofErr w:type="spellStart"/>
      <w:r w:rsidRPr="00222597">
        <w:t>ulipristal</w:t>
      </w:r>
      <w:proofErr w:type="spellEnd"/>
      <w:r w:rsidRPr="00222597">
        <w:t xml:space="preserve"> </w:t>
      </w:r>
      <w:r w:rsidR="00AC01E2" w:rsidRPr="00222597">
        <w:t xml:space="preserve">5 </w:t>
      </w:r>
      <w:r w:rsidR="00B413FC" w:rsidRPr="00222597">
        <w:t>mg</w:t>
      </w:r>
      <w:r w:rsidRPr="00222597">
        <w:t xml:space="preserve"> appeared to have a more favourable AE profile compared to </w:t>
      </w:r>
      <w:proofErr w:type="spellStart"/>
      <w:r w:rsidRPr="00222597">
        <w:t>leuprorelin</w:t>
      </w:r>
      <w:proofErr w:type="spellEnd"/>
      <w:r w:rsidRPr="00222597">
        <w:t xml:space="preserve">. </w:t>
      </w:r>
      <w:r w:rsidR="001D095D" w:rsidRPr="00222597">
        <w:t>In Lim 2008, t</w:t>
      </w:r>
      <w:r w:rsidR="0097310F" w:rsidRPr="00222597">
        <w:t xml:space="preserve">he </w:t>
      </w:r>
      <w:r w:rsidR="001D095D" w:rsidRPr="00222597">
        <w:t xml:space="preserve">incidence of hot flushes was similar in the </w:t>
      </w:r>
      <w:proofErr w:type="spellStart"/>
      <w:r w:rsidR="0097310F" w:rsidRPr="00222597">
        <w:t>goserelin</w:t>
      </w:r>
      <w:proofErr w:type="spellEnd"/>
      <w:r w:rsidR="0097310F" w:rsidRPr="00222597">
        <w:t xml:space="preserve"> and </w:t>
      </w:r>
      <w:r w:rsidR="00286D83" w:rsidRPr="00222597">
        <w:t xml:space="preserve">the </w:t>
      </w:r>
      <w:proofErr w:type="spellStart"/>
      <w:r w:rsidR="0097310F" w:rsidRPr="00222597">
        <w:t>leuprorelin</w:t>
      </w:r>
      <w:proofErr w:type="spellEnd"/>
      <w:r w:rsidR="0097310F" w:rsidRPr="00222597">
        <w:t xml:space="preserve"> </w:t>
      </w:r>
      <w:r w:rsidR="001D095D" w:rsidRPr="00222597">
        <w:t>treatment arms</w:t>
      </w:r>
      <w:r w:rsidR="0097310F" w:rsidRPr="00222597">
        <w:t xml:space="preserve"> </w:t>
      </w:r>
      <w:r w:rsidR="00975521" w:rsidRPr="00222597">
        <w:t>(52.9% and 61.3%, respectively)</w:t>
      </w:r>
      <w:r w:rsidR="0097310F" w:rsidRPr="00222597">
        <w:t xml:space="preserve">. </w:t>
      </w:r>
    </w:p>
    <w:p w:rsidR="003C78D7" w:rsidRPr="00222597" w:rsidRDefault="003C78D7" w:rsidP="003C78D7">
      <w:pPr>
        <w:pStyle w:val="ListParagraph"/>
        <w:widowControl/>
      </w:pPr>
    </w:p>
    <w:p w:rsidR="009A302C" w:rsidRPr="00222597" w:rsidRDefault="009A302C" w:rsidP="00AC4455">
      <w:pPr>
        <w:pStyle w:val="ListParagraph"/>
        <w:widowControl/>
        <w:numPr>
          <w:ilvl w:val="1"/>
          <w:numId w:val="3"/>
        </w:numPr>
        <w:rPr>
          <w:szCs w:val="22"/>
        </w:rPr>
      </w:pPr>
      <w:r w:rsidRPr="00222597">
        <w:t xml:space="preserve">In general, the incidence of AEs in the </w:t>
      </w:r>
      <w:proofErr w:type="spellStart"/>
      <w:r w:rsidRPr="00222597">
        <w:t>ulipristal</w:t>
      </w:r>
      <w:proofErr w:type="spellEnd"/>
      <w:r w:rsidRPr="00222597">
        <w:t xml:space="preserve"> </w:t>
      </w:r>
      <w:r w:rsidR="00AC01E2" w:rsidRPr="00222597">
        <w:t xml:space="preserve">5 </w:t>
      </w:r>
      <w:r w:rsidR="00B413FC" w:rsidRPr="00222597">
        <w:t>mg</w:t>
      </w:r>
      <w:r w:rsidRPr="00222597">
        <w:t xml:space="preserve"> arm of PEARL II appeared to be higher than in the </w:t>
      </w:r>
      <w:proofErr w:type="spellStart"/>
      <w:r w:rsidRPr="00222597">
        <w:t>ulipristal</w:t>
      </w:r>
      <w:proofErr w:type="spellEnd"/>
      <w:r w:rsidRPr="00222597">
        <w:t xml:space="preserve"> </w:t>
      </w:r>
      <w:r w:rsidR="00B413FC" w:rsidRPr="00222597">
        <w:t>5 mg</w:t>
      </w:r>
      <w:r w:rsidRPr="00222597">
        <w:t xml:space="preserve"> arm of PEARL I (e.g. hot flushes were reported in 2.1% of patients in PEARL I compared to 25.8% in PEARL II). </w:t>
      </w:r>
      <w:r w:rsidR="00F45324" w:rsidRPr="00222597">
        <w:t xml:space="preserve">The reason for this difference was not clear. </w:t>
      </w:r>
      <w:r w:rsidRPr="00222597">
        <w:t xml:space="preserve">Across the two trials, the most common AEs in the </w:t>
      </w:r>
      <w:proofErr w:type="spellStart"/>
      <w:r w:rsidRPr="00222597">
        <w:t>ulipristal</w:t>
      </w:r>
      <w:proofErr w:type="spellEnd"/>
      <w:r w:rsidRPr="00222597">
        <w:t xml:space="preserve"> arms were headaches and hot flushes, most of which were mild to moderate.</w:t>
      </w:r>
    </w:p>
    <w:p w:rsidR="00D647CD" w:rsidRPr="00222597" w:rsidRDefault="00D647CD" w:rsidP="00D647CD">
      <w:pPr>
        <w:pStyle w:val="ListParagraph"/>
        <w:rPr>
          <w:szCs w:val="22"/>
        </w:rPr>
      </w:pPr>
    </w:p>
    <w:p w:rsidR="002C0483" w:rsidRPr="00222597" w:rsidRDefault="002C0483" w:rsidP="002C0483">
      <w:pPr>
        <w:pStyle w:val="ListParagraph"/>
        <w:ind w:left="0"/>
        <w:rPr>
          <w:u w:val="single"/>
        </w:rPr>
      </w:pPr>
      <w:r w:rsidRPr="00222597">
        <w:rPr>
          <w:u w:val="single"/>
        </w:rPr>
        <w:t xml:space="preserve">Repeated intermittent medium-long term use of </w:t>
      </w:r>
      <w:proofErr w:type="spellStart"/>
      <w:r w:rsidRPr="00222597">
        <w:rPr>
          <w:u w:val="single"/>
        </w:rPr>
        <w:t>ulipristal</w:t>
      </w:r>
      <w:proofErr w:type="spellEnd"/>
      <w:r w:rsidRPr="00222597">
        <w:rPr>
          <w:u w:val="single"/>
        </w:rPr>
        <w:t xml:space="preserve"> (Clinical scenarios 2-4)</w:t>
      </w:r>
    </w:p>
    <w:p w:rsidR="002C0483" w:rsidRPr="00222597" w:rsidRDefault="002C0483" w:rsidP="00D647CD">
      <w:pPr>
        <w:pStyle w:val="ListParagraph"/>
        <w:rPr>
          <w:szCs w:val="22"/>
        </w:rPr>
      </w:pPr>
    </w:p>
    <w:p w:rsidR="00E2396F" w:rsidRPr="00222597" w:rsidRDefault="002C0483" w:rsidP="00F15765">
      <w:pPr>
        <w:pStyle w:val="ListParagraph"/>
        <w:widowControl/>
        <w:numPr>
          <w:ilvl w:val="1"/>
          <w:numId w:val="3"/>
        </w:numPr>
        <w:rPr>
          <w:szCs w:val="22"/>
        </w:rPr>
      </w:pPr>
      <w:r w:rsidRPr="00222597">
        <w:t xml:space="preserve">No evidence was provided for the safety of </w:t>
      </w:r>
      <w:r w:rsidR="00222597">
        <w:t>long-term</w:t>
      </w:r>
      <w:r w:rsidRPr="00222597">
        <w:t xml:space="preserve"> use of </w:t>
      </w:r>
      <w:proofErr w:type="spellStart"/>
      <w:r w:rsidRPr="00222597">
        <w:t>ulipristal</w:t>
      </w:r>
      <w:proofErr w:type="spellEnd"/>
      <w:r w:rsidRPr="00222597">
        <w:t xml:space="preserve"> </w:t>
      </w:r>
      <w:r w:rsidR="00B413FC" w:rsidRPr="00030326">
        <w:t>5 mg</w:t>
      </w:r>
      <w:r w:rsidRPr="00030326">
        <w:t xml:space="preserve">/daily; adequate data were only available for up to four </w:t>
      </w:r>
      <w:r w:rsidR="00E11970" w:rsidRPr="00F368D9">
        <w:t xml:space="preserve">repeated </w:t>
      </w:r>
      <w:r w:rsidRPr="00222597">
        <w:t>treatment courses.</w:t>
      </w:r>
      <w:r w:rsidR="00E11970" w:rsidRPr="00222597">
        <w:t xml:space="preserve"> All safety data was non-comparative.</w:t>
      </w:r>
      <w:r w:rsidRPr="00222597">
        <w:t xml:space="preserve"> </w:t>
      </w:r>
      <w:r w:rsidR="00E11970" w:rsidRPr="00222597">
        <w:t xml:space="preserve">The incidence of TEAEs was highest during the first treatment course; </w:t>
      </w:r>
      <w:r w:rsidR="00E2396F" w:rsidRPr="00222597">
        <w:t xml:space="preserve">the majority were of mild to </w:t>
      </w:r>
      <w:r w:rsidR="004773D1" w:rsidRPr="00222597">
        <w:t>moderate intensity</w:t>
      </w:r>
      <w:r w:rsidR="00E11970" w:rsidRPr="00222597">
        <w:t xml:space="preserve">. </w:t>
      </w:r>
    </w:p>
    <w:p w:rsidR="00E2396F" w:rsidRPr="00222597" w:rsidRDefault="00E2396F" w:rsidP="00E2396F">
      <w:pPr>
        <w:pStyle w:val="ListParagraph"/>
        <w:widowControl/>
        <w:rPr>
          <w:szCs w:val="22"/>
        </w:rPr>
      </w:pPr>
    </w:p>
    <w:p w:rsidR="00D647CD" w:rsidRPr="00222597" w:rsidRDefault="00D647CD" w:rsidP="00F15765">
      <w:pPr>
        <w:pStyle w:val="ListParagraph"/>
        <w:widowControl/>
        <w:numPr>
          <w:ilvl w:val="1"/>
          <w:numId w:val="3"/>
        </w:numPr>
        <w:rPr>
          <w:szCs w:val="22"/>
        </w:rPr>
      </w:pPr>
      <w:r w:rsidRPr="00222597">
        <w:t>The second PEARL III extension study (PGL11-024) provide</w:t>
      </w:r>
      <w:r w:rsidR="00E70FFF" w:rsidRPr="00222597">
        <w:t>d</w:t>
      </w:r>
      <w:r w:rsidRPr="00222597">
        <w:t xml:space="preserve"> safety data for 64 patients from the first PEARL III extension, who received a further </w:t>
      </w:r>
      <w:r w:rsidR="007536B3" w:rsidRPr="00222597">
        <w:t>four</w:t>
      </w:r>
      <w:r w:rsidRPr="00222597">
        <w:t xml:space="preserve"> 3-month courses of </w:t>
      </w:r>
      <w:proofErr w:type="spellStart"/>
      <w:r w:rsidRPr="00222597">
        <w:t>ulipristal</w:t>
      </w:r>
      <w:proofErr w:type="spellEnd"/>
      <w:r w:rsidRPr="00222597">
        <w:t xml:space="preserve"> 1</w:t>
      </w:r>
      <w:r w:rsidR="00B413FC" w:rsidRPr="00222597">
        <w:t>0 mg</w:t>
      </w:r>
      <w:r w:rsidRPr="00222597">
        <w:t xml:space="preserve"> (total of 8 intermittent courses). </w:t>
      </w:r>
      <w:r w:rsidR="004773D1" w:rsidRPr="00222597">
        <w:t>While this study did not raise any additional safety issues, the</w:t>
      </w:r>
      <w:r w:rsidR="00E11970" w:rsidRPr="00222597">
        <w:t xml:space="preserve"> study was too small to reliably identify less common treatment-related AEs.</w:t>
      </w:r>
    </w:p>
    <w:p w:rsidR="006C0FC1" w:rsidRPr="00222597" w:rsidRDefault="006C0FC1" w:rsidP="006C0FC1">
      <w:pPr>
        <w:pStyle w:val="ListParagraph"/>
        <w:widowControl/>
        <w:rPr>
          <w:szCs w:val="22"/>
        </w:rPr>
      </w:pPr>
    </w:p>
    <w:p w:rsidR="006C0FC1" w:rsidRPr="00222597" w:rsidRDefault="006C0FC1" w:rsidP="00F15765">
      <w:pPr>
        <w:pStyle w:val="ListParagraph"/>
        <w:widowControl/>
        <w:numPr>
          <w:ilvl w:val="1"/>
          <w:numId w:val="3"/>
        </w:numPr>
        <w:rPr>
          <w:szCs w:val="22"/>
        </w:rPr>
      </w:pPr>
      <w:r w:rsidRPr="00222597">
        <w:rPr>
          <w:szCs w:val="22"/>
        </w:rPr>
        <w:t xml:space="preserve">There are insufficient </w:t>
      </w:r>
      <w:r w:rsidR="00222597">
        <w:rPr>
          <w:szCs w:val="22"/>
        </w:rPr>
        <w:t>long-term</w:t>
      </w:r>
      <w:r w:rsidRPr="00222597">
        <w:rPr>
          <w:szCs w:val="22"/>
        </w:rPr>
        <w:t xml:space="preserve"> safety data to determine if </w:t>
      </w:r>
      <w:proofErr w:type="spellStart"/>
      <w:r w:rsidRPr="00222597">
        <w:rPr>
          <w:szCs w:val="22"/>
        </w:rPr>
        <w:t>ulipristal</w:t>
      </w:r>
      <w:proofErr w:type="spellEnd"/>
      <w:r w:rsidRPr="00222597">
        <w:rPr>
          <w:szCs w:val="22"/>
        </w:rPr>
        <w:t xml:space="preserve"> increases the risk of endometrial abnormalities, including possible malig</w:t>
      </w:r>
      <w:r w:rsidRPr="00030326">
        <w:rPr>
          <w:szCs w:val="22"/>
        </w:rPr>
        <w:t>nant changes.</w:t>
      </w:r>
      <w:r w:rsidR="0066400F" w:rsidRPr="00F368D9">
        <w:rPr>
          <w:szCs w:val="22"/>
        </w:rPr>
        <w:t xml:space="preserve"> The </w:t>
      </w:r>
      <w:r w:rsidR="00D20A48">
        <w:rPr>
          <w:szCs w:val="22"/>
        </w:rPr>
        <w:t>safety for a human embryo/foetus is unknown</w:t>
      </w:r>
      <w:r w:rsidR="0066400F" w:rsidRPr="00F368D9">
        <w:rPr>
          <w:szCs w:val="22"/>
        </w:rPr>
        <w:t>.</w:t>
      </w:r>
    </w:p>
    <w:p w:rsidR="00791EAB" w:rsidRPr="00222597" w:rsidRDefault="00791EAB" w:rsidP="001F54FF">
      <w:pPr>
        <w:pStyle w:val="ListParagraph"/>
        <w:rPr>
          <w:szCs w:val="22"/>
        </w:rPr>
      </w:pPr>
    </w:p>
    <w:p w:rsidR="00791EAB" w:rsidRPr="00030326" w:rsidRDefault="00791EAB" w:rsidP="00F15765">
      <w:pPr>
        <w:pStyle w:val="ListParagraph"/>
        <w:widowControl/>
        <w:numPr>
          <w:ilvl w:val="1"/>
          <w:numId w:val="3"/>
        </w:numPr>
        <w:rPr>
          <w:szCs w:val="22"/>
        </w:rPr>
      </w:pPr>
      <w:r w:rsidRPr="00222597">
        <w:rPr>
          <w:szCs w:val="22"/>
        </w:rPr>
        <w:t xml:space="preserve">The sponsor has </w:t>
      </w:r>
      <w:r w:rsidR="00A84CF8" w:rsidRPr="00222597">
        <w:rPr>
          <w:szCs w:val="22"/>
        </w:rPr>
        <w:t>stated</w:t>
      </w:r>
      <w:r w:rsidRPr="00222597">
        <w:rPr>
          <w:szCs w:val="22"/>
        </w:rPr>
        <w:t xml:space="preserve"> in the PSCR</w:t>
      </w:r>
      <w:r w:rsidR="00A84CF8" w:rsidRPr="00222597">
        <w:rPr>
          <w:szCs w:val="22"/>
        </w:rPr>
        <w:t xml:space="preserve"> </w:t>
      </w:r>
      <w:r w:rsidRPr="00222597">
        <w:rPr>
          <w:szCs w:val="22"/>
        </w:rPr>
        <w:t xml:space="preserve">that there are ongoing </w:t>
      </w:r>
      <w:r w:rsidR="00222597">
        <w:rPr>
          <w:szCs w:val="22"/>
        </w:rPr>
        <w:t>long-term</w:t>
      </w:r>
      <w:r w:rsidRPr="00222597">
        <w:rPr>
          <w:szCs w:val="22"/>
        </w:rPr>
        <w:t xml:space="preserve"> safety studies in the EU</w:t>
      </w:r>
      <w:r w:rsidR="00A84CF8" w:rsidRPr="00222597">
        <w:rPr>
          <w:szCs w:val="22"/>
        </w:rPr>
        <w:t xml:space="preserve"> that may provide further information in regards to the </w:t>
      </w:r>
      <w:r w:rsidR="00222597">
        <w:rPr>
          <w:szCs w:val="22"/>
        </w:rPr>
        <w:t>long-term</w:t>
      </w:r>
      <w:r w:rsidR="00A84CF8" w:rsidRPr="00222597">
        <w:rPr>
          <w:szCs w:val="22"/>
        </w:rPr>
        <w:t xml:space="preserve"> safety of </w:t>
      </w:r>
      <w:proofErr w:type="spellStart"/>
      <w:r w:rsidR="00A84CF8" w:rsidRPr="00222597">
        <w:rPr>
          <w:szCs w:val="22"/>
        </w:rPr>
        <w:t>ulipristal</w:t>
      </w:r>
      <w:proofErr w:type="spellEnd"/>
      <w:r w:rsidR="00C3524C" w:rsidRPr="00222597">
        <w:rPr>
          <w:szCs w:val="22"/>
        </w:rPr>
        <w:t xml:space="preserve"> that may be available</w:t>
      </w:r>
      <w:r w:rsidR="00A84CF8" w:rsidRPr="00222597">
        <w:rPr>
          <w:szCs w:val="22"/>
        </w:rPr>
        <w:t xml:space="preserve"> in the future</w:t>
      </w:r>
      <w:r w:rsidRPr="00222597">
        <w:rPr>
          <w:szCs w:val="22"/>
        </w:rPr>
        <w:t xml:space="preserve">. </w:t>
      </w:r>
    </w:p>
    <w:p w:rsidR="00D647CD" w:rsidRPr="00F368D9" w:rsidRDefault="00D647CD" w:rsidP="00D647CD">
      <w:pPr>
        <w:pStyle w:val="ListParagraph"/>
        <w:ind w:left="0"/>
        <w:rPr>
          <w:szCs w:val="22"/>
        </w:rPr>
      </w:pPr>
    </w:p>
    <w:p w:rsidR="00D647CD" w:rsidRPr="00222597" w:rsidRDefault="00D647CD" w:rsidP="001466EA">
      <w:pPr>
        <w:pStyle w:val="Heading2"/>
      </w:pPr>
      <w:bookmarkStart w:id="12" w:name="_Toc451165142"/>
      <w:r w:rsidRPr="00222597">
        <w:t>Clinical claim</w:t>
      </w:r>
      <w:bookmarkEnd w:id="12"/>
    </w:p>
    <w:p w:rsidR="00D647CD" w:rsidRPr="00222597" w:rsidRDefault="00D647CD" w:rsidP="00D647CD">
      <w:pPr>
        <w:ind w:left="720" w:hanging="720"/>
        <w:rPr>
          <w:szCs w:val="22"/>
        </w:rPr>
      </w:pPr>
    </w:p>
    <w:p w:rsidR="00F229F8" w:rsidRPr="00222597" w:rsidRDefault="009A302C" w:rsidP="00F229F8">
      <w:pPr>
        <w:pStyle w:val="ListParagraph"/>
        <w:widowControl/>
        <w:numPr>
          <w:ilvl w:val="1"/>
          <w:numId w:val="3"/>
        </w:numPr>
        <w:rPr>
          <w:szCs w:val="22"/>
        </w:rPr>
      </w:pPr>
      <w:r w:rsidRPr="00222597">
        <w:rPr>
          <w:szCs w:val="22"/>
        </w:rPr>
        <w:t xml:space="preserve">The submission described </w:t>
      </w:r>
      <w:proofErr w:type="spellStart"/>
      <w:r w:rsidRPr="00222597">
        <w:rPr>
          <w:szCs w:val="22"/>
        </w:rPr>
        <w:t>ulipristal</w:t>
      </w:r>
      <w:proofErr w:type="spellEnd"/>
      <w:r w:rsidRPr="00222597">
        <w:rPr>
          <w:szCs w:val="22"/>
        </w:rPr>
        <w:t xml:space="preserve"> as “qualitatively” non-inferior in terms of comparative effectiveness and “qualitatively” superior in terms of comparative safety over </w:t>
      </w:r>
      <w:proofErr w:type="spellStart"/>
      <w:r w:rsidRPr="00222597">
        <w:rPr>
          <w:szCs w:val="22"/>
        </w:rPr>
        <w:t>goserelin</w:t>
      </w:r>
      <w:proofErr w:type="spellEnd"/>
      <w:r w:rsidRPr="00222597">
        <w:rPr>
          <w:szCs w:val="22"/>
        </w:rPr>
        <w:t xml:space="preserve"> (with or without </w:t>
      </w:r>
      <w:proofErr w:type="spellStart"/>
      <w:r w:rsidRPr="00222597">
        <w:rPr>
          <w:szCs w:val="22"/>
        </w:rPr>
        <w:t>tibolone</w:t>
      </w:r>
      <w:proofErr w:type="spellEnd"/>
      <w:r w:rsidRPr="00222597">
        <w:rPr>
          <w:szCs w:val="22"/>
        </w:rPr>
        <w:t xml:space="preserve">). </w:t>
      </w:r>
      <w:r w:rsidRPr="00222597">
        <w:t xml:space="preserve">As </w:t>
      </w:r>
      <w:r w:rsidR="00C828FD" w:rsidRPr="00222597">
        <w:t xml:space="preserve">acknowledged in </w:t>
      </w:r>
      <w:r w:rsidRPr="00222597">
        <w:t>the submission</w:t>
      </w:r>
      <w:r w:rsidR="00C828FD" w:rsidRPr="00222597">
        <w:t>,</w:t>
      </w:r>
      <w:r w:rsidRPr="00222597">
        <w:t xml:space="preserve"> </w:t>
      </w:r>
      <w:r w:rsidR="00C828FD" w:rsidRPr="00222597">
        <w:t xml:space="preserve">there was insufficient comparative evidence to provide a “quantitative” estimate of the comparative effectiveness and safety of </w:t>
      </w:r>
      <w:proofErr w:type="spellStart"/>
      <w:r w:rsidR="00C828FD" w:rsidRPr="00222597">
        <w:t>ulipristal</w:t>
      </w:r>
      <w:proofErr w:type="spellEnd"/>
      <w:r w:rsidR="00C828FD" w:rsidRPr="00222597">
        <w:t xml:space="preserve"> and </w:t>
      </w:r>
      <w:proofErr w:type="spellStart"/>
      <w:r w:rsidR="00C828FD" w:rsidRPr="00222597">
        <w:t>goserelin</w:t>
      </w:r>
      <w:proofErr w:type="spellEnd"/>
      <w:r w:rsidR="00C828FD" w:rsidRPr="00222597">
        <w:t xml:space="preserve">, in either the </w:t>
      </w:r>
      <w:r w:rsidR="00222597">
        <w:t>short-term</w:t>
      </w:r>
      <w:r w:rsidR="00C828FD" w:rsidRPr="00222597">
        <w:t xml:space="preserve"> or the medium-long term. </w:t>
      </w:r>
    </w:p>
    <w:p w:rsidR="00F229F8" w:rsidRPr="00030326" w:rsidRDefault="00F229F8" w:rsidP="00D647CD">
      <w:pPr>
        <w:pStyle w:val="ListParagraph"/>
        <w:widowControl/>
        <w:rPr>
          <w:szCs w:val="22"/>
        </w:rPr>
      </w:pPr>
    </w:p>
    <w:p w:rsidR="00960382" w:rsidRPr="00030326" w:rsidRDefault="00222597" w:rsidP="00960382">
      <w:pPr>
        <w:widowControl/>
        <w:rPr>
          <w:b/>
          <w:szCs w:val="22"/>
        </w:rPr>
      </w:pPr>
      <w:r>
        <w:rPr>
          <w:b/>
          <w:szCs w:val="22"/>
        </w:rPr>
        <w:t>Short-term</w:t>
      </w:r>
      <w:r w:rsidR="00960382" w:rsidRPr="00222597">
        <w:rPr>
          <w:b/>
          <w:szCs w:val="22"/>
        </w:rPr>
        <w:t xml:space="preserve"> use of </w:t>
      </w:r>
      <w:proofErr w:type="spellStart"/>
      <w:r w:rsidR="00960382" w:rsidRPr="00222597">
        <w:rPr>
          <w:b/>
          <w:szCs w:val="22"/>
        </w:rPr>
        <w:t>ulipristal</w:t>
      </w:r>
      <w:proofErr w:type="spellEnd"/>
      <w:r w:rsidR="00960382" w:rsidRPr="00222597">
        <w:rPr>
          <w:b/>
          <w:szCs w:val="22"/>
        </w:rPr>
        <w:t xml:space="preserve"> before surgery (Clinical scenario 1): </w:t>
      </w:r>
    </w:p>
    <w:p w:rsidR="00960382" w:rsidRPr="00F368D9" w:rsidRDefault="00960382" w:rsidP="00960382">
      <w:pPr>
        <w:widowControl/>
      </w:pPr>
    </w:p>
    <w:p w:rsidR="005C27CC" w:rsidRPr="00030326" w:rsidRDefault="005C27CC" w:rsidP="00960382">
      <w:pPr>
        <w:pStyle w:val="ListParagraph"/>
        <w:widowControl/>
        <w:numPr>
          <w:ilvl w:val="1"/>
          <w:numId w:val="3"/>
        </w:numPr>
      </w:pPr>
      <w:r w:rsidRPr="00222597">
        <w:t xml:space="preserve">There was insufficient evidence to make any conclusions regarding the comparative effectiveness and safety of the </w:t>
      </w:r>
      <w:r w:rsidR="00222597">
        <w:t>short-term</w:t>
      </w:r>
      <w:r w:rsidRPr="00222597">
        <w:t xml:space="preserve"> use of </w:t>
      </w:r>
      <w:proofErr w:type="spellStart"/>
      <w:r w:rsidRPr="00222597">
        <w:t>ulipristal</w:t>
      </w:r>
      <w:proofErr w:type="spellEnd"/>
      <w:r w:rsidRPr="00222597">
        <w:t xml:space="preserve"> and </w:t>
      </w:r>
      <w:proofErr w:type="spellStart"/>
      <w:r w:rsidRPr="00222597">
        <w:t>goserelin</w:t>
      </w:r>
      <w:proofErr w:type="spellEnd"/>
      <w:r w:rsidRPr="00222597">
        <w:t xml:space="preserve"> prior to surgery. </w:t>
      </w:r>
    </w:p>
    <w:p w:rsidR="005C27CC" w:rsidRPr="00F368D9" w:rsidRDefault="005C27CC" w:rsidP="00F0716E">
      <w:pPr>
        <w:pStyle w:val="ListParagraph"/>
        <w:widowControl/>
      </w:pPr>
    </w:p>
    <w:p w:rsidR="00D647CD" w:rsidRPr="00222597" w:rsidRDefault="00D647CD" w:rsidP="00F0716E">
      <w:pPr>
        <w:pStyle w:val="ListParagraph"/>
        <w:widowControl/>
      </w:pPr>
      <w:r w:rsidRPr="00222597">
        <w:t>The evidence presented in the submission support</w:t>
      </w:r>
      <w:r w:rsidR="00E70FFF" w:rsidRPr="00222597">
        <w:t>ed</w:t>
      </w:r>
      <w:r w:rsidRPr="00222597">
        <w:t xml:space="preserve"> the following conclusions:</w:t>
      </w:r>
    </w:p>
    <w:p w:rsidR="00D647CD" w:rsidRPr="00222597" w:rsidRDefault="00D647CD" w:rsidP="00F15765">
      <w:pPr>
        <w:pStyle w:val="ListParagraph"/>
        <w:numPr>
          <w:ilvl w:val="0"/>
          <w:numId w:val="36"/>
        </w:numPr>
        <w:ind w:left="1134"/>
      </w:pPr>
      <w:r w:rsidRPr="00222597">
        <w:t>In comparison to placebo (or no treatment):</w:t>
      </w:r>
    </w:p>
    <w:p w:rsidR="00D647CD" w:rsidRPr="00222597" w:rsidRDefault="00D647CD" w:rsidP="00F15765">
      <w:pPr>
        <w:pStyle w:val="ListParagraph"/>
        <w:numPr>
          <w:ilvl w:val="1"/>
          <w:numId w:val="36"/>
        </w:numPr>
        <w:ind w:left="1418"/>
      </w:pPr>
      <w:r w:rsidRPr="00222597">
        <w:t>A singl</w:t>
      </w:r>
      <w:r w:rsidR="00E70FFF" w:rsidRPr="00222597">
        <w:t xml:space="preserve">e 13-week course of </w:t>
      </w:r>
      <w:proofErr w:type="spellStart"/>
      <w:r w:rsidR="00E70FFF" w:rsidRPr="00222597">
        <w:t>ulipristal</w:t>
      </w:r>
      <w:proofErr w:type="spellEnd"/>
      <w:r w:rsidR="00E70FFF" w:rsidRPr="00222597">
        <w:t xml:space="preserve"> </w:t>
      </w:r>
      <w:r w:rsidR="00ED6A87" w:rsidRPr="00222597">
        <w:t xml:space="preserve">was </w:t>
      </w:r>
      <w:r w:rsidRPr="00222597">
        <w:t xml:space="preserve">superior to placebo in terms of controlling abnormal uterine bleeding and reducing both fibroid and uterine volume in pre-menopausal women who </w:t>
      </w:r>
      <w:r w:rsidR="00F552AA" w:rsidRPr="00222597">
        <w:t>a</w:t>
      </w:r>
      <w:r w:rsidRPr="00222597">
        <w:t>re eligible for surgery;</w:t>
      </w:r>
    </w:p>
    <w:p w:rsidR="00D647CD" w:rsidRPr="00222597" w:rsidRDefault="00D647CD" w:rsidP="00F15765">
      <w:pPr>
        <w:pStyle w:val="ListParagraph"/>
        <w:numPr>
          <w:ilvl w:val="1"/>
          <w:numId w:val="36"/>
        </w:numPr>
        <w:ind w:left="1418"/>
      </w:pPr>
      <w:proofErr w:type="spellStart"/>
      <w:r w:rsidRPr="00222597">
        <w:t>Goserelin</w:t>
      </w:r>
      <w:proofErr w:type="spellEnd"/>
      <w:r w:rsidRPr="00222597">
        <w:t xml:space="preserve"> </w:t>
      </w:r>
      <w:r w:rsidR="00F552AA" w:rsidRPr="00222597">
        <w:t>i</w:t>
      </w:r>
      <w:r w:rsidR="00E70FFF" w:rsidRPr="00222597">
        <w:t>s</w:t>
      </w:r>
      <w:r w:rsidRPr="00222597">
        <w:t xml:space="preserve"> superior to both no pre-treatment and placebo in reducing both uterine and fibroid size, and in improving </w:t>
      </w:r>
      <w:proofErr w:type="spellStart"/>
      <w:r w:rsidRPr="00222597">
        <w:t>haematologic</w:t>
      </w:r>
      <w:proofErr w:type="spellEnd"/>
      <w:r w:rsidRPr="00222597">
        <w:t xml:space="preserve"> indices prior to surgery;</w:t>
      </w:r>
    </w:p>
    <w:p w:rsidR="00D647CD" w:rsidRPr="00222597" w:rsidRDefault="00D647CD" w:rsidP="00F15765">
      <w:pPr>
        <w:pStyle w:val="ListParagraph"/>
        <w:numPr>
          <w:ilvl w:val="2"/>
          <w:numId w:val="37"/>
        </w:numPr>
        <w:ind w:left="1701"/>
      </w:pPr>
      <w:r w:rsidRPr="00222597">
        <w:t xml:space="preserve">Given the considerable heterogeneity between the </w:t>
      </w:r>
      <w:proofErr w:type="spellStart"/>
      <w:r w:rsidRPr="00222597">
        <w:t>goserelin</w:t>
      </w:r>
      <w:proofErr w:type="spellEnd"/>
      <w:r w:rsidRPr="00222597">
        <w:t xml:space="preserve"> trials, the likely magnitude of these benefits in the proposed PBS population </w:t>
      </w:r>
      <w:r w:rsidR="00F552AA" w:rsidRPr="00222597">
        <w:t>i</w:t>
      </w:r>
      <w:r w:rsidR="00E70FFF" w:rsidRPr="00222597">
        <w:t>s</w:t>
      </w:r>
      <w:r w:rsidRPr="00222597">
        <w:t xml:space="preserve"> highly uncertain;</w:t>
      </w:r>
    </w:p>
    <w:p w:rsidR="00D647CD" w:rsidRPr="00222597" w:rsidRDefault="00D647CD" w:rsidP="00F15765">
      <w:pPr>
        <w:pStyle w:val="ListParagraph"/>
        <w:numPr>
          <w:ilvl w:val="0"/>
          <w:numId w:val="36"/>
        </w:numPr>
        <w:ind w:left="1134"/>
      </w:pPr>
      <w:r w:rsidRPr="00222597">
        <w:t xml:space="preserve">Compared to the alternative </w:t>
      </w:r>
      <w:proofErr w:type="spellStart"/>
      <w:r w:rsidRPr="00222597">
        <w:t>GnRH</w:t>
      </w:r>
      <w:proofErr w:type="spellEnd"/>
      <w:r w:rsidRPr="00222597">
        <w:t xml:space="preserve"> analogue </w:t>
      </w:r>
      <w:proofErr w:type="spellStart"/>
      <w:r w:rsidRPr="00222597">
        <w:t>leuprorelin</w:t>
      </w:r>
      <w:proofErr w:type="spellEnd"/>
      <w:r w:rsidRPr="00222597">
        <w:t>:</w:t>
      </w:r>
    </w:p>
    <w:p w:rsidR="00D647CD" w:rsidRPr="00030326" w:rsidRDefault="00D647CD" w:rsidP="00F15765">
      <w:pPr>
        <w:pStyle w:val="ListParagraph"/>
        <w:numPr>
          <w:ilvl w:val="1"/>
          <w:numId w:val="36"/>
        </w:numPr>
        <w:ind w:left="1418"/>
      </w:pPr>
      <w:r w:rsidRPr="00222597">
        <w:t>A singl</w:t>
      </w:r>
      <w:r w:rsidR="00E70FFF" w:rsidRPr="00222597">
        <w:t xml:space="preserve">e </w:t>
      </w:r>
      <w:r w:rsidR="00030326">
        <w:t>three</w:t>
      </w:r>
      <w:r w:rsidR="00E70FFF" w:rsidRPr="00030326">
        <w:t xml:space="preserve">-month course of </w:t>
      </w:r>
      <w:proofErr w:type="spellStart"/>
      <w:r w:rsidR="00E70FFF" w:rsidRPr="00030326">
        <w:t>ulipristal</w:t>
      </w:r>
      <w:proofErr w:type="spellEnd"/>
      <w:r w:rsidR="00E70FFF" w:rsidRPr="00030326">
        <w:t xml:space="preserve"> </w:t>
      </w:r>
      <w:r w:rsidR="00ED6A87" w:rsidRPr="00030326">
        <w:t xml:space="preserve">was </w:t>
      </w:r>
      <w:r w:rsidRPr="00030326">
        <w:t xml:space="preserve">non-inferior to </w:t>
      </w:r>
      <w:r w:rsidR="00030326">
        <w:t>three</w:t>
      </w:r>
      <w:r w:rsidR="00030326" w:rsidRPr="00030326">
        <w:t xml:space="preserve"> </w:t>
      </w:r>
      <w:r w:rsidRPr="00030326">
        <w:t xml:space="preserve">months of </w:t>
      </w:r>
      <w:proofErr w:type="spellStart"/>
      <w:r w:rsidRPr="00030326">
        <w:t>leuprorelin</w:t>
      </w:r>
      <w:proofErr w:type="spellEnd"/>
      <w:r w:rsidRPr="00030326">
        <w:t xml:space="preserve"> in controlling abnormal uterine bleeding;</w:t>
      </w:r>
    </w:p>
    <w:p w:rsidR="00D647CD" w:rsidRPr="00222597" w:rsidRDefault="00D647CD" w:rsidP="00F15765">
      <w:pPr>
        <w:pStyle w:val="ListParagraph"/>
        <w:numPr>
          <w:ilvl w:val="1"/>
          <w:numId w:val="36"/>
        </w:numPr>
        <w:ind w:left="1418"/>
      </w:pPr>
      <w:proofErr w:type="spellStart"/>
      <w:r w:rsidRPr="00F368D9">
        <w:t>Leuprorelin</w:t>
      </w:r>
      <w:proofErr w:type="spellEnd"/>
      <w:r w:rsidRPr="00F368D9">
        <w:t xml:space="preserve"> may </w:t>
      </w:r>
      <w:r w:rsidR="000952D3" w:rsidRPr="00222597">
        <w:t xml:space="preserve">be </w:t>
      </w:r>
      <w:r w:rsidRPr="00222597">
        <w:t xml:space="preserve">more effective than </w:t>
      </w:r>
      <w:proofErr w:type="spellStart"/>
      <w:r w:rsidRPr="00222597">
        <w:t>ulipristal</w:t>
      </w:r>
      <w:proofErr w:type="spellEnd"/>
      <w:r w:rsidRPr="00222597">
        <w:t xml:space="preserve"> in reducing both fibroid and uterine volume;</w:t>
      </w:r>
    </w:p>
    <w:p w:rsidR="00D647CD" w:rsidRPr="00222597" w:rsidRDefault="00E70FFF" w:rsidP="00F15765">
      <w:pPr>
        <w:pStyle w:val="ListParagraph"/>
        <w:numPr>
          <w:ilvl w:val="0"/>
          <w:numId w:val="36"/>
        </w:numPr>
        <w:ind w:left="1134"/>
      </w:pPr>
      <w:r w:rsidRPr="00222597">
        <w:t>There wa</w:t>
      </w:r>
      <w:r w:rsidR="00D647CD" w:rsidRPr="00222597">
        <w:t xml:space="preserve">s no comparative evidence for the effectiveness of a single course of </w:t>
      </w:r>
      <w:proofErr w:type="spellStart"/>
      <w:r w:rsidR="00D647CD" w:rsidRPr="00222597">
        <w:t>ulipristal</w:t>
      </w:r>
      <w:proofErr w:type="spellEnd"/>
      <w:r w:rsidR="00D647CD" w:rsidRPr="00222597">
        <w:t xml:space="preserve"> in terms of surgical outcomes, including the potential to facilitate less invasive surgical techniques;</w:t>
      </w:r>
    </w:p>
    <w:p w:rsidR="00D647CD" w:rsidRPr="00222597" w:rsidRDefault="00D647CD" w:rsidP="00F15765">
      <w:pPr>
        <w:pStyle w:val="ListParagraph"/>
        <w:numPr>
          <w:ilvl w:val="0"/>
          <w:numId w:val="36"/>
        </w:numPr>
        <w:ind w:left="1134"/>
      </w:pPr>
      <w:r w:rsidRPr="00222597">
        <w:t>In terms of safety:</w:t>
      </w:r>
    </w:p>
    <w:p w:rsidR="00D647CD" w:rsidRPr="00222597" w:rsidRDefault="00D647CD" w:rsidP="00F15765">
      <w:pPr>
        <w:pStyle w:val="ListParagraph"/>
        <w:numPr>
          <w:ilvl w:val="1"/>
          <w:numId w:val="36"/>
        </w:numPr>
        <w:ind w:left="1418"/>
      </w:pPr>
      <w:r w:rsidRPr="00222597">
        <w:t xml:space="preserve">Compared to </w:t>
      </w:r>
      <w:proofErr w:type="spellStart"/>
      <w:r w:rsidRPr="00222597">
        <w:t>leuprorelin</w:t>
      </w:r>
      <w:proofErr w:type="spellEnd"/>
      <w:r w:rsidRPr="00222597">
        <w:t xml:space="preserve">, </w:t>
      </w:r>
      <w:proofErr w:type="spellStart"/>
      <w:r w:rsidRPr="00222597">
        <w:t>ulipristal</w:t>
      </w:r>
      <w:proofErr w:type="spellEnd"/>
      <w:r w:rsidRPr="00222597">
        <w:t xml:space="preserve"> </w:t>
      </w:r>
      <w:r w:rsidR="00E70FFF" w:rsidRPr="00222597">
        <w:t>was</w:t>
      </w:r>
      <w:r w:rsidRPr="00222597">
        <w:t xml:space="preserve"> associated with a less profound suppression of oestradiol levels and a low</w:t>
      </w:r>
      <w:r w:rsidR="00E70FFF" w:rsidRPr="00222597">
        <w:t xml:space="preserve">er incidence of hot flushes; </w:t>
      </w:r>
      <w:r w:rsidR="00D876A1" w:rsidRPr="00222597">
        <w:t>and</w:t>
      </w:r>
    </w:p>
    <w:p w:rsidR="00D647CD" w:rsidRPr="00222597" w:rsidRDefault="00D647CD" w:rsidP="00F15765">
      <w:pPr>
        <w:pStyle w:val="ListParagraph"/>
        <w:numPr>
          <w:ilvl w:val="1"/>
          <w:numId w:val="36"/>
        </w:numPr>
        <w:ind w:left="1418"/>
      </w:pPr>
      <w:r w:rsidRPr="00222597">
        <w:t xml:space="preserve">Overall, </w:t>
      </w:r>
      <w:proofErr w:type="spellStart"/>
      <w:r w:rsidRPr="00222597">
        <w:t>ulipristal</w:t>
      </w:r>
      <w:proofErr w:type="spellEnd"/>
      <w:r w:rsidRPr="00222597">
        <w:t xml:space="preserve"> </w:t>
      </w:r>
      <w:r w:rsidR="00B413FC" w:rsidRPr="00222597">
        <w:t>5 mg</w:t>
      </w:r>
      <w:r w:rsidRPr="00222597">
        <w:t xml:space="preserve"> appeared to have a more favourable AE profile compared </w:t>
      </w:r>
      <w:r w:rsidR="00D876A1" w:rsidRPr="00222597">
        <w:t xml:space="preserve">to </w:t>
      </w:r>
      <w:proofErr w:type="spellStart"/>
      <w:r w:rsidR="00D876A1" w:rsidRPr="00222597">
        <w:t>leuprorelin</w:t>
      </w:r>
      <w:proofErr w:type="spellEnd"/>
      <w:r w:rsidR="00D876A1" w:rsidRPr="00222597">
        <w:t>.</w:t>
      </w:r>
    </w:p>
    <w:p w:rsidR="00D647CD" w:rsidRPr="00222597" w:rsidRDefault="00D647CD" w:rsidP="00D647CD">
      <w:pPr>
        <w:pStyle w:val="ListParagraph"/>
        <w:rPr>
          <w:b/>
          <w:szCs w:val="22"/>
        </w:rPr>
      </w:pPr>
    </w:p>
    <w:p w:rsidR="00960382" w:rsidRPr="00222597" w:rsidRDefault="00960382" w:rsidP="00960382">
      <w:pPr>
        <w:widowControl/>
        <w:rPr>
          <w:b/>
          <w:szCs w:val="22"/>
        </w:rPr>
      </w:pPr>
      <w:r w:rsidRPr="00222597">
        <w:rPr>
          <w:b/>
          <w:szCs w:val="22"/>
        </w:rPr>
        <w:t xml:space="preserve">Repeated intermittent medium-long term use of </w:t>
      </w:r>
      <w:proofErr w:type="spellStart"/>
      <w:r w:rsidRPr="00222597">
        <w:rPr>
          <w:b/>
          <w:szCs w:val="22"/>
        </w:rPr>
        <w:t>ulipristal</w:t>
      </w:r>
      <w:proofErr w:type="spellEnd"/>
      <w:r w:rsidRPr="00222597">
        <w:rPr>
          <w:b/>
          <w:szCs w:val="22"/>
        </w:rPr>
        <w:t xml:space="preserve"> (Clinical scenarios 2-4): </w:t>
      </w:r>
    </w:p>
    <w:p w:rsidR="00960382" w:rsidRPr="00222597" w:rsidRDefault="00960382" w:rsidP="00960382">
      <w:pPr>
        <w:widowControl/>
      </w:pPr>
    </w:p>
    <w:p w:rsidR="0052099B" w:rsidRPr="00222597" w:rsidRDefault="0052099B" w:rsidP="00960382">
      <w:pPr>
        <w:pStyle w:val="ListParagraph"/>
        <w:widowControl/>
        <w:numPr>
          <w:ilvl w:val="1"/>
          <w:numId w:val="3"/>
        </w:numPr>
      </w:pPr>
      <w:r w:rsidRPr="00222597">
        <w:t xml:space="preserve">Given the lack of evidence for the medium-long term use of </w:t>
      </w:r>
      <w:proofErr w:type="spellStart"/>
      <w:r w:rsidRPr="00222597">
        <w:t>goserelin</w:t>
      </w:r>
      <w:proofErr w:type="spellEnd"/>
      <w:r w:rsidRPr="00222597">
        <w:t xml:space="preserve">, it was not possible to make any conclusions regarding the comparative effectiveness and safety of </w:t>
      </w:r>
      <w:proofErr w:type="spellStart"/>
      <w:r w:rsidRPr="00222597">
        <w:t>ulipristal</w:t>
      </w:r>
      <w:proofErr w:type="spellEnd"/>
      <w:r w:rsidRPr="00222597">
        <w:t xml:space="preserve"> and </w:t>
      </w:r>
      <w:proofErr w:type="spellStart"/>
      <w:r w:rsidRPr="00222597">
        <w:t>goserelin</w:t>
      </w:r>
      <w:proofErr w:type="spellEnd"/>
      <w:r w:rsidRPr="00222597">
        <w:t xml:space="preserve"> (with or without add-back therapy) in these clinical scenarios. </w:t>
      </w:r>
    </w:p>
    <w:p w:rsidR="0052099B" w:rsidRPr="00222597" w:rsidRDefault="0052099B" w:rsidP="00F0716E">
      <w:pPr>
        <w:pStyle w:val="ListParagraph"/>
        <w:widowControl/>
      </w:pPr>
    </w:p>
    <w:p w:rsidR="00D647CD" w:rsidRPr="00222597" w:rsidRDefault="00D647CD" w:rsidP="00F0716E">
      <w:pPr>
        <w:pStyle w:val="ListParagraph"/>
        <w:widowControl/>
      </w:pPr>
      <w:r w:rsidRPr="00222597">
        <w:t>The evidence presented in the submission support</w:t>
      </w:r>
      <w:r w:rsidR="00E70FFF" w:rsidRPr="00222597">
        <w:t xml:space="preserve">ed </w:t>
      </w:r>
      <w:r w:rsidRPr="00222597">
        <w:t>the following conclusions:</w:t>
      </w:r>
    </w:p>
    <w:p w:rsidR="00D647CD" w:rsidRPr="00030326" w:rsidRDefault="00D647CD" w:rsidP="00F15765">
      <w:pPr>
        <w:pStyle w:val="ListParagraph"/>
        <w:numPr>
          <w:ilvl w:val="0"/>
          <w:numId w:val="36"/>
        </w:numPr>
        <w:ind w:left="1134"/>
      </w:pPr>
      <w:r w:rsidRPr="00222597">
        <w:t xml:space="preserve">The effectiveness of </w:t>
      </w:r>
      <w:r w:rsidR="00030326">
        <w:t>three</w:t>
      </w:r>
      <w:r w:rsidRPr="00030326">
        <w:t xml:space="preserve">-month courses of </w:t>
      </w:r>
      <w:proofErr w:type="spellStart"/>
      <w:r w:rsidRPr="00030326">
        <w:t>ulipristal</w:t>
      </w:r>
      <w:proofErr w:type="spellEnd"/>
      <w:r w:rsidRPr="00030326">
        <w:t xml:space="preserve"> </w:t>
      </w:r>
      <w:r w:rsidR="00B413FC" w:rsidRPr="00030326">
        <w:t>5 mg</w:t>
      </w:r>
      <w:r w:rsidRPr="00030326">
        <w:t xml:space="preserve">, in terms of controlling abnormal uterine bleeding and reducing fibroid volume, was maintained over </w:t>
      </w:r>
      <w:r w:rsidR="00030326">
        <w:t>four</w:t>
      </w:r>
      <w:r w:rsidR="00030326" w:rsidRPr="00030326">
        <w:t xml:space="preserve"> </w:t>
      </w:r>
      <w:r w:rsidRPr="00030326">
        <w:t>intermittent courses</w:t>
      </w:r>
      <w:r w:rsidR="00FB2391">
        <w:t>;</w:t>
      </w:r>
    </w:p>
    <w:p w:rsidR="00D647CD" w:rsidRPr="00222597" w:rsidRDefault="00D647CD" w:rsidP="00F15765">
      <w:pPr>
        <w:pStyle w:val="ListParagraph"/>
        <w:numPr>
          <w:ilvl w:val="0"/>
          <w:numId w:val="36"/>
        </w:numPr>
        <w:ind w:left="1134"/>
      </w:pPr>
      <w:r w:rsidRPr="00F368D9">
        <w:t xml:space="preserve">In the absence of comparative </w:t>
      </w:r>
      <w:r w:rsidR="00222597">
        <w:t>long-term</w:t>
      </w:r>
      <w:r w:rsidR="00E70FFF" w:rsidRPr="00222597">
        <w:t xml:space="preserve"> data, it was </w:t>
      </w:r>
      <w:r w:rsidRPr="00222597">
        <w:t>not possible to determi</w:t>
      </w:r>
      <w:r w:rsidRPr="00030326">
        <w:t xml:space="preserve">ne </w:t>
      </w:r>
      <w:r w:rsidR="008670BB" w:rsidRPr="00030326">
        <w:t xml:space="preserve">the extent to which </w:t>
      </w:r>
      <w:r w:rsidRPr="00030326">
        <w:t xml:space="preserve">repeated intermittent courses of </w:t>
      </w:r>
      <w:proofErr w:type="spellStart"/>
      <w:r w:rsidRPr="00030326">
        <w:t>ulipristal</w:t>
      </w:r>
      <w:proofErr w:type="spellEnd"/>
      <w:r w:rsidRPr="00030326">
        <w:t xml:space="preserve"> may </w:t>
      </w:r>
      <w:r w:rsidR="0052099B" w:rsidRPr="00F368D9">
        <w:t>prevent or delay</w:t>
      </w:r>
      <w:r w:rsidRPr="00222597">
        <w:t xml:space="preserve"> the requirement for surgery or other interventions such as UAE;</w:t>
      </w:r>
    </w:p>
    <w:p w:rsidR="00D647CD" w:rsidRPr="00F368D9" w:rsidRDefault="00D647CD" w:rsidP="00F15765">
      <w:pPr>
        <w:pStyle w:val="ListParagraph"/>
        <w:numPr>
          <w:ilvl w:val="0"/>
          <w:numId w:val="36"/>
        </w:numPr>
        <w:ind w:left="1134"/>
      </w:pPr>
      <w:r w:rsidRPr="00222597">
        <w:t xml:space="preserve">There </w:t>
      </w:r>
      <w:r w:rsidR="00E70FFF" w:rsidRPr="00222597">
        <w:t>we</w:t>
      </w:r>
      <w:r w:rsidRPr="00222597">
        <w:t xml:space="preserve">re no safety data for the </w:t>
      </w:r>
      <w:r w:rsidR="00222597">
        <w:t>long-term</w:t>
      </w:r>
      <w:r w:rsidRPr="00222597">
        <w:t xml:space="preserve"> effects of prolonged treatment </w:t>
      </w:r>
      <w:r w:rsidR="00AE0A75" w:rsidRPr="00222597">
        <w:t xml:space="preserve">with </w:t>
      </w:r>
      <w:proofErr w:type="spellStart"/>
      <w:r w:rsidR="00AE0A75" w:rsidRPr="00222597">
        <w:t>ulipristal</w:t>
      </w:r>
      <w:proofErr w:type="spellEnd"/>
      <w:r w:rsidR="00AE0A75" w:rsidRPr="00222597">
        <w:t xml:space="preserve"> </w:t>
      </w:r>
      <w:r w:rsidRPr="00030326">
        <w:t>on the endometrium (includ</w:t>
      </w:r>
      <w:r w:rsidR="0052099B" w:rsidRPr="00030326">
        <w:t>ing possible malignant changes).</w:t>
      </w:r>
    </w:p>
    <w:p w:rsidR="00D647CD" w:rsidRPr="00222597" w:rsidRDefault="00D647CD" w:rsidP="00D647CD">
      <w:pPr>
        <w:pStyle w:val="ListParagraph"/>
        <w:rPr>
          <w:b/>
          <w:szCs w:val="22"/>
        </w:rPr>
      </w:pPr>
    </w:p>
    <w:p w:rsidR="00BE1DF9" w:rsidRPr="00030326" w:rsidRDefault="00BE1DF9" w:rsidP="00F15765">
      <w:pPr>
        <w:pStyle w:val="ListParagraph"/>
        <w:widowControl/>
        <w:numPr>
          <w:ilvl w:val="1"/>
          <w:numId w:val="3"/>
        </w:numPr>
        <w:rPr>
          <w:szCs w:val="22"/>
        </w:rPr>
      </w:pPr>
      <w:r w:rsidRPr="00222597">
        <w:rPr>
          <w:szCs w:val="22"/>
        </w:rPr>
        <w:t xml:space="preserve">Advice received from RANZCOG </w:t>
      </w:r>
      <w:r w:rsidR="00AC4BA3">
        <w:rPr>
          <w:szCs w:val="22"/>
        </w:rPr>
        <w:t>similarly noted (see</w:t>
      </w:r>
      <w:r w:rsidR="00033A1D" w:rsidRPr="00222597">
        <w:rPr>
          <w:szCs w:val="22"/>
        </w:rPr>
        <w:t xml:space="preserve"> paragraph </w:t>
      </w:r>
      <w:r w:rsidR="00C350D7">
        <w:rPr>
          <w:szCs w:val="22"/>
        </w:rPr>
        <w:t>4.6</w:t>
      </w:r>
      <w:r w:rsidR="00AC4BA3">
        <w:rPr>
          <w:szCs w:val="22"/>
        </w:rPr>
        <w:t>)</w:t>
      </w:r>
      <w:r w:rsidRPr="00222597">
        <w:rPr>
          <w:szCs w:val="22"/>
        </w:rPr>
        <w:t xml:space="preserve"> that </w:t>
      </w:r>
      <w:proofErr w:type="spellStart"/>
      <w:r w:rsidRPr="00222597">
        <w:rPr>
          <w:szCs w:val="22"/>
        </w:rPr>
        <w:t>ulipristal</w:t>
      </w:r>
      <w:proofErr w:type="spellEnd"/>
      <w:r w:rsidRPr="00222597">
        <w:rPr>
          <w:szCs w:val="22"/>
        </w:rPr>
        <w:t xml:space="preserve"> may cause specific endometrial changes and/or endometrial hyperplasia but</w:t>
      </w:r>
      <w:r w:rsidR="00AC4BA3">
        <w:rPr>
          <w:szCs w:val="22"/>
        </w:rPr>
        <w:t xml:space="preserve"> that</w:t>
      </w:r>
      <w:r w:rsidRPr="00222597">
        <w:rPr>
          <w:szCs w:val="22"/>
        </w:rPr>
        <w:t xml:space="preserve"> these do not appear to be pre-malignant in the </w:t>
      </w:r>
      <w:r w:rsidR="00222597">
        <w:rPr>
          <w:szCs w:val="22"/>
        </w:rPr>
        <w:t>short-term</w:t>
      </w:r>
      <w:r w:rsidRPr="00222597">
        <w:rPr>
          <w:szCs w:val="22"/>
        </w:rPr>
        <w:t xml:space="preserve">. </w:t>
      </w:r>
      <w:r w:rsidR="00AC4BA3">
        <w:rPr>
          <w:szCs w:val="22"/>
        </w:rPr>
        <w:t>RANZCOG noted t</w:t>
      </w:r>
      <w:r w:rsidRPr="00222597">
        <w:rPr>
          <w:szCs w:val="22"/>
        </w:rPr>
        <w:t xml:space="preserve">here </w:t>
      </w:r>
      <w:r w:rsidR="00033A1D" w:rsidRPr="00222597">
        <w:rPr>
          <w:szCs w:val="22"/>
        </w:rPr>
        <w:t>we</w:t>
      </w:r>
      <w:r w:rsidRPr="00030326">
        <w:rPr>
          <w:szCs w:val="22"/>
        </w:rPr>
        <w:t xml:space="preserve">re no other serious adverse effects </w:t>
      </w:r>
      <w:r w:rsidR="00033A1D" w:rsidRPr="00030326">
        <w:rPr>
          <w:szCs w:val="22"/>
        </w:rPr>
        <w:t xml:space="preserve">reported </w:t>
      </w:r>
      <w:r w:rsidRPr="00030326">
        <w:rPr>
          <w:szCs w:val="22"/>
        </w:rPr>
        <w:t xml:space="preserve">with </w:t>
      </w:r>
      <w:r w:rsidR="00222597">
        <w:rPr>
          <w:szCs w:val="22"/>
        </w:rPr>
        <w:t>short-term</w:t>
      </w:r>
      <w:r w:rsidRPr="00222597">
        <w:rPr>
          <w:szCs w:val="22"/>
        </w:rPr>
        <w:t xml:space="preserve"> use. </w:t>
      </w:r>
      <w:r w:rsidR="004307E2" w:rsidRPr="00030326">
        <w:rPr>
          <w:szCs w:val="22"/>
        </w:rPr>
        <w:t>RANZCOG also stated</w:t>
      </w:r>
      <w:r w:rsidR="00033A1D" w:rsidRPr="00030326">
        <w:rPr>
          <w:szCs w:val="22"/>
        </w:rPr>
        <w:t xml:space="preserve"> that</w:t>
      </w:r>
      <w:r w:rsidR="004307E2" w:rsidRPr="00030326">
        <w:rPr>
          <w:szCs w:val="22"/>
        </w:rPr>
        <w:t xml:space="preserve"> </w:t>
      </w:r>
      <w:r w:rsidR="00222597">
        <w:rPr>
          <w:szCs w:val="22"/>
        </w:rPr>
        <w:t>long-term</w:t>
      </w:r>
      <w:r w:rsidRPr="00222597">
        <w:rPr>
          <w:szCs w:val="22"/>
        </w:rPr>
        <w:t xml:space="preserve"> data </w:t>
      </w:r>
      <w:r w:rsidR="00AC4BA3">
        <w:rPr>
          <w:szCs w:val="22"/>
        </w:rPr>
        <w:t>were</w:t>
      </w:r>
      <w:r w:rsidR="00AC4BA3" w:rsidRPr="00222597">
        <w:rPr>
          <w:szCs w:val="22"/>
        </w:rPr>
        <w:t xml:space="preserve"> </w:t>
      </w:r>
      <w:r w:rsidRPr="00222597">
        <w:rPr>
          <w:szCs w:val="22"/>
        </w:rPr>
        <w:t xml:space="preserve">currently not available but </w:t>
      </w:r>
      <w:r w:rsidR="00921AC8" w:rsidRPr="00222597">
        <w:rPr>
          <w:szCs w:val="22"/>
        </w:rPr>
        <w:t>w</w:t>
      </w:r>
      <w:r w:rsidR="00033A1D" w:rsidRPr="00222597">
        <w:rPr>
          <w:szCs w:val="22"/>
        </w:rPr>
        <w:t>ould</w:t>
      </w:r>
      <w:r w:rsidR="00921AC8" w:rsidRPr="00222597">
        <w:rPr>
          <w:szCs w:val="22"/>
        </w:rPr>
        <w:t xml:space="preserve"> be</w:t>
      </w:r>
      <w:r w:rsidRPr="00030326">
        <w:rPr>
          <w:szCs w:val="22"/>
        </w:rPr>
        <w:t xml:space="preserve"> required, given that repeated courses over many years may be needed in some wom</w:t>
      </w:r>
      <w:r w:rsidRPr="00F368D9">
        <w:rPr>
          <w:szCs w:val="22"/>
        </w:rPr>
        <w:t>an. Specific organs</w:t>
      </w:r>
      <w:r w:rsidR="00033A1D" w:rsidRPr="00222597">
        <w:rPr>
          <w:szCs w:val="22"/>
        </w:rPr>
        <w:t>/tissues</w:t>
      </w:r>
      <w:r w:rsidRPr="00222597">
        <w:rPr>
          <w:szCs w:val="22"/>
        </w:rPr>
        <w:t xml:space="preserve"> requiring </w:t>
      </w:r>
      <w:r w:rsidR="00222597">
        <w:rPr>
          <w:szCs w:val="22"/>
        </w:rPr>
        <w:t>long-term</w:t>
      </w:r>
      <w:r w:rsidRPr="00222597">
        <w:rPr>
          <w:szCs w:val="22"/>
        </w:rPr>
        <w:t xml:space="preserve"> study i</w:t>
      </w:r>
      <w:r w:rsidR="00F73718" w:rsidRPr="00222597">
        <w:rPr>
          <w:szCs w:val="22"/>
        </w:rPr>
        <w:t>nclude the endometrium and breast</w:t>
      </w:r>
      <w:r w:rsidRPr="00222597">
        <w:rPr>
          <w:szCs w:val="22"/>
        </w:rPr>
        <w:t xml:space="preserve">. </w:t>
      </w:r>
    </w:p>
    <w:p w:rsidR="00BE1DF9" w:rsidRPr="00F368D9" w:rsidRDefault="00BE1DF9" w:rsidP="004307E2">
      <w:pPr>
        <w:pStyle w:val="ListParagraph"/>
        <w:widowControl/>
        <w:rPr>
          <w:szCs w:val="22"/>
        </w:rPr>
      </w:pPr>
    </w:p>
    <w:p w:rsidR="00D647CD" w:rsidRPr="00222597" w:rsidRDefault="00D647CD" w:rsidP="00F15765">
      <w:pPr>
        <w:pStyle w:val="ListParagraph"/>
        <w:widowControl/>
        <w:numPr>
          <w:ilvl w:val="1"/>
          <w:numId w:val="3"/>
        </w:numPr>
        <w:rPr>
          <w:szCs w:val="22"/>
        </w:rPr>
      </w:pPr>
      <w:r w:rsidRPr="00222597">
        <w:rPr>
          <w:szCs w:val="22"/>
        </w:rPr>
        <w:t>In relation to the claims for specific uses</w:t>
      </w:r>
      <w:r w:rsidR="00E70FFF" w:rsidRPr="00222597">
        <w:rPr>
          <w:szCs w:val="22"/>
        </w:rPr>
        <w:t>,</w:t>
      </w:r>
      <w:r w:rsidRPr="00222597">
        <w:rPr>
          <w:szCs w:val="22"/>
        </w:rPr>
        <w:t xml:space="preserve"> as listed for each clinical scenario in the submission:</w:t>
      </w:r>
    </w:p>
    <w:p w:rsidR="00426CBC" w:rsidRPr="00222597" w:rsidRDefault="004F0A38" w:rsidP="00F15765">
      <w:pPr>
        <w:pStyle w:val="ListParagraph"/>
        <w:numPr>
          <w:ilvl w:val="0"/>
          <w:numId w:val="36"/>
        </w:numPr>
        <w:ind w:left="1134"/>
      </w:pPr>
      <w:r w:rsidRPr="00222597">
        <w:rPr>
          <w:szCs w:val="22"/>
        </w:rPr>
        <w:t xml:space="preserve">There </w:t>
      </w:r>
      <w:r w:rsidR="00026C20" w:rsidRPr="00222597">
        <w:rPr>
          <w:szCs w:val="22"/>
        </w:rPr>
        <w:t>was</w:t>
      </w:r>
      <w:r w:rsidRPr="00222597">
        <w:rPr>
          <w:szCs w:val="22"/>
        </w:rPr>
        <w:t xml:space="preserve"> no evidence </w:t>
      </w:r>
      <w:r w:rsidR="0052099B" w:rsidRPr="00222597">
        <w:rPr>
          <w:szCs w:val="22"/>
        </w:rPr>
        <w:t xml:space="preserve">available to demonstrate </w:t>
      </w:r>
      <w:r w:rsidRPr="00222597">
        <w:rPr>
          <w:szCs w:val="22"/>
        </w:rPr>
        <w:t xml:space="preserve">that </w:t>
      </w:r>
      <w:proofErr w:type="spellStart"/>
      <w:r w:rsidRPr="00222597">
        <w:rPr>
          <w:szCs w:val="22"/>
        </w:rPr>
        <w:t>ulipristal</w:t>
      </w:r>
      <w:proofErr w:type="spellEnd"/>
      <w:r w:rsidRPr="00222597">
        <w:rPr>
          <w:szCs w:val="22"/>
        </w:rPr>
        <w:t xml:space="preserve"> </w:t>
      </w:r>
      <w:r w:rsidR="00ED6A87" w:rsidRPr="00222597">
        <w:rPr>
          <w:szCs w:val="22"/>
        </w:rPr>
        <w:t xml:space="preserve">was </w:t>
      </w:r>
      <w:r w:rsidRPr="00222597">
        <w:rPr>
          <w:szCs w:val="22"/>
        </w:rPr>
        <w:t>effective in facilitating less invasive</w:t>
      </w:r>
      <w:r w:rsidR="00D070FB" w:rsidRPr="00222597">
        <w:rPr>
          <w:szCs w:val="22"/>
        </w:rPr>
        <w:t xml:space="preserve"> surgical</w:t>
      </w:r>
      <w:r w:rsidRPr="00222597">
        <w:rPr>
          <w:szCs w:val="22"/>
        </w:rPr>
        <w:t xml:space="preserve"> techniques in patients planning surgery</w:t>
      </w:r>
      <w:r w:rsidR="00D070FB" w:rsidRPr="00222597">
        <w:rPr>
          <w:szCs w:val="22"/>
        </w:rPr>
        <w:t xml:space="preserve"> (Clinical scenario 1)</w:t>
      </w:r>
      <w:r w:rsidRPr="00222597">
        <w:rPr>
          <w:szCs w:val="22"/>
        </w:rPr>
        <w:t xml:space="preserve">; </w:t>
      </w:r>
    </w:p>
    <w:p w:rsidR="0052099B" w:rsidRPr="00222597" w:rsidRDefault="0052099B" w:rsidP="00F15765">
      <w:pPr>
        <w:pStyle w:val="ListParagraph"/>
        <w:widowControl/>
        <w:numPr>
          <w:ilvl w:val="0"/>
          <w:numId w:val="47"/>
        </w:numPr>
        <w:ind w:left="1134"/>
        <w:rPr>
          <w:szCs w:val="22"/>
        </w:rPr>
      </w:pPr>
      <w:r w:rsidRPr="00222597">
        <w:rPr>
          <w:szCs w:val="22"/>
        </w:rPr>
        <w:t>For patients approaching menopause, there was no evidence available to demonstrate the effectiveness of medium</w:t>
      </w:r>
      <w:r w:rsidR="006125AC" w:rsidRPr="00222597">
        <w:rPr>
          <w:szCs w:val="22"/>
        </w:rPr>
        <w:t xml:space="preserve"> term</w:t>
      </w:r>
      <w:r w:rsidRPr="00222597">
        <w:rPr>
          <w:szCs w:val="22"/>
        </w:rPr>
        <w:t xml:space="preserve"> use of </w:t>
      </w:r>
      <w:proofErr w:type="spellStart"/>
      <w:r w:rsidRPr="00222597">
        <w:rPr>
          <w:szCs w:val="22"/>
        </w:rPr>
        <w:t>ulipristal</w:t>
      </w:r>
      <w:proofErr w:type="spellEnd"/>
      <w:r w:rsidRPr="00222597">
        <w:rPr>
          <w:szCs w:val="22"/>
        </w:rPr>
        <w:t xml:space="preserve"> in terms of preventing the requirement for surgery (or other interventional management such as UAE) prior to reaching menopause (Clinical scenario 2);</w:t>
      </w:r>
    </w:p>
    <w:p w:rsidR="004307E2" w:rsidRPr="00222597" w:rsidRDefault="0052099B" w:rsidP="00F15765">
      <w:pPr>
        <w:pStyle w:val="ListParagraph"/>
        <w:widowControl/>
        <w:numPr>
          <w:ilvl w:val="0"/>
          <w:numId w:val="47"/>
        </w:numPr>
        <w:ind w:left="1134"/>
        <w:rPr>
          <w:szCs w:val="22"/>
        </w:rPr>
      </w:pPr>
      <w:r w:rsidRPr="00222597">
        <w:rPr>
          <w:szCs w:val="22"/>
        </w:rPr>
        <w:t xml:space="preserve">There was no evidence available to demonstrate that </w:t>
      </w:r>
      <w:proofErr w:type="spellStart"/>
      <w:r w:rsidRPr="00222597">
        <w:rPr>
          <w:szCs w:val="22"/>
        </w:rPr>
        <w:t>ulipristal</w:t>
      </w:r>
      <w:proofErr w:type="spellEnd"/>
      <w:r w:rsidRPr="00222597">
        <w:rPr>
          <w:szCs w:val="22"/>
        </w:rPr>
        <w:t xml:space="preserve"> improves fertility outcomes in patients planning pregnancy (Clinical scenario 3); and</w:t>
      </w:r>
    </w:p>
    <w:p w:rsidR="004307E2" w:rsidRPr="00222597" w:rsidRDefault="0052099B" w:rsidP="004307E2">
      <w:pPr>
        <w:pStyle w:val="ListParagraph"/>
        <w:widowControl/>
        <w:numPr>
          <w:ilvl w:val="0"/>
          <w:numId w:val="47"/>
        </w:numPr>
        <w:ind w:left="1134"/>
      </w:pPr>
      <w:r w:rsidRPr="00222597">
        <w:rPr>
          <w:szCs w:val="22"/>
        </w:rPr>
        <w:t xml:space="preserve">There was no evidence available to demonstrate that </w:t>
      </w:r>
      <w:proofErr w:type="spellStart"/>
      <w:r w:rsidRPr="00222597">
        <w:rPr>
          <w:szCs w:val="22"/>
        </w:rPr>
        <w:t>ulipristal</w:t>
      </w:r>
      <w:proofErr w:type="spellEnd"/>
      <w:r w:rsidRPr="00222597">
        <w:rPr>
          <w:szCs w:val="22"/>
        </w:rPr>
        <w:t xml:space="preserve"> prevents the requirement for surgical management or other interventions such as UAE (Clinical scenario 4).</w:t>
      </w:r>
      <w:r w:rsidR="004307E2" w:rsidRPr="00222597" w:rsidDel="004307E2">
        <w:rPr>
          <w:szCs w:val="22"/>
        </w:rPr>
        <w:t xml:space="preserve"> </w:t>
      </w:r>
    </w:p>
    <w:p w:rsidR="00BE1DF9" w:rsidRPr="00222597" w:rsidRDefault="00BE1DF9" w:rsidP="004307E2">
      <w:pPr>
        <w:ind w:left="720" w:hanging="720"/>
        <w:rPr>
          <w:bCs/>
        </w:rPr>
      </w:pPr>
    </w:p>
    <w:p w:rsidR="005A1156" w:rsidRPr="00222597" w:rsidRDefault="005A1156" w:rsidP="004307E2">
      <w:pPr>
        <w:pStyle w:val="ListParagraph"/>
        <w:widowControl/>
        <w:numPr>
          <w:ilvl w:val="1"/>
          <w:numId w:val="3"/>
        </w:numPr>
        <w:rPr>
          <w:bCs/>
        </w:rPr>
      </w:pPr>
      <w:r w:rsidRPr="00222597">
        <w:rPr>
          <w:bCs/>
          <w:szCs w:val="22"/>
        </w:rPr>
        <w:t>The PBAC considered that the claim of non-inferior comparative effectiveness was not adequately supported by the data</w:t>
      </w:r>
      <w:r w:rsidR="00746AE3" w:rsidRPr="00222597">
        <w:rPr>
          <w:bCs/>
          <w:szCs w:val="22"/>
        </w:rPr>
        <w:t xml:space="preserve"> with a lack of direct and indirect evidence to allow for a comparison. The PBAC noted that no data was presented to assess the impact of treatment with </w:t>
      </w:r>
      <w:proofErr w:type="spellStart"/>
      <w:r w:rsidR="00746AE3" w:rsidRPr="00222597">
        <w:rPr>
          <w:bCs/>
          <w:szCs w:val="22"/>
        </w:rPr>
        <w:t>ulipristal</w:t>
      </w:r>
      <w:proofErr w:type="spellEnd"/>
      <w:r w:rsidR="00746AE3" w:rsidRPr="00222597">
        <w:rPr>
          <w:bCs/>
          <w:szCs w:val="22"/>
        </w:rPr>
        <w:t xml:space="preserve"> on surgical outcomes</w:t>
      </w:r>
      <w:r w:rsidRPr="00222597">
        <w:rPr>
          <w:bCs/>
          <w:szCs w:val="22"/>
        </w:rPr>
        <w:t>.</w:t>
      </w:r>
    </w:p>
    <w:p w:rsidR="005A1156" w:rsidRPr="00222597" w:rsidRDefault="005A1156" w:rsidP="004307E2">
      <w:pPr>
        <w:pStyle w:val="ListParagraph"/>
        <w:rPr>
          <w:bCs/>
          <w:szCs w:val="22"/>
        </w:rPr>
      </w:pPr>
    </w:p>
    <w:p w:rsidR="00F229F8" w:rsidRPr="00222597" w:rsidRDefault="005A1156" w:rsidP="004307E2">
      <w:pPr>
        <w:pStyle w:val="ListParagraph"/>
        <w:widowControl/>
        <w:numPr>
          <w:ilvl w:val="1"/>
          <w:numId w:val="3"/>
        </w:numPr>
        <w:rPr>
          <w:szCs w:val="22"/>
        </w:rPr>
      </w:pPr>
      <w:r w:rsidRPr="00222597">
        <w:rPr>
          <w:szCs w:val="22"/>
        </w:rPr>
        <w:t xml:space="preserve">The PBAC considered that the claim of </w:t>
      </w:r>
      <w:r w:rsidR="004307E2" w:rsidRPr="00222597">
        <w:rPr>
          <w:szCs w:val="22"/>
        </w:rPr>
        <w:t>superior comparative safety was</w:t>
      </w:r>
      <w:r w:rsidRPr="00222597">
        <w:rPr>
          <w:szCs w:val="22"/>
        </w:rPr>
        <w:t xml:space="preserve"> not adequately supported by the data</w:t>
      </w:r>
      <w:r w:rsidR="00746AE3" w:rsidRPr="00222597">
        <w:rPr>
          <w:szCs w:val="22"/>
        </w:rPr>
        <w:t xml:space="preserve"> with no direct or indirect comparison possible</w:t>
      </w:r>
      <w:r w:rsidRPr="00222597">
        <w:rPr>
          <w:szCs w:val="22"/>
        </w:rPr>
        <w:t>.</w:t>
      </w:r>
    </w:p>
    <w:p w:rsidR="00804B78" w:rsidRPr="00222597" w:rsidRDefault="00804B78" w:rsidP="001466EA">
      <w:bookmarkStart w:id="13" w:name="_Toc451165143"/>
    </w:p>
    <w:p w:rsidR="00D647CD" w:rsidRPr="00222597" w:rsidRDefault="00D647CD" w:rsidP="001466EA">
      <w:pPr>
        <w:pStyle w:val="Heading2"/>
        <w:keepNext/>
      </w:pPr>
      <w:r w:rsidRPr="00222597">
        <w:t>Economic analysis</w:t>
      </w:r>
      <w:bookmarkEnd w:id="13"/>
      <w:r w:rsidRPr="00222597">
        <w:t xml:space="preserve"> </w:t>
      </w:r>
    </w:p>
    <w:p w:rsidR="00D647CD" w:rsidRPr="00222597" w:rsidRDefault="00D647CD" w:rsidP="00D647CD">
      <w:pPr>
        <w:ind w:left="720" w:hanging="720"/>
        <w:rPr>
          <w:szCs w:val="22"/>
        </w:rPr>
      </w:pPr>
    </w:p>
    <w:p w:rsidR="00056500" w:rsidRPr="00222597" w:rsidRDefault="00056500" w:rsidP="00F15765">
      <w:pPr>
        <w:pStyle w:val="ListParagraph"/>
        <w:widowControl/>
        <w:numPr>
          <w:ilvl w:val="1"/>
          <w:numId w:val="3"/>
        </w:numPr>
        <w:rPr>
          <w:szCs w:val="22"/>
        </w:rPr>
      </w:pPr>
      <w:r w:rsidRPr="00222597">
        <w:t>The submission presented two alternative cost-minimisation analyses:</w:t>
      </w:r>
    </w:p>
    <w:p w:rsidR="00056500" w:rsidRPr="00030326" w:rsidRDefault="00056500" w:rsidP="00F15765">
      <w:pPr>
        <w:pStyle w:val="ListParagraph"/>
        <w:numPr>
          <w:ilvl w:val="0"/>
          <w:numId w:val="39"/>
        </w:numPr>
        <w:ind w:left="1134"/>
      </w:pPr>
      <w:proofErr w:type="spellStart"/>
      <w:r w:rsidRPr="00222597">
        <w:t>Ulipristal</w:t>
      </w:r>
      <w:proofErr w:type="spellEnd"/>
      <w:r w:rsidRPr="00222597">
        <w:t xml:space="preserve"> </w:t>
      </w:r>
      <w:r w:rsidR="00B413FC" w:rsidRPr="00222597">
        <w:t>5 mg</w:t>
      </w:r>
      <w:r w:rsidRPr="00222597">
        <w:t xml:space="preserve"> daily for </w:t>
      </w:r>
      <w:r w:rsidR="00B75F80" w:rsidRPr="00222597">
        <w:t>12 weeks</w:t>
      </w:r>
      <w:r w:rsidRPr="00222597">
        <w:t xml:space="preserve"> versus </w:t>
      </w:r>
      <w:proofErr w:type="spellStart"/>
      <w:r w:rsidRPr="00222597">
        <w:t>goserelin</w:t>
      </w:r>
      <w:proofErr w:type="spellEnd"/>
      <w:r w:rsidRPr="00222597">
        <w:t xml:space="preserve"> 3.6</w:t>
      </w:r>
      <w:r w:rsidR="007A7C27" w:rsidRPr="00222597">
        <w:t xml:space="preserve"> </w:t>
      </w:r>
      <w:r w:rsidRPr="00222597">
        <w:t xml:space="preserve">mg </w:t>
      </w:r>
      <w:r w:rsidR="00B75F80" w:rsidRPr="00222597">
        <w:t>every 28 days</w:t>
      </w:r>
      <w:r w:rsidRPr="00222597">
        <w:t xml:space="preserve"> for </w:t>
      </w:r>
      <w:r w:rsidR="00030326">
        <w:t>three</w:t>
      </w:r>
      <w:r w:rsidRPr="00030326">
        <w:t xml:space="preserve"> </w:t>
      </w:r>
      <w:r w:rsidR="00B75F80" w:rsidRPr="00030326">
        <w:t>treatment</w:t>
      </w:r>
      <w:r w:rsidRPr="00030326">
        <w:t xml:space="preserve">s, as </w:t>
      </w:r>
      <w:r w:rsidR="00222597">
        <w:t>short-term</w:t>
      </w:r>
      <w:r w:rsidRPr="00222597">
        <w:t xml:space="preserve"> treatment for patients with moderate to severe </w:t>
      </w:r>
      <w:r w:rsidR="00AE0A75" w:rsidRPr="00030326">
        <w:t xml:space="preserve">symptoms of </w:t>
      </w:r>
      <w:r w:rsidRPr="00030326">
        <w:t>uterine fibroids, typically prior to surgery; and</w:t>
      </w:r>
    </w:p>
    <w:p w:rsidR="00056500" w:rsidRPr="00222597" w:rsidRDefault="00056500" w:rsidP="00F15765">
      <w:pPr>
        <w:pStyle w:val="ListParagraph"/>
        <w:numPr>
          <w:ilvl w:val="0"/>
          <w:numId w:val="39"/>
        </w:numPr>
        <w:ind w:left="1134"/>
      </w:pPr>
      <w:r w:rsidRPr="00F368D9">
        <w:t>Repeated intermittent co</w:t>
      </w:r>
      <w:r w:rsidRPr="00222597">
        <w:t xml:space="preserve">urses of </w:t>
      </w:r>
      <w:proofErr w:type="spellStart"/>
      <w:r w:rsidRPr="00222597">
        <w:t>ulipristal</w:t>
      </w:r>
      <w:proofErr w:type="spellEnd"/>
      <w:r w:rsidRPr="00222597">
        <w:t xml:space="preserve"> </w:t>
      </w:r>
      <w:r w:rsidR="00B413FC" w:rsidRPr="00222597">
        <w:t>5 mg</w:t>
      </w:r>
      <w:r w:rsidRPr="00222597">
        <w:t xml:space="preserve"> for </w:t>
      </w:r>
      <w:r w:rsidR="00B75F80" w:rsidRPr="00222597">
        <w:t>12 weeks</w:t>
      </w:r>
      <w:r w:rsidRPr="00222597">
        <w:t xml:space="preserve">, </w:t>
      </w:r>
      <w:r w:rsidR="00155540" w:rsidRPr="00222597">
        <w:t>each separated</w:t>
      </w:r>
      <w:r w:rsidRPr="00222597">
        <w:t xml:space="preserve"> by a drug free interval of approximately 6 weeks, versus </w:t>
      </w:r>
      <w:r w:rsidR="00B75F80" w:rsidRPr="00222597">
        <w:t xml:space="preserve">chronic therapy with </w:t>
      </w:r>
      <w:proofErr w:type="spellStart"/>
      <w:r w:rsidRPr="00222597">
        <w:t>goserelin</w:t>
      </w:r>
      <w:proofErr w:type="spellEnd"/>
      <w:r w:rsidRPr="00222597">
        <w:t xml:space="preserve"> 3.6</w:t>
      </w:r>
      <w:r w:rsidR="007A7C27" w:rsidRPr="00222597">
        <w:t xml:space="preserve"> </w:t>
      </w:r>
      <w:r w:rsidRPr="00222597">
        <w:t xml:space="preserve">mg </w:t>
      </w:r>
      <w:r w:rsidR="00B75F80" w:rsidRPr="00222597">
        <w:t>every 28 days</w:t>
      </w:r>
      <w:r w:rsidRPr="00222597">
        <w:t xml:space="preserve"> + </w:t>
      </w:r>
      <w:proofErr w:type="spellStart"/>
      <w:r w:rsidRPr="00222597">
        <w:t>tibolone</w:t>
      </w:r>
      <w:proofErr w:type="spellEnd"/>
      <w:r w:rsidRPr="00222597">
        <w:t xml:space="preserve"> 2.</w:t>
      </w:r>
      <w:r w:rsidR="00B413FC" w:rsidRPr="00222597">
        <w:t>5 mg</w:t>
      </w:r>
      <w:r w:rsidRPr="00222597">
        <w:t xml:space="preserve"> daily, as longer term medical management for patients with moderate to severe symptoms of uterine fibroids. The submission used an arbitrary time-frame of one year for this analysis</w:t>
      </w:r>
      <w:r w:rsidR="00B75F80" w:rsidRPr="00222597">
        <w:t>.</w:t>
      </w:r>
    </w:p>
    <w:p w:rsidR="00056500" w:rsidRPr="00222597" w:rsidRDefault="00056500" w:rsidP="00056500">
      <w:pPr>
        <w:pStyle w:val="ListParagraph"/>
        <w:widowControl/>
        <w:rPr>
          <w:szCs w:val="22"/>
        </w:rPr>
      </w:pPr>
    </w:p>
    <w:p w:rsidR="00056500" w:rsidRPr="00030326" w:rsidRDefault="00787C48" w:rsidP="00F15765">
      <w:pPr>
        <w:pStyle w:val="ListParagraph"/>
        <w:widowControl/>
        <w:numPr>
          <w:ilvl w:val="1"/>
          <w:numId w:val="3"/>
        </w:numPr>
        <w:rPr>
          <w:szCs w:val="22"/>
        </w:rPr>
      </w:pPr>
      <w:r w:rsidRPr="00222597">
        <w:t xml:space="preserve">The </w:t>
      </w:r>
      <w:proofErr w:type="spellStart"/>
      <w:r w:rsidRPr="00222597">
        <w:t>equi</w:t>
      </w:r>
      <w:proofErr w:type="spellEnd"/>
      <w:r w:rsidRPr="00222597">
        <w:t>-effective doses</w:t>
      </w:r>
      <w:r w:rsidR="00056500" w:rsidRPr="00222597">
        <w:t xml:space="preserve"> were estimated</w:t>
      </w:r>
      <w:r w:rsidRPr="00222597">
        <w:t xml:space="preserve"> from the</w:t>
      </w:r>
      <w:r w:rsidR="00056500" w:rsidRPr="00222597">
        <w:t xml:space="preserve"> respective PIs for each drug. As noted above, the </w:t>
      </w:r>
      <w:r w:rsidR="007A7C27" w:rsidRPr="00222597">
        <w:t>equivalent efficacy</w:t>
      </w:r>
      <w:r w:rsidR="00056500" w:rsidRPr="00222597">
        <w:t xml:space="preserve"> of </w:t>
      </w:r>
      <w:proofErr w:type="spellStart"/>
      <w:r w:rsidR="00056500" w:rsidRPr="00222597">
        <w:t>ulipristal</w:t>
      </w:r>
      <w:proofErr w:type="spellEnd"/>
      <w:r w:rsidR="00056500" w:rsidRPr="00222597">
        <w:t xml:space="preserve"> </w:t>
      </w:r>
      <w:r w:rsidR="007A7C27" w:rsidRPr="00222597">
        <w:t>and</w:t>
      </w:r>
      <w:r w:rsidR="00056500" w:rsidRPr="00222597">
        <w:t xml:space="preserve"> </w:t>
      </w:r>
      <w:proofErr w:type="spellStart"/>
      <w:r w:rsidR="00056500" w:rsidRPr="00222597">
        <w:t>goserelin</w:t>
      </w:r>
      <w:proofErr w:type="spellEnd"/>
      <w:r w:rsidR="00056500" w:rsidRPr="00222597">
        <w:t xml:space="preserve"> </w:t>
      </w:r>
      <w:r w:rsidRPr="00222597">
        <w:t>was</w:t>
      </w:r>
      <w:r w:rsidR="00056500" w:rsidRPr="00222597">
        <w:t xml:space="preserve"> not substantiated </w:t>
      </w:r>
      <w:r w:rsidRPr="00222597">
        <w:t>by</w:t>
      </w:r>
      <w:r w:rsidR="00056500" w:rsidRPr="00222597">
        <w:t xml:space="preserve"> the evidence provided in the submission. In addition, the dosage and administration recommendations in the </w:t>
      </w:r>
      <w:proofErr w:type="spellStart"/>
      <w:r w:rsidR="00056500" w:rsidRPr="00222597">
        <w:t>goserelin</w:t>
      </w:r>
      <w:proofErr w:type="spellEnd"/>
      <w:r w:rsidR="00056500" w:rsidRPr="00222597">
        <w:t xml:space="preserve"> PI state that</w:t>
      </w:r>
      <w:r w:rsidR="003F027D" w:rsidRPr="00222597">
        <w:t>,</w:t>
      </w:r>
      <w:r w:rsidR="00056500" w:rsidRPr="00222597">
        <w:t xml:space="preserve"> in the treatment of uterine fibroids, </w:t>
      </w:r>
      <w:proofErr w:type="spellStart"/>
      <w:r w:rsidR="00056500" w:rsidRPr="00222597">
        <w:t>goserelin</w:t>
      </w:r>
      <w:proofErr w:type="spellEnd"/>
      <w:r w:rsidR="00056500" w:rsidRPr="00222597">
        <w:t xml:space="preserve"> may </w:t>
      </w:r>
      <w:r w:rsidR="00155540" w:rsidRPr="00222597">
        <w:t xml:space="preserve">only </w:t>
      </w:r>
      <w:r w:rsidR="00056500" w:rsidRPr="00222597">
        <w:t xml:space="preserve">be used for a period of </w:t>
      </w:r>
      <w:r w:rsidR="00030326">
        <w:t>three</w:t>
      </w:r>
      <w:r w:rsidR="00056500" w:rsidRPr="00030326">
        <w:t xml:space="preserve"> to </w:t>
      </w:r>
      <w:r w:rsidR="00030326">
        <w:t>six</w:t>
      </w:r>
      <w:r w:rsidR="00056500" w:rsidRPr="00030326">
        <w:t xml:space="preserve"> months. </w:t>
      </w:r>
    </w:p>
    <w:p w:rsidR="00056500" w:rsidRPr="00F368D9" w:rsidRDefault="00056500" w:rsidP="00056500">
      <w:pPr>
        <w:pStyle w:val="ListParagraph"/>
        <w:widowControl/>
        <w:rPr>
          <w:szCs w:val="22"/>
        </w:rPr>
      </w:pPr>
    </w:p>
    <w:p w:rsidR="00056500" w:rsidRPr="00222597" w:rsidRDefault="002B1E9A" w:rsidP="00F15765">
      <w:pPr>
        <w:pStyle w:val="ListParagraph"/>
        <w:widowControl/>
        <w:numPr>
          <w:ilvl w:val="1"/>
          <w:numId w:val="3"/>
        </w:numPr>
        <w:rPr>
          <w:szCs w:val="22"/>
        </w:rPr>
      </w:pPr>
      <w:r>
        <w:rPr>
          <w:szCs w:val="22"/>
        </w:rPr>
        <w:t>The PBAC agreed with the evaluation that a</w:t>
      </w:r>
      <w:r w:rsidR="00591345" w:rsidRPr="00222597">
        <w:rPr>
          <w:szCs w:val="22"/>
        </w:rPr>
        <w:t xml:space="preserve"> c</w:t>
      </w:r>
      <w:r w:rsidR="00056500" w:rsidRPr="00222597">
        <w:rPr>
          <w:szCs w:val="22"/>
        </w:rPr>
        <w:t xml:space="preserve">ost-minimisation approach </w:t>
      </w:r>
      <w:r w:rsidR="00787C48" w:rsidRPr="00222597">
        <w:rPr>
          <w:szCs w:val="22"/>
        </w:rPr>
        <w:t xml:space="preserve">of </w:t>
      </w:r>
      <w:proofErr w:type="spellStart"/>
      <w:r w:rsidR="00787C48" w:rsidRPr="00222597">
        <w:rPr>
          <w:szCs w:val="22"/>
        </w:rPr>
        <w:t>ulipristal</w:t>
      </w:r>
      <w:proofErr w:type="spellEnd"/>
      <w:r w:rsidR="00787C48" w:rsidRPr="00222597">
        <w:rPr>
          <w:szCs w:val="22"/>
        </w:rPr>
        <w:t xml:space="preserve"> versus </w:t>
      </w:r>
      <w:proofErr w:type="spellStart"/>
      <w:r w:rsidR="00787C48" w:rsidRPr="00222597">
        <w:rPr>
          <w:szCs w:val="22"/>
        </w:rPr>
        <w:t>goserelin</w:t>
      </w:r>
      <w:proofErr w:type="spellEnd"/>
      <w:r w:rsidR="00787C48" w:rsidRPr="00222597">
        <w:rPr>
          <w:szCs w:val="22"/>
        </w:rPr>
        <w:t xml:space="preserve"> wa</w:t>
      </w:r>
      <w:r w:rsidR="00056500" w:rsidRPr="00222597">
        <w:rPr>
          <w:szCs w:val="22"/>
        </w:rPr>
        <w:t xml:space="preserve">s not considered appropriate given that </w:t>
      </w:r>
      <w:proofErr w:type="spellStart"/>
      <w:r w:rsidR="00056500" w:rsidRPr="00222597">
        <w:rPr>
          <w:szCs w:val="22"/>
        </w:rPr>
        <w:t>goserelin</w:t>
      </w:r>
      <w:proofErr w:type="spellEnd"/>
      <w:r w:rsidR="00056500" w:rsidRPr="00222597">
        <w:rPr>
          <w:szCs w:val="22"/>
        </w:rPr>
        <w:t xml:space="preserve"> 3.6</w:t>
      </w:r>
      <w:r w:rsidR="007A7C27" w:rsidRPr="00222597">
        <w:rPr>
          <w:szCs w:val="22"/>
        </w:rPr>
        <w:t xml:space="preserve"> </w:t>
      </w:r>
      <w:r w:rsidR="00056500" w:rsidRPr="00222597">
        <w:rPr>
          <w:szCs w:val="22"/>
        </w:rPr>
        <w:t>mg is not listed on the PBS for this indication. Therefore</w:t>
      </w:r>
      <w:r w:rsidR="00591345" w:rsidRPr="00222597">
        <w:rPr>
          <w:szCs w:val="22"/>
        </w:rPr>
        <w:t>,</w:t>
      </w:r>
      <w:r w:rsidR="00056500" w:rsidRPr="00222597">
        <w:rPr>
          <w:szCs w:val="22"/>
        </w:rPr>
        <w:t xml:space="preserve"> </w:t>
      </w:r>
      <w:proofErr w:type="spellStart"/>
      <w:r w:rsidR="00056500" w:rsidRPr="00222597">
        <w:rPr>
          <w:szCs w:val="22"/>
        </w:rPr>
        <w:t>goserelin</w:t>
      </w:r>
      <w:proofErr w:type="spellEnd"/>
      <w:r w:rsidR="00056500" w:rsidRPr="00222597">
        <w:rPr>
          <w:szCs w:val="22"/>
        </w:rPr>
        <w:t xml:space="preserve"> at the PBS price listed for </w:t>
      </w:r>
      <w:r w:rsidR="00591345" w:rsidRPr="00222597">
        <w:rPr>
          <w:szCs w:val="22"/>
        </w:rPr>
        <w:t xml:space="preserve">other indications (carcinoma of the prostate, </w:t>
      </w:r>
      <w:r w:rsidR="007A7C27" w:rsidRPr="00222597">
        <w:rPr>
          <w:szCs w:val="22"/>
        </w:rPr>
        <w:t xml:space="preserve">endometriosis </w:t>
      </w:r>
      <w:r w:rsidR="00591345" w:rsidRPr="00222597">
        <w:rPr>
          <w:szCs w:val="22"/>
        </w:rPr>
        <w:t>and breast cancer)</w:t>
      </w:r>
      <w:r w:rsidR="00056500" w:rsidRPr="00222597">
        <w:rPr>
          <w:szCs w:val="22"/>
        </w:rPr>
        <w:t xml:space="preserve"> may not be cost-effective for the treatment of moderate-severe symptoms of uterine fibroids in the Australian clinical setting.</w:t>
      </w:r>
    </w:p>
    <w:p w:rsidR="00D647CD" w:rsidRPr="00222597" w:rsidRDefault="00D647CD" w:rsidP="00D647CD">
      <w:pPr>
        <w:widowControl/>
        <w:rPr>
          <w:szCs w:val="22"/>
        </w:rPr>
      </w:pPr>
    </w:p>
    <w:p w:rsidR="00D647CD" w:rsidRPr="00222597" w:rsidRDefault="00D647CD" w:rsidP="001466EA">
      <w:pPr>
        <w:pStyle w:val="Heading2"/>
      </w:pPr>
      <w:bookmarkStart w:id="14" w:name="_Toc451165144"/>
      <w:r w:rsidRPr="00222597">
        <w:t>Drug cost/patient</w:t>
      </w:r>
      <w:bookmarkEnd w:id="14"/>
      <w:r w:rsidR="00BD78AB" w:rsidRPr="00222597">
        <w:t>/course</w:t>
      </w:r>
    </w:p>
    <w:p w:rsidR="00D647CD" w:rsidRPr="00222597" w:rsidRDefault="00D647CD" w:rsidP="00D647CD"/>
    <w:p w:rsidR="00AE0A75" w:rsidRPr="00222597" w:rsidRDefault="00D647CD" w:rsidP="00F15765">
      <w:pPr>
        <w:pStyle w:val="ListParagraph"/>
        <w:widowControl/>
        <w:numPr>
          <w:ilvl w:val="1"/>
          <w:numId w:val="3"/>
        </w:numPr>
      </w:pPr>
      <w:r w:rsidRPr="00222597">
        <w:t>Single 12-week course: $</w:t>
      </w:r>
      <w:r w:rsidR="001466EA">
        <w:rPr>
          <w:noProof/>
          <w:color w:val="000000"/>
          <w:highlight w:val="black"/>
        </w:rPr>
        <w:t>''''''''''''''''</w:t>
      </w:r>
      <w:r w:rsidR="00AE0A75" w:rsidRPr="00222597">
        <w:t xml:space="preserve"> per patient. </w:t>
      </w:r>
    </w:p>
    <w:p w:rsidR="00D647CD" w:rsidRPr="00222597" w:rsidRDefault="00AE0A75" w:rsidP="00AE0A75">
      <w:pPr>
        <w:pStyle w:val="ListParagraph"/>
        <w:widowControl/>
      </w:pPr>
      <w:r w:rsidRPr="00222597">
        <w:t>This was based on a dispensed price for maximum quantity (DPMQ) of $</w:t>
      </w:r>
      <w:r w:rsidR="001466EA">
        <w:rPr>
          <w:noProof/>
          <w:color w:val="000000"/>
          <w:highlight w:val="black"/>
        </w:rPr>
        <w:t>'''''''''''''''</w:t>
      </w:r>
      <w:r w:rsidRPr="00222597">
        <w:t xml:space="preserve"> for 28 tablets (4 weeks supply)</w:t>
      </w:r>
      <w:r w:rsidR="00121E88">
        <w:t xml:space="preserve">. </w:t>
      </w:r>
      <w:r w:rsidR="00DA06B0" w:rsidRPr="00222597">
        <w:t>The nominated comparator is not PBS-listed</w:t>
      </w:r>
      <w:r w:rsidR="000B5CA7" w:rsidRPr="00222597">
        <w:t xml:space="preserve"> for this indication</w:t>
      </w:r>
      <w:r w:rsidR="00DA06B0" w:rsidRPr="00222597">
        <w:t>.</w:t>
      </w:r>
      <w:r w:rsidR="00A84CF8" w:rsidRPr="00222597">
        <w:t xml:space="preserve"> </w:t>
      </w:r>
    </w:p>
    <w:p w:rsidR="00D647CD" w:rsidRPr="00222597" w:rsidRDefault="00D647CD" w:rsidP="00D647CD">
      <w:pPr>
        <w:pStyle w:val="ListParagraph"/>
        <w:widowControl/>
      </w:pPr>
    </w:p>
    <w:p w:rsidR="00D647CD" w:rsidRPr="00222597" w:rsidRDefault="00222597" w:rsidP="00F15765">
      <w:pPr>
        <w:pStyle w:val="ListParagraph"/>
        <w:widowControl/>
        <w:numPr>
          <w:ilvl w:val="1"/>
          <w:numId w:val="3"/>
        </w:numPr>
      </w:pPr>
      <w:r>
        <w:t>Long-term</w:t>
      </w:r>
      <w:r w:rsidR="00D647CD" w:rsidRPr="00222597">
        <w:t xml:space="preserve"> repeated intermittent 12-week courses: $</w:t>
      </w:r>
      <w:r w:rsidR="001466EA">
        <w:rPr>
          <w:noProof/>
          <w:color w:val="000000"/>
          <w:highlight w:val="black"/>
        </w:rPr>
        <w:t>'''''''''''''''''''</w:t>
      </w:r>
      <w:r w:rsidR="00D647CD" w:rsidRPr="00222597">
        <w:t>/patient/year</w:t>
      </w:r>
    </w:p>
    <w:p w:rsidR="00D647CD" w:rsidRPr="00222597" w:rsidRDefault="00D647CD" w:rsidP="00D647CD">
      <w:pPr>
        <w:pStyle w:val="ListParagraph"/>
        <w:widowControl/>
      </w:pPr>
      <w:r w:rsidRPr="00030326">
        <w:t xml:space="preserve">This </w:t>
      </w:r>
      <w:r w:rsidR="00787C48" w:rsidRPr="00030326">
        <w:t>wa</w:t>
      </w:r>
      <w:r w:rsidRPr="00030326">
        <w:t xml:space="preserve">s based on the assumption that each 12-week course </w:t>
      </w:r>
      <w:r w:rsidR="00AE0A75" w:rsidRPr="00030326">
        <w:t xml:space="preserve">of </w:t>
      </w:r>
      <w:proofErr w:type="spellStart"/>
      <w:r w:rsidR="00AE0A75" w:rsidRPr="00030326">
        <w:t>ulipristal</w:t>
      </w:r>
      <w:proofErr w:type="spellEnd"/>
      <w:r w:rsidR="00AE0A75" w:rsidRPr="00030326">
        <w:t xml:space="preserve"> </w:t>
      </w:r>
      <w:r w:rsidRPr="00030326">
        <w:t>is separated by a drug-free interval of 42 days (total cycle length of 126 days, 2.9 cycles per year). No justification was provided for this assu</w:t>
      </w:r>
      <w:r w:rsidRPr="00F368D9">
        <w:t xml:space="preserve">mption. </w:t>
      </w:r>
    </w:p>
    <w:p w:rsidR="00D647CD" w:rsidRPr="00222597" w:rsidRDefault="00D647CD" w:rsidP="00D647CD">
      <w:pPr>
        <w:rPr>
          <w:szCs w:val="22"/>
        </w:rPr>
      </w:pPr>
    </w:p>
    <w:p w:rsidR="00D647CD" w:rsidRPr="00222597" w:rsidRDefault="00D647CD" w:rsidP="001466EA">
      <w:pPr>
        <w:pStyle w:val="Heading2"/>
      </w:pPr>
      <w:bookmarkStart w:id="15" w:name="_Toc451165145"/>
      <w:r w:rsidRPr="00222597">
        <w:t>Estimated PBS usage &amp; financial implications</w:t>
      </w:r>
      <w:bookmarkEnd w:id="15"/>
    </w:p>
    <w:p w:rsidR="00D647CD" w:rsidRPr="00222597" w:rsidRDefault="00D647CD" w:rsidP="00D647CD">
      <w:pPr>
        <w:ind w:left="720" w:hanging="720"/>
        <w:rPr>
          <w:b/>
          <w:szCs w:val="22"/>
        </w:rPr>
      </w:pPr>
    </w:p>
    <w:p w:rsidR="00BB4AD9" w:rsidRPr="00222597" w:rsidRDefault="00BB4AD9" w:rsidP="00BB4AD9">
      <w:pPr>
        <w:pStyle w:val="ListParagraph"/>
        <w:widowControl/>
        <w:numPr>
          <w:ilvl w:val="1"/>
          <w:numId w:val="3"/>
        </w:numPr>
        <w:rPr>
          <w:szCs w:val="22"/>
        </w:rPr>
      </w:pPr>
      <w:r w:rsidRPr="00222597">
        <w:t xml:space="preserve">This submission was considered by </w:t>
      </w:r>
      <w:r w:rsidR="007C7F63" w:rsidRPr="00222597">
        <w:t>the Drug Utilisation Sub-committee (</w:t>
      </w:r>
      <w:r w:rsidRPr="00222597">
        <w:t>DUSC</w:t>
      </w:r>
      <w:r w:rsidR="007C7F63" w:rsidRPr="00222597">
        <w:t>)</w:t>
      </w:r>
      <w:r w:rsidRPr="00222597">
        <w:rPr>
          <w:color w:val="0070C0"/>
        </w:rPr>
        <w:t xml:space="preserve">. </w:t>
      </w:r>
    </w:p>
    <w:p w:rsidR="00BB4AD9" w:rsidRPr="00222597" w:rsidRDefault="00BB4AD9" w:rsidP="00BB4AD9">
      <w:pPr>
        <w:pStyle w:val="ListParagraph"/>
        <w:widowControl/>
        <w:rPr>
          <w:szCs w:val="22"/>
        </w:rPr>
      </w:pPr>
    </w:p>
    <w:p w:rsidR="00BB4AD9" w:rsidRPr="00222597" w:rsidRDefault="00BB4AD9" w:rsidP="00BB4AD9">
      <w:pPr>
        <w:pStyle w:val="ListParagraph"/>
        <w:widowControl/>
        <w:rPr>
          <w:szCs w:val="22"/>
        </w:rPr>
      </w:pPr>
      <w:r w:rsidRPr="00222597">
        <w:rPr>
          <w:szCs w:val="22"/>
        </w:rPr>
        <w:t xml:space="preserve">The financial implications are based on a DPMQ for </w:t>
      </w:r>
      <w:proofErr w:type="spellStart"/>
      <w:r w:rsidRPr="00222597">
        <w:rPr>
          <w:szCs w:val="22"/>
        </w:rPr>
        <w:t>ulipristal</w:t>
      </w:r>
      <w:proofErr w:type="spellEnd"/>
      <w:r w:rsidRPr="00222597">
        <w:rPr>
          <w:szCs w:val="22"/>
        </w:rPr>
        <w:t xml:space="preserve"> of $</w:t>
      </w:r>
      <w:r w:rsidR="001466EA">
        <w:rPr>
          <w:noProof/>
          <w:color w:val="000000"/>
          <w:szCs w:val="22"/>
          <w:highlight w:val="black"/>
        </w:rPr>
        <w:t>'''''''''''''''</w:t>
      </w:r>
      <w:r w:rsidRPr="00222597">
        <w:rPr>
          <w:szCs w:val="22"/>
        </w:rPr>
        <w:t>, as presented in the Excel Section E Workbook provided in the submission.</w:t>
      </w:r>
    </w:p>
    <w:p w:rsidR="00BB4AD9" w:rsidRPr="00222597" w:rsidRDefault="00BB4AD9" w:rsidP="00BB4AD9">
      <w:pPr>
        <w:widowControl/>
        <w:jc w:val="left"/>
        <w:rPr>
          <w:rFonts w:ascii="Arial Narrow" w:hAnsi="Arial Narrow"/>
          <w:b/>
          <w:sz w:val="20"/>
        </w:rPr>
      </w:pPr>
    </w:p>
    <w:p w:rsidR="002B1E9A" w:rsidRDefault="002B1E9A">
      <w:pPr>
        <w:widowControl/>
        <w:jc w:val="left"/>
        <w:rPr>
          <w:rFonts w:ascii="Arial Narrow" w:hAnsi="Arial Narrow"/>
          <w:b/>
          <w:sz w:val="20"/>
        </w:rPr>
      </w:pPr>
      <w:r>
        <w:br w:type="page"/>
      </w:r>
    </w:p>
    <w:p w:rsidR="00BB4AD9" w:rsidRPr="00222597" w:rsidRDefault="00BB4AD9" w:rsidP="00BB4AD9">
      <w:pPr>
        <w:pStyle w:val="TableHeader"/>
        <w:ind w:left="709"/>
      </w:pPr>
      <w:r w:rsidRPr="00222597">
        <w:t>Table 8: Estimated use and financial implications</w:t>
      </w:r>
    </w:p>
    <w:tbl>
      <w:tblPr>
        <w:tblW w:w="4595"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71"/>
        <w:gridCol w:w="1133"/>
        <w:gridCol w:w="1133"/>
        <w:gridCol w:w="1275"/>
        <w:gridCol w:w="1275"/>
        <w:gridCol w:w="1259"/>
      </w:tblGrid>
      <w:tr w:rsidR="00BB4AD9" w:rsidRPr="00222597" w:rsidTr="006350CF">
        <w:trPr>
          <w:tblHeader/>
        </w:trPr>
        <w:tc>
          <w:tcPr>
            <w:tcW w:w="1360" w:type="pct"/>
            <w:tcBorders>
              <w:bottom w:val="double" w:sz="4" w:space="0" w:color="auto"/>
            </w:tcBorders>
            <w:shd w:val="clear" w:color="auto" w:fill="auto"/>
            <w:vAlign w:val="center"/>
          </w:tcPr>
          <w:p w:rsidR="00BB4AD9" w:rsidRPr="00222597" w:rsidRDefault="00BB4AD9" w:rsidP="006350CF">
            <w:pPr>
              <w:tabs>
                <w:tab w:val="left" w:pos="142"/>
              </w:tabs>
              <w:jc w:val="left"/>
              <w:rPr>
                <w:rFonts w:ascii="Arial Narrow" w:hAnsi="Arial Narrow"/>
                <w:b/>
                <w:sz w:val="20"/>
              </w:rPr>
            </w:pPr>
          </w:p>
        </w:tc>
        <w:tc>
          <w:tcPr>
            <w:tcW w:w="679" w:type="pct"/>
            <w:tcBorders>
              <w:bottom w:val="double" w:sz="4" w:space="0" w:color="auto"/>
            </w:tcBorders>
            <w:shd w:val="clear" w:color="auto" w:fill="auto"/>
            <w:vAlign w:val="center"/>
          </w:tcPr>
          <w:p w:rsidR="00BB4AD9" w:rsidRPr="00222597" w:rsidRDefault="00BB4AD9" w:rsidP="006350CF">
            <w:pPr>
              <w:jc w:val="center"/>
              <w:rPr>
                <w:rFonts w:ascii="Arial Narrow" w:hAnsi="Arial Narrow"/>
                <w:b/>
                <w:sz w:val="20"/>
              </w:rPr>
            </w:pPr>
            <w:r w:rsidRPr="00222597">
              <w:rPr>
                <w:rFonts w:ascii="Arial Narrow" w:hAnsi="Arial Narrow"/>
                <w:b/>
                <w:sz w:val="20"/>
              </w:rPr>
              <w:t>Year 1</w:t>
            </w:r>
          </w:p>
        </w:tc>
        <w:tc>
          <w:tcPr>
            <w:tcW w:w="679" w:type="pct"/>
            <w:tcBorders>
              <w:bottom w:val="double" w:sz="4" w:space="0" w:color="auto"/>
            </w:tcBorders>
            <w:shd w:val="clear" w:color="auto" w:fill="auto"/>
            <w:vAlign w:val="center"/>
          </w:tcPr>
          <w:p w:rsidR="00BB4AD9" w:rsidRPr="00222597" w:rsidRDefault="00BB4AD9" w:rsidP="006350CF">
            <w:pPr>
              <w:jc w:val="center"/>
              <w:rPr>
                <w:rFonts w:ascii="Arial Narrow" w:hAnsi="Arial Narrow"/>
                <w:b/>
                <w:sz w:val="20"/>
              </w:rPr>
            </w:pPr>
            <w:r w:rsidRPr="00222597">
              <w:rPr>
                <w:rFonts w:ascii="Arial Narrow" w:hAnsi="Arial Narrow"/>
                <w:b/>
                <w:sz w:val="20"/>
              </w:rPr>
              <w:t>Year 2</w:t>
            </w:r>
          </w:p>
        </w:tc>
        <w:tc>
          <w:tcPr>
            <w:tcW w:w="764" w:type="pct"/>
            <w:tcBorders>
              <w:bottom w:val="double" w:sz="4" w:space="0" w:color="auto"/>
            </w:tcBorders>
            <w:shd w:val="clear" w:color="auto" w:fill="auto"/>
            <w:vAlign w:val="center"/>
          </w:tcPr>
          <w:p w:rsidR="00BB4AD9" w:rsidRPr="00222597" w:rsidRDefault="00BB4AD9" w:rsidP="006350CF">
            <w:pPr>
              <w:jc w:val="center"/>
              <w:rPr>
                <w:rFonts w:ascii="Arial Narrow" w:hAnsi="Arial Narrow"/>
                <w:b/>
                <w:sz w:val="20"/>
              </w:rPr>
            </w:pPr>
            <w:r w:rsidRPr="00222597">
              <w:rPr>
                <w:rFonts w:ascii="Arial Narrow" w:hAnsi="Arial Narrow"/>
                <w:b/>
                <w:sz w:val="20"/>
              </w:rPr>
              <w:t>Year 3</w:t>
            </w:r>
          </w:p>
        </w:tc>
        <w:tc>
          <w:tcPr>
            <w:tcW w:w="764" w:type="pct"/>
            <w:tcBorders>
              <w:bottom w:val="double" w:sz="4" w:space="0" w:color="auto"/>
            </w:tcBorders>
            <w:shd w:val="clear" w:color="auto" w:fill="auto"/>
            <w:vAlign w:val="center"/>
          </w:tcPr>
          <w:p w:rsidR="00BB4AD9" w:rsidRPr="00222597" w:rsidRDefault="00BB4AD9" w:rsidP="006350CF">
            <w:pPr>
              <w:jc w:val="center"/>
              <w:rPr>
                <w:rFonts w:ascii="Arial Narrow" w:hAnsi="Arial Narrow"/>
                <w:b/>
                <w:sz w:val="20"/>
              </w:rPr>
            </w:pPr>
            <w:r w:rsidRPr="00222597">
              <w:rPr>
                <w:rFonts w:ascii="Arial Narrow" w:hAnsi="Arial Narrow"/>
                <w:b/>
                <w:sz w:val="20"/>
              </w:rPr>
              <w:t>Year 4</w:t>
            </w:r>
          </w:p>
        </w:tc>
        <w:tc>
          <w:tcPr>
            <w:tcW w:w="754" w:type="pct"/>
            <w:tcBorders>
              <w:bottom w:val="double" w:sz="4" w:space="0" w:color="auto"/>
            </w:tcBorders>
            <w:shd w:val="clear" w:color="auto" w:fill="auto"/>
            <w:vAlign w:val="center"/>
          </w:tcPr>
          <w:p w:rsidR="00BB4AD9" w:rsidRPr="00222597" w:rsidRDefault="00BB4AD9" w:rsidP="006350CF">
            <w:pPr>
              <w:jc w:val="center"/>
              <w:rPr>
                <w:rFonts w:ascii="Arial Narrow" w:hAnsi="Arial Narrow"/>
                <w:b/>
                <w:sz w:val="20"/>
              </w:rPr>
            </w:pPr>
            <w:r w:rsidRPr="00222597">
              <w:rPr>
                <w:rFonts w:ascii="Arial Narrow" w:hAnsi="Arial Narrow"/>
                <w:b/>
                <w:sz w:val="20"/>
              </w:rPr>
              <w:t>Year 5</w:t>
            </w:r>
          </w:p>
        </w:tc>
      </w:tr>
      <w:tr w:rsidR="00BB4AD9" w:rsidRPr="00222597" w:rsidTr="006350CF">
        <w:trPr>
          <w:tblHeader/>
        </w:trPr>
        <w:tc>
          <w:tcPr>
            <w:tcW w:w="5000" w:type="pct"/>
            <w:gridSpan w:val="6"/>
            <w:tcBorders>
              <w:top w:val="double" w:sz="4" w:space="0" w:color="auto"/>
            </w:tcBorders>
            <w:shd w:val="clear" w:color="auto" w:fill="auto"/>
          </w:tcPr>
          <w:p w:rsidR="00BB4AD9" w:rsidRPr="00222597" w:rsidRDefault="00BB4AD9" w:rsidP="006350CF">
            <w:pPr>
              <w:jc w:val="left"/>
              <w:rPr>
                <w:rFonts w:ascii="Arial Narrow" w:hAnsi="Arial Narrow"/>
                <w:b/>
                <w:sz w:val="20"/>
              </w:rPr>
            </w:pPr>
            <w:r w:rsidRPr="00222597">
              <w:rPr>
                <w:rFonts w:ascii="Arial Narrow" w:hAnsi="Arial Narrow"/>
                <w:b/>
                <w:sz w:val="20"/>
              </w:rPr>
              <w:t xml:space="preserve">Cost of </w:t>
            </w:r>
            <w:proofErr w:type="spellStart"/>
            <w:r w:rsidRPr="00222597">
              <w:rPr>
                <w:rFonts w:ascii="Arial Narrow" w:hAnsi="Arial Narrow"/>
                <w:b/>
                <w:sz w:val="20"/>
              </w:rPr>
              <w:t>ulipristal</w:t>
            </w:r>
            <w:proofErr w:type="spellEnd"/>
            <w:r w:rsidRPr="00222597">
              <w:rPr>
                <w:rFonts w:ascii="Arial Narrow" w:hAnsi="Arial Narrow"/>
                <w:b/>
                <w:sz w:val="20"/>
              </w:rPr>
              <w:t xml:space="preserve"> </w:t>
            </w:r>
          </w:p>
        </w:tc>
      </w:tr>
      <w:tr w:rsidR="00BB4AD9" w:rsidRPr="00222597" w:rsidTr="006350CF">
        <w:tc>
          <w:tcPr>
            <w:tcW w:w="5000" w:type="pct"/>
            <w:gridSpan w:val="6"/>
            <w:shd w:val="clear" w:color="auto" w:fill="auto"/>
            <w:vAlign w:val="center"/>
          </w:tcPr>
          <w:p w:rsidR="00BB4AD9" w:rsidRPr="00222597" w:rsidRDefault="00BB4AD9" w:rsidP="006350CF">
            <w:pPr>
              <w:jc w:val="left"/>
              <w:rPr>
                <w:rFonts w:ascii="Arial Narrow" w:hAnsi="Arial Narrow"/>
                <w:bCs/>
                <w:i/>
                <w:color w:val="000000"/>
                <w:sz w:val="20"/>
              </w:rPr>
            </w:pPr>
            <w:proofErr w:type="spellStart"/>
            <w:r w:rsidRPr="00222597">
              <w:rPr>
                <w:rFonts w:ascii="Arial Narrow" w:hAnsi="Arial Narrow"/>
                <w:bCs/>
                <w:i/>
                <w:color w:val="000000"/>
                <w:sz w:val="20"/>
              </w:rPr>
              <w:t>i</w:t>
            </w:r>
            <w:proofErr w:type="spellEnd"/>
            <w:r w:rsidRPr="00222597">
              <w:rPr>
                <w:rFonts w:ascii="Arial Narrow" w:hAnsi="Arial Narrow"/>
                <w:bCs/>
                <w:i/>
                <w:color w:val="000000"/>
                <w:sz w:val="20"/>
              </w:rPr>
              <w:t xml:space="preserve">) </w:t>
            </w:r>
            <w:r w:rsidR="00222597">
              <w:rPr>
                <w:rFonts w:ascii="Arial Narrow" w:hAnsi="Arial Narrow"/>
                <w:bCs/>
                <w:i/>
                <w:color w:val="000000"/>
                <w:sz w:val="20"/>
              </w:rPr>
              <w:t>Short-term</w:t>
            </w:r>
            <w:r w:rsidRPr="00222597">
              <w:rPr>
                <w:rFonts w:ascii="Arial Narrow" w:hAnsi="Arial Narrow"/>
                <w:bCs/>
                <w:i/>
                <w:color w:val="000000"/>
                <w:sz w:val="20"/>
              </w:rPr>
              <w:t xml:space="preserve"> treatment (12-week course)</w:t>
            </w:r>
          </w:p>
        </w:tc>
      </w:tr>
      <w:tr w:rsidR="00BB4AD9" w:rsidRPr="00222597" w:rsidTr="006350CF">
        <w:tc>
          <w:tcPr>
            <w:tcW w:w="1360" w:type="pct"/>
            <w:shd w:val="clear" w:color="auto" w:fill="auto"/>
            <w:vAlign w:val="center"/>
          </w:tcPr>
          <w:p w:rsidR="00BB4AD9" w:rsidRPr="00222597" w:rsidRDefault="00BB4AD9" w:rsidP="006350CF">
            <w:pPr>
              <w:tabs>
                <w:tab w:val="left" w:pos="142"/>
              </w:tabs>
              <w:jc w:val="left"/>
              <w:rPr>
                <w:rFonts w:ascii="Arial Narrow" w:hAnsi="Arial Narrow"/>
                <w:sz w:val="20"/>
              </w:rPr>
            </w:pPr>
            <w:r w:rsidRPr="00222597">
              <w:rPr>
                <w:rFonts w:ascii="Arial Narrow" w:hAnsi="Arial Narrow"/>
                <w:sz w:val="20"/>
              </w:rPr>
              <w:t>Number treated</w:t>
            </w:r>
          </w:p>
        </w:tc>
        <w:tc>
          <w:tcPr>
            <w:tcW w:w="679" w:type="pct"/>
            <w:shd w:val="clear" w:color="auto" w:fill="auto"/>
          </w:tcPr>
          <w:p w:rsidR="00BB4AD9" w:rsidRPr="001466EA" w:rsidRDefault="001466EA" w:rsidP="006350CF">
            <w:pPr>
              <w:jc w:val="center"/>
              <w:rPr>
                <w:rFonts w:ascii="Arial Narrow" w:hAnsi="Arial Narrow"/>
                <w:bCs/>
                <w:color w:val="000000"/>
                <w:sz w:val="20"/>
                <w:highlight w:val="black"/>
              </w:rPr>
            </w:pPr>
            <w:r>
              <w:rPr>
                <w:rFonts w:ascii="Arial Narrow" w:hAnsi="Arial Narrow"/>
                <w:noProof/>
                <w:color w:val="000000"/>
                <w:sz w:val="20"/>
                <w:highlight w:val="black"/>
                <w:lang w:eastAsia="en-AU"/>
              </w:rPr>
              <w:t>''''''''''''''</w:t>
            </w:r>
            <w:r w:rsidR="00BB4AD9" w:rsidRPr="001466EA">
              <w:rPr>
                <w:rFonts w:ascii="Arial Narrow" w:hAnsi="Arial Narrow"/>
                <w:color w:val="000000"/>
                <w:sz w:val="20"/>
                <w:highlight w:val="black"/>
                <w:lang w:eastAsia="en-AU"/>
              </w:rPr>
              <w:t xml:space="preserve"> </w:t>
            </w:r>
          </w:p>
        </w:tc>
        <w:tc>
          <w:tcPr>
            <w:tcW w:w="679" w:type="pct"/>
            <w:shd w:val="clear" w:color="auto" w:fill="auto"/>
          </w:tcPr>
          <w:p w:rsidR="00BB4AD9" w:rsidRPr="001466EA" w:rsidRDefault="001466EA" w:rsidP="006350CF">
            <w:pPr>
              <w:jc w:val="center"/>
              <w:rPr>
                <w:rFonts w:ascii="Arial Narrow" w:hAnsi="Arial Narrow"/>
                <w:bCs/>
                <w:color w:val="000000"/>
                <w:sz w:val="20"/>
                <w:highlight w:val="black"/>
              </w:rPr>
            </w:pPr>
            <w:r>
              <w:rPr>
                <w:rFonts w:ascii="Arial Narrow" w:hAnsi="Arial Narrow"/>
                <w:noProof/>
                <w:color w:val="000000"/>
                <w:sz w:val="20"/>
                <w:highlight w:val="black"/>
                <w:lang w:eastAsia="en-AU"/>
              </w:rPr>
              <w:t>'''''''''''''</w:t>
            </w:r>
            <w:r w:rsidR="00BB4AD9" w:rsidRPr="001466EA">
              <w:rPr>
                <w:rFonts w:ascii="Arial Narrow" w:hAnsi="Arial Narrow"/>
                <w:color w:val="000000"/>
                <w:sz w:val="20"/>
                <w:highlight w:val="black"/>
                <w:lang w:eastAsia="en-AU"/>
              </w:rPr>
              <w:t xml:space="preserve"> </w:t>
            </w:r>
          </w:p>
        </w:tc>
        <w:tc>
          <w:tcPr>
            <w:tcW w:w="764" w:type="pct"/>
            <w:shd w:val="clear" w:color="auto" w:fill="auto"/>
          </w:tcPr>
          <w:p w:rsidR="00BB4AD9" w:rsidRPr="001466EA" w:rsidRDefault="001466EA" w:rsidP="006350CF">
            <w:pPr>
              <w:jc w:val="center"/>
              <w:rPr>
                <w:rFonts w:ascii="Arial Narrow" w:hAnsi="Arial Narrow"/>
                <w:bCs/>
                <w:color w:val="000000"/>
                <w:sz w:val="20"/>
                <w:highlight w:val="black"/>
              </w:rPr>
            </w:pPr>
            <w:r>
              <w:rPr>
                <w:rFonts w:ascii="Arial Narrow" w:hAnsi="Arial Narrow"/>
                <w:noProof/>
                <w:color w:val="000000"/>
                <w:sz w:val="20"/>
                <w:highlight w:val="black"/>
                <w:lang w:eastAsia="en-AU"/>
              </w:rPr>
              <w:t>'''''''''''''''</w:t>
            </w:r>
            <w:r w:rsidR="00BB4AD9" w:rsidRPr="001466EA">
              <w:rPr>
                <w:rFonts w:ascii="Arial Narrow" w:hAnsi="Arial Narrow"/>
                <w:color w:val="000000"/>
                <w:sz w:val="20"/>
                <w:highlight w:val="black"/>
                <w:lang w:eastAsia="en-AU"/>
              </w:rPr>
              <w:t xml:space="preserve"> </w:t>
            </w:r>
          </w:p>
        </w:tc>
        <w:tc>
          <w:tcPr>
            <w:tcW w:w="764" w:type="pct"/>
            <w:shd w:val="clear" w:color="auto" w:fill="auto"/>
          </w:tcPr>
          <w:p w:rsidR="00BB4AD9" w:rsidRPr="001466EA" w:rsidRDefault="001466EA" w:rsidP="006350CF">
            <w:pPr>
              <w:jc w:val="center"/>
              <w:rPr>
                <w:rFonts w:ascii="Arial Narrow" w:hAnsi="Arial Narrow"/>
                <w:bCs/>
                <w:color w:val="000000"/>
                <w:sz w:val="20"/>
                <w:highlight w:val="black"/>
              </w:rPr>
            </w:pPr>
            <w:r>
              <w:rPr>
                <w:rFonts w:ascii="Arial Narrow" w:hAnsi="Arial Narrow"/>
                <w:noProof/>
                <w:color w:val="000000"/>
                <w:sz w:val="20"/>
                <w:highlight w:val="black"/>
                <w:lang w:eastAsia="en-AU"/>
              </w:rPr>
              <w:t>''''''''''''''</w:t>
            </w:r>
            <w:r w:rsidR="00BB4AD9" w:rsidRPr="001466EA">
              <w:rPr>
                <w:rFonts w:ascii="Arial Narrow" w:hAnsi="Arial Narrow"/>
                <w:color w:val="000000"/>
                <w:sz w:val="20"/>
                <w:highlight w:val="black"/>
                <w:lang w:eastAsia="en-AU"/>
              </w:rPr>
              <w:t xml:space="preserve"> </w:t>
            </w:r>
          </w:p>
        </w:tc>
        <w:tc>
          <w:tcPr>
            <w:tcW w:w="754" w:type="pct"/>
            <w:shd w:val="clear" w:color="auto" w:fill="auto"/>
          </w:tcPr>
          <w:p w:rsidR="00BB4AD9" w:rsidRPr="001466EA" w:rsidRDefault="001466EA" w:rsidP="006350CF">
            <w:pPr>
              <w:jc w:val="center"/>
              <w:rPr>
                <w:rFonts w:ascii="Arial Narrow" w:hAnsi="Arial Narrow"/>
                <w:bCs/>
                <w:color w:val="000000"/>
                <w:sz w:val="20"/>
                <w:highlight w:val="black"/>
              </w:rPr>
            </w:pPr>
            <w:r>
              <w:rPr>
                <w:rFonts w:ascii="Arial Narrow" w:hAnsi="Arial Narrow"/>
                <w:noProof/>
                <w:color w:val="000000"/>
                <w:sz w:val="20"/>
                <w:highlight w:val="black"/>
                <w:lang w:eastAsia="en-AU"/>
              </w:rPr>
              <w:t>''''''''''''''</w:t>
            </w:r>
            <w:r w:rsidR="00BB4AD9" w:rsidRPr="001466EA">
              <w:rPr>
                <w:rFonts w:ascii="Arial Narrow" w:hAnsi="Arial Narrow"/>
                <w:color w:val="000000"/>
                <w:sz w:val="20"/>
                <w:highlight w:val="black"/>
                <w:lang w:eastAsia="en-AU"/>
              </w:rPr>
              <w:t xml:space="preserve"> </w:t>
            </w:r>
          </w:p>
        </w:tc>
      </w:tr>
      <w:tr w:rsidR="00BB4AD9" w:rsidRPr="00222597" w:rsidTr="006350CF">
        <w:tc>
          <w:tcPr>
            <w:tcW w:w="1360" w:type="pct"/>
            <w:shd w:val="clear" w:color="auto" w:fill="auto"/>
            <w:vAlign w:val="center"/>
          </w:tcPr>
          <w:p w:rsidR="00BB4AD9" w:rsidRPr="00222597" w:rsidRDefault="00BB4AD9" w:rsidP="006350CF">
            <w:pPr>
              <w:tabs>
                <w:tab w:val="left" w:pos="142"/>
              </w:tabs>
              <w:jc w:val="left"/>
              <w:rPr>
                <w:rFonts w:ascii="Arial Narrow" w:hAnsi="Arial Narrow"/>
                <w:sz w:val="20"/>
              </w:rPr>
            </w:pPr>
            <w:r w:rsidRPr="00222597">
              <w:rPr>
                <w:rFonts w:ascii="Arial Narrow" w:hAnsi="Arial Narrow"/>
                <w:sz w:val="20"/>
              </w:rPr>
              <w:t xml:space="preserve">Scripts per </w:t>
            </w:r>
            <w:proofErr w:type="spellStart"/>
            <w:r w:rsidRPr="00222597">
              <w:rPr>
                <w:rFonts w:ascii="Arial Narrow" w:hAnsi="Arial Narrow"/>
                <w:sz w:val="20"/>
              </w:rPr>
              <w:t>year</w:t>
            </w:r>
            <w:r w:rsidRPr="00222597">
              <w:rPr>
                <w:rFonts w:ascii="Arial Narrow" w:hAnsi="Arial Narrow"/>
                <w:sz w:val="20"/>
                <w:vertAlign w:val="superscript"/>
              </w:rPr>
              <w:t>a</w:t>
            </w:r>
            <w:proofErr w:type="spellEnd"/>
          </w:p>
        </w:tc>
        <w:tc>
          <w:tcPr>
            <w:tcW w:w="679" w:type="pct"/>
            <w:shd w:val="clear" w:color="auto" w:fill="auto"/>
          </w:tcPr>
          <w:p w:rsidR="00BB4AD9" w:rsidRPr="001466EA" w:rsidRDefault="001466EA" w:rsidP="006350CF">
            <w:pPr>
              <w:jc w:val="center"/>
              <w:rPr>
                <w:rFonts w:ascii="Arial Narrow" w:hAnsi="Arial Narrow"/>
                <w:bCs/>
                <w:color w:val="000000"/>
                <w:sz w:val="20"/>
                <w:highlight w:val="black"/>
              </w:rPr>
            </w:pPr>
            <w:r>
              <w:rPr>
                <w:rFonts w:ascii="Arial Narrow" w:hAnsi="Arial Narrow"/>
                <w:noProof/>
                <w:color w:val="000000"/>
                <w:sz w:val="20"/>
                <w:highlight w:val="black"/>
                <w:lang w:eastAsia="en-AU"/>
              </w:rPr>
              <w:t>'''''''''''''</w:t>
            </w:r>
            <w:r w:rsidR="00BB4AD9" w:rsidRPr="001466EA">
              <w:rPr>
                <w:rFonts w:ascii="Arial Narrow" w:hAnsi="Arial Narrow"/>
                <w:color w:val="000000"/>
                <w:sz w:val="20"/>
                <w:highlight w:val="black"/>
                <w:lang w:eastAsia="en-AU"/>
              </w:rPr>
              <w:t xml:space="preserve"> </w:t>
            </w:r>
          </w:p>
        </w:tc>
        <w:tc>
          <w:tcPr>
            <w:tcW w:w="679" w:type="pct"/>
            <w:shd w:val="clear" w:color="auto" w:fill="auto"/>
          </w:tcPr>
          <w:p w:rsidR="00BB4AD9" w:rsidRPr="001466EA" w:rsidRDefault="001466EA" w:rsidP="006350CF">
            <w:pPr>
              <w:jc w:val="center"/>
              <w:rPr>
                <w:rFonts w:ascii="Arial Narrow" w:hAnsi="Arial Narrow"/>
                <w:bCs/>
                <w:color w:val="000000"/>
                <w:sz w:val="20"/>
                <w:highlight w:val="black"/>
              </w:rPr>
            </w:pPr>
            <w:r>
              <w:rPr>
                <w:rFonts w:ascii="Arial Narrow" w:hAnsi="Arial Narrow"/>
                <w:noProof/>
                <w:color w:val="000000"/>
                <w:sz w:val="20"/>
                <w:highlight w:val="black"/>
                <w:lang w:eastAsia="en-AU"/>
              </w:rPr>
              <w:t>'''''''''''''''''</w:t>
            </w:r>
            <w:r w:rsidR="00BB4AD9" w:rsidRPr="001466EA">
              <w:rPr>
                <w:rFonts w:ascii="Arial Narrow" w:hAnsi="Arial Narrow"/>
                <w:color w:val="000000"/>
                <w:sz w:val="20"/>
                <w:highlight w:val="black"/>
                <w:lang w:eastAsia="en-AU"/>
              </w:rPr>
              <w:t xml:space="preserve"> </w:t>
            </w:r>
          </w:p>
        </w:tc>
        <w:tc>
          <w:tcPr>
            <w:tcW w:w="764" w:type="pct"/>
            <w:shd w:val="clear" w:color="auto" w:fill="auto"/>
          </w:tcPr>
          <w:p w:rsidR="00BB4AD9" w:rsidRPr="001466EA" w:rsidRDefault="001466EA" w:rsidP="006350CF">
            <w:pPr>
              <w:jc w:val="center"/>
              <w:rPr>
                <w:rFonts w:ascii="Arial Narrow" w:hAnsi="Arial Narrow"/>
                <w:bCs/>
                <w:color w:val="000000"/>
                <w:sz w:val="20"/>
                <w:highlight w:val="black"/>
              </w:rPr>
            </w:pPr>
            <w:r>
              <w:rPr>
                <w:rFonts w:ascii="Arial Narrow" w:hAnsi="Arial Narrow"/>
                <w:noProof/>
                <w:color w:val="000000"/>
                <w:sz w:val="20"/>
                <w:highlight w:val="black"/>
                <w:lang w:eastAsia="en-AU"/>
              </w:rPr>
              <w:t>''''''''''''''''</w:t>
            </w:r>
            <w:r w:rsidR="00BB4AD9" w:rsidRPr="001466EA">
              <w:rPr>
                <w:rFonts w:ascii="Arial Narrow" w:hAnsi="Arial Narrow"/>
                <w:color w:val="000000"/>
                <w:sz w:val="20"/>
                <w:highlight w:val="black"/>
                <w:lang w:eastAsia="en-AU"/>
              </w:rPr>
              <w:t xml:space="preserve"> </w:t>
            </w:r>
          </w:p>
        </w:tc>
        <w:tc>
          <w:tcPr>
            <w:tcW w:w="764" w:type="pct"/>
            <w:shd w:val="clear" w:color="auto" w:fill="auto"/>
          </w:tcPr>
          <w:p w:rsidR="00BB4AD9" w:rsidRPr="001466EA" w:rsidRDefault="001466EA" w:rsidP="006350CF">
            <w:pPr>
              <w:jc w:val="center"/>
              <w:rPr>
                <w:rFonts w:ascii="Arial Narrow" w:hAnsi="Arial Narrow"/>
                <w:bCs/>
                <w:color w:val="000000"/>
                <w:sz w:val="20"/>
                <w:highlight w:val="black"/>
              </w:rPr>
            </w:pPr>
            <w:r>
              <w:rPr>
                <w:rFonts w:ascii="Arial Narrow" w:hAnsi="Arial Narrow"/>
                <w:noProof/>
                <w:color w:val="000000"/>
                <w:sz w:val="20"/>
                <w:highlight w:val="black"/>
                <w:lang w:eastAsia="en-AU"/>
              </w:rPr>
              <w:t>''''''''''''''''''</w:t>
            </w:r>
            <w:r w:rsidR="00BB4AD9" w:rsidRPr="001466EA">
              <w:rPr>
                <w:rFonts w:ascii="Arial Narrow" w:hAnsi="Arial Narrow"/>
                <w:color w:val="000000"/>
                <w:sz w:val="20"/>
                <w:highlight w:val="black"/>
                <w:lang w:eastAsia="en-AU"/>
              </w:rPr>
              <w:t xml:space="preserve"> </w:t>
            </w:r>
          </w:p>
        </w:tc>
        <w:tc>
          <w:tcPr>
            <w:tcW w:w="754" w:type="pct"/>
            <w:shd w:val="clear" w:color="auto" w:fill="auto"/>
          </w:tcPr>
          <w:p w:rsidR="00BB4AD9" w:rsidRPr="001466EA" w:rsidRDefault="001466EA" w:rsidP="006350CF">
            <w:pPr>
              <w:jc w:val="center"/>
              <w:rPr>
                <w:rFonts w:ascii="Arial Narrow" w:hAnsi="Arial Narrow"/>
                <w:bCs/>
                <w:color w:val="000000"/>
                <w:sz w:val="20"/>
                <w:highlight w:val="black"/>
              </w:rPr>
            </w:pPr>
            <w:r>
              <w:rPr>
                <w:rFonts w:ascii="Arial Narrow" w:hAnsi="Arial Narrow"/>
                <w:noProof/>
                <w:color w:val="000000"/>
                <w:sz w:val="20"/>
                <w:highlight w:val="black"/>
                <w:lang w:eastAsia="en-AU"/>
              </w:rPr>
              <w:t>'''''''''''''''''</w:t>
            </w:r>
            <w:r w:rsidR="00BB4AD9" w:rsidRPr="001466EA">
              <w:rPr>
                <w:rFonts w:ascii="Arial Narrow" w:hAnsi="Arial Narrow"/>
                <w:color w:val="000000"/>
                <w:sz w:val="20"/>
                <w:highlight w:val="black"/>
                <w:lang w:eastAsia="en-AU"/>
              </w:rPr>
              <w:t xml:space="preserve"> </w:t>
            </w:r>
          </w:p>
        </w:tc>
      </w:tr>
      <w:tr w:rsidR="00BB4AD9" w:rsidRPr="00222597" w:rsidTr="006350CF">
        <w:tc>
          <w:tcPr>
            <w:tcW w:w="5000" w:type="pct"/>
            <w:gridSpan w:val="6"/>
            <w:shd w:val="clear" w:color="auto" w:fill="auto"/>
            <w:vAlign w:val="center"/>
          </w:tcPr>
          <w:p w:rsidR="00BB4AD9" w:rsidRPr="00222597" w:rsidRDefault="00BB4AD9" w:rsidP="006350CF">
            <w:pPr>
              <w:jc w:val="left"/>
              <w:rPr>
                <w:rFonts w:ascii="Arial Narrow" w:hAnsi="Arial Narrow"/>
                <w:bCs/>
                <w:color w:val="000000"/>
                <w:sz w:val="20"/>
              </w:rPr>
            </w:pPr>
            <w:r w:rsidRPr="00222597">
              <w:rPr>
                <w:rFonts w:ascii="Arial Narrow" w:hAnsi="Arial Narrow"/>
                <w:bCs/>
                <w:color w:val="000000"/>
                <w:sz w:val="20"/>
              </w:rPr>
              <w:t>Estimated net cost to PBS/RPBS (</w:t>
            </w:r>
            <w:r w:rsidR="00222597">
              <w:rPr>
                <w:rFonts w:ascii="Arial Narrow" w:hAnsi="Arial Narrow"/>
                <w:bCs/>
                <w:color w:val="000000"/>
                <w:sz w:val="20"/>
              </w:rPr>
              <w:t>short-term</w:t>
            </w:r>
            <w:r w:rsidRPr="00222597">
              <w:rPr>
                <w:rFonts w:ascii="Arial Narrow" w:hAnsi="Arial Narrow"/>
                <w:bCs/>
                <w:color w:val="000000"/>
                <w:sz w:val="20"/>
              </w:rPr>
              <w:t xml:space="preserve"> patients)</w:t>
            </w:r>
          </w:p>
        </w:tc>
      </w:tr>
      <w:tr w:rsidR="00BB4AD9" w:rsidRPr="00222597" w:rsidTr="006350CF">
        <w:tc>
          <w:tcPr>
            <w:tcW w:w="1360" w:type="pct"/>
            <w:shd w:val="clear" w:color="auto" w:fill="auto"/>
            <w:vAlign w:val="center"/>
          </w:tcPr>
          <w:p w:rsidR="00BB4AD9" w:rsidRPr="00222597" w:rsidRDefault="00BB4AD9" w:rsidP="006350CF">
            <w:pPr>
              <w:tabs>
                <w:tab w:val="left" w:pos="142"/>
              </w:tabs>
              <w:jc w:val="left"/>
              <w:rPr>
                <w:rFonts w:ascii="Arial Narrow" w:hAnsi="Arial Narrow"/>
                <w:i/>
                <w:sz w:val="20"/>
              </w:rPr>
            </w:pPr>
            <w:r w:rsidRPr="00222597">
              <w:rPr>
                <w:rFonts w:ascii="Arial Narrow" w:hAnsi="Arial Narrow"/>
                <w:i/>
                <w:sz w:val="19"/>
                <w:szCs w:val="19"/>
              </w:rPr>
              <w:t>Net cost to PBS/RPBS</w:t>
            </w:r>
          </w:p>
        </w:tc>
        <w:tc>
          <w:tcPr>
            <w:tcW w:w="679" w:type="pct"/>
            <w:shd w:val="clear" w:color="auto" w:fill="auto"/>
          </w:tcPr>
          <w:p w:rsidR="00BB4AD9" w:rsidRPr="00222597" w:rsidRDefault="00BB4AD9" w:rsidP="006350CF">
            <w:pPr>
              <w:pStyle w:val="Tabletext"/>
              <w:ind w:right="124"/>
              <w:jc w:val="right"/>
              <w:rPr>
                <w:bCs/>
                <w:i/>
              </w:rPr>
            </w:pPr>
            <w:r w:rsidRPr="00222597">
              <w:rPr>
                <w:i/>
              </w:rPr>
              <w:t>$</w:t>
            </w:r>
            <w:r w:rsidR="001466EA">
              <w:rPr>
                <w:i/>
                <w:noProof/>
                <w:color w:val="000000"/>
                <w:highlight w:val="black"/>
              </w:rPr>
              <w:t>'''''''''''''''''''''''</w:t>
            </w:r>
          </w:p>
        </w:tc>
        <w:tc>
          <w:tcPr>
            <w:tcW w:w="679" w:type="pct"/>
            <w:shd w:val="clear" w:color="auto" w:fill="auto"/>
          </w:tcPr>
          <w:p w:rsidR="00BB4AD9" w:rsidRPr="00222597" w:rsidRDefault="00BB4AD9" w:rsidP="006350CF">
            <w:pPr>
              <w:pStyle w:val="Tabletext"/>
              <w:ind w:right="124"/>
              <w:jc w:val="right"/>
              <w:rPr>
                <w:bCs/>
                <w:i/>
              </w:rPr>
            </w:pPr>
            <w:r w:rsidRPr="00222597">
              <w:rPr>
                <w:i/>
              </w:rPr>
              <w:t>$</w:t>
            </w:r>
            <w:r w:rsidR="001466EA">
              <w:rPr>
                <w:i/>
                <w:noProof/>
                <w:color w:val="000000"/>
                <w:highlight w:val="black"/>
              </w:rPr>
              <w:t>'''''''''''''''''''''''</w:t>
            </w:r>
          </w:p>
        </w:tc>
        <w:tc>
          <w:tcPr>
            <w:tcW w:w="764" w:type="pct"/>
            <w:shd w:val="clear" w:color="auto" w:fill="auto"/>
          </w:tcPr>
          <w:p w:rsidR="00BB4AD9" w:rsidRPr="00222597" w:rsidRDefault="00BB4AD9" w:rsidP="006350CF">
            <w:pPr>
              <w:pStyle w:val="Tabletext"/>
              <w:ind w:right="124"/>
              <w:jc w:val="right"/>
              <w:rPr>
                <w:bCs/>
                <w:i/>
              </w:rPr>
            </w:pPr>
            <w:r w:rsidRPr="00222597">
              <w:rPr>
                <w:i/>
              </w:rPr>
              <w:t>$</w:t>
            </w:r>
            <w:r w:rsidR="001466EA">
              <w:rPr>
                <w:i/>
                <w:noProof/>
                <w:color w:val="000000"/>
                <w:highlight w:val="black"/>
              </w:rPr>
              <w:t>''''''''''''''''''''''</w:t>
            </w:r>
          </w:p>
        </w:tc>
        <w:tc>
          <w:tcPr>
            <w:tcW w:w="764" w:type="pct"/>
            <w:shd w:val="clear" w:color="auto" w:fill="auto"/>
          </w:tcPr>
          <w:p w:rsidR="00BB4AD9" w:rsidRPr="00222597" w:rsidRDefault="00BB4AD9" w:rsidP="006350CF">
            <w:pPr>
              <w:pStyle w:val="Tabletext"/>
              <w:ind w:right="124"/>
              <w:jc w:val="right"/>
              <w:rPr>
                <w:bCs/>
                <w:i/>
              </w:rPr>
            </w:pPr>
            <w:r w:rsidRPr="00222597">
              <w:rPr>
                <w:i/>
              </w:rPr>
              <w:t>$</w:t>
            </w:r>
            <w:r w:rsidR="001466EA">
              <w:rPr>
                <w:i/>
                <w:noProof/>
                <w:color w:val="000000"/>
                <w:highlight w:val="black"/>
              </w:rPr>
              <w:t>''''''''''''''''''''''''</w:t>
            </w:r>
          </w:p>
        </w:tc>
        <w:tc>
          <w:tcPr>
            <w:tcW w:w="754" w:type="pct"/>
            <w:shd w:val="clear" w:color="auto" w:fill="auto"/>
          </w:tcPr>
          <w:p w:rsidR="00BB4AD9" w:rsidRPr="00222597" w:rsidRDefault="00BB4AD9" w:rsidP="006350CF">
            <w:pPr>
              <w:pStyle w:val="Tabletext"/>
              <w:ind w:right="124"/>
              <w:jc w:val="right"/>
              <w:rPr>
                <w:bCs/>
                <w:i/>
              </w:rPr>
            </w:pPr>
            <w:r w:rsidRPr="00222597">
              <w:rPr>
                <w:i/>
              </w:rPr>
              <w:t>$</w:t>
            </w:r>
            <w:r w:rsidR="001466EA">
              <w:rPr>
                <w:i/>
                <w:noProof/>
                <w:color w:val="000000"/>
                <w:highlight w:val="black"/>
              </w:rPr>
              <w:t>''''''''''''''''''''''</w:t>
            </w:r>
          </w:p>
        </w:tc>
      </w:tr>
      <w:tr w:rsidR="00BB4AD9" w:rsidRPr="00222597" w:rsidTr="006350CF">
        <w:tc>
          <w:tcPr>
            <w:tcW w:w="5000" w:type="pct"/>
            <w:gridSpan w:val="6"/>
            <w:shd w:val="clear" w:color="auto" w:fill="auto"/>
            <w:vAlign w:val="center"/>
          </w:tcPr>
          <w:p w:rsidR="00BB4AD9" w:rsidRPr="00222597" w:rsidRDefault="00BB4AD9" w:rsidP="006350CF">
            <w:pPr>
              <w:jc w:val="left"/>
              <w:rPr>
                <w:rFonts w:ascii="Arial Narrow" w:hAnsi="Arial Narrow"/>
                <w:bCs/>
                <w:i/>
                <w:color w:val="000000"/>
                <w:sz w:val="20"/>
              </w:rPr>
            </w:pPr>
            <w:r w:rsidRPr="00222597">
              <w:rPr>
                <w:rFonts w:ascii="Arial Narrow" w:hAnsi="Arial Narrow"/>
                <w:bCs/>
                <w:i/>
                <w:color w:val="000000"/>
                <w:sz w:val="20"/>
              </w:rPr>
              <w:t xml:space="preserve">ii) </w:t>
            </w:r>
            <w:r w:rsidR="00222597">
              <w:rPr>
                <w:rFonts w:ascii="Arial Narrow" w:hAnsi="Arial Narrow"/>
                <w:bCs/>
                <w:i/>
                <w:color w:val="000000"/>
                <w:sz w:val="20"/>
              </w:rPr>
              <w:t>Long-term</w:t>
            </w:r>
            <w:r w:rsidRPr="00222597">
              <w:rPr>
                <w:rFonts w:ascii="Arial Narrow" w:hAnsi="Arial Narrow"/>
                <w:bCs/>
                <w:i/>
                <w:color w:val="000000"/>
                <w:sz w:val="20"/>
              </w:rPr>
              <w:t xml:space="preserve"> treatment (repeated intermittent courses)</w:t>
            </w:r>
          </w:p>
        </w:tc>
      </w:tr>
      <w:tr w:rsidR="00BB4AD9" w:rsidRPr="00222597" w:rsidTr="006350CF">
        <w:tc>
          <w:tcPr>
            <w:tcW w:w="1360" w:type="pct"/>
            <w:shd w:val="clear" w:color="auto" w:fill="auto"/>
            <w:vAlign w:val="center"/>
          </w:tcPr>
          <w:p w:rsidR="00BB4AD9" w:rsidRPr="00222597" w:rsidRDefault="00BB4AD9" w:rsidP="006350CF">
            <w:pPr>
              <w:tabs>
                <w:tab w:val="left" w:pos="142"/>
              </w:tabs>
              <w:jc w:val="left"/>
              <w:rPr>
                <w:rFonts w:ascii="Arial Narrow" w:hAnsi="Arial Narrow"/>
                <w:sz w:val="20"/>
              </w:rPr>
            </w:pPr>
            <w:r w:rsidRPr="00222597">
              <w:rPr>
                <w:rFonts w:ascii="Arial Narrow" w:hAnsi="Arial Narrow"/>
                <w:sz w:val="20"/>
              </w:rPr>
              <w:t>Number treated</w:t>
            </w:r>
          </w:p>
        </w:tc>
        <w:tc>
          <w:tcPr>
            <w:tcW w:w="679" w:type="pct"/>
            <w:shd w:val="clear" w:color="auto" w:fill="auto"/>
          </w:tcPr>
          <w:p w:rsidR="00BB4AD9" w:rsidRPr="001466EA" w:rsidRDefault="001466EA" w:rsidP="006350CF">
            <w:pPr>
              <w:jc w:val="center"/>
              <w:rPr>
                <w:rFonts w:ascii="Arial Narrow" w:hAnsi="Arial Narrow"/>
                <w:bCs/>
                <w:color w:val="000000"/>
                <w:sz w:val="20"/>
                <w:highlight w:val="black"/>
              </w:rPr>
            </w:pPr>
            <w:r>
              <w:rPr>
                <w:rFonts w:ascii="Arial Narrow" w:hAnsi="Arial Narrow"/>
                <w:noProof/>
                <w:color w:val="000000"/>
                <w:sz w:val="20"/>
                <w:highlight w:val="black"/>
                <w:lang w:eastAsia="en-AU"/>
              </w:rPr>
              <w:t>'''''''''''''</w:t>
            </w:r>
            <w:r w:rsidR="00BB4AD9" w:rsidRPr="001466EA">
              <w:rPr>
                <w:rFonts w:ascii="Arial Narrow" w:hAnsi="Arial Narrow"/>
                <w:color w:val="000000"/>
                <w:sz w:val="20"/>
                <w:highlight w:val="black"/>
                <w:lang w:eastAsia="en-AU"/>
              </w:rPr>
              <w:t xml:space="preserve"> </w:t>
            </w:r>
          </w:p>
        </w:tc>
        <w:tc>
          <w:tcPr>
            <w:tcW w:w="679" w:type="pct"/>
            <w:shd w:val="clear" w:color="auto" w:fill="auto"/>
          </w:tcPr>
          <w:p w:rsidR="00BB4AD9" w:rsidRPr="001466EA" w:rsidRDefault="001466EA" w:rsidP="006350CF">
            <w:pPr>
              <w:jc w:val="center"/>
              <w:rPr>
                <w:rFonts w:ascii="Arial Narrow" w:hAnsi="Arial Narrow"/>
                <w:bCs/>
                <w:color w:val="000000"/>
                <w:sz w:val="20"/>
                <w:highlight w:val="black"/>
              </w:rPr>
            </w:pPr>
            <w:r>
              <w:rPr>
                <w:rFonts w:ascii="Arial Narrow" w:hAnsi="Arial Narrow"/>
                <w:noProof/>
                <w:color w:val="000000"/>
                <w:sz w:val="20"/>
                <w:highlight w:val="black"/>
                <w:lang w:eastAsia="en-AU"/>
              </w:rPr>
              <w:t>'''''''''''''''</w:t>
            </w:r>
            <w:r w:rsidR="00BB4AD9" w:rsidRPr="001466EA">
              <w:rPr>
                <w:rFonts w:ascii="Arial Narrow" w:hAnsi="Arial Narrow"/>
                <w:color w:val="000000"/>
                <w:sz w:val="20"/>
                <w:highlight w:val="black"/>
                <w:lang w:eastAsia="en-AU"/>
              </w:rPr>
              <w:t xml:space="preserve"> </w:t>
            </w:r>
          </w:p>
        </w:tc>
        <w:tc>
          <w:tcPr>
            <w:tcW w:w="764" w:type="pct"/>
            <w:shd w:val="clear" w:color="auto" w:fill="auto"/>
          </w:tcPr>
          <w:p w:rsidR="00BB4AD9" w:rsidRPr="001466EA" w:rsidRDefault="001466EA" w:rsidP="006350CF">
            <w:pPr>
              <w:jc w:val="center"/>
              <w:rPr>
                <w:rFonts w:ascii="Arial Narrow" w:hAnsi="Arial Narrow"/>
                <w:bCs/>
                <w:color w:val="000000"/>
                <w:sz w:val="20"/>
                <w:highlight w:val="black"/>
              </w:rPr>
            </w:pPr>
            <w:r>
              <w:rPr>
                <w:rFonts w:ascii="Arial Narrow" w:hAnsi="Arial Narrow"/>
                <w:noProof/>
                <w:color w:val="000000"/>
                <w:sz w:val="20"/>
                <w:highlight w:val="black"/>
                <w:lang w:eastAsia="en-AU"/>
              </w:rPr>
              <w:t>'''''''''''''</w:t>
            </w:r>
            <w:r w:rsidR="00BB4AD9" w:rsidRPr="001466EA">
              <w:rPr>
                <w:rFonts w:ascii="Arial Narrow" w:hAnsi="Arial Narrow"/>
                <w:color w:val="000000"/>
                <w:sz w:val="20"/>
                <w:highlight w:val="black"/>
                <w:lang w:eastAsia="en-AU"/>
              </w:rPr>
              <w:t xml:space="preserve"> </w:t>
            </w:r>
          </w:p>
        </w:tc>
        <w:tc>
          <w:tcPr>
            <w:tcW w:w="764" w:type="pct"/>
            <w:shd w:val="clear" w:color="auto" w:fill="auto"/>
          </w:tcPr>
          <w:p w:rsidR="00BB4AD9" w:rsidRPr="001466EA" w:rsidRDefault="001466EA" w:rsidP="006350CF">
            <w:pPr>
              <w:jc w:val="center"/>
              <w:rPr>
                <w:rFonts w:ascii="Arial Narrow" w:hAnsi="Arial Narrow"/>
                <w:bCs/>
                <w:color w:val="000000"/>
                <w:sz w:val="20"/>
                <w:highlight w:val="black"/>
              </w:rPr>
            </w:pPr>
            <w:r>
              <w:rPr>
                <w:rFonts w:ascii="Arial Narrow" w:hAnsi="Arial Narrow"/>
                <w:noProof/>
                <w:color w:val="000000"/>
                <w:sz w:val="20"/>
                <w:highlight w:val="black"/>
                <w:lang w:eastAsia="en-AU"/>
              </w:rPr>
              <w:t>'''''''''''''</w:t>
            </w:r>
            <w:r w:rsidR="00BB4AD9" w:rsidRPr="001466EA">
              <w:rPr>
                <w:rFonts w:ascii="Arial Narrow" w:hAnsi="Arial Narrow"/>
                <w:color w:val="000000"/>
                <w:sz w:val="20"/>
                <w:highlight w:val="black"/>
                <w:lang w:eastAsia="en-AU"/>
              </w:rPr>
              <w:t xml:space="preserve"> </w:t>
            </w:r>
          </w:p>
        </w:tc>
        <w:tc>
          <w:tcPr>
            <w:tcW w:w="754" w:type="pct"/>
            <w:shd w:val="clear" w:color="auto" w:fill="auto"/>
          </w:tcPr>
          <w:p w:rsidR="00BB4AD9" w:rsidRPr="001466EA" w:rsidRDefault="001466EA" w:rsidP="006350CF">
            <w:pPr>
              <w:jc w:val="center"/>
              <w:rPr>
                <w:rFonts w:ascii="Arial Narrow" w:hAnsi="Arial Narrow"/>
                <w:bCs/>
                <w:color w:val="000000"/>
                <w:sz w:val="20"/>
                <w:highlight w:val="black"/>
              </w:rPr>
            </w:pPr>
            <w:r>
              <w:rPr>
                <w:rFonts w:ascii="Arial Narrow" w:hAnsi="Arial Narrow"/>
                <w:noProof/>
                <w:color w:val="000000"/>
                <w:sz w:val="20"/>
                <w:highlight w:val="black"/>
                <w:lang w:eastAsia="en-AU"/>
              </w:rPr>
              <w:t>''''''''''''''''</w:t>
            </w:r>
            <w:r w:rsidR="00BB4AD9" w:rsidRPr="001466EA">
              <w:rPr>
                <w:rFonts w:ascii="Arial Narrow" w:hAnsi="Arial Narrow"/>
                <w:color w:val="000000"/>
                <w:sz w:val="20"/>
                <w:highlight w:val="black"/>
                <w:lang w:eastAsia="en-AU"/>
              </w:rPr>
              <w:t xml:space="preserve"> </w:t>
            </w:r>
          </w:p>
        </w:tc>
      </w:tr>
      <w:tr w:rsidR="00BB4AD9" w:rsidRPr="00222597" w:rsidTr="006350CF">
        <w:tc>
          <w:tcPr>
            <w:tcW w:w="1360" w:type="pct"/>
            <w:shd w:val="clear" w:color="auto" w:fill="auto"/>
            <w:vAlign w:val="center"/>
          </w:tcPr>
          <w:p w:rsidR="00BB4AD9" w:rsidRPr="00222597" w:rsidRDefault="00BB4AD9" w:rsidP="006350CF">
            <w:pPr>
              <w:tabs>
                <w:tab w:val="left" w:pos="142"/>
              </w:tabs>
              <w:jc w:val="left"/>
              <w:rPr>
                <w:rFonts w:ascii="Arial Narrow" w:hAnsi="Arial Narrow"/>
                <w:sz w:val="20"/>
              </w:rPr>
            </w:pPr>
            <w:r w:rsidRPr="00222597">
              <w:rPr>
                <w:rFonts w:ascii="Arial Narrow" w:hAnsi="Arial Narrow"/>
                <w:sz w:val="20"/>
              </w:rPr>
              <w:t xml:space="preserve">Scripts per </w:t>
            </w:r>
            <w:proofErr w:type="spellStart"/>
            <w:r w:rsidRPr="00222597">
              <w:rPr>
                <w:rFonts w:ascii="Arial Narrow" w:hAnsi="Arial Narrow"/>
                <w:sz w:val="20"/>
              </w:rPr>
              <w:t>year</w:t>
            </w:r>
            <w:r w:rsidRPr="00222597">
              <w:rPr>
                <w:rFonts w:ascii="Arial Narrow" w:hAnsi="Arial Narrow"/>
                <w:sz w:val="20"/>
                <w:vertAlign w:val="superscript"/>
              </w:rPr>
              <w:t>a</w:t>
            </w:r>
            <w:proofErr w:type="spellEnd"/>
          </w:p>
        </w:tc>
        <w:tc>
          <w:tcPr>
            <w:tcW w:w="679" w:type="pct"/>
            <w:shd w:val="clear" w:color="auto" w:fill="auto"/>
          </w:tcPr>
          <w:p w:rsidR="00BB4AD9" w:rsidRPr="001466EA" w:rsidRDefault="001466EA" w:rsidP="006350CF">
            <w:pPr>
              <w:jc w:val="center"/>
              <w:rPr>
                <w:rFonts w:ascii="Arial Narrow" w:hAnsi="Arial Narrow"/>
                <w:bCs/>
                <w:color w:val="000000"/>
                <w:sz w:val="20"/>
                <w:highlight w:val="black"/>
              </w:rPr>
            </w:pPr>
            <w:r>
              <w:rPr>
                <w:rFonts w:ascii="Arial Narrow" w:hAnsi="Arial Narrow"/>
                <w:noProof/>
                <w:color w:val="000000"/>
                <w:sz w:val="20"/>
                <w:highlight w:val="black"/>
                <w:lang w:eastAsia="en-AU"/>
              </w:rPr>
              <w:t>'''''''''''''''''</w:t>
            </w:r>
            <w:r w:rsidR="00BB4AD9" w:rsidRPr="001466EA">
              <w:rPr>
                <w:rFonts w:ascii="Arial Narrow" w:hAnsi="Arial Narrow"/>
                <w:color w:val="000000"/>
                <w:sz w:val="20"/>
                <w:highlight w:val="black"/>
                <w:lang w:eastAsia="en-AU"/>
              </w:rPr>
              <w:t xml:space="preserve"> </w:t>
            </w:r>
          </w:p>
        </w:tc>
        <w:tc>
          <w:tcPr>
            <w:tcW w:w="679" w:type="pct"/>
            <w:shd w:val="clear" w:color="auto" w:fill="auto"/>
          </w:tcPr>
          <w:p w:rsidR="00BB4AD9" w:rsidRPr="001466EA" w:rsidRDefault="001466EA" w:rsidP="006350CF">
            <w:pPr>
              <w:jc w:val="center"/>
              <w:rPr>
                <w:rFonts w:ascii="Arial Narrow" w:hAnsi="Arial Narrow"/>
                <w:bCs/>
                <w:color w:val="000000"/>
                <w:sz w:val="20"/>
                <w:highlight w:val="black"/>
              </w:rPr>
            </w:pPr>
            <w:r>
              <w:rPr>
                <w:rFonts w:ascii="Arial Narrow" w:hAnsi="Arial Narrow"/>
                <w:noProof/>
                <w:color w:val="000000"/>
                <w:sz w:val="20"/>
                <w:highlight w:val="black"/>
                <w:lang w:eastAsia="en-AU"/>
              </w:rPr>
              <w:t>''''''''''''''''''</w:t>
            </w:r>
            <w:r w:rsidR="00BB4AD9" w:rsidRPr="001466EA">
              <w:rPr>
                <w:rFonts w:ascii="Arial Narrow" w:hAnsi="Arial Narrow"/>
                <w:color w:val="000000"/>
                <w:sz w:val="20"/>
                <w:highlight w:val="black"/>
                <w:lang w:eastAsia="en-AU"/>
              </w:rPr>
              <w:t xml:space="preserve"> </w:t>
            </w:r>
          </w:p>
        </w:tc>
        <w:tc>
          <w:tcPr>
            <w:tcW w:w="764" w:type="pct"/>
            <w:shd w:val="clear" w:color="auto" w:fill="auto"/>
          </w:tcPr>
          <w:p w:rsidR="00BB4AD9" w:rsidRPr="001466EA" w:rsidRDefault="001466EA" w:rsidP="006350CF">
            <w:pPr>
              <w:jc w:val="center"/>
              <w:rPr>
                <w:rFonts w:ascii="Arial Narrow" w:hAnsi="Arial Narrow"/>
                <w:bCs/>
                <w:color w:val="000000"/>
                <w:sz w:val="20"/>
                <w:highlight w:val="black"/>
              </w:rPr>
            </w:pPr>
            <w:r>
              <w:rPr>
                <w:rFonts w:ascii="Arial Narrow" w:hAnsi="Arial Narrow"/>
                <w:noProof/>
                <w:color w:val="000000"/>
                <w:sz w:val="20"/>
                <w:highlight w:val="black"/>
                <w:lang w:eastAsia="en-AU"/>
              </w:rPr>
              <w:t>''''''''''''''''</w:t>
            </w:r>
            <w:r w:rsidR="00BB4AD9" w:rsidRPr="001466EA">
              <w:rPr>
                <w:rFonts w:ascii="Arial Narrow" w:hAnsi="Arial Narrow"/>
                <w:color w:val="000000"/>
                <w:sz w:val="20"/>
                <w:highlight w:val="black"/>
                <w:lang w:eastAsia="en-AU"/>
              </w:rPr>
              <w:t xml:space="preserve"> </w:t>
            </w:r>
          </w:p>
        </w:tc>
        <w:tc>
          <w:tcPr>
            <w:tcW w:w="764" w:type="pct"/>
            <w:shd w:val="clear" w:color="auto" w:fill="auto"/>
          </w:tcPr>
          <w:p w:rsidR="00BB4AD9" w:rsidRPr="001466EA" w:rsidRDefault="001466EA" w:rsidP="006350CF">
            <w:pPr>
              <w:jc w:val="center"/>
              <w:rPr>
                <w:rFonts w:ascii="Arial Narrow" w:hAnsi="Arial Narrow"/>
                <w:bCs/>
                <w:color w:val="000000"/>
                <w:sz w:val="20"/>
                <w:highlight w:val="black"/>
              </w:rPr>
            </w:pPr>
            <w:r>
              <w:rPr>
                <w:rFonts w:ascii="Arial Narrow" w:hAnsi="Arial Narrow"/>
                <w:noProof/>
                <w:color w:val="000000"/>
                <w:sz w:val="20"/>
                <w:highlight w:val="black"/>
                <w:lang w:eastAsia="en-AU"/>
              </w:rPr>
              <w:t>'''''''''''''''</w:t>
            </w:r>
            <w:r w:rsidR="00BB4AD9" w:rsidRPr="001466EA">
              <w:rPr>
                <w:rFonts w:ascii="Arial Narrow" w:hAnsi="Arial Narrow"/>
                <w:color w:val="000000"/>
                <w:sz w:val="20"/>
                <w:highlight w:val="black"/>
                <w:lang w:eastAsia="en-AU"/>
              </w:rPr>
              <w:t xml:space="preserve"> </w:t>
            </w:r>
          </w:p>
        </w:tc>
        <w:tc>
          <w:tcPr>
            <w:tcW w:w="754" w:type="pct"/>
            <w:shd w:val="clear" w:color="auto" w:fill="auto"/>
          </w:tcPr>
          <w:p w:rsidR="00BB4AD9" w:rsidRPr="001466EA" w:rsidRDefault="001466EA" w:rsidP="006350CF">
            <w:pPr>
              <w:jc w:val="center"/>
              <w:rPr>
                <w:rFonts w:ascii="Arial Narrow" w:hAnsi="Arial Narrow"/>
                <w:bCs/>
                <w:color w:val="000000"/>
                <w:sz w:val="20"/>
                <w:highlight w:val="black"/>
              </w:rPr>
            </w:pPr>
            <w:r>
              <w:rPr>
                <w:rFonts w:ascii="Arial Narrow" w:hAnsi="Arial Narrow"/>
                <w:noProof/>
                <w:color w:val="000000"/>
                <w:sz w:val="20"/>
                <w:highlight w:val="black"/>
                <w:lang w:eastAsia="en-AU"/>
              </w:rPr>
              <w:t>'''''''''''''''''''</w:t>
            </w:r>
            <w:r w:rsidR="00BB4AD9" w:rsidRPr="001466EA">
              <w:rPr>
                <w:rFonts w:ascii="Arial Narrow" w:hAnsi="Arial Narrow"/>
                <w:color w:val="000000"/>
                <w:sz w:val="20"/>
                <w:highlight w:val="black"/>
                <w:lang w:eastAsia="en-AU"/>
              </w:rPr>
              <w:t xml:space="preserve"> </w:t>
            </w:r>
          </w:p>
        </w:tc>
      </w:tr>
      <w:tr w:rsidR="00BB4AD9" w:rsidRPr="00222597" w:rsidTr="006350CF">
        <w:tc>
          <w:tcPr>
            <w:tcW w:w="5000" w:type="pct"/>
            <w:gridSpan w:val="6"/>
            <w:shd w:val="clear" w:color="auto" w:fill="auto"/>
            <w:vAlign w:val="center"/>
          </w:tcPr>
          <w:p w:rsidR="00BB4AD9" w:rsidRPr="00222597" w:rsidRDefault="00BB4AD9" w:rsidP="006350CF">
            <w:pPr>
              <w:jc w:val="left"/>
              <w:rPr>
                <w:rFonts w:ascii="Arial Narrow" w:hAnsi="Arial Narrow"/>
                <w:bCs/>
                <w:color w:val="000000"/>
                <w:sz w:val="20"/>
              </w:rPr>
            </w:pPr>
            <w:r w:rsidRPr="00222597">
              <w:rPr>
                <w:rFonts w:ascii="Arial Narrow" w:hAnsi="Arial Narrow"/>
                <w:bCs/>
                <w:color w:val="000000"/>
                <w:sz w:val="20"/>
              </w:rPr>
              <w:t>Estimated net cost to PBS/RPBS (</w:t>
            </w:r>
            <w:r w:rsidR="00222597">
              <w:rPr>
                <w:rFonts w:ascii="Arial Narrow" w:hAnsi="Arial Narrow"/>
                <w:bCs/>
                <w:color w:val="000000"/>
                <w:sz w:val="20"/>
              </w:rPr>
              <w:t>long-term</w:t>
            </w:r>
            <w:r w:rsidRPr="00222597">
              <w:rPr>
                <w:rFonts w:ascii="Arial Narrow" w:hAnsi="Arial Narrow"/>
                <w:bCs/>
                <w:color w:val="000000"/>
                <w:sz w:val="20"/>
              </w:rPr>
              <w:t xml:space="preserve"> patients)</w:t>
            </w:r>
          </w:p>
        </w:tc>
      </w:tr>
      <w:tr w:rsidR="00BB4AD9" w:rsidRPr="00222597" w:rsidTr="006350CF">
        <w:tc>
          <w:tcPr>
            <w:tcW w:w="1360" w:type="pct"/>
            <w:shd w:val="clear" w:color="auto" w:fill="auto"/>
            <w:vAlign w:val="center"/>
          </w:tcPr>
          <w:p w:rsidR="00BB4AD9" w:rsidRPr="00222597" w:rsidRDefault="00BB4AD9" w:rsidP="006350CF">
            <w:pPr>
              <w:tabs>
                <w:tab w:val="left" w:pos="142"/>
              </w:tabs>
              <w:jc w:val="left"/>
              <w:rPr>
                <w:rFonts w:ascii="Arial Narrow" w:hAnsi="Arial Narrow"/>
                <w:i/>
                <w:sz w:val="20"/>
              </w:rPr>
            </w:pPr>
            <w:r w:rsidRPr="00222597">
              <w:rPr>
                <w:rFonts w:ascii="Arial Narrow" w:hAnsi="Arial Narrow"/>
                <w:i/>
                <w:sz w:val="19"/>
                <w:szCs w:val="19"/>
              </w:rPr>
              <w:t>Net cost to PBS/RPBS</w:t>
            </w:r>
          </w:p>
        </w:tc>
        <w:tc>
          <w:tcPr>
            <w:tcW w:w="679" w:type="pct"/>
            <w:shd w:val="clear" w:color="auto" w:fill="auto"/>
            <w:vAlign w:val="bottom"/>
          </w:tcPr>
          <w:p w:rsidR="00BB4AD9" w:rsidRPr="00222597" w:rsidRDefault="00BB4AD9" w:rsidP="006350CF">
            <w:pPr>
              <w:pStyle w:val="Tabletext"/>
              <w:ind w:right="124"/>
              <w:jc w:val="right"/>
              <w:rPr>
                <w:bCs/>
                <w:i/>
              </w:rPr>
            </w:pPr>
            <w:r w:rsidRPr="00222597">
              <w:rPr>
                <w:i/>
                <w:color w:val="000000"/>
              </w:rPr>
              <w:t>$</w:t>
            </w:r>
            <w:r w:rsidR="001466EA">
              <w:rPr>
                <w:i/>
                <w:noProof/>
                <w:color w:val="000000"/>
                <w:highlight w:val="black"/>
              </w:rPr>
              <w:t>'''''''''''''''''''''''''</w:t>
            </w:r>
          </w:p>
        </w:tc>
        <w:tc>
          <w:tcPr>
            <w:tcW w:w="679" w:type="pct"/>
            <w:shd w:val="clear" w:color="auto" w:fill="auto"/>
            <w:vAlign w:val="bottom"/>
          </w:tcPr>
          <w:p w:rsidR="00BB4AD9" w:rsidRPr="00222597" w:rsidRDefault="00BB4AD9" w:rsidP="006350CF">
            <w:pPr>
              <w:pStyle w:val="Tabletext"/>
              <w:ind w:right="124"/>
              <w:jc w:val="right"/>
              <w:rPr>
                <w:bCs/>
                <w:i/>
              </w:rPr>
            </w:pPr>
            <w:r w:rsidRPr="00222597">
              <w:rPr>
                <w:i/>
                <w:color w:val="000000"/>
              </w:rPr>
              <w:t>$</w:t>
            </w:r>
            <w:r w:rsidR="001466EA">
              <w:rPr>
                <w:i/>
                <w:noProof/>
                <w:color w:val="000000"/>
                <w:highlight w:val="black"/>
              </w:rPr>
              <w:t>''''''''''''''''''''''</w:t>
            </w:r>
          </w:p>
        </w:tc>
        <w:tc>
          <w:tcPr>
            <w:tcW w:w="764" w:type="pct"/>
            <w:shd w:val="clear" w:color="auto" w:fill="auto"/>
            <w:vAlign w:val="bottom"/>
          </w:tcPr>
          <w:p w:rsidR="00BB4AD9" w:rsidRPr="00222597" w:rsidRDefault="00BB4AD9" w:rsidP="006350CF">
            <w:pPr>
              <w:pStyle w:val="Tabletext"/>
              <w:ind w:right="124"/>
              <w:jc w:val="right"/>
              <w:rPr>
                <w:bCs/>
                <w:i/>
              </w:rPr>
            </w:pPr>
            <w:r w:rsidRPr="00222597">
              <w:rPr>
                <w:i/>
                <w:color w:val="000000"/>
              </w:rPr>
              <w:t>$</w:t>
            </w:r>
            <w:r w:rsidR="001466EA">
              <w:rPr>
                <w:i/>
                <w:noProof/>
                <w:color w:val="000000"/>
                <w:highlight w:val="black"/>
              </w:rPr>
              <w:t>'''''''''''''''''''''''''</w:t>
            </w:r>
          </w:p>
        </w:tc>
        <w:tc>
          <w:tcPr>
            <w:tcW w:w="764" w:type="pct"/>
            <w:shd w:val="clear" w:color="auto" w:fill="auto"/>
            <w:vAlign w:val="bottom"/>
          </w:tcPr>
          <w:p w:rsidR="00BB4AD9" w:rsidRPr="00222597" w:rsidRDefault="00BB4AD9" w:rsidP="006350CF">
            <w:pPr>
              <w:pStyle w:val="Tabletext"/>
              <w:ind w:right="124"/>
              <w:jc w:val="right"/>
              <w:rPr>
                <w:bCs/>
                <w:i/>
              </w:rPr>
            </w:pPr>
            <w:r w:rsidRPr="00222597">
              <w:rPr>
                <w:i/>
                <w:color w:val="000000"/>
              </w:rPr>
              <w:t>$</w:t>
            </w:r>
            <w:r w:rsidR="001466EA">
              <w:rPr>
                <w:i/>
                <w:noProof/>
                <w:color w:val="000000"/>
                <w:highlight w:val="black"/>
              </w:rPr>
              <w:t>''''''''''''''''''''''''</w:t>
            </w:r>
          </w:p>
        </w:tc>
        <w:tc>
          <w:tcPr>
            <w:tcW w:w="754" w:type="pct"/>
            <w:shd w:val="clear" w:color="auto" w:fill="auto"/>
            <w:vAlign w:val="bottom"/>
          </w:tcPr>
          <w:p w:rsidR="00BB4AD9" w:rsidRPr="00222597" w:rsidRDefault="00BB4AD9" w:rsidP="006350CF">
            <w:pPr>
              <w:pStyle w:val="Tabletext"/>
              <w:ind w:right="124"/>
              <w:jc w:val="right"/>
              <w:rPr>
                <w:bCs/>
                <w:i/>
              </w:rPr>
            </w:pPr>
            <w:r w:rsidRPr="00222597">
              <w:rPr>
                <w:i/>
                <w:color w:val="000000"/>
              </w:rPr>
              <w:t>$</w:t>
            </w:r>
            <w:r w:rsidR="001466EA">
              <w:rPr>
                <w:i/>
                <w:noProof/>
                <w:color w:val="000000"/>
                <w:highlight w:val="black"/>
              </w:rPr>
              <w:t>'''''''''''''''''''''''''''</w:t>
            </w:r>
          </w:p>
        </w:tc>
      </w:tr>
      <w:tr w:rsidR="00BB4AD9" w:rsidRPr="00222597" w:rsidTr="006350CF">
        <w:tc>
          <w:tcPr>
            <w:tcW w:w="5000" w:type="pct"/>
            <w:gridSpan w:val="6"/>
            <w:tcBorders>
              <w:bottom w:val="single" w:sz="4" w:space="0" w:color="auto"/>
            </w:tcBorders>
            <w:shd w:val="clear" w:color="auto" w:fill="auto"/>
            <w:vAlign w:val="center"/>
          </w:tcPr>
          <w:p w:rsidR="00BB4AD9" w:rsidRPr="00222597" w:rsidRDefault="00BB4AD9" w:rsidP="006350CF">
            <w:pPr>
              <w:jc w:val="left"/>
              <w:rPr>
                <w:rFonts w:ascii="Arial Narrow" w:hAnsi="Arial Narrow"/>
                <w:b/>
                <w:color w:val="000000"/>
                <w:sz w:val="20"/>
              </w:rPr>
            </w:pPr>
            <w:r w:rsidRPr="00222597">
              <w:rPr>
                <w:rFonts w:ascii="Arial Narrow" w:hAnsi="Arial Narrow"/>
                <w:b/>
                <w:color w:val="000000"/>
                <w:sz w:val="20"/>
              </w:rPr>
              <w:t xml:space="preserve">Estimated total net cost for </w:t>
            </w:r>
            <w:proofErr w:type="spellStart"/>
            <w:r w:rsidRPr="00222597">
              <w:rPr>
                <w:rFonts w:ascii="Arial Narrow" w:hAnsi="Arial Narrow"/>
                <w:b/>
                <w:color w:val="000000"/>
                <w:sz w:val="20"/>
              </w:rPr>
              <w:t>ulipristal</w:t>
            </w:r>
            <w:proofErr w:type="spellEnd"/>
            <w:r w:rsidRPr="00222597">
              <w:rPr>
                <w:rFonts w:ascii="Arial Narrow" w:hAnsi="Arial Narrow"/>
                <w:b/>
                <w:color w:val="000000"/>
                <w:sz w:val="20"/>
              </w:rPr>
              <w:t xml:space="preserve"> </w:t>
            </w:r>
          </w:p>
        </w:tc>
      </w:tr>
      <w:tr w:rsidR="00BB4AD9" w:rsidRPr="00222597" w:rsidTr="006350CF">
        <w:tc>
          <w:tcPr>
            <w:tcW w:w="1360" w:type="pct"/>
            <w:tcBorders>
              <w:bottom w:val="double" w:sz="4" w:space="0" w:color="auto"/>
            </w:tcBorders>
            <w:shd w:val="clear" w:color="auto" w:fill="auto"/>
            <w:vAlign w:val="center"/>
          </w:tcPr>
          <w:p w:rsidR="00BB4AD9" w:rsidRPr="00222597" w:rsidRDefault="00BB4AD9" w:rsidP="006350CF">
            <w:pPr>
              <w:tabs>
                <w:tab w:val="left" w:pos="142"/>
              </w:tabs>
              <w:jc w:val="left"/>
              <w:rPr>
                <w:rFonts w:ascii="Arial Narrow" w:hAnsi="Arial Narrow"/>
                <w:b/>
                <w:sz w:val="20"/>
              </w:rPr>
            </w:pPr>
            <w:r w:rsidRPr="00222597">
              <w:rPr>
                <w:rFonts w:ascii="Arial Narrow" w:hAnsi="Arial Narrow"/>
                <w:b/>
                <w:bCs/>
                <w:color w:val="000000"/>
                <w:sz w:val="20"/>
              </w:rPr>
              <w:t>Net cost to PBS/RPBS</w:t>
            </w:r>
          </w:p>
        </w:tc>
        <w:tc>
          <w:tcPr>
            <w:tcW w:w="679" w:type="pct"/>
            <w:tcBorders>
              <w:bottom w:val="double" w:sz="4" w:space="0" w:color="auto"/>
            </w:tcBorders>
            <w:shd w:val="clear" w:color="auto" w:fill="auto"/>
          </w:tcPr>
          <w:p w:rsidR="00BB4AD9" w:rsidRPr="00222597" w:rsidRDefault="00BB4AD9" w:rsidP="006350CF">
            <w:pPr>
              <w:jc w:val="right"/>
              <w:rPr>
                <w:rFonts w:ascii="Arial Narrow" w:hAnsi="Arial Narrow"/>
                <w:color w:val="000000"/>
                <w:sz w:val="20"/>
              </w:rPr>
            </w:pPr>
            <w:r w:rsidRPr="00222597">
              <w:rPr>
                <w:rFonts w:ascii="Arial Narrow" w:hAnsi="Arial Narrow"/>
                <w:b/>
                <w:color w:val="000000"/>
                <w:sz w:val="20"/>
                <w:lang w:eastAsia="en-AU"/>
              </w:rPr>
              <w:t>$</w:t>
            </w:r>
            <w:r w:rsidR="001466EA">
              <w:rPr>
                <w:rFonts w:ascii="Arial Narrow" w:hAnsi="Arial Narrow"/>
                <w:b/>
                <w:noProof/>
                <w:color w:val="000000"/>
                <w:sz w:val="20"/>
                <w:highlight w:val="black"/>
                <w:lang w:eastAsia="en-AU"/>
              </w:rPr>
              <w:t>'''''''''''''''''''''</w:t>
            </w:r>
          </w:p>
        </w:tc>
        <w:tc>
          <w:tcPr>
            <w:tcW w:w="679" w:type="pct"/>
            <w:tcBorders>
              <w:bottom w:val="double" w:sz="4" w:space="0" w:color="auto"/>
            </w:tcBorders>
            <w:shd w:val="clear" w:color="auto" w:fill="auto"/>
          </w:tcPr>
          <w:p w:rsidR="00BB4AD9" w:rsidRPr="00222597" w:rsidRDefault="00BB4AD9" w:rsidP="006350CF">
            <w:pPr>
              <w:jc w:val="right"/>
              <w:rPr>
                <w:rFonts w:ascii="Arial Narrow" w:hAnsi="Arial Narrow"/>
                <w:color w:val="000000"/>
                <w:sz w:val="20"/>
              </w:rPr>
            </w:pPr>
            <w:r w:rsidRPr="00222597">
              <w:rPr>
                <w:rFonts w:ascii="Arial Narrow" w:hAnsi="Arial Narrow"/>
                <w:b/>
                <w:color w:val="000000"/>
                <w:sz w:val="20"/>
                <w:lang w:eastAsia="en-AU"/>
              </w:rPr>
              <w:t>$</w:t>
            </w:r>
            <w:r w:rsidR="001466EA">
              <w:rPr>
                <w:rFonts w:ascii="Arial Narrow" w:hAnsi="Arial Narrow"/>
                <w:b/>
                <w:noProof/>
                <w:color w:val="000000"/>
                <w:sz w:val="20"/>
                <w:highlight w:val="black"/>
                <w:lang w:eastAsia="en-AU"/>
              </w:rPr>
              <w:t>'''''''''''''''''''</w:t>
            </w:r>
          </w:p>
        </w:tc>
        <w:tc>
          <w:tcPr>
            <w:tcW w:w="764" w:type="pct"/>
            <w:tcBorders>
              <w:bottom w:val="double" w:sz="4" w:space="0" w:color="auto"/>
            </w:tcBorders>
            <w:shd w:val="clear" w:color="auto" w:fill="auto"/>
          </w:tcPr>
          <w:p w:rsidR="00BB4AD9" w:rsidRPr="00222597" w:rsidRDefault="00BB4AD9" w:rsidP="006350CF">
            <w:pPr>
              <w:jc w:val="right"/>
              <w:rPr>
                <w:rFonts w:ascii="Arial Narrow" w:hAnsi="Arial Narrow"/>
                <w:color w:val="000000"/>
                <w:sz w:val="20"/>
              </w:rPr>
            </w:pPr>
            <w:r w:rsidRPr="00222597">
              <w:rPr>
                <w:rFonts w:ascii="Arial Narrow" w:hAnsi="Arial Narrow"/>
                <w:b/>
                <w:color w:val="000000"/>
                <w:sz w:val="20"/>
                <w:lang w:eastAsia="en-AU"/>
              </w:rPr>
              <w:t>$</w:t>
            </w:r>
            <w:r w:rsidR="001466EA">
              <w:rPr>
                <w:rFonts w:ascii="Arial Narrow" w:hAnsi="Arial Narrow"/>
                <w:b/>
                <w:noProof/>
                <w:color w:val="000000"/>
                <w:sz w:val="20"/>
                <w:highlight w:val="black"/>
                <w:lang w:eastAsia="en-AU"/>
              </w:rPr>
              <w:t>'''''''''''''''''''''</w:t>
            </w:r>
          </w:p>
        </w:tc>
        <w:tc>
          <w:tcPr>
            <w:tcW w:w="764" w:type="pct"/>
            <w:tcBorders>
              <w:bottom w:val="double" w:sz="4" w:space="0" w:color="auto"/>
            </w:tcBorders>
            <w:shd w:val="clear" w:color="auto" w:fill="auto"/>
          </w:tcPr>
          <w:p w:rsidR="00BB4AD9" w:rsidRPr="00222597" w:rsidRDefault="00BB4AD9" w:rsidP="006350CF">
            <w:pPr>
              <w:jc w:val="right"/>
              <w:rPr>
                <w:rFonts w:ascii="Arial Narrow" w:hAnsi="Arial Narrow"/>
                <w:color w:val="000000"/>
                <w:sz w:val="20"/>
              </w:rPr>
            </w:pPr>
            <w:r w:rsidRPr="00222597">
              <w:rPr>
                <w:rFonts w:ascii="Arial Narrow" w:hAnsi="Arial Narrow"/>
                <w:b/>
                <w:color w:val="000000"/>
                <w:sz w:val="20"/>
                <w:lang w:eastAsia="en-AU"/>
              </w:rPr>
              <w:t>$</w:t>
            </w:r>
            <w:r w:rsidR="001466EA">
              <w:rPr>
                <w:rFonts w:ascii="Arial Narrow" w:hAnsi="Arial Narrow"/>
                <w:b/>
                <w:noProof/>
                <w:color w:val="000000"/>
                <w:sz w:val="20"/>
                <w:highlight w:val="black"/>
                <w:lang w:eastAsia="en-AU"/>
              </w:rPr>
              <w:t>'''''''''''''''''''</w:t>
            </w:r>
          </w:p>
        </w:tc>
        <w:tc>
          <w:tcPr>
            <w:tcW w:w="754" w:type="pct"/>
            <w:tcBorders>
              <w:bottom w:val="double" w:sz="4" w:space="0" w:color="auto"/>
            </w:tcBorders>
            <w:shd w:val="clear" w:color="auto" w:fill="auto"/>
          </w:tcPr>
          <w:p w:rsidR="00BB4AD9" w:rsidRPr="00222597" w:rsidRDefault="00BB4AD9" w:rsidP="006350CF">
            <w:pPr>
              <w:jc w:val="right"/>
              <w:rPr>
                <w:rFonts w:ascii="Arial Narrow" w:hAnsi="Arial Narrow"/>
                <w:color w:val="000000"/>
                <w:sz w:val="20"/>
              </w:rPr>
            </w:pPr>
            <w:r w:rsidRPr="00222597">
              <w:rPr>
                <w:rFonts w:ascii="Arial Narrow" w:hAnsi="Arial Narrow"/>
                <w:b/>
                <w:color w:val="000000"/>
                <w:sz w:val="20"/>
                <w:lang w:eastAsia="en-AU"/>
              </w:rPr>
              <w:t>$</w:t>
            </w:r>
            <w:r w:rsidR="001466EA">
              <w:rPr>
                <w:rFonts w:ascii="Arial Narrow" w:hAnsi="Arial Narrow"/>
                <w:b/>
                <w:noProof/>
                <w:color w:val="000000"/>
                <w:sz w:val="20"/>
                <w:highlight w:val="black"/>
                <w:lang w:eastAsia="en-AU"/>
              </w:rPr>
              <w:t>'''''''''''''''''''''</w:t>
            </w:r>
          </w:p>
        </w:tc>
      </w:tr>
      <w:tr w:rsidR="00BB4AD9" w:rsidRPr="00222597" w:rsidTr="006350CF">
        <w:tc>
          <w:tcPr>
            <w:tcW w:w="5000" w:type="pct"/>
            <w:gridSpan w:val="6"/>
            <w:tcBorders>
              <w:top w:val="double" w:sz="4" w:space="0" w:color="auto"/>
            </w:tcBorders>
            <w:shd w:val="clear" w:color="auto" w:fill="auto"/>
          </w:tcPr>
          <w:p w:rsidR="00BB4AD9" w:rsidRPr="00222597" w:rsidRDefault="00BB4AD9" w:rsidP="006350CF">
            <w:pPr>
              <w:jc w:val="left"/>
              <w:rPr>
                <w:rFonts w:ascii="Arial Narrow" w:hAnsi="Arial Narrow"/>
                <w:b/>
                <w:color w:val="000000"/>
                <w:sz w:val="20"/>
                <w:lang w:eastAsia="en-AU"/>
              </w:rPr>
            </w:pPr>
            <w:r w:rsidRPr="00222597">
              <w:rPr>
                <w:rFonts w:ascii="Arial Narrow" w:hAnsi="Arial Narrow"/>
                <w:b/>
                <w:bCs/>
                <w:color w:val="000000"/>
                <w:sz w:val="20"/>
              </w:rPr>
              <w:t>Cost-offsets</w:t>
            </w:r>
          </w:p>
        </w:tc>
      </w:tr>
      <w:tr w:rsidR="00BB4AD9" w:rsidRPr="00222597" w:rsidTr="006350CF">
        <w:tc>
          <w:tcPr>
            <w:tcW w:w="1360" w:type="pct"/>
            <w:tcBorders>
              <w:bottom w:val="single" w:sz="4" w:space="0" w:color="auto"/>
            </w:tcBorders>
            <w:shd w:val="clear" w:color="auto" w:fill="auto"/>
            <w:vAlign w:val="center"/>
          </w:tcPr>
          <w:p w:rsidR="00BB4AD9" w:rsidRPr="00222597" w:rsidRDefault="00BB4AD9" w:rsidP="006350CF">
            <w:pPr>
              <w:tabs>
                <w:tab w:val="left" w:pos="142"/>
              </w:tabs>
              <w:jc w:val="left"/>
              <w:rPr>
                <w:rFonts w:ascii="Arial Narrow" w:hAnsi="Arial Narrow"/>
                <w:bCs/>
                <w:color w:val="000000"/>
                <w:sz w:val="20"/>
              </w:rPr>
            </w:pPr>
            <w:proofErr w:type="spellStart"/>
            <w:r w:rsidRPr="00222597">
              <w:rPr>
                <w:rFonts w:ascii="Arial Narrow" w:hAnsi="Arial Narrow"/>
                <w:bCs/>
                <w:color w:val="000000"/>
                <w:sz w:val="20"/>
              </w:rPr>
              <w:t>Goserelin</w:t>
            </w:r>
            <w:proofErr w:type="spellEnd"/>
          </w:p>
        </w:tc>
        <w:tc>
          <w:tcPr>
            <w:tcW w:w="679" w:type="pct"/>
            <w:tcBorders>
              <w:bottom w:val="single" w:sz="4" w:space="0" w:color="auto"/>
            </w:tcBorders>
            <w:shd w:val="clear" w:color="auto" w:fill="auto"/>
          </w:tcPr>
          <w:p w:rsidR="00BB4AD9" w:rsidRPr="00222597" w:rsidRDefault="00BB4AD9" w:rsidP="006350CF">
            <w:pPr>
              <w:jc w:val="right"/>
              <w:rPr>
                <w:rFonts w:ascii="Arial Narrow" w:hAnsi="Arial Narrow"/>
                <w:color w:val="000000"/>
                <w:sz w:val="20"/>
                <w:lang w:eastAsia="en-AU"/>
              </w:rPr>
            </w:pPr>
            <w:r w:rsidRPr="00222597">
              <w:rPr>
                <w:rFonts w:ascii="Arial Narrow" w:hAnsi="Arial Narrow"/>
                <w:color w:val="000000"/>
                <w:sz w:val="20"/>
              </w:rPr>
              <w:t>$</w:t>
            </w:r>
            <w:r w:rsidR="001466EA">
              <w:rPr>
                <w:rFonts w:ascii="Arial Narrow" w:hAnsi="Arial Narrow"/>
                <w:noProof/>
                <w:color w:val="000000"/>
                <w:sz w:val="20"/>
                <w:highlight w:val="black"/>
              </w:rPr>
              <w:t>'''''''''''''''''''''''''</w:t>
            </w:r>
          </w:p>
        </w:tc>
        <w:tc>
          <w:tcPr>
            <w:tcW w:w="679" w:type="pct"/>
            <w:tcBorders>
              <w:bottom w:val="single" w:sz="4" w:space="0" w:color="auto"/>
            </w:tcBorders>
            <w:shd w:val="clear" w:color="auto" w:fill="auto"/>
          </w:tcPr>
          <w:p w:rsidR="00BB4AD9" w:rsidRPr="00222597" w:rsidRDefault="00BB4AD9" w:rsidP="006350CF">
            <w:pPr>
              <w:jc w:val="right"/>
              <w:rPr>
                <w:rFonts w:ascii="Arial Narrow" w:hAnsi="Arial Narrow"/>
                <w:color w:val="000000"/>
                <w:sz w:val="20"/>
                <w:lang w:eastAsia="en-AU"/>
              </w:rPr>
            </w:pPr>
            <w:r w:rsidRPr="00222597">
              <w:rPr>
                <w:rFonts w:ascii="Arial Narrow" w:hAnsi="Arial Narrow"/>
                <w:color w:val="000000"/>
                <w:sz w:val="20"/>
              </w:rPr>
              <w:t>$</w:t>
            </w:r>
            <w:r w:rsidR="001466EA">
              <w:rPr>
                <w:rFonts w:ascii="Arial Narrow" w:hAnsi="Arial Narrow"/>
                <w:noProof/>
                <w:color w:val="000000"/>
                <w:sz w:val="20"/>
                <w:highlight w:val="black"/>
              </w:rPr>
              <w:t>'''''''''''''''''''''''''</w:t>
            </w:r>
          </w:p>
        </w:tc>
        <w:tc>
          <w:tcPr>
            <w:tcW w:w="764" w:type="pct"/>
            <w:tcBorders>
              <w:bottom w:val="single" w:sz="4" w:space="0" w:color="auto"/>
            </w:tcBorders>
            <w:shd w:val="clear" w:color="auto" w:fill="auto"/>
          </w:tcPr>
          <w:p w:rsidR="00BB4AD9" w:rsidRPr="00222597" w:rsidRDefault="00BB4AD9" w:rsidP="006350CF">
            <w:pPr>
              <w:jc w:val="right"/>
              <w:rPr>
                <w:rFonts w:ascii="Arial Narrow" w:hAnsi="Arial Narrow"/>
                <w:color w:val="000000"/>
                <w:sz w:val="20"/>
                <w:lang w:eastAsia="en-AU"/>
              </w:rPr>
            </w:pPr>
            <w:r w:rsidRPr="00222597">
              <w:rPr>
                <w:rFonts w:ascii="Arial Narrow" w:hAnsi="Arial Narrow"/>
                <w:color w:val="000000"/>
                <w:sz w:val="20"/>
              </w:rPr>
              <w:t>$</w:t>
            </w:r>
            <w:r w:rsidR="001466EA">
              <w:rPr>
                <w:rFonts w:ascii="Arial Narrow" w:hAnsi="Arial Narrow"/>
                <w:noProof/>
                <w:color w:val="000000"/>
                <w:sz w:val="20"/>
                <w:highlight w:val="black"/>
              </w:rPr>
              <w:t>'''''''''''''''''''''''''''</w:t>
            </w:r>
          </w:p>
        </w:tc>
        <w:tc>
          <w:tcPr>
            <w:tcW w:w="764" w:type="pct"/>
            <w:tcBorders>
              <w:bottom w:val="single" w:sz="4" w:space="0" w:color="auto"/>
            </w:tcBorders>
            <w:shd w:val="clear" w:color="auto" w:fill="auto"/>
          </w:tcPr>
          <w:p w:rsidR="00BB4AD9" w:rsidRPr="00222597" w:rsidRDefault="00BB4AD9" w:rsidP="006350CF">
            <w:pPr>
              <w:jc w:val="right"/>
              <w:rPr>
                <w:rFonts w:ascii="Arial Narrow" w:hAnsi="Arial Narrow"/>
                <w:color w:val="000000"/>
                <w:sz w:val="20"/>
                <w:lang w:eastAsia="en-AU"/>
              </w:rPr>
            </w:pPr>
            <w:r w:rsidRPr="00222597">
              <w:rPr>
                <w:rFonts w:ascii="Arial Narrow" w:hAnsi="Arial Narrow"/>
                <w:color w:val="000000"/>
                <w:sz w:val="20"/>
              </w:rPr>
              <w:t>$</w:t>
            </w:r>
            <w:r w:rsidR="001466EA">
              <w:rPr>
                <w:rFonts w:ascii="Arial Narrow" w:hAnsi="Arial Narrow"/>
                <w:noProof/>
                <w:color w:val="000000"/>
                <w:sz w:val="20"/>
                <w:highlight w:val="black"/>
              </w:rPr>
              <w:t>''''''''''''''''''''''''</w:t>
            </w:r>
          </w:p>
        </w:tc>
        <w:tc>
          <w:tcPr>
            <w:tcW w:w="754" w:type="pct"/>
            <w:tcBorders>
              <w:bottom w:val="single" w:sz="4" w:space="0" w:color="auto"/>
            </w:tcBorders>
            <w:shd w:val="clear" w:color="auto" w:fill="auto"/>
          </w:tcPr>
          <w:p w:rsidR="00BB4AD9" w:rsidRPr="00222597" w:rsidRDefault="00BB4AD9" w:rsidP="006350CF">
            <w:pPr>
              <w:jc w:val="right"/>
              <w:rPr>
                <w:rFonts w:ascii="Arial Narrow" w:hAnsi="Arial Narrow"/>
                <w:color w:val="000000"/>
                <w:sz w:val="20"/>
                <w:lang w:eastAsia="en-AU"/>
              </w:rPr>
            </w:pPr>
            <w:r w:rsidRPr="00222597">
              <w:rPr>
                <w:rFonts w:ascii="Arial Narrow" w:hAnsi="Arial Narrow"/>
                <w:color w:val="000000"/>
                <w:sz w:val="20"/>
              </w:rPr>
              <w:t>$</w:t>
            </w:r>
            <w:r w:rsidR="001466EA">
              <w:rPr>
                <w:rFonts w:ascii="Arial Narrow" w:hAnsi="Arial Narrow"/>
                <w:noProof/>
                <w:color w:val="000000"/>
                <w:sz w:val="20"/>
                <w:highlight w:val="black"/>
              </w:rPr>
              <w:t>''''''''''''''''''''''''''</w:t>
            </w:r>
          </w:p>
        </w:tc>
      </w:tr>
      <w:tr w:rsidR="00BB4AD9" w:rsidRPr="00222597" w:rsidTr="006350CF">
        <w:tc>
          <w:tcPr>
            <w:tcW w:w="1360" w:type="pct"/>
            <w:tcBorders>
              <w:bottom w:val="nil"/>
            </w:tcBorders>
            <w:shd w:val="clear" w:color="auto" w:fill="auto"/>
            <w:vAlign w:val="center"/>
          </w:tcPr>
          <w:p w:rsidR="00BB4AD9" w:rsidRPr="00222597" w:rsidRDefault="00BB4AD9" w:rsidP="006350CF">
            <w:pPr>
              <w:tabs>
                <w:tab w:val="left" w:pos="142"/>
              </w:tabs>
              <w:jc w:val="left"/>
              <w:rPr>
                <w:rFonts w:ascii="Arial Narrow" w:hAnsi="Arial Narrow"/>
                <w:bCs/>
                <w:color w:val="000000"/>
                <w:sz w:val="20"/>
                <w:vertAlign w:val="superscript"/>
              </w:rPr>
            </w:pPr>
            <w:r w:rsidRPr="00222597">
              <w:rPr>
                <w:rFonts w:ascii="Arial Narrow" w:hAnsi="Arial Narrow"/>
                <w:bCs/>
                <w:color w:val="000000"/>
                <w:sz w:val="20"/>
              </w:rPr>
              <w:t xml:space="preserve">Other </w:t>
            </w:r>
            <w:proofErr w:type="spellStart"/>
            <w:r w:rsidRPr="00222597">
              <w:rPr>
                <w:rFonts w:ascii="Arial Narrow" w:hAnsi="Arial Narrow"/>
                <w:bCs/>
                <w:color w:val="000000"/>
                <w:sz w:val="20"/>
              </w:rPr>
              <w:t>drugs</w:t>
            </w:r>
            <w:r w:rsidRPr="00222597">
              <w:rPr>
                <w:rFonts w:ascii="Arial Narrow" w:hAnsi="Arial Narrow"/>
                <w:bCs/>
                <w:color w:val="000000"/>
                <w:sz w:val="20"/>
                <w:vertAlign w:val="superscript"/>
              </w:rPr>
              <w:t>b</w:t>
            </w:r>
            <w:proofErr w:type="spellEnd"/>
          </w:p>
        </w:tc>
        <w:tc>
          <w:tcPr>
            <w:tcW w:w="679" w:type="pct"/>
            <w:tcBorders>
              <w:bottom w:val="nil"/>
            </w:tcBorders>
            <w:shd w:val="clear" w:color="auto" w:fill="auto"/>
            <w:vAlign w:val="bottom"/>
          </w:tcPr>
          <w:p w:rsidR="00BB4AD9" w:rsidRPr="00222597" w:rsidRDefault="00BB4AD9" w:rsidP="006350CF">
            <w:pPr>
              <w:pStyle w:val="Tabletext"/>
              <w:ind w:right="124"/>
              <w:jc w:val="right"/>
            </w:pPr>
            <w:r w:rsidRPr="00222597">
              <w:rPr>
                <w:color w:val="000000"/>
              </w:rPr>
              <w:t>$</w:t>
            </w:r>
            <w:r w:rsidR="001466EA">
              <w:rPr>
                <w:noProof/>
                <w:color w:val="000000"/>
                <w:highlight w:val="black"/>
              </w:rPr>
              <w:t>'''''''''''''''''</w:t>
            </w:r>
          </w:p>
        </w:tc>
        <w:tc>
          <w:tcPr>
            <w:tcW w:w="679" w:type="pct"/>
            <w:tcBorders>
              <w:bottom w:val="nil"/>
            </w:tcBorders>
            <w:shd w:val="clear" w:color="auto" w:fill="auto"/>
            <w:vAlign w:val="bottom"/>
          </w:tcPr>
          <w:p w:rsidR="00BB4AD9" w:rsidRPr="00222597" w:rsidRDefault="00BB4AD9" w:rsidP="006350CF">
            <w:pPr>
              <w:pStyle w:val="Tabletext"/>
              <w:ind w:right="124"/>
              <w:jc w:val="right"/>
            </w:pPr>
            <w:r w:rsidRPr="00222597">
              <w:rPr>
                <w:color w:val="000000"/>
              </w:rPr>
              <w:t>$</w:t>
            </w:r>
            <w:r w:rsidR="001466EA">
              <w:rPr>
                <w:noProof/>
                <w:color w:val="000000"/>
                <w:highlight w:val="black"/>
              </w:rPr>
              <w:t>'''''''''''''''''</w:t>
            </w:r>
          </w:p>
        </w:tc>
        <w:tc>
          <w:tcPr>
            <w:tcW w:w="764" w:type="pct"/>
            <w:tcBorders>
              <w:bottom w:val="nil"/>
            </w:tcBorders>
            <w:shd w:val="clear" w:color="auto" w:fill="auto"/>
            <w:vAlign w:val="bottom"/>
          </w:tcPr>
          <w:p w:rsidR="00BB4AD9" w:rsidRPr="00222597" w:rsidRDefault="00BB4AD9" w:rsidP="006350CF">
            <w:pPr>
              <w:pStyle w:val="Tabletext"/>
              <w:ind w:right="124"/>
              <w:jc w:val="right"/>
            </w:pPr>
            <w:r w:rsidRPr="00222597">
              <w:rPr>
                <w:color w:val="000000"/>
              </w:rPr>
              <w:t>$</w:t>
            </w:r>
            <w:r w:rsidR="001466EA">
              <w:rPr>
                <w:noProof/>
                <w:color w:val="000000"/>
                <w:highlight w:val="black"/>
              </w:rPr>
              <w:t>'''''''''''''''''''''</w:t>
            </w:r>
          </w:p>
        </w:tc>
        <w:tc>
          <w:tcPr>
            <w:tcW w:w="764" w:type="pct"/>
            <w:tcBorders>
              <w:bottom w:val="nil"/>
            </w:tcBorders>
            <w:shd w:val="clear" w:color="auto" w:fill="auto"/>
            <w:vAlign w:val="bottom"/>
          </w:tcPr>
          <w:p w:rsidR="00BB4AD9" w:rsidRPr="00222597" w:rsidRDefault="00BB4AD9" w:rsidP="006350CF">
            <w:pPr>
              <w:pStyle w:val="Tabletext"/>
              <w:ind w:right="124"/>
              <w:jc w:val="right"/>
            </w:pPr>
            <w:r w:rsidRPr="00222597">
              <w:rPr>
                <w:color w:val="000000"/>
              </w:rPr>
              <w:t>$</w:t>
            </w:r>
            <w:r w:rsidR="001466EA">
              <w:rPr>
                <w:noProof/>
                <w:color w:val="000000"/>
                <w:highlight w:val="black"/>
              </w:rPr>
              <w:t>''''''''''''''''''</w:t>
            </w:r>
          </w:p>
        </w:tc>
        <w:tc>
          <w:tcPr>
            <w:tcW w:w="754" w:type="pct"/>
            <w:tcBorders>
              <w:bottom w:val="nil"/>
            </w:tcBorders>
            <w:shd w:val="clear" w:color="auto" w:fill="auto"/>
            <w:vAlign w:val="bottom"/>
          </w:tcPr>
          <w:p w:rsidR="00BB4AD9" w:rsidRPr="00222597" w:rsidRDefault="00BB4AD9" w:rsidP="006350CF">
            <w:pPr>
              <w:pStyle w:val="Tabletext"/>
              <w:ind w:right="124"/>
              <w:jc w:val="right"/>
            </w:pPr>
            <w:r w:rsidRPr="00222597">
              <w:rPr>
                <w:color w:val="000000"/>
              </w:rPr>
              <w:t>$</w:t>
            </w:r>
            <w:r w:rsidR="001466EA">
              <w:rPr>
                <w:noProof/>
                <w:color w:val="000000"/>
                <w:highlight w:val="black"/>
              </w:rPr>
              <w:t>''''''''''''''''''''</w:t>
            </w:r>
          </w:p>
        </w:tc>
      </w:tr>
      <w:tr w:rsidR="00BB4AD9" w:rsidRPr="00222597" w:rsidTr="006350CF">
        <w:tc>
          <w:tcPr>
            <w:tcW w:w="1360" w:type="pct"/>
            <w:tcBorders>
              <w:top w:val="nil"/>
              <w:bottom w:val="single" w:sz="4" w:space="0" w:color="auto"/>
            </w:tcBorders>
            <w:shd w:val="clear" w:color="auto" w:fill="auto"/>
            <w:vAlign w:val="center"/>
          </w:tcPr>
          <w:p w:rsidR="00BB4AD9" w:rsidRPr="00222597" w:rsidRDefault="00BB4AD9" w:rsidP="006350CF">
            <w:pPr>
              <w:tabs>
                <w:tab w:val="left" w:pos="364"/>
              </w:tabs>
              <w:ind w:left="223"/>
              <w:jc w:val="left"/>
              <w:rPr>
                <w:rFonts w:ascii="Arial Narrow" w:hAnsi="Arial Narrow"/>
                <w:bCs/>
                <w:i/>
                <w:color w:val="000000"/>
                <w:sz w:val="20"/>
                <w:vertAlign w:val="superscript"/>
              </w:rPr>
            </w:pPr>
            <w:proofErr w:type="spellStart"/>
            <w:r w:rsidRPr="00222597">
              <w:rPr>
                <w:rFonts w:ascii="Arial Narrow" w:hAnsi="Arial Narrow"/>
                <w:bCs/>
                <w:i/>
                <w:color w:val="000000"/>
                <w:sz w:val="20"/>
              </w:rPr>
              <w:t>Corrected</w:t>
            </w:r>
            <w:r w:rsidRPr="00222597">
              <w:rPr>
                <w:rFonts w:ascii="Arial Narrow" w:hAnsi="Arial Narrow"/>
                <w:bCs/>
                <w:i/>
                <w:color w:val="000000"/>
                <w:sz w:val="20"/>
                <w:vertAlign w:val="superscript"/>
              </w:rPr>
              <w:t>c</w:t>
            </w:r>
            <w:proofErr w:type="spellEnd"/>
          </w:p>
        </w:tc>
        <w:tc>
          <w:tcPr>
            <w:tcW w:w="679" w:type="pct"/>
            <w:tcBorders>
              <w:top w:val="nil"/>
              <w:bottom w:val="single" w:sz="4" w:space="0" w:color="auto"/>
            </w:tcBorders>
            <w:shd w:val="clear" w:color="auto" w:fill="auto"/>
            <w:vAlign w:val="bottom"/>
          </w:tcPr>
          <w:p w:rsidR="00BB4AD9" w:rsidRPr="00222597" w:rsidRDefault="00BB4AD9" w:rsidP="006350CF">
            <w:pPr>
              <w:pStyle w:val="Tabletext"/>
              <w:ind w:right="124"/>
              <w:jc w:val="right"/>
              <w:rPr>
                <w:i/>
              </w:rPr>
            </w:pPr>
            <w:r w:rsidRPr="00222597">
              <w:rPr>
                <w:i/>
              </w:rPr>
              <w:t>$</w:t>
            </w:r>
            <w:r w:rsidR="001466EA">
              <w:rPr>
                <w:i/>
                <w:noProof/>
                <w:color w:val="000000"/>
                <w:highlight w:val="black"/>
              </w:rPr>
              <w:t>'''''''''''''''''</w:t>
            </w:r>
          </w:p>
        </w:tc>
        <w:tc>
          <w:tcPr>
            <w:tcW w:w="679" w:type="pct"/>
            <w:tcBorders>
              <w:top w:val="nil"/>
              <w:bottom w:val="single" w:sz="4" w:space="0" w:color="auto"/>
            </w:tcBorders>
            <w:shd w:val="clear" w:color="auto" w:fill="auto"/>
            <w:vAlign w:val="bottom"/>
          </w:tcPr>
          <w:p w:rsidR="00BB4AD9" w:rsidRPr="00222597" w:rsidRDefault="00BB4AD9" w:rsidP="006350CF">
            <w:pPr>
              <w:pStyle w:val="Tabletext"/>
              <w:ind w:right="124"/>
              <w:jc w:val="right"/>
              <w:rPr>
                <w:i/>
              </w:rPr>
            </w:pPr>
            <w:r w:rsidRPr="00222597">
              <w:rPr>
                <w:i/>
              </w:rPr>
              <w:t>$</w:t>
            </w:r>
            <w:r w:rsidR="001466EA">
              <w:rPr>
                <w:i/>
                <w:noProof/>
                <w:color w:val="000000"/>
                <w:highlight w:val="black"/>
              </w:rPr>
              <w:t>'''''''''''''''''''''</w:t>
            </w:r>
          </w:p>
        </w:tc>
        <w:tc>
          <w:tcPr>
            <w:tcW w:w="764" w:type="pct"/>
            <w:tcBorders>
              <w:top w:val="nil"/>
              <w:bottom w:val="single" w:sz="4" w:space="0" w:color="auto"/>
            </w:tcBorders>
            <w:shd w:val="clear" w:color="auto" w:fill="auto"/>
            <w:vAlign w:val="bottom"/>
          </w:tcPr>
          <w:p w:rsidR="00BB4AD9" w:rsidRPr="00222597" w:rsidRDefault="00BB4AD9" w:rsidP="006350CF">
            <w:pPr>
              <w:pStyle w:val="Tabletext"/>
              <w:ind w:right="124"/>
              <w:jc w:val="right"/>
              <w:rPr>
                <w:i/>
              </w:rPr>
            </w:pPr>
            <w:r w:rsidRPr="00222597">
              <w:rPr>
                <w:i/>
              </w:rPr>
              <w:t>$</w:t>
            </w:r>
            <w:r w:rsidR="001466EA">
              <w:rPr>
                <w:i/>
                <w:noProof/>
                <w:color w:val="000000"/>
                <w:highlight w:val="black"/>
              </w:rPr>
              <w:t>''''''''''''''''''</w:t>
            </w:r>
          </w:p>
        </w:tc>
        <w:tc>
          <w:tcPr>
            <w:tcW w:w="764" w:type="pct"/>
            <w:tcBorders>
              <w:top w:val="nil"/>
              <w:bottom w:val="single" w:sz="4" w:space="0" w:color="auto"/>
            </w:tcBorders>
            <w:shd w:val="clear" w:color="auto" w:fill="auto"/>
            <w:vAlign w:val="bottom"/>
          </w:tcPr>
          <w:p w:rsidR="00BB4AD9" w:rsidRPr="00222597" w:rsidRDefault="00BB4AD9" w:rsidP="006350CF">
            <w:pPr>
              <w:pStyle w:val="Tabletext"/>
              <w:ind w:right="124"/>
              <w:jc w:val="right"/>
              <w:rPr>
                <w:i/>
              </w:rPr>
            </w:pPr>
            <w:r w:rsidRPr="00222597">
              <w:rPr>
                <w:i/>
              </w:rPr>
              <w:t>$</w:t>
            </w:r>
            <w:r w:rsidR="001466EA">
              <w:rPr>
                <w:i/>
                <w:noProof/>
                <w:color w:val="000000"/>
                <w:highlight w:val="black"/>
              </w:rPr>
              <w:t>'''''''''''''''''''</w:t>
            </w:r>
          </w:p>
        </w:tc>
        <w:tc>
          <w:tcPr>
            <w:tcW w:w="754" w:type="pct"/>
            <w:tcBorders>
              <w:top w:val="nil"/>
              <w:bottom w:val="single" w:sz="4" w:space="0" w:color="auto"/>
            </w:tcBorders>
            <w:shd w:val="clear" w:color="auto" w:fill="auto"/>
            <w:vAlign w:val="bottom"/>
          </w:tcPr>
          <w:p w:rsidR="00BB4AD9" w:rsidRPr="00222597" w:rsidRDefault="00BB4AD9" w:rsidP="006350CF">
            <w:pPr>
              <w:pStyle w:val="Tabletext"/>
              <w:ind w:right="124"/>
              <w:jc w:val="right"/>
              <w:rPr>
                <w:i/>
              </w:rPr>
            </w:pPr>
            <w:r w:rsidRPr="00222597">
              <w:rPr>
                <w:i/>
              </w:rPr>
              <w:t>$</w:t>
            </w:r>
            <w:r w:rsidR="001466EA">
              <w:rPr>
                <w:i/>
                <w:noProof/>
                <w:color w:val="000000"/>
                <w:highlight w:val="black"/>
              </w:rPr>
              <w:t>'''''''''''''''''''''</w:t>
            </w:r>
          </w:p>
        </w:tc>
      </w:tr>
      <w:tr w:rsidR="00BB4AD9" w:rsidRPr="00222597" w:rsidTr="006350CF">
        <w:tc>
          <w:tcPr>
            <w:tcW w:w="1360" w:type="pct"/>
            <w:tcBorders>
              <w:bottom w:val="nil"/>
            </w:tcBorders>
            <w:shd w:val="clear" w:color="auto" w:fill="auto"/>
            <w:vAlign w:val="center"/>
          </w:tcPr>
          <w:p w:rsidR="00BB4AD9" w:rsidRPr="00222597" w:rsidRDefault="00BB4AD9" w:rsidP="006350CF">
            <w:pPr>
              <w:tabs>
                <w:tab w:val="left" w:pos="142"/>
              </w:tabs>
              <w:jc w:val="left"/>
              <w:rPr>
                <w:rFonts w:ascii="Arial Narrow" w:hAnsi="Arial Narrow"/>
                <w:bCs/>
                <w:color w:val="000000"/>
                <w:sz w:val="20"/>
              </w:rPr>
            </w:pPr>
            <w:r w:rsidRPr="00222597">
              <w:rPr>
                <w:rFonts w:ascii="Arial Narrow" w:hAnsi="Arial Narrow"/>
                <w:bCs/>
                <w:color w:val="000000"/>
                <w:sz w:val="20"/>
              </w:rPr>
              <w:t>Estimated total cost offsets</w:t>
            </w:r>
          </w:p>
        </w:tc>
        <w:tc>
          <w:tcPr>
            <w:tcW w:w="679" w:type="pct"/>
            <w:tcBorders>
              <w:bottom w:val="nil"/>
            </w:tcBorders>
            <w:shd w:val="clear" w:color="auto" w:fill="auto"/>
            <w:vAlign w:val="bottom"/>
          </w:tcPr>
          <w:p w:rsidR="00BB4AD9" w:rsidRPr="00222597" w:rsidRDefault="00BB4AD9" w:rsidP="006350CF">
            <w:pPr>
              <w:jc w:val="right"/>
              <w:rPr>
                <w:rFonts w:ascii="Arial Narrow" w:hAnsi="Arial Narrow"/>
                <w:color w:val="000000"/>
                <w:sz w:val="20"/>
                <w:lang w:eastAsia="en-AU"/>
              </w:rPr>
            </w:pPr>
            <w:r w:rsidRPr="00222597">
              <w:rPr>
                <w:rFonts w:ascii="Arial Narrow" w:hAnsi="Arial Narrow"/>
                <w:color w:val="000000"/>
                <w:sz w:val="20"/>
              </w:rPr>
              <w:t>$</w:t>
            </w:r>
            <w:r w:rsidR="001466EA">
              <w:rPr>
                <w:rFonts w:ascii="Arial Narrow" w:hAnsi="Arial Narrow"/>
                <w:noProof/>
                <w:color w:val="000000"/>
                <w:sz w:val="20"/>
                <w:highlight w:val="black"/>
              </w:rPr>
              <w:t>'''''''''''''''''''''</w:t>
            </w:r>
          </w:p>
        </w:tc>
        <w:tc>
          <w:tcPr>
            <w:tcW w:w="679" w:type="pct"/>
            <w:tcBorders>
              <w:bottom w:val="nil"/>
            </w:tcBorders>
            <w:shd w:val="clear" w:color="auto" w:fill="auto"/>
            <w:vAlign w:val="bottom"/>
          </w:tcPr>
          <w:p w:rsidR="00BB4AD9" w:rsidRPr="00222597" w:rsidRDefault="00BB4AD9" w:rsidP="006350CF">
            <w:pPr>
              <w:jc w:val="right"/>
              <w:rPr>
                <w:rFonts w:ascii="Arial Narrow" w:hAnsi="Arial Narrow"/>
                <w:color w:val="000000"/>
                <w:sz w:val="20"/>
                <w:lang w:eastAsia="en-AU"/>
              </w:rPr>
            </w:pPr>
            <w:r w:rsidRPr="00222597">
              <w:rPr>
                <w:rFonts w:ascii="Arial Narrow" w:hAnsi="Arial Narrow"/>
                <w:color w:val="000000"/>
                <w:sz w:val="20"/>
              </w:rPr>
              <w:t>$</w:t>
            </w:r>
            <w:r w:rsidR="001466EA">
              <w:rPr>
                <w:rFonts w:ascii="Arial Narrow" w:hAnsi="Arial Narrow"/>
                <w:noProof/>
                <w:color w:val="000000"/>
                <w:sz w:val="20"/>
                <w:highlight w:val="black"/>
              </w:rPr>
              <w:t>''''''''''''''''''''''''''</w:t>
            </w:r>
          </w:p>
        </w:tc>
        <w:tc>
          <w:tcPr>
            <w:tcW w:w="764" w:type="pct"/>
            <w:tcBorders>
              <w:bottom w:val="nil"/>
            </w:tcBorders>
            <w:shd w:val="clear" w:color="auto" w:fill="auto"/>
            <w:vAlign w:val="bottom"/>
          </w:tcPr>
          <w:p w:rsidR="00BB4AD9" w:rsidRPr="00222597" w:rsidRDefault="00BB4AD9" w:rsidP="006350CF">
            <w:pPr>
              <w:jc w:val="right"/>
              <w:rPr>
                <w:rFonts w:ascii="Arial Narrow" w:hAnsi="Arial Narrow"/>
                <w:color w:val="000000"/>
                <w:sz w:val="20"/>
                <w:lang w:eastAsia="en-AU"/>
              </w:rPr>
            </w:pPr>
            <w:r w:rsidRPr="00222597">
              <w:rPr>
                <w:rFonts w:ascii="Arial Narrow" w:hAnsi="Arial Narrow"/>
                <w:color w:val="000000"/>
                <w:sz w:val="20"/>
              </w:rPr>
              <w:t>$</w:t>
            </w:r>
            <w:r w:rsidR="001466EA">
              <w:rPr>
                <w:rFonts w:ascii="Arial Narrow" w:hAnsi="Arial Narrow"/>
                <w:noProof/>
                <w:color w:val="000000"/>
                <w:sz w:val="20"/>
                <w:highlight w:val="black"/>
              </w:rPr>
              <w:t>''''''''''''''''''''''''''''</w:t>
            </w:r>
          </w:p>
        </w:tc>
        <w:tc>
          <w:tcPr>
            <w:tcW w:w="764" w:type="pct"/>
            <w:tcBorders>
              <w:bottom w:val="nil"/>
            </w:tcBorders>
            <w:shd w:val="clear" w:color="auto" w:fill="auto"/>
            <w:vAlign w:val="bottom"/>
          </w:tcPr>
          <w:p w:rsidR="00BB4AD9" w:rsidRPr="00222597" w:rsidRDefault="00BB4AD9" w:rsidP="006350CF">
            <w:pPr>
              <w:jc w:val="right"/>
              <w:rPr>
                <w:rFonts w:ascii="Arial Narrow" w:hAnsi="Arial Narrow"/>
                <w:color w:val="000000"/>
                <w:sz w:val="20"/>
                <w:lang w:eastAsia="en-AU"/>
              </w:rPr>
            </w:pPr>
            <w:r w:rsidRPr="00222597">
              <w:rPr>
                <w:rFonts w:ascii="Arial Narrow" w:hAnsi="Arial Narrow"/>
                <w:color w:val="000000"/>
                <w:sz w:val="20"/>
              </w:rPr>
              <w:t>$</w:t>
            </w:r>
            <w:r w:rsidR="001466EA">
              <w:rPr>
                <w:rFonts w:ascii="Arial Narrow" w:hAnsi="Arial Narrow"/>
                <w:noProof/>
                <w:color w:val="000000"/>
                <w:sz w:val="20"/>
                <w:highlight w:val="black"/>
              </w:rPr>
              <w:t>''''''''''''''''''''''''</w:t>
            </w:r>
          </w:p>
        </w:tc>
        <w:tc>
          <w:tcPr>
            <w:tcW w:w="754" w:type="pct"/>
            <w:tcBorders>
              <w:bottom w:val="nil"/>
            </w:tcBorders>
            <w:shd w:val="clear" w:color="auto" w:fill="auto"/>
            <w:vAlign w:val="bottom"/>
          </w:tcPr>
          <w:p w:rsidR="00BB4AD9" w:rsidRPr="00222597" w:rsidRDefault="00BB4AD9" w:rsidP="006350CF">
            <w:pPr>
              <w:jc w:val="right"/>
              <w:rPr>
                <w:rFonts w:ascii="Arial Narrow" w:hAnsi="Arial Narrow"/>
                <w:color w:val="000000"/>
                <w:sz w:val="20"/>
                <w:lang w:eastAsia="en-AU"/>
              </w:rPr>
            </w:pPr>
            <w:r w:rsidRPr="00222597">
              <w:rPr>
                <w:rFonts w:ascii="Arial Narrow" w:hAnsi="Arial Narrow"/>
                <w:color w:val="000000"/>
                <w:sz w:val="20"/>
              </w:rPr>
              <w:t>$</w:t>
            </w:r>
            <w:r w:rsidR="001466EA">
              <w:rPr>
                <w:rFonts w:ascii="Arial Narrow" w:hAnsi="Arial Narrow"/>
                <w:noProof/>
                <w:color w:val="000000"/>
                <w:sz w:val="20"/>
                <w:highlight w:val="black"/>
              </w:rPr>
              <w:t>'''''''''''''''''''''''''''</w:t>
            </w:r>
          </w:p>
        </w:tc>
      </w:tr>
      <w:tr w:rsidR="00BB4AD9" w:rsidRPr="00222597" w:rsidTr="006350CF">
        <w:tc>
          <w:tcPr>
            <w:tcW w:w="1360" w:type="pct"/>
            <w:tcBorders>
              <w:top w:val="nil"/>
              <w:bottom w:val="double" w:sz="4" w:space="0" w:color="auto"/>
            </w:tcBorders>
            <w:shd w:val="clear" w:color="auto" w:fill="auto"/>
            <w:vAlign w:val="center"/>
          </w:tcPr>
          <w:p w:rsidR="00BB4AD9" w:rsidRPr="00222597" w:rsidRDefault="00BB4AD9" w:rsidP="006350CF">
            <w:pPr>
              <w:tabs>
                <w:tab w:val="left" w:pos="142"/>
              </w:tabs>
              <w:ind w:left="223"/>
              <w:jc w:val="left"/>
              <w:rPr>
                <w:rFonts w:ascii="Arial Narrow" w:hAnsi="Arial Narrow"/>
                <w:bCs/>
                <w:i/>
                <w:color w:val="000000"/>
                <w:sz w:val="20"/>
                <w:vertAlign w:val="superscript"/>
              </w:rPr>
            </w:pPr>
            <w:proofErr w:type="spellStart"/>
            <w:r w:rsidRPr="00222597">
              <w:rPr>
                <w:rFonts w:ascii="Arial Narrow" w:hAnsi="Arial Narrow"/>
                <w:bCs/>
                <w:i/>
                <w:color w:val="000000"/>
                <w:sz w:val="20"/>
              </w:rPr>
              <w:t>Corrected</w:t>
            </w:r>
            <w:r w:rsidRPr="00222597">
              <w:rPr>
                <w:rFonts w:ascii="Arial Narrow" w:hAnsi="Arial Narrow"/>
                <w:bCs/>
                <w:i/>
                <w:color w:val="000000"/>
                <w:sz w:val="20"/>
                <w:vertAlign w:val="superscript"/>
              </w:rPr>
              <w:t>c</w:t>
            </w:r>
            <w:proofErr w:type="spellEnd"/>
          </w:p>
        </w:tc>
        <w:tc>
          <w:tcPr>
            <w:tcW w:w="679" w:type="pct"/>
            <w:tcBorders>
              <w:top w:val="nil"/>
              <w:bottom w:val="double" w:sz="4" w:space="0" w:color="auto"/>
            </w:tcBorders>
            <w:shd w:val="clear" w:color="auto" w:fill="auto"/>
            <w:vAlign w:val="bottom"/>
          </w:tcPr>
          <w:p w:rsidR="00BB4AD9" w:rsidRPr="00222597" w:rsidRDefault="00BB4AD9" w:rsidP="006350CF">
            <w:pPr>
              <w:jc w:val="right"/>
              <w:rPr>
                <w:rFonts w:ascii="Arial Narrow" w:hAnsi="Arial Narrow"/>
                <w:i/>
                <w:color w:val="000000"/>
                <w:sz w:val="20"/>
              </w:rPr>
            </w:pPr>
            <w:r w:rsidRPr="00222597">
              <w:rPr>
                <w:rFonts w:ascii="Arial Narrow" w:hAnsi="Arial Narrow"/>
                <w:i/>
                <w:color w:val="000000"/>
                <w:sz w:val="20"/>
              </w:rPr>
              <w:t>$</w:t>
            </w:r>
            <w:r w:rsidR="001466EA">
              <w:rPr>
                <w:rFonts w:ascii="Arial Narrow" w:hAnsi="Arial Narrow"/>
                <w:i/>
                <w:noProof/>
                <w:color w:val="000000"/>
                <w:sz w:val="20"/>
                <w:highlight w:val="black"/>
              </w:rPr>
              <w:t>'''''''''''''''''''''</w:t>
            </w:r>
          </w:p>
        </w:tc>
        <w:tc>
          <w:tcPr>
            <w:tcW w:w="679" w:type="pct"/>
            <w:tcBorders>
              <w:top w:val="nil"/>
              <w:bottom w:val="double" w:sz="4" w:space="0" w:color="auto"/>
            </w:tcBorders>
            <w:shd w:val="clear" w:color="auto" w:fill="auto"/>
            <w:vAlign w:val="bottom"/>
          </w:tcPr>
          <w:p w:rsidR="00BB4AD9" w:rsidRPr="00222597" w:rsidRDefault="00BB4AD9" w:rsidP="006350CF">
            <w:pPr>
              <w:jc w:val="right"/>
              <w:rPr>
                <w:rFonts w:ascii="Arial Narrow" w:hAnsi="Arial Narrow"/>
                <w:i/>
                <w:color w:val="000000"/>
                <w:sz w:val="20"/>
              </w:rPr>
            </w:pPr>
            <w:r w:rsidRPr="00222597">
              <w:rPr>
                <w:rFonts w:ascii="Arial Narrow" w:hAnsi="Arial Narrow"/>
                <w:i/>
                <w:color w:val="000000"/>
                <w:sz w:val="20"/>
              </w:rPr>
              <w:t>$</w:t>
            </w:r>
            <w:r w:rsidR="001466EA">
              <w:rPr>
                <w:rFonts w:ascii="Arial Narrow" w:hAnsi="Arial Narrow"/>
                <w:i/>
                <w:noProof/>
                <w:color w:val="000000"/>
                <w:sz w:val="20"/>
                <w:highlight w:val="black"/>
              </w:rPr>
              <w:t>'''''''''''''''''''''''''</w:t>
            </w:r>
          </w:p>
        </w:tc>
        <w:tc>
          <w:tcPr>
            <w:tcW w:w="764" w:type="pct"/>
            <w:tcBorders>
              <w:top w:val="nil"/>
              <w:bottom w:val="double" w:sz="4" w:space="0" w:color="auto"/>
            </w:tcBorders>
            <w:shd w:val="clear" w:color="auto" w:fill="auto"/>
            <w:vAlign w:val="bottom"/>
          </w:tcPr>
          <w:p w:rsidR="00BB4AD9" w:rsidRPr="00222597" w:rsidRDefault="00BB4AD9" w:rsidP="006350CF">
            <w:pPr>
              <w:jc w:val="right"/>
              <w:rPr>
                <w:rFonts w:ascii="Arial Narrow" w:hAnsi="Arial Narrow"/>
                <w:i/>
                <w:color w:val="000000"/>
                <w:sz w:val="20"/>
              </w:rPr>
            </w:pPr>
            <w:r w:rsidRPr="00222597">
              <w:rPr>
                <w:rFonts w:ascii="Arial Narrow" w:hAnsi="Arial Narrow"/>
                <w:i/>
                <w:color w:val="000000"/>
                <w:sz w:val="20"/>
              </w:rPr>
              <w:t>$</w:t>
            </w:r>
            <w:r w:rsidR="001466EA">
              <w:rPr>
                <w:rFonts w:ascii="Arial Narrow" w:hAnsi="Arial Narrow"/>
                <w:i/>
                <w:noProof/>
                <w:color w:val="000000"/>
                <w:sz w:val="20"/>
                <w:highlight w:val="black"/>
              </w:rPr>
              <w:t>''''''''''''''''''''''''''''</w:t>
            </w:r>
          </w:p>
        </w:tc>
        <w:tc>
          <w:tcPr>
            <w:tcW w:w="764" w:type="pct"/>
            <w:tcBorders>
              <w:top w:val="nil"/>
              <w:bottom w:val="double" w:sz="4" w:space="0" w:color="auto"/>
            </w:tcBorders>
            <w:shd w:val="clear" w:color="auto" w:fill="auto"/>
            <w:vAlign w:val="bottom"/>
          </w:tcPr>
          <w:p w:rsidR="00BB4AD9" w:rsidRPr="00222597" w:rsidRDefault="00BB4AD9" w:rsidP="006350CF">
            <w:pPr>
              <w:jc w:val="right"/>
              <w:rPr>
                <w:rFonts w:ascii="Arial Narrow" w:hAnsi="Arial Narrow"/>
                <w:i/>
                <w:color w:val="000000"/>
                <w:sz w:val="20"/>
              </w:rPr>
            </w:pPr>
            <w:r w:rsidRPr="00222597">
              <w:rPr>
                <w:rFonts w:ascii="Arial Narrow" w:hAnsi="Arial Narrow"/>
                <w:i/>
                <w:color w:val="000000"/>
                <w:sz w:val="20"/>
              </w:rPr>
              <w:t>$</w:t>
            </w:r>
            <w:r w:rsidR="001466EA">
              <w:rPr>
                <w:rFonts w:ascii="Arial Narrow" w:hAnsi="Arial Narrow"/>
                <w:i/>
                <w:noProof/>
                <w:color w:val="000000"/>
                <w:sz w:val="20"/>
                <w:highlight w:val="black"/>
              </w:rPr>
              <w:t>''''''''''''''''''''''''</w:t>
            </w:r>
          </w:p>
        </w:tc>
        <w:tc>
          <w:tcPr>
            <w:tcW w:w="754" w:type="pct"/>
            <w:tcBorders>
              <w:top w:val="nil"/>
              <w:bottom w:val="double" w:sz="4" w:space="0" w:color="auto"/>
            </w:tcBorders>
            <w:shd w:val="clear" w:color="auto" w:fill="auto"/>
            <w:vAlign w:val="bottom"/>
          </w:tcPr>
          <w:p w:rsidR="00BB4AD9" w:rsidRPr="00222597" w:rsidRDefault="00BB4AD9" w:rsidP="006350CF">
            <w:pPr>
              <w:jc w:val="right"/>
              <w:rPr>
                <w:rFonts w:ascii="Arial Narrow" w:hAnsi="Arial Narrow"/>
                <w:i/>
                <w:color w:val="000000"/>
                <w:sz w:val="20"/>
              </w:rPr>
            </w:pPr>
            <w:r w:rsidRPr="00222597">
              <w:rPr>
                <w:rFonts w:ascii="Arial Narrow" w:hAnsi="Arial Narrow"/>
                <w:i/>
                <w:color w:val="000000"/>
                <w:sz w:val="20"/>
              </w:rPr>
              <w:t>$</w:t>
            </w:r>
            <w:r w:rsidR="001466EA">
              <w:rPr>
                <w:rFonts w:ascii="Arial Narrow" w:hAnsi="Arial Narrow"/>
                <w:i/>
                <w:noProof/>
                <w:color w:val="000000"/>
                <w:sz w:val="20"/>
                <w:highlight w:val="black"/>
              </w:rPr>
              <w:t>'''''''''''''''''''''''''''</w:t>
            </w:r>
          </w:p>
        </w:tc>
      </w:tr>
      <w:tr w:rsidR="00BB4AD9" w:rsidRPr="00222597" w:rsidTr="006350CF">
        <w:tc>
          <w:tcPr>
            <w:tcW w:w="5000" w:type="pct"/>
            <w:gridSpan w:val="6"/>
            <w:tcBorders>
              <w:top w:val="double" w:sz="4" w:space="0" w:color="auto"/>
              <w:bottom w:val="single" w:sz="4" w:space="0" w:color="auto"/>
            </w:tcBorders>
            <w:shd w:val="clear" w:color="auto" w:fill="auto"/>
          </w:tcPr>
          <w:p w:rsidR="00BB4AD9" w:rsidRPr="00222597" w:rsidRDefault="00BB4AD9" w:rsidP="006350CF">
            <w:pPr>
              <w:jc w:val="left"/>
              <w:rPr>
                <w:rFonts w:ascii="Arial Narrow" w:hAnsi="Arial Narrow"/>
                <w:color w:val="000000"/>
                <w:sz w:val="20"/>
                <w:lang w:eastAsia="en-AU"/>
              </w:rPr>
            </w:pPr>
            <w:r w:rsidRPr="00222597">
              <w:rPr>
                <w:rFonts w:ascii="Arial Narrow" w:hAnsi="Arial Narrow"/>
                <w:b/>
                <w:color w:val="000000"/>
                <w:sz w:val="20"/>
              </w:rPr>
              <w:t>Estimated total net cost to the PBS/RPBS</w:t>
            </w:r>
          </w:p>
        </w:tc>
      </w:tr>
      <w:tr w:rsidR="00BB4AD9" w:rsidRPr="00222597" w:rsidTr="006350CF">
        <w:tc>
          <w:tcPr>
            <w:tcW w:w="1360" w:type="pct"/>
            <w:tcBorders>
              <w:top w:val="single" w:sz="4" w:space="0" w:color="auto"/>
              <w:bottom w:val="single" w:sz="4" w:space="0" w:color="auto"/>
            </w:tcBorders>
            <w:shd w:val="clear" w:color="auto" w:fill="auto"/>
            <w:vAlign w:val="center"/>
          </w:tcPr>
          <w:p w:rsidR="00BB4AD9" w:rsidRPr="00222597" w:rsidRDefault="00BB4AD9" w:rsidP="006350CF">
            <w:pPr>
              <w:tabs>
                <w:tab w:val="left" w:pos="142"/>
              </w:tabs>
              <w:jc w:val="left"/>
              <w:rPr>
                <w:rFonts w:ascii="Arial Narrow" w:hAnsi="Arial Narrow"/>
                <w:bCs/>
                <w:color w:val="000000"/>
                <w:sz w:val="20"/>
              </w:rPr>
            </w:pPr>
            <w:r w:rsidRPr="00222597">
              <w:rPr>
                <w:rFonts w:ascii="Arial Narrow" w:hAnsi="Arial Narrow"/>
                <w:b/>
                <w:bCs/>
                <w:color w:val="000000"/>
                <w:sz w:val="20"/>
              </w:rPr>
              <w:t>Net cost to PBS/RPBS</w:t>
            </w:r>
          </w:p>
        </w:tc>
        <w:tc>
          <w:tcPr>
            <w:tcW w:w="679" w:type="pct"/>
            <w:tcBorders>
              <w:top w:val="single" w:sz="4" w:space="0" w:color="auto"/>
              <w:bottom w:val="single" w:sz="4" w:space="0" w:color="auto"/>
            </w:tcBorders>
            <w:shd w:val="clear" w:color="auto" w:fill="auto"/>
            <w:vAlign w:val="bottom"/>
          </w:tcPr>
          <w:p w:rsidR="00BB4AD9" w:rsidRPr="00222597" w:rsidRDefault="00BB4AD9" w:rsidP="006350CF">
            <w:pPr>
              <w:jc w:val="right"/>
              <w:rPr>
                <w:rFonts w:ascii="Arial Narrow" w:hAnsi="Arial Narrow"/>
                <w:b/>
                <w:color w:val="000000"/>
                <w:sz w:val="20"/>
                <w:lang w:eastAsia="en-AU"/>
              </w:rPr>
            </w:pPr>
            <w:r w:rsidRPr="00222597">
              <w:rPr>
                <w:rFonts w:ascii="Arial Narrow" w:hAnsi="Arial Narrow"/>
                <w:b/>
                <w:color w:val="000000"/>
                <w:sz w:val="20"/>
              </w:rPr>
              <w:t>$</w:t>
            </w:r>
            <w:r w:rsidR="001466EA">
              <w:rPr>
                <w:rFonts w:ascii="Arial Narrow" w:hAnsi="Arial Narrow"/>
                <w:b/>
                <w:noProof/>
                <w:color w:val="000000"/>
                <w:sz w:val="20"/>
                <w:highlight w:val="black"/>
              </w:rPr>
              <w:t>'''''''''''''''''</w:t>
            </w:r>
          </w:p>
        </w:tc>
        <w:tc>
          <w:tcPr>
            <w:tcW w:w="679" w:type="pct"/>
            <w:tcBorders>
              <w:top w:val="single" w:sz="4" w:space="0" w:color="auto"/>
              <w:bottom w:val="single" w:sz="4" w:space="0" w:color="auto"/>
            </w:tcBorders>
            <w:shd w:val="clear" w:color="auto" w:fill="auto"/>
            <w:vAlign w:val="bottom"/>
          </w:tcPr>
          <w:p w:rsidR="00BB4AD9" w:rsidRPr="00222597" w:rsidRDefault="00BB4AD9" w:rsidP="006350CF">
            <w:pPr>
              <w:jc w:val="right"/>
              <w:rPr>
                <w:rFonts w:ascii="Arial Narrow" w:hAnsi="Arial Narrow"/>
                <w:b/>
                <w:color w:val="000000"/>
                <w:sz w:val="20"/>
                <w:lang w:eastAsia="en-AU"/>
              </w:rPr>
            </w:pPr>
            <w:r w:rsidRPr="00222597">
              <w:rPr>
                <w:rFonts w:ascii="Arial Narrow" w:hAnsi="Arial Narrow"/>
                <w:b/>
                <w:color w:val="000000"/>
                <w:sz w:val="20"/>
              </w:rPr>
              <w:t>$</w:t>
            </w:r>
            <w:r w:rsidR="001466EA">
              <w:rPr>
                <w:rFonts w:ascii="Arial Narrow" w:hAnsi="Arial Narrow"/>
                <w:b/>
                <w:noProof/>
                <w:color w:val="000000"/>
                <w:sz w:val="20"/>
                <w:highlight w:val="black"/>
              </w:rPr>
              <w:t>'''''''''''''''</w:t>
            </w:r>
          </w:p>
        </w:tc>
        <w:tc>
          <w:tcPr>
            <w:tcW w:w="764" w:type="pct"/>
            <w:tcBorders>
              <w:top w:val="single" w:sz="4" w:space="0" w:color="auto"/>
              <w:bottom w:val="single" w:sz="4" w:space="0" w:color="auto"/>
            </w:tcBorders>
            <w:shd w:val="clear" w:color="auto" w:fill="auto"/>
            <w:vAlign w:val="bottom"/>
          </w:tcPr>
          <w:p w:rsidR="00BB4AD9" w:rsidRPr="00222597" w:rsidRDefault="00BB4AD9" w:rsidP="006350CF">
            <w:pPr>
              <w:jc w:val="right"/>
              <w:rPr>
                <w:rFonts w:ascii="Arial Narrow" w:hAnsi="Arial Narrow"/>
                <w:b/>
                <w:color w:val="000000"/>
                <w:sz w:val="20"/>
                <w:lang w:eastAsia="en-AU"/>
              </w:rPr>
            </w:pPr>
            <w:r w:rsidRPr="00222597">
              <w:rPr>
                <w:rFonts w:ascii="Arial Narrow" w:hAnsi="Arial Narrow"/>
                <w:b/>
                <w:color w:val="000000"/>
                <w:sz w:val="20"/>
              </w:rPr>
              <w:t>$</w:t>
            </w:r>
            <w:r w:rsidR="001466EA">
              <w:rPr>
                <w:rFonts w:ascii="Arial Narrow" w:hAnsi="Arial Narrow"/>
                <w:b/>
                <w:noProof/>
                <w:color w:val="000000"/>
                <w:sz w:val="20"/>
                <w:highlight w:val="black"/>
              </w:rPr>
              <w:t>''''''''''''''''''''</w:t>
            </w:r>
          </w:p>
        </w:tc>
        <w:tc>
          <w:tcPr>
            <w:tcW w:w="764" w:type="pct"/>
            <w:tcBorders>
              <w:top w:val="single" w:sz="4" w:space="0" w:color="auto"/>
              <w:bottom w:val="single" w:sz="4" w:space="0" w:color="auto"/>
            </w:tcBorders>
            <w:shd w:val="clear" w:color="auto" w:fill="auto"/>
            <w:vAlign w:val="bottom"/>
          </w:tcPr>
          <w:p w:rsidR="00BB4AD9" w:rsidRPr="00222597" w:rsidRDefault="00BB4AD9" w:rsidP="006350CF">
            <w:pPr>
              <w:jc w:val="right"/>
              <w:rPr>
                <w:rFonts w:ascii="Arial Narrow" w:hAnsi="Arial Narrow"/>
                <w:b/>
                <w:color w:val="000000"/>
                <w:sz w:val="20"/>
                <w:lang w:eastAsia="en-AU"/>
              </w:rPr>
            </w:pPr>
            <w:r w:rsidRPr="00222597">
              <w:rPr>
                <w:rFonts w:ascii="Arial Narrow" w:hAnsi="Arial Narrow"/>
                <w:b/>
                <w:color w:val="000000"/>
                <w:sz w:val="20"/>
              </w:rPr>
              <w:t>$</w:t>
            </w:r>
            <w:r w:rsidR="001466EA">
              <w:rPr>
                <w:rFonts w:ascii="Arial Narrow" w:hAnsi="Arial Narrow"/>
                <w:b/>
                <w:noProof/>
                <w:color w:val="000000"/>
                <w:sz w:val="20"/>
                <w:highlight w:val="black"/>
              </w:rPr>
              <w:t>'''''''''''''''''''</w:t>
            </w:r>
          </w:p>
        </w:tc>
        <w:tc>
          <w:tcPr>
            <w:tcW w:w="754" w:type="pct"/>
            <w:tcBorders>
              <w:top w:val="single" w:sz="4" w:space="0" w:color="auto"/>
              <w:bottom w:val="single" w:sz="4" w:space="0" w:color="auto"/>
            </w:tcBorders>
            <w:shd w:val="clear" w:color="auto" w:fill="auto"/>
            <w:vAlign w:val="bottom"/>
          </w:tcPr>
          <w:p w:rsidR="00BB4AD9" w:rsidRPr="00222597" w:rsidRDefault="00BB4AD9" w:rsidP="006350CF">
            <w:pPr>
              <w:jc w:val="right"/>
              <w:rPr>
                <w:rFonts w:ascii="Arial Narrow" w:hAnsi="Arial Narrow"/>
                <w:b/>
                <w:color w:val="000000"/>
                <w:sz w:val="20"/>
                <w:lang w:eastAsia="en-AU"/>
              </w:rPr>
            </w:pPr>
            <w:r w:rsidRPr="00222597">
              <w:rPr>
                <w:rFonts w:ascii="Arial Narrow" w:hAnsi="Arial Narrow"/>
                <w:b/>
                <w:color w:val="000000"/>
                <w:sz w:val="20"/>
              </w:rPr>
              <w:t>$</w:t>
            </w:r>
            <w:r w:rsidR="001466EA">
              <w:rPr>
                <w:rFonts w:ascii="Arial Narrow" w:hAnsi="Arial Narrow"/>
                <w:b/>
                <w:noProof/>
                <w:color w:val="000000"/>
                <w:sz w:val="20"/>
                <w:highlight w:val="black"/>
              </w:rPr>
              <w:t>'''''''''''''''''''</w:t>
            </w:r>
          </w:p>
        </w:tc>
      </w:tr>
      <w:tr w:rsidR="00BB4AD9" w:rsidRPr="00222597" w:rsidTr="006350CF">
        <w:tc>
          <w:tcPr>
            <w:tcW w:w="1360" w:type="pct"/>
            <w:tcBorders>
              <w:top w:val="single" w:sz="4" w:space="0" w:color="auto"/>
            </w:tcBorders>
            <w:shd w:val="clear" w:color="auto" w:fill="auto"/>
            <w:vAlign w:val="center"/>
          </w:tcPr>
          <w:p w:rsidR="00BB4AD9" w:rsidRPr="00222597" w:rsidRDefault="00BB4AD9" w:rsidP="006350CF">
            <w:pPr>
              <w:tabs>
                <w:tab w:val="left" w:pos="142"/>
              </w:tabs>
              <w:ind w:left="223"/>
              <w:jc w:val="left"/>
              <w:rPr>
                <w:rFonts w:ascii="Arial Narrow" w:hAnsi="Arial Narrow"/>
                <w:b/>
                <w:bCs/>
                <w:i/>
                <w:color w:val="000000"/>
                <w:sz w:val="20"/>
                <w:vertAlign w:val="superscript"/>
              </w:rPr>
            </w:pPr>
            <w:proofErr w:type="spellStart"/>
            <w:r w:rsidRPr="00222597">
              <w:rPr>
                <w:rFonts w:ascii="Arial Narrow" w:hAnsi="Arial Narrow"/>
                <w:b/>
                <w:bCs/>
                <w:i/>
                <w:color w:val="000000"/>
                <w:sz w:val="20"/>
              </w:rPr>
              <w:t>Corrected</w:t>
            </w:r>
            <w:r w:rsidRPr="00222597">
              <w:rPr>
                <w:rFonts w:ascii="Arial Narrow" w:hAnsi="Arial Narrow"/>
                <w:b/>
                <w:bCs/>
                <w:i/>
                <w:color w:val="000000"/>
                <w:sz w:val="20"/>
                <w:vertAlign w:val="superscript"/>
              </w:rPr>
              <w:t>d</w:t>
            </w:r>
            <w:proofErr w:type="spellEnd"/>
          </w:p>
        </w:tc>
        <w:tc>
          <w:tcPr>
            <w:tcW w:w="679" w:type="pct"/>
            <w:tcBorders>
              <w:top w:val="single" w:sz="4" w:space="0" w:color="auto"/>
            </w:tcBorders>
            <w:shd w:val="clear" w:color="auto" w:fill="auto"/>
            <w:vAlign w:val="bottom"/>
          </w:tcPr>
          <w:p w:rsidR="00BB4AD9" w:rsidRPr="00222597" w:rsidRDefault="00BB4AD9" w:rsidP="006350CF">
            <w:pPr>
              <w:jc w:val="right"/>
              <w:rPr>
                <w:rFonts w:ascii="Arial Narrow" w:hAnsi="Arial Narrow"/>
                <w:b/>
                <w:i/>
                <w:color w:val="000000"/>
                <w:sz w:val="20"/>
              </w:rPr>
            </w:pPr>
            <w:r w:rsidRPr="00222597">
              <w:rPr>
                <w:rFonts w:ascii="Arial Narrow" w:hAnsi="Arial Narrow"/>
                <w:b/>
                <w:i/>
                <w:color w:val="000000"/>
                <w:sz w:val="20"/>
              </w:rPr>
              <w:t>$</w:t>
            </w:r>
            <w:r w:rsidR="001466EA">
              <w:rPr>
                <w:rFonts w:ascii="Arial Narrow" w:hAnsi="Arial Narrow"/>
                <w:b/>
                <w:i/>
                <w:noProof/>
                <w:color w:val="000000"/>
                <w:sz w:val="20"/>
                <w:highlight w:val="black"/>
              </w:rPr>
              <w:t>''''''''''''''''''''</w:t>
            </w:r>
          </w:p>
        </w:tc>
        <w:tc>
          <w:tcPr>
            <w:tcW w:w="679" w:type="pct"/>
            <w:tcBorders>
              <w:top w:val="single" w:sz="4" w:space="0" w:color="auto"/>
            </w:tcBorders>
            <w:shd w:val="clear" w:color="auto" w:fill="auto"/>
            <w:vAlign w:val="bottom"/>
          </w:tcPr>
          <w:p w:rsidR="00BB4AD9" w:rsidRPr="00222597" w:rsidRDefault="00BB4AD9" w:rsidP="006350CF">
            <w:pPr>
              <w:jc w:val="right"/>
              <w:rPr>
                <w:rFonts w:ascii="Arial Narrow" w:hAnsi="Arial Narrow"/>
                <w:b/>
                <w:i/>
                <w:color w:val="000000"/>
                <w:sz w:val="20"/>
              </w:rPr>
            </w:pPr>
            <w:r w:rsidRPr="00222597">
              <w:rPr>
                <w:rFonts w:ascii="Arial Narrow" w:hAnsi="Arial Narrow"/>
                <w:b/>
                <w:i/>
                <w:color w:val="000000"/>
                <w:sz w:val="20"/>
              </w:rPr>
              <w:t>$</w:t>
            </w:r>
            <w:r w:rsidR="001466EA">
              <w:rPr>
                <w:rFonts w:ascii="Arial Narrow" w:hAnsi="Arial Narrow"/>
                <w:b/>
                <w:i/>
                <w:noProof/>
                <w:color w:val="000000"/>
                <w:sz w:val="20"/>
                <w:highlight w:val="black"/>
              </w:rPr>
              <w:t>'''''''''''''''''''''</w:t>
            </w:r>
          </w:p>
        </w:tc>
        <w:tc>
          <w:tcPr>
            <w:tcW w:w="764" w:type="pct"/>
            <w:tcBorders>
              <w:top w:val="single" w:sz="4" w:space="0" w:color="auto"/>
            </w:tcBorders>
            <w:shd w:val="clear" w:color="auto" w:fill="auto"/>
            <w:vAlign w:val="bottom"/>
          </w:tcPr>
          <w:p w:rsidR="00BB4AD9" w:rsidRPr="00222597" w:rsidRDefault="00BB4AD9" w:rsidP="006350CF">
            <w:pPr>
              <w:jc w:val="right"/>
              <w:rPr>
                <w:rFonts w:ascii="Arial Narrow" w:hAnsi="Arial Narrow"/>
                <w:b/>
                <w:i/>
                <w:color w:val="000000"/>
                <w:sz w:val="20"/>
              </w:rPr>
            </w:pPr>
            <w:r w:rsidRPr="00222597">
              <w:rPr>
                <w:rFonts w:ascii="Arial Narrow" w:hAnsi="Arial Narrow"/>
                <w:b/>
                <w:i/>
                <w:color w:val="000000"/>
                <w:sz w:val="20"/>
              </w:rPr>
              <w:t>$</w:t>
            </w:r>
            <w:r w:rsidR="001466EA">
              <w:rPr>
                <w:rFonts w:ascii="Arial Narrow" w:hAnsi="Arial Narrow"/>
                <w:b/>
                <w:i/>
                <w:noProof/>
                <w:color w:val="000000"/>
                <w:sz w:val="20"/>
                <w:highlight w:val="black"/>
              </w:rPr>
              <w:t>'''''''''''''''''''''</w:t>
            </w:r>
          </w:p>
        </w:tc>
        <w:tc>
          <w:tcPr>
            <w:tcW w:w="764" w:type="pct"/>
            <w:tcBorders>
              <w:top w:val="single" w:sz="4" w:space="0" w:color="auto"/>
            </w:tcBorders>
            <w:shd w:val="clear" w:color="auto" w:fill="auto"/>
            <w:vAlign w:val="bottom"/>
          </w:tcPr>
          <w:p w:rsidR="00BB4AD9" w:rsidRPr="00222597" w:rsidRDefault="00BB4AD9" w:rsidP="006350CF">
            <w:pPr>
              <w:jc w:val="right"/>
              <w:rPr>
                <w:rFonts w:ascii="Arial Narrow" w:hAnsi="Arial Narrow"/>
                <w:b/>
                <w:i/>
                <w:color w:val="000000"/>
                <w:sz w:val="20"/>
              </w:rPr>
            </w:pPr>
            <w:r w:rsidRPr="00222597">
              <w:rPr>
                <w:rFonts w:ascii="Arial Narrow" w:hAnsi="Arial Narrow"/>
                <w:b/>
                <w:i/>
                <w:color w:val="000000"/>
                <w:sz w:val="20"/>
              </w:rPr>
              <w:t>$</w:t>
            </w:r>
            <w:r w:rsidR="001466EA">
              <w:rPr>
                <w:rFonts w:ascii="Arial Narrow" w:hAnsi="Arial Narrow"/>
                <w:b/>
                <w:i/>
                <w:noProof/>
                <w:color w:val="000000"/>
                <w:sz w:val="20"/>
                <w:highlight w:val="black"/>
              </w:rPr>
              <w:t>'''''''''''''''''''''''</w:t>
            </w:r>
          </w:p>
        </w:tc>
        <w:tc>
          <w:tcPr>
            <w:tcW w:w="754" w:type="pct"/>
            <w:tcBorders>
              <w:top w:val="single" w:sz="4" w:space="0" w:color="auto"/>
            </w:tcBorders>
            <w:shd w:val="clear" w:color="auto" w:fill="auto"/>
            <w:vAlign w:val="bottom"/>
          </w:tcPr>
          <w:p w:rsidR="00BB4AD9" w:rsidRPr="00222597" w:rsidRDefault="00BB4AD9" w:rsidP="006350CF">
            <w:pPr>
              <w:jc w:val="right"/>
              <w:rPr>
                <w:rFonts w:ascii="Arial Narrow" w:hAnsi="Arial Narrow"/>
                <w:b/>
                <w:i/>
                <w:color w:val="000000"/>
                <w:sz w:val="20"/>
              </w:rPr>
            </w:pPr>
            <w:r w:rsidRPr="00222597">
              <w:rPr>
                <w:rFonts w:ascii="Arial Narrow" w:hAnsi="Arial Narrow"/>
                <w:b/>
                <w:i/>
                <w:color w:val="000000"/>
                <w:sz w:val="20"/>
              </w:rPr>
              <w:t>$</w:t>
            </w:r>
            <w:r w:rsidR="001466EA">
              <w:rPr>
                <w:rFonts w:ascii="Arial Narrow" w:hAnsi="Arial Narrow"/>
                <w:b/>
                <w:i/>
                <w:noProof/>
                <w:color w:val="000000"/>
                <w:sz w:val="20"/>
                <w:highlight w:val="black"/>
              </w:rPr>
              <w:t>'''''''''''''''''''''''</w:t>
            </w:r>
          </w:p>
        </w:tc>
      </w:tr>
    </w:tbl>
    <w:p w:rsidR="00BB4AD9" w:rsidRPr="00222597" w:rsidRDefault="00BB4AD9" w:rsidP="00BB4AD9">
      <w:pPr>
        <w:pStyle w:val="TableFooter"/>
        <w:ind w:left="851" w:hanging="142"/>
      </w:pPr>
      <w:proofErr w:type="spellStart"/>
      <w:proofErr w:type="gramStart"/>
      <w:r w:rsidRPr="00222597">
        <w:rPr>
          <w:vertAlign w:val="superscript"/>
        </w:rPr>
        <w:t>a</w:t>
      </w:r>
      <w:proofErr w:type="spellEnd"/>
      <w:proofErr w:type="gramEnd"/>
      <w:r w:rsidRPr="00222597">
        <w:t xml:space="preserve"> Assuming </w:t>
      </w:r>
      <w:r w:rsidR="001466EA">
        <w:rPr>
          <w:noProof/>
          <w:color w:val="000000"/>
          <w:highlight w:val="black"/>
        </w:rPr>
        <w:t>''''</w:t>
      </w:r>
      <w:r w:rsidRPr="00222597">
        <w:t xml:space="preserve"> scripts per patient for </w:t>
      </w:r>
      <w:r w:rsidR="00222597">
        <w:t>short-term</w:t>
      </w:r>
      <w:r w:rsidRPr="00222597">
        <w:t xml:space="preserve"> treatment and </w:t>
      </w:r>
      <w:r w:rsidR="001466EA">
        <w:rPr>
          <w:noProof/>
          <w:color w:val="000000"/>
          <w:highlight w:val="black"/>
        </w:rPr>
        <w:t>''''''''''''</w:t>
      </w:r>
      <w:r w:rsidRPr="00222597">
        <w:t xml:space="preserve"> scripts per patient per year for </w:t>
      </w:r>
      <w:r w:rsidR="00222597">
        <w:t>long-term</w:t>
      </w:r>
      <w:r w:rsidRPr="00222597">
        <w:t xml:space="preserve"> treatment, as estimated by the submission.</w:t>
      </w:r>
    </w:p>
    <w:p w:rsidR="00BB4AD9" w:rsidRPr="00F368D9" w:rsidRDefault="00BB4AD9" w:rsidP="00BB4AD9">
      <w:pPr>
        <w:pStyle w:val="TableFooter"/>
        <w:ind w:left="709"/>
      </w:pPr>
      <w:proofErr w:type="gramStart"/>
      <w:r w:rsidRPr="00030326">
        <w:rPr>
          <w:vertAlign w:val="superscript"/>
        </w:rPr>
        <w:t>b</w:t>
      </w:r>
      <w:proofErr w:type="gramEnd"/>
      <w:r w:rsidRPr="00030326">
        <w:rPr>
          <w:vertAlign w:val="superscript"/>
        </w:rPr>
        <w:t xml:space="preserve"> </w:t>
      </w:r>
      <w:r w:rsidRPr="00030326">
        <w:t xml:space="preserve">Includes combination oral contraceptives, </w:t>
      </w:r>
      <w:proofErr w:type="spellStart"/>
      <w:r w:rsidRPr="00030326">
        <w:t>tranexamic</w:t>
      </w:r>
      <w:proofErr w:type="spellEnd"/>
      <w:r w:rsidRPr="00030326">
        <w:t xml:space="preserve"> acid and </w:t>
      </w:r>
      <w:proofErr w:type="spellStart"/>
      <w:r w:rsidRPr="00030326">
        <w:t>levonorgestrel</w:t>
      </w:r>
      <w:proofErr w:type="spellEnd"/>
      <w:r w:rsidRPr="00030326">
        <w:t xml:space="preserve"> int</w:t>
      </w:r>
      <w:r w:rsidRPr="00F368D9">
        <w:t>rauterine system</w:t>
      </w:r>
    </w:p>
    <w:p w:rsidR="00BB4AD9" w:rsidRPr="00222597" w:rsidRDefault="00BB4AD9" w:rsidP="00BB4AD9">
      <w:pPr>
        <w:pStyle w:val="TableFooter"/>
        <w:ind w:left="709"/>
      </w:pPr>
      <w:proofErr w:type="gramStart"/>
      <w:r w:rsidRPr="00222597">
        <w:rPr>
          <w:vertAlign w:val="superscript"/>
        </w:rPr>
        <w:t>c</w:t>
      </w:r>
      <w:proofErr w:type="gramEnd"/>
      <w:r w:rsidRPr="00222597">
        <w:t xml:space="preserve"> The submission failed to include the cost offsets to the PBS and RPBS for </w:t>
      </w:r>
      <w:proofErr w:type="spellStart"/>
      <w:r w:rsidRPr="00222597">
        <w:t>levonorgestrel</w:t>
      </w:r>
      <w:proofErr w:type="spellEnd"/>
      <w:r w:rsidRPr="00222597">
        <w:t xml:space="preserve"> intrauterine system</w:t>
      </w:r>
    </w:p>
    <w:p w:rsidR="00BB4AD9" w:rsidRPr="00222597" w:rsidRDefault="00BB4AD9" w:rsidP="00BB4AD9">
      <w:pPr>
        <w:pStyle w:val="TableFooter"/>
        <w:ind w:left="709"/>
      </w:pPr>
      <w:proofErr w:type="gramStart"/>
      <w:r w:rsidRPr="00222597">
        <w:rPr>
          <w:vertAlign w:val="superscript"/>
        </w:rPr>
        <w:t>d</w:t>
      </w:r>
      <w:proofErr w:type="gramEnd"/>
      <w:r w:rsidRPr="00222597">
        <w:t xml:space="preserve"> Not including cost-offsets for </w:t>
      </w:r>
      <w:proofErr w:type="spellStart"/>
      <w:r w:rsidRPr="00222597">
        <w:t>goserelin</w:t>
      </w:r>
      <w:proofErr w:type="spellEnd"/>
      <w:r w:rsidRPr="00222597">
        <w:t xml:space="preserve"> but including cost-offsets for </w:t>
      </w:r>
      <w:proofErr w:type="spellStart"/>
      <w:r w:rsidRPr="00222597">
        <w:t>levonorgestrel</w:t>
      </w:r>
      <w:proofErr w:type="spellEnd"/>
      <w:r w:rsidRPr="00222597">
        <w:t xml:space="preserve"> intrauterine system</w:t>
      </w:r>
    </w:p>
    <w:p w:rsidR="00BB4AD9" w:rsidRPr="00222597" w:rsidRDefault="00BB4AD9" w:rsidP="00BB4AD9">
      <w:pPr>
        <w:pStyle w:val="TableFooter"/>
        <w:ind w:left="709"/>
        <w:rPr>
          <w:i/>
        </w:rPr>
      </w:pPr>
      <w:r w:rsidRPr="00222597">
        <w:rPr>
          <w:i/>
        </w:rPr>
        <w:t>Figures in italics calculated during the evaluation</w:t>
      </w:r>
    </w:p>
    <w:p w:rsidR="00BB4AD9" w:rsidRPr="00222597" w:rsidRDefault="00BB4AD9" w:rsidP="00BB4AD9">
      <w:pPr>
        <w:pStyle w:val="TableFooter"/>
        <w:ind w:left="709"/>
        <w:rPr>
          <w:szCs w:val="22"/>
        </w:rPr>
      </w:pPr>
      <w:r w:rsidRPr="00222597">
        <w:rPr>
          <w:sz w:val="16"/>
        </w:rPr>
        <w:t xml:space="preserve">Source: </w:t>
      </w:r>
      <w:r w:rsidRPr="00222597">
        <w:t>Tables E-2, E-3 and E-4, pp147-149 of the submission and Section E Workbook.xlsx attached to the submission.</w:t>
      </w:r>
    </w:p>
    <w:p w:rsidR="00BB4AD9" w:rsidRDefault="006C33BD" w:rsidP="00BB4AD9">
      <w:pPr>
        <w:widowControl/>
        <w:rPr>
          <w:szCs w:val="22"/>
        </w:rPr>
      </w:pPr>
      <w:r>
        <w:rPr>
          <w:szCs w:val="22"/>
        </w:rPr>
        <w:tab/>
      </w:r>
    </w:p>
    <w:p w:rsidR="006C33BD" w:rsidRDefault="006C33BD" w:rsidP="006C33BD">
      <w:pPr>
        <w:ind w:left="709"/>
      </w:pPr>
      <w:r>
        <w:t xml:space="preserve">The redacted table shows that at year 5, the number of patients treated per year with </w:t>
      </w:r>
      <w:proofErr w:type="spellStart"/>
      <w:r>
        <w:t>ulipristal</w:t>
      </w:r>
      <w:proofErr w:type="spellEnd"/>
      <w:r>
        <w:t xml:space="preserve"> would be less than 10,000 for short-term treatment and 10,000 – 50,000 for long-term treatment. The net cost to the PBS/RPBS, allowing for cost-offsets for </w:t>
      </w:r>
      <w:proofErr w:type="spellStart"/>
      <w:r>
        <w:t>Goserelin</w:t>
      </w:r>
      <w:proofErr w:type="spellEnd"/>
      <w:r>
        <w:t xml:space="preserve"> and other drugs, would be less than $10 million (uncorrected price) or $30 - $60 million in year 5 (corrected for cost-offsets for </w:t>
      </w:r>
      <w:proofErr w:type="spellStart"/>
      <w:r>
        <w:t>levonorgestrel</w:t>
      </w:r>
      <w:proofErr w:type="spellEnd"/>
      <w:r>
        <w:t xml:space="preserve"> intrauterine system). </w:t>
      </w:r>
    </w:p>
    <w:p w:rsidR="007B3995" w:rsidRPr="00222597" w:rsidRDefault="007B3995" w:rsidP="00BB4AD9">
      <w:pPr>
        <w:widowControl/>
        <w:rPr>
          <w:szCs w:val="22"/>
        </w:rPr>
      </w:pPr>
    </w:p>
    <w:p w:rsidR="00BB4AD9" w:rsidRPr="00222597" w:rsidRDefault="00BB4AD9" w:rsidP="00BB4AD9">
      <w:pPr>
        <w:pStyle w:val="ListParagraph"/>
        <w:widowControl/>
        <w:numPr>
          <w:ilvl w:val="1"/>
          <w:numId w:val="3"/>
        </w:numPr>
        <w:rPr>
          <w:szCs w:val="22"/>
        </w:rPr>
      </w:pPr>
      <w:r w:rsidRPr="00222597">
        <w:rPr>
          <w:szCs w:val="22"/>
        </w:rPr>
        <w:t xml:space="preserve">The number of patients likely to be treated was highly uncertain and </w:t>
      </w:r>
      <w:r w:rsidR="00453FD6" w:rsidRPr="00222597">
        <w:rPr>
          <w:szCs w:val="22"/>
        </w:rPr>
        <w:t xml:space="preserve">the DUSC agreed that the population </w:t>
      </w:r>
      <w:r w:rsidR="004E6A9B" w:rsidRPr="00222597">
        <w:rPr>
          <w:szCs w:val="22"/>
        </w:rPr>
        <w:t>wa</w:t>
      </w:r>
      <w:r w:rsidR="00453FD6" w:rsidRPr="00222597">
        <w:rPr>
          <w:szCs w:val="22"/>
        </w:rPr>
        <w:t>s highly likely to be</w:t>
      </w:r>
      <w:r w:rsidRPr="00222597">
        <w:rPr>
          <w:szCs w:val="22"/>
        </w:rPr>
        <w:t xml:space="preserve"> underestimated:</w:t>
      </w:r>
    </w:p>
    <w:p w:rsidR="00BB4AD9" w:rsidRPr="00222597" w:rsidRDefault="00BB4AD9" w:rsidP="00BB4AD9">
      <w:pPr>
        <w:pStyle w:val="ListParagraph"/>
        <w:widowControl/>
        <w:numPr>
          <w:ilvl w:val="0"/>
          <w:numId w:val="55"/>
        </w:numPr>
        <w:ind w:left="1134"/>
        <w:rPr>
          <w:szCs w:val="22"/>
        </w:rPr>
      </w:pPr>
      <w:r w:rsidRPr="00222597">
        <w:rPr>
          <w:szCs w:val="22"/>
        </w:rPr>
        <w:t>There was limited evidence available for the prevalence of clinically relevant fibroids causing moderate to severe symptoms in patients of reproductive age;</w:t>
      </w:r>
    </w:p>
    <w:p w:rsidR="00BB4AD9" w:rsidRPr="00222597" w:rsidRDefault="00BB4AD9" w:rsidP="00BB4AD9">
      <w:pPr>
        <w:pStyle w:val="ListParagraph"/>
        <w:widowControl/>
        <w:numPr>
          <w:ilvl w:val="1"/>
          <w:numId w:val="55"/>
        </w:numPr>
        <w:ind w:left="1560"/>
        <w:rPr>
          <w:szCs w:val="22"/>
        </w:rPr>
      </w:pPr>
      <w:r w:rsidRPr="00222597">
        <w:rPr>
          <w:szCs w:val="22"/>
        </w:rPr>
        <w:t xml:space="preserve">The applicability of the prevalence of diagnosed uterine fibroid reported in Zimmermann et al (2012) </w:t>
      </w:r>
      <w:r w:rsidR="00453FD6" w:rsidRPr="00222597">
        <w:rPr>
          <w:szCs w:val="22"/>
        </w:rPr>
        <w:t xml:space="preserve">of 7% </w:t>
      </w:r>
      <w:r w:rsidRPr="00222597">
        <w:rPr>
          <w:szCs w:val="22"/>
        </w:rPr>
        <w:t>to the Australian population was uncertain;</w:t>
      </w:r>
    </w:p>
    <w:p w:rsidR="00453FD6" w:rsidRPr="00222597" w:rsidRDefault="00453FD6" w:rsidP="00C30EF9">
      <w:pPr>
        <w:pStyle w:val="ListParagraph"/>
        <w:widowControl/>
        <w:numPr>
          <w:ilvl w:val="1"/>
          <w:numId w:val="55"/>
        </w:numPr>
        <w:ind w:left="1560"/>
        <w:rPr>
          <w:szCs w:val="22"/>
        </w:rPr>
      </w:pPr>
      <w:r w:rsidRPr="00222597">
        <w:rPr>
          <w:szCs w:val="22"/>
        </w:rPr>
        <w:t>The DUSC considered the estimate of 14.4% of patients having moderate to severe symptoms of uterine fibroids based on the proportion of patients in Zimmermann et al who experienced chronic pelvic pain on all or most days of the month (and clinical advice) to be an underestimate</w:t>
      </w:r>
      <w:proofErr w:type="gramStart"/>
      <w:r w:rsidRPr="00222597">
        <w:rPr>
          <w:szCs w:val="22"/>
        </w:rPr>
        <w:t xml:space="preserve">.  </w:t>
      </w:r>
      <w:proofErr w:type="gramEnd"/>
      <w:r w:rsidRPr="00222597">
        <w:rPr>
          <w:szCs w:val="22"/>
        </w:rPr>
        <w:t xml:space="preserve">The DUSC considered that chronic pelvic pain </w:t>
      </w:r>
      <w:r w:rsidR="004E6A9B" w:rsidRPr="00222597">
        <w:rPr>
          <w:szCs w:val="22"/>
        </w:rPr>
        <w:t>wa</w:t>
      </w:r>
      <w:r w:rsidRPr="00222597">
        <w:rPr>
          <w:szCs w:val="22"/>
        </w:rPr>
        <w:t>s more likely a severe symptom indicator and that moderate to severe symptoms would likely include other severity indicators reported in Zimmermann et al, such as prolonged duration of menstrual bleeding (37.3%) and pressure on the bladder or inside the abdomen (32.6%).</w:t>
      </w:r>
    </w:p>
    <w:p w:rsidR="00BB4AD9" w:rsidRPr="00222597" w:rsidRDefault="00BB4AD9" w:rsidP="00BB4AD9">
      <w:pPr>
        <w:pStyle w:val="ListParagraph"/>
        <w:widowControl/>
        <w:numPr>
          <w:ilvl w:val="0"/>
          <w:numId w:val="55"/>
        </w:numPr>
        <w:ind w:left="1134"/>
        <w:rPr>
          <w:szCs w:val="22"/>
        </w:rPr>
      </w:pPr>
      <w:r w:rsidRPr="00222597">
        <w:rPr>
          <w:szCs w:val="22"/>
        </w:rPr>
        <w:t xml:space="preserve">The relative proportions of patients assumed to receive surgery, </w:t>
      </w:r>
      <w:r w:rsidR="00222597">
        <w:rPr>
          <w:szCs w:val="22"/>
        </w:rPr>
        <w:t>short-term</w:t>
      </w:r>
      <w:r w:rsidRPr="00222597">
        <w:rPr>
          <w:szCs w:val="22"/>
        </w:rPr>
        <w:t xml:space="preserve"> medical therapy and medium-long term medical therapy, in both the scenario without </w:t>
      </w:r>
      <w:proofErr w:type="spellStart"/>
      <w:r w:rsidRPr="00222597">
        <w:rPr>
          <w:szCs w:val="22"/>
        </w:rPr>
        <w:t>ulipristal</w:t>
      </w:r>
      <w:proofErr w:type="spellEnd"/>
      <w:r w:rsidRPr="00222597">
        <w:rPr>
          <w:szCs w:val="22"/>
        </w:rPr>
        <w:t xml:space="preserve"> and the scenario in which </w:t>
      </w:r>
      <w:proofErr w:type="spellStart"/>
      <w:r w:rsidRPr="00222597">
        <w:rPr>
          <w:szCs w:val="22"/>
        </w:rPr>
        <w:t>ulipristal</w:t>
      </w:r>
      <w:proofErr w:type="spellEnd"/>
      <w:r w:rsidRPr="00222597">
        <w:rPr>
          <w:szCs w:val="22"/>
        </w:rPr>
        <w:t xml:space="preserve"> is listed on the PBS, was based on informal clinical opinion</w:t>
      </w:r>
      <w:r w:rsidR="004734CA" w:rsidRPr="00030326">
        <w:rPr>
          <w:szCs w:val="22"/>
        </w:rPr>
        <w:t>. The DUSC considered th</w:t>
      </w:r>
      <w:r w:rsidR="001A1BF4" w:rsidRPr="00030326">
        <w:rPr>
          <w:szCs w:val="22"/>
        </w:rPr>
        <w:t>at th</w:t>
      </w:r>
      <w:r w:rsidR="00626446" w:rsidRPr="00030326">
        <w:rPr>
          <w:szCs w:val="22"/>
        </w:rPr>
        <w:t>e</w:t>
      </w:r>
      <w:r w:rsidR="004734CA" w:rsidRPr="00030326">
        <w:rPr>
          <w:szCs w:val="22"/>
        </w:rPr>
        <w:t xml:space="preserve"> overall proportion of pat</w:t>
      </w:r>
      <w:r w:rsidR="004734CA" w:rsidRPr="00F368D9">
        <w:rPr>
          <w:szCs w:val="22"/>
        </w:rPr>
        <w:t xml:space="preserve">ients estimated to receive </w:t>
      </w:r>
      <w:proofErr w:type="spellStart"/>
      <w:r w:rsidR="004734CA" w:rsidRPr="00F368D9">
        <w:rPr>
          <w:szCs w:val="22"/>
        </w:rPr>
        <w:t>ulipristal</w:t>
      </w:r>
      <w:proofErr w:type="spellEnd"/>
      <w:r w:rsidR="004734CA" w:rsidRPr="00F368D9">
        <w:rPr>
          <w:szCs w:val="22"/>
        </w:rPr>
        <w:t xml:space="preserve"> were underestimated and </w:t>
      </w:r>
      <w:r w:rsidR="001A1BF4" w:rsidRPr="00222597">
        <w:rPr>
          <w:szCs w:val="22"/>
        </w:rPr>
        <w:t xml:space="preserve">that </w:t>
      </w:r>
      <w:r w:rsidR="004734CA" w:rsidRPr="00222597">
        <w:rPr>
          <w:szCs w:val="22"/>
        </w:rPr>
        <w:t xml:space="preserve">the removal of </w:t>
      </w:r>
      <w:r w:rsidR="001466EA">
        <w:rPr>
          <w:noProof/>
          <w:color w:val="000000"/>
          <w:szCs w:val="22"/>
          <w:highlight w:val="black"/>
        </w:rPr>
        <w:t>''''''</w:t>
      </w:r>
      <w:r w:rsidR="004734CA" w:rsidRPr="00222597">
        <w:rPr>
          <w:szCs w:val="22"/>
        </w:rPr>
        <w:t xml:space="preserve">% of patients from the eligible population for immediate surgery (without medical pre-treatment) may </w:t>
      </w:r>
      <w:r w:rsidR="001A1BF4" w:rsidRPr="00222597">
        <w:rPr>
          <w:szCs w:val="22"/>
        </w:rPr>
        <w:t xml:space="preserve">have </w:t>
      </w:r>
      <w:r w:rsidR="004734CA" w:rsidRPr="00222597">
        <w:rPr>
          <w:szCs w:val="22"/>
        </w:rPr>
        <w:t>contribute</w:t>
      </w:r>
      <w:r w:rsidR="001A1BF4" w:rsidRPr="00222597">
        <w:rPr>
          <w:szCs w:val="22"/>
        </w:rPr>
        <w:t>d</w:t>
      </w:r>
      <w:r w:rsidR="004734CA" w:rsidRPr="00222597">
        <w:rPr>
          <w:szCs w:val="22"/>
        </w:rPr>
        <w:t xml:space="preserve"> to the underestimation</w:t>
      </w:r>
      <w:proofErr w:type="gramStart"/>
      <w:r w:rsidR="004734CA" w:rsidRPr="00222597">
        <w:rPr>
          <w:szCs w:val="22"/>
        </w:rPr>
        <w:t xml:space="preserve">.  </w:t>
      </w:r>
      <w:proofErr w:type="gramEnd"/>
      <w:r w:rsidR="004734CA" w:rsidRPr="00222597">
        <w:rPr>
          <w:szCs w:val="22"/>
        </w:rPr>
        <w:t>The DUSC considered that the availability of a tablet may change the decision context for a patient and may result in a higher proportion of patients receiving medical pre-treatment and delaying surgery.</w:t>
      </w:r>
      <w:r w:rsidRPr="00222597">
        <w:rPr>
          <w:szCs w:val="22"/>
        </w:rPr>
        <w:t xml:space="preserve"> </w:t>
      </w:r>
    </w:p>
    <w:p w:rsidR="004734CA" w:rsidRPr="00030326" w:rsidRDefault="004734CA" w:rsidP="00E10FC7">
      <w:pPr>
        <w:pStyle w:val="ListParagraph"/>
        <w:widowControl/>
        <w:numPr>
          <w:ilvl w:val="0"/>
          <w:numId w:val="55"/>
        </w:numPr>
        <w:ind w:left="1134"/>
        <w:rPr>
          <w:szCs w:val="22"/>
        </w:rPr>
      </w:pPr>
      <w:r w:rsidRPr="00222597">
        <w:rPr>
          <w:szCs w:val="22"/>
        </w:rPr>
        <w:t xml:space="preserve">The DUSC considered that for the </w:t>
      </w:r>
      <w:r w:rsidR="00222597">
        <w:rPr>
          <w:szCs w:val="22"/>
        </w:rPr>
        <w:t>short-term</w:t>
      </w:r>
      <w:r w:rsidRPr="00222597">
        <w:rPr>
          <w:szCs w:val="22"/>
        </w:rPr>
        <w:t xml:space="preserve"> pre-surgery population</w:t>
      </w:r>
      <w:r w:rsidR="00657DFE" w:rsidRPr="00222597">
        <w:rPr>
          <w:szCs w:val="22"/>
        </w:rPr>
        <w:t>,</w:t>
      </w:r>
      <w:r w:rsidRPr="00222597">
        <w:rPr>
          <w:szCs w:val="22"/>
        </w:rPr>
        <w:t xml:space="preserve"> where use of </w:t>
      </w:r>
      <w:proofErr w:type="spellStart"/>
      <w:r w:rsidRPr="00222597">
        <w:rPr>
          <w:szCs w:val="22"/>
        </w:rPr>
        <w:t>ulipristal</w:t>
      </w:r>
      <w:proofErr w:type="spellEnd"/>
      <w:r w:rsidRPr="00222597">
        <w:rPr>
          <w:szCs w:val="22"/>
        </w:rPr>
        <w:t xml:space="preserve"> would essentially be a once in a </w:t>
      </w:r>
      <w:r w:rsidR="00030326" w:rsidRPr="00222597">
        <w:rPr>
          <w:szCs w:val="22"/>
        </w:rPr>
        <w:t>lifetime</w:t>
      </w:r>
      <w:r w:rsidRPr="00222597">
        <w:rPr>
          <w:szCs w:val="22"/>
        </w:rPr>
        <w:t xml:space="preserve"> treatment</w:t>
      </w:r>
      <w:r w:rsidR="00657DFE" w:rsidRPr="00030326">
        <w:rPr>
          <w:szCs w:val="22"/>
        </w:rPr>
        <w:t>, an incidence approach</w:t>
      </w:r>
      <w:r w:rsidRPr="00030326">
        <w:rPr>
          <w:szCs w:val="22"/>
        </w:rPr>
        <w:t xml:space="preserve"> accounting for a p</w:t>
      </w:r>
      <w:r w:rsidR="00657DFE" w:rsidRPr="00030326">
        <w:rPr>
          <w:szCs w:val="22"/>
        </w:rPr>
        <w:t>revalent pool in the first year</w:t>
      </w:r>
      <w:r w:rsidRPr="00030326">
        <w:rPr>
          <w:szCs w:val="22"/>
        </w:rPr>
        <w:t xml:space="preserve"> may be more appropriate</w:t>
      </w:r>
      <w:proofErr w:type="gramStart"/>
      <w:r w:rsidRPr="00030326">
        <w:rPr>
          <w:szCs w:val="22"/>
        </w:rPr>
        <w:t xml:space="preserve">.  </w:t>
      </w:r>
      <w:proofErr w:type="gramEnd"/>
      <w:r w:rsidRPr="00030326">
        <w:rPr>
          <w:szCs w:val="22"/>
        </w:rPr>
        <w:t>The DUSC recognised that this approach may be limited by data, but that triangulat</w:t>
      </w:r>
      <w:r w:rsidRPr="00F368D9">
        <w:rPr>
          <w:szCs w:val="22"/>
        </w:rPr>
        <w:t>ion with available data on surgical interventions may reduce the uncertainty of the estimates.</w:t>
      </w:r>
      <w:r w:rsidR="00E10FC7" w:rsidRPr="00222597">
        <w:rPr>
          <w:szCs w:val="22"/>
        </w:rPr>
        <w:t xml:space="preserve"> The sponsor and the PBAC agreed with this approach. Therefore, the PBAC recommended </w:t>
      </w:r>
      <w:r w:rsidR="007C7F63" w:rsidRPr="00222597">
        <w:rPr>
          <w:szCs w:val="22"/>
        </w:rPr>
        <w:t>that any</w:t>
      </w:r>
      <w:r w:rsidR="00E10FC7" w:rsidRPr="00222597">
        <w:rPr>
          <w:szCs w:val="22"/>
        </w:rPr>
        <w:t xml:space="preserve"> revised </w:t>
      </w:r>
      <w:r w:rsidR="006B1387" w:rsidRPr="00222597">
        <w:rPr>
          <w:szCs w:val="22"/>
        </w:rPr>
        <w:t>estimates</w:t>
      </w:r>
      <w:r w:rsidR="00E10FC7" w:rsidRPr="00222597">
        <w:rPr>
          <w:szCs w:val="22"/>
        </w:rPr>
        <w:t xml:space="preserve"> should use an incidence </w:t>
      </w:r>
      <w:r w:rsidR="00121E88">
        <w:rPr>
          <w:szCs w:val="22"/>
        </w:rPr>
        <w:t>approach</w:t>
      </w:r>
      <w:r w:rsidR="00E10FC7" w:rsidRPr="00222597">
        <w:rPr>
          <w:szCs w:val="22"/>
        </w:rPr>
        <w:t xml:space="preserve"> </w:t>
      </w:r>
      <w:r w:rsidR="00030326">
        <w:rPr>
          <w:szCs w:val="22"/>
        </w:rPr>
        <w:t xml:space="preserve">and be subject to </w:t>
      </w:r>
      <w:r w:rsidR="00E10FC7" w:rsidRPr="00030326">
        <w:rPr>
          <w:szCs w:val="22"/>
        </w:rPr>
        <w:t xml:space="preserve">a </w:t>
      </w:r>
      <w:r w:rsidR="00030326">
        <w:rPr>
          <w:szCs w:val="22"/>
        </w:rPr>
        <w:t>R</w:t>
      </w:r>
      <w:r w:rsidR="00030326" w:rsidRPr="00030326">
        <w:rPr>
          <w:szCs w:val="22"/>
        </w:rPr>
        <w:t xml:space="preserve">isk </w:t>
      </w:r>
      <w:r w:rsidR="00030326">
        <w:rPr>
          <w:szCs w:val="22"/>
        </w:rPr>
        <w:t>S</w:t>
      </w:r>
      <w:r w:rsidR="00030326" w:rsidRPr="00030326">
        <w:rPr>
          <w:szCs w:val="22"/>
        </w:rPr>
        <w:t xml:space="preserve">hare </w:t>
      </w:r>
      <w:r w:rsidR="00030326">
        <w:rPr>
          <w:szCs w:val="22"/>
        </w:rPr>
        <w:t>A</w:t>
      </w:r>
      <w:r w:rsidR="00030326" w:rsidRPr="00030326">
        <w:rPr>
          <w:szCs w:val="22"/>
        </w:rPr>
        <w:t>rrangement</w:t>
      </w:r>
      <w:r w:rsidR="00E10FC7" w:rsidRPr="00030326">
        <w:rPr>
          <w:szCs w:val="22"/>
        </w:rPr>
        <w:t>.</w:t>
      </w:r>
    </w:p>
    <w:p w:rsidR="00BB4AD9" w:rsidRPr="00222597" w:rsidRDefault="004734CA" w:rsidP="00E653F2">
      <w:pPr>
        <w:pStyle w:val="ListParagraph"/>
        <w:widowControl/>
        <w:numPr>
          <w:ilvl w:val="0"/>
          <w:numId w:val="55"/>
        </w:numPr>
        <w:ind w:left="1134"/>
        <w:rPr>
          <w:szCs w:val="22"/>
        </w:rPr>
      </w:pPr>
      <w:r w:rsidRPr="00F368D9">
        <w:rPr>
          <w:szCs w:val="22"/>
        </w:rPr>
        <w:t xml:space="preserve">The DUSC </w:t>
      </w:r>
      <w:r w:rsidR="003226E0" w:rsidRPr="00222597">
        <w:rPr>
          <w:szCs w:val="22"/>
        </w:rPr>
        <w:t xml:space="preserve">considered </w:t>
      </w:r>
      <w:r w:rsidR="00BB4AD9" w:rsidRPr="00222597">
        <w:rPr>
          <w:szCs w:val="22"/>
        </w:rPr>
        <w:t xml:space="preserve">that </w:t>
      </w:r>
      <w:r w:rsidR="007C7F63" w:rsidRPr="00222597">
        <w:rPr>
          <w:szCs w:val="22"/>
        </w:rPr>
        <w:t xml:space="preserve">given </w:t>
      </w:r>
      <w:r w:rsidR="00BB4AD9" w:rsidRPr="00222597">
        <w:rPr>
          <w:szCs w:val="22"/>
        </w:rPr>
        <w:t>there are currently no PBS-listed drugs for the treatment of moderate to severe symptoms of uterine fibroids:</w:t>
      </w:r>
    </w:p>
    <w:p w:rsidR="00BB4AD9" w:rsidRPr="00030326" w:rsidRDefault="00BB4AD9" w:rsidP="00BB4AD9">
      <w:pPr>
        <w:pStyle w:val="ListParagraph"/>
        <w:widowControl/>
        <w:numPr>
          <w:ilvl w:val="1"/>
          <w:numId w:val="55"/>
        </w:numPr>
        <w:ind w:left="1560"/>
        <w:rPr>
          <w:szCs w:val="22"/>
        </w:rPr>
      </w:pPr>
      <w:r w:rsidRPr="00222597">
        <w:rPr>
          <w:szCs w:val="22"/>
        </w:rPr>
        <w:t xml:space="preserve">The assumption that listing of </w:t>
      </w:r>
      <w:proofErr w:type="spellStart"/>
      <w:r w:rsidRPr="00222597">
        <w:rPr>
          <w:szCs w:val="22"/>
        </w:rPr>
        <w:t>ulipristal</w:t>
      </w:r>
      <w:proofErr w:type="spellEnd"/>
      <w:r w:rsidRPr="00222597">
        <w:rPr>
          <w:szCs w:val="22"/>
        </w:rPr>
        <w:t xml:space="preserve"> would not increase the proportion of patients receiving both </w:t>
      </w:r>
      <w:r w:rsidR="00222597">
        <w:rPr>
          <w:szCs w:val="22"/>
        </w:rPr>
        <w:t>short-term</w:t>
      </w:r>
      <w:r w:rsidRPr="00222597">
        <w:rPr>
          <w:szCs w:val="22"/>
        </w:rPr>
        <w:t xml:space="preserve"> and medium-long term medical therapy was not adequately justified; and</w:t>
      </w:r>
    </w:p>
    <w:p w:rsidR="00BB4AD9" w:rsidRPr="00030326" w:rsidRDefault="00BB4AD9" w:rsidP="00BB4AD9">
      <w:pPr>
        <w:pStyle w:val="ListParagraph"/>
        <w:widowControl/>
        <w:numPr>
          <w:ilvl w:val="1"/>
          <w:numId w:val="55"/>
        </w:numPr>
        <w:ind w:left="1560"/>
        <w:rPr>
          <w:szCs w:val="22"/>
        </w:rPr>
      </w:pPr>
      <w:r w:rsidRPr="00F368D9">
        <w:rPr>
          <w:szCs w:val="22"/>
        </w:rPr>
        <w:t xml:space="preserve">The uptake of </w:t>
      </w:r>
      <w:proofErr w:type="spellStart"/>
      <w:r w:rsidRPr="00F368D9">
        <w:rPr>
          <w:szCs w:val="22"/>
        </w:rPr>
        <w:t>ulipristal</w:t>
      </w:r>
      <w:proofErr w:type="spellEnd"/>
      <w:r w:rsidRPr="00F368D9">
        <w:rPr>
          <w:szCs w:val="22"/>
        </w:rPr>
        <w:t xml:space="preserve">, especially in the </w:t>
      </w:r>
      <w:r w:rsidR="00222597">
        <w:rPr>
          <w:szCs w:val="22"/>
        </w:rPr>
        <w:t>short-term</w:t>
      </w:r>
      <w:r w:rsidR="002B1E9A">
        <w:rPr>
          <w:szCs w:val="22"/>
        </w:rPr>
        <w:t xml:space="preserve"> pre-surgical setting,</w:t>
      </w:r>
      <w:r w:rsidRPr="00030326">
        <w:rPr>
          <w:szCs w:val="22"/>
        </w:rPr>
        <w:t xml:space="preserve"> </w:t>
      </w:r>
      <w:r w:rsidR="001F56E0" w:rsidRPr="00030326">
        <w:rPr>
          <w:szCs w:val="22"/>
        </w:rPr>
        <w:t>wa</w:t>
      </w:r>
      <w:r w:rsidR="00C703C6" w:rsidRPr="00030326">
        <w:rPr>
          <w:szCs w:val="22"/>
        </w:rPr>
        <w:t xml:space="preserve">s likely to </w:t>
      </w:r>
      <w:r w:rsidRPr="00030326">
        <w:rPr>
          <w:szCs w:val="22"/>
        </w:rPr>
        <w:t>be underestimated.</w:t>
      </w:r>
    </w:p>
    <w:p w:rsidR="00BB4AD9" w:rsidRPr="00F368D9" w:rsidRDefault="00BB4AD9" w:rsidP="00BB4AD9">
      <w:pPr>
        <w:widowControl/>
        <w:rPr>
          <w:szCs w:val="22"/>
        </w:rPr>
      </w:pPr>
    </w:p>
    <w:p w:rsidR="00BB4AD9" w:rsidRPr="00030326" w:rsidRDefault="00BB4AD9" w:rsidP="00BB4AD9">
      <w:pPr>
        <w:pStyle w:val="ListParagraph"/>
        <w:widowControl/>
        <w:numPr>
          <w:ilvl w:val="1"/>
          <w:numId w:val="3"/>
        </w:numPr>
        <w:rPr>
          <w:szCs w:val="22"/>
        </w:rPr>
      </w:pPr>
      <w:r w:rsidRPr="00222597">
        <w:t xml:space="preserve">The submission inappropriately deducted cost savings resulting from the substitution of </w:t>
      </w:r>
      <w:proofErr w:type="spellStart"/>
      <w:r w:rsidRPr="00222597">
        <w:t>ulipristal</w:t>
      </w:r>
      <w:proofErr w:type="spellEnd"/>
      <w:r w:rsidRPr="00222597">
        <w:t xml:space="preserve"> for </w:t>
      </w:r>
      <w:proofErr w:type="spellStart"/>
      <w:r w:rsidRPr="00222597">
        <w:t>goserelin</w:t>
      </w:r>
      <w:proofErr w:type="spellEnd"/>
      <w:r w:rsidRPr="00222597">
        <w:t xml:space="preserve">. </w:t>
      </w:r>
      <w:proofErr w:type="spellStart"/>
      <w:r w:rsidRPr="00222597">
        <w:t>Goserelin</w:t>
      </w:r>
      <w:proofErr w:type="spellEnd"/>
      <w:r w:rsidRPr="00222597">
        <w:t xml:space="preserve"> is not listed on the PBS for this indication.</w:t>
      </w:r>
      <w:r w:rsidR="00ED69E5" w:rsidRPr="00222597">
        <w:t xml:space="preserve"> </w:t>
      </w:r>
      <w:r w:rsidR="00272C71" w:rsidRPr="00222597">
        <w:t xml:space="preserve">The DUSC </w:t>
      </w:r>
      <w:r w:rsidR="003226E0" w:rsidRPr="00222597">
        <w:t>indicated</w:t>
      </w:r>
      <w:r w:rsidR="00272C71" w:rsidRPr="00222597">
        <w:t xml:space="preserve"> that the</w:t>
      </w:r>
      <w:r w:rsidR="00272C71" w:rsidRPr="00222597">
        <w:rPr>
          <w:szCs w:val="22"/>
        </w:rPr>
        <w:t xml:space="preserve"> submission did not provide any evidence that PBS subsidised </w:t>
      </w:r>
      <w:proofErr w:type="spellStart"/>
      <w:r w:rsidR="00272C71" w:rsidRPr="00222597">
        <w:rPr>
          <w:szCs w:val="22"/>
        </w:rPr>
        <w:t>goserelin</w:t>
      </w:r>
      <w:proofErr w:type="spellEnd"/>
      <w:r w:rsidR="00272C71" w:rsidRPr="00222597">
        <w:rPr>
          <w:szCs w:val="22"/>
        </w:rPr>
        <w:t xml:space="preserve"> is currently prescribed outside of the restriction for uterine fibroids. The DUSC also considered that it is unlikely that patients would receive 13.04 </w:t>
      </w:r>
      <w:proofErr w:type="spellStart"/>
      <w:r w:rsidR="00272C71" w:rsidRPr="00222597">
        <w:rPr>
          <w:szCs w:val="22"/>
        </w:rPr>
        <w:t>goserelin</w:t>
      </w:r>
      <w:proofErr w:type="spellEnd"/>
      <w:r w:rsidR="00272C71" w:rsidRPr="00222597">
        <w:rPr>
          <w:szCs w:val="22"/>
        </w:rPr>
        <w:t xml:space="preserve"> implants per year as used in the submission’s </w:t>
      </w:r>
      <w:r w:rsidR="00222597">
        <w:rPr>
          <w:szCs w:val="22"/>
        </w:rPr>
        <w:t>long-term</w:t>
      </w:r>
      <w:r w:rsidR="00272C71" w:rsidRPr="00222597">
        <w:rPr>
          <w:szCs w:val="22"/>
        </w:rPr>
        <w:t xml:space="preserve"> treatment utilisation assumptions as the TGA registration for </w:t>
      </w:r>
      <w:proofErr w:type="spellStart"/>
      <w:r w:rsidR="00272C71" w:rsidRPr="00222597">
        <w:rPr>
          <w:szCs w:val="22"/>
        </w:rPr>
        <w:t>goserelin</w:t>
      </w:r>
      <w:proofErr w:type="spellEnd"/>
      <w:r w:rsidR="00272C71" w:rsidRPr="00222597">
        <w:rPr>
          <w:szCs w:val="22"/>
        </w:rPr>
        <w:t xml:space="preserve"> for uterine fibroids indicates treatment for only three to six months as an adjunct to surgery</w:t>
      </w:r>
      <w:r w:rsidR="007C7F63" w:rsidRPr="00030326">
        <w:rPr>
          <w:szCs w:val="22"/>
        </w:rPr>
        <w:t>,</w:t>
      </w:r>
      <w:r w:rsidR="00272C71" w:rsidRPr="00030326">
        <w:rPr>
          <w:szCs w:val="22"/>
        </w:rPr>
        <w:t xml:space="preserve"> to facilitate the operative technique and reduce operative blood loss. Additionally</w:t>
      </w:r>
      <w:r w:rsidR="0025618B" w:rsidRPr="00F368D9">
        <w:rPr>
          <w:szCs w:val="22"/>
        </w:rPr>
        <w:t>,</w:t>
      </w:r>
      <w:r w:rsidR="00272C71" w:rsidRPr="00222597">
        <w:rPr>
          <w:szCs w:val="22"/>
        </w:rPr>
        <w:t xml:space="preserve"> treatment with </w:t>
      </w:r>
      <w:proofErr w:type="spellStart"/>
      <w:r w:rsidR="00272C71" w:rsidRPr="00222597">
        <w:rPr>
          <w:szCs w:val="22"/>
        </w:rPr>
        <w:t>goserelin</w:t>
      </w:r>
      <w:proofErr w:type="spellEnd"/>
      <w:r w:rsidR="00272C71" w:rsidRPr="00222597">
        <w:rPr>
          <w:szCs w:val="22"/>
        </w:rPr>
        <w:t xml:space="preserve"> may result in substantial adverse effects including reduced bone </w:t>
      </w:r>
      <w:r w:rsidR="00030326" w:rsidRPr="00222597">
        <w:rPr>
          <w:szCs w:val="22"/>
        </w:rPr>
        <w:t>density that</w:t>
      </w:r>
      <w:r w:rsidR="00272C71" w:rsidRPr="00222597">
        <w:rPr>
          <w:szCs w:val="22"/>
        </w:rPr>
        <w:t xml:space="preserve"> also makes likely </w:t>
      </w:r>
      <w:r w:rsidR="00222597">
        <w:rPr>
          <w:szCs w:val="22"/>
        </w:rPr>
        <w:t>long-term</w:t>
      </w:r>
      <w:r w:rsidR="00272C71" w:rsidRPr="00222597">
        <w:rPr>
          <w:szCs w:val="22"/>
        </w:rPr>
        <w:t xml:space="preserve"> use outside registration less likely</w:t>
      </w:r>
      <w:r w:rsidR="00272C71" w:rsidRPr="00030326">
        <w:rPr>
          <w:i/>
          <w:szCs w:val="22"/>
        </w:rPr>
        <w:t>.</w:t>
      </w:r>
    </w:p>
    <w:p w:rsidR="00BB4AD9" w:rsidRPr="00F368D9" w:rsidRDefault="00BB4AD9" w:rsidP="00BB4AD9">
      <w:pPr>
        <w:widowControl/>
        <w:rPr>
          <w:szCs w:val="22"/>
        </w:rPr>
      </w:pPr>
    </w:p>
    <w:p w:rsidR="00BB4AD9" w:rsidRPr="00F368D9" w:rsidRDefault="00BB4AD9" w:rsidP="00BB4AD9">
      <w:pPr>
        <w:pStyle w:val="ListParagraph"/>
        <w:widowControl/>
        <w:numPr>
          <w:ilvl w:val="1"/>
          <w:numId w:val="3"/>
        </w:numPr>
        <w:rPr>
          <w:szCs w:val="22"/>
        </w:rPr>
      </w:pPr>
      <w:r w:rsidRPr="00222597">
        <w:rPr>
          <w:szCs w:val="22"/>
        </w:rPr>
        <w:t>Despite previously stating that</w:t>
      </w:r>
      <w:r w:rsidRPr="00222597">
        <w:t xml:space="preserve"> pharmacological therapies, other than </w:t>
      </w:r>
      <w:proofErr w:type="spellStart"/>
      <w:r w:rsidRPr="00222597">
        <w:t>goserelin</w:t>
      </w:r>
      <w:proofErr w:type="spellEnd"/>
      <w:r w:rsidRPr="00222597">
        <w:t xml:space="preserve">, are generally reserved for patients with milder symptoms and/or for </w:t>
      </w:r>
      <w:r w:rsidR="00222597">
        <w:t>short-term</w:t>
      </w:r>
      <w:r w:rsidRPr="00222597">
        <w:t xml:space="preserve"> symptom alleviation, the submission offset costs associated with substitution for these drugs, in both the </w:t>
      </w:r>
      <w:r w:rsidR="00222597">
        <w:t>short-term</w:t>
      </w:r>
      <w:r w:rsidRPr="00222597">
        <w:t xml:space="preserve"> treatment and the medium-long term</w:t>
      </w:r>
      <w:r w:rsidRPr="00030326">
        <w:t xml:space="preserve"> treatment settings.</w:t>
      </w:r>
    </w:p>
    <w:p w:rsidR="00BB4AD9" w:rsidRPr="00222597" w:rsidRDefault="00BB4AD9" w:rsidP="00BB4AD9">
      <w:pPr>
        <w:pStyle w:val="ListParagraph"/>
        <w:widowControl/>
        <w:rPr>
          <w:szCs w:val="22"/>
        </w:rPr>
      </w:pPr>
    </w:p>
    <w:p w:rsidR="00BB4AD9" w:rsidRPr="00222597" w:rsidRDefault="00BB4AD9" w:rsidP="00BB4AD9">
      <w:pPr>
        <w:pStyle w:val="ListParagraph"/>
        <w:widowControl/>
        <w:numPr>
          <w:ilvl w:val="1"/>
          <w:numId w:val="3"/>
        </w:numPr>
      </w:pPr>
      <w:r w:rsidRPr="00222597">
        <w:t xml:space="preserve">Due to the inappropriate deduction of potential savings resulting from substitution for </w:t>
      </w:r>
      <w:proofErr w:type="spellStart"/>
      <w:r w:rsidRPr="00222597">
        <w:t>goserelin</w:t>
      </w:r>
      <w:proofErr w:type="spellEnd"/>
      <w:r w:rsidRPr="00222597">
        <w:t xml:space="preserve">, there is potential for the net cost/year for the PBS/RPBS to be considerably greater than estimated in the submission. </w:t>
      </w:r>
      <w:r w:rsidR="006B1387" w:rsidRPr="00222597">
        <w:t xml:space="preserve">The </w:t>
      </w:r>
      <w:r w:rsidR="00ED69E5" w:rsidRPr="00222597">
        <w:t xml:space="preserve">DUSC </w:t>
      </w:r>
      <w:r w:rsidR="00F368D9" w:rsidRPr="00222597">
        <w:t>noted that</w:t>
      </w:r>
      <w:r w:rsidR="00ED69E5" w:rsidRPr="00222597">
        <w:t xml:space="preserve"> </w:t>
      </w:r>
      <w:r w:rsidR="00ED69E5" w:rsidRPr="00222597">
        <w:rPr>
          <w:szCs w:val="22"/>
        </w:rPr>
        <w:t xml:space="preserve">removing the cost-offsets for </w:t>
      </w:r>
      <w:proofErr w:type="spellStart"/>
      <w:r w:rsidR="00ED69E5" w:rsidRPr="00222597">
        <w:rPr>
          <w:szCs w:val="22"/>
        </w:rPr>
        <w:t>goserelin</w:t>
      </w:r>
      <w:proofErr w:type="spellEnd"/>
      <w:r w:rsidR="00ED69E5" w:rsidRPr="00222597">
        <w:rPr>
          <w:szCs w:val="22"/>
        </w:rPr>
        <w:t xml:space="preserve"> from the estimates could change the net cost to the PBS/RPBS in Year 5 from </w:t>
      </w:r>
      <w:r w:rsidR="006C33BD">
        <w:rPr>
          <w:szCs w:val="22"/>
        </w:rPr>
        <w:t xml:space="preserve">less than </w:t>
      </w:r>
      <w:r w:rsidR="00ED69E5" w:rsidRPr="00222597">
        <w:rPr>
          <w:szCs w:val="22"/>
        </w:rPr>
        <w:t>$</w:t>
      </w:r>
      <w:r w:rsidR="006C33BD">
        <w:rPr>
          <w:szCs w:val="22"/>
        </w:rPr>
        <w:t>10 million</w:t>
      </w:r>
      <w:r w:rsidR="00ED69E5" w:rsidRPr="00222597">
        <w:rPr>
          <w:szCs w:val="22"/>
        </w:rPr>
        <w:t xml:space="preserve"> to $30</w:t>
      </w:r>
      <w:r w:rsidR="006C33BD">
        <w:rPr>
          <w:szCs w:val="22"/>
        </w:rPr>
        <w:t xml:space="preserve"> - $60 million</w:t>
      </w:r>
      <w:r w:rsidR="00272C71" w:rsidRPr="00222597">
        <w:rPr>
          <w:szCs w:val="22"/>
        </w:rPr>
        <w:t>, which is considerably higher than estimated in the submission</w:t>
      </w:r>
      <w:r w:rsidR="00ED69E5" w:rsidRPr="00222597">
        <w:rPr>
          <w:szCs w:val="22"/>
        </w:rPr>
        <w:t>.</w:t>
      </w:r>
      <w:r w:rsidR="003E3342">
        <w:rPr>
          <w:szCs w:val="22"/>
        </w:rPr>
        <w:t xml:space="preserve"> </w:t>
      </w:r>
      <w:r w:rsidR="00F35934">
        <w:rPr>
          <w:szCs w:val="22"/>
        </w:rPr>
        <w:t>T</w:t>
      </w:r>
      <w:r w:rsidR="00E10FC7" w:rsidRPr="00222597">
        <w:rPr>
          <w:szCs w:val="22"/>
        </w:rPr>
        <w:t xml:space="preserve">he PBAC </w:t>
      </w:r>
      <w:r w:rsidR="00F35934">
        <w:rPr>
          <w:szCs w:val="22"/>
        </w:rPr>
        <w:t>considered</w:t>
      </w:r>
      <w:r w:rsidR="00F35934" w:rsidRPr="00222597">
        <w:rPr>
          <w:szCs w:val="22"/>
        </w:rPr>
        <w:t xml:space="preserve"> </w:t>
      </w:r>
      <w:r w:rsidR="00E10FC7" w:rsidRPr="00222597">
        <w:rPr>
          <w:szCs w:val="22"/>
        </w:rPr>
        <w:t xml:space="preserve">that </w:t>
      </w:r>
      <w:r w:rsidR="00F35934">
        <w:rPr>
          <w:szCs w:val="22"/>
        </w:rPr>
        <w:t>the PBS</w:t>
      </w:r>
      <w:r w:rsidR="00F35934" w:rsidRPr="00222597">
        <w:rPr>
          <w:szCs w:val="22"/>
        </w:rPr>
        <w:t xml:space="preserve"> </w:t>
      </w:r>
      <w:r w:rsidR="00042B63" w:rsidRPr="00222597">
        <w:rPr>
          <w:szCs w:val="22"/>
        </w:rPr>
        <w:t>financial</w:t>
      </w:r>
      <w:r w:rsidR="006B1387" w:rsidRPr="00222597">
        <w:rPr>
          <w:szCs w:val="22"/>
        </w:rPr>
        <w:t xml:space="preserve"> estimate</w:t>
      </w:r>
      <w:r w:rsidR="00E10FC7" w:rsidRPr="00222597">
        <w:rPr>
          <w:szCs w:val="22"/>
        </w:rPr>
        <w:t xml:space="preserve">s should exclude </w:t>
      </w:r>
      <w:r w:rsidR="00E10FC7" w:rsidRPr="003E3342">
        <w:rPr>
          <w:bCs/>
        </w:rPr>
        <w:t xml:space="preserve">cost offsets for </w:t>
      </w:r>
      <w:proofErr w:type="spellStart"/>
      <w:r w:rsidR="00E10FC7" w:rsidRPr="003E3342">
        <w:rPr>
          <w:bCs/>
        </w:rPr>
        <w:t>goserelin</w:t>
      </w:r>
      <w:proofErr w:type="spellEnd"/>
      <w:r w:rsidR="00E10FC7" w:rsidRPr="003E3342">
        <w:rPr>
          <w:bCs/>
        </w:rPr>
        <w:t>.</w:t>
      </w:r>
    </w:p>
    <w:p w:rsidR="00453FD6" w:rsidRPr="00222597" w:rsidRDefault="00453FD6" w:rsidP="00E10FC7">
      <w:pPr>
        <w:pStyle w:val="ListParagraph"/>
      </w:pPr>
    </w:p>
    <w:p w:rsidR="00453FD6" w:rsidRPr="00222597" w:rsidRDefault="005A40CC" w:rsidP="005A40CC">
      <w:pPr>
        <w:pStyle w:val="ListParagraph"/>
        <w:widowControl/>
        <w:numPr>
          <w:ilvl w:val="1"/>
          <w:numId w:val="3"/>
        </w:numPr>
      </w:pPr>
      <w:r w:rsidRPr="00222597">
        <w:t xml:space="preserve">The DUSC considered that the uterine fibroid related symptoms of patients presenting for </w:t>
      </w:r>
      <w:r w:rsidRPr="00030326">
        <w:t>treatment would be of a moderate to severe nature</w:t>
      </w:r>
      <w:r w:rsidR="0025618B" w:rsidRPr="00030326">
        <w:t xml:space="preserve">, resulting in a low </w:t>
      </w:r>
      <w:r w:rsidRPr="00F368D9">
        <w:t>likelihood of use beyond the requested restriction for milder symptoms.</w:t>
      </w:r>
    </w:p>
    <w:p w:rsidR="00BB4AD9" w:rsidRPr="00222597" w:rsidRDefault="00BB4AD9" w:rsidP="00BB4AD9">
      <w:pPr>
        <w:pStyle w:val="PBACHeading1"/>
        <w:numPr>
          <w:ilvl w:val="0"/>
          <w:numId w:val="0"/>
        </w:numPr>
      </w:pPr>
    </w:p>
    <w:p w:rsidR="00E208E8" w:rsidRPr="00222597" w:rsidRDefault="00E208E8" w:rsidP="00E208E8">
      <w:pPr>
        <w:rPr>
          <w:bCs/>
          <w:szCs w:val="22"/>
        </w:rPr>
      </w:pPr>
      <w:r w:rsidRPr="00222597">
        <w:rPr>
          <w:bCs/>
          <w:i/>
          <w:szCs w:val="22"/>
        </w:rPr>
        <w:t>For more detail on PBAC’s view, see section 7 “PBAC outcome”</w:t>
      </w:r>
    </w:p>
    <w:p w:rsidR="00E208E8" w:rsidRPr="00222597" w:rsidRDefault="00E208E8" w:rsidP="00BB4AD9">
      <w:pPr>
        <w:pStyle w:val="PBACHeading1"/>
        <w:numPr>
          <w:ilvl w:val="0"/>
          <w:numId w:val="0"/>
        </w:numPr>
      </w:pPr>
    </w:p>
    <w:p w:rsidR="00C42AF8" w:rsidRPr="00222597" w:rsidRDefault="00C42AF8" w:rsidP="00BB4AD9">
      <w:pPr>
        <w:pStyle w:val="PBACHeading1"/>
        <w:numPr>
          <w:ilvl w:val="0"/>
          <w:numId w:val="0"/>
        </w:numPr>
      </w:pPr>
    </w:p>
    <w:p w:rsidR="003D4B12" w:rsidRPr="00222597" w:rsidRDefault="003D4B12" w:rsidP="001466EA">
      <w:pPr>
        <w:pStyle w:val="Heading1"/>
      </w:pPr>
      <w:r w:rsidRPr="00222597">
        <w:t>PBAC Outcome</w:t>
      </w:r>
    </w:p>
    <w:p w:rsidR="003D4B12" w:rsidRPr="003E3342" w:rsidRDefault="003D4B12" w:rsidP="003D4B12">
      <w:pPr>
        <w:rPr>
          <w:b/>
          <w:bCs/>
        </w:rPr>
      </w:pPr>
    </w:p>
    <w:p w:rsidR="003D4B12" w:rsidRPr="003E3342" w:rsidRDefault="008803C2" w:rsidP="008446ED">
      <w:pPr>
        <w:numPr>
          <w:ilvl w:val="1"/>
          <w:numId w:val="3"/>
        </w:numPr>
        <w:rPr>
          <w:bCs/>
        </w:rPr>
      </w:pPr>
      <w:r w:rsidRPr="003E3342">
        <w:rPr>
          <w:bCs/>
        </w:rPr>
        <w:t xml:space="preserve">The PBAC </w:t>
      </w:r>
      <w:r w:rsidR="00B017A4" w:rsidRPr="00222597">
        <w:t>decided not to recommend that</w:t>
      </w:r>
      <w:r w:rsidRPr="003E3342">
        <w:rPr>
          <w:bCs/>
        </w:rPr>
        <w:t xml:space="preserve"> </w:t>
      </w:r>
      <w:proofErr w:type="spellStart"/>
      <w:r w:rsidRPr="003E3342">
        <w:rPr>
          <w:bCs/>
        </w:rPr>
        <w:t>ulipristal</w:t>
      </w:r>
      <w:proofErr w:type="spellEnd"/>
      <w:r w:rsidRPr="003E3342">
        <w:rPr>
          <w:bCs/>
        </w:rPr>
        <w:t xml:space="preserve"> </w:t>
      </w:r>
      <w:r w:rsidR="00B017A4" w:rsidRPr="00222597">
        <w:t xml:space="preserve">be listed </w:t>
      </w:r>
      <w:r w:rsidR="00F963C6">
        <w:t>o</w:t>
      </w:r>
      <w:r w:rsidR="00B017A4" w:rsidRPr="00222597">
        <w:t xml:space="preserve">n the PBS </w:t>
      </w:r>
      <w:r w:rsidRPr="003E3342">
        <w:rPr>
          <w:bCs/>
        </w:rPr>
        <w:t xml:space="preserve">for the treatment of </w:t>
      </w:r>
      <w:r w:rsidR="004E6878" w:rsidRPr="003E3342">
        <w:rPr>
          <w:bCs/>
        </w:rPr>
        <w:t xml:space="preserve">moderate to severe </w:t>
      </w:r>
      <w:r w:rsidRPr="003E3342">
        <w:rPr>
          <w:bCs/>
        </w:rPr>
        <w:t>uterine fibroids on the basis that the clinica</w:t>
      </w:r>
      <w:r w:rsidR="00FB4801" w:rsidRPr="003E3342">
        <w:rPr>
          <w:bCs/>
        </w:rPr>
        <w:t xml:space="preserve">l place in therapy was </w:t>
      </w:r>
      <w:r w:rsidR="00F963C6">
        <w:rPr>
          <w:bCs/>
        </w:rPr>
        <w:t>not adequately established</w:t>
      </w:r>
      <w:r w:rsidR="00FB4801" w:rsidRPr="003E3342">
        <w:rPr>
          <w:bCs/>
        </w:rPr>
        <w:t>,</w:t>
      </w:r>
      <w:r w:rsidR="006350CF" w:rsidRPr="003E3342">
        <w:rPr>
          <w:bCs/>
        </w:rPr>
        <w:t xml:space="preserve"> the </w:t>
      </w:r>
      <w:r w:rsidR="00A84F2E">
        <w:rPr>
          <w:bCs/>
        </w:rPr>
        <w:t xml:space="preserve">nominated </w:t>
      </w:r>
      <w:r w:rsidRPr="003E3342">
        <w:rPr>
          <w:bCs/>
        </w:rPr>
        <w:t>comparator</w:t>
      </w:r>
      <w:r w:rsidR="004E6878" w:rsidRPr="003E3342">
        <w:rPr>
          <w:bCs/>
        </w:rPr>
        <w:t xml:space="preserve">, </w:t>
      </w:r>
      <w:proofErr w:type="spellStart"/>
      <w:r w:rsidR="004E6878" w:rsidRPr="003E3342">
        <w:rPr>
          <w:bCs/>
        </w:rPr>
        <w:t>goserelin</w:t>
      </w:r>
      <w:proofErr w:type="spellEnd"/>
      <w:r w:rsidR="004E6878" w:rsidRPr="003E3342">
        <w:rPr>
          <w:bCs/>
        </w:rPr>
        <w:t>,</w:t>
      </w:r>
      <w:r w:rsidRPr="003E3342">
        <w:rPr>
          <w:bCs/>
        </w:rPr>
        <w:t xml:space="preserve"> </w:t>
      </w:r>
      <w:r w:rsidR="00A84F2E">
        <w:rPr>
          <w:bCs/>
        </w:rPr>
        <w:t xml:space="preserve">is not PBS listed for the treatment of uterine fibroids and its use in clinical practice </w:t>
      </w:r>
      <w:r w:rsidR="00FB4801" w:rsidRPr="003E3342">
        <w:rPr>
          <w:bCs/>
        </w:rPr>
        <w:t>was not substantiated</w:t>
      </w:r>
      <w:r w:rsidR="00A84F2E">
        <w:rPr>
          <w:bCs/>
        </w:rPr>
        <w:t>,</w:t>
      </w:r>
      <w:r w:rsidR="001849CE" w:rsidRPr="003E3342">
        <w:rPr>
          <w:bCs/>
        </w:rPr>
        <w:t xml:space="preserve"> </w:t>
      </w:r>
      <w:r w:rsidRPr="003E3342">
        <w:rPr>
          <w:bCs/>
        </w:rPr>
        <w:t>the comparative effectiveness</w:t>
      </w:r>
      <w:r w:rsidR="00FB4801" w:rsidRPr="003E3342">
        <w:rPr>
          <w:bCs/>
        </w:rPr>
        <w:t xml:space="preserve"> and</w:t>
      </w:r>
      <w:r w:rsidR="00DC4E29" w:rsidRPr="003E3342">
        <w:rPr>
          <w:bCs/>
        </w:rPr>
        <w:t xml:space="preserve"> safety</w:t>
      </w:r>
      <w:r w:rsidR="00FB4801" w:rsidRPr="003E3342">
        <w:rPr>
          <w:bCs/>
        </w:rPr>
        <w:t xml:space="preserve"> </w:t>
      </w:r>
      <w:r w:rsidR="00B017A4" w:rsidRPr="003E3342">
        <w:rPr>
          <w:bCs/>
        </w:rPr>
        <w:t>of</w:t>
      </w:r>
      <w:r w:rsidRPr="003E3342">
        <w:rPr>
          <w:bCs/>
        </w:rPr>
        <w:t xml:space="preserve"> </w:t>
      </w:r>
      <w:proofErr w:type="spellStart"/>
      <w:r w:rsidRPr="003E3342">
        <w:rPr>
          <w:bCs/>
        </w:rPr>
        <w:t>ulipristal</w:t>
      </w:r>
      <w:proofErr w:type="spellEnd"/>
      <w:r w:rsidRPr="003E3342">
        <w:rPr>
          <w:bCs/>
        </w:rPr>
        <w:t xml:space="preserve"> </w:t>
      </w:r>
      <w:r w:rsidR="00B017A4" w:rsidRPr="003E3342">
        <w:rPr>
          <w:bCs/>
        </w:rPr>
        <w:t>compared to</w:t>
      </w:r>
      <w:r w:rsidRPr="003E3342">
        <w:rPr>
          <w:bCs/>
        </w:rPr>
        <w:t xml:space="preserve"> </w:t>
      </w:r>
      <w:proofErr w:type="spellStart"/>
      <w:r w:rsidRPr="003E3342">
        <w:rPr>
          <w:bCs/>
        </w:rPr>
        <w:t>goserelin</w:t>
      </w:r>
      <w:proofErr w:type="spellEnd"/>
      <w:r w:rsidRPr="003E3342">
        <w:rPr>
          <w:bCs/>
        </w:rPr>
        <w:t xml:space="preserve"> w</w:t>
      </w:r>
      <w:r w:rsidR="006350CF" w:rsidRPr="003E3342">
        <w:rPr>
          <w:bCs/>
        </w:rPr>
        <w:t>as</w:t>
      </w:r>
      <w:r w:rsidRPr="003E3342">
        <w:rPr>
          <w:bCs/>
        </w:rPr>
        <w:t xml:space="preserve"> not established</w:t>
      </w:r>
      <w:r w:rsidR="00A84F2E">
        <w:rPr>
          <w:bCs/>
        </w:rPr>
        <w:t xml:space="preserve">, and no evidence was presented assessing the impact of </w:t>
      </w:r>
      <w:proofErr w:type="spellStart"/>
      <w:r w:rsidR="00A84F2E">
        <w:rPr>
          <w:bCs/>
        </w:rPr>
        <w:t>ulipristal</w:t>
      </w:r>
      <w:proofErr w:type="spellEnd"/>
      <w:r w:rsidR="00A84F2E">
        <w:rPr>
          <w:bCs/>
        </w:rPr>
        <w:t xml:space="preserve"> on surgical outcomes</w:t>
      </w:r>
      <w:r w:rsidR="001849CE" w:rsidRPr="003E3342">
        <w:rPr>
          <w:bCs/>
        </w:rPr>
        <w:t>.</w:t>
      </w:r>
    </w:p>
    <w:p w:rsidR="006350CF" w:rsidRPr="003E3342" w:rsidRDefault="006350CF" w:rsidP="00FB6C8A">
      <w:pPr>
        <w:ind w:left="720"/>
        <w:rPr>
          <w:bCs/>
          <w:highlight w:val="yellow"/>
        </w:rPr>
      </w:pPr>
    </w:p>
    <w:p w:rsidR="006350CF" w:rsidRPr="003E3342" w:rsidRDefault="006350CF" w:rsidP="003D4B12">
      <w:pPr>
        <w:numPr>
          <w:ilvl w:val="1"/>
          <w:numId w:val="3"/>
        </w:numPr>
        <w:rPr>
          <w:bCs/>
        </w:rPr>
      </w:pPr>
      <w:r w:rsidRPr="003E3342">
        <w:rPr>
          <w:bCs/>
        </w:rPr>
        <w:t xml:space="preserve">The PBAC agreed there </w:t>
      </w:r>
      <w:r w:rsidR="00B017A4" w:rsidRPr="003E3342">
        <w:rPr>
          <w:bCs/>
        </w:rPr>
        <w:t>wa</w:t>
      </w:r>
      <w:r w:rsidRPr="003E3342">
        <w:rPr>
          <w:bCs/>
        </w:rPr>
        <w:t xml:space="preserve">s a </w:t>
      </w:r>
      <w:r w:rsidR="00140A3A">
        <w:rPr>
          <w:bCs/>
        </w:rPr>
        <w:t xml:space="preserve">possible </w:t>
      </w:r>
      <w:r w:rsidRPr="003E3342">
        <w:rPr>
          <w:bCs/>
        </w:rPr>
        <w:t xml:space="preserve">clinical place for </w:t>
      </w:r>
      <w:proofErr w:type="spellStart"/>
      <w:r w:rsidRPr="003E3342">
        <w:rPr>
          <w:bCs/>
        </w:rPr>
        <w:t>ulipristal</w:t>
      </w:r>
      <w:proofErr w:type="spellEnd"/>
      <w:r w:rsidRPr="003E3342">
        <w:rPr>
          <w:bCs/>
        </w:rPr>
        <w:t xml:space="preserve"> in </w:t>
      </w:r>
      <w:r w:rsidR="00222597">
        <w:rPr>
          <w:bCs/>
        </w:rPr>
        <w:t>short-term</w:t>
      </w:r>
      <w:r w:rsidR="00C41939" w:rsidRPr="003E3342">
        <w:rPr>
          <w:bCs/>
        </w:rPr>
        <w:t xml:space="preserve"> therapy</w:t>
      </w:r>
      <w:r w:rsidR="00B017A4" w:rsidRPr="003E3342">
        <w:rPr>
          <w:bCs/>
        </w:rPr>
        <w:t xml:space="preserve"> prior to surgery</w:t>
      </w:r>
      <w:r w:rsidR="00C41939" w:rsidRPr="003E3342">
        <w:rPr>
          <w:bCs/>
        </w:rPr>
        <w:t xml:space="preserve">. </w:t>
      </w:r>
      <w:r w:rsidR="00C74FDC" w:rsidRPr="003E3342">
        <w:rPr>
          <w:bCs/>
        </w:rPr>
        <w:t xml:space="preserve">This </w:t>
      </w:r>
      <w:r w:rsidR="00B017A4" w:rsidRPr="003E3342">
        <w:rPr>
          <w:bCs/>
        </w:rPr>
        <w:t>wa</w:t>
      </w:r>
      <w:r w:rsidR="00C74FDC" w:rsidRPr="003E3342">
        <w:rPr>
          <w:bCs/>
        </w:rPr>
        <w:t xml:space="preserve">s consistent with clinical advice received from the Royal Australian and New Zealand College of Obstetricians and Gynaecologists (RANZCOG) who </w:t>
      </w:r>
      <w:r w:rsidR="00B017A4" w:rsidRPr="003E3342">
        <w:rPr>
          <w:bCs/>
        </w:rPr>
        <w:t>indicated</w:t>
      </w:r>
      <w:r w:rsidR="00C74FDC" w:rsidRPr="003E3342">
        <w:rPr>
          <w:bCs/>
        </w:rPr>
        <w:t xml:space="preserve"> that a </w:t>
      </w:r>
      <w:r w:rsidR="00F368D9" w:rsidRPr="00F368D9">
        <w:rPr>
          <w:bCs/>
        </w:rPr>
        <w:t>three-month</w:t>
      </w:r>
      <w:r w:rsidR="00C74FDC" w:rsidRPr="003E3342">
        <w:rPr>
          <w:bCs/>
        </w:rPr>
        <w:t xml:space="preserve"> course of </w:t>
      </w:r>
      <w:proofErr w:type="spellStart"/>
      <w:r w:rsidR="00C74FDC" w:rsidRPr="003E3342">
        <w:rPr>
          <w:bCs/>
        </w:rPr>
        <w:t>ulipristal</w:t>
      </w:r>
      <w:proofErr w:type="spellEnd"/>
      <w:r w:rsidR="00C74FDC" w:rsidRPr="003E3342">
        <w:rPr>
          <w:bCs/>
        </w:rPr>
        <w:t xml:space="preserve"> has a</w:t>
      </w:r>
      <w:r w:rsidR="00B017A4" w:rsidRPr="003E3342">
        <w:rPr>
          <w:bCs/>
        </w:rPr>
        <w:t xml:space="preserve"> possible clinical</w:t>
      </w:r>
      <w:r w:rsidR="00C74FDC" w:rsidRPr="003E3342">
        <w:rPr>
          <w:bCs/>
        </w:rPr>
        <w:t xml:space="preserve"> place as an oral alternative to </w:t>
      </w:r>
      <w:proofErr w:type="spellStart"/>
      <w:r w:rsidR="00C74FDC" w:rsidRPr="003E3342">
        <w:rPr>
          <w:bCs/>
        </w:rPr>
        <w:t>GnRH</w:t>
      </w:r>
      <w:proofErr w:type="spellEnd"/>
      <w:r w:rsidR="00C74FDC" w:rsidRPr="003E3342">
        <w:rPr>
          <w:bCs/>
        </w:rPr>
        <w:t xml:space="preserve"> analogues to reduce size of </w:t>
      </w:r>
      <w:r w:rsidR="007021A2" w:rsidRPr="003E3342">
        <w:rPr>
          <w:bCs/>
        </w:rPr>
        <w:t xml:space="preserve">uterine </w:t>
      </w:r>
      <w:r w:rsidR="00C74FDC" w:rsidRPr="003E3342">
        <w:rPr>
          <w:bCs/>
        </w:rPr>
        <w:t>fibroids prior to surgery.</w:t>
      </w:r>
    </w:p>
    <w:p w:rsidR="00C74FDC" w:rsidRPr="003E3342" w:rsidRDefault="00C74FDC" w:rsidP="00FB6C8A">
      <w:pPr>
        <w:pStyle w:val="ListParagraph"/>
        <w:rPr>
          <w:bCs/>
        </w:rPr>
      </w:pPr>
    </w:p>
    <w:p w:rsidR="00FB6C8A" w:rsidRPr="003E3342" w:rsidRDefault="00C74FDC" w:rsidP="00837E86">
      <w:pPr>
        <w:numPr>
          <w:ilvl w:val="1"/>
          <w:numId w:val="3"/>
        </w:numPr>
        <w:rPr>
          <w:bCs/>
        </w:rPr>
      </w:pPr>
      <w:r w:rsidRPr="003E3342">
        <w:rPr>
          <w:bCs/>
        </w:rPr>
        <w:t>The PBAC</w:t>
      </w:r>
      <w:r w:rsidR="00334EFA" w:rsidRPr="003E3342">
        <w:rPr>
          <w:bCs/>
        </w:rPr>
        <w:t xml:space="preserve"> noted the </w:t>
      </w:r>
      <w:r w:rsidR="00FB6C8A" w:rsidRPr="003E3342">
        <w:rPr>
          <w:bCs/>
        </w:rPr>
        <w:t>sponsor’s</w:t>
      </w:r>
      <w:r w:rsidR="00EE41BD" w:rsidRPr="003E3342">
        <w:rPr>
          <w:bCs/>
        </w:rPr>
        <w:t xml:space="preserve"> </w:t>
      </w:r>
      <w:r w:rsidR="007021A2" w:rsidRPr="003E3342">
        <w:rPr>
          <w:bCs/>
        </w:rPr>
        <w:t xml:space="preserve">request </w:t>
      </w:r>
      <w:r w:rsidR="000A4C6D" w:rsidRPr="003E3342">
        <w:rPr>
          <w:bCs/>
        </w:rPr>
        <w:t xml:space="preserve">in the </w:t>
      </w:r>
      <w:r w:rsidR="007142C5">
        <w:rPr>
          <w:bCs/>
        </w:rPr>
        <w:t>Pre-PBAC</w:t>
      </w:r>
      <w:r w:rsidR="000A4C6D" w:rsidRPr="003E3342">
        <w:rPr>
          <w:bCs/>
        </w:rPr>
        <w:t xml:space="preserve"> response </w:t>
      </w:r>
      <w:r w:rsidR="007021A2" w:rsidRPr="003E3342">
        <w:rPr>
          <w:bCs/>
        </w:rPr>
        <w:t xml:space="preserve">to remove </w:t>
      </w:r>
      <w:r w:rsidR="00837E86" w:rsidRPr="003E3342">
        <w:rPr>
          <w:bCs/>
        </w:rPr>
        <w:t>the</w:t>
      </w:r>
      <w:r w:rsidR="00334EFA" w:rsidRPr="003E3342">
        <w:rPr>
          <w:bCs/>
        </w:rPr>
        <w:t xml:space="preserve"> </w:t>
      </w:r>
      <w:r w:rsidR="002D025B" w:rsidRPr="003E3342">
        <w:rPr>
          <w:bCs/>
        </w:rPr>
        <w:t xml:space="preserve">medium to </w:t>
      </w:r>
      <w:r w:rsidR="00222597">
        <w:rPr>
          <w:bCs/>
        </w:rPr>
        <w:t>long-term</w:t>
      </w:r>
      <w:r w:rsidR="002D025B" w:rsidRPr="003E3342">
        <w:rPr>
          <w:bCs/>
        </w:rPr>
        <w:t xml:space="preserve"> </w:t>
      </w:r>
      <w:r w:rsidR="00FB6C8A" w:rsidRPr="003E3342">
        <w:rPr>
          <w:bCs/>
        </w:rPr>
        <w:t xml:space="preserve">use of </w:t>
      </w:r>
      <w:proofErr w:type="spellStart"/>
      <w:r w:rsidR="00FB6C8A" w:rsidRPr="003E3342">
        <w:rPr>
          <w:bCs/>
        </w:rPr>
        <w:t>ulipristal</w:t>
      </w:r>
      <w:proofErr w:type="spellEnd"/>
      <w:r w:rsidR="00A84F2E">
        <w:rPr>
          <w:bCs/>
        </w:rPr>
        <w:t xml:space="preserve"> from the proposed listing as the</w:t>
      </w:r>
      <w:r w:rsidR="00A84F2E" w:rsidRPr="00A84F2E">
        <w:rPr>
          <w:bCs/>
        </w:rPr>
        <w:t xml:space="preserve"> </w:t>
      </w:r>
      <w:r w:rsidR="00A84F2E" w:rsidRPr="00E16E48">
        <w:rPr>
          <w:bCs/>
        </w:rPr>
        <w:t xml:space="preserve">issues </w:t>
      </w:r>
      <w:r w:rsidR="00A84F2E">
        <w:rPr>
          <w:bCs/>
        </w:rPr>
        <w:t>raised during the evaluation regarding</w:t>
      </w:r>
      <w:r w:rsidR="00A84F2E" w:rsidRPr="00E16E48">
        <w:rPr>
          <w:bCs/>
        </w:rPr>
        <w:t xml:space="preserve"> the </w:t>
      </w:r>
      <w:r w:rsidR="00A84F2E">
        <w:rPr>
          <w:bCs/>
        </w:rPr>
        <w:t>long-term</w:t>
      </w:r>
      <w:r w:rsidR="00A84F2E" w:rsidRPr="00E16E48">
        <w:rPr>
          <w:bCs/>
        </w:rPr>
        <w:t xml:space="preserve"> (intermittent) use could not be adequately addressed</w:t>
      </w:r>
      <w:r w:rsidR="00A84F2E">
        <w:rPr>
          <w:bCs/>
        </w:rPr>
        <w:t xml:space="preserve"> in the response</w:t>
      </w:r>
      <w:proofErr w:type="gramStart"/>
      <w:r w:rsidR="00FB6C8A" w:rsidRPr="003D4087">
        <w:rPr>
          <w:bCs/>
        </w:rPr>
        <w:t xml:space="preserve">. </w:t>
      </w:r>
      <w:r w:rsidR="00837E86" w:rsidRPr="00222597">
        <w:t xml:space="preserve"> </w:t>
      </w:r>
      <w:proofErr w:type="gramEnd"/>
      <w:r w:rsidR="00837E86" w:rsidRPr="003E3342">
        <w:rPr>
          <w:bCs/>
        </w:rPr>
        <w:t xml:space="preserve">The PBAC </w:t>
      </w:r>
      <w:r w:rsidR="00A84F2E">
        <w:rPr>
          <w:bCs/>
        </w:rPr>
        <w:t xml:space="preserve">considered this appropriate </w:t>
      </w:r>
      <w:r w:rsidR="00837E86" w:rsidRPr="003E3342">
        <w:rPr>
          <w:bCs/>
        </w:rPr>
        <w:t xml:space="preserve">and focused </w:t>
      </w:r>
      <w:r w:rsidR="00B53429" w:rsidRPr="003E3342">
        <w:rPr>
          <w:bCs/>
        </w:rPr>
        <w:t>primarily</w:t>
      </w:r>
      <w:r w:rsidR="00837E86" w:rsidRPr="003E3342">
        <w:rPr>
          <w:bCs/>
        </w:rPr>
        <w:t xml:space="preserve"> on </w:t>
      </w:r>
      <w:r w:rsidR="00222597">
        <w:rPr>
          <w:bCs/>
        </w:rPr>
        <w:t>short-term</w:t>
      </w:r>
      <w:r w:rsidR="00837E86" w:rsidRPr="003E3342">
        <w:rPr>
          <w:bCs/>
        </w:rPr>
        <w:t xml:space="preserve"> treatment</w:t>
      </w:r>
      <w:r w:rsidR="00A84F2E">
        <w:rPr>
          <w:bCs/>
        </w:rPr>
        <w:t xml:space="preserve"> with </w:t>
      </w:r>
      <w:proofErr w:type="spellStart"/>
      <w:r w:rsidR="00A84F2E">
        <w:rPr>
          <w:bCs/>
        </w:rPr>
        <w:t>ulipristal</w:t>
      </w:r>
      <w:proofErr w:type="spellEnd"/>
      <w:r w:rsidR="00837E86" w:rsidRPr="003E3342">
        <w:rPr>
          <w:bCs/>
        </w:rPr>
        <w:t xml:space="preserve"> prior to surgery.</w:t>
      </w:r>
      <w:r w:rsidR="00FB6C8A" w:rsidRPr="003E3342">
        <w:rPr>
          <w:bCs/>
        </w:rPr>
        <w:t xml:space="preserve"> </w:t>
      </w:r>
    </w:p>
    <w:p w:rsidR="002D025B" w:rsidRPr="003E3342" w:rsidRDefault="002D025B" w:rsidP="00455D46">
      <w:pPr>
        <w:pStyle w:val="ListParagraph"/>
        <w:rPr>
          <w:bCs/>
        </w:rPr>
      </w:pPr>
    </w:p>
    <w:p w:rsidR="002D025B" w:rsidRPr="00222597" w:rsidRDefault="002D025B" w:rsidP="00D17E20">
      <w:pPr>
        <w:numPr>
          <w:ilvl w:val="1"/>
          <w:numId w:val="3"/>
        </w:numPr>
        <w:rPr>
          <w:bCs/>
        </w:rPr>
      </w:pPr>
      <w:r w:rsidRPr="003E3342">
        <w:rPr>
          <w:bCs/>
        </w:rPr>
        <w:t xml:space="preserve">The </w:t>
      </w:r>
      <w:r w:rsidR="00484971" w:rsidRPr="00222597">
        <w:rPr>
          <w:bCs/>
        </w:rPr>
        <w:t xml:space="preserve">PBAC </w:t>
      </w:r>
      <w:r w:rsidR="00AD5D24">
        <w:rPr>
          <w:bCs/>
        </w:rPr>
        <w:t>considered</w:t>
      </w:r>
      <w:r w:rsidR="00AD5D24" w:rsidRPr="00222597">
        <w:rPr>
          <w:bCs/>
        </w:rPr>
        <w:t xml:space="preserve"> </w:t>
      </w:r>
      <w:r w:rsidR="00484971" w:rsidRPr="00222597">
        <w:rPr>
          <w:bCs/>
        </w:rPr>
        <w:t xml:space="preserve">that for </w:t>
      </w:r>
      <w:r w:rsidR="00222597">
        <w:rPr>
          <w:bCs/>
        </w:rPr>
        <w:t>short-term</w:t>
      </w:r>
      <w:r w:rsidR="00484971" w:rsidRPr="00222597">
        <w:rPr>
          <w:bCs/>
        </w:rPr>
        <w:t xml:space="preserve"> use of </w:t>
      </w:r>
      <w:proofErr w:type="spellStart"/>
      <w:r w:rsidR="00484971" w:rsidRPr="00222597">
        <w:rPr>
          <w:bCs/>
        </w:rPr>
        <w:t>ulipristal</w:t>
      </w:r>
      <w:proofErr w:type="spellEnd"/>
      <w:r w:rsidR="00484971" w:rsidRPr="00222597">
        <w:rPr>
          <w:bCs/>
        </w:rPr>
        <w:t xml:space="preserve"> in patients planning surgery, </w:t>
      </w:r>
      <w:proofErr w:type="spellStart"/>
      <w:r w:rsidR="00484971" w:rsidRPr="00222597">
        <w:rPr>
          <w:bCs/>
        </w:rPr>
        <w:t>goserelin</w:t>
      </w:r>
      <w:proofErr w:type="spellEnd"/>
      <w:r w:rsidR="00484971" w:rsidRPr="00222597">
        <w:rPr>
          <w:bCs/>
        </w:rPr>
        <w:t xml:space="preserve"> </w:t>
      </w:r>
      <w:r w:rsidR="00AD5D24">
        <w:rPr>
          <w:bCs/>
        </w:rPr>
        <w:t>may be an</w:t>
      </w:r>
      <w:r w:rsidR="00484971" w:rsidRPr="00222597">
        <w:rPr>
          <w:bCs/>
        </w:rPr>
        <w:t xml:space="preserve"> appropriate comparator</w:t>
      </w:r>
      <w:r w:rsidR="00083803" w:rsidRPr="00222597">
        <w:rPr>
          <w:bCs/>
        </w:rPr>
        <w:t xml:space="preserve"> as it is used as an adjunct to surgery to facilitate the operative technique and reduce operative blood loss</w:t>
      </w:r>
      <w:r w:rsidR="00484971" w:rsidRPr="00222597">
        <w:rPr>
          <w:bCs/>
        </w:rPr>
        <w:t xml:space="preserve">. </w:t>
      </w:r>
      <w:r w:rsidR="00AD5D24">
        <w:rPr>
          <w:bCs/>
        </w:rPr>
        <w:t xml:space="preserve">However, the PBAC noted that </w:t>
      </w:r>
      <w:proofErr w:type="spellStart"/>
      <w:r w:rsidR="00AD5D24">
        <w:rPr>
          <w:bCs/>
        </w:rPr>
        <w:t>goserelin</w:t>
      </w:r>
      <w:proofErr w:type="spellEnd"/>
      <w:r w:rsidR="00AD5D24">
        <w:rPr>
          <w:bCs/>
        </w:rPr>
        <w:t xml:space="preserve"> is not PBS listed for use in uterine fibroids and the cost-effectiveness of </w:t>
      </w:r>
      <w:proofErr w:type="spellStart"/>
      <w:r w:rsidR="00AD5D24">
        <w:rPr>
          <w:bCs/>
        </w:rPr>
        <w:t>goserelin</w:t>
      </w:r>
      <w:proofErr w:type="spellEnd"/>
      <w:r w:rsidR="00AD5D24">
        <w:rPr>
          <w:bCs/>
        </w:rPr>
        <w:t xml:space="preserve"> for this indication has not been assessed. T</w:t>
      </w:r>
      <w:r w:rsidR="00D2443C" w:rsidRPr="00030326">
        <w:rPr>
          <w:bCs/>
        </w:rPr>
        <w:t>he</w:t>
      </w:r>
      <w:r w:rsidR="00CD5FC8" w:rsidRPr="00030326">
        <w:rPr>
          <w:bCs/>
        </w:rPr>
        <w:t xml:space="preserve"> PBAC noted the sponsor’s </w:t>
      </w:r>
      <w:r w:rsidR="00837E86" w:rsidRPr="00F368D9">
        <w:rPr>
          <w:bCs/>
        </w:rPr>
        <w:t xml:space="preserve">agreement </w:t>
      </w:r>
      <w:r w:rsidR="00CD5FC8" w:rsidRPr="00F368D9">
        <w:rPr>
          <w:bCs/>
        </w:rPr>
        <w:t xml:space="preserve">in the </w:t>
      </w:r>
      <w:r w:rsidR="007142C5">
        <w:rPr>
          <w:bCs/>
        </w:rPr>
        <w:t>Pre-PBAC</w:t>
      </w:r>
      <w:r w:rsidR="00CD5FC8" w:rsidRPr="00F368D9">
        <w:rPr>
          <w:bCs/>
        </w:rPr>
        <w:t xml:space="preserve"> response (p2)</w:t>
      </w:r>
      <w:r w:rsidR="00837E86" w:rsidRPr="00222597">
        <w:rPr>
          <w:bCs/>
        </w:rPr>
        <w:t xml:space="preserve"> with the ESC advice</w:t>
      </w:r>
      <w:r w:rsidR="00CD5FC8" w:rsidRPr="00222597">
        <w:rPr>
          <w:bCs/>
        </w:rPr>
        <w:t xml:space="preserve"> that surgery with no pre-treatment may also be an appropriate secondary comparator in this setting.</w:t>
      </w:r>
      <w:r w:rsidR="00DA51F6" w:rsidRPr="00222597">
        <w:rPr>
          <w:bCs/>
        </w:rPr>
        <w:t xml:space="preserve"> </w:t>
      </w:r>
      <w:r w:rsidR="00AD5D24">
        <w:rPr>
          <w:bCs/>
        </w:rPr>
        <w:t>The PBAC considered no treatment (or placebo) to be the appropriate main comparator, and that the comparison should include the impact of treatment on surgical outcomes.</w:t>
      </w:r>
    </w:p>
    <w:p w:rsidR="00FB6C8A" w:rsidRPr="003E3342" w:rsidRDefault="00FB6C8A" w:rsidP="00966B46">
      <w:pPr>
        <w:ind w:left="720"/>
        <w:rPr>
          <w:bCs/>
        </w:rPr>
      </w:pPr>
    </w:p>
    <w:p w:rsidR="00C74FDC" w:rsidRPr="003E3342" w:rsidRDefault="006A3B43" w:rsidP="003D4B12">
      <w:pPr>
        <w:numPr>
          <w:ilvl w:val="1"/>
          <w:numId w:val="3"/>
        </w:numPr>
        <w:rPr>
          <w:bCs/>
        </w:rPr>
      </w:pPr>
      <w:r w:rsidRPr="003E3342">
        <w:rPr>
          <w:bCs/>
        </w:rPr>
        <w:t xml:space="preserve">The PBAC noted </w:t>
      </w:r>
      <w:r w:rsidR="00837E86" w:rsidRPr="003E3342">
        <w:rPr>
          <w:bCs/>
        </w:rPr>
        <w:t xml:space="preserve">that </w:t>
      </w:r>
      <w:r w:rsidRPr="003E3342">
        <w:rPr>
          <w:bCs/>
        </w:rPr>
        <w:t>there were no direct or indirect comparison</w:t>
      </w:r>
      <w:r w:rsidR="00837E86" w:rsidRPr="003E3342">
        <w:rPr>
          <w:bCs/>
        </w:rPr>
        <w:t>s</w:t>
      </w:r>
      <w:r w:rsidRPr="003E3342">
        <w:rPr>
          <w:bCs/>
        </w:rPr>
        <w:t xml:space="preserve"> of </w:t>
      </w:r>
      <w:proofErr w:type="spellStart"/>
      <w:r w:rsidRPr="003E3342">
        <w:rPr>
          <w:bCs/>
        </w:rPr>
        <w:t>ulipristal</w:t>
      </w:r>
      <w:proofErr w:type="spellEnd"/>
      <w:r w:rsidRPr="003E3342">
        <w:rPr>
          <w:bCs/>
        </w:rPr>
        <w:t xml:space="preserve"> and </w:t>
      </w:r>
      <w:proofErr w:type="spellStart"/>
      <w:r w:rsidRPr="003E3342">
        <w:rPr>
          <w:bCs/>
        </w:rPr>
        <w:t>goserelin</w:t>
      </w:r>
      <w:proofErr w:type="spellEnd"/>
      <w:r w:rsidR="006C36E7" w:rsidRPr="003E3342">
        <w:rPr>
          <w:bCs/>
        </w:rPr>
        <w:t xml:space="preserve"> </w:t>
      </w:r>
      <w:r w:rsidR="00B53429" w:rsidRPr="003E3342">
        <w:rPr>
          <w:bCs/>
        </w:rPr>
        <w:t>from</w:t>
      </w:r>
      <w:r w:rsidR="006C36E7" w:rsidRPr="003E3342">
        <w:rPr>
          <w:bCs/>
        </w:rPr>
        <w:t xml:space="preserve"> the clinical trial data</w:t>
      </w:r>
      <w:r w:rsidRPr="003E3342">
        <w:rPr>
          <w:bCs/>
        </w:rPr>
        <w:t xml:space="preserve">. </w:t>
      </w:r>
      <w:r w:rsidR="005D1E5D" w:rsidRPr="003E3342">
        <w:rPr>
          <w:bCs/>
        </w:rPr>
        <w:t xml:space="preserve">Given the differences between the studies presented, </w:t>
      </w:r>
      <w:r w:rsidR="00050C57" w:rsidRPr="003E3342">
        <w:rPr>
          <w:bCs/>
        </w:rPr>
        <w:t>t</w:t>
      </w:r>
      <w:r w:rsidRPr="003E3342">
        <w:rPr>
          <w:bCs/>
        </w:rPr>
        <w:t xml:space="preserve">he PBAC </w:t>
      </w:r>
      <w:r w:rsidR="005D1E5D" w:rsidRPr="003E3342">
        <w:rPr>
          <w:bCs/>
        </w:rPr>
        <w:t xml:space="preserve">agreed that this was </w:t>
      </w:r>
      <w:r w:rsidR="00B53429" w:rsidRPr="003E3342">
        <w:rPr>
          <w:bCs/>
        </w:rPr>
        <w:t>not possible</w:t>
      </w:r>
      <w:r w:rsidR="005D1E5D" w:rsidRPr="003E3342">
        <w:rPr>
          <w:bCs/>
        </w:rPr>
        <w:t xml:space="preserve">. The PBAC </w:t>
      </w:r>
      <w:r w:rsidR="00AD5D24">
        <w:rPr>
          <w:bCs/>
        </w:rPr>
        <w:t>agreed with the evaluation</w:t>
      </w:r>
      <w:r w:rsidR="00AD5D24" w:rsidRPr="003E3342">
        <w:rPr>
          <w:bCs/>
        </w:rPr>
        <w:t xml:space="preserve"> </w:t>
      </w:r>
      <w:r w:rsidR="00B53429" w:rsidRPr="003E3342">
        <w:rPr>
          <w:bCs/>
        </w:rPr>
        <w:t>that</w:t>
      </w:r>
      <w:r w:rsidR="005D1E5D" w:rsidRPr="003E3342">
        <w:rPr>
          <w:bCs/>
        </w:rPr>
        <w:t xml:space="preserve"> </w:t>
      </w:r>
      <w:r w:rsidR="003D4087">
        <w:rPr>
          <w:bCs/>
        </w:rPr>
        <w:t>it was unclear how the</w:t>
      </w:r>
      <w:r w:rsidR="005D1E5D" w:rsidRPr="003E3342">
        <w:rPr>
          <w:bCs/>
        </w:rPr>
        <w:t xml:space="preserve"> studies </w:t>
      </w:r>
      <w:r w:rsidR="00E111CA">
        <w:rPr>
          <w:bCs/>
        </w:rPr>
        <w:t xml:space="preserve">were </w:t>
      </w:r>
      <w:r w:rsidR="005D1E5D" w:rsidRPr="003E3342">
        <w:rPr>
          <w:bCs/>
        </w:rPr>
        <w:t>chosen</w:t>
      </w:r>
      <w:r w:rsidR="00B53429" w:rsidRPr="003E3342">
        <w:rPr>
          <w:bCs/>
        </w:rPr>
        <w:t xml:space="preserve"> for inclusion in the submission,</w:t>
      </w:r>
      <w:r w:rsidR="005D1E5D" w:rsidRPr="003E3342">
        <w:rPr>
          <w:bCs/>
        </w:rPr>
        <w:t xml:space="preserve"> as some studies of limited relevance were included while others were excluded. </w:t>
      </w:r>
      <w:r w:rsidR="00B53429" w:rsidRPr="003E3342">
        <w:rPr>
          <w:bCs/>
        </w:rPr>
        <w:t>T</w:t>
      </w:r>
      <w:r w:rsidR="00F741B0" w:rsidRPr="003E3342">
        <w:rPr>
          <w:bCs/>
        </w:rPr>
        <w:t xml:space="preserve">he PBAC agreed </w:t>
      </w:r>
      <w:r w:rsidR="00B53429" w:rsidRPr="003E3342">
        <w:rPr>
          <w:bCs/>
        </w:rPr>
        <w:t xml:space="preserve">with the ESC advice </w:t>
      </w:r>
      <w:r w:rsidR="00F741B0" w:rsidRPr="003E3342">
        <w:rPr>
          <w:bCs/>
        </w:rPr>
        <w:t>that the small</w:t>
      </w:r>
      <w:r w:rsidR="005D1E5D" w:rsidRPr="003E3342">
        <w:rPr>
          <w:bCs/>
        </w:rPr>
        <w:t xml:space="preserve"> </w:t>
      </w:r>
      <w:r w:rsidR="00050C57" w:rsidRPr="003E3342">
        <w:rPr>
          <w:bCs/>
        </w:rPr>
        <w:t>number of</w:t>
      </w:r>
      <w:r w:rsidRPr="003E3342">
        <w:rPr>
          <w:bCs/>
        </w:rPr>
        <w:t xml:space="preserve"> </w:t>
      </w:r>
      <w:proofErr w:type="spellStart"/>
      <w:r w:rsidRPr="003E3342">
        <w:rPr>
          <w:bCs/>
        </w:rPr>
        <w:t>goserelin</w:t>
      </w:r>
      <w:proofErr w:type="spellEnd"/>
      <w:r w:rsidRPr="003E3342">
        <w:rPr>
          <w:bCs/>
        </w:rPr>
        <w:t xml:space="preserve"> studies</w:t>
      </w:r>
      <w:r w:rsidR="00F741B0" w:rsidRPr="003E3342">
        <w:rPr>
          <w:bCs/>
        </w:rPr>
        <w:t xml:space="preserve"> provided</w:t>
      </w:r>
      <w:r w:rsidR="00B53429" w:rsidRPr="003E3342">
        <w:rPr>
          <w:bCs/>
        </w:rPr>
        <w:t xml:space="preserve"> in the submission</w:t>
      </w:r>
      <w:r w:rsidRPr="003E3342">
        <w:rPr>
          <w:bCs/>
        </w:rPr>
        <w:t>,</w:t>
      </w:r>
      <w:r w:rsidR="00F741B0" w:rsidRPr="003E3342">
        <w:rPr>
          <w:bCs/>
        </w:rPr>
        <w:t xml:space="preserve"> which were</w:t>
      </w:r>
      <w:r w:rsidRPr="003E3342">
        <w:rPr>
          <w:bCs/>
        </w:rPr>
        <w:t xml:space="preserve"> predominantly open-label trials</w:t>
      </w:r>
      <w:r w:rsidR="005D1E5D" w:rsidRPr="003E3342">
        <w:rPr>
          <w:bCs/>
        </w:rPr>
        <w:t>, had</w:t>
      </w:r>
      <w:r w:rsidRPr="003E3342">
        <w:rPr>
          <w:bCs/>
        </w:rPr>
        <w:t xml:space="preserve"> insufficient detail to assess the risk of bias. </w:t>
      </w:r>
    </w:p>
    <w:p w:rsidR="00EE41BD" w:rsidRPr="003E3342" w:rsidRDefault="00EE41BD" w:rsidP="001B7DD6">
      <w:pPr>
        <w:rPr>
          <w:bCs/>
        </w:rPr>
      </w:pPr>
    </w:p>
    <w:p w:rsidR="003D4B12" w:rsidRPr="002B2C93" w:rsidRDefault="00CB62B0" w:rsidP="00E653F2">
      <w:pPr>
        <w:numPr>
          <w:ilvl w:val="1"/>
          <w:numId w:val="3"/>
        </w:numPr>
        <w:rPr>
          <w:bCs/>
        </w:rPr>
      </w:pPr>
      <w:r w:rsidRPr="003E3342">
        <w:rPr>
          <w:bCs/>
        </w:rPr>
        <w:t xml:space="preserve">The PBAC considered there was insufficient evidence to make any conclusions regarding the comparative effectiveness and safety of the </w:t>
      </w:r>
      <w:r w:rsidR="00222597">
        <w:rPr>
          <w:bCs/>
        </w:rPr>
        <w:t>short-term</w:t>
      </w:r>
      <w:r w:rsidRPr="003E3342">
        <w:rPr>
          <w:bCs/>
        </w:rPr>
        <w:t xml:space="preserve"> use of </w:t>
      </w:r>
      <w:proofErr w:type="spellStart"/>
      <w:r w:rsidRPr="003E3342">
        <w:rPr>
          <w:bCs/>
        </w:rPr>
        <w:t>ulipristal</w:t>
      </w:r>
      <w:proofErr w:type="spellEnd"/>
      <w:r w:rsidRPr="003E3342">
        <w:rPr>
          <w:bCs/>
        </w:rPr>
        <w:t xml:space="preserve"> and </w:t>
      </w:r>
      <w:proofErr w:type="spellStart"/>
      <w:r w:rsidRPr="003E3342">
        <w:rPr>
          <w:bCs/>
        </w:rPr>
        <w:t>goserelin</w:t>
      </w:r>
      <w:proofErr w:type="spellEnd"/>
      <w:r w:rsidRPr="003E3342">
        <w:rPr>
          <w:bCs/>
        </w:rPr>
        <w:t xml:space="preserve"> prior to surgery. </w:t>
      </w:r>
      <w:r w:rsidR="00A25438" w:rsidRPr="003E3342">
        <w:rPr>
          <w:bCs/>
        </w:rPr>
        <w:t xml:space="preserve">PEARL I and PEARL II demonstrated that </w:t>
      </w:r>
      <w:proofErr w:type="spellStart"/>
      <w:r w:rsidR="00A25438" w:rsidRPr="003E3342">
        <w:rPr>
          <w:bCs/>
        </w:rPr>
        <w:t>ulipristal</w:t>
      </w:r>
      <w:proofErr w:type="spellEnd"/>
      <w:r w:rsidR="00A25438" w:rsidRPr="003E3342">
        <w:rPr>
          <w:bCs/>
        </w:rPr>
        <w:t xml:space="preserve"> was superior to placebo</w:t>
      </w:r>
      <w:r w:rsidR="006156B1" w:rsidRPr="003E3342">
        <w:rPr>
          <w:bCs/>
        </w:rPr>
        <w:t xml:space="preserve"> and non-inferior</w:t>
      </w:r>
      <w:r w:rsidR="00A25438" w:rsidRPr="003E3342">
        <w:rPr>
          <w:bCs/>
        </w:rPr>
        <w:t xml:space="preserve"> to </w:t>
      </w:r>
      <w:proofErr w:type="spellStart"/>
      <w:r w:rsidR="00A25438" w:rsidRPr="003E3342">
        <w:rPr>
          <w:bCs/>
        </w:rPr>
        <w:t>leuprorelin</w:t>
      </w:r>
      <w:proofErr w:type="spellEnd"/>
      <w:r w:rsidR="00A25438" w:rsidRPr="003E3342">
        <w:rPr>
          <w:bCs/>
        </w:rPr>
        <w:t xml:space="preserve">. </w:t>
      </w:r>
      <w:r w:rsidR="00D367A7" w:rsidRPr="003E3342">
        <w:rPr>
          <w:bCs/>
        </w:rPr>
        <w:t xml:space="preserve">The PBAC noted </w:t>
      </w:r>
      <w:r w:rsidR="00066086" w:rsidRPr="003E3342">
        <w:rPr>
          <w:bCs/>
        </w:rPr>
        <w:t xml:space="preserve">that </w:t>
      </w:r>
      <w:r w:rsidR="00A25438" w:rsidRPr="003E3342">
        <w:rPr>
          <w:bCs/>
        </w:rPr>
        <w:t xml:space="preserve">there was no </w:t>
      </w:r>
      <w:r w:rsidR="00313C58" w:rsidRPr="003E3342">
        <w:rPr>
          <w:bCs/>
        </w:rPr>
        <w:t>ev</w:t>
      </w:r>
      <w:r w:rsidR="00DC4E29" w:rsidRPr="003E3342">
        <w:rPr>
          <w:bCs/>
        </w:rPr>
        <w:t>idence</w:t>
      </w:r>
      <w:r w:rsidR="00A25438" w:rsidRPr="003E3342">
        <w:rPr>
          <w:bCs/>
        </w:rPr>
        <w:t xml:space="preserve"> of treatment-related differences in surgical outcomes</w:t>
      </w:r>
      <w:r w:rsidR="00DC4E29" w:rsidRPr="003E3342">
        <w:rPr>
          <w:bCs/>
        </w:rPr>
        <w:t xml:space="preserve"> provided</w:t>
      </w:r>
      <w:r w:rsidR="00A25438" w:rsidRPr="003E3342">
        <w:rPr>
          <w:bCs/>
        </w:rPr>
        <w:t>, including the potential to allow less invasive surgical procedures</w:t>
      </w:r>
      <w:r w:rsidR="00777400" w:rsidRPr="003E3342">
        <w:rPr>
          <w:bCs/>
        </w:rPr>
        <w:t xml:space="preserve">. </w:t>
      </w:r>
      <w:r w:rsidR="00066086" w:rsidRPr="003E3342">
        <w:rPr>
          <w:bCs/>
        </w:rPr>
        <w:t>T</w:t>
      </w:r>
      <w:r w:rsidR="009937D1" w:rsidRPr="003E3342">
        <w:rPr>
          <w:bCs/>
        </w:rPr>
        <w:t xml:space="preserve">he PBAC </w:t>
      </w:r>
      <w:r w:rsidR="00E111CA">
        <w:rPr>
          <w:bCs/>
        </w:rPr>
        <w:t>noted</w:t>
      </w:r>
      <w:r w:rsidR="00E111CA" w:rsidRPr="003E3342">
        <w:rPr>
          <w:bCs/>
        </w:rPr>
        <w:t xml:space="preserve"> </w:t>
      </w:r>
      <w:proofErr w:type="spellStart"/>
      <w:r w:rsidR="009937D1" w:rsidRPr="003E3342">
        <w:rPr>
          <w:bCs/>
        </w:rPr>
        <w:t>ulipristal</w:t>
      </w:r>
      <w:proofErr w:type="spellEnd"/>
      <w:r w:rsidR="009937D1" w:rsidRPr="003E3342">
        <w:rPr>
          <w:bCs/>
        </w:rPr>
        <w:t xml:space="preserve"> </w:t>
      </w:r>
      <w:r w:rsidR="00845CC5">
        <w:rPr>
          <w:bCs/>
        </w:rPr>
        <w:t xml:space="preserve">appeared to be </w:t>
      </w:r>
      <w:r w:rsidR="009937D1" w:rsidRPr="002B2C93">
        <w:rPr>
          <w:bCs/>
        </w:rPr>
        <w:t xml:space="preserve">well tolerated compared with </w:t>
      </w:r>
      <w:proofErr w:type="spellStart"/>
      <w:r w:rsidR="009937D1" w:rsidRPr="002B2C93">
        <w:rPr>
          <w:bCs/>
        </w:rPr>
        <w:t>leuprorelin</w:t>
      </w:r>
      <w:proofErr w:type="spellEnd"/>
      <w:r w:rsidR="009937D1" w:rsidRPr="002B2C93">
        <w:rPr>
          <w:bCs/>
        </w:rPr>
        <w:t>, w</w:t>
      </w:r>
      <w:r w:rsidR="00FE139F" w:rsidRPr="002B2C93">
        <w:rPr>
          <w:bCs/>
        </w:rPr>
        <w:t>ith</w:t>
      </w:r>
      <w:r w:rsidR="009937D1" w:rsidRPr="002B2C93">
        <w:rPr>
          <w:bCs/>
        </w:rPr>
        <w:t xml:space="preserve"> </w:t>
      </w:r>
      <w:r w:rsidR="005971C8" w:rsidRPr="002B2C93">
        <w:rPr>
          <w:bCs/>
        </w:rPr>
        <w:t xml:space="preserve">patients in the </w:t>
      </w:r>
      <w:proofErr w:type="spellStart"/>
      <w:r w:rsidR="005971C8" w:rsidRPr="002B2C93">
        <w:rPr>
          <w:bCs/>
        </w:rPr>
        <w:t>ulipristal</w:t>
      </w:r>
      <w:proofErr w:type="spellEnd"/>
      <w:r w:rsidR="005971C8" w:rsidRPr="002B2C93">
        <w:rPr>
          <w:bCs/>
        </w:rPr>
        <w:t xml:space="preserve"> group </w:t>
      </w:r>
      <w:r w:rsidR="00FE139F" w:rsidRPr="002B2C93">
        <w:rPr>
          <w:bCs/>
        </w:rPr>
        <w:t>displaying</w:t>
      </w:r>
      <w:r w:rsidR="004A782B" w:rsidRPr="002B2C93">
        <w:rPr>
          <w:bCs/>
        </w:rPr>
        <w:t xml:space="preserve"> </w:t>
      </w:r>
      <w:r w:rsidR="005971C8" w:rsidRPr="002B2C93">
        <w:rPr>
          <w:bCs/>
        </w:rPr>
        <w:t>reduced</w:t>
      </w:r>
      <w:r w:rsidR="009937D1" w:rsidRPr="002B2C93">
        <w:rPr>
          <w:bCs/>
        </w:rPr>
        <w:t xml:space="preserve"> progesterone levels and </w:t>
      </w:r>
      <w:r w:rsidR="005971C8" w:rsidRPr="002B2C93">
        <w:rPr>
          <w:bCs/>
        </w:rPr>
        <w:t>hot flushes</w:t>
      </w:r>
      <w:r w:rsidR="009937D1" w:rsidRPr="002B2C93">
        <w:rPr>
          <w:bCs/>
        </w:rPr>
        <w:t>.</w:t>
      </w:r>
      <w:r w:rsidR="005971C8" w:rsidRPr="002B2C93">
        <w:rPr>
          <w:bCs/>
        </w:rPr>
        <w:t xml:space="preserve"> </w:t>
      </w:r>
    </w:p>
    <w:p w:rsidR="00255048" w:rsidRPr="002B2C93" w:rsidRDefault="00255048" w:rsidP="00455D46">
      <w:pPr>
        <w:pStyle w:val="ListParagraph"/>
        <w:rPr>
          <w:bCs/>
        </w:rPr>
      </w:pPr>
    </w:p>
    <w:p w:rsidR="00255048" w:rsidRPr="002B2C93" w:rsidRDefault="00255048" w:rsidP="003D4B12">
      <w:pPr>
        <w:numPr>
          <w:ilvl w:val="1"/>
          <w:numId w:val="3"/>
        </w:numPr>
        <w:rPr>
          <w:bCs/>
        </w:rPr>
      </w:pPr>
      <w:r w:rsidRPr="002B2C93">
        <w:rPr>
          <w:bCs/>
        </w:rPr>
        <w:t xml:space="preserve">The PBAC </w:t>
      </w:r>
      <w:r w:rsidR="00D367A7" w:rsidRPr="002B2C93">
        <w:rPr>
          <w:bCs/>
        </w:rPr>
        <w:t>commented</w:t>
      </w:r>
      <w:r w:rsidR="00FE139F" w:rsidRPr="002B2C93">
        <w:rPr>
          <w:bCs/>
        </w:rPr>
        <w:t xml:space="preserve"> that while </w:t>
      </w:r>
      <w:proofErr w:type="spellStart"/>
      <w:r w:rsidR="00FE139F" w:rsidRPr="002B2C93">
        <w:rPr>
          <w:bCs/>
        </w:rPr>
        <w:t>goserelin</w:t>
      </w:r>
      <w:proofErr w:type="spellEnd"/>
      <w:r w:rsidR="00FE139F" w:rsidRPr="002B2C93">
        <w:rPr>
          <w:bCs/>
        </w:rPr>
        <w:t xml:space="preserve"> was not considered an appropriate comparator for medium to </w:t>
      </w:r>
      <w:r w:rsidR="00222597">
        <w:rPr>
          <w:bCs/>
        </w:rPr>
        <w:t>long-term</w:t>
      </w:r>
      <w:r w:rsidR="00FE139F" w:rsidRPr="002B2C93">
        <w:rPr>
          <w:bCs/>
        </w:rPr>
        <w:t xml:space="preserve"> use</w:t>
      </w:r>
      <w:r w:rsidR="006D0886" w:rsidRPr="002B2C93">
        <w:rPr>
          <w:bCs/>
        </w:rPr>
        <w:t>,</w:t>
      </w:r>
      <w:r w:rsidR="00FE139F" w:rsidRPr="002B2C93">
        <w:rPr>
          <w:bCs/>
        </w:rPr>
        <w:t xml:space="preserve"> </w:t>
      </w:r>
      <w:r w:rsidRPr="002B2C93">
        <w:rPr>
          <w:bCs/>
        </w:rPr>
        <w:t xml:space="preserve">the lack of evidence </w:t>
      </w:r>
      <w:r w:rsidR="00FE139F" w:rsidRPr="002B2C93">
        <w:rPr>
          <w:bCs/>
        </w:rPr>
        <w:t>in this setting</w:t>
      </w:r>
      <w:r w:rsidRPr="002B2C93">
        <w:rPr>
          <w:bCs/>
        </w:rPr>
        <w:t xml:space="preserve"> </w:t>
      </w:r>
      <w:r w:rsidR="00742563" w:rsidRPr="002B2C93">
        <w:rPr>
          <w:bCs/>
        </w:rPr>
        <w:t xml:space="preserve">meant it </w:t>
      </w:r>
      <w:r w:rsidRPr="002B2C93">
        <w:rPr>
          <w:bCs/>
        </w:rPr>
        <w:t xml:space="preserve">was not possible to make any conclusions regarding the comparative effectiveness and safety of </w:t>
      </w:r>
      <w:proofErr w:type="spellStart"/>
      <w:r w:rsidRPr="002B2C93">
        <w:rPr>
          <w:bCs/>
        </w:rPr>
        <w:t>ulipristal</w:t>
      </w:r>
      <w:proofErr w:type="spellEnd"/>
      <w:r w:rsidRPr="002B2C93">
        <w:rPr>
          <w:bCs/>
        </w:rPr>
        <w:t xml:space="preserve"> and </w:t>
      </w:r>
      <w:proofErr w:type="spellStart"/>
      <w:r w:rsidRPr="002B2C93">
        <w:rPr>
          <w:bCs/>
        </w:rPr>
        <w:t>goserelin</w:t>
      </w:r>
      <w:proofErr w:type="spellEnd"/>
      <w:r w:rsidRPr="002B2C93">
        <w:rPr>
          <w:bCs/>
        </w:rPr>
        <w:t xml:space="preserve"> (with or without add-back therapy) in these clinical scenarios.</w:t>
      </w:r>
      <w:r w:rsidR="00327D28" w:rsidRPr="002B2C93">
        <w:rPr>
          <w:bCs/>
        </w:rPr>
        <w:t xml:space="preserve"> </w:t>
      </w:r>
      <w:r w:rsidR="00111B0C" w:rsidRPr="002B2C93">
        <w:rPr>
          <w:bCs/>
        </w:rPr>
        <w:t xml:space="preserve">The PBAC </w:t>
      </w:r>
      <w:r w:rsidR="005411F8" w:rsidRPr="002B2C93">
        <w:rPr>
          <w:bCs/>
        </w:rPr>
        <w:t>concluded</w:t>
      </w:r>
      <w:r w:rsidR="00111B0C" w:rsidRPr="002B2C93">
        <w:rPr>
          <w:bCs/>
        </w:rPr>
        <w:t xml:space="preserve"> that </w:t>
      </w:r>
      <w:r w:rsidR="00222597">
        <w:rPr>
          <w:bCs/>
        </w:rPr>
        <w:t>long-term</w:t>
      </w:r>
      <w:r w:rsidR="00111B0C" w:rsidRPr="002B2C93">
        <w:rPr>
          <w:bCs/>
        </w:rPr>
        <w:t xml:space="preserve"> data </w:t>
      </w:r>
      <w:r w:rsidR="005411F8" w:rsidRPr="002B2C93">
        <w:rPr>
          <w:bCs/>
        </w:rPr>
        <w:t>wa</w:t>
      </w:r>
      <w:r w:rsidR="00111B0C" w:rsidRPr="002B2C93">
        <w:rPr>
          <w:bCs/>
        </w:rPr>
        <w:t>s required</w:t>
      </w:r>
      <w:r w:rsidR="00603162" w:rsidRPr="002B2C93">
        <w:rPr>
          <w:bCs/>
        </w:rPr>
        <w:t xml:space="preserve"> for </w:t>
      </w:r>
      <w:r w:rsidR="00845CC5">
        <w:rPr>
          <w:bCs/>
        </w:rPr>
        <w:t xml:space="preserve">a </w:t>
      </w:r>
      <w:r w:rsidR="00603162" w:rsidRPr="002B2C93">
        <w:rPr>
          <w:bCs/>
        </w:rPr>
        <w:t>future</w:t>
      </w:r>
      <w:r w:rsidR="005411F8" w:rsidRPr="002B2C93">
        <w:rPr>
          <w:bCs/>
        </w:rPr>
        <w:t xml:space="preserve"> </w:t>
      </w:r>
      <w:r w:rsidR="00742563" w:rsidRPr="002B2C93">
        <w:rPr>
          <w:bCs/>
        </w:rPr>
        <w:t>re</w:t>
      </w:r>
      <w:r w:rsidR="005411F8" w:rsidRPr="002B2C93">
        <w:rPr>
          <w:bCs/>
        </w:rPr>
        <w:t>submission</w:t>
      </w:r>
      <w:r w:rsidR="00845CC5">
        <w:rPr>
          <w:bCs/>
        </w:rPr>
        <w:t xml:space="preserve"> if use of </w:t>
      </w:r>
      <w:proofErr w:type="spellStart"/>
      <w:r w:rsidR="00845CC5">
        <w:rPr>
          <w:bCs/>
        </w:rPr>
        <w:t>ulipristal</w:t>
      </w:r>
      <w:proofErr w:type="spellEnd"/>
      <w:r w:rsidR="00845CC5">
        <w:rPr>
          <w:bCs/>
        </w:rPr>
        <w:t xml:space="preserve"> in this setting is requested</w:t>
      </w:r>
      <w:r w:rsidR="005411F8" w:rsidRPr="002B2C93">
        <w:rPr>
          <w:bCs/>
        </w:rPr>
        <w:t xml:space="preserve"> and this was supported by the RANZCOG</w:t>
      </w:r>
      <w:r w:rsidR="00FE139F" w:rsidRPr="002B2C93">
        <w:rPr>
          <w:bCs/>
        </w:rPr>
        <w:t xml:space="preserve"> advice</w:t>
      </w:r>
      <w:r w:rsidR="00111B0C" w:rsidRPr="002B2C93">
        <w:rPr>
          <w:bCs/>
        </w:rPr>
        <w:t xml:space="preserve">. </w:t>
      </w:r>
      <w:r w:rsidR="00327D28" w:rsidRPr="002B2C93">
        <w:rPr>
          <w:bCs/>
        </w:rPr>
        <w:t xml:space="preserve">The PBAC noted </w:t>
      </w:r>
      <w:r w:rsidR="00FE139F" w:rsidRPr="002B2C93">
        <w:rPr>
          <w:bCs/>
        </w:rPr>
        <w:t xml:space="preserve">that </w:t>
      </w:r>
      <w:r w:rsidR="00327D28" w:rsidRPr="002B2C93">
        <w:rPr>
          <w:bCs/>
        </w:rPr>
        <w:t xml:space="preserve">there are ongoing </w:t>
      </w:r>
      <w:r w:rsidR="00222597">
        <w:rPr>
          <w:bCs/>
        </w:rPr>
        <w:t>long-term</w:t>
      </w:r>
      <w:r w:rsidR="00327D28" w:rsidRPr="002B2C93">
        <w:rPr>
          <w:bCs/>
        </w:rPr>
        <w:t xml:space="preserve"> studies</w:t>
      </w:r>
      <w:r w:rsidR="00845CC5">
        <w:rPr>
          <w:bCs/>
        </w:rPr>
        <w:t xml:space="preserve"> being conducted</w:t>
      </w:r>
      <w:r w:rsidR="00327D28" w:rsidRPr="002B2C93">
        <w:rPr>
          <w:bCs/>
        </w:rPr>
        <w:t xml:space="preserve"> in the E</w:t>
      </w:r>
      <w:r w:rsidR="00FE139F" w:rsidRPr="002B2C93">
        <w:rPr>
          <w:bCs/>
        </w:rPr>
        <w:t xml:space="preserve">uropean </w:t>
      </w:r>
      <w:r w:rsidR="00F368D9" w:rsidRPr="00F368D9">
        <w:rPr>
          <w:bCs/>
        </w:rPr>
        <w:t>Union that</w:t>
      </w:r>
      <w:r w:rsidR="00327D28" w:rsidRPr="002B2C93">
        <w:rPr>
          <w:bCs/>
        </w:rPr>
        <w:t xml:space="preserve"> may provide further safety data in the future</w:t>
      </w:r>
      <w:r w:rsidR="005063EB" w:rsidRPr="002B2C93">
        <w:rPr>
          <w:bCs/>
        </w:rPr>
        <w:t>.</w:t>
      </w:r>
      <w:r w:rsidRPr="002B2C93">
        <w:rPr>
          <w:bCs/>
          <w:color w:val="FF0000"/>
        </w:rPr>
        <w:t xml:space="preserve"> </w:t>
      </w:r>
    </w:p>
    <w:p w:rsidR="00BD60F0" w:rsidRPr="002B2C93" w:rsidRDefault="00BD60F0" w:rsidP="00455D46">
      <w:pPr>
        <w:pStyle w:val="ListParagraph"/>
        <w:rPr>
          <w:bCs/>
        </w:rPr>
      </w:pPr>
    </w:p>
    <w:p w:rsidR="00D077C5" w:rsidRPr="002B2C93" w:rsidRDefault="00044452" w:rsidP="00D077C5">
      <w:pPr>
        <w:numPr>
          <w:ilvl w:val="1"/>
          <w:numId w:val="3"/>
        </w:numPr>
        <w:rPr>
          <w:bCs/>
        </w:rPr>
      </w:pPr>
      <w:r w:rsidRPr="002B2C93">
        <w:rPr>
          <w:bCs/>
        </w:rPr>
        <w:t xml:space="preserve">The PBAC </w:t>
      </w:r>
      <w:r w:rsidR="00FD1E88" w:rsidRPr="002B2C93">
        <w:rPr>
          <w:bCs/>
        </w:rPr>
        <w:t xml:space="preserve">considered </w:t>
      </w:r>
      <w:r w:rsidRPr="002B2C93">
        <w:rPr>
          <w:bCs/>
        </w:rPr>
        <w:t xml:space="preserve">that a cost minimisation </w:t>
      </w:r>
      <w:r w:rsidR="00FD2AE3" w:rsidRPr="002B2C93">
        <w:rPr>
          <w:bCs/>
        </w:rPr>
        <w:t>approach</w:t>
      </w:r>
      <w:r w:rsidRPr="002B2C93">
        <w:rPr>
          <w:bCs/>
        </w:rPr>
        <w:t xml:space="preserve"> for </w:t>
      </w:r>
      <w:proofErr w:type="spellStart"/>
      <w:r w:rsidR="00D077C5" w:rsidRPr="002B2C93">
        <w:rPr>
          <w:bCs/>
        </w:rPr>
        <w:t>ulipristal</w:t>
      </w:r>
      <w:proofErr w:type="spellEnd"/>
      <w:r w:rsidR="00FD2AE3" w:rsidRPr="002B2C93">
        <w:rPr>
          <w:bCs/>
        </w:rPr>
        <w:t xml:space="preserve"> versus </w:t>
      </w:r>
      <w:proofErr w:type="spellStart"/>
      <w:r w:rsidR="00FD2AE3" w:rsidRPr="002B2C93">
        <w:rPr>
          <w:bCs/>
        </w:rPr>
        <w:t>goserelin</w:t>
      </w:r>
      <w:proofErr w:type="spellEnd"/>
      <w:r w:rsidR="00FD2AE3" w:rsidRPr="002B2C93">
        <w:rPr>
          <w:bCs/>
        </w:rPr>
        <w:t xml:space="preserve"> for </w:t>
      </w:r>
      <w:r w:rsidRPr="002B2C93">
        <w:rPr>
          <w:bCs/>
        </w:rPr>
        <w:t xml:space="preserve">the </w:t>
      </w:r>
      <w:r w:rsidR="00222597">
        <w:rPr>
          <w:bCs/>
        </w:rPr>
        <w:t>short-term</w:t>
      </w:r>
      <w:r w:rsidRPr="002B2C93">
        <w:rPr>
          <w:bCs/>
        </w:rPr>
        <w:t xml:space="preserve"> a</w:t>
      </w:r>
      <w:r w:rsidR="00FD2AE3" w:rsidRPr="002B2C93">
        <w:rPr>
          <w:bCs/>
        </w:rPr>
        <w:t xml:space="preserve">nd </w:t>
      </w:r>
      <w:r w:rsidR="00742563" w:rsidRPr="002B2C93">
        <w:rPr>
          <w:bCs/>
        </w:rPr>
        <w:t xml:space="preserve">medium to </w:t>
      </w:r>
      <w:r w:rsidR="00222597">
        <w:rPr>
          <w:bCs/>
        </w:rPr>
        <w:t>long-term</w:t>
      </w:r>
      <w:r w:rsidR="00FD2AE3" w:rsidRPr="002B2C93">
        <w:rPr>
          <w:bCs/>
        </w:rPr>
        <w:t xml:space="preserve"> use was not appropriate as </w:t>
      </w:r>
      <w:proofErr w:type="spellStart"/>
      <w:r w:rsidR="00FD2AE3" w:rsidRPr="002B2C93">
        <w:rPr>
          <w:bCs/>
        </w:rPr>
        <w:t>goserelin</w:t>
      </w:r>
      <w:proofErr w:type="spellEnd"/>
      <w:r w:rsidR="00FD2AE3" w:rsidRPr="002B2C93">
        <w:rPr>
          <w:bCs/>
        </w:rPr>
        <w:t xml:space="preserve"> is not listed on the PBS for </w:t>
      </w:r>
      <w:r w:rsidR="00845CC5">
        <w:rPr>
          <w:bCs/>
        </w:rPr>
        <w:t>use in the treatment of uterine fibroids</w:t>
      </w:r>
      <w:r w:rsidR="007A2C7B" w:rsidRPr="002B2C93">
        <w:rPr>
          <w:bCs/>
        </w:rPr>
        <w:t xml:space="preserve">. Therefore, the </w:t>
      </w:r>
      <w:r w:rsidR="007A2C7B" w:rsidRPr="00222597">
        <w:rPr>
          <w:szCs w:val="22"/>
        </w:rPr>
        <w:t>cost-effectiveness</w:t>
      </w:r>
      <w:r w:rsidR="00742563" w:rsidRPr="00222597">
        <w:rPr>
          <w:szCs w:val="22"/>
        </w:rPr>
        <w:t xml:space="preserve"> of </w:t>
      </w:r>
      <w:proofErr w:type="spellStart"/>
      <w:r w:rsidR="00742563" w:rsidRPr="00222597">
        <w:rPr>
          <w:szCs w:val="22"/>
        </w:rPr>
        <w:t>goserelin</w:t>
      </w:r>
      <w:proofErr w:type="spellEnd"/>
      <w:r w:rsidR="00845CC5">
        <w:rPr>
          <w:szCs w:val="22"/>
        </w:rPr>
        <w:t xml:space="preserve"> for this indication</w:t>
      </w:r>
      <w:r w:rsidR="007A2C7B" w:rsidRPr="00222597">
        <w:rPr>
          <w:szCs w:val="22"/>
        </w:rPr>
        <w:t xml:space="preserve"> </w:t>
      </w:r>
      <w:r w:rsidR="00742563" w:rsidRPr="00222597">
        <w:rPr>
          <w:szCs w:val="22"/>
        </w:rPr>
        <w:t>has</w:t>
      </w:r>
      <w:r w:rsidR="00CE785E" w:rsidRPr="00222597">
        <w:rPr>
          <w:szCs w:val="22"/>
        </w:rPr>
        <w:t xml:space="preserve"> not</w:t>
      </w:r>
      <w:r w:rsidR="007A2C7B" w:rsidRPr="00222597">
        <w:rPr>
          <w:szCs w:val="22"/>
        </w:rPr>
        <w:t xml:space="preserve"> be</w:t>
      </w:r>
      <w:r w:rsidR="006D0886" w:rsidRPr="00222597">
        <w:rPr>
          <w:szCs w:val="22"/>
        </w:rPr>
        <w:t>en</w:t>
      </w:r>
      <w:r w:rsidR="007A2C7B" w:rsidRPr="00222597">
        <w:rPr>
          <w:szCs w:val="22"/>
        </w:rPr>
        <w:t xml:space="preserve"> </w:t>
      </w:r>
      <w:r w:rsidR="00845CC5">
        <w:rPr>
          <w:szCs w:val="22"/>
        </w:rPr>
        <w:t>assessed</w:t>
      </w:r>
      <w:r w:rsidR="00742563" w:rsidRPr="00222597">
        <w:rPr>
          <w:szCs w:val="22"/>
        </w:rPr>
        <w:t xml:space="preserve"> and</w:t>
      </w:r>
      <w:r w:rsidR="00845CC5">
        <w:rPr>
          <w:szCs w:val="22"/>
        </w:rPr>
        <w:t xml:space="preserve"> as such</w:t>
      </w:r>
      <w:r w:rsidR="00742563" w:rsidRPr="00222597">
        <w:rPr>
          <w:szCs w:val="22"/>
        </w:rPr>
        <w:t xml:space="preserve"> a cost utility approach against </w:t>
      </w:r>
      <w:r w:rsidR="00845CC5">
        <w:rPr>
          <w:szCs w:val="22"/>
        </w:rPr>
        <w:t>no treatment</w:t>
      </w:r>
      <w:r w:rsidR="00742563" w:rsidRPr="00222597">
        <w:rPr>
          <w:szCs w:val="22"/>
        </w:rPr>
        <w:t xml:space="preserve"> would be more appropriate. </w:t>
      </w:r>
    </w:p>
    <w:p w:rsidR="003D4B12" w:rsidRPr="002B2C93" w:rsidRDefault="003D4B12" w:rsidP="00966B46">
      <w:pPr>
        <w:pStyle w:val="PBACHeading1"/>
        <w:numPr>
          <w:ilvl w:val="0"/>
          <w:numId w:val="0"/>
        </w:numPr>
        <w:ind w:left="720"/>
      </w:pPr>
    </w:p>
    <w:p w:rsidR="003D4B12" w:rsidRPr="002B2C93" w:rsidRDefault="00FD2AE3" w:rsidP="003D4B12">
      <w:pPr>
        <w:pStyle w:val="ListParagraph"/>
        <w:numPr>
          <w:ilvl w:val="1"/>
          <w:numId w:val="3"/>
        </w:numPr>
        <w:rPr>
          <w:bCs/>
        </w:rPr>
      </w:pPr>
      <w:r w:rsidRPr="002B2C93">
        <w:rPr>
          <w:bCs/>
        </w:rPr>
        <w:t xml:space="preserve">The PBAC </w:t>
      </w:r>
      <w:r w:rsidR="0025618B" w:rsidRPr="002B2C93">
        <w:rPr>
          <w:bCs/>
        </w:rPr>
        <w:t xml:space="preserve">agreed with </w:t>
      </w:r>
      <w:r w:rsidRPr="002B2C93">
        <w:rPr>
          <w:bCs/>
        </w:rPr>
        <w:t>the</w:t>
      </w:r>
      <w:r w:rsidR="0025618B" w:rsidRPr="002B2C93">
        <w:rPr>
          <w:bCs/>
        </w:rPr>
        <w:t xml:space="preserve"> concerns raised by</w:t>
      </w:r>
      <w:r w:rsidRPr="002B2C93">
        <w:rPr>
          <w:bCs/>
        </w:rPr>
        <w:t xml:space="preserve"> </w:t>
      </w:r>
      <w:r w:rsidR="00742563" w:rsidRPr="002B2C93">
        <w:rPr>
          <w:bCs/>
        </w:rPr>
        <w:t xml:space="preserve">the </w:t>
      </w:r>
      <w:r w:rsidRPr="002B2C93">
        <w:rPr>
          <w:bCs/>
        </w:rPr>
        <w:t>DUSC</w:t>
      </w:r>
      <w:r w:rsidR="00845CC5">
        <w:rPr>
          <w:bCs/>
        </w:rPr>
        <w:t xml:space="preserve"> regarding the financial estimates</w:t>
      </w:r>
      <w:r w:rsidR="0025618B" w:rsidRPr="002B2C93">
        <w:rPr>
          <w:bCs/>
        </w:rPr>
        <w:t xml:space="preserve"> and noted that</w:t>
      </w:r>
      <w:r w:rsidRPr="002B2C93">
        <w:rPr>
          <w:bCs/>
        </w:rPr>
        <w:t xml:space="preserve"> </w:t>
      </w:r>
      <w:r w:rsidR="0025618B" w:rsidRPr="002B2C93">
        <w:rPr>
          <w:bCs/>
        </w:rPr>
        <w:t xml:space="preserve">due to the limited epidemiological evidence available to inform the analysis, the estimated number of patients likely to be treated and, therefore, the estimated cost of </w:t>
      </w:r>
      <w:proofErr w:type="spellStart"/>
      <w:r w:rsidR="0025618B" w:rsidRPr="002B2C93">
        <w:rPr>
          <w:bCs/>
        </w:rPr>
        <w:t>ulipristal</w:t>
      </w:r>
      <w:proofErr w:type="spellEnd"/>
      <w:r w:rsidR="0025618B" w:rsidRPr="002B2C93">
        <w:rPr>
          <w:bCs/>
        </w:rPr>
        <w:t xml:space="preserve"> to the PBS/</w:t>
      </w:r>
      <w:proofErr w:type="gramStart"/>
      <w:r w:rsidR="0025618B" w:rsidRPr="002B2C93">
        <w:rPr>
          <w:bCs/>
        </w:rPr>
        <w:t>RPBS</w:t>
      </w:r>
      <w:r w:rsidR="00A61792">
        <w:rPr>
          <w:bCs/>
        </w:rPr>
        <w:t>,</w:t>
      </w:r>
      <w:proofErr w:type="gramEnd"/>
      <w:r w:rsidR="0025618B" w:rsidRPr="002B2C93">
        <w:rPr>
          <w:bCs/>
        </w:rPr>
        <w:t xml:space="preserve"> was highly uncertain.</w:t>
      </w:r>
      <w:r w:rsidRPr="002B2C93">
        <w:rPr>
          <w:bCs/>
        </w:rPr>
        <w:t xml:space="preserve"> </w:t>
      </w:r>
      <w:r w:rsidR="0075226B" w:rsidRPr="002B2C93">
        <w:rPr>
          <w:bCs/>
        </w:rPr>
        <w:t xml:space="preserve">The PBAC </w:t>
      </w:r>
      <w:r w:rsidR="00CE785E" w:rsidRPr="002B2C93">
        <w:rPr>
          <w:bCs/>
        </w:rPr>
        <w:t xml:space="preserve">also agreed </w:t>
      </w:r>
      <w:r w:rsidR="0075226B" w:rsidRPr="002B2C93">
        <w:rPr>
          <w:bCs/>
        </w:rPr>
        <w:t xml:space="preserve">with </w:t>
      </w:r>
      <w:r w:rsidR="00742563" w:rsidRPr="002B2C93">
        <w:rPr>
          <w:bCs/>
        </w:rPr>
        <w:t xml:space="preserve">the </w:t>
      </w:r>
      <w:r w:rsidR="0075226B" w:rsidRPr="002B2C93">
        <w:rPr>
          <w:bCs/>
        </w:rPr>
        <w:t>DUSC</w:t>
      </w:r>
      <w:r w:rsidR="0025618B" w:rsidRPr="002B2C93">
        <w:rPr>
          <w:bCs/>
        </w:rPr>
        <w:t>’s</w:t>
      </w:r>
      <w:r w:rsidR="0075226B" w:rsidRPr="002B2C93">
        <w:rPr>
          <w:bCs/>
        </w:rPr>
        <w:t xml:space="preserve"> </w:t>
      </w:r>
      <w:r w:rsidR="0025618B" w:rsidRPr="002B2C93">
        <w:rPr>
          <w:bCs/>
        </w:rPr>
        <w:t>comment</w:t>
      </w:r>
      <w:r w:rsidR="0075226B" w:rsidRPr="002B2C93">
        <w:rPr>
          <w:bCs/>
        </w:rPr>
        <w:t xml:space="preserve"> that for the </w:t>
      </w:r>
      <w:r w:rsidR="00222597">
        <w:rPr>
          <w:bCs/>
        </w:rPr>
        <w:t>short-term</w:t>
      </w:r>
      <w:r w:rsidR="0075226B" w:rsidRPr="002B2C93">
        <w:rPr>
          <w:bCs/>
        </w:rPr>
        <w:t xml:space="preserve"> pre-surgery population, where use of </w:t>
      </w:r>
      <w:proofErr w:type="spellStart"/>
      <w:r w:rsidR="0075226B" w:rsidRPr="002B2C93">
        <w:rPr>
          <w:bCs/>
        </w:rPr>
        <w:t>ulipristal</w:t>
      </w:r>
      <w:proofErr w:type="spellEnd"/>
      <w:r w:rsidR="0075226B" w:rsidRPr="002B2C93">
        <w:rPr>
          <w:bCs/>
        </w:rPr>
        <w:t xml:space="preserve"> would essentially be once in a lifetime treatment, an incidence approach, accounting for a prevalent pool in the first year, may be more appropriate.</w:t>
      </w:r>
      <w:r w:rsidR="003C3F04" w:rsidRPr="002B2C93">
        <w:rPr>
          <w:bCs/>
        </w:rPr>
        <w:t xml:space="preserve"> </w:t>
      </w:r>
      <w:r w:rsidR="00845CC5">
        <w:rPr>
          <w:szCs w:val="22"/>
        </w:rPr>
        <w:t>T</w:t>
      </w:r>
      <w:r w:rsidR="00845CC5" w:rsidRPr="00222597">
        <w:rPr>
          <w:szCs w:val="22"/>
        </w:rPr>
        <w:t xml:space="preserve">he PBAC </w:t>
      </w:r>
      <w:r w:rsidR="00845CC5">
        <w:rPr>
          <w:szCs w:val="22"/>
        </w:rPr>
        <w:t>considered</w:t>
      </w:r>
      <w:r w:rsidR="00845CC5" w:rsidRPr="00222597">
        <w:rPr>
          <w:szCs w:val="22"/>
        </w:rPr>
        <w:t xml:space="preserve"> that </w:t>
      </w:r>
      <w:r w:rsidR="00845CC5">
        <w:rPr>
          <w:szCs w:val="22"/>
        </w:rPr>
        <w:t>the PBS</w:t>
      </w:r>
      <w:r w:rsidR="00845CC5" w:rsidRPr="00222597">
        <w:rPr>
          <w:szCs w:val="22"/>
        </w:rPr>
        <w:t xml:space="preserve"> financial estimates should exclude </w:t>
      </w:r>
      <w:r w:rsidR="00845CC5" w:rsidRPr="00E16E48">
        <w:rPr>
          <w:bCs/>
        </w:rPr>
        <w:t xml:space="preserve">cost offsets for </w:t>
      </w:r>
      <w:proofErr w:type="spellStart"/>
      <w:r w:rsidR="00845CC5" w:rsidRPr="00E16E48">
        <w:rPr>
          <w:bCs/>
        </w:rPr>
        <w:t>goserelin</w:t>
      </w:r>
      <w:proofErr w:type="spellEnd"/>
      <w:r w:rsidR="00845CC5">
        <w:rPr>
          <w:bCs/>
        </w:rPr>
        <w:t xml:space="preserve">, and that this increased </w:t>
      </w:r>
      <w:r w:rsidR="008F5FA7" w:rsidRPr="00222597">
        <w:rPr>
          <w:szCs w:val="22"/>
        </w:rPr>
        <w:t>the net cost to the PBS/RPBS in Year 5 from</w:t>
      </w:r>
      <w:r w:rsidR="006C33BD">
        <w:rPr>
          <w:szCs w:val="22"/>
        </w:rPr>
        <w:t xml:space="preserve"> less than</w:t>
      </w:r>
      <w:r w:rsidR="008F5FA7" w:rsidRPr="00222597">
        <w:rPr>
          <w:szCs w:val="22"/>
        </w:rPr>
        <w:t xml:space="preserve"> $</w:t>
      </w:r>
      <w:r w:rsidR="006C33BD">
        <w:rPr>
          <w:szCs w:val="22"/>
        </w:rPr>
        <w:t>10 million</w:t>
      </w:r>
      <w:r w:rsidR="008F5FA7" w:rsidRPr="00222597">
        <w:rPr>
          <w:szCs w:val="22"/>
        </w:rPr>
        <w:t xml:space="preserve"> to $30</w:t>
      </w:r>
      <w:r w:rsidR="006C33BD">
        <w:rPr>
          <w:szCs w:val="22"/>
        </w:rPr>
        <w:t xml:space="preserve"> - $60 million</w:t>
      </w:r>
      <w:r w:rsidR="00845CC5" w:rsidRPr="00E16E48">
        <w:rPr>
          <w:bCs/>
        </w:rPr>
        <w:t>.</w:t>
      </w:r>
    </w:p>
    <w:p w:rsidR="003D4B12" w:rsidRPr="002B2C93" w:rsidRDefault="003D4B12" w:rsidP="003D4B12">
      <w:pPr>
        <w:rPr>
          <w:bCs/>
          <w:highlight w:val="yellow"/>
        </w:rPr>
      </w:pPr>
    </w:p>
    <w:p w:rsidR="000F3944" w:rsidRPr="002B2C93" w:rsidRDefault="000F3944" w:rsidP="00E653F2">
      <w:pPr>
        <w:numPr>
          <w:ilvl w:val="1"/>
          <w:numId w:val="3"/>
        </w:numPr>
        <w:rPr>
          <w:bCs/>
        </w:rPr>
      </w:pPr>
      <w:r w:rsidRPr="002B2C93">
        <w:rPr>
          <w:bCs/>
        </w:rPr>
        <w:t xml:space="preserve">The PBAC considered </w:t>
      </w:r>
      <w:r w:rsidR="00742563" w:rsidRPr="002B2C93">
        <w:rPr>
          <w:bCs/>
        </w:rPr>
        <w:t xml:space="preserve">that </w:t>
      </w:r>
      <w:r w:rsidRPr="002B2C93">
        <w:rPr>
          <w:bCs/>
        </w:rPr>
        <w:t xml:space="preserve">there </w:t>
      </w:r>
      <w:r w:rsidR="00742563" w:rsidRPr="002B2C93">
        <w:rPr>
          <w:bCs/>
        </w:rPr>
        <w:t>wa</w:t>
      </w:r>
      <w:r w:rsidRPr="002B2C93">
        <w:rPr>
          <w:bCs/>
        </w:rPr>
        <w:t xml:space="preserve">s </w:t>
      </w:r>
      <w:r w:rsidR="004E6878" w:rsidRPr="002B2C93">
        <w:rPr>
          <w:bCs/>
        </w:rPr>
        <w:t xml:space="preserve">a </w:t>
      </w:r>
      <w:r w:rsidR="00742563" w:rsidRPr="002B2C93">
        <w:rPr>
          <w:bCs/>
        </w:rPr>
        <w:t xml:space="preserve">possible </w:t>
      </w:r>
      <w:r w:rsidRPr="002B2C93">
        <w:rPr>
          <w:bCs/>
        </w:rPr>
        <w:t xml:space="preserve">clinical need for subsidised access to </w:t>
      </w:r>
      <w:proofErr w:type="spellStart"/>
      <w:r w:rsidRPr="002B2C93">
        <w:rPr>
          <w:bCs/>
        </w:rPr>
        <w:t>ulipristal</w:t>
      </w:r>
      <w:proofErr w:type="spellEnd"/>
      <w:r w:rsidRPr="002B2C93">
        <w:rPr>
          <w:bCs/>
        </w:rPr>
        <w:t xml:space="preserve"> for </w:t>
      </w:r>
      <w:r w:rsidR="00742563" w:rsidRPr="002B2C93">
        <w:rPr>
          <w:bCs/>
        </w:rPr>
        <w:t>the</w:t>
      </w:r>
      <w:r w:rsidR="004E6878" w:rsidRPr="002B2C93">
        <w:rPr>
          <w:bCs/>
        </w:rPr>
        <w:t xml:space="preserve"> </w:t>
      </w:r>
      <w:r w:rsidR="00222597">
        <w:rPr>
          <w:bCs/>
        </w:rPr>
        <w:t>short-term</w:t>
      </w:r>
      <w:r w:rsidR="00742563" w:rsidRPr="002B2C93">
        <w:rPr>
          <w:bCs/>
        </w:rPr>
        <w:t xml:space="preserve"> treatment</w:t>
      </w:r>
      <w:r w:rsidR="004E6878" w:rsidRPr="002B2C93">
        <w:rPr>
          <w:bCs/>
        </w:rPr>
        <w:t xml:space="preserve"> of moderate to severe</w:t>
      </w:r>
      <w:r w:rsidR="00742563" w:rsidRPr="002B2C93">
        <w:rPr>
          <w:bCs/>
        </w:rPr>
        <w:t xml:space="preserve"> </w:t>
      </w:r>
      <w:r w:rsidRPr="002B2C93">
        <w:rPr>
          <w:bCs/>
        </w:rPr>
        <w:t>uterine fibroids</w:t>
      </w:r>
      <w:r w:rsidR="004E6878" w:rsidRPr="002B2C93">
        <w:rPr>
          <w:bCs/>
        </w:rPr>
        <w:t xml:space="preserve"> prior to surgery</w:t>
      </w:r>
      <w:r w:rsidRPr="002B2C93">
        <w:rPr>
          <w:bCs/>
        </w:rPr>
        <w:t xml:space="preserve"> and would welcome a major resubmission. The PBAC considered that a major resubmission should</w:t>
      </w:r>
      <w:r w:rsidR="0029173C" w:rsidRPr="002B2C93">
        <w:rPr>
          <w:bCs/>
        </w:rPr>
        <w:t xml:space="preserve"> </w:t>
      </w:r>
      <w:r w:rsidR="00F963C6">
        <w:rPr>
          <w:bCs/>
        </w:rPr>
        <w:t xml:space="preserve">clearly </w:t>
      </w:r>
      <w:r w:rsidR="0029173C" w:rsidRPr="002B2C93">
        <w:rPr>
          <w:bCs/>
        </w:rPr>
        <w:t>define the</w:t>
      </w:r>
      <w:r w:rsidR="00A64822" w:rsidRPr="002B2C93">
        <w:rPr>
          <w:bCs/>
        </w:rPr>
        <w:t xml:space="preserve"> clinical place for </w:t>
      </w:r>
      <w:proofErr w:type="spellStart"/>
      <w:r w:rsidR="00A64822" w:rsidRPr="002B2C93">
        <w:rPr>
          <w:bCs/>
        </w:rPr>
        <w:t>ulipristal</w:t>
      </w:r>
      <w:proofErr w:type="spellEnd"/>
      <w:r w:rsidR="00A64822" w:rsidRPr="002B2C93">
        <w:rPr>
          <w:bCs/>
        </w:rPr>
        <w:t xml:space="preserve">. </w:t>
      </w:r>
      <w:r w:rsidR="0029173C" w:rsidRPr="002B2C93">
        <w:rPr>
          <w:bCs/>
        </w:rPr>
        <w:t xml:space="preserve">The resubmission would also need to </w:t>
      </w:r>
      <w:r w:rsidR="00F963C6">
        <w:rPr>
          <w:bCs/>
        </w:rPr>
        <w:t xml:space="preserve">include no treatment as a comparator and assess the impact of </w:t>
      </w:r>
      <w:proofErr w:type="spellStart"/>
      <w:r w:rsidR="00F963C6">
        <w:rPr>
          <w:bCs/>
        </w:rPr>
        <w:t>ulipristal</w:t>
      </w:r>
      <w:proofErr w:type="spellEnd"/>
      <w:r w:rsidR="00F963C6">
        <w:rPr>
          <w:bCs/>
        </w:rPr>
        <w:t xml:space="preserve"> </w:t>
      </w:r>
      <w:r w:rsidR="004E6878" w:rsidRPr="002B2C93">
        <w:rPr>
          <w:bCs/>
        </w:rPr>
        <w:t xml:space="preserve">treatment </w:t>
      </w:r>
      <w:r w:rsidR="0029173C" w:rsidRPr="002B2C93">
        <w:rPr>
          <w:bCs/>
        </w:rPr>
        <w:t xml:space="preserve">on surgical outcomes. </w:t>
      </w:r>
    </w:p>
    <w:p w:rsidR="000F3944" w:rsidRPr="002B2C93" w:rsidRDefault="000F3944" w:rsidP="00455D46">
      <w:pPr>
        <w:pStyle w:val="ListParagraph"/>
        <w:rPr>
          <w:bCs/>
        </w:rPr>
      </w:pPr>
    </w:p>
    <w:p w:rsidR="003D4B12" w:rsidRPr="001466EA" w:rsidRDefault="003D4B12" w:rsidP="000F3944">
      <w:pPr>
        <w:numPr>
          <w:ilvl w:val="1"/>
          <w:numId w:val="3"/>
        </w:numPr>
        <w:rPr>
          <w:b/>
        </w:rPr>
      </w:pPr>
      <w:r w:rsidRPr="001466EA">
        <w:rPr>
          <w:bCs/>
        </w:rPr>
        <w:t xml:space="preserve">The PBAC noted that this submission is eligible for an Independent Review. </w:t>
      </w:r>
    </w:p>
    <w:p w:rsidR="003D4B12" w:rsidRPr="002B2C93" w:rsidRDefault="003D4B12" w:rsidP="003D4B12">
      <w:pPr>
        <w:rPr>
          <w:b/>
          <w:bCs/>
        </w:rPr>
      </w:pPr>
    </w:p>
    <w:p w:rsidR="003D4B12" w:rsidRPr="002B2C93" w:rsidRDefault="003D4B12" w:rsidP="003D4B12">
      <w:pPr>
        <w:rPr>
          <w:b/>
          <w:bCs/>
        </w:rPr>
      </w:pPr>
      <w:r w:rsidRPr="002B2C93">
        <w:rPr>
          <w:b/>
          <w:bCs/>
        </w:rPr>
        <w:t>Outcome:</w:t>
      </w:r>
    </w:p>
    <w:p w:rsidR="003D4B12" w:rsidRDefault="003D4B12" w:rsidP="00C31701">
      <w:pPr>
        <w:rPr>
          <w:bCs/>
        </w:rPr>
      </w:pPr>
      <w:r w:rsidRPr="002B2C93">
        <w:rPr>
          <w:bCs/>
        </w:rPr>
        <w:t>Rejected</w:t>
      </w:r>
      <w:r w:rsidR="00B84853" w:rsidRPr="00222597">
        <w:rPr>
          <w:bCs/>
        </w:rPr>
        <w:t xml:space="preserve"> </w:t>
      </w:r>
    </w:p>
    <w:p w:rsidR="00A647BB" w:rsidRDefault="00A647BB" w:rsidP="00C31701">
      <w:pPr>
        <w:rPr>
          <w:bCs/>
        </w:rPr>
      </w:pPr>
    </w:p>
    <w:p w:rsidR="00A647BB" w:rsidRPr="00A647BB" w:rsidRDefault="00A647BB" w:rsidP="001466EA">
      <w:pPr>
        <w:pStyle w:val="Heading1"/>
      </w:pPr>
      <w:r w:rsidRPr="00A647BB">
        <w:t>Context for Decision</w:t>
      </w:r>
    </w:p>
    <w:p w:rsidR="00A647BB" w:rsidRPr="00A647BB" w:rsidRDefault="00A647BB" w:rsidP="00A647BB">
      <w:pPr>
        <w:ind w:left="720"/>
        <w:rPr>
          <w:bCs/>
        </w:rPr>
      </w:pPr>
    </w:p>
    <w:p w:rsidR="00A647BB" w:rsidRPr="00A647BB" w:rsidRDefault="00A647BB" w:rsidP="00A647BB">
      <w:pPr>
        <w:ind w:left="720"/>
        <w:rPr>
          <w:bCs/>
        </w:rPr>
      </w:pPr>
      <w:r w:rsidRPr="00A647BB">
        <w:rPr>
          <w:bCs/>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A647BB" w:rsidRPr="00A647BB" w:rsidRDefault="00A647BB" w:rsidP="00A647BB">
      <w:pPr>
        <w:ind w:left="720"/>
        <w:rPr>
          <w:bCs/>
        </w:rPr>
      </w:pPr>
    </w:p>
    <w:p w:rsidR="00A647BB" w:rsidRPr="00A647BB" w:rsidRDefault="00A647BB" w:rsidP="001466EA">
      <w:pPr>
        <w:pStyle w:val="Heading1"/>
      </w:pPr>
      <w:r w:rsidRPr="00A647BB">
        <w:t>Sponsor’s Comment</w:t>
      </w:r>
      <w:r w:rsidRPr="00A647BB">
        <w:tab/>
      </w:r>
    </w:p>
    <w:p w:rsidR="00A647BB" w:rsidRPr="00A647BB" w:rsidRDefault="00A647BB" w:rsidP="00A647BB">
      <w:pPr>
        <w:ind w:left="720"/>
        <w:rPr>
          <w:bCs/>
          <w:highlight w:val="yellow"/>
        </w:rPr>
      </w:pPr>
    </w:p>
    <w:p w:rsidR="000D0517" w:rsidRPr="00A647BB" w:rsidRDefault="000D0517" w:rsidP="000D0517">
      <w:pPr>
        <w:ind w:left="720"/>
        <w:rPr>
          <w:bCs/>
        </w:rPr>
      </w:pPr>
      <w:proofErr w:type="spellStart"/>
      <w:r>
        <w:rPr>
          <w:bCs/>
        </w:rPr>
        <w:t>Vifor</w:t>
      </w:r>
      <w:proofErr w:type="spellEnd"/>
      <w:r>
        <w:rPr>
          <w:bCs/>
        </w:rPr>
        <w:t xml:space="preserve"> Pharma believes there is a clinical place for </w:t>
      </w:r>
      <w:proofErr w:type="spellStart"/>
      <w:r>
        <w:rPr>
          <w:bCs/>
        </w:rPr>
        <w:t>ulipristal</w:t>
      </w:r>
      <w:proofErr w:type="spellEnd"/>
      <w:r>
        <w:rPr>
          <w:bCs/>
        </w:rPr>
        <w:t xml:space="preserve"> acetate in the Australian healthcare system and will continue to present the available evidence to demonstrate the cost-effectiveness of treatment moderate to severe symptoms of uterine fibroids. </w:t>
      </w:r>
    </w:p>
    <w:p w:rsidR="00A647BB" w:rsidRPr="00DE413E" w:rsidRDefault="00A647BB" w:rsidP="00C31701">
      <w:pPr>
        <w:rPr>
          <w:bCs/>
          <w:highlight w:val="yellow"/>
        </w:rPr>
      </w:pPr>
    </w:p>
    <w:sectPr w:rsidR="00A647BB" w:rsidRPr="00DE413E" w:rsidSect="00795FCA">
      <w:headerReference w:type="default" r:id="rId9"/>
      <w:footerReference w:type="default" r:id="rId10"/>
      <w:footnotePr>
        <w:numFmt w:val="chicago"/>
      </w:footnotePr>
      <w:pgSz w:w="11906" w:h="16838"/>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6EA" w:rsidRDefault="001466EA" w:rsidP="00124A51">
      <w:r>
        <w:separator/>
      </w:r>
    </w:p>
  </w:endnote>
  <w:endnote w:type="continuationSeparator" w:id="0">
    <w:p w:rsidR="001466EA" w:rsidRDefault="001466EA"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ndara">
    <w:panose1 w:val="020E0502030303020204"/>
    <w:charset w:val="00"/>
    <w:family w:val="swiss"/>
    <w:pitch w:val="variable"/>
    <w:sig w:usb0="A00002EF" w:usb1="4000A44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4730353"/>
      <w:docPartObj>
        <w:docPartGallery w:val="Page Numbers (Bottom of Page)"/>
        <w:docPartUnique/>
      </w:docPartObj>
    </w:sdtPr>
    <w:sdtEndPr>
      <w:rPr>
        <w:noProof/>
      </w:rPr>
    </w:sdtEndPr>
    <w:sdtContent>
      <w:p w:rsidR="00D20A48" w:rsidRDefault="00D20A48" w:rsidP="00A71486">
        <w:pPr>
          <w:pStyle w:val="Footer"/>
          <w:jc w:val="center"/>
        </w:pPr>
      </w:p>
      <w:p w:rsidR="00D20A48" w:rsidRPr="00A71486" w:rsidRDefault="00D20A48" w:rsidP="00A71486">
        <w:pPr>
          <w:pStyle w:val="Footer"/>
          <w:jc w:val="center"/>
        </w:pPr>
        <w:r>
          <w:fldChar w:fldCharType="begin"/>
        </w:r>
        <w:r>
          <w:instrText xml:space="preserve"> PAGE   \* MERGEFORMAT </w:instrText>
        </w:r>
        <w:r>
          <w:fldChar w:fldCharType="separate"/>
        </w:r>
        <w:r w:rsidR="001466EA">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6EA" w:rsidRDefault="001466EA" w:rsidP="00124A51">
      <w:r>
        <w:separator/>
      </w:r>
    </w:p>
  </w:footnote>
  <w:footnote w:type="continuationSeparator" w:id="0">
    <w:p w:rsidR="001466EA" w:rsidRDefault="001466EA" w:rsidP="00124A51">
      <w:r>
        <w:continuationSeparator/>
      </w:r>
    </w:p>
  </w:footnote>
  <w:footnote w:id="1">
    <w:p w:rsidR="00D20A48" w:rsidRPr="00A8011E" w:rsidRDefault="00D20A48" w:rsidP="00561ABF">
      <w:pPr>
        <w:pStyle w:val="FootnoteText"/>
        <w:tabs>
          <w:tab w:val="left" w:pos="142"/>
        </w:tabs>
        <w:ind w:left="142" w:hanging="142"/>
        <w:rPr>
          <w:sz w:val="18"/>
          <w:szCs w:val="18"/>
        </w:rPr>
      </w:pPr>
      <w:r w:rsidRPr="00A8011E">
        <w:rPr>
          <w:rStyle w:val="FootnoteReference"/>
          <w:sz w:val="18"/>
          <w:szCs w:val="18"/>
        </w:rPr>
        <w:footnoteRef/>
      </w:r>
      <w:r w:rsidRPr="00A8011E">
        <w:rPr>
          <w:sz w:val="18"/>
          <w:szCs w:val="18"/>
        </w:rPr>
        <w:t xml:space="preserve"> </w:t>
      </w:r>
      <w:proofErr w:type="gramStart"/>
      <w:r w:rsidRPr="00A8011E">
        <w:rPr>
          <w:sz w:val="18"/>
          <w:szCs w:val="18"/>
        </w:rPr>
        <w:t>National Institute for Health and Care Excellence.</w:t>
      </w:r>
      <w:proofErr w:type="gramEnd"/>
      <w:r w:rsidRPr="00A8011E">
        <w:rPr>
          <w:sz w:val="18"/>
          <w:szCs w:val="18"/>
        </w:rPr>
        <w:t xml:space="preserve"> NICE Pathways: Treatment options for heavy menstrual bleeding 2015 [updated 27 July 2015; cited 18 March]. Available from: </w:t>
      </w:r>
      <w:hyperlink r:id="rId1" w:history="1">
        <w:r w:rsidRPr="00A8011E">
          <w:rPr>
            <w:rStyle w:val="Hyperlink"/>
            <w:sz w:val="18"/>
            <w:szCs w:val="18"/>
          </w:rPr>
          <w:t>https://pathways.nice.org.uk/pathways/heavy-menstrual-bleeding</w:t>
        </w:r>
      </w:hyperlink>
      <w:r w:rsidRPr="00A8011E">
        <w:rPr>
          <w:sz w:val="18"/>
          <w:szCs w:val="18"/>
        </w:rPr>
        <w:t>.</w:t>
      </w:r>
    </w:p>
    <w:p w:rsidR="00D20A48" w:rsidRDefault="00D20A48" w:rsidP="00561ABF">
      <w:pPr>
        <w:pStyle w:val="FootnoteText"/>
        <w:tabs>
          <w:tab w:val="left" w:pos="142"/>
        </w:tabs>
        <w:ind w:left="142" w:hanging="142"/>
      </w:pPr>
      <w:r w:rsidRPr="00A8011E">
        <w:rPr>
          <w:sz w:val="18"/>
          <w:szCs w:val="18"/>
        </w:rPr>
        <w:tab/>
      </w:r>
      <w:proofErr w:type="spellStart"/>
      <w:r w:rsidRPr="00A8011E">
        <w:rPr>
          <w:sz w:val="18"/>
          <w:szCs w:val="18"/>
        </w:rPr>
        <w:t>Vilos</w:t>
      </w:r>
      <w:proofErr w:type="spellEnd"/>
      <w:r w:rsidRPr="00A8011E">
        <w:rPr>
          <w:sz w:val="18"/>
          <w:szCs w:val="18"/>
        </w:rPr>
        <w:t xml:space="preserve"> GA, </w:t>
      </w:r>
      <w:proofErr w:type="spellStart"/>
      <w:r w:rsidRPr="00A8011E">
        <w:rPr>
          <w:sz w:val="18"/>
          <w:szCs w:val="18"/>
        </w:rPr>
        <w:t>Allaire</w:t>
      </w:r>
      <w:proofErr w:type="spellEnd"/>
      <w:r w:rsidRPr="00A8011E">
        <w:rPr>
          <w:sz w:val="18"/>
          <w:szCs w:val="18"/>
        </w:rPr>
        <w:t xml:space="preserve"> C</w:t>
      </w:r>
      <w:r w:rsidRPr="00A8011E">
        <w:rPr>
          <w:i/>
          <w:sz w:val="18"/>
          <w:szCs w:val="18"/>
        </w:rPr>
        <w:t>, et al.</w:t>
      </w:r>
      <w:r w:rsidRPr="00A8011E">
        <w:rPr>
          <w:sz w:val="18"/>
          <w:szCs w:val="18"/>
        </w:rPr>
        <w:t xml:space="preserve"> SOGC Clinical Practice Guideline: The management of uterine </w:t>
      </w:r>
      <w:proofErr w:type="spellStart"/>
      <w:r w:rsidRPr="00A8011E">
        <w:rPr>
          <w:sz w:val="18"/>
          <w:szCs w:val="18"/>
        </w:rPr>
        <w:t>leiomyomas</w:t>
      </w:r>
      <w:proofErr w:type="spellEnd"/>
      <w:r w:rsidRPr="00A8011E">
        <w:rPr>
          <w:sz w:val="18"/>
          <w:szCs w:val="18"/>
        </w:rPr>
        <w:t xml:space="preserve">. </w:t>
      </w:r>
      <w:r w:rsidRPr="00A8011E">
        <w:rPr>
          <w:i/>
          <w:sz w:val="18"/>
          <w:szCs w:val="18"/>
        </w:rPr>
        <w:t xml:space="preserve">J </w:t>
      </w:r>
      <w:proofErr w:type="spellStart"/>
      <w:r w:rsidRPr="00A8011E">
        <w:rPr>
          <w:i/>
          <w:sz w:val="18"/>
          <w:szCs w:val="18"/>
        </w:rPr>
        <w:t>Obstet</w:t>
      </w:r>
      <w:proofErr w:type="spellEnd"/>
      <w:r w:rsidRPr="00A8011E">
        <w:rPr>
          <w:i/>
          <w:sz w:val="18"/>
          <w:szCs w:val="18"/>
        </w:rPr>
        <w:t xml:space="preserve"> </w:t>
      </w:r>
      <w:proofErr w:type="spellStart"/>
      <w:r w:rsidRPr="00A8011E">
        <w:rPr>
          <w:i/>
          <w:sz w:val="18"/>
          <w:szCs w:val="18"/>
        </w:rPr>
        <w:t>Gynaecol</w:t>
      </w:r>
      <w:proofErr w:type="spellEnd"/>
      <w:r w:rsidRPr="00A8011E">
        <w:rPr>
          <w:i/>
          <w:sz w:val="18"/>
          <w:szCs w:val="18"/>
        </w:rPr>
        <w:t xml:space="preserve"> Can</w:t>
      </w:r>
      <w:r w:rsidRPr="00A8011E">
        <w:rPr>
          <w:sz w:val="18"/>
          <w:szCs w:val="18"/>
        </w:rPr>
        <w:t>. 2015; 37 (2):157-81</w:t>
      </w:r>
    </w:p>
  </w:footnote>
  <w:footnote w:id="2">
    <w:p w:rsidR="00D20A48" w:rsidRPr="00A8011E" w:rsidRDefault="00D20A48">
      <w:pPr>
        <w:pStyle w:val="FootnoteText"/>
        <w:rPr>
          <w:sz w:val="18"/>
          <w:szCs w:val="18"/>
        </w:rPr>
      </w:pPr>
      <w:r w:rsidRPr="00A8011E">
        <w:rPr>
          <w:rStyle w:val="FootnoteReference"/>
          <w:sz w:val="18"/>
          <w:szCs w:val="18"/>
        </w:rPr>
        <w:footnoteRef/>
      </w:r>
      <w:r w:rsidRPr="00A8011E">
        <w:rPr>
          <w:sz w:val="18"/>
          <w:szCs w:val="18"/>
        </w:rPr>
        <w:t xml:space="preserve"> </w:t>
      </w:r>
      <w:proofErr w:type="spellStart"/>
      <w:r w:rsidRPr="00A8011E">
        <w:rPr>
          <w:sz w:val="18"/>
          <w:szCs w:val="18"/>
        </w:rPr>
        <w:t>Donnez</w:t>
      </w:r>
      <w:proofErr w:type="spellEnd"/>
      <w:r w:rsidRPr="00A8011E">
        <w:rPr>
          <w:sz w:val="18"/>
          <w:szCs w:val="18"/>
        </w:rPr>
        <w:t xml:space="preserve"> J, </w:t>
      </w:r>
      <w:proofErr w:type="spellStart"/>
      <w:r w:rsidRPr="00A8011E">
        <w:rPr>
          <w:sz w:val="18"/>
          <w:szCs w:val="18"/>
        </w:rPr>
        <w:t>Tatarchuk</w:t>
      </w:r>
      <w:proofErr w:type="spellEnd"/>
      <w:r w:rsidRPr="00A8011E">
        <w:rPr>
          <w:sz w:val="18"/>
          <w:szCs w:val="18"/>
        </w:rPr>
        <w:t xml:space="preserve"> TF</w:t>
      </w:r>
      <w:r w:rsidRPr="00A8011E">
        <w:rPr>
          <w:i/>
          <w:sz w:val="18"/>
          <w:szCs w:val="18"/>
        </w:rPr>
        <w:t>, et al.</w:t>
      </w:r>
      <w:r w:rsidRPr="00A8011E">
        <w:rPr>
          <w:sz w:val="18"/>
          <w:szCs w:val="18"/>
        </w:rPr>
        <w:t xml:space="preserve"> </w:t>
      </w:r>
      <w:proofErr w:type="spellStart"/>
      <w:r w:rsidRPr="00A8011E">
        <w:rPr>
          <w:sz w:val="18"/>
          <w:szCs w:val="18"/>
        </w:rPr>
        <w:t>Ulipristal</w:t>
      </w:r>
      <w:proofErr w:type="spellEnd"/>
      <w:r w:rsidRPr="00A8011E">
        <w:rPr>
          <w:sz w:val="18"/>
          <w:szCs w:val="18"/>
        </w:rPr>
        <w:t xml:space="preserve"> acetate versus placebo for fibroid treatment before surgery. </w:t>
      </w:r>
      <w:r w:rsidRPr="00A8011E">
        <w:rPr>
          <w:i/>
          <w:sz w:val="18"/>
          <w:szCs w:val="18"/>
        </w:rPr>
        <w:t xml:space="preserve">N </w:t>
      </w:r>
      <w:proofErr w:type="spellStart"/>
      <w:r w:rsidRPr="00A8011E">
        <w:rPr>
          <w:i/>
          <w:sz w:val="18"/>
          <w:szCs w:val="18"/>
        </w:rPr>
        <w:t>Engl</w:t>
      </w:r>
      <w:proofErr w:type="spellEnd"/>
      <w:r w:rsidRPr="00A8011E">
        <w:rPr>
          <w:i/>
          <w:sz w:val="18"/>
          <w:szCs w:val="18"/>
        </w:rPr>
        <w:t xml:space="preserve"> J Med</w:t>
      </w:r>
      <w:r w:rsidRPr="00A8011E">
        <w:rPr>
          <w:sz w:val="18"/>
          <w:szCs w:val="18"/>
        </w:rPr>
        <w:t>. 2012; 366 (5):409-20.</w:t>
      </w:r>
    </w:p>
  </w:footnote>
  <w:footnote w:id="3">
    <w:p w:rsidR="00D20A48" w:rsidRDefault="00D20A48">
      <w:pPr>
        <w:pStyle w:val="FootnoteText"/>
      </w:pPr>
      <w:r w:rsidRPr="00A8011E">
        <w:rPr>
          <w:rStyle w:val="FootnoteReference"/>
          <w:sz w:val="18"/>
          <w:szCs w:val="18"/>
        </w:rPr>
        <w:footnoteRef/>
      </w:r>
      <w:r w:rsidRPr="00A8011E">
        <w:rPr>
          <w:sz w:val="18"/>
          <w:szCs w:val="18"/>
        </w:rPr>
        <w:t xml:space="preserve"> </w:t>
      </w:r>
      <w:proofErr w:type="spellStart"/>
      <w:r w:rsidRPr="00A8011E">
        <w:rPr>
          <w:sz w:val="18"/>
          <w:szCs w:val="18"/>
        </w:rPr>
        <w:t>Donnez</w:t>
      </w:r>
      <w:proofErr w:type="spellEnd"/>
      <w:r w:rsidRPr="00A8011E">
        <w:rPr>
          <w:sz w:val="18"/>
          <w:szCs w:val="18"/>
        </w:rPr>
        <w:t xml:space="preserve"> J, </w:t>
      </w:r>
      <w:proofErr w:type="spellStart"/>
      <w:r w:rsidRPr="00A8011E">
        <w:rPr>
          <w:sz w:val="18"/>
          <w:szCs w:val="18"/>
        </w:rPr>
        <w:t>Tomaszewski</w:t>
      </w:r>
      <w:proofErr w:type="spellEnd"/>
      <w:r w:rsidRPr="00A8011E">
        <w:rPr>
          <w:sz w:val="18"/>
          <w:szCs w:val="18"/>
        </w:rPr>
        <w:t xml:space="preserve"> J</w:t>
      </w:r>
      <w:r w:rsidRPr="00A8011E">
        <w:rPr>
          <w:i/>
          <w:sz w:val="18"/>
          <w:szCs w:val="18"/>
        </w:rPr>
        <w:t>, et al.</w:t>
      </w:r>
      <w:r w:rsidRPr="00A8011E">
        <w:rPr>
          <w:sz w:val="18"/>
          <w:szCs w:val="18"/>
        </w:rPr>
        <w:t xml:space="preserve"> </w:t>
      </w:r>
      <w:proofErr w:type="spellStart"/>
      <w:r w:rsidRPr="00A8011E">
        <w:rPr>
          <w:sz w:val="18"/>
          <w:szCs w:val="18"/>
        </w:rPr>
        <w:t>Ulipristal</w:t>
      </w:r>
      <w:proofErr w:type="spellEnd"/>
      <w:r w:rsidRPr="00A8011E">
        <w:rPr>
          <w:sz w:val="18"/>
          <w:szCs w:val="18"/>
        </w:rPr>
        <w:t xml:space="preserve"> acetate versus leuprolide acetate for uterine fibroids. </w:t>
      </w:r>
      <w:r w:rsidRPr="00A8011E">
        <w:rPr>
          <w:i/>
          <w:sz w:val="18"/>
          <w:szCs w:val="18"/>
        </w:rPr>
        <w:t xml:space="preserve">N </w:t>
      </w:r>
      <w:proofErr w:type="spellStart"/>
      <w:r w:rsidRPr="00A8011E">
        <w:rPr>
          <w:i/>
          <w:sz w:val="18"/>
          <w:szCs w:val="18"/>
        </w:rPr>
        <w:t>Engl</w:t>
      </w:r>
      <w:proofErr w:type="spellEnd"/>
      <w:r w:rsidRPr="00A8011E">
        <w:rPr>
          <w:i/>
          <w:sz w:val="18"/>
          <w:szCs w:val="18"/>
        </w:rPr>
        <w:t xml:space="preserve"> J Med</w:t>
      </w:r>
      <w:r w:rsidRPr="00A8011E">
        <w:rPr>
          <w:sz w:val="18"/>
          <w:szCs w:val="18"/>
        </w:rPr>
        <w:t>. 2012; 366 (5):421-32.</w:t>
      </w:r>
    </w:p>
  </w:footnote>
  <w:footnote w:id="4">
    <w:p w:rsidR="00D20A48" w:rsidRPr="00A8011E" w:rsidRDefault="00D20A48" w:rsidP="001608CB">
      <w:pPr>
        <w:pStyle w:val="FootnoteText"/>
        <w:ind w:left="142" w:hanging="142"/>
        <w:rPr>
          <w:sz w:val="18"/>
          <w:szCs w:val="18"/>
        </w:rPr>
      </w:pPr>
      <w:r w:rsidRPr="00A8011E">
        <w:rPr>
          <w:rStyle w:val="FootnoteReference"/>
          <w:sz w:val="18"/>
          <w:szCs w:val="18"/>
        </w:rPr>
        <w:footnoteRef/>
      </w:r>
      <w:r w:rsidRPr="00A8011E">
        <w:rPr>
          <w:sz w:val="18"/>
          <w:szCs w:val="18"/>
        </w:rPr>
        <w:t xml:space="preserve"> The PBA chart scale ranges from 0 to &gt;500 (with no defined upper limit), with higher scores indicating a greater severity of bleeding. A PBA chart score &gt; 100 indicates menorrhagia.</w:t>
      </w:r>
    </w:p>
  </w:footnote>
  <w:footnote w:id="5">
    <w:p w:rsidR="00D20A48" w:rsidRPr="00A8011E" w:rsidRDefault="00D20A48" w:rsidP="00DE0803">
      <w:pPr>
        <w:pStyle w:val="FootnoteText"/>
        <w:ind w:left="142" w:hanging="142"/>
        <w:rPr>
          <w:sz w:val="18"/>
          <w:szCs w:val="18"/>
        </w:rPr>
      </w:pPr>
      <w:r>
        <w:rPr>
          <w:rStyle w:val="FootnoteReference"/>
        </w:rPr>
        <w:footnoteRef/>
      </w:r>
      <w:r>
        <w:t xml:space="preserve"> </w:t>
      </w:r>
      <w:proofErr w:type="spellStart"/>
      <w:r w:rsidRPr="00A8011E">
        <w:rPr>
          <w:sz w:val="18"/>
          <w:szCs w:val="18"/>
        </w:rPr>
        <w:t>Donnez</w:t>
      </w:r>
      <w:proofErr w:type="spellEnd"/>
      <w:r w:rsidRPr="00A8011E">
        <w:rPr>
          <w:sz w:val="18"/>
          <w:szCs w:val="18"/>
        </w:rPr>
        <w:t xml:space="preserve"> J, </w:t>
      </w:r>
      <w:proofErr w:type="spellStart"/>
      <w:r w:rsidRPr="00A8011E">
        <w:rPr>
          <w:sz w:val="18"/>
          <w:szCs w:val="18"/>
        </w:rPr>
        <w:t>Tatarchuk</w:t>
      </w:r>
      <w:proofErr w:type="spellEnd"/>
      <w:r w:rsidRPr="00A8011E">
        <w:rPr>
          <w:sz w:val="18"/>
          <w:szCs w:val="18"/>
        </w:rPr>
        <w:t xml:space="preserve"> TF</w:t>
      </w:r>
      <w:r w:rsidRPr="00A8011E">
        <w:rPr>
          <w:i/>
          <w:sz w:val="18"/>
          <w:szCs w:val="18"/>
        </w:rPr>
        <w:t>, et al.</w:t>
      </w:r>
      <w:r w:rsidRPr="00A8011E">
        <w:rPr>
          <w:sz w:val="18"/>
          <w:szCs w:val="18"/>
        </w:rPr>
        <w:t xml:space="preserve"> </w:t>
      </w:r>
      <w:proofErr w:type="spellStart"/>
      <w:r w:rsidRPr="00A8011E">
        <w:rPr>
          <w:sz w:val="18"/>
          <w:szCs w:val="18"/>
        </w:rPr>
        <w:t>Ulipristal</w:t>
      </w:r>
      <w:proofErr w:type="spellEnd"/>
      <w:r w:rsidRPr="00A8011E">
        <w:rPr>
          <w:sz w:val="18"/>
          <w:szCs w:val="18"/>
        </w:rPr>
        <w:t xml:space="preserve"> acetate versus placebo for fibroid treatment before surgery</w:t>
      </w:r>
      <w:r w:rsidRPr="00EE5CB8">
        <w:t xml:space="preserve">. </w:t>
      </w:r>
      <w:r w:rsidRPr="00EE5CB8">
        <w:rPr>
          <w:i/>
        </w:rPr>
        <w:t xml:space="preserve">N </w:t>
      </w:r>
      <w:proofErr w:type="spellStart"/>
      <w:r w:rsidRPr="00EE5CB8">
        <w:rPr>
          <w:i/>
        </w:rPr>
        <w:t>Engl</w:t>
      </w:r>
      <w:proofErr w:type="spellEnd"/>
      <w:r w:rsidRPr="00EE5CB8">
        <w:rPr>
          <w:i/>
        </w:rPr>
        <w:t xml:space="preserve"> J </w:t>
      </w:r>
      <w:r w:rsidRPr="00A8011E">
        <w:rPr>
          <w:i/>
          <w:sz w:val="18"/>
          <w:szCs w:val="18"/>
        </w:rPr>
        <w:t>Med</w:t>
      </w:r>
      <w:r w:rsidRPr="00A8011E">
        <w:rPr>
          <w:sz w:val="18"/>
          <w:szCs w:val="18"/>
        </w:rPr>
        <w:t>. 2012; 366 (5):409-20.</w:t>
      </w:r>
    </w:p>
  </w:footnote>
  <w:footnote w:id="6">
    <w:p w:rsidR="00D20A48" w:rsidRDefault="00D20A48" w:rsidP="00C34EA8">
      <w:pPr>
        <w:pStyle w:val="FootnoteText"/>
        <w:ind w:left="142" w:hanging="142"/>
      </w:pPr>
      <w:r w:rsidRPr="00A8011E">
        <w:rPr>
          <w:rStyle w:val="FootnoteReference"/>
          <w:sz w:val="18"/>
          <w:szCs w:val="18"/>
        </w:rPr>
        <w:footnoteRef/>
      </w:r>
      <w:r w:rsidRPr="00A8011E">
        <w:rPr>
          <w:sz w:val="18"/>
          <w:szCs w:val="18"/>
        </w:rPr>
        <w:t xml:space="preserve"> </w:t>
      </w:r>
      <w:proofErr w:type="spellStart"/>
      <w:r w:rsidRPr="00A8011E">
        <w:rPr>
          <w:sz w:val="18"/>
          <w:szCs w:val="18"/>
        </w:rPr>
        <w:t>Donnez</w:t>
      </w:r>
      <w:proofErr w:type="spellEnd"/>
      <w:r w:rsidRPr="00A8011E">
        <w:rPr>
          <w:sz w:val="18"/>
          <w:szCs w:val="18"/>
        </w:rPr>
        <w:t xml:space="preserve"> J, </w:t>
      </w:r>
      <w:proofErr w:type="spellStart"/>
      <w:r w:rsidRPr="00A8011E">
        <w:rPr>
          <w:sz w:val="18"/>
          <w:szCs w:val="18"/>
        </w:rPr>
        <w:t>Tomaszewski</w:t>
      </w:r>
      <w:proofErr w:type="spellEnd"/>
      <w:r w:rsidRPr="00A8011E">
        <w:rPr>
          <w:sz w:val="18"/>
          <w:szCs w:val="18"/>
        </w:rPr>
        <w:t xml:space="preserve"> J</w:t>
      </w:r>
      <w:r w:rsidRPr="00A8011E">
        <w:rPr>
          <w:i/>
          <w:sz w:val="18"/>
          <w:szCs w:val="18"/>
        </w:rPr>
        <w:t>, et al.</w:t>
      </w:r>
      <w:r w:rsidRPr="00A8011E">
        <w:rPr>
          <w:sz w:val="18"/>
          <w:szCs w:val="18"/>
        </w:rPr>
        <w:t xml:space="preserve"> </w:t>
      </w:r>
      <w:proofErr w:type="spellStart"/>
      <w:r w:rsidRPr="00A8011E">
        <w:rPr>
          <w:sz w:val="18"/>
          <w:szCs w:val="18"/>
        </w:rPr>
        <w:t>Ulipristal</w:t>
      </w:r>
      <w:proofErr w:type="spellEnd"/>
      <w:r w:rsidRPr="00A8011E">
        <w:rPr>
          <w:sz w:val="18"/>
          <w:szCs w:val="18"/>
        </w:rPr>
        <w:t xml:space="preserve"> acetate versus leuprolide acetate for uterine fibroids. </w:t>
      </w:r>
      <w:r w:rsidRPr="00A8011E">
        <w:rPr>
          <w:i/>
          <w:sz w:val="18"/>
          <w:szCs w:val="18"/>
        </w:rPr>
        <w:t xml:space="preserve">N </w:t>
      </w:r>
      <w:proofErr w:type="spellStart"/>
      <w:r w:rsidRPr="00A8011E">
        <w:rPr>
          <w:i/>
          <w:sz w:val="18"/>
          <w:szCs w:val="18"/>
        </w:rPr>
        <w:t>Engl</w:t>
      </w:r>
      <w:proofErr w:type="spellEnd"/>
      <w:r w:rsidRPr="00A8011E">
        <w:rPr>
          <w:i/>
          <w:sz w:val="18"/>
          <w:szCs w:val="18"/>
        </w:rPr>
        <w:t xml:space="preserve"> J Med</w:t>
      </w:r>
      <w:r w:rsidRPr="00A8011E">
        <w:rPr>
          <w:sz w:val="18"/>
          <w:szCs w:val="18"/>
        </w:rPr>
        <w:t>. 2012; 366 (5):421-32.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A48" w:rsidRPr="00DF217D" w:rsidRDefault="00D20A48" w:rsidP="00A71486">
    <w:pPr>
      <w:pStyle w:val="Header"/>
      <w:ind w:left="360"/>
      <w:jc w:val="center"/>
      <w:rPr>
        <w:i/>
        <w:color w:val="808080"/>
      </w:rPr>
    </w:pPr>
    <w:r>
      <w:rPr>
        <w:i/>
        <w:color w:val="808080"/>
      </w:rPr>
      <w:t xml:space="preserve">Public Summary Document </w:t>
    </w:r>
    <w:r w:rsidRPr="00DF217D">
      <w:rPr>
        <w:i/>
        <w:color w:val="808080"/>
      </w:rPr>
      <w:t xml:space="preserve">– </w:t>
    </w:r>
    <w:r>
      <w:rPr>
        <w:i/>
        <w:color w:val="808080"/>
      </w:rPr>
      <w:t xml:space="preserve">July 2016 </w:t>
    </w:r>
    <w:r w:rsidRPr="00DF217D">
      <w:rPr>
        <w:i/>
        <w:color w:val="808080"/>
      </w:rPr>
      <w:t>PBAC</w:t>
    </w:r>
    <w:r>
      <w:rPr>
        <w:i/>
        <w:color w:val="808080"/>
      </w:rPr>
      <w:t xml:space="preserve"> </w:t>
    </w:r>
    <w:r w:rsidRPr="00DF217D">
      <w:rPr>
        <w:i/>
        <w:color w:val="808080"/>
      </w:rPr>
      <w:t>Meeting</w:t>
    </w:r>
  </w:p>
  <w:p w:rsidR="00D20A48" w:rsidRPr="00DF217D" w:rsidRDefault="00D20A48" w:rsidP="00A71486">
    <w:pPr>
      <w:pStyle w:val="Header"/>
      <w:ind w:left="360"/>
      <w:jc w:val="center"/>
      <w:rPr>
        <w:i/>
        <w:color w:val="808080"/>
      </w:rPr>
    </w:pPr>
  </w:p>
  <w:p w:rsidR="00D20A48" w:rsidRDefault="00D20A48" w:rsidP="00A71486">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D203C"/>
    <w:multiLevelType w:val="hybridMultilevel"/>
    <w:tmpl w:val="A8EE3E54"/>
    <w:lvl w:ilvl="0" w:tplc="2ECE06EC">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0E27D9B"/>
    <w:multiLevelType w:val="hybridMultilevel"/>
    <w:tmpl w:val="E0FCC1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24B25A5"/>
    <w:multiLevelType w:val="hybridMultilevel"/>
    <w:tmpl w:val="ADD65552"/>
    <w:lvl w:ilvl="0" w:tplc="6F6E4D4A">
      <w:start w:val="1"/>
      <w:numFmt w:val="bullet"/>
      <w:lvlText w:val="o"/>
      <w:lvlJc w:val="left"/>
      <w:pPr>
        <w:ind w:left="720" w:hanging="360"/>
      </w:pPr>
      <w:rPr>
        <w:rFonts w:ascii="Courier New" w:hAnsi="Courier New"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5AB1255"/>
    <w:multiLevelType w:val="hybridMultilevel"/>
    <w:tmpl w:val="8B98B992"/>
    <w:lvl w:ilvl="0" w:tplc="2ECE06EC">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983166C"/>
    <w:multiLevelType w:val="hybridMultilevel"/>
    <w:tmpl w:val="483818A8"/>
    <w:lvl w:ilvl="0" w:tplc="2ECE06EC">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0B7705ED"/>
    <w:multiLevelType w:val="multilevel"/>
    <w:tmpl w:val="2E003A5A"/>
    <w:lvl w:ilvl="0">
      <w:start w:val="1"/>
      <w:numFmt w:val="decimal"/>
      <w:lvlText w:val="%1."/>
      <w:lvlJc w:val="left"/>
      <w:pPr>
        <w:ind w:left="720" w:hanging="360"/>
      </w:pPr>
      <w:rPr>
        <w:rFonts w:hint="default"/>
        <w:b/>
      </w:rPr>
    </w:lvl>
    <w:lvl w:ilvl="1">
      <w:start w:val="1"/>
      <w:numFmt w:val="decimal"/>
      <w:lvlText w:val="2.%2."/>
      <w:lvlJc w:val="left"/>
      <w:pPr>
        <w:ind w:left="36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8">
    <w:nsid w:val="0BA61993"/>
    <w:multiLevelType w:val="hybridMultilevel"/>
    <w:tmpl w:val="4880DFA6"/>
    <w:lvl w:ilvl="0" w:tplc="0C090001">
      <w:start w:val="1"/>
      <w:numFmt w:val="bullet"/>
      <w:lvlText w:val=""/>
      <w:lvlJc w:val="left"/>
      <w:pPr>
        <w:ind w:left="720" w:hanging="360"/>
      </w:pPr>
      <w:rPr>
        <w:rFonts w:ascii="Symbol" w:hAnsi="Symbol" w:hint="default"/>
      </w:rPr>
    </w:lvl>
    <w:lvl w:ilvl="1" w:tplc="1E44919A">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0C303248"/>
    <w:multiLevelType w:val="hybridMultilevel"/>
    <w:tmpl w:val="5484E7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4007571"/>
    <w:multiLevelType w:val="hybridMultilevel"/>
    <w:tmpl w:val="4DA2D0D8"/>
    <w:lvl w:ilvl="0" w:tplc="2ECE06EC">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6E453CC"/>
    <w:multiLevelType w:val="hybridMultilevel"/>
    <w:tmpl w:val="1ACEC8A4"/>
    <w:lvl w:ilvl="0" w:tplc="0C090001">
      <w:start w:val="1"/>
      <w:numFmt w:val="bullet"/>
      <w:lvlText w:val=""/>
      <w:lvlJc w:val="left"/>
      <w:pPr>
        <w:ind w:left="780" w:hanging="360"/>
      </w:pPr>
      <w:rPr>
        <w:rFonts w:ascii="Symbol" w:hAnsi="Symbol" w:hint="default"/>
      </w:rPr>
    </w:lvl>
    <w:lvl w:ilvl="1" w:tplc="D3CCF494">
      <w:start w:val="1"/>
      <w:numFmt w:val="bullet"/>
      <w:lvlText w:val=""/>
      <w:lvlJc w:val="left"/>
      <w:pPr>
        <w:ind w:left="1500" w:hanging="360"/>
      </w:pPr>
      <w:rPr>
        <w:rFonts w:ascii="Symbol" w:hAnsi="Symbol"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nsid w:val="18360E18"/>
    <w:multiLevelType w:val="hybridMultilevel"/>
    <w:tmpl w:val="5EB6C22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19F34752"/>
    <w:multiLevelType w:val="hybridMultilevel"/>
    <w:tmpl w:val="78D892CE"/>
    <w:lvl w:ilvl="0" w:tplc="0C090001">
      <w:start w:val="1"/>
      <w:numFmt w:val="bullet"/>
      <w:lvlText w:val=""/>
      <w:lvlJc w:val="left"/>
      <w:pPr>
        <w:ind w:left="720" w:hanging="360"/>
      </w:pPr>
      <w:rPr>
        <w:rFonts w:ascii="Symbol" w:hAnsi="Symbol" w:hint="default"/>
      </w:rPr>
    </w:lvl>
    <w:lvl w:ilvl="1" w:tplc="D3CCF494">
      <w:start w:val="1"/>
      <w:numFmt w:val="bullet"/>
      <w:lvlText w:val=""/>
      <w:lvlJc w:val="left"/>
      <w:pPr>
        <w:ind w:left="1440" w:hanging="360"/>
      </w:pPr>
      <w:rPr>
        <w:rFonts w:ascii="Symbol" w:hAnsi="Symbol" w:hint="default"/>
      </w:rPr>
    </w:lvl>
    <w:lvl w:ilvl="2" w:tplc="0C090003">
      <w:start w:val="1"/>
      <w:numFmt w:val="bullet"/>
      <w:lvlText w:val="o"/>
      <w:lvlJc w:val="left"/>
      <w:pPr>
        <w:ind w:left="2160" w:hanging="360"/>
      </w:pPr>
      <w:rPr>
        <w:rFonts w:ascii="Courier New" w:hAnsi="Courier New" w:cs="Courier New"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1FF11E70"/>
    <w:multiLevelType w:val="hybridMultilevel"/>
    <w:tmpl w:val="BF64D4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0686591"/>
    <w:multiLevelType w:val="hybridMultilevel"/>
    <w:tmpl w:val="64EAF62E"/>
    <w:lvl w:ilvl="0" w:tplc="0C090001">
      <w:start w:val="1"/>
      <w:numFmt w:val="bullet"/>
      <w:lvlText w:val=""/>
      <w:lvlJc w:val="left"/>
      <w:pPr>
        <w:ind w:left="720" w:hanging="360"/>
      </w:pPr>
      <w:rPr>
        <w:rFonts w:ascii="Symbol" w:hAnsi="Symbol" w:hint="default"/>
      </w:rPr>
    </w:lvl>
    <w:lvl w:ilvl="1" w:tplc="D3CCF494">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21DF12A1"/>
    <w:multiLevelType w:val="hybridMultilevel"/>
    <w:tmpl w:val="8B98B992"/>
    <w:lvl w:ilvl="0" w:tplc="2ECE06EC">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23A52C41"/>
    <w:multiLevelType w:val="hybridMultilevel"/>
    <w:tmpl w:val="F0A6BA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23B9302E"/>
    <w:multiLevelType w:val="hybridMultilevel"/>
    <w:tmpl w:val="4906E4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259344D2"/>
    <w:multiLevelType w:val="hybridMultilevel"/>
    <w:tmpl w:val="D2EE735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nsid w:val="25DE7652"/>
    <w:multiLevelType w:val="hybridMultilevel"/>
    <w:tmpl w:val="F42CEA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27953E50"/>
    <w:multiLevelType w:val="hybridMultilevel"/>
    <w:tmpl w:val="7B724600"/>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23">
    <w:nsid w:val="31721444"/>
    <w:multiLevelType w:val="hybridMultilevel"/>
    <w:tmpl w:val="758AD2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37D65049"/>
    <w:multiLevelType w:val="hybridMultilevel"/>
    <w:tmpl w:val="416ADE4C"/>
    <w:lvl w:ilvl="0" w:tplc="0C090001">
      <w:start w:val="1"/>
      <w:numFmt w:val="bullet"/>
      <w:lvlText w:val=""/>
      <w:lvlJc w:val="left"/>
      <w:pPr>
        <w:ind w:left="720" w:hanging="360"/>
      </w:pPr>
      <w:rPr>
        <w:rFonts w:ascii="Symbol" w:hAnsi="Symbol" w:hint="default"/>
      </w:rPr>
    </w:lvl>
    <w:lvl w:ilvl="1" w:tplc="D3CCF494">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384A3CFC"/>
    <w:multiLevelType w:val="hybridMultilevel"/>
    <w:tmpl w:val="8B98B992"/>
    <w:lvl w:ilvl="0" w:tplc="2ECE06EC">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3E0E542F"/>
    <w:multiLevelType w:val="hybridMultilevel"/>
    <w:tmpl w:val="9970E17A"/>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27">
    <w:nsid w:val="3FD5046B"/>
    <w:multiLevelType w:val="hybridMultilevel"/>
    <w:tmpl w:val="792867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40BA5769"/>
    <w:multiLevelType w:val="hybridMultilevel"/>
    <w:tmpl w:val="392A5C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49B84FEE"/>
    <w:multiLevelType w:val="multilevel"/>
    <w:tmpl w:val="27E61530"/>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30">
    <w:nsid w:val="4CD67C8A"/>
    <w:multiLevelType w:val="hybridMultilevel"/>
    <w:tmpl w:val="3EAA70B0"/>
    <w:lvl w:ilvl="0" w:tplc="0C090011">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1">
    <w:nsid w:val="4CE12A30"/>
    <w:multiLevelType w:val="hybridMultilevel"/>
    <w:tmpl w:val="558EB37A"/>
    <w:lvl w:ilvl="0" w:tplc="6B16A09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4D1735A9"/>
    <w:multiLevelType w:val="hybridMultilevel"/>
    <w:tmpl w:val="B9F81782"/>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33">
    <w:nsid w:val="51C24952"/>
    <w:multiLevelType w:val="hybridMultilevel"/>
    <w:tmpl w:val="6A1E6A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53C91195"/>
    <w:multiLevelType w:val="hybridMultilevel"/>
    <w:tmpl w:val="88F24E8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5">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57657E61"/>
    <w:multiLevelType w:val="hybridMultilevel"/>
    <w:tmpl w:val="34645EE2"/>
    <w:lvl w:ilvl="0" w:tplc="0C090001">
      <w:start w:val="1"/>
      <w:numFmt w:val="bullet"/>
      <w:lvlText w:val=""/>
      <w:lvlJc w:val="left"/>
      <w:pPr>
        <w:ind w:left="720" w:hanging="360"/>
      </w:pPr>
      <w:rPr>
        <w:rFonts w:ascii="Symbol" w:hAnsi="Symbol" w:hint="default"/>
      </w:rPr>
    </w:lvl>
    <w:lvl w:ilvl="1" w:tplc="6CAA1EBE">
      <w:start w:val="1"/>
      <w:numFmt w:val="bullet"/>
      <w:lvlText w:val=""/>
      <w:lvlJc w:val="left"/>
      <w:pPr>
        <w:ind w:left="1440" w:hanging="360"/>
      </w:pPr>
      <w:rPr>
        <w:rFonts w:ascii="Symbol" w:hAnsi="Symbol"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57761ED9"/>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59137793"/>
    <w:multiLevelType w:val="hybridMultilevel"/>
    <w:tmpl w:val="8B98B992"/>
    <w:lvl w:ilvl="0" w:tplc="2ECE06EC">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nsid w:val="5C1D14C0"/>
    <w:multiLevelType w:val="hybridMultilevel"/>
    <w:tmpl w:val="38A8E890"/>
    <w:lvl w:ilvl="0" w:tplc="0C090001">
      <w:start w:val="1"/>
      <w:numFmt w:val="bullet"/>
      <w:lvlText w:val=""/>
      <w:lvlJc w:val="left"/>
      <w:pPr>
        <w:ind w:left="720" w:hanging="360"/>
      </w:pPr>
      <w:rPr>
        <w:rFonts w:ascii="Symbol" w:hAnsi="Symbol" w:hint="default"/>
      </w:rPr>
    </w:lvl>
    <w:lvl w:ilvl="1" w:tplc="D3CCF494">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5D6076F5"/>
    <w:multiLevelType w:val="hybridMultilevel"/>
    <w:tmpl w:val="BF3A84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5D914C15"/>
    <w:multiLevelType w:val="hybridMultilevel"/>
    <w:tmpl w:val="E670E6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nsid w:val="5DDB64B4"/>
    <w:multiLevelType w:val="hybridMultilevel"/>
    <w:tmpl w:val="09402CC2"/>
    <w:lvl w:ilvl="0" w:tplc="2ECE06EC">
      <w:start w:val="1"/>
      <w:numFmt w:val="lowerRoman"/>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nsid w:val="60084FBF"/>
    <w:multiLevelType w:val="hybridMultilevel"/>
    <w:tmpl w:val="47C2347C"/>
    <w:lvl w:ilvl="0" w:tplc="65423536">
      <w:start w:val="1"/>
      <w:numFmt w:val="bullet"/>
      <w:pStyle w:val="Table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nsid w:val="61513E18"/>
    <w:multiLevelType w:val="hybridMultilevel"/>
    <w:tmpl w:val="B5B8E0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nsid w:val="63B32575"/>
    <w:multiLevelType w:val="hybridMultilevel"/>
    <w:tmpl w:val="518856F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6">
    <w:nsid w:val="646A03B1"/>
    <w:multiLevelType w:val="hybridMultilevel"/>
    <w:tmpl w:val="9F8C36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nsid w:val="6492733F"/>
    <w:multiLevelType w:val="hybridMultilevel"/>
    <w:tmpl w:val="3564B006"/>
    <w:lvl w:ilvl="0" w:tplc="0C090001">
      <w:start w:val="1"/>
      <w:numFmt w:val="bullet"/>
      <w:lvlText w:val=""/>
      <w:lvlJc w:val="left"/>
      <w:pPr>
        <w:ind w:left="720" w:hanging="360"/>
      </w:pPr>
      <w:rPr>
        <w:rFonts w:ascii="Symbol" w:hAnsi="Symbol" w:hint="default"/>
      </w:rPr>
    </w:lvl>
    <w:lvl w:ilvl="1" w:tplc="D3CCF494">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nsid w:val="66B73AFA"/>
    <w:multiLevelType w:val="hybridMultilevel"/>
    <w:tmpl w:val="68B21200"/>
    <w:lvl w:ilvl="0" w:tplc="0C090001">
      <w:start w:val="1"/>
      <w:numFmt w:val="bullet"/>
      <w:lvlText w:val=""/>
      <w:lvlJc w:val="left"/>
      <w:pPr>
        <w:ind w:left="1440" w:hanging="360"/>
      </w:pPr>
      <w:rPr>
        <w:rFonts w:ascii="Symbol" w:hAnsi="Symbol" w:hint="default"/>
      </w:rPr>
    </w:lvl>
    <w:lvl w:ilvl="1" w:tplc="D3CCF494">
      <w:start w:val="1"/>
      <w:numFmt w:val="bullet"/>
      <w:lvlText w:val=""/>
      <w:lvlJc w:val="left"/>
      <w:pPr>
        <w:ind w:left="2160" w:hanging="360"/>
      </w:pPr>
      <w:rPr>
        <w:rFonts w:ascii="Symbol" w:hAnsi="Symbol"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9">
    <w:nsid w:val="69360E81"/>
    <w:multiLevelType w:val="hybridMultilevel"/>
    <w:tmpl w:val="60DE8EBA"/>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0">
    <w:nsid w:val="694B2010"/>
    <w:multiLevelType w:val="hybridMultilevel"/>
    <w:tmpl w:val="5F26C850"/>
    <w:lvl w:ilvl="0" w:tplc="0C090001">
      <w:start w:val="1"/>
      <w:numFmt w:val="bullet"/>
      <w:lvlText w:val=""/>
      <w:lvlJc w:val="left"/>
      <w:pPr>
        <w:ind w:left="720" w:hanging="360"/>
      </w:pPr>
      <w:rPr>
        <w:rFonts w:ascii="Symbol" w:hAnsi="Symbol" w:hint="default"/>
      </w:rPr>
    </w:lvl>
    <w:lvl w:ilvl="1" w:tplc="D3CCF494">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nsid w:val="6C4C776D"/>
    <w:multiLevelType w:val="hybridMultilevel"/>
    <w:tmpl w:val="8B98B992"/>
    <w:lvl w:ilvl="0" w:tplc="2ECE06EC">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nsid w:val="6ECE3749"/>
    <w:multiLevelType w:val="hybridMultilevel"/>
    <w:tmpl w:val="AA38C606"/>
    <w:lvl w:ilvl="0" w:tplc="0C090001">
      <w:start w:val="1"/>
      <w:numFmt w:val="bullet"/>
      <w:lvlText w:val=""/>
      <w:lvlJc w:val="left"/>
      <w:pPr>
        <w:ind w:left="720" w:hanging="360"/>
      </w:pPr>
      <w:rPr>
        <w:rFonts w:ascii="Symbol" w:hAnsi="Symbol" w:hint="default"/>
      </w:rPr>
    </w:lvl>
    <w:lvl w:ilvl="1" w:tplc="D3CCF494">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nsid w:val="74BA539A"/>
    <w:multiLevelType w:val="hybridMultilevel"/>
    <w:tmpl w:val="EBB2ABA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4">
    <w:nsid w:val="74F520F9"/>
    <w:multiLevelType w:val="hybridMultilevel"/>
    <w:tmpl w:val="8B98B992"/>
    <w:lvl w:ilvl="0" w:tplc="2ECE06EC">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nsid w:val="764F7ACE"/>
    <w:multiLevelType w:val="hybridMultilevel"/>
    <w:tmpl w:val="E38C10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nsid w:val="784D033C"/>
    <w:multiLevelType w:val="multilevel"/>
    <w:tmpl w:val="809698A0"/>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7">
    <w:nsid w:val="785059AC"/>
    <w:multiLevelType w:val="hybridMultilevel"/>
    <w:tmpl w:val="BF4A08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nsid w:val="79E05FCF"/>
    <w:multiLevelType w:val="hybridMultilevel"/>
    <w:tmpl w:val="9558BC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nsid w:val="7D9F0BCD"/>
    <w:multiLevelType w:val="hybridMultilevel"/>
    <w:tmpl w:val="8B98B992"/>
    <w:lvl w:ilvl="0" w:tplc="2ECE06EC">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nsid w:val="7E6C41D0"/>
    <w:multiLevelType w:val="hybridMultilevel"/>
    <w:tmpl w:val="89B8C426"/>
    <w:lvl w:ilvl="0" w:tplc="0C090001">
      <w:start w:val="1"/>
      <w:numFmt w:val="bullet"/>
      <w:lvlText w:val=""/>
      <w:lvlJc w:val="left"/>
      <w:pPr>
        <w:ind w:left="720" w:hanging="360"/>
      </w:pPr>
      <w:rPr>
        <w:rFonts w:ascii="Symbol" w:hAnsi="Symbol" w:hint="default"/>
      </w:rPr>
    </w:lvl>
    <w:lvl w:ilvl="1" w:tplc="D3CCF494">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nsid w:val="7FCA4443"/>
    <w:multiLevelType w:val="hybridMultilevel"/>
    <w:tmpl w:val="4A8891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6"/>
  </w:num>
  <w:num w:numId="2">
    <w:abstractNumId w:val="29"/>
  </w:num>
  <w:num w:numId="3">
    <w:abstractNumId w:val="56"/>
  </w:num>
  <w:num w:numId="4">
    <w:abstractNumId w:val="58"/>
  </w:num>
  <w:num w:numId="5">
    <w:abstractNumId w:val="41"/>
  </w:num>
  <w:num w:numId="6">
    <w:abstractNumId w:val="40"/>
  </w:num>
  <w:num w:numId="7">
    <w:abstractNumId w:val="36"/>
  </w:num>
  <w:num w:numId="8">
    <w:abstractNumId w:val="51"/>
  </w:num>
  <w:num w:numId="9">
    <w:abstractNumId w:val="14"/>
  </w:num>
  <w:num w:numId="10">
    <w:abstractNumId w:val="43"/>
  </w:num>
  <w:num w:numId="11">
    <w:abstractNumId w:val="31"/>
  </w:num>
  <w:num w:numId="12">
    <w:abstractNumId w:val="0"/>
  </w:num>
  <w:num w:numId="13">
    <w:abstractNumId w:val="25"/>
  </w:num>
  <w:num w:numId="14">
    <w:abstractNumId w:val="47"/>
  </w:num>
  <w:num w:numId="15">
    <w:abstractNumId w:val="59"/>
  </w:num>
  <w:num w:numId="16">
    <w:abstractNumId w:val="38"/>
  </w:num>
  <w:num w:numId="17">
    <w:abstractNumId w:val="4"/>
  </w:num>
  <w:num w:numId="18">
    <w:abstractNumId w:val="37"/>
  </w:num>
  <w:num w:numId="19">
    <w:abstractNumId w:val="7"/>
  </w:num>
  <w:num w:numId="20">
    <w:abstractNumId w:val="39"/>
  </w:num>
  <w:num w:numId="21">
    <w:abstractNumId w:val="55"/>
  </w:num>
  <w:num w:numId="22">
    <w:abstractNumId w:val="50"/>
  </w:num>
  <w:num w:numId="23">
    <w:abstractNumId w:val="33"/>
  </w:num>
  <w:num w:numId="24">
    <w:abstractNumId w:val="47"/>
  </w:num>
  <w:num w:numId="25">
    <w:abstractNumId w:val="5"/>
  </w:num>
  <w:num w:numId="26">
    <w:abstractNumId w:val="49"/>
  </w:num>
  <w:num w:numId="27">
    <w:abstractNumId w:val="11"/>
  </w:num>
  <w:num w:numId="28">
    <w:abstractNumId w:val="61"/>
  </w:num>
  <w:num w:numId="29">
    <w:abstractNumId w:val="60"/>
  </w:num>
  <w:num w:numId="30">
    <w:abstractNumId w:val="8"/>
  </w:num>
  <w:num w:numId="31">
    <w:abstractNumId w:val="54"/>
  </w:num>
  <w:num w:numId="32">
    <w:abstractNumId w:val="21"/>
  </w:num>
  <w:num w:numId="33">
    <w:abstractNumId w:val="18"/>
  </w:num>
  <w:num w:numId="34">
    <w:abstractNumId w:val="28"/>
  </w:num>
  <w:num w:numId="35">
    <w:abstractNumId w:val="16"/>
  </w:num>
  <w:num w:numId="36">
    <w:abstractNumId w:val="24"/>
  </w:num>
  <w:num w:numId="37">
    <w:abstractNumId w:val="13"/>
  </w:num>
  <w:num w:numId="38">
    <w:abstractNumId w:val="57"/>
  </w:num>
  <w:num w:numId="39">
    <w:abstractNumId w:val="10"/>
  </w:num>
  <w:num w:numId="40">
    <w:abstractNumId w:val="52"/>
  </w:num>
  <w:num w:numId="41">
    <w:abstractNumId w:val="42"/>
  </w:num>
  <w:num w:numId="42">
    <w:abstractNumId w:val="34"/>
  </w:num>
  <w:num w:numId="43">
    <w:abstractNumId w:val="15"/>
  </w:num>
  <w:num w:numId="44">
    <w:abstractNumId w:val="30"/>
  </w:num>
  <w:num w:numId="45">
    <w:abstractNumId w:val="45"/>
  </w:num>
  <w:num w:numId="46">
    <w:abstractNumId w:val="20"/>
  </w:num>
  <w:num w:numId="47">
    <w:abstractNumId w:val="53"/>
  </w:num>
  <w:num w:numId="48">
    <w:abstractNumId w:val="17"/>
  </w:num>
  <w:num w:numId="49">
    <w:abstractNumId w:val="46"/>
  </w:num>
  <w:num w:numId="50">
    <w:abstractNumId w:val="23"/>
  </w:num>
  <w:num w:numId="51">
    <w:abstractNumId w:val="22"/>
  </w:num>
  <w:num w:numId="52">
    <w:abstractNumId w:val="32"/>
  </w:num>
  <w:num w:numId="53">
    <w:abstractNumId w:val="2"/>
  </w:num>
  <w:num w:numId="54">
    <w:abstractNumId w:val="9"/>
  </w:num>
  <w:num w:numId="55">
    <w:abstractNumId w:val="48"/>
  </w:num>
  <w:num w:numId="56">
    <w:abstractNumId w:val="27"/>
  </w:num>
  <w:num w:numId="57">
    <w:abstractNumId w:val="3"/>
  </w:num>
  <w:num w:numId="58">
    <w:abstractNumId w:val="12"/>
  </w:num>
  <w:num w:numId="59">
    <w:abstractNumId w:val="35"/>
  </w:num>
  <w:num w:numId="60">
    <w:abstractNumId w:val="6"/>
  </w:num>
  <w:num w:numId="61">
    <w:abstractNumId w:val="1"/>
  </w:num>
  <w:num w:numId="62">
    <w:abstractNumId w:val="19"/>
  </w:num>
  <w:num w:numId="63">
    <w:abstractNumId w:val="44"/>
  </w:num>
  <w:numIdMacAtCleanup w:val="5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racey Laba">
    <w15:presenceInfo w15:providerId="AD" w15:userId="S-1-5-21-2718785560-4068422674-851720049-37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NotTrackFormatting/>
  <w:defaultTabStop w:val="720"/>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Vancouver modified&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dasztw9nwtdv2e0zpsxwx030a220dafadpz&quot;&gt;Ulipristal_BU&lt;record-ids&gt;&lt;item&gt;1&lt;/item&gt;&lt;item&gt;4&lt;/item&gt;&lt;item&gt;6&lt;/item&gt;&lt;item&gt;7&lt;/item&gt;&lt;item&gt;8&lt;/item&gt;&lt;item&gt;9&lt;/item&gt;&lt;item&gt;11&lt;/item&gt;&lt;item&gt;13&lt;/item&gt;&lt;item&gt;19&lt;/item&gt;&lt;item&gt;21&lt;/item&gt;&lt;item&gt;22&lt;/item&gt;&lt;item&gt;24&lt;/item&gt;&lt;item&gt;26&lt;/item&gt;&lt;item&gt;27&lt;/item&gt;&lt;item&gt;29&lt;/item&gt;&lt;item&gt;30&lt;/item&gt;&lt;item&gt;31&lt;/item&gt;&lt;item&gt;32&lt;/item&gt;&lt;item&gt;43&lt;/item&gt;&lt;item&gt;44&lt;/item&gt;&lt;item&gt;45&lt;/item&gt;&lt;item&gt;48&lt;/item&gt;&lt;item&gt;51&lt;/item&gt;&lt;item&gt;53&lt;/item&gt;&lt;item&gt;54&lt;/item&gt;&lt;/record-ids&gt;&lt;/item&gt;&lt;/Libraries&gt;"/>
  </w:docVars>
  <w:rsids>
    <w:rsidRoot w:val="00E65E79"/>
    <w:rsid w:val="00000790"/>
    <w:rsid w:val="00001066"/>
    <w:rsid w:val="0000110B"/>
    <w:rsid w:val="0000182F"/>
    <w:rsid w:val="00002789"/>
    <w:rsid w:val="00003499"/>
    <w:rsid w:val="00003642"/>
    <w:rsid w:val="00003687"/>
    <w:rsid w:val="00003710"/>
    <w:rsid w:val="00004460"/>
    <w:rsid w:val="0000500E"/>
    <w:rsid w:val="0000769B"/>
    <w:rsid w:val="00010D60"/>
    <w:rsid w:val="000121A4"/>
    <w:rsid w:val="00012464"/>
    <w:rsid w:val="00013247"/>
    <w:rsid w:val="00013D07"/>
    <w:rsid w:val="00014882"/>
    <w:rsid w:val="00014C24"/>
    <w:rsid w:val="00015886"/>
    <w:rsid w:val="000162EF"/>
    <w:rsid w:val="0001777C"/>
    <w:rsid w:val="00020136"/>
    <w:rsid w:val="00020D82"/>
    <w:rsid w:val="0002225F"/>
    <w:rsid w:val="00022541"/>
    <w:rsid w:val="00022A78"/>
    <w:rsid w:val="00023763"/>
    <w:rsid w:val="00023823"/>
    <w:rsid w:val="00023DAE"/>
    <w:rsid w:val="00024772"/>
    <w:rsid w:val="00024987"/>
    <w:rsid w:val="00024F50"/>
    <w:rsid w:val="0002550A"/>
    <w:rsid w:val="00026C20"/>
    <w:rsid w:val="00027093"/>
    <w:rsid w:val="00027163"/>
    <w:rsid w:val="000279DD"/>
    <w:rsid w:val="00027A7A"/>
    <w:rsid w:val="00027B96"/>
    <w:rsid w:val="00027DA0"/>
    <w:rsid w:val="00030168"/>
    <w:rsid w:val="00030326"/>
    <w:rsid w:val="0003033B"/>
    <w:rsid w:val="00030CA1"/>
    <w:rsid w:val="00031047"/>
    <w:rsid w:val="0003155F"/>
    <w:rsid w:val="00033152"/>
    <w:rsid w:val="00033A1D"/>
    <w:rsid w:val="00034FC6"/>
    <w:rsid w:val="00036301"/>
    <w:rsid w:val="00037E99"/>
    <w:rsid w:val="00040533"/>
    <w:rsid w:val="00040895"/>
    <w:rsid w:val="000409C3"/>
    <w:rsid w:val="00041828"/>
    <w:rsid w:val="00042B63"/>
    <w:rsid w:val="000430AE"/>
    <w:rsid w:val="00043C37"/>
    <w:rsid w:val="00044452"/>
    <w:rsid w:val="000466B0"/>
    <w:rsid w:val="000466DD"/>
    <w:rsid w:val="00046AF6"/>
    <w:rsid w:val="00050C57"/>
    <w:rsid w:val="00051F5B"/>
    <w:rsid w:val="0005254B"/>
    <w:rsid w:val="0005286B"/>
    <w:rsid w:val="00053C3F"/>
    <w:rsid w:val="000546D7"/>
    <w:rsid w:val="00054BC6"/>
    <w:rsid w:val="00054C56"/>
    <w:rsid w:val="00055491"/>
    <w:rsid w:val="00055926"/>
    <w:rsid w:val="0005648D"/>
    <w:rsid w:val="00056500"/>
    <w:rsid w:val="00056CF0"/>
    <w:rsid w:val="000571F5"/>
    <w:rsid w:val="0005740F"/>
    <w:rsid w:val="00057C7A"/>
    <w:rsid w:val="00057EC5"/>
    <w:rsid w:val="00060721"/>
    <w:rsid w:val="00060F5D"/>
    <w:rsid w:val="00062B41"/>
    <w:rsid w:val="00063828"/>
    <w:rsid w:val="000643D8"/>
    <w:rsid w:val="00066086"/>
    <w:rsid w:val="000661C6"/>
    <w:rsid w:val="000705CD"/>
    <w:rsid w:val="000706D6"/>
    <w:rsid w:val="000707AA"/>
    <w:rsid w:val="00070EA2"/>
    <w:rsid w:val="00071248"/>
    <w:rsid w:val="000720B9"/>
    <w:rsid w:val="0007233C"/>
    <w:rsid w:val="00072500"/>
    <w:rsid w:val="00072A0B"/>
    <w:rsid w:val="00073945"/>
    <w:rsid w:val="00073EB8"/>
    <w:rsid w:val="000758B3"/>
    <w:rsid w:val="00076074"/>
    <w:rsid w:val="000767DF"/>
    <w:rsid w:val="00076883"/>
    <w:rsid w:val="00076BDB"/>
    <w:rsid w:val="00077298"/>
    <w:rsid w:val="00077B75"/>
    <w:rsid w:val="00077EB7"/>
    <w:rsid w:val="00080C76"/>
    <w:rsid w:val="000810C8"/>
    <w:rsid w:val="000812CA"/>
    <w:rsid w:val="000814A1"/>
    <w:rsid w:val="00082AF0"/>
    <w:rsid w:val="00083803"/>
    <w:rsid w:val="000841B1"/>
    <w:rsid w:val="000846E3"/>
    <w:rsid w:val="00084751"/>
    <w:rsid w:val="00087F71"/>
    <w:rsid w:val="00090C7E"/>
    <w:rsid w:val="000910E1"/>
    <w:rsid w:val="00091356"/>
    <w:rsid w:val="00091A4E"/>
    <w:rsid w:val="00093256"/>
    <w:rsid w:val="00094232"/>
    <w:rsid w:val="0009492C"/>
    <w:rsid w:val="0009505E"/>
    <w:rsid w:val="000952D3"/>
    <w:rsid w:val="000956B9"/>
    <w:rsid w:val="00095E05"/>
    <w:rsid w:val="0009657C"/>
    <w:rsid w:val="00096F5A"/>
    <w:rsid w:val="00097647"/>
    <w:rsid w:val="00097814"/>
    <w:rsid w:val="000A0B72"/>
    <w:rsid w:val="000A0F27"/>
    <w:rsid w:val="000A246F"/>
    <w:rsid w:val="000A2CCD"/>
    <w:rsid w:val="000A4C6D"/>
    <w:rsid w:val="000A6720"/>
    <w:rsid w:val="000B06A7"/>
    <w:rsid w:val="000B0DB5"/>
    <w:rsid w:val="000B19AE"/>
    <w:rsid w:val="000B1EAF"/>
    <w:rsid w:val="000B46A2"/>
    <w:rsid w:val="000B5CA7"/>
    <w:rsid w:val="000B61A0"/>
    <w:rsid w:val="000B72AA"/>
    <w:rsid w:val="000B778F"/>
    <w:rsid w:val="000C0186"/>
    <w:rsid w:val="000C266F"/>
    <w:rsid w:val="000C2F58"/>
    <w:rsid w:val="000C36EF"/>
    <w:rsid w:val="000C408E"/>
    <w:rsid w:val="000C4F16"/>
    <w:rsid w:val="000C5DFA"/>
    <w:rsid w:val="000C5F29"/>
    <w:rsid w:val="000C687A"/>
    <w:rsid w:val="000C7DF6"/>
    <w:rsid w:val="000D03C6"/>
    <w:rsid w:val="000D0517"/>
    <w:rsid w:val="000D117F"/>
    <w:rsid w:val="000D1BFC"/>
    <w:rsid w:val="000D35D7"/>
    <w:rsid w:val="000D4266"/>
    <w:rsid w:val="000D58E6"/>
    <w:rsid w:val="000D77CA"/>
    <w:rsid w:val="000E0AA7"/>
    <w:rsid w:val="000E0F6C"/>
    <w:rsid w:val="000E1025"/>
    <w:rsid w:val="000E1448"/>
    <w:rsid w:val="000E1E67"/>
    <w:rsid w:val="000E2CE6"/>
    <w:rsid w:val="000E2DBB"/>
    <w:rsid w:val="000E2E69"/>
    <w:rsid w:val="000E4006"/>
    <w:rsid w:val="000E42B9"/>
    <w:rsid w:val="000E4FDA"/>
    <w:rsid w:val="000E68F7"/>
    <w:rsid w:val="000E714B"/>
    <w:rsid w:val="000E744D"/>
    <w:rsid w:val="000E74AB"/>
    <w:rsid w:val="000E7839"/>
    <w:rsid w:val="000F059D"/>
    <w:rsid w:val="000F20EC"/>
    <w:rsid w:val="000F2139"/>
    <w:rsid w:val="000F35A2"/>
    <w:rsid w:val="000F3944"/>
    <w:rsid w:val="000F3E0B"/>
    <w:rsid w:val="000F4BB8"/>
    <w:rsid w:val="000F61BF"/>
    <w:rsid w:val="000F7127"/>
    <w:rsid w:val="000F766B"/>
    <w:rsid w:val="00100F8A"/>
    <w:rsid w:val="0010474C"/>
    <w:rsid w:val="00104B06"/>
    <w:rsid w:val="00104DCC"/>
    <w:rsid w:val="00105665"/>
    <w:rsid w:val="00107499"/>
    <w:rsid w:val="00107B69"/>
    <w:rsid w:val="0011032E"/>
    <w:rsid w:val="001105C7"/>
    <w:rsid w:val="001108BA"/>
    <w:rsid w:val="00111176"/>
    <w:rsid w:val="00111954"/>
    <w:rsid w:val="00111B0C"/>
    <w:rsid w:val="00111F24"/>
    <w:rsid w:val="00112FF8"/>
    <w:rsid w:val="0011348B"/>
    <w:rsid w:val="001139E5"/>
    <w:rsid w:val="00114C04"/>
    <w:rsid w:val="00116531"/>
    <w:rsid w:val="0011718D"/>
    <w:rsid w:val="001171C3"/>
    <w:rsid w:val="001173BA"/>
    <w:rsid w:val="00117476"/>
    <w:rsid w:val="00117F8C"/>
    <w:rsid w:val="00120693"/>
    <w:rsid w:val="00120E4D"/>
    <w:rsid w:val="00120FC7"/>
    <w:rsid w:val="00121799"/>
    <w:rsid w:val="00121E88"/>
    <w:rsid w:val="001222FC"/>
    <w:rsid w:val="00122777"/>
    <w:rsid w:val="00122B93"/>
    <w:rsid w:val="00123CE6"/>
    <w:rsid w:val="001242A0"/>
    <w:rsid w:val="001242FF"/>
    <w:rsid w:val="00124A51"/>
    <w:rsid w:val="00125DE0"/>
    <w:rsid w:val="00126621"/>
    <w:rsid w:val="00127EAA"/>
    <w:rsid w:val="001301E9"/>
    <w:rsid w:val="00130EBB"/>
    <w:rsid w:val="00131405"/>
    <w:rsid w:val="00132397"/>
    <w:rsid w:val="00132EAD"/>
    <w:rsid w:val="001330D1"/>
    <w:rsid w:val="0013668C"/>
    <w:rsid w:val="00136701"/>
    <w:rsid w:val="00136C72"/>
    <w:rsid w:val="00137198"/>
    <w:rsid w:val="00137645"/>
    <w:rsid w:val="0014015A"/>
    <w:rsid w:val="00140A3A"/>
    <w:rsid w:val="00140E99"/>
    <w:rsid w:val="00141808"/>
    <w:rsid w:val="00141A59"/>
    <w:rsid w:val="00142503"/>
    <w:rsid w:val="00142983"/>
    <w:rsid w:val="001434AA"/>
    <w:rsid w:val="001448F4"/>
    <w:rsid w:val="00145540"/>
    <w:rsid w:val="001456B0"/>
    <w:rsid w:val="00145CC6"/>
    <w:rsid w:val="001462E6"/>
    <w:rsid w:val="001466EA"/>
    <w:rsid w:val="00146A10"/>
    <w:rsid w:val="00146F54"/>
    <w:rsid w:val="0015019D"/>
    <w:rsid w:val="00150D64"/>
    <w:rsid w:val="00151018"/>
    <w:rsid w:val="0015147C"/>
    <w:rsid w:val="00152EB0"/>
    <w:rsid w:val="00153E1D"/>
    <w:rsid w:val="00154D9C"/>
    <w:rsid w:val="00155540"/>
    <w:rsid w:val="00155B22"/>
    <w:rsid w:val="00157130"/>
    <w:rsid w:val="001608CB"/>
    <w:rsid w:val="00160E24"/>
    <w:rsid w:val="00161F27"/>
    <w:rsid w:val="0016212A"/>
    <w:rsid w:val="00162913"/>
    <w:rsid w:val="001638E6"/>
    <w:rsid w:val="00163C76"/>
    <w:rsid w:val="00163EFF"/>
    <w:rsid w:val="00164319"/>
    <w:rsid w:val="00164D47"/>
    <w:rsid w:val="00165A6F"/>
    <w:rsid w:val="001661FB"/>
    <w:rsid w:val="001664D3"/>
    <w:rsid w:val="001667D5"/>
    <w:rsid w:val="00166D33"/>
    <w:rsid w:val="00167268"/>
    <w:rsid w:val="00171903"/>
    <w:rsid w:val="00173995"/>
    <w:rsid w:val="00174524"/>
    <w:rsid w:val="00174A91"/>
    <w:rsid w:val="00174D64"/>
    <w:rsid w:val="001758A0"/>
    <w:rsid w:val="00175A0F"/>
    <w:rsid w:val="00175E7A"/>
    <w:rsid w:val="00177921"/>
    <w:rsid w:val="00177B05"/>
    <w:rsid w:val="00180BC7"/>
    <w:rsid w:val="00180BFA"/>
    <w:rsid w:val="0018107F"/>
    <w:rsid w:val="00181D34"/>
    <w:rsid w:val="00182275"/>
    <w:rsid w:val="00183F7E"/>
    <w:rsid w:val="001849CE"/>
    <w:rsid w:val="00185222"/>
    <w:rsid w:val="001859B9"/>
    <w:rsid w:val="0018724F"/>
    <w:rsid w:val="0018752F"/>
    <w:rsid w:val="00187CEA"/>
    <w:rsid w:val="001911A2"/>
    <w:rsid w:val="0019235C"/>
    <w:rsid w:val="00192899"/>
    <w:rsid w:val="00193711"/>
    <w:rsid w:val="001940E4"/>
    <w:rsid w:val="001945DE"/>
    <w:rsid w:val="00195222"/>
    <w:rsid w:val="00195FB9"/>
    <w:rsid w:val="0019714C"/>
    <w:rsid w:val="001975D8"/>
    <w:rsid w:val="001A0DB7"/>
    <w:rsid w:val="001A1B81"/>
    <w:rsid w:val="001A1BF4"/>
    <w:rsid w:val="001A27AA"/>
    <w:rsid w:val="001A2BFA"/>
    <w:rsid w:val="001A2E78"/>
    <w:rsid w:val="001A3515"/>
    <w:rsid w:val="001A4D8D"/>
    <w:rsid w:val="001A6A0C"/>
    <w:rsid w:val="001B0220"/>
    <w:rsid w:val="001B0766"/>
    <w:rsid w:val="001B0F3D"/>
    <w:rsid w:val="001B2189"/>
    <w:rsid w:val="001B2C4A"/>
    <w:rsid w:val="001B3443"/>
    <w:rsid w:val="001B3F6B"/>
    <w:rsid w:val="001B497B"/>
    <w:rsid w:val="001B6CC8"/>
    <w:rsid w:val="001B7DAD"/>
    <w:rsid w:val="001B7DD6"/>
    <w:rsid w:val="001C00C7"/>
    <w:rsid w:val="001C073E"/>
    <w:rsid w:val="001C26F6"/>
    <w:rsid w:val="001C3BFE"/>
    <w:rsid w:val="001C3E85"/>
    <w:rsid w:val="001C62BF"/>
    <w:rsid w:val="001C69B9"/>
    <w:rsid w:val="001C6A16"/>
    <w:rsid w:val="001C6E66"/>
    <w:rsid w:val="001C6EC5"/>
    <w:rsid w:val="001C7301"/>
    <w:rsid w:val="001C7CAD"/>
    <w:rsid w:val="001D095D"/>
    <w:rsid w:val="001D45C4"/>
    <w:rsid w:val="001D6A9A"/>
    <w:rsid w:val="001D6BDC"/>
    <w:rsid w:val="001E04BA"/>
    <w:rsid w:val="001E04C7"/>
    <w:rsid w:val="001E0D44"/>
    <w:rsid w:val="001E169B"/>
    <w:rsid w:val="001E1A8B"/>
    <w:rsid w:val="001E217E"/>
    <w:rsid w:val="001E238E"/>
    <w:rsid w:val="001E2A9E"/>
    <w:rsid w:val="001E2B1E"/>
    <w:rsid w:val="001E3318"/>
    <w:rsid w:val="001E3857"/>
    <w:rsid w:val="001E3C20"/>
    <w:rsid w:val="001E3E82"/>
    <w:rsid w:val="001E4322"/>
    <w:rsid w:val="001E52EB"/>
    <w:rsid w:val="001E5CAF"/>
    <w:rsid w:val="001E62C5"/>
    <w:rsid w:val="001E740C"/>
    <w:rsid w:val="001E7642"/>
    <w:rsid w:val="001E7BA9"/>
    <w:rsid w:val="001F0646"/>
    <w:rsid w:val="001F0AEA"/>
    <w:rsid w:val="001F1235"/>
    <w:rsid w:val="001F1CB3"/>
    <w:rsid w:val="001F33C3"/>
    <w:rsid w:val="001F3BDE"/>
    <w:rsid w:val="001F4295"/>
    <w:rsid w:val="001F4481"/>
    <w:rsid w:val="001F54FF"/>
    <w:rsid w:val="001F56E0"/>
    <w:rsid w:val="001F7361"/>
    <w:rsid w:val="00200281"/>
    <w:rsid w:val="002009E2"/>
    <w:rsid w:val="00201A99"/>
    <w:rsid w:val="002036FD"/>
    <w:rsid w:val="0020385F"/>
    <w:rsid w:val="00207021"/>
    <w:rsid w:val="00207232"/>
    <w:rsid w:val="00207D00"/>
    <w:rsid w:val="002105C1"/>
    <w:rsid w:val="00211235"/>
    <w:rsid w:val="00211328"/>
    <w:rsid w:val="002113C8"/>
    <w:rsid w:val="00211964"/>
    <w:rsid w:val="00212D75"/>
    <w:rsid w:val="0021313B"/>
    <w:rsid w:val="00213953"/>
    <w:rsid w:val="00213A1E"/>
    <w:rsid w:val="002140DA"/>
    <w:rsid w:val="002157EC"/>
    <w:rsid w:val="00215A9B"/>
    <w:rsid w:val="00215B09"/>
    <w:rsid w:val="00216376"/>
    <w:rsid w:val="00216F0F"/>
    <w:rsid w:val="00217396"/>
    <w:rsid w:val="00220F0A"/>
    <w:rsid w:val="0022166D"/>
    <w:rsid w:val="00221F9C"/>
    <w:rsid w:val="0022233B"/>
    <w:rsid w:val="00222597"/>
    <w:rsid w:val="002229B6"/>
    <w:rsid w:val="00223B49"/>
    <w:rsid w:val="00224514"/>
    <w:rsid w:val="00224A9A"/>
    <w:rsid w:val="00224DD4"/>
    <w:rsid w:val="002251FB"/>
    <w:rsid w:val="002258A8"/>
    <w:rsid w:val="002258B5"/>
    <w:rsid w:val="00226774"/>
    <w:rsid w:val="00227159"/>
    <w:rsid w:val="00227499"/>
    <w:rsid w:val="00227D54"/>
    <w:rsid w:val="002309CC"/>
    <w:rsid w:val="002314CD"/>
    <w:rsid w:val="00231968"/>
    <w:rsid w:val="00234593"/>
    <w:rsid w:val="00234831"/>
    <w:rsid w:val="00237204"/>
    <w:rsid w:val="0024078A"/>
    <w:rsid w:val="00240D85"/>
    <w:rsid w:val="00241961"/>
    <w:rsid w:val="002420E9"/>
    <w:rsid w:val="0024299F"/>
    <w:rsid w:val="00242AE4"/>
    <w:rsid w:val="00243150"/>
    <w:rsid w:val="00244BD3"/>
    <w:rsid w:val="00245733"/>
    <w:rsid w:val="00245D89"/>
    <w:rsid w:val="00246EA5"/>
    <w:rsid w:val="0024746F"/>
    <w:rsid w:val="00247DD1"/>
    <w:rsid w:val="00250AC8"/>
    <w:rsid w:val="00251945"/>
    <w:rsid w:val="00251F7F"/>
    <w:rsid w:val="00252273"/>
    <w:rsid w:val="00253B12"/>
    <w:rsid w:val="002540C8"/>
    <w:rsid w:val="00254B6E"/>
    <w:rsid w:val="00254DBA"/>
    <w:rsid w:val="00254DCF"/>
    <w:rsid w:val="00255048"/>
    <w:rsid w:val="0025534B"/>
    <w:rsid w:val="00255767"/>
    <w:rsid w:val="00255BB7"/>
    <w:rsid w:val="0025618B"/>
    <w:rsid w:val="0025726C"/>
    <w:rsid w:val="00260310"/>
    <w:rsid w:val="002603A6"/>
    <w:rsid w:val="00260E4D"/>
    <w:rsid w:val="0026287C"/>
    <w:rsid w:val="00262A87"/>
    <w:rsid w:val="00263701"/>
    <w:rsid w:val="00263D47"/>
    <w:rsid w:val="00265499"/>
    <w:rsid w:val="00265C4B"/>
    <w:rsid w:val="002667FF"/>
    <w:rsid w:val="00266D75"/>
    <w:rsid w:val="0027021E"/>
    <w:rsid w:val="0027045A"/>
    <w:rsid w:val="00270B94"/>
    <w:rsid w:val="002722DA"/>
    <w:rsid w:val="00272C71"/>
    <w:rsid w:val="00272D1E"/>
    <w:rsid w:val="0027426E"/>
    <w:rsid w:val="00274312"/>
    <w:rsid w:val="00275A28"/>
    <w:rsid w:val="00275A36"/>
    <w:rsid w:val="00275BD2"/>
    <w:rsid w:val="00275C5A"/>
    <w:rsid w:val="00281014"/>
    <w:rsid w:val="002810D8"/>
    <w:rsid w:val="00282126"/>
    <w:rsid w:val="002829D6"/>
    <w:rsid w:val="00282C64"/>
    <w:rsid w:val="00283041"/>
    <w:rsid w:val="0028361B"/>
    <w:rsid w:val="00283B40"/>
    <w:rsid w:val="00283B80"/>
    <w:rsid w:val="00284159"/>
    <w:rsid w:val="00284681"/>
    <w:rsid w:val="00284D96"/>
    <w:rsid w:val="00285ABB"/>
    <w:rsid w:val="00285BEA"/>
    <w:rsid w:val="00285E59"/>
    <w:rsid w:val="00286293"/>
    <w:rsid w:val="002863F1"/>
    <w:rsid w:val="00286D83"/>
    <w:rsid w:val="00287425"/>
    <w:rsid w:val="00287EBE"/>
    <w:rsid w:val="0029007B"/>
    <w:rsid w:val="002906DB"/>
    <w:rsid w:val="0029173C"/>
    <w:rsid w:val="00291AFA"/>
    <w:rsid w:val="00292BF0"/>
    <w:rsid w:val="00294392"/>
    <w:rsid w:val="00294674"/>
    <w:rsid w:val="00294A09"/>
    <w:rsid w:val="00296483"/>
    <w:rsid w:val="00296ED3"/>
    <w:rsid w:val="002A03B2"/>
    <w:rsid w:val="002A07EB"/>
    <w:rsid w:val="002A0A2D"/>
    <w:rsid w:val="002A1120"/>
    <w:rsid w:val="002A14AB"/>
    <w:rsid w:val="002A1E04"/>
    <w:rsid w:val="002A2C60"/>
    <w:rsid w:val="002A2D4B"/>
    <w:rsid w:val="002A4C4F"/>
    <w:rsid w:val="002A57F1"/>
    <w:rsid w:val="002B02F5"/>
    <w:rsid w:val="002B066F"/>
    <w:rsid w:val="002B0AE4"/>
    <w:rsid w:val="002B1C1F"/>
    <w:rsid w:val="002B1E9A"/>
    <w:rsid w:val="002B23B2"/>
    <w:rsid w:val="002B29D5"/>
    <w:rsid w:val="002B2C93"/>
    <w:rsid w:val="002B432F"/>
    <w:rsid w:val="002B4656"/>
    <w:rsid w:val="002B55AB"/>
    <w:rsid w:val="002B5A51"/>
    <w:rsid w:val="002B5D47"/>
    <w:rsid w:val="002B6CCE"/>
    <w:rsid w:val="002B6EDC"/>
    <w:rsid w:val="002B7917"/>
    <w:rsid w:val="002B7C56"/>
    <w:rsid w:val="002C0483"/>
    <w:rsid w:val="002C1CC9"/>
    <w:rsid w:val="002C21CB"/>
    <w:rsid w:val="002C2775"/>
    <w:rsid w:val="002C27C1"/>
    <w:rsid w:val="002C3CA4"/>
    <w:rsid w:val="002C428F"/>
    <w:rsid w:val="002C4FBC"/>
    <w:rsid w:val="002C58B1"/>
    <w:rsid w:val="002C6B0B"/>
    <w:rsid w:val="002C72E8"/>
    <w:rsid w:val="002C7D09"/>
    <w:rsid w:val="002D025B"/>
    <w:rsid w:val="002D06C1"/>
    <w:rsid w:val="002D18F3"/>
    <w:rsid w:val="002D22DA"/>
    <w:rsid w:val="002D297E"/>
    <w:rsid w:val="002D37FB"/>
    <w:rsid w:val="002D4937"/>
    <w:rsid w:val="002D4D66"/>
    <w:rsid w:val="002D5DAB"/>
    <w:rsid w:val="002D6145"/>
    <w:rsid w:val="002D6A3B"/>
    <w:rsid w:val="002D6B7E"/>
    <w:rsid w:val="002D72D5"/>
    <w:rsid w:val="002D796C"/>
    <w:rsid w:val="002E07FA"/>
    <w:rsid w:val="002E11B0"/>
    <w:rsid w:val="002E19ED"/>
    <w:rsid w:val="002E2902"/>
    <w:rsid w:val="002E37E3"/>
    <w:rsid w:val="002E39B2"/>
    <w:rsid w:val="002E4548"/>
    <w:rsid w:val="002E48FA"/>
    <w:rsid w:val="002E4A42"/>
    <w:rsid w:val="002E5A74"/>
    <w:rsid w:val="002E77DF"/>
    <w:rsid w:val="002F05CD"/>
    <w:rsid w:val="002F087E"/>
    <w:rsid w:val="002F2000"/>
    <w:rsid w:val="002F241A"/>
    <w:rsid w:val="002F3CE2"/>
    <w:rsid w:val="002F4387"/>
    <w:rsid w:val="002F4CD6"/>
    <w:rsid w:val="002F7586"/>
    <w:rsid w:val="00300555"/>
    <w:rsid w:val="00301017"/>
    <w:rsid w:val="003018A1"/>
    <w:rsid w:val="003039EB"/>
    <w:rsid w:val="00303F94"/>
    <w:rsid w:val="00305310"/>
    <w:rsid w:val="00305314"/>
    <w:rsid w:val="00305DA9"/>
    <w:rsid w:val="00305FD2"/>
    <w:rsid w:val="00306FE1"/>
    <w:rsid w:val="0030786C"/>
    <w:rsid w:val="0031031A"/>
    <w:rsid w:val="003105F4"/>
    <w:rsid w:val="00310981"/>
    <w:rsid w:val="00310AE4"/>
    <w:rsid w:val="00310CE5"/>
    <w:rsid w:val="00311267"/>
    <w:rsid w:val="003127B3"/>
    <w:rsid w:val="00313C58"/>
    <w:rsid w:val="00315144"/>
    <w:rsid w:val="00315498"/>
    <w:rsid w:val="0031715D"/>
    <w:rsid w:val="00321E4A"/>
    <w:rsid w:val="003224BE"/>
    <w:rsid w:val="003226E0"/>
    <w:rsid w:val="0032304F"/>
    <w:rsid w:val="0032580E"/>
    <w:rsid w:val="00326030"/>
    <w:rsid w:val="003264F4"/>
    <w:rsid w:val="00327D28"/>
    <w:rsid w:val="00330BA1"/>
    <w:rsid w:val="00331029"/>
    <w:rsid w:val="0033215C"/>
    <w:rsid w:val="00332699"/>
    <w:rsid w:val="00334EFA"/>
    <w:rsid w:val="003366C9"/>
    <w:rsid w:val="003371B0"/>
    <w:rsid w:val="003374D8"/>
    <w:rsid w:val="00340192"/>
    <w:rsid w:val="003413B1"/>
    <w:rsid w:val="0034142D"/>
    <w:rsid w:val="00341788"/>
    <w:rsid w:val="0034198E"/>
    <w:rsid w:val="00341BE4"/>
    <w:rsid w:val="00343078"/>
    <w:rsid w:val="00343E5A"/>
    <w:rsid w:val="00344905"/>
    <w:rsid w:val="00344FAD"/>
    <w:rsid w:val="00345B16"/>
    <w:rsid w:val="0034680A"/>
    <w:rsid w:val="00347222"/>
    <w:rsid w:val="00347AEB"/>
    <w:rsid w:val="0035249C"/>
    <w:rsid w:val="00354D87"/>
    <w:rsid w:val="00355A66"/>
    <w:rsid w:val="00355BD1"/>
    <w:rsid w:val="0035620E"/>
    <w:rsid w:val="00360A8D"/>
    <w:rsid w:val="0036165B"/>
    <w:rsid w:val="003616CC"/>
    <w:rsid w:val="00361FAB"/>
    <w:rsid w:val="00363318"/>
    <w:rsid w:val="00363946"/>
    <w:rsid w:val="00366AA4"/>
    <w:rsid w:val="00366FC5"/>
    <w:rsid w:val="00367499"/>
    <w:rsid w:val="0037068F"/>
    <w:rsid w:val="00371A72"/>
    <w:rsid w:val="003733A4"/>
    <w:rsid w:val="0037427F"/>
    <w:rsid w:val="003750EF"/>
    <w:rsid w:val="00375292"/>
    <w:rsid w:val="00375328"/>
    <w:rsid w:val="00375629"/>
    <w:rsid w:val="003761A3"/>
    <w:rsid w:val="003776E3"/>
    <w:rsid w:val="00377F8A"/>
    <w:rsid w:val="00382FD6"/>
    <w:rsid w:val="0038365C"/>
    <w:rsid w:val="00383BB0"/>
    <w:rsid w:val="00384A7A"/>
    <w:rsid w:val="003858DA"/>
    <w:rsid w:val="003864AD"/>
    <w:rsid w:val="00386B9E"/>
    <w:rsid w:val="003871B2"/>
    <w:rsid w:val="00391F78"/>
    <w:rsid w:val="00392077"/>
    <w:rsid w:val="00392323"/>
    <w:rsid w:val="0039299A"/>
    <w:rsid w:val="003929D7"/>
    <w:rsid w:val="00392E32"/>
    <w:rsid w:val="00392EF7"/>
    <w:rsid w:val="00396666"/>
    <w:rsid w:val="00396FD0"/>
    <w:rsid w:val="00397A58"/>
    <w:rsid w:val="00397EB1"/>
    <w:rsid w:val="003A0437"/>
    <w:rsid w:val="003A09E4"/>
    <w:rsid w:val="003A1A7A"/>
    <w:rsid w:val="003A20C3"/>
    <w:rsid w:val="003A2F07"/>
    <w:rsid w:val="003A337E"/>
    <w:rsid w:val="003A3C4C"/>
    <w:rsid w:val="003A4BAD"/>
    <w:rsid w:val="003A4EC0"/>
    <w:rsid w:val="003A5BFB"/>
    <w:rsid w:val="003A5DFD"/>
    <w:rsid w:val="003A6192"/>
    <w:rsid w:val="003A61B5"/>
    <w:rsid w:val="003A722B"/>
    <w:rsid w:val="003B01ED"/>
    <w:rsid w:val="003B116B"/>
    <w:rsid w:val="003B3DFC"/>
    <w:rsid w:val="003B3E78"/>
    <w:rsid w:val="003B5A49"/>
    <w:rsid w:val="003B5EAF"/>
    <w:rsid w:val="003B6154"/>
    <w:rsid w:val="003C0C2D"/>
    <w:rsid w:val="003C15BF"/>
    <w:rsid w:val="003C30BF"/>
    <w:rsid w:val="003C3893"/>
    <w:rsid w:val="003C389D"/>
    <w:rsid w:val="003C3AAA"/>
    <w:rsid w:val="003C3F04"/>
    <w:rsid w:val="003C4282"/>
    <w:rsid w:val="003C4535"/>
    <w:rsid w:val="003C5B5F"/>
    <w:rsid w:val="003C78D7"/>
    <w:rsid w:val="003D06CA"/>
    <w:rsid w:val="003D1153"/>
    <w:rsid w:val="003D1828"/>
    <w:rsid w:val="003D1C21"/>
    <w:rsid w:val="003D2422"/>
    <w:rsid w:val="003D2BCF"/>
    <w:rsid w:val="003D2C6D"/>
    <w:rsid w:val="003D2D2F"/>
    <w:rsid w:val="003D4087"/>
    <w:rsid w:val="003D4970"/>
    <w:rsid w:val="003D4B12"/>
    <w:rsid w:val="003D55F2"/>
    <w:rsid w:val="003D5E56"/>
    <w:rsid w:val="003D6B68"/>
    <w:rsid w:val="003D6E8B"/>
    <w:rsid w:val="003D788D"/>
    <w:rsid w:val="003D7EC9"/>
    <w:rsid w:val="003E0CE0"/>
    <w:rsid w:val="003E1FCC"/>
    <w:rsid w:val="003E244E"/>
    <w:rsid w:val="003E2E72"/>
    <w:rsid w:val="003E3342"/>
    <w:rsid w:val="003E42FD"/>
    <w:rsid w:val="003E4320"/>
    <w:rsid w:val="003E55BE"/>
    <w:rsid w:val="003E6899"/>
    <w:rsid w:val="003E6E3E"/>
    <w:rsid w:val="003E7025"/>
    <w:rsid w:val="003F027D"/>
    <w:rsid w:val="003F0532"/>
    <w:rsid w:val="003F1699"/>
    <w:rsid w:val="003F24C9"/>
    <w:rsid w:val="003F2772"/>
    <w:rsid w:val="003F28B1"/>
    <w:rsid w:val="003F3C61"/>
    <w:rsid w:val="003F4156"/>
    <w:rsid w:val="003F4773"/>
    <w:rsid w:val="003F599A"/>
    <w:rsid w:val="003F6167"/>
    <w:rsid w:val="003F6281"/>
    <w:rsid w:val="003F62E2"/>
    <w:rsid w:val="003F656A"/>
    <w:rsid w:val="003F7178"/>
    <w:rsid w:val="00401441"/>
    <w:rsid w:val="00405CC4"/>
    <w:rsid w:val="00406713"/>
    <w:rsid w:val="004068D9"/>
    <w:rsid w:val="004105F2"/>
    <w:rsid w:val="00410708"/>
    <w:rsid w:val="00410EC7"/>
    <w:rsid w:val="00411A29"/>
    <w:rsid w:val="0041235C"/>
    <w:rsid w:val="00412CA4"/>
    <w:rsid w:val="00414476"/>
    <w:rsid w:val="00415B8E"/>
    <w:rsid w:val="00416B6E"/>
    <w:rsid w:val="00420477"/>
    <w:rsid w:val="00420B9F"/>
    <w:rsid w:val="00421594"/>
    <w:rsid w:val="0042164D"/>
    <w:rsid w:val="00422F6C"/>
    <w:rsid w:val="00423AEC"/>
    <w:rsid w:val="00424799"/>
    <w:rsid w:val="00424CAF"/>
    <w:rsid w:val="00426CBC"/>
    <w:rsid w:val="004271C6"/>
    <w:rsid w:val="0042754D"/>
    <w:rsid w:val="004277AE"/>
    <w:rsid w:val="0043017D"/>
    <w:rsid w:val="0043019F"/>
    <w:rsid w:val="004307E2"/>
    <w:rsid w:val="00430AFF"/>
    <w:rsid w:val="00431608"/>
    <w:rsid w:val="004319F8"/>
    <w:rsid w:val="00432CA9"/>
    <w:rsid w:val="00432DF2"/>
    <w:rsid w:val="00433044"/>
    <w:rsid w:val="00433075"/>
    <w:rsid w:val="00434BF1"/>
    <w:rsid w:val="004363B5"/>
    <w:rsid w:val="00436716"/>
    <w:rsid w:val="00436913"/>
    <w:rsid w:val="00436A64"/>
    <w:rsid w:val="00436BA1"/>
    <w:rsid w:val="00437156"/>
    <w:rsid w:val="00440371"/>
    <w:rsid w:val="004404E7"/>
    <w:rsid w:val="0044058C"/>
    <w:rsid w:val="00440DCE"/>
    <w:rsid w:val="00441A3E"/>
    <w:rsid w:val="00443180"/>
    <w:rsid w:val="0044333E"/>
    <w:rsid w:val="004443A7"/>
    <w:rsid w:val="00444CB0"/>
    <w:rsid w:val="00444CE5"/>
    <w:rsid w:val="00445C2E"/>
    <w:rsid w:val="004464EB"/>
    <w:rsid w:val="004477D8"/>
    <w:rsid w:val="00451874"/>
    <w:rsid w:val="00453910"/>
    <w:rsid w:val="00453FD6"/>
    <w:rsid w:val="00454A3C"/>
    <w:rsid w:val="00454FD2"/>
    <w:rsid w:val="00455D45"/>
    <w:rsid w:val="00455D46"/>
    <w:rsid w:val="00455E18"/>
    <w:rsid w:val="00456AB3"/>
    <w:rsid w:val="00457010"/>
    <w:rsid w:val="00460407"/>
    <w:rsid w:val="004604B0"/>
    <w:rsid w:val="004605EA"/>
    <w:rsid w:val="0046184B"/>
    <w:rsid w:val="00461900"/>
    <w:rsid w:val="00461F7E"/>
    <w:rsid w:val="00462629"/>
    <w:rsid w:val="00462D32"/>
    <w:rsid w:val="00463058"/>
    <w:rsid w:val="00464191"/>
    <w:rsid w:val="00464497"/>
    <w:rsid w:val="00464595"/>
    <w:rsid w:val="004649AA"/>
    <w:rsid w:val="00464A13"/>
    <w:rsid w:val="00464EA4"/>
    <w:rsid w:val="0046501A"/>
    <w:rsid w:val="00466A5C"/>
    <w:rsid w:val="00470EDA"/>
    <w:rsid w:val="004715C9"/>
    <w:rsid w:val="00471FA8"/>
    <w:rsid w:val="004734CA"/>
    <w:rsid w:val="00473BA7"/>
    <w:rsid w:val="00475616"/>
    <w:rsid w:val="0047652B"/>
    <w:rsid w:val="00476D02"/>
    <w:rsid w:val="004773D1"/>
    <w:rsid w:val="0048089B"/>
    <w:rsid w:val="00480C97"/>
    <w:rsid w:val="00480E4C"/>
    <w:rsid w:val="00481142"/>
    <w:rsid w:val="004827DA"/>
    <w:rsid w:val="00484971"/>
    <w:rsid w:val="00484D43"/>
    <w:rsid w:val="00485C04"/>
    <w:rsid w:val="00486460"/>
    <w:rsid w:val="004867E2"/>
    <w:rsid w:val="00486818"/>
    <w:rsid w:val="004913B5"/>
    <w:rsid w:val="004916B1"/>
    <w:rsid w:val="004917FC"/>
    <w:rsid w:val="004919D6"/>
    <w:rsid w:val="00491B3A"/>
    <w:rsid w:val="0049243A"/>
    <w:rsid w:val="00492CFD"/>
    <w:rsid w:val="00493805"/>
    <w:rsid w:val="004940D8"/>
    <w:rsid w:val="00494D11"/>
    <w:rsid w:val="00494F76"/>
    <w:rsid w:val="00495412"/>
    <w:rsid w:val="00495FDD"/>
    <w:rsid w:val="004962D2"/>
    <w:rsid w:val="004965D9"/>
    <w:rsid w:val="004A0DA1"/>
    <w:rsid w:val="004A0FE2"/>
    <w:rsid w:val="004A17DF"/>
    <w:rsid w:val="004A2448"/>
    <w:rsid w:val="004A30B3"/>
    <w:rsid w:val="004A32EE"/>
    <w:rsid w:val="004A4F9E"/>
    <w:rsid w:val="004A619A"/>
    <w:rsid w:val="004A6597"/>
    <w:rsid w:val="004A782B"/>
    <w:rsid w:val="004B0C72"/>
    <w:rsid w:val="004B1CB4"/>
    <w:rsid w:val="004B2CA9"/>
    <w:rsid w:val="004B2F18"/>
    <w:rsid w:val="004B3633"/>
    <w:rsid w:val="004B3D46"/>
    <w:rsid w:val="004B3DDB"/>
    <w:rsid w:val="004B44FD"/>
    <w:rsid w:val="004B5CFC"/>
    <w:rsid w:val="004B609B"/>
    <w:rsid w:val="004B6776"/>
    <w:rsid w:val="004B7172"/>
    <w:rsid w:val="004B7A25"/>
    <w:rsid w:val="004C0DFC"/>
    <w:rsid w:val="004C1345"/>
    <w:rsid w:val="004C1508"/>
    <w:rsid w:val="004C1DB3"/>
    <w:rsid w:val="004C26C0"/>
    <w:rsid w:val="004C4AED"/>
    <w:rsid w:val="004C587A"/>
    <w:rsid w:val="004C61A6"/>
    <w:rsid w:val="004D0093"/>
    <w:rsid w:val="004D356E"/>
    <w:rsid w:val="004D3E4D"/>
    <w:rsid w:val="004D473E"/>
    <w:rsid w:val="004D5458"/>
    <w:rsid w:val="004D618D"/>
    <w:rsid w:val="004D65E1"/>
    <w:rsid w:val="004D6702"/>
    <w:rsid w:val="004D6775"/>
    <w:rsid w:val="004D6905"/>
    <w:rsid w:val="004E0301"/>
    <w:rsid w:val="004E0EB8"/>
    <w:rsid w:val="004E2ADC"/>
    <w:rsid w:val="004E43B2"/>
    <w:rsid w:val="004E6659"/>
    <w:rsid w:val="004E6878"/>
    <w:rsid w:val="004E6A9B"/>
    <w:rsid w:val="004E6EB5"/>
    <w:rsid w:val="004E7C27"/>
    <w:rsid w:val="004F0A38"/>
    <w:rsid w:val="004F1311"/>
    <w:rsid w:val="004F1394"/>
    <w:rsid w:val="004F1D02"/>
    <w:rsid w:val="004F2297"/>
    <w:rsid w:val="004F235A"/>
    <w:rsid w:val="004F247F"/>
    <w:rsid w:val="004F2679"/>
    <w:rsid w:val="004F3B5F"/>
    <w:rsid w:val="004F3F19"/>
    <w:rsid w:val="004F4B46"/>
    <w:rsid w:val="004F6619"/>
    <w:rsid w:val="004F7158"/>
    <w:rsid w:val="004F7258"/>
    <w:rsid w:val="004F7865"/>
    <w:rsid w:val="005020CE"/>
    <w:rsid w:val="005034C4"/>
    <w:rsid w:val="005035CB"/>
    <w:rsid w:val="00503871"/>
    <w:rsid w:val="00504888"/>
    <w:rsid w:val="00505577"/>
    <w:rsid w:val="005055EE"/>
    <w:rsid w:val="005059DC"/>
    <w:rsid w:val="005063EB"/>
    <w:rsid w:val="00506928"/>
    <w:rsid w:val="00506AA6"/>
    <w:rsid w:val="00507A9C"/>
    <w:rsid w:val="005104DD"/>
    <w:rsid w:val="00511666"/>
    <w:rsid w:val="00512376"/>
    <w:rsid w:val="00513C4B"/>
    <w:rsid w:val="005152B5"/>
    <w:rsid w:val="0051600B"/>
    <w:rsid w:val="0051656C"/>
    <w:rsid w:val="0051710D"/>
    <w:rsid w:val="0051799A"/>
    <w:rsid w:val="00520194"/>
    <w:rsid w:val="0052099B"/>
    <w:rsid w:val="005210C6"/>
    <w:rsid w:val="00521319"/>
    <w:rsid w:val="00523C28"/>
    <w:rsid w:val="005243DC"/>
    <w:rsid w:val="00530C17"/>
    <w:rsid w:val="00530D3A"/>
    <w:rsid w:val="00530DDD"/>
    <w:rsid w:val="00531A6C"/>
    <w:rsid w:val="00531E4B"/>
    <w:rsid w:val="005328EA"/>
    <w:rsid w:val="00533B83"/>
    <w:rsid w:val="00533DCB"/>
    <w:rsid w:val="00533E54"/>
    <w:rsid w:val="00534730"/>
    <w:rsid w:val="0053494A"/>
    <w:rsid w:val="00535173"/>
    <w:rsid w:val="005411F8"/>
    <w:rsid w:val="00542B91"/>
    <w:rsid w:val="00543F06"/>
    <w:rsid w:val="00545ACD"/>
    <w:rsid w:val="00545DDC"/>
    <w:rsid w:val="0054798A"/>
    <w:rsid w:val="0055037F"/>
    <w:rsid w:val="00551039"/>
    <w:rsid w:val="0055151B"/>
    <w:rsid w:val="00551D90"/>
    <w:rsid w:val="00552BD3"/>
    <w:rsid w:val="005530DE"/>
    <w:rsid w:val="0055328C"/>
    <w:rsid w:val="00553C28"/>
    <w:rsid w:val="005540AF"/>
    <w:rsid w:val="005548B5"/>
    <w:rsid w:val="00555109"/>
    <w:rsid w:val="00555602"/>
    <w:rsid w:val="00556B1B"/>
    <w:rsid w:val="00557575"/>
    <w:rsid w:val="005576AA"/>
    <w:rsid w:val="00561ABF"/>
    <w:rsid w:val="00561E71"/>
    <w:rsid w:val="00565293"/>
    <w:rsid w:val="0056696F"/>
    <w:rsid w:val="005705BB"/>
    <w:rsid w:val="00570C31"/>
    <w:rsid w:val="00570D96"/>
    <w:rsid w:val="005736D3"/>
    <w:rsid w:val="005749F9"/>
    <w:rsid w:val="00575D8D"/>
    <w:rsid w:val="005763C8"/>
    <w:rsid w:val="00576972"/>
    <w:rsid w:val="00576F5E"/>
    <w:rsid w:val="0057773B"/>
    <w:rsid w:val="00580052"/>
    <w:rsid w:val="00582936"/>
    <w:rsid w:val="00583699"/>
    <w:rsid w:val="00584598"/>
    <w:rsid w:val="00586702"/>
    <w:rsid w:val="00586823"/>
    <w:rsid w:val="00587AD1"/>
    <w:rsid w:val="00591345"/>
    <w:rsid w:val="00591A6A"/>
    <w:rsid w:val="00591D80"/>
    <w:rsid w:val="00591F7B"/>
    <w:rsid w:val="005928F3"/>
    <w:rsid w:val="0059301F"/>
    <w:rsid w:val="005935EC"/>
    <w:rsid w:val="005944B9"/>
    <w:rsid w:val="0059469F"/>
    <w:rsid w:val="00594795"/>
    <w:rsid w:val="005954CA"/>
    <w:rsid w:val="00595B04"/>
    <w:rsid w:val="0059656B"/>
    <w:rsid w:val="005969E0"/>
    <w:rsid w:val="005971C8"/>
    <w:rsid w:val="00597573"/>
    <w:rsid w:val="005A08EA"/>
    <w:rsid w:val="005A1156"/>
    <w:rsid w:val="005A16AE"/>
    <w:rsid w:val="005A3C85"/>
    <w:rsid w:val="005A40CC"/>
    <w:rsid w:val="005A4433"/>
    <w:rsid w:val="005A4A71"/>
    <w:rsid w:val="005A531A"/>
    <w:rsid w:val="005A63FF"/>
    <w:rsid w:val="005B06D3"/>
    <w:rsid w:val="005B1038"/>
    <w:rsid w:val="005B13BF"/>
    <w:rsid w:val="005B1C82"/>
    <w:rsid w:val="005B2B05"/>
    <w:rsid w:val="005B2DCE"/>
    <w:rsid w:val="005B3D2B"/>
    <w:rsid w:val="005B4318"/>
    <w:rsid w:val="005B5857"/>
    <w:rsid w:val="005B5A39"/>
    <w:rsid w:val="005B682E"/>
    <w:rsid w:val="005B6A0F"/>
    <w:rsid w:val="005B70F3"/>
    <w:rsid w:val="005B7352"/>
    <w:rsid w:val="005C0171"/>
    <w:rsid w:val="005C1B19"/>
    <w:rsid w:val="005C1B83"/>
    <w:rsid w:val="005C27CC"/>
    <w:rsid w:val="005C346B"/>
    <w:rsid w:val="005C5144"/>
    <w:rsid w:val="005C5376"/>
    <w:rsid w:val="005C6D3F"/>
    <w:rsid w:val="005C7759"/>
    <w:rsid w:val="005C7F65"/>
    <w:rsid w:val="005D044D"/>
    <w:rsid w:val="005D18AD"/>
    <w:rsid w:val="005D1CBB"/>
    <w:rsid w:val="005D1E5D"/>
    <w:rsid w:val="005D2E09"/>
    <w:rsid w:val="005D31E6"/>
    <w:rsid w:val="005D7489"/>
    <w:rsid w:val="005D790C"/>
    <w:rsid w:val="005D7BD7"/>
    <w:rsid w:val="005E01AF"/>
    <w:rsid w:val="005E0AFA"/>
    <w:rsid w:val="005E0B89"/>
    <w:rsid w:val="005E211E"/>
    <w:rsid w:val="005E22F5"/>
    <w:rsid w:val="005E258C"/>
    <w:rsid w:val="005E5E75"/>
    <w:rsid w:val="005E6060"/>
    <w:rsid w:val="005E63CD"/>
    <w:rsid w:val="005E6E06"/>
    <w:rsid w:val="005E73C0"/>
    <w:rsid w:val="005F13DD"/>
    <w:rsid w:val="005F22B7"/>
    <w:rsid w:val="005F2706"/>
    <w:rsid w:val="005F2AF6"/>
    <w:rsid w:val="005F348E"/>
    <w:rsid w:val="005F37CD"/>
    <w:rsid w:val="005F394A"/>
    <w:rsid w:val="005F4960"/>
    <w:rsid w:val="005F618B"/>
    <w:rsid w:val="005F665F"/>
    <w:rsid w:val="005F6A8F"/>
    <w:rsid w:val="005F7CBC"/>
    <w:rsid w:val="00601F11"/>
    <w:rsid w:val="00603162"/>
    <w:rsid w:val="00603931"/>
    <w:rsid w:val="006053FF"/>
    <w:rsid w:val="00605E5B"/>
    <w:rsid w:val="0060638B"/>
    <w:rsid w:val="006068F7"/>
    <w:rsid w:val="00606B77"/>
    <w:rsid w:val="00606D5F"/>
    <w:rsid w:val="00606F88"/>
    <w:rsid w:val="00607103"/>
    <w:rsid w:val="00607470"/>
    <w:rsid w:val="006075D4"/>
    <w:rsid w:val="00607669"/>
    <w:rsid w:val="00607E8A"/>
    <w:rsid w:val="006108E4"/>
    <w:rsid w:val="00611227"/>
    <w:rsid w:val="00611435"/>
    <w:rsid w:val="006125AC"/>
    <w:rsid w:val="00612F97"/>
    <w:rsid w:val="00613C1F"/>
    <w:rsid w:val="006140D2"/>
    <w:rsid w:val="006151C4"/>
    <w:rsid w:val="0061564F"/>
    <w:rsid w:val="006156B1"/>
    <w:rsid w:val="00615CE4"/>
    <w:rsid w:val="00616802"/>
    <w:rsid w:val="00616B3E"/>
    <w:rsid w:val="00617212"/>
    <w:rsid w:val="00617971"/>
    <w:rsid w:val="00617E12"/>
    <w:rsid w:val="006201D4"/>
    <w:rsid w:val="00620AB3"/>
    <w:rsid w:val="00621477"/>
    <w:rsid w:val="006214C8"/>
    <w:rsid w:val="0062357F"/>
    <w:rsid w:val="00623807"/>
    <w:rsid w:val="00623CBE"/>
    <w:rsid w:val="00624031"/>
    <w:rsid w:val="00624118"/>
    <w:rsid w:val="006251AD"/>
    <w:rsid w:val="00626127"/>
    <w:rsid w:val="00626446"/>
    <w:rsid w:val="00626E2D"/>
    <w:rsid w:val="006303F9"/>
    <w:rsid w:val="0063174E"/>
    <w:rsid w:val="00631D6B"/>
    <w:rsid w:val="00633FEF"/>
    <w:rsid w:val="0063470E"/>
    <w:rsid w:val="0063478A"/>
    <w:rsid w:val="0063479F"/>
    <w:rsid w:val="006350CF"/>
    <w:rsid w:val="006364A1"/>
    <w:rsid w:val="006368FE"/>
    <w:rsid w:val="00637BFD"/>
    <w:rsid w:val="00637C79"/>
    <w:rsid w:val="006405AC"/>
    <w:rsid w:val="00640DDE"/>
    <w:rsid w:val="00642D35"/>
    <w:rsid w:val="006434CD"/>
    <w:rsid w:val="006437BB"/>
    <w:rsid w:val="00643C13"/>
    <w:rsid w:val="00643F5E"/>
    <w:rsid w:val="00644264"/>
    <w:rsid w:val="00645693"/>
    <w:rsid w:val="00645E7D"/>
    <w:rsid w:val="006471CC"/>
    <w:rsid w:val="0065079F"/>
    <w:rsid w:val="00651A7F"/>
    <w:rsid w:val="0065294F"/>
    <w:rsid w:val="00653532"/>
    <w:rsid w:val="006536DC"/>
    <w:rsid w:val="00654162"/>
    <w:rsid w:val="0065494A"/>
    <w:rsid w:val="00655065"/>
    <w:rsid w:val="0065518F"/>
    <w:rsid w:val="006572A7"/>
    <w:rsid w:val="00657DFE"/>
    <w:rsid w:val="00657EA7"/>
    <w:rsid w:val="00660987"/>
    <w:rsid w:val="00660E99"/>
    <w:rsid w:val="0066154E"/>
    <w:rsid w:val="006624B7"/>
    <w:rsid w:val="00662FAA"/>
    <w:rsid w:val="006634C3"/>
    <w:rsid w:val="006635CC"/>
    <w:rsid w:val="00663B53"/>
    <w:rsid w:val="0066400F"/>
    <w:rsid w:val="00665B71"/>
    <w:rsid w:val="00666240"/>
    <w:rsid w:val="00666405"/>
    <w:rsid w:val="00666A59"/>
    <w:rsid w:val="006670C0"/>
    <w:rsid w:val="00667645"/>
    <w:rsid w:val="0067020D"/>
    <w:rsid w:val="00670A43"/>
    <w:rsid w:val="00671099"/>
    <w:rsid w:val="00671EB9"/>
    <w:rsid w:val="006726EB"/>
    <w:rsid w:val="006727F0"/>
    <w:rsid w:val="00672970"/>
    <w:rsid w:val="00672D8E"/>
    <w:rsid w:val="00673461"/>
    <w:rsid w:val="00673BCB"/>
    <w:rsid w:val="00674074"/>
    <w:rsid w:val="00674E42"/>
    <w:rsid w:val="00674F0A"/>
    <w:rsid w:val="00675E8F"/>
    <w:rsid w:val="00676454"/>
    <w:rsid w:val="00680367"/>
    <w:rsid w:val="006805B8"/>
    <w:rsid w:val="006805BD"/>
    <w:rsid w:val="00680AC1"/>
    <w:rsid w:val="00681476"/>
    <w:rsid w:val="00682112"/>
    <w:rsid w:val="00682727"/>
    <w:rsid w:val="00684B9E"/>
    <w:rsid w:val="0068581B"/>
    <w:rsid w:val="00685F42"/>
    <w:rsid w:val="00686910"/>
    <w:rsid w:val="006872BA"/>
    <w:rsid w:val="00687996"/>
    <w:rsid w:val="00687D2E"/>
    <w:rsid w:val="00691608"/>
    <w:rsid w:val="006917D7"/>
    <w:rsid w:val="0069373F"/>
    <w:rsid w:val="006938AE"/>
    <w:rsid w:val="00694F44"/>
    <w:rsid w:val="0069573A"/>
    <w:rsid w:val="00696545"/>
    <w:rsid w:val="006969E1"/>
    <w:rsid w:val="006A1910"/>
    <w:rsid w:val="006A22C8"/>
    <w:rsid w:val="006A3B43"/>
    <w:rsid w:val="006A425B"/>
    <w:rsid w:val="006A50BB"/>
    <w:rsid w:val="006A55EB"/>
    <w:rsid w:val="006A5856"/>
    <w:rsid w:val="006A5950"/>
    <w:rsid w:val="006B0FC4"/>
    <w:rsid w:val="006B1387"/>
    <w:rsid w:val="006B15AA"/>
    <w:rsid w:val="006B4907"/>
    <w:rsid w:val="006B5700"/>
    <w:rsid w:val="006B59CC"/>
    <w:rsid w:val="006B5F35"/>
    <w:rsid w:val="006B5F54"/>
    <w:rsid w:val="006B652E"/>
    <w:rsid w:val="006B6C33"/>
    <w:rsid w:val="006B77B8"/>
    <w:rsid w:val="006B7B52"/>
    <w:rsid w:val="006C07A5"/>
    <w:rsid w:val="006C0A57"/>
    <w:rsid w:val="006C0FC1"/>
    <w:rsid w:val="006C1B89"/>
    <w:rsid w:val="006C29B1"/>
    <w:rsid w:val="006C2A2A"/>
    <w:rsid w:val="006C2A8E"/>
    <w:rsid w:val="006C2B86"/>
    <w:rsid w:val="006C2D50"/>
    <w:rsid w:val="006C33BD"/>
    <w:rsid w:val="006C36E7"/>
    <w:rsid w:val="006C36F0"/>
    <w:rsid w:val="006C4540"/>
    <w:rsid w:val="006C48EA"/>
    <w:rsid w:val="006C648C"/>
    <w:rsid w:val="006C772A"/>
    <w:rsid w:val="006D0886"/>
    <w:rsid w:val="006D098C"/>
    <w:rsid w:val="006D1D82"/>
    <w:rsid w:val="006D274D"/>
    <w:rsid w:val="006D3C7D"/>
    <w:rsid w:val="006D4F01"/>
    <w:rsid w:val="006D51C6"/>
    <w:rsid w:val="006D5D5F"/>
    <w:rsid w:val="006D64F6"/>
    <w:rsid w:val="006D7126"/>
    <w:rsid w:val="006D775E"/>
    <w:rsid w:val="006D7E5B"/>
    <w:rsid w:val="006E003C"/>
    <w:rsid w:val="006E07D6"/>
    <w:rsid w:val="006E194A"/>
    <w:rsid w:val="006E1A02"/>
    <w:rsid w:val="006E266A"/>
    <w:rsid w:val="006E268A"/>
    <w:rsid w:val="006E2836"/>
    <w:rsid w:val="006E2949"/>
    <w:rsid w:val="006E43C9"/>
    <w:rsid w:val="006E54C2"/>
    <w:rsid w:val="006E5964"/>
    <w:rsid w:val="006F0DB4"/>
    <w:rsid w:val="006F1B4A"/>
    <w:rsid w:val="006F2321"/>
    <w:rsid w:val="006F307F"/>
    <w:rsid w:val="006F3B13"/>
    <w:rsid w:val="006F44BC"/>
    <w:rsid w:val="006F48AD"/>
    <w:rsid w:val="006F59AE"/>
    <w:rsid w:val="006F5F20"/>
    <w:rsid w:val="006F63A5"/>
    <w:rsid w:val="00700B66"/>
    <w:rsid w:val="00700EED"/>
    <w:rsid w:val="007021A2"/>
    <w:rsid w:val="0070276E"/>
    <w:rsid w:val="00702C0D"/>
    <w:rsid w:val="00702F6E"/>
    <w:rsid w:val="00702F8F"/>
    <w:rsid w:val="00703A94"/>
    <w:rsid w:val="00704127"/>
    <w:rsid w:val="007043F4"/>
    <w:rsid w:val="00704425"/>
    <w:rsid w:val="007048D4"/>
    <w:rsid w:val="0070550B"/>
    <w:rsid w:val="00706020"/>
    <w:rsid w:val="0070659F"/>
    <w:rsid w:val="007077A1"/>
    <w:rsid w:val="00711A36"/>
    <w:rsid w:val="00711BDA"/>
    <w:rsid w:val="0071326D"/>
    <w:rsid w:val="00713A2C"/>
    <w:rsid w:val="007142C5"/>
    <w:rsid w:val="00715B11"/>
    <w:rsid w:val="00715F04"/>
    <w:rsid w:val="007172AD"/>
    <w:rsid w:val="00721A2F"/>
    <w:rsid w:val="0072201D"/>
    <w:rsid w:val="0072415D"/>
    <w:rsid w:val="0072416F"/>
    <w:rsid w:val="0072550C"/>
    <w:rsid w:val="0072609E"/>
    <w:rsid w:val="00726185"/>
    <w:rsid w:val="0072620F"/>
    <w:rsid w:val="00727B14"/>
    <w:rsid w:val="00727C39"/>
    <w:rsid w:val="00730083"/>
    <w:rsid w:val="00731398"/>
    <w:rsid w:val="00731678"/>
    <w:rsid w:val="00732155"/>
    <w:rsid w:val="007322B8"/>
    <w:rsid w:val="007324DC"/>
    <w:rsid w:val="00732817"/>
    <w:rsid w:val="007352BB"/>
    <w:rsid w:val="00735328"/>
    <w:rsid w:val="007355A7"/>
    <w:rsid w:val="007359C7"/>
    <w:rsid w:val="00735DFA"/>
    <w:rsid w:val="0073685B"/>
    <w:rsid w:val="00736877"/>
    <w:rsid w:val="00737419"/>
    <w:rsid w:val="00737FDD"/>
    <w:rsid w:val="007400CD"/>
    <w:rsid w:val="007409DD"/>
    <w:rsid w:val="007423B3"/>
    <w:rsid w:val="00742563"/>
    <w:rsid w:val="00742869"/>
    <w:rsid w:val="00742B7A"/>
    <w:rsid w:val="007436BD"/>
    <w:rsid w:val="007442BA"/>
    <w:rsid w:val="007442CB"/>
    <w:rsid w:val="00745320"/>
    <w:rsid w:val="00746246"/>
    <w:rsid w:val="00746AE3"/>
    <w:rsid w:val="00746F8D"/>
    <w:rsid w:val="0075226B"/>
    <w:rsid w:val="007529F8"/>
    <w:rsid w:val="00752EA0"/>
    <w:rsid w:val="007536B3"/>
    <w:rsid w:val="00753B63"/>
    <w:rsid w:val="0075410F"/>
    <w:rsid w:val="00754AB0"/>
    <w:rsid w:val="00755611"/>
    <w:rsid w:val="00755843"/>
    <w:rsid w:val="00755B6F"/>
    <w:rsid w:val="00755C1E"/>
    <w:rsid w:val="00755E24"/>
    <w:rsid w:val="00756054"/>
    <w:rsid w:val="0075795C"/>
    <w:rsid w:val="00757A0D"/>
    <w:rsid w:val="00760064"/>
    <w:rsid w:val="007615D4"/>
    <w:rsid w:val="00761680"/>
    <w:rsid w:val="00761E7E"/>
    <w:rsid w:val="007622E8"/>
    <w:rsid w:val="00763607"/>
    <w:rsid w:val="00765015"/>
    <w:rsid w:val="00765BBF"/>
    <w:rsid w:val="007673A5"/>
    <w:rsid w:val="0076788B"/>
    <w:rsid w:val="0077059D"/>
    <w:rsid w:val="00771B67"/>
    <w:rsid w:val="00771FCA"/>
    <w:rsid w:val="00772259"/>
    <w:rsid w:val="007727B1"/>
    <w:rsid w:val="00772B73"/>
    <w:rsid w:val="0077576B"/>
    <w:rsid w:val="007761D6"/>
    <w:rsid w:val="0077649C"/>
    <w:rsid w:val="0077719D"/>
    <w:rsid w:val="00777400"/>
    <w:rsid w:val="007777DD"/>
    <w:rsid w:val="00777DBF"/>
    <w:rsid w:val="00780C79"/>
    <w:rsid w:val="00781AAF"/>
    <w:rsid w:val="007820BB"/>
    <w:rsid w:val="00783030"/>
    <w:rsid w:val="00783637"/>
    <w:rsid w:val="00784DE2"/>
    <w:rsid w:val="007856FA"/>
    <w:rsid w:val="0078570B"/>
    <w:rsid w:val="00785F2D"/>
    <w:rsid w:val="00787C48"/>
    <w:rsid w:val="00790C37"/>
    <w:rsid w:val="00791EAB"/>
    <w:rsid w:val="007943F0"/>
    <w:rsid w:val="0079472F"/>
    <w:rsid w:val="00794F0A"/>
    <w:rsid w:val="0079536F"/>
    <w:rsid w:val="00795FCA"/>
    <w:rsid w:val="00796003"/>
    <w:rsid w:val="00796261"/>
    <w:rsid w:val="007964F5"/>
    <w:rsid w:val="007966E4"/>
    <w:rsid w:val="00797734"/>
    <w:rsid w:val="007A0A12"/>
    <w:rsid w:val="007A17FB"/>
    <w:rsid w:val="007A2792"/>
    <w:rsid w:val="007A2C7B"/>
    <w:rsid w:val="007A3210"/>
    <w:rsid w:val="007A48B7"/>
    <w:rsid w:val="007A51AA"/>
    <w:rsid w:val="007A5573"/>
    <w:rsid w:val="007A75DB"/>
    <w:rsid w:val="007A7C27"/>
    <w:rsid w:val="007B14D7"/>
    <w:rsid w:val="007B1545"/>
    <w:rsid w:val="007B251D"/>
    <w:rsid w:val="007B32A6"/>
    <w:rsid w:val="007B3995"/>
    <w:rsid w:val="007B3A0C"/>
    <w:rsid w:val="007B6359"/>
    <w:rsid w:val="007B6437"/>
    <w:rsid w:val="007B6A24"/>
    <w:rsid w:val="007B7349"/>
    <w:rsid w:val="007B744C"/>
    <w:rsid w:val="007B777A"/>
    <w:rsid w:val="007B77D1"/>
    <w:rsid w:val="007C0606"/>
    <w:rsid w:val="007C1B54"/>
    <w:rsid w:val="007C1C74"/>
    <w:rsid w:val="007C2EAD"/>
    <w:rsid w:val="007C361D"/>
    <w:rsid w:val="007C4858"/>
    <w:rsid w:val="007C588E"/>
    <w:rsid w:val="007C6417"/>
    <w:rsid w:val="007C7F63"/>
    <w:rsid w:val="007D0180"/>
    <w:rsid w:val="007D0B38"/>
    <w:rsid w:val="007D261F"/>
    <w:rsid w:val="007D3019"/>
    <w:rsid w:val="007D5B16"/>
    <w:rsid w:val="007D5E95"/>
    <w:rsid w:val="007E1CEA"/>
    <w:rsid w:val="007E2193"/>
    <w:rsid w:val="007E3637"/>
    <w:rsid w:val="007E3B83"/>
    <w:rsid w:val="007E4AD5"/>
    <w:rsid w:val="007E530D"/>
    <w:rsid w:val="007E5E6D"/>
    <w:rsid w:val="007E6635"/>
    <w:rsid w:val="007E6A71"/>
    <w:rsid w:val="007E6CF1"/>
    <w:rsid w:val="007E7464"/>
    <w:rsid w:val="007F0889"/>
    <w:rsid w:val="007F0CE9"/>
    <w:rsid w:val="007F1017"/>
    <w:rsid w:val="007F2311"/>
    <w:rsid w:val="007F31CF"/>
    <w:rsid w:val="007F3BB2"/>
    <w:rsid w:val="007F4A3F"/>
    <w:rsid w:val="007F52F7"/>
    <w:rsid w:val="00801335"/>
    <w:rsid w:val="00802064"/>
    <w:rsid w:val="00802069"/>
    <w:rsid w:val="00802E93"/>
    <w:rsid w:val="00803BCC"/>
    <w:rsid w:val="00803C4F"/>
    <w:rsid w:val="00804B78"/>
    <w:rsid w:val="00804E5B"/>
    <w:rsid w:val="00805142"/>
    <w:rsid w:val="008075EB"/>
    <w:rsid w:val="00807A8B"/>
    <w:rsid w:val="00807C14"/>
    <w:rsid w:val="00807C8F"/>
    <w:rsid w:val="00807F5E"/>
    <w:rsid w:val="00807FFD"/>
    <w:rsid w:val="008105C0"/>
    <w:rsid w:val="008108C4"/>
    <w:rsid w:val="00811705"/>
    <w:rsid w:val="00812149"/>
    <w:rsid w:val="008130D1"/>
    <w:rsid w:val="008142CD"/>
    <w:rsid w:val="008151A1"/>
    <w:rsid w:val="0081659C"/>
    <w:rsid w:val="008166EF"/>
    <w:rsid w:val="00816EA4"/>
    <w:rsid w:val="008170B9"/>
    <w:rsid w:val="008175A0"/>
    <w:rsid w:val="00817A76"/>
    <w:rsid w:val="008205FE"/>
    <w:rsid w:val="008214E1"/>
    <w:rsid w:val="0082183C"/>
    <w:rsid w:val="00821934"/>
    <w:rsid w:val="0082356B"/>
    <w:rsid w:val="00823A4F"/>
    <w:rsid w:val="00823BE9"/>
    <w:rsid w:val="0082419E"/>
    <w:rsid w:val="0082420F"/>
    <w:rsid w:val="008264EB"/>
    <w:rsid w:val="0082743E"/>
    <w:rsid w:val="00827502"/>
    <w:rsid w:val="0082773C"/>
    <w:rsid w:val="00830AD2"/>
    <w:rsid w:val="0083133B"/>
    <w:rsid w:val="008313FB"/>
    <w:rsid w:val="00831562"/>
    <w:rsid w:val="00831B6A"/>
    <w:rsid w:val="00832C60"/>
    <w:rsid w:val="00833281"/>
    <w:rsid w:val="008339BC"/>
    <w:rsid w:val="00833B05"/>
    <w:rsid w:val="00834F38"/>
    <w:rsid w:val="00835265"/>
    <w:rsid w:val="008355E4"/>
    <w:rsid w:val="00835E35"/>
    <w:rsid w:val="00836482"/>
    <w:rsid w:val="008372AD"/>
    <w:rsid w:val="00837E86"/>
    <w:rsid w:val="0084047F"/>
    <w:rsid w:val="008406EF"/>
    <w:rsid w:val="00840B41"/>
    <w:rsid w:val="00840CA2"/>
    <w:rsid w:val="008418EA"/>
    <w:rsid w:val="00841AD3"/>
    <w:rsid w:val="00841EC3"/>
    <w:rsid w:val="0084251D"/>
    <w:rsid w:val="00844016"/>
    <w:rsid w:val="008446A1"/>
    <w:rsid w:val="008446ED"/>
    <w:rsid w:val="00845605"/>
    <w:rsid w:val="00845A9B"/>
    <w:rsid w:val="00845CC5"/>
    <w:rsid w:val="00845D63"/>
    <w:rsid w:val="008460CB"/>
    <w:rsid w:val="0084641B"/>
    <w:rsid w:val="008468CD"/>
    <w:rsid w:val="008503B6"/>
    <w:rsid w:val="008506DE"/>
    <w:rsid w:val="008517AC"/>
    <w:rsid w:val="00851C09"/>
    <w:rsid w:val="0085377F"/>
    <w:rsid w:val="00854244"/>
    <w:rsid w:val="0085491C"/>
    <w:rsid w:val="008553E5"/>
    <w:rsid w:val="00855B10"/>
    <w:rsid w:val="00856E9A"/>
    <w:rsid w:val="008570B9"/>
    <w:rsid w:val="008574E9"/>
    <w:rsid w:val="00857DBB"/>
    <w:rsid w:val="008606C7"/>
    <w:rsid w:val="00860D8F"/>
    <w:rsid w:val="00862147"/>
    <w:rsid w:val="00862502"/>
    <w:rsid w:val="00865900"/>
    <w:rsid w:val="00865A91"/>
    <w:rsid w:val="00866835"/>
    <w:rsid w:val="008670BB"/>
    <w:rsid w:val="008700B7"/>
    <w:rsid w:val="00870580"/>
    <w:rsid w:val="008721BE"/>
    <w:rsid w:val="00872409"/>
    <w:rsid w:val="008725B7"/>
    <w:rsid w:val="00872D60"/>
    <w:rsid w:val="0087326B"/>
    <w:rsid w:val="00873F1C"/>
    <w:rsid w:val="0087465B"/>
    <w:rsid w:val="0087470C"/>
    <w:rsid w:val="008759BF"/>
    <w:rsid w:val="00876388"/>
    <w:rsid w:val="0087691F"/>
    <w:rsid w:val="00876E1E"/>
    <w:rsid w:val="00877359"/>
    <w:rsid w:val="008803C2"/>
    <w:rsid w:val="00880501"/>
    <w:rsid w:val="008808A3"/>
    <w:rsid w:val="00881A81"/>
    <w:rsid w:val="0088217B"/>
    <w:rsid w:val="008826DB"/>
    <w:rsid w:val="008827BF"/>
    <w:rsid w:val="00882874"/>
    <w:rsid w:val="00882FF0"/>
    <w:rsid w:val="008831D6"/>
    <w:rsid w:val="00883787"/>
    <w:rsid w:val="008839B4"/>
    <w:rsid w:val="00883C0C"/>
    <w:rsid w:val="00884ED5"/>
    <w:rsid w:val="008861E1"/>
    <w:rsid w:val="00886298"/>
    <w:rsid w:val="008866E6"/>
    <w:rsid w:val="00886EE8"/>
    <w:rsid w:val="0088785E"/>
    <w:rsid w:val="00887D3A"/>
    <w:rsid w:val="00890A33"/>
    <w:rsid w:val="00891798"/>
    <w:rsid w:val="00891B39"/>
    <w:rsid w:val="0089248B"/>
    <w:rsid w:val="008943AF"/>
    <w:rsid w:val="008943C1"/>
    <w:rsid w:val="00894438"/>
    <w:rsid w:val="00894489"/>
    <w:rsid w:val="008945FB"/>
    <w:rsid w:val="00895624"/>
    <w:rsid w:val="008963A5"/>
    <w:rsid w:val="00897715"/>
    <w:rsid w:val="00897BA1"/>
    <w:rsid w:val="008A04E0"/>
    <w:rsid w:val="008A08FB"/>
    <w:rsid w:val="008A15AE"/>
    <w:rsid w:val="008A1E83"/>
    <w:rsid w:val="008A292F"/>
    <w:rsid w:val="008A3696"/>
    <w:rsid w:val="008A3C3E"/>
    <w:rsid w:val="008A3E2D"/>
    <w:rsid w:val="008A3FB4"/>
    <w:rsid w:val="008A42F0"/>
    <w:rsid w:val="008A6440"/>
    <w:rsid w:val="008A6B64"/>
    <w:rsid w:val="008A79DE"/>
    <w:rsid w:val="008B093C"/>
    <w:rsid w:val="008B1857"/>
    <w:rsid w:val="008B1A95"/>
    <w:rsid w:val="008B2852"/>
    <w:rsid w:val="008B2C69"/>
    <w:rsid w:val="008B4390"/>
    <w:rsid w:val="008B5EA4"/>
    <w:rsid w:val="008B657D"/>
    <w:rsid w:val="008B6682"/>
    <w:rsid w:val="008B6923"/>
    <w:rsid w:val="008B7D7E"/>
    <w:rsid w:val="008C0E03"/>
    <w:rsid w:val="008C1B96"/>
    <w:rsid w:val="008C2047"/>
    <w:rsid w:val="008C3764"/>
    <w:rsid w:val="008C4373"/>
    <w:rsid w:val="008C4413"/>
    <w:rsid w:val="008C4F7B"/>
    <w:rsid w:val="008C5514"/>
    <w:rsid w:val="008C7ECB"/>
    <w:rsid w:val="008D0663"/>
    <w:rsid w:val="008D1C73"/>
    <w:rsid w:val="008D1C91"/>
    <w:rsid w:val="008D2143"/>
    <w:rsid w:val="008D3CB8"/>
    <w:rsid w:val="008D4479"/>
    <w:rsid w:val="008D6805"/>
    <w:rsid w:val="008D6CF5"/>
    <w:rsid w:val="008D7DEE"/>
    <w:rsid w:val="008E0866"/>
    <w:rsid w:val="008E12B2"/>
    <w:rsid w:val="008E1B9E"/>
    <w:rsid w:val="008E1F62"/>
    <w:rsid w:val="008E382F"/>
    <w:rsid w:val="008E7AA6"/>
    <w:rsid w:val="008F0603"/>
    <w:rsid w:val="008F061C"/>
    <w:rsid w:val="008F0E86"/>
    <w:rsid w:val="008F120A"/>
    <w:rsid w:val="008F38A4"/>
    <w:rsid w:val="008F3941"/>
    <w:rsid w:val="008F45AE"/>
    <w:rsid w:val="008F48EB"/>
    <w:rsid w:val="008F4E7C"/>
    <w:rsid w:val="008F4F0B"/>
    <w:rsid w:val="008F5601"/>
    <w:rsid w:val="008F5FA7"/>
    <w:rsid w:val="008F7301"/>
    <w:rsid w:val="008F7C8F"/>
    <w:rsid w:val="009017C4"/>
    <w:rsid w:val="009018C6"/>
    <w:rsid w:val="00901EFC"/>
    <w:rsid w:val="009034E0"/>
    <w:rsid w:val="009041B3"/>
    <w:rsid w:val="009047C7"/>
    <w:rsid w:val="009049B8"/>
    <w:rsid w:val="00905B6F"/>
    <w:rsid w:val="009062A5"/>
    <w:rsid w:val="009076DF"/>
    <w:rsid w:val="0091051F"/>
    <w:rsid w:val="00911272"/>
    <w:rsid w:val="00911F41"/>
    <w:rsid w:val="00912722"/>
    <w:rsid w:val="00913AB2"/>
    <w:rsid w:val="00914758"/>
    <w:rsid w:val="00916193"/>
    <w:rsid w:val="00916D1A"/>
    <w:rsid w:val="0091700F"/>
    <w:rsid w:val="00917361"/>
    <w:rsid w:val="00917B49"/>
    <w:rsid w:val="00917E0D"/>
    <w:rsid w:val="00920B32"/>
    <w:rsid w:val="00920E5A"/>
    <w:rsid w:val="0092118D"/>
    <w:rsid w:val="009218CD"/>
    <w:rsid w:val="00921AC8"/>
    <w:rsid w:val="00922901"/>
    <w:rsid w:val="00922F80"/>
    <w:rsid w:val="0092338F"/>
    <w:rsid w:val="00923554"/>
    <w:rsid w:val="00925E1F"/>
    <w:rsid w:val="009267BF"/>
    <w:rsid w:val="00932D55"/>
    <w:rsid w:val="00933492"/>
    <w:rsid w:val="00933EF5"/>
    <w:rsid w:val="009345DD"/>
    <w:rsid w:val="00935DC5"/>
    <w:rsid w:val="00937070"/>
    <w:rsid w:val="00937A6A"/>
    <w:rsid w:val="00937C88"/>
    <w:rsid w:val="009404CB"/>
    <w:rsid w:val="009404F4"/>
    <w:rsid w:val="009407B3"/>
    <w:rsid w:val="00941D1D"/>
    <w:rsid w:val="0094267E"/>
    <w:rsid w:val="00944631"/>
    <w:rsid w:val="00944679"/>
    <w:rsid w:val="00946501"/>
    <w:rsid w:val="00946C8B"/>
    <w:rsid w:val="00946F5B"/>
    <w:rsid w:val="00951803"/>
    <w:rsid w:val="009528E7"/>
    <w:rsid w:val="00952E4E"/>
    <w:rsid w:val="00954D07"/>
    <w:rsid w:val="0095550C"/>
    <w:rsid w:val="00955DE8"/>
    <w:rsid w:val="00956197"/>
    <w:rsid w:val="00956756"/>
    <w:rsid w:val="00956ECF"/>
    <w:rsid w:val="00960382"/>
    <w:rsid w:val="00960917"/>
    <w:rsid w:val="00962CB9"/>
    <w:rsid w:val="00963825"/>
    <w:rsid w:val="00964312"/>
    <w:rsid w:val="009649DA"/>
    <w:rsid w:val="00965E16"/>
    <w:rsid w:val="00965F02"/>
    <w:rsid w:val="00966B46"/>
    <w:rsid w:val="009679CE"/>
    <w:rsid w:val="00967C41"/>
    <w:rsid w:val="009702BB"/>
    <w:rsid w:val="00971C15"/>
    <w:rsid w:val="009720BE"/>
    <w:rsid w:val="00972CC8"/>
    <w:rsid w:val="0097310F"/>
    <w:rsid w:val="00974000"/>
    <w:rsid w:val="00974046"/>
    <w:rsid w:val="00974A7B"/>
    <w:rsid w:val="00975521"/>
    <w:rsid w:val="00980C39"/>
    <w:rsid w:val="009814FB"/>
    <w:rsid w:val="00981B94"/>
    <w:rsid w:val="00981CE8"/>
    <w:rsid w:val="00983E57"/>
    <w:rsid w:val="00984508"/>
    <w:rsid w:val="00985656"/>
    <w:rsid w:val="00986E30"/>
    <w:rsid w:val="00987475"/>
    <w:rsid w:val="00987C61"/>
    <w:rsid w:val="00990C8D"/>
    <w:rsid w:val="0099369E"/>
    <w:rsid w:val="009937D1"/>
    <w:rsid w:val="0099422D"/>
    <w:rsid w:val="00994D26"/>
    <w:rsid w:val="00994EAE"/>
    <w:rsid w:val="00994F17"/>
    <w:rsid w:val="0099500A"/>
    <w:rsid w:val="00996B1A"/>
    <w:rsid w:val="009970E4"/>
    <w:rsid w:val="00997309"/>
    <w:rsid w:val="009A0151"/>
    <w:rsid w:val="009A2870"/>
    <w:rsid w:val="009A2D3B"/>
    <w:rsid w:val="009A302C"/>
    <w:rsid w:val="009A42A1"/>
    <w:rsid w:val="009A65FA"/>
    <w:rsid w:val="009A6B54"/>
    <w:rsid w:val="009B00C9"/>
    <w:rsid w:val="009B106E"/>
    <w:rsid w:val="009B3361"/>
    <w:rsid w:val="009B3E26"/>
    <w:rsid w:val="009B6977"/>
    <w:rsid w:val="009B6A3D"/>
    <w:rsid w:val="009C034A"/>
    <w:rsid w:val="009C0A40"/>
    <w:rsid w:val="009C1D3E"/>
    <w:rsid w:val="009C2BE5"/>
    <w:rsid w:val="009C3B12"/>
    <w:rsid w:val="009C40A4"/>
    <w:rsid w:val="009C6DE8"/>
    <w:rsid w:val="009C757C"/>
    <w:rsid w:val="009C7843"/>
    <w:rsid w:val="009D0299"/>
    <w:rsid w:val="009D09A2"/>
    <w:rsid w:val="009D0BF2"/>
    <w:rsid w:val="009D153D"/>
    <w:rsid w:val="009D1CE4"/>
    <w:rsid w:val="009D3FC4"/>
    <w:rsid w:val="009D408A"/>
    <w:rsid w:val="009D4B2D"/>
    <w:rsid w:val="009D51BA"/>
    <w:rsid w:val="009D5B91"/>
    <w:rsid w:val="009D6BC6"/>
    <w:rsid w:val="009E0D0B"/>
    <w:rsid w:val="009E1388"/>
    <w:rsid w:val="009E1923"/>
    <w:rsid w:val="009E2799"/>
    <w:rsid w:val="009E2A2A"/>
    <w:rsid w:val="009E3A88"/>
    <w:rsid w:val="009E48E2"/>
    <w:rsid w:val="009E4C07"/>
    <w:rsid w:val="009E64FE"/>
    <w:rsid w:val="009E693C"/>
    <w:rsid w:val="009E6A9C"/>
    <w:rsid w:val="009F16BE"/>
    <w:rsid w:val="009F2793"/>
    <w:rsid w:val="009F2BB2"/>
    <w:rsid w:val="009F40DA"/>
    <w:rsid w:val="009F4C61"/>
    <w:rsid w:val="009F4D9E"/>
    <w:rsid w:val="009F510B"/>
    <w:rsid w:val="009F5B11"/>
    <w:rsid w:val="009F5F80"/>
    <w:rsid w:val="009F64FF"/>
    <w:rsid w:val="009F68A1"/>
    <w:rsid w:val="009F7A24"/>
    <w:rsid w:val="00A00CA8"/>
    <w:rsid w:val="00A01629"/>
    <w:rsid w:val="00A01FD6"/>
    <w:rsid w:val="00A0215A"/>
    <w:rsid w:val="00A03D06"/>
    <w:rsid w:val="00A03D43"/>
    <w:rsid w:val="00A042BB"/>
    <w:rsid w:val="00A04380"/>
    <w:rsid w:val="00A054C1"/>
    <w:rsid w:val="00A06115"/>
    <w:rsid w:val="00A06A74"/>
    <w:rsid w:val="00A0704F"/>
    <w:rsid w:val="00A071B8"/>
    <w:rsid w:val="00A108E4"/>
    <w:rsid w:val="00A128C3"/>
    <w:rsid w:val="00A13948"/>
    <w:rsid w:val="00A13F09"/>
    <w:rsid w:val="00A14752"/>
    <w:rsid w:val="00A1584B"/>
    <w:rsid w:val="00A15A34"/>
    <w:rsid w:val="00A164D0"/>
    <w:rsid w:val="00A165C3"/>
    <w:rsid w:val="00A237C8"/>
    <w:rsid w:val="00A23C05"/>
    <w:rsid w:val="00A2483F"/>
    <w:rsid w:val="00A24B4C"/>
    <w:rsid w:val="00A2501C"/>
    <w:rsid w:val="00A25438"/>
    <w:rsid w:val="00A257B1"/>
    <w:rsid w:val="00A262C8"/>
    <w:rsid w:val="00A2637D"/>
    <w:rsid w:val="00A27AEC"/>
    <w:rsid w:val="00A31270"/>
    <w:rsid w:val="00A3182A"/>
    <w:rsid w:val="00A3193D"/>
    <w:rsid w:val="00A33848"/>
    <w:rsid w:val="00A33B5E"/>
    <w:rsid w:val="00A3599A"/>
    <w:rsid w:val="00A35D16"/>
    <w:rsid w:val="00A3743C"/>
    <w:rsid w:val="00A37B2E"/>
    <w:rsid w:val="00A41381"/>
    <w:rsid w:val="00A41D20"/>
    <w:rsid w:val="00A422C8"/>
    <w:rsid w:val="00A42CC7"/>
    <w:rsid w:val="00A43872"/>
    <w:rsid w:val="00A43C59"/>
    <w:rsid w:val="00A4484D"/>
    <w:rsid w:val="00A44992"/>
    <w:rsid w:val="00A45197"/>
    <w:rsid w:val="00A4670D"/>
    <w:rsid w:val="00A4726F"/>
    <w:rsid w:val="00A478DA"/>
    <w:rsid w:val="00A47CE8"/>
    <w:rsid w:val="00A50943"/>
    <w:rsid w:val="00A50A4C"/>
    <w:rsid w:val="00A50ECD"/>
    <w:rsid w:val="00A51817"/>
    <w:rsid w:val="00A521FB"/>
    <w:rsid w:val="00A52729"/>
    <w:rsid w:val="00A52D45"/>
    <w:rsid w:val="00A532F3"/>
    <w:rsid w:val="00A53675"/>
    <w:rsid w:val="00A5385D"/>
    <w:rsid w:val="00A53F05"/>
    <w:rsid w:val="00A54C26"/>
    <w:rsid w:val="00A55224"/>
    <w:rsid w:val="00A5584B"/>
    <w:rsid w:val="00A56B6A"/>
    <w:rsid w:val="00A578DC"/>
    <w:rsid w:val="00A60063"/>
    <w:rsid w:val="00A608DF"/>
    <w:rsid w:val="00A615BC"/>
    <w:rsid w:val="00A61792"/>
    <w:rsid w:val="00A618C0"/>
    <w:rsid w:val="00A62D20"/>
    <w:rsid w:val="00A63E4C"/>
    <w:rsid w:val="00A647BB"/>
    <w:rsid w:val="00A64822"/>
    <w:rsid w:val="00A64C2F"/>
    <w:rsid w:val="00A65587"/>
    <w:rsid w:val="00A65B22"/>
    <w:rsid w:val="00A65C35"/>
    <w:rsid w:val="00A664B3"/>
    <w:rsid w:val="00A66FC7"/>
    <w:rsid w:val="00A6725B"/>
    <w:rsid w:val="00A67619"/>
    <w:rsid w:val="00A70895"/>
    <w:rsid w:val="00A713BF"/>
    <w:rsid w:val="00A71486"/>
    <w:rsid w:val="00A71DA0"/>
    <w:rsid w:val="00A72D65"/>
    <w:rsid w:val="00A73C21"/>
    <w:rsid w:val="00A741E2"/>
    <w:rsid w:val="00A741E3"/>
    <w:rsid w:val="00A74BE5"/>
    <w:rsid w:val="00A7571F"/>
    <w:rsid w:val="00A75E15"/>
    <w:rsid w:val="00A76276"/>
    <w:rsid w:val="00A76CD6"/>
    <w:rsid w:val="00A76EBE"/>
    <w:rsid w:val="00A77F01"/>
    <w:rsid w:val="00A8011E"/>
    <w:rsid w:val="00A80FA9"/>
    <w:rsid w:val="00A81207"/>
    <w:rsid w:val="00A82BD6"/>
    <w:rsid w:val="00A83ACC"/>
    <w:rsid w:val="00A84CF8"/>
    <w:rsid w:val="00A84F2E"/>
    <w:rsid w:val="00A85039"/>
    <w:rsid w:val="00A854DF"/>
    <w:rsid w:val="00A86552"/>
    <w:rsid w:val="00A86E8B"/>
    <w:rsid w:val="00A871D1"/>
    <w:rsid w:val="00A8754E"/>
    <w:rsid w:val="00A87BAC"/>
    <w:rsid w:val="00A87E8A"/>
    <w:rsid w:val="00A90ECE"/>
    <w:rsid w:val="00A91414"/>
    <w:rsid w:val="00A917F0"/>
    <w:rsid w:val="00A91B3B"/>
    <w:rsid w:val="00A92B78"/>
    <w:rsid w:val="00A93072"/>
    <w:rsid w:val="00A9325D"/>
    <w:rsid w:val="00A94C33"/>
    <w:rsid w:val="00A959D8"/>
    <w:rsid w:val="00A96C51"/>
    <w:rsid w:val="00A97C3B"/>
    <w:rsid w:val="00AA3BF0"/>
    <w:rsid w:val="00AA4139"/>
    <w:rsid w:val="00AA41CF"/>
    <w:rsid w:val="00AA45DA"/>
    <w:rsid w:val="00AA46E1"/>
    <w:rsid w:val="00AA4FB6"/>
    <w:rsid w:val="00AA666A"/>
    <w:rsid w:val="00AA7728"/>
    <w:rsid w:val="00AB01B8"/>
    <w:rsid w:val="00AB042A"/>
    <w:rsid w:val="00AB0EBC"/>
    <w:rsid w:val="00AB1046"/>
    <w:rsid w:val="00AB2B10"/>
    <w:rsid w:val="00AB2B9E"/>
    <w:rsid w:val="00AB2D34"/>
    <w:rsid w:val="00AB2D44"/>
    <w:rsid w:val="00AB3430"/>
    <w:rsid w:val="00AB36B0"/>
    <w:rsid w:val="00AB4C1F"/>
    <w:rsid w:val="00AB57CC"/>
    <w:rsid w:val="00AB5CDF"/>
    <w:rsid w:val="00AB6429"/>
    <w:rsid w:val="00AB6792"/>
    <w:rsid w:val="00AB72AB"/>
    <w:rsid w:val="00AB7CFA"/>
    <w:rsid w:val="00AC01E2"/>
    <w:rsid w:val="00AC0AB1"/>
    <w:rsid w:val="00AC2444"/>
    <w:rsid w:val="00AC3820"/>
    <w:rsid w:val="00AC3F3C"/>
    <w:rsid w:val="00AC4455"/>
    <w:rsid w:val="00AC4995"/>
    <w:rsid w:val="00AC4BA3"/>
    <w:rsid w:val="00AD029E"/>
    <w:rsid w:val="00AD1DC5"/>
    <w:rsid w:val="00AD2DD8"/>
    <w:rsid w:val="00AD3037"/>
    <w:rsid w:val="00AD34B2"/>
    <w:rsid w:val="00AD5122"/>
    <w:rsid w:val="00AD5C28"/>
    <w:rsid w:val="00AD5D24"/>
    <w:rsid w:val="00AD7EE7"/>
    <w:rsid w:val="00AE0A75"/>
    <w:rsid w:val="00AE0D62"/>
    <w:rsid w:val="00AE25A1"/>
    <w:rsid w:val="00AE2785"/>
    <w:rsid w:val="00AE296A"/>
    <w:rsid w:val="00AE302D"/>
    <w:rsid w:val="00AE3937"/>
    <w:rsid w:val="00AE39E3"/>
    <w:rsid w:val="00AE4324"/>
    <w:rsid w:val="00AE5792"/>
    <w:rsid w:val="00AE59BD"/>
    <w:rsid w:val="00AE6580"/>
    <w:rsid w:val="00AE68D3"/>
    <w:rsid w:val="00AE6C3A"/>
    <w:rsid w:val="00AE71EF"/>
    <w:rsid w:val="00AF59BA"/>
    <w:rsid w:val="00AF65A8"/>
    <w:rsid w:val="00B0070E"/>
    <w:rsid w:val="00B00ADF"/>
    <w:rsid w:val="00B017A4"/>
    <w:rsid w:val="00B01A71"/>
    <w:rsid w:val="00B01F25"/>
    <w:rsid w:val="00B0486D"/>
    <w:rsid w:val="00B04895"/>
    <w:rsid w:val="00B05039"/>
    <w:rsid w:val="00B05549"/>
    <w:rsid w:val="00B0563F"/>
    <w:rsid w:val="00B05F10"/>
    <w:rsid w:val="00B079F7"/>
    <w:rsid w:val="00B110EF"/>
    <w:rsid w:val="00B117B3"/>
    <w:rsid w:val="00B134FA"/>
    <w:rsid w:val="00B168E4"/>
    <w:rsid w:val="00B16AC0"/>
    <w:rsid w:val="00B16F02"/>
    <w:rsid w:val="00B17331"/>
    <w:rsid w:val="00B212AA"/>
    <w:rsid w:val="00B2205D"/>
    <w:rsid w:val="00B22EA0"/>
    <w:rsid w:val="00B2481F"/>
    <w:rsid w:val="00B24D9A"/>
    <w:rsid w:val="00B259F3"/>
    <w:rsid w:val="00B264AE"/>
    <w:rsid w:val="00B27CC0"/>
    <w:rsid w:val="00B300A4"/>
    <w:rsid w:val="00B307E5"/>
    <w:rsid w:val="00B31F4D"/>
    <w:rsid w:val="00B32075"/>
    <w:rsid w:val="00B34230"/>
    <w:rsid w:val="00B345E3"/>
    <w:rsid w:val="00B34CD2"/>
    <w:rsid w:val="00B353DF"/>
    <w:rsid w:val="00B35CBA"/>
    <w:rsid w:val="00B37F40"/>
    <w:rsid w:val="00B4103E"/>
    <w:rsid w:val="00B413FC"/>
    <w:rsid w:val="00B417CE"/>
    <w:rsid w:val="00B41D61"/>
    <w:rsid w:val="00B42851"/>
    <w:rsid w:val="00B42884"/>
    <w:rsid w:val="00B433A8"/>
    <w:rsid w:val="00B4426E"/>
    <w:rsid w:val="00B45881"/>
    <w:rsid w:val="00B45D41"/>
    <w:rsid w:val="00B45EE4"/>
    <w:rsid w:val="00B4629B"/>
    <w:rsid w:val="00B4654E"/>
    <w:rsid w:val="00B4742B"/>
    <w:rsid w:val="00B47EE5"/>
    <w:rsid w:val="00B50738"/>
    <w:rsid w:val="00B50D31"/>
    <w:rsid w:val="00B50DB8"/>
    <w:rsid w:val="00B510CB"/>
    <w:rsid w:val="00B51E02"/>
    <w:rsid w:val="00B53429"/>
    <w:rsid w:val="00B53905"/>
    <w:rsid w:val="00B54B5B"/>
    <w:rsid w:val="00B5562E"/>
    <w:rsid w:val="00B5587D"/>
    <w:rsid w:val="00B56384"/>
    <w:rsid w:val="00B57000"/>
    <w:rsid w:val="00B605AD"/>
    <w:rsid w:val="00B60939"/>
    <w:rsid w:val="00B60AFD"/>
    <w:rsid w:val="00B61D01"/>
    <w:rsid w:val="00B6252C"/>
    <w:rsid w:val="00B62715"/>
    <w:rsid w:val="00B62B29"/>
    <w:rsid w:val="00B6413E"/>
    <w:rsid w:val="00B644E8"/>
    <w:rsid w:val="00B645C7"/>
    <w:rsid w:val="00B64F62"/>
    <w:rsid w:val="00B66268"/>
    <w:rsid w:val="00B667D6"/>
    <w:rsid w:val="00B6785B"/>
    <w:rsid w:val="00B67AA7"/>
    <w:rsid w:val="00B708EB"/>
    <w:rsid w:val="00B7095F"/>
    <w:rsid w:val="00B718A8"/>
    <w:rsid w:val="00B719E7"/>
    <w:rsid w:val="00B71ED3"/>
    <w:rsid w:val="00B748E4"/>
    <w:rsid w:val="00B755FA"/>
    <w:rsid w:val="00B75F80"/>
    <w:rsid w:val="00B764D3"/>
    <w:rsid w:val="00B76966"/>
    <w:rsid w:val="00B76B92"/>
    <w:rsid w:val="00B772DA"/>
    <w:rsid w:val="00B777F5"/>
    <w:rsid w:val="00B801A5"/>
    <w:rsid w:val="00B80AAB"/>
    <w:rsid w:val="00B818A4"/>
    <w:rsid w:val="00B81E43"/>
    <w:rsid w:val="00B82952"/>
    <w:rsid w:val="00B83611"/>
    <w:rsid w:val="00B83B71"/>
    <w:rsid w:val="00B83E4E"/>
    <w:rsid w:val="00B84439"/>
    <w:rsid w:val="00B84853"/>
    <w:rsid w:val="00B848F2"/>
    <w:rsid w:val="00B849A6"/>
    <w:rsid w:val="00B858F5"/>
    <w:rsid w:val="00B8649C"/>
    <w:rsid w:val="00B902BF"/>
    <w:rsid w:val="00B90D4B"/>
    <w:rsid w:val="00B91B89"/>
    <w:rsid w:val="00B924F3"/>
    <w:rsid w:val="00B9280C"/>
    <w:rsid w:val="00B92D0B"/>
    <w:rsid w:val="00B93D38"/>
    <w:rsid w:val="00B93D4A"/>
    <w:rsid w:val="00B93E51"/>
    <w:rsid w:val="00B94945"/>
    <w:rsid w:val="00B94DF4"/>
    <w:rsid w:val="00B958BE"/>
    <w:rsid w:val="00B9608C"/>
    <w:rsid w:val="00B97577"/>
    <w:rsid w:val="00BA0AFD"/>
    <w:rsid w:val="00BA2DD8"/>
    <w:rsid w:val="00BA31BE"/>
    <w:rsid w:val="00BA361E"/>
    <w:rsid w:val="00BA3A60"/>
    <w:rsid w:val="00BA4857"/>
    <w:rsid w:val="00BA48E9"/>
    <w:rsid w:val="00BB094C"/>
    <w:rsid w:val="00BB1D7B"/>
    <w:rsid w:val="00BB3BB7"/>
    <w:rsid w:val="00BB4AD9"/>
    <w:rsid w:val="00BB7405"/>
    <w:rsid w:val="00BB7530"/>
    <w:rsid w:val="00BC1ADA"/>
    <w:rsid w:val="00BC26F5"/>
    <w:rsid w:val="00BC2991"/>
    <w:rsid w:val="00BC2D29"/>
    <w:rsid w:val="00BC2DD4"/>
    <w:rsid w:val="00BC3A3A"/>
    <w:rsid w:val="00BC4AA5"/>
    <w:rsid w:val="00BC4C8E"/>
    <w:rsid w:val="00BC4D8F"/>
    <w:rsid w:val="00BC6DF7"/>
    <w:rsid w:val="00BC744C"/>
    <w:rsid w:val="00BD0779"/>
    <w:rsid w:val="00BD60F0"/>
    <w:rsid w:val="00BD6CF3"/>
    <w:rsid w:val="00BD78AB"/>
    <w:rsid w:val="00BD7E41"/>
    <w:rsid w:val="00BE038C"/>
    <w:rsid w:val="00BE0A71"/>
    <w:rsid w:val="00BE1DF9"/>
    <w:rsid w:val="00BE2180"/>
    <w:rsid w:val="00BE3EED"/>
    <w:rsid w:val="00BE4275"/>
    <w:rsid w:val="00BE46E9"/>
    <w:rsid w:val="00BE67AD"/>
    <w:rsid w:val="00BE6E48"/>
    <w:rsid w:val="00BF169B"/>
    <w:rsid w:val="00BF1FA0"/>
    <w:rsid w:val="00BF2433"/>
    <w:rsid w:val="00BF3487"/>
    <w:rsid w:val="00BF3933"/>
    <w:rsid w:val="00BF3B63"/>
    <w:rsid w:val="00BF438C"/>
    <w:rsid w:val="00BF4558"/>
    <w:rsid w:val="00BF5BC8"/>
    <w:rsid w:val="00BF61C9"/>
    <w:rsid w:val="00BF6991"/>
    <w:rsid w:val="00BF7524"/>
    <w:rsid w:val="00BF7951"/>
    <w:rsid w:val="00C022EF"/>
    <w:rsid w:val="00C04945"/>
    <w:rsid w:val="00C05B27"/>
    <w:rsid w:val="00C07009"/>
    <w:rsid w:val="00C10170"/>
    <w:rsid w:val="00C11460"/>
    <w:rsid w:val="00C13489"/>
    <w:rsid w:val="00C13A17"/>
    <w:rsid w:val="00C15A70"/>
    <w:rsid w:val="00C15B70"/>
    <w:rsid w:val="00C15FD9"/>
    <w:rsid w:val="00C16F52"/>
    <w:rsid w:val="00C20C8B"/>
    <w:rsid w:val="00C21874"/>
    <w:rsid w:val="00C2273D"/>
    <w:rsid w:val="00C22E35"/>
    <w:rsid w:val="00C236DA"/>
    <w:rsid w:val="00C25418"/>
    <w:rsid w:val="00C258A7"/>
    <w:rsid w:val="00C25D9C"/>
    <w:rsid w:val="00C26065"/>
    <w:rsid w:val="00C307C4"/>
    <w:rsid w:val="00C30EF9"/>
    <w:rsid w:val="00C31649"/>
    <w:rsid w:val="00C31701"/>
    <w:rsid w:val="00C31DCE"/>
    <w:rsid w:val="00C3284D"/>
    <w:rsid w:val="00C32AD4"/>
    <w:rsid w:val="00C32B1E"/>
    <w:rsid w:val="00C32BA2"/>
    <w:rsid w:val="00C34415"/>
    <w:rsid w:val="00C34EA8"/>
    <w:rsid w:val="00C350D7"/>
    <w:rsid w:val="00C3524C"/>
    <w:rsid w:val="00C354B2"/>
    <w:rsid w:val="00C36A1B"/>
    <w:rsid w:val="00C37386"/>
    <w:rsid w:val="00C40385"/>
    <w:rsid w:val="00C404D8"/>
    <w:rsid w:val="00C41939"/>
    <w:rsid w:val="00C41E1A"/>
    <w:rsid w:val="00C422A3"/>
    <w:rsid w:val="00C42468"/>
    <w:rsid w:val="00C42574"/>
    <w:rsid w:val="00C42AF8"/>
    <w:rsid w:val="00C42C98"/>
    <w:rsid w:val="00C42CA5"/>
    <w:rsid w:val="00C45E66"/>
    <w:rsid w:val="00C46BA3"/>
    <w:rsid w:val="00C47405"/>
    <w:rsid w:val="00C47D17"/>
    <w:rsid w:val="00C5081F"/>
    <w:rsid w:val="00C52C3C"/>
    <w:rsid w:val="00C531DD"/>
    <w:rsid w:val="00C53A09"/>
    <w:rsid w:val="00C53EC0"/>
    <w:rsid w:val="00C54289"/>
    <w:rsid w:val="00C56947"/>
    <w:rsid w:val="00C57F5F"/>
    <w:rsid w:val="00C604B7"/>
    <w:rsid w:val="00C61BF3"/>
    <w:rsid w:val="00C622EC"/>
    <w:rsid w:val="00C64482"/>
    <w:rsid w:val="00C64862"/>
    <w:rsid w:val="00C6535E"/>
    <w:rsid w:val="00C65576"/>
    <w:rsid w:val="00C66165"/>
    <w:rsid w:val="00C663D2"/>
    <w:rsid w:val="00C66D43"/>
    <w:rsid w:val="00C703C6"/>
    <w:rsid w:val="00C70829"/>
    <w:rsid w:val="00C71668"/>
    <w:rsid w:val="00C71852"/>
    <w:rsid w:val="00C72583"/>
    <w:rsid w:val="00C7355A"/>
    <w:rsid w:val="00C7360D"/>
    <w:rsid w:val="00C749FC"/>
    <w:rsid w:val="00C74FDC"/>
    <w:rsid w:val="00C750C8"/>
    <w:rsid w:val="00C7560A"/>
    <w:rsid w:val="00C77211"/>
    <w:rsid w:val="00C7777C"/>
    <w:rsid w:val="00C77900"/>
    <w:rsid w:val="00C77D55"/>
    <w:rsid w:val="00C803CD"/>
    <w:rsid w:val="00C8213F"/>
    <w:rsid w:val="00C8218C"/>
    <w:rsid w:val="00C828FD"/>
    <w:rsid w:val="00C82980"/>
    <w:rsid w:val="00C82AB9"/>
    <w:rsid w:val="00C8381A"/>
    <w:rsid w:val="00C84A43"/>
    <w:rsid w:val="00C86021"/>
    <w:rsid w:val="00C86406"/>
    <w:rsid w:val="00C865F2"/>
    <w:rsid w:val="00C87947"/>
    <w:rsid w:val="00C8797A"/>
    <w:rsid w:val="00C87EC8"/>
    <w:rsid w:val="00C90792"/>
    <w:rsid w:val="00C92F46"/>
    <w:rsid w:val="00C938CF"/>
    <w:rsid w:val="00C94AD6"/>
    <w:rsid w:val="00C94B7B"/>
    <w:rsid w:val="00C95E1C"/>
    <w:rsid w:val="00C968EA"/>
    <w:rsid w:val="00C97146"/>
    <w:rsid w:val="00C975FF"/>
    <w:rsid w:val="00CA2059"/>
    <w:rsid w:val="00CA3A38"/>
    <w:rsid w:val="00CA3D6D"/>
    <w:rsid w:val="00CA4877"/>
    <w:rsid w:val="00CA4D17"/>
    <w:rsid w:val="00CA5245"/>
    <w:rsid w:val="00CA6BC5"/>
    <w:rsid w:val="00CA7B09"/>
    <w:rsid w:val="00CB048E"/>
    <w:rsid w:val="00CB0C0E"/>
    <w:rsid w:val="00CB4657"/>
    <w:rsid w:val="00CB5B1A"/>
    <w:rsid w:val="00CB62B0"/>
    <w:rsid w:val="00CB763F"/>
    <w:rsid w:val="00CC024E"/>
    <w:rsid w:val="00CC1DA0"/>
    <w:rsid w:val="00CC37F0"/>
    <w:rsid w:val="00CC399F"/>
    <w:rsid w:val="00CC39DA"/>
    <w:rsid w:val="00CC58F3"/>
    <w:rsid w:val="00CC5949"/>
    <w:rsid w:val="00CC5F76"/>
    <w:rsid w:val="00CC7C78"/>
    <w:rsid w:val="00CD0139"/>
    <w:rsid w:val="00CD01FA"/>
    <w:rsid w:val="00CD0322"/>
    <w:rsid w:val="00CD1F6F"/>
    <w:rsid w:val="00CD274C"/>
    <w:rsid w:val="00CD5FC8"/>
    <w:rsid w:val="00CD6744"/>
    <w:rsid w:val="00CD68E5"/>
    <w:rsid w:val="00CD6962"/>
    <w:rsid w:val="00CD69A8"/>
    <w:rsid w:val="00CD6ADC"/>
    <w:rsid w:val="00CD6BE8"/>
    <w:rsid w:val="00CE08AB"/>
    <w:rsid w:val="00CE207C"/>
    <w:rsid w:val="00CE4976"/>
    <w:rsid w:val="00CE6274"/>
    <w:rsid w:val="00CE6D1D"/>
    <w:rsid w:val="00CE785E"/>
    <w:rsid w:val="00CF020E"/>
    <w:rsid w:val="00CF0474"/>
    <w:rsid w:val="00CF0C95"/>
    <w:rsid w:val="00CF1246"/>
    <w:rsid w:val="00CF14D3"/>
    <w:rsid w:val="00CF242F"/>
    <w:rsid w:val="00CF2C8E"/>
    <w:rsid w:val="00CF3204"/>
    <w:rsid w:val="00CF456B"/>
    <w:rsid w:val="00CF46AB"/>
    <w:rsid w:val="00CF4A2B"/>
    <w:rsid w:val="00CF5A22"/>
    <w:rsid w:val="00CF6D64"/>
    <w:rsid w:val="00CF777B"/>
    <w:rsid w:val="00D021CC"/>
    <w:rsid w:val="00D0262E"/>
    <w:rsid w:val="00D02FE2"/>
    <w:rsid w:val="00D0315A"/>
    <w:rsid w:val="00D0564C"/>
    <w:rsid w:val="00D05DC6"/>
    <w:rsid w:val="00D07052"/>
    <w:rsid w:val="00D070FB"/>
    <w:rsid w:val="00D07402"/>
    <w:rsid w:val="00D077C5"/>
    <w:rsid w:val="00D1031A"/>
    <w:rsid w:val="00D10DCA"/>
    <w:rsid w:val="00D10E10"/>
    <w:rsid w:val="00D10E30"/>
    <w:rsid w:val="00D110BD"/>
    <w:rsid w:val="00D12135"/>
    <w:rsid w:val="00D12557"/>
    <w:rsid w:val="00D12D42"/>
    <w:rsid w:val="00D12DF3"/>
    <w:rsid w:val="00D134FF"/>
    <w:rsid w:val="00D14BB6"/>
    <w:rsid w:val="00D150B1"/>
    <w:rsid w:val="00D1562F"/>
    <w:rsid w:val="00D15FAB"/>
    <w:rsid w:val="00D1773B"/>
    <w:rsid w:val="00D17D20"/>
    <w:rsid w:val="00D17D6C"/>
    <w:rsid w:val="00D17E20"/>
    <w:rsid w:val="00D206C8"/>
    <w:rsid w:val="00D20A48"/>
    <w:rsid w:val="00D214C9"/>
    <w:rsid w:val="00D21F92"/>
    <w:rsid w:val="00D22D4D"/>
    <w:rsid w:val="00D2443C"/>
    <w:rsid w:val="00D252BF"/>
    <w:rsid w:val="00D256B7"/>
    <w:rsid w:val="00D25868"/>
    <w:rsid w:val="00D25DAF"/>
    <w:rsid w:val="00D263FA"/>
    <w:rsid w:val="00D2708F"/>
    <w:rsid w:val="00D27EE1"/>
    <w:rsid w:val="00D31252"/>
    <w:rsid w:val="00D32B2B"/>
    <w:rsid w:val="00D33E21"/>
    <w:rsid w:val="00D33EEC"/>
    <w:rsid w:val="00D342BF"/>
    <w:rsid w:val="00D34AA9"/>
    <w:rsid w:val="00D3500B"/>
    <w:rsid w:val="00D357FF"/>
    <w:rsid w:val="00D367A7"/>
    <w:rsid w:val="00D414B1"/>
    <w:rsid w:val="00D44A99"/>
    <w:rsid w:val="00D45000"/>
    <w:rsid w:val="00D46C2E"/>
    <w:rsid w:val="00D506DC"/>
    <w:rsid w:val="00D52DF2"/>
    <w:rsid w:val="00D54118"/>
    <w:rsid w:val="00D542B5"/>
    <w:rsid w:val="00D55792"/>
    <w:rsid w:val="00D55BC8"/>
    <w:rsid w:val="00D570B7"/>
    <w:rsid w:val="00D575DB"/>
    <w:rsid w:val="00D608D8"/>
    <w:rsid w:val="00D6152A"/>
    <w:rsid w:val="00D626A4"/>
    <w:rsid w:val="00D647CD"/>
    <w:rsid w:val="00D64DBD"/>
    <w:rsid w:val="00D652E2"/>
    <w:rsid w:val="00D65433"/>
    <w:rsid w:val="00D701CC"/>
    <w:rsid w:val="00D7025C"/>
    <w:rsid w:val="00D72FA2"/>
    <w:rsid w:val="00D7548C"/>
    <w:rsid w:val="00D76A44"/>
    <w:rsid w:val="00D801E4"/>
    <w:rsid w:val="00D80215"/>
    <w:rsid w:val="00D8150A"/>
    <w:rsid w:val="00D81AFD"/>
    <w:rsid w:val="00D8213A"/>
    <w:rsid w:val="00D82652"/>
    <w:rsid w:val="00D82754"/>
    <w:rsid w:val="00D85619"/>
    <w:rsid w:val="00D856D8"/>
    <w:rsid w:val="00D857CF"/>
    <w:rsid w:val="00D85AB5"/>
    <w:rsid w:val="00D86D45"/>
    <w:rsid w:val="00D87574"/>
    <w:rsid w:val="00D876A1"/>
    <w:rsid w:val="00D91814"/>
    <w:rsid w:val="00D91D0D"/>
    <w:rsid w:val="00D92A43"/>
    <w:rsid w:val="00D92B19"/>
    <w:rsid w:val="00D93753"/>
    <w:rsid w:val="00D93A02"/>
    <w:rsid w:val="00D9475A"/>
    <w:rsid w:val="00D949CD"/>
    <w:rsid w:val="00D94EE3"/>
    <w:rsid w:val="00D95165"/>
    <w:rsid w:val="00D97DEB"/>
    <w:rsid w:val="00D97E30"/>
    <w:rsid w:val="00DA06B0"/>
    <w:rsid w:val="00DA0A2C"/>
    <w:rsid w:val="00DA22D1"/>
    <w:rsid w:val="00DA246C"/>
    <w:rsid w:val="00DA3198"/>
    <w:rsid w:val="00DA3B34"/>
    <w:rsid w:val="00DA4492"/>
    <w:rsid w:val="00DA4E30"/>
    <w:rsid w:val="00DA51F6"/>
    <w:rsid w:val="00DA5A0A"/>
    <w:rsid w:val="00DA62AF"/>
    <w:rsid w:val="00DA6C43"/>
    <w:rsid w:val="00DA75DA"/>
    <w:rsid w:val="00DA77A5"/>
    <w:rsid w:val="00DA7F87"/>
    <w:rsid w:val="00DB0C51"/>
    <w:rsid w:val="00DB0F7A"/>
    <w:rsid w:val="00DB128B"/>
    <w:rsid w:val="00DB1F8E"/>
    <w:rsid w:val="00DB30FD"/>
    <w:rsid w:val="00DB4F09"/>
    <w:rsid w:val="00DB5D2F"/>
    <w:rsid w:val="00DB657F"/>
    <w:rsid w:val="00DB7A27"/>
    <w:rsid w:val="00DC045B"/>
    <w:rsid w:val="00DC0AB1"/>
    <w:rsid w:val="00DC0AFB"/>
    <w:rsid w:val="00DC10E6"/>
    <w:rsid w:val="00DC1A1A"/>
    <w:rsid w:val="00DC1B3E"/>
    <w:rsid w:val="00DC2A20"/>
    <w:rsid w:val="00DC4E29"/>
    <w:rsid w:val="00DC5501"/>
    <w:rsid w:val="00DC563F"/>
    <w:rsid w:val="00DC5EF3"/>
    <w:rsid w:val="00DC613D"/>
    <w:rsid w:val="00DC7A35"/>
    <w:rsid w:val="00DC7D5D"/>
    <w:rsid w:val="00DC7DEA"/>
    <w:rsid w:val="00DD157C"/>
    <w:rsid w:val="00DD18F1"/>
    <w:rsid w:val="00DD2079"/>
    <w:rsid w:val="00DD2147"/>
    <w:rsid w:val="00DD2797"/>
    <w:rsid w:val="00DD37FE"/>
    <w:rsid w:val="00DD3B9B"/>
    <w:rsid w:val="00DD3F28"/>
    <w:rsid w:val="00DD3F7C"/>
    <w:rsid w:val="00DD4537"/>
    <w:rsid w:val="00DD4781"/>
    <w:rsid w:val="00DD4CEF"/>
    <w:rsid w:val="00DD4E15"/>
    <w:rsid w:val="00DD4F4A"/>
    <w:rsid w:val="00DD51A7"/>
    <w:rsid w:val="00DD57FE"/>
    <w:rsid w:val="00DD6B12"/>
    <w:rsid w:val="00DD6F21"/>
    <w:rsid w:val="00DD7E4A"/>
    <w:rsid w:val="00DE0803"/>
    <w:rsid w:val="00DE2BC3"/>
    <w:rsid w:val="00DE3473"/>
    <w:rsid w:val="00DE413E"/>
    <w:rsid w:val="00DE42D8"/>
    <w:rsid w:val="00DE4FCB"/>
    <w:rsid w:val="00DE5816"/>
    <w:rsid w:val="00DE6A78"/>
    <w:rsid w:val="00DF0837"/>
    <w:rsid w:val="00DF18EB"/>
    <w:rsid w:val="00DF1F98"/>
    <w:rsid w:val="00DF31B2"/>
    <w:rsid w:val="00DF42B3"/>
    <w:rsid w:val="00DF58D4"/>
    <w:rsid w:val="00DF5D2B"/>
    <w:rsid w:val="00DF7E0F"/>
    <w:rsid w:val="00DF7E37"/>
    <w:rsid w:val="00E002DD"/>
    <w:rsid w:val="00E006F4"/>
    <w:rsid w:val="00E00865"/>
    <w:rsid w:val="00E00A23"/>
    <w:rsid w:val="00E0232F"/>
    <w:rsid w:val="00E02E15"/>
    <w:rsid w:val="00E02F63"/>
    <w:rsid w:val="00E04528"/>
    <w:rsid w:val="00E04CA2"/>
    <w:rsid w:val="00E0528B"/>
    <w:rsid w:val="00E065FD"/>
    <w:rsid w:val="00E06BC5"/>
    <w:rsid w:val="00E07428"/>
    <w:rsid w:val="00E075B6"/>
    <w:rsid w:val="00E10149"/>
    <w:rsid w:val="00E10335"/>
    <w:rsid w:val="00E10FC7"/>
    <w:rsid w:val="00E111CA"/>
    <w:rsid w:val="00E11453"/>
    <w:rsid w:val="00E1160E"/>
    <w:rsid w:val="00E11970"/>
    <w:rsid w:val="00E12448"/>
    <w:rsid w:val="00E12ADC"/>
    <w:rsid w:val="00E14B3F"/>
    <w:rsid w:val="00E1540A"/>
    <w:rsid w:val="00E16372"/>
    <w:rsid w:val="00E178A4"/>
    <w:rsid w:val="00E200B8"/>
    <w:rsid w:val="00E208E8"/>
    <w:rsid w:val="00E20ED6"/>
    <w:rsid w:val="00E21358"/>
    <w:rsid w:val="00E21391"/>
    <w:rsid w:val="00E2249B"/>
    <w:rsid w:val="00E22A0D"/>
    <w:rsid w:val="00E2396F"/>
    <w:rsid w:val="00E23D45"/>
    <w:rsid w:val="00E2402C"/>
    <w:rsid w:val="00E24082"/>
    <w:rsid w:val="00E24114"/>
    <w:rsid w:val="00E2499D"/>
    <w:rsid w:val="00E24CE0"/>
    <w:rsid w:val="00E2534C"/>
    <w:rsid w:val="00E25706"/>
    <w:rsid w:val="00E2771E"/>
    <w:rsid w:val="00E33305"/>
    <w:rsid w:val="00E33EAD"/>
    <w:rsid w:val="00E33FF4"/>
    <w:rsid w:val="00E3525F"/>
    <w:rsid w:val="00E354CF"/>
    <w:rsid w:val="00E36347"/>
    <w:rsid w:val="00E36884"/>
    <w:rsid w:val="00E37569"/>
    <w:rsid w:val="00E376DD"/>
    <w:rsid w:val="00E4024A"/>
    <w:rsid w:val="00E407DE"/>
    <w:rsid w:val="00E40E26"/>
    <w:rsid w:val="00E41E30"/>
    <w:rsid w:val="00E42B1C"/>
    <w:rsid w:val="00E4396F"/>
    <w:rsid w:val="00E43AF9"/>
    <w:rsid w:val="00E43D70"/>
    <w:rsid w:val="00E44EC8"/>
    <w:rsid w:val="00E47B2C"/>
    <w:rsid w:val="00E50254"/>
    <w:rsid w:val="00E51271"/>
    <w:rsid w:val="00E51560"/>
    <w:rsid w:val="00E529C5"/>
    <w:rsid w:val="00E54323"/>
    <w:rsid w:val="00E54536"/>
    <w:rsid w:val="00E54B23"/>
    <w:rsid w:val="00E54B5E"/>
    <w:rsid w:val="00E54DBC"/>
    <w:rsid w:val="00E55424"/>
    <w:rsid w:val="00E55BB5"/>
    <w:rsid w:val="00E57565"/>
    <w:rsid w:val="00E579A6"/>
    <w:rsid w:val="00E642AA"/>
    <w:rsid w:val="00E653F2"/>
    <w:rsid w:val="00E65427"/>
    <w:rsid w:val="00E659DD"/>
    <w:rsid w:val="00E65B3A"/>
    <w:rsid w:val="00E65E79"/>
    <w:rsid w:val="00E66228"/>
    <w:rsid w:val="00E67416"/>
    <w:rsid w:val="00E67CEB"/>
    <w:rsid w:val="00E7005A"/>
    <w:rsid w:val="00E7079B"/>
    <w:rsid w:val="00E70FFF"/>
    <w:rsid w:val="00E717DC"/>
    <w:rsid w:val="00E718B6"/>
    <w:rsid w:val="00E71D76"/>
    <w:rsid w:val="00E72EEF"/>
    <w:rsid w:val="00E73581"/>
    <w:rsid w:val="00E73876"/>
    <w:rsid w:val="00E7546A"/>
    <w:rsid w:val="00E77310"/>
    <w:rsid w:val="00E77896"/>
    <w:rsid w:val="00E77997"/>
    <w:rsid w:val="00E77CC6"/>
    <w:rsid w:val="00E80390"/>
    <w:rsid w:val="00E80C5D"/>
    <w:rsid w:val="00E8114D"/>
    <w:rsid w:val="00E81A4C"/>
    <w:rsid w:val="00E8200D"/>
    <w:rsid w:val="00E83BDF"/>
    <w:rsid w:val="00E8443A"/>
    <w:rsid w:val="00E86159"/>
    <w:rsid w:val="00E86283"/>
    <w:rsid w:val="00E86A86"/>
    <w:rsid w:val="00E86F2C"/>
    <w:rsid w:val="00E910CC"/>
    <w:rsid w:val="00E911D4"/>
    <w:rsid w:val="00E91D75"/>
    <w:rsid w:val="00E91F5A"/>
    <w:rsid w:val="00E942DF"/>
    <w:rsid w:val="00E94C93"/>
    <w:rsid w:val="00E9515B"/>
    <w:rsid w:val="00E95E53"/>
    <w:rsid w:val="00E961BB"/>
    <w:rsid w:val="00E963C7"/>
    <w:rsid w:val="00E963FD"/>
    <w:rsid w:val="00E97976"/>
    <w:rsid w:val="00EA053B"/>
    <w:rsid w:val="00EA3864"/>
    <w:rsid w:val="00EA42FF"/>
    <w:rsid w:val="00EA67EC"/>
    <w:rsid w:val="00EB0CE3"/>
    <w:rsid w:val="00EB0D97"/>
    <w:rsid w:val="00EB15B6"/>
    <w:rsid w:val="00EB1EAB"/>
    <w:rsid w:val="00EB3121"/>
    <w:rsid w:val="00EB3895"/>
    <w:rsid w:val="00EB3F78"/>
    <w:rsid w:val="00EB465D"/>
    <w:rsid w:val="00EB47FA"/>
    <w:rsid w:val="00EB4916"/>
    <w:rsid w:val="00EB634F"/>
    <w:rsid w:val="00EB69F2"/>
    <w:rsid w:val="00EB7288"/>
    <w:rsid w:val="00EC00C9"/>
    <w:rsid w:val="00EC0180"/>
    <w:rsid w:val="00EC6AB0"/>
    <w:rsid w:val="00EC6C66"/>
    <w:rsid w:val="00ED1549"/>
    <w:rsid w:val="00ED257A"/>
    <w:rsid w:val="00ED3D4C"/>
    <w:rsid w:val="00ED4ACC"/>
    <w:rsid w:val="00ED5837"/>
    <w:rsid w:val="00ED58C9"/>
    <w:rsid w:val="00ED6137"/>
    <w:rsid w:val="00ED6572"/>
    <w:rsid w:val="00ED69E5"/>
    <w:rsid w:val="00ED6A87"/>
    <w:rsid w:val="00EE0045"/>
    <w:rsid w:val="00EE062B"/>
    <w:rsid w:val="00EE07D3"/>
    <w:rsid w:val="00EE0855"/>
    <w:rsid w:val="00EE0C17"/>
    <w:rsid w:val="00EE2D8B"/>
    <w:rsid w:val="00EE3FEE"/>
    <w:rsid w:val="00EE41BD"/>
    <w:rsid w:val="00EE4B4E"/>
    <w:rsid w:val="00EE577B"/>
    <w:rsid w:val="00EE5CB8"/>
    <w:rsid w:val="00EE7091"/>
    <w:rsid w:val="00EE7483"/>
    <w:rsid w:val="00EE78F6"/>
    <w:rsid w:val="00EF06D2"/>
    <w:rsid w:val="00EF2513"/>
    <w:rsid w:val="00EF2673"/>
    <w:rsid w:val="00EF2712"/>
    <w:rsid w:val="00EF4496"/>
    <w:rsid w:val="00EF52A9"/>
    <w:rsid w:val="00EF619C"/>
    <w:rsid w:val="00EF71AD"/>
    <w:rsid w:val="00EF7515"/>
    <w:rsid w:val="00EF78B2"/>
    <w:rsid w:val="00F01322"/>
    <w:rsid w:val="00F019D9"/>
    <w:rsid w:val="00F03F19"/>
    <w:rsid w:val="00F04303"/>
    <w:rsid w:val="00F050FC"/>
    <w:rsid w:val="00F058B1"/>
    <w:rsid w:val="00F0609B"/>
    <w:rsid w:val="00F067A2"/>
    <w:rsid w:val="00F0716E"/>
    <w:rsid w:val="00F10FF7"/>
    <w:rsid w:val="00F11C35"/>
    <w:rsid w:val="00F12707"/>
    <w:rsid w:val="00F128D3"/>
    <w:rsid w:val="00F12F0C"/>
    <w:rsid w:val="00F13A87"/>
    <w:rsid w:val="00F13C28"/>
    <w:rsid w:val="00F15568"/>
    <w:rsid w:val="00F15765"/>
    <w:rsid w:val="00F1673F"/>
    <w:rsid w:val="00F16B5D"/>
    <w:rsid w:val="00F21462"/>
    <w:rsid w:val="00F2205C"/>
    <w:rsid w:val="00F229F8"/>
    <w:rsid w:val="00F2400C"/>
    <w:rsid w:val="00F24837"/>
    <w:rsid w:val="00F24D05"/>
    <w:rsid w:val="00F254F3"/>
    <w:rsid w:val="00F2575F"/>
    <w:rsid w:val="00F25934"/>
    <w:rsid w:val="00F25B71"/>
    <w:rsid w:val="00F25C01"/>
    <w:rsid w:val="00F26196"/>
    <w:rsid w:val="00F268C4"/>
    <w:rsid w:val="00F26B5E"/>
    <w:rsid w:val="00F30CB5"/>
    <w:rsid w:val="00F30E0F"/>
    <w:rsid w:val="00F31749"/>
    <w:rsid w:val="00F33183"/>
    <w:rsid w:val="00F33DE9"/>
    <w:rsid w:val="00F34413"/>
    <w:rsid w:val="00F34747"/>
    <w:rsid w:val="00F3528F"/>
    <w:rsid w:val="00F35934"/>
    <w:rsid w:val="00F3619A"/>
    <w:rsid w:val="00F368D9"/>
    <w:rsid w:val="00F3767F"/>
    <w:rsid w:val="00F37B85"/>
    <w:rsid w:val="00F40221"/>
    <w:rsid w:val="00F45324"/>
    <w:rsid w:val="00F45A78"/>
    <w:rsid w:val="00F461FB"/>
    <w:rsid w:val="00F46C47"/>
    <w:rsid w:val="00F46CB6"/>
    <w:rsid w:val="00F52EB0"/>
    <w:rsid w:val="00F552AA"/>
    <w:rsid w:val="00F55B36"/>
    <w:rsid w:val="00F55E73"/>
    <w:rsid w:val="00F56302"/>
    <w:rsid w:val="00F5642D"/>
    <w:rsid w:val="00F57135"/>
    <w:rsid w:val="00F574C7"/>
    <w:rsid w:val="00F57F1B"/>
    <w:rsid w:val="00F60092"/>
    <w:rsid w:val="00F600C3"/>
    <w:rsid w:val="00F6080F"/>
    <w:rsid w:val="00F610C0"/>
    <w:rsid w:val="00F6129D"/>
    <w:rsid w:val="00F61971"/>
    <w:rsid w:val="00F63317"/>
    <w:rsid w:val="00F655D7"/>
    <w:rsid w:val="00F66643"/>
    <w:rsid w:val="00F67C1A"/>
    <w:rsid w:val="00F70149"/>
    <w:rsid w:val="00F71335"/>
    <w:rsid w:val="00F72F7D"/>
    <w:rsid w:val="00F73718"/>
    <w:rsid w:val="00F73774"/>
    <w:rsid w:val="00F7381E"/>
    <w:rsid w:val="00F741B0"/>
    <w:rsid w:val="00F74272"/>
    <w:rsid w:val="00F755D0"/>
    <w:rsid w:val="00F76A28"/>
    <w:rsid w:val="00F80878"/>
    <w:rsid w:val="00F808E7"/>
    <w:rsid w:val="00F80AFA"/>
    <w:rsid w:val="00F80E1E"/>
    <w:rsid w:val="00F80E5D"/>
    <w:rsid w:val="00F81B10"/>
    <w:rsid w:val="00F83C53"/>
    <w:rsid w:val="00F851CE"/>
    <w:rsid w:val="00F851FC"/>
    <w:rsid w:val="00F85ECF"/>
    <w:rsid w:val="00F86721"/>
    <w:rsid w:val="00F8676A"/>
    <w:rsid w:val="00F86B96"/>
    <w:rsid w:val="00F91CA2"/>
    <w:rsid w:val="00F92531"/>
    <w:rsid w:val="00F9318C"/>
    <w:rsid w:val="00F93EC2"/>
    <w:rsid w:val="00F95943"/>
    <w:rsid w:val="00F963C6"/>
    <w:rsid w:val="00F96A7B"/>
    <w:rsid w:val="00F96D88"/>
    <w:rsid w:val="00F97A78"/>
    <w:rsid w:val="00F97C0F"/>
    <w:rsid w:val="00FA0844"/>
    <w:rsid w:val="00FA0CD5"/>
    <w:rsid w:val="00FA0CDA"/>
    <w:rsid w:val="00FA0E9C"/>
    <w:rsid w:val="00FA24E7"/>
    <w:rsid w:val="00FA3F91"/>
    <w:rsid w:val="00FA43A8"/>
    <w:rsid w:val="00FA613A"/>
    <w:rsid w:val="00FB2391"/>
    <w:rsid w:val="00FB2B26"/>
    <w:rsid w:val="00FB2B54"/>
    <w:rsid w:val="00FB2FCB"/>
    <w:rsid w:val="00FB4801"/>
    <w:rsid w:val="00FB556E"/>
    <w:rsid w:val="00FB5C0D"/>
    <w:rsid w:val="00FB5F47"/>
    <w:rsid w:val="00FB62B0"/>
    <w:rsid w:val="00FB6C64"/>
    <w:rsid w:val="00FB6C8A"/>
    <w:rsid w:val="00FC1074"/>
    <w:rsid w:val="00FC12F2"/>
    <w:rsid w:val="00FC1884"/>
    <w:rsid w:val="00FC2463"/>
    <w:rsid w:val="00FC3185"/>
    <w:rsid w:val="00FC34A2"/>
    <w:rsid w:val="00FC395E"/>
    <w:rsid w:val="00FC39F9"/>
    <w:rsid w:val="00FC4129"/>
    <w:rsid w:val="00FC5D34"/>
    <w:rsid w:val="00FC6C0D"/>
    <w:rsid w:val="00FC6FBC"/>
    <w:rsid w:val="00FC7689"/>
    <w:rsid w:val="00FD1C73"/>
    <w:rsid w:val="00FD1E88"/>
    <w:rsid w:val="00FD2100"/>
    <w:rsid w:val="00FD25AC"/>
    <w:rsid w:val="00FD26C3"/>
    <w:rsid w:val="00FD2AE3"/>
    <w:rsid w:val="00FD304E"/>
    <w:rsid w:val="00FD3205"/>
    <w:rsid w:val="00FD3665"/>
    <w:rsid w:val="00FD446D"/>
    <w:rsid w:val="00FD64E1"/>
    <w:rsid w:val="00FD6BF8"/>
    <w:rsid w:val="00FD6ECD"/>
    <w:rsid w:val="00FD755F"/>
    <w:rsid w:val="00FD7DB0"/>
    <w:rsid w:val="00FE124C"/>
    <w:rsid w:val="00FE139F"/>
    <w:rsid w:val="00FE197A"/>
    <w:rsid w:val="00FE1F50"/>
    <w:rsid w:val="00FE22D4"/>
    <w:rsid w:val="00FE32E1"/>
    <w:rsid w:val="00FE4349"/>
    <w:rsid w:val="00FE7D41"/>
    <w:rsid w:val="00FF1D8E"/>
    <w:rsid w:val="00FF21C0"/>
    <w:rsid w:val="00FF3939"/>
    <w:rsid w:val="00FF3DCF"/>
    <w:rsid w:val="00FF45B4"/>
    <w:rsid w:val="00FF464B"/>
    <w:rsid w:val="00FF47C6"/>
    <w:rsid w:val="00FF4F3C"/>
    <w:rsid w:val="00FF5AA3"/>
    <w:rsid w:val="00FF7A8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1" w:unhideWhenUsed="0" w:qFormat="1"/>
    <w:lsdException w:name="heading 3" w:semiHidden="0" w:uiPriority="1" w:unhideWhenUsed="0" w:qFormat="1"/>
    <w:lsdException w:name="heading 4" w:semiHidden="0" w:uiPriority="5" w:unhideWhenUsed="0"/>
    <w:lsdException w:name="heading 5" w:semiHidden="0" w:uiPriority="7" w:unhideWhenUsed="0"/>
    <w:lsdException w:name="heading 6" w:semiHidden="0" w:uiPriority="7" w:unhideWhenUsed="0"/>
    <w:lsdException w:name="heading 7" w:uiPriority="7"/>
    <w:lsdException w:name="heading 8" w:uiPriority="7"/>
    <w:lsdException w:name="heading 9" w:uiPriority="7"/>
    <w:lsdException w:name="toc 1" w:uiPriority="39"/>
    <w:lsdException w:name="toc 2" w:uiPriority="39"/>
    <w:lsdException w:name="toc 3" w:uiPriority="39"/>
    <w:lsdException w:name="toc 4" w:uiPriority="9"/>
    <w:lsdException w:name="toc 5" w:uiPriority="9"/>
    <w:lsdException w:name="toc 6" w:uiPriority="9"/>
    <w:lsdException w:name="toc 7" w:uiPriority="39"/>
    <w:lsdException w:name="toc 8" w:uiPriority="9"/>
    <w:lsdException w:name="toc 9" w:uiPriority="9"/>
    <w:lsdException w:name="header" w:uiPriority="99"/>
    <w:lsdException w:name="footer" w:uiPriority="99"/>
    <w:lsdException w:name="caption" w:uiPriority="7"/>
    <w:lsdException w:name="annotation reference" w:qFormat="1"/>
    <w:lsdException w:name="List Number" w:semiHidden="0" w:uiPriority="9" w:unhideWhenUsed="0"/>
    <w:lsdException w:name="List 4" w:semiHidden="0" w:uiPriority="9" w:unhideWhenUsed="0"/>
    <w:lsdException w:name="List 5" w:semiHidden="0" w:uiPriority="9" w:unhideWhenUsed="0"/>
    <w:lsdException w:name="Title" w:semiHidden="0" w:uiPriority="7" w:unhideWhenUsed="0" w:qFormat="1"/>
    <w:lsdException w:name="Body Text" w:uiPriority="9"/>
    <w:lsdException w:name="Body Text Indent" w:uiPriority="9"/>
    <w:lsdException w:name="Subtitle" w:semiHidden="0" w:uiPriority="11" w:unhideWhenUsed="0" w:qFormat="1"/>
    <w:lsdException w:name="Salutation" w:semiHidden="0" w:uiPriority="9" w:unhideWhenUsed="0"/>
    <w:lsdException w:name="Date" w:semiHidden="0" w:uiPriority="9" w:unhideWhenUsed="0"/>
    <w:lsdException w:name="Body Text First Indent" w:semiHidden="0" w:uiPriority="9" w:unhideWhenUsed="0"/>
    <w:lsdException w:name="Body Text 2" w:uiPriority="9"/>
    <w:lsdException w:name="Body Text 3" w:uiPriority="9"/>
    <w:lsdException w:name="Hyperlink" w:uiPriority="99"/>
    <w:lsdException w:name="Strong" w:semiHidden="0" w:uiPriority="9" w:unhideWhenUsed="0"/>
    <w:lsdException w:name="Emphasis" w:semiHidden="0" w:uiPriority="9" w:unhideWhenUsed="0"/>
    <w:lsdException w:name="Normal (Web)" w:uiPriority="99"/>
    <w:lsdException w:name="annotation subject" w:uiPriority="9"/>
    <w:lsdException w:name="No List" w:uiPriority="99"/>
    <w:lsdException w:name="Balloon Text" w:uiPriority="9"/>
    <w:lsdException w:name="Table Grid" w:semiHidden="0" w:uiPriority="39" w:unhideWhenUsed="0"/>
    <w:lsdException w:name="Placeholder Text" w:uiPriority="99" w:unhideWhenUsed="0"/>
    <w:lsdException w:name="No Spacing" w:semiHidden="0" w:uiPriority="7"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C6535E"/>
    <w:pPr>
      <w:widowControl w:val="0"/>
      <w:jc w:val="both"/>
    </w:pPr>
    <w:rPr>
      <w:rFonts w:ascii="Arial" w:hAnsi="Arial" w:cs="Arial"/>
      <w:snapToGrid w:val="0"/>
      <w:sz w:val="22"/>
      <w:lang w:eastAsia="en-US"/>
    </w:rPr>
  </w:style>
  <w:style w:type="paragraph" w:styleId="Heading1">
    <w:name w:val="heading 1"/>
    <w:basedOn w:val="PBACHeading1"/>
    <w:next w:val="Normal"/>
    <w:qFormat/>
    <w:rsid w:val="001466EA"/>
    <w:pPr>
      <w:outlineLvl w:val="0"/>
    </w:pPr>
  </w:style>
  <w:style w:type="paragraph" w:styleId="Heading2">
    <w:name w:val="heading 2"/>
    <w:basedOn w:val="Normal"/>
    <w:next w:val="Normal"/>
    <w:link w:val="Heading2Char"/>
    <w:uiPriority w:val="1"/>
    <w:qFormat/>
    <w:rsid w:val="001466EA"/>
    <w:pPr>
      <w:outlineLvl w:val="1"/>
    </w:pPr>
    <w:rPr>
      <w:b/>
      <w:bCs/>
      <w:i/>
      <w:szCs w:val="22"/>
    </w:rPr>
  </w:style>
  <w:style w:type="paragraph" w:styleId="Heading3">
    <w:name w:val="heading 3"/>
    <w:basedOn w:val="Normal"/>
    <w:next w:val="Normal"/>
    <w:uiPriority w:val="1"/>
    <w:qFormat/>
    <w:rsid w:val="00C6535E"/>
    <w:pPr>
      <w:outlineLvl w:val="2"/>
    </w:pPr>
    <w:rPr>
      <w:u w:val="single"/>
    </w:rPr>
  </w:style>
  <w:style w:type="paragraph" w:styleId="Heading4">
    <w:name w:val="heading 4"/>
    <w:basedOn w:val="Normal"/>
    <w:next w:val="Normal"/>
    <w:uiPriority w:val="5"/>
    <w:rsid w:val="00124A51"/>
    <w:pPr>
      <w:keepNext/>
      <w:spacing w:before="240" w:after="60"/>
      <w:outlineLvl w:val="3"/>
    </w:pPr>
    <w:rPr>
      <w:b/>
      <w:bCs/>
      <w:i/>
      <w:sz w:val="26"/>
      <w:szCs w:val="28"/>
    </w:rPr>
  </w:style>
  <w:style w:type="paragraph" w:styleId="Heading5">
    <w:name w:val="heading 5"/>
    <w:basedOn w:val="Normal"/>
    <w:next w:val="Normal"/>
    <w:uiPriority w:val="7"/>
    <w:rsid w:val="00124A51"/>
    <w:pPr>
      <w:spacing w:before="240" w:after="60"/>
      <w:outlineLvl w:val="4"/>
    </w:pPr>
    <w:rPr>
      <w:b/>
      <w:bCs/>
      <w:iCs/>
      <w:sz w:val="26"/>
      <w:szCs w:val="26"/>
    </w:rPr>
  </w:style>
  <w:style w:type="paragraph" w:styleId="Heading6">
    <w:name w:val="heading 6"/>
    <w:basedOn w:val="Normal"/>
    <w:next w:val="Normal"/>
    <w:uiPriority w:val="7"/>
    <w:rsid w:val="00124A51"/>
    <w:pPr>
      <w:spacing w:before="240" w:after="60"/>
      <w:outlineLvl w:val="5"/>
    </w:pPr>
    <w:rPr>
      <w:b/>
      <w:bCs/>
      <w:i/>
      <w:szCs w:val="22"/>
    </w:rPr>
  </w:style>
  <w:style w:type="paragraph" w:styleId="Heading7">
    <w:name w:val="heading 7"/>
    <w:basedOn w:val="Normal"/>
    <w:next w:val="Normal"/>
    <w:link w:val="Heading7Char"/>
    <w:uiPriority w:val="7"/>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uiPriority w:val="7"/>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uiPriority w:val="4"/>
    <w:qFormat/>
    <w:rsid w:val="00C6535E"/>
    <w:rPr>
      <w:rFonts w:ascii="Arial Narrow" w:hAnsi="Arial Narrow"/>
      <w:sz w:val="18"/>
    </w:rPr>
  </w:style>
  <w:style w:type="paragraph" w:customStyle="1" w:styleId="TableHeader">
    <w:name w:val="Table Header"/>
    <w:basedOn w:val="Normal"/>
    <w:next w:val="Normal"/>
    <w:uiPriority w:val="3"/>
    <w:qFormat/>
    <w:rsid w:val="00C6535E"/>
    <w:rPr>
      <w:rFonts w:ascii="Arial Narrow" w:hAnsi="Arial Narrow"/>
      <w:b/>
      <w:sz w:val="20"/>
    </w:rPr>
  </w:style>
  <w:style w:type="character" w:customStyle="1" w:styleId="Heading2Char">
    <w:name w:val="Heading 2 Char"/>
    <w:link w:val="Heading2"/>
    <w:uiPriority w:val="1"/>
    <w:rsid w:val="001466EA"/>
    <w:rPr>
      <w:rFonts w:ascii="Arial" w:hAnsi="Arial" w:cs="Arial"/>
      <w:b/>
      <w:bCs/>
      <w:i/>
      <w:snapToGrid w:val="0"/>
      <w:sz w:val="22"/>
      <w:szCs w:val="22"/>
      <w:lang w:eastAsia="en-US"/>
    </w:rPr>
  </w:style>
  <w:style w:type="character" w:customStyle="1" w:styleId="Heading7Char">
    <w:name w:val="Heading 7 Char"/>
    <w:basedOn w:val="DefaultParagraphFont"/>
    <w:link w:val="Heading7"/>
    <w:uiPriority w:val="7"/>
    <w:rsid w:val="00D97E30"/>
    <w:rPr>
      <w:rFonts w:ascii="Arial" w:hAnsi="Arial" w:cs="Arial"/>
      <w:b/>
      <w:snapToGrid w:val="0"/>
      <w:lang w:eastAsia="en-US"/>
    </w:rPr>
  </w:style>
  <w:style w:type="character" w:customStyle="1" w:styleId="Heading8Char">
    <w:name w:val="Heading 8 Char"/>
    <w:basedOn w:val="DefaultParagraphFont"/>
    <w:link w:val="Heading8"/>
    <w:uiPriority w:val="7"/>
    <w:rsid w:val="00D97E30"/>
    <w:rPr>
      <w:rFonts w:ascii="Arial" w:hAnsi="Arial" w:cs="Arial"/>
      <w:b/>
      <w:snapToGrid w:val="0"/>
      <w:sz w:val="22"/>
      <w:lang w:eastAsia="en-US"/>
    </w:rPr>
  </w:style>
  <w:style w:type="character" w:customStyle="1" w:styleId="Heading9Char">
    <w:name w:val="Heading 9 Char"/>
    <w:basedOn w:val="DefaultParagraphFont"/>
    <w:link w:val="Heading9"/>
    <w:uiPriority w:val="7"/>
    <w:rsid w:val="00D97E30"/>
    <w:rPr>
      <w:rFonts w:ascii="Arial" w:hAnsi="Arial" w:cs="Arial"/>
      <w:b/>
      <w:snapToGrid w:val="0"/>
      <w:color w:val="000000"/>
      <w:lang w:eastAsia="en-US"/>
    </w:rPr>
  </w:style>
  <w:style w:type="paragraph" w:styleId="Caption">
    <w:name w:val="caption"/>
    <w:basedOn w:val="Normal"/>
    <w:next w:val="TableHeader"/>
    <w:link w:val="CaptionChar"/>
    <w:uiPriority w:val="7"/>
    <w:unhideWhenUsed/>
    <w:rsid w:val="005C7F65"/>
    <w:rPr>
      <w:rFonts w:ascii="Arial Narrow" w:hAnsi="Arial Narrow"/>
      <w:b/>
      <w:bCs/>
      <w:sz w:val="20"/>
      <w:szCs w:val="18"/>
    </w:rPr>
  </w:style>
  <w:style w:type="character" w:customStyle="1" w:styleId="CaptionChar">
    <w:name w:val="Caption Char"/>
    <w:link w:val="Caption"/>
    <w:uiPriority w:val="7"/>
    <w:rsid w:val="005C7F65"/>
    <w:rPr>
      <w:rFonts w:ascii="Arial Narrow" w:hAnsi="Arial Narrow" w:cs="Arial"/>
      <w:b/>
      <w:bCs/>
      <w:snapToGrid w:val="0"/>
      <w:szCs w:val="18"/>
      <w:lang w:eastAsia="en-US"/>
    </w:rPr>
  </w:style>
  <w:style w:type="paragraph" w:styleId="Title">
    <w:name w:val="Title"/>
    <w:next w:val="Normal"/>
    <w:link w:val="TitleChar"/>
    <w:uiPriority w:val="7"/>
    <w:qFormat/>
    <w:rsid w:val="001466EA"/>
    <w:pPr>
      <w:outlineLvl w:val="0"/>
    </w:pPr>
    <w:rPr>
      <w:rFonts w:ascii="Arial Bold" w:hAnsi="Arial Bold" w:cs="Arial"/>
      <w:b/>
      <w:caps/>
      <w:snapToGrid w:val="0"/>
      <w:sz w:val="28"/>
      <w:lang w:eastAsia="en-US"/>
    </w:rPr>
  </w:style>
  <w:style w:type="character" w:customStyle="1" w:styleId="TitleChar">
    <w:name w:val="Title Char"/>
    <w:basedOn w:val="DefaultParagraphFont"/>
    <w:link w:val="Title"/>
    <w:uiPriority w:val="7"/>
    <w:rsid w:val="001466EA"/>
    <w:rPr>
      <w:rFonts w:ascii="Arial Bold" w:hAnsi="Arial Bold" w:cs="Arial"/>
      <w:b/>
      <w:caps/>
      <w:snapToGrid w:val="0"/>
      <w:sz w:val="28"/>
      <w:lang w:eastAsia="en-US"/>
    </w:rPr>
  </w:style>
  <w:style w:type="paragraph" w:styleId="BodyText">
    <w:name w:val="Body Text"/>
    <w:basedOn w:val="Normal"/>
    <w:link w:val="BodyTextChar"/>
    <w:uiPriority w:val="9"/>
    <w:rsid w:val="004B3DDB"/>
    <w:pPr>
      <w:jc w:val="left"/>
    </w:pPr>
  </w:style>
  <w:style w:type="character" w:customStyle="1" w:styleId="BodyTextChar">
    <w:name w:val="Body Text Char"/>
    <w:basedOn w:val="DefaultParagraphFont"/>
    <w:link w:val="BodyText"/>
    <w:uiPriority w:val="9"/>
    <w:rsid w:val="00D97E30"/>
    <w:rPr>
      <w:rFonts w:ascii="Arial" w:hAnsi="Arial" w:cs="Arial"/>
      <w:snapToGrid w:val="0"/>
      <w:sz w:val="22"/>
      <w:lang w:eastAsia="en-US"/>
    </w:rPr>
  </w:style>
  <w:style w:type="paragraph" w:styleId="ListParagraph">
    <w:name w:val="List Paragraph"/>
    <w:aliases w:val="BulletPoints"/>
    <w:basedOn w:val="Normal"/>
    <w:link w:val="ListParagraphChar"/>
    <w:uiPriority w:val="34"/>
    <w:qFormat/>
    <w:rsid w:val="00124A51"/>
    <w:pPr>
      <w:ind w:left="720"/>
      <w:contextualSpacing/>
    </w:pPr>
  </w:style>
  <w:style w:type="paragraph" w:customStyle="1" w:styleId="RegularText">
    <w:name w:val="Regular Text"/>
    <w:basedOn w:val="BodyText"/>
    <w:link w:val="RegularTextChar"/>
    <w:uiPriority w:val="9"/>
    <w:rsid w:val="00124A51"/>
    <w:rPr>
      <w:b/>
    </w:rPr>
  </w:style>
  <w:style w:type="paragraph" w:styleId="NoSpacing">
    <w:name w:val="No Spacing"/>
    <w:uiPriority w:val="7"/>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uiPriority w:val="9"/>
    <w:rsid w:val="00D97E30"/>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qFormat/>
    <w:rsid w:val="005C7F65"/>
    <w:rPr>
      <w:rFonts w:ascii="Arial Narrow" w:hAnsi="Arial Narrow"/>
      <w:b/>
      <w:sz w:val="20"/>
      <w:szCs w:val="16"/>
    </w:rPr>
  </w:style>
  <w:style w:type="paragraph" w:customStyle="1" w:styleId="Tabletext">
    <w:name w:val="Table text"/>
    <w:basedOn w:val="Normal"/>
    <w:link w:val="TabletextChar"/>
    <w:uiPriority w:val="2"/>
    <w:qFormat/>
    <w:rsid w:val="00C6535E"/>
    <w:pPr>
      <w:widowControl/>
      <w:jc w:val="left"/>
    </w:pPr>
    <w:rPr>
      <w:rFonts w:ascii="Arial Narrow" w:hAnsi="Arial Narrow" w:cs="Times New Roman"/>
      <w:snapToGrid/>
      <w:sz w:val="20"/>
    </w:rPr>
  </w:style>
  <w:style w:type="paragraph" w:customStyle="1" w:styleId="TableHeading">
    <w:name w:val="TableHeading"/>
    <w:basedOn w:val="Normal"/>
    <w:uiPriority w:val="9"/>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uiPriority w:val="2"/>
    <w:rsid w:val="00C6535E"/>
    <w:rPr>
      <w:rFonts w:ascii="Arial Narrow" w:hAnsi="Arial Narrow"/>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uiPriority w:val="9"/>
    <w:rsid w:val="00CE6274"/>
    <w:rPr>
      <w:rFonts w:ascii="Tahoma" w:hAnsi="Tahoma" w:cs="Tahoma"/>
      <w:sz w:val="16"/>
      <w:szCs w:val="16"/>
    </w:rPr>
  </w:style>
  <w:style w:type="character" w:customStyle="1" w:styleId="BalloonTextChar">
    <w:name w:val="Balloon Text Char"/>
    <w:basedOn w:val="DefaultParagraphFont"/>
    <w:link w:val="BalloonText"/>
    <w:uiPriority w:val="9"/>
    <w:rsid w:val="00D97E30"/>
    <w:rPr>
      <w:rFonts w:ascii="Tahoma" w:hAnsi="Tahoma" w:cs="Tahoma"/>
      <w:snapToGrid w:val="0"/>
      <w:sz w:val="16"/>
      <w:szCs w:val="16"/>
      <w:lang w:eastAsia="en-US"/>
    </w:rPr>
  </w:style>
  <w:style w:type="paragraph" w:styleId="BodyText3">
    <w:name w:val="Body Text 3"/>
    <w:basedOn w:val="Normal"/>
    <w:link w:val="BodyText3Char"/>
    <w:uiPriority w:val="9"/>
    <w:rsid w:val="00CE6274"/>
    <w:pPr>
      <w:spacing w:after="120"/>
    </w:pPr>
    <w:rPr>
      <w:sz w:val="16"/>
      <w:szCs w:val="16"/>
    </w:rPr>
  </w:style>
  <w:style w:type="character" w:customStyle="1" w:styleId="BodyText3Char">
    <w:name w:val="Body Text 3 Char"/>
    <w:basedOn w:val="DefaultParagraphFont"/>
    <w:link w:val="BodyText3"/>
    <w:uiPriority w:val="9"/>
    <w:rsid w:val="00D97E30"/>
    <w:rPr>
      <w:rFonts w:ascii="Arial" w:hAnsi="Arial" w:cs="Arial"/>
      <w:snapToGrid w:val="0"/>
      <w:sz w:val="16"/>
      <w:szCs w:val="16"/>
      <w:lang w:eastAsia="en-US"/>
    </w:rPr>
  </w:style>
  <w:style w:type="paragraph" w:styleId="TOC4">
    <w:name w:val="toc 4"/>
    <w:basedOn w:val="Normal"/>
    <w:next w:val="Normal"/>
    <w:autoRedefine/>
    <w:uiPriority w:val="9"/>
    <w:rsid w:val="00D0262E"/>
    <w:pPr>
      <w:ind w:left="660"/>
      <w:jc w:val="left"/>
    </w:pPr>
    <w:rPr>
      <w:rFonts w:asciiTheme="minorHAnsi" w:hAnsiTheme="minorHAnsi"/>
      <w:sz w:val="20"/>
    </w:rPr>
  </w:style>
  <w:style w:type="paragraph" w:styleId="TOC5">
    <w:name w:val="toc 5"/>
    <w:basedOn w:val="Normal"/>
    <w:next w:val="Normal"/>
    <w:autoRedefine/>
    <w:uiPriority w:val="9"/>
    <w:rsid w:val="00D0262E"/>
    <w:pPr>
      <w:ind w:left="880"/>
      <w:jc w:val="left"/>
    </w:pPr>
    <w:rPr>
      <w:rFonts w:asciiTheme="minorHAnsi" w:hAnsiTheme="minorHAnsi"/>
      <w:sz w:val="20"/>
    </w:rPr>
  </w:style>
  <w:style w:type="paragraph" w:styleId="TOC6">
    <w:name w:val="toc 6"/>
    <w:basedOn w:val="Normal"/>
    <w:next w:val="Normal"/>
    <w:autoRedefine/>
    <w:uiPriority w:val="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9"/>
    <w:rsid w:val="00D0262E"/>
    <w:pPr>
      <w:ind w:left="1540"/>
      <w:jc w:val="left"/>
    </w:pPr>
    <w:rPr>
      <w:rFonts w:asciiTheme="minorHAnsi" w:hAnsiTheme="minorHAnsi"/>
      <w:sz w:val="20"/>
    </w:rPr>
  </w:style>
  <w:style w:type="paragraph" w:styleId="TOC9">
    <w:name w:val="toc 9"/>
    <w:basedOn w:val="Normal"/>
    <w:next w:val="Normal"/>
    <w:autoRedefine/>
    <w:uiPriority w:val="9"/>
    <w:rsid w:val="00D0262E"/>
    <w:pPr>
      <w:ind w:left="1760"/>
      <w:jc w:val="left"/>
    </w:pPr>
    <w:rPr>
      <w:rFonts w:asciiTheme="minorHAnsi" w:hAnsiTheme="minorHAnsi"/>
      <w:sz w:val="20"/>
    </w:rPr>
  </w:style>
  <w:style w:type="paragraph" w:styleId="BodyText2">
    <w:name w:val="Body Text 2"/>
    <w:basedOn w:val="Normal"/>
    <w:link w:val="BodyText2Char"/>
    <w:uiPriority w:val="9"/>
    <w:rsid w:val="00D17D6C"/>
    <w:pPr>
      <w:spacing w:after="120" w:line="480" w:lineRule="auto"/>
    </w:pPr>
  </w:style>
  <w:style w:type="character" w:customStyle="1" w:styleId="BodyText2Char">
    <w:name w:val="Body Text 2 Char"/>
    <w:basedOn w:val="DefaultParagraphFont"/>
    <w:link w:val="BodyText2"/>
    <w:uiPriority w:val="9"/>
    <w:rsid w:val="00D97E30"/>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uiPriority w:val="9"/>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uiPriority w:val="9"/>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uiPriority w:val="9"/>
    <w:rsid w:val="00CA7B09"/>
    <w:pPr>
      <w:keepNext w:val="0"/>
      <w:keepLines/>
      <w:spacing w:before="0" w:after="360"/>
      <w:ind w:left="720"/>
    </w:pPr>
    <w:rPr>
      <w:sz w:val="18"/>
      <w:szCs w:val="18"/>
    </w:rPr>
  </w:style>
  <w:style w:type="paragraph" w:customStyle="1" w:styleId="TableNotes0">
    <w:name w:val="TableNotes+0"/>
    <w:basedOn w:val="TableNotes18"/>
    <w:uiPriority w:val="9"/>
    <w:rsid w:val="00CA7B09"/>
    <w:pPr>
      <w:keepNext/>
      <w:spacing w:after="0"/>
    </w:pPr>
  </w:style>
  <w:style w:type="paragraph" w:styleId="CommentSubject">
    <w:name w:val="annotation subject"/>
    <w:basedOn w:val="CommentText"/>
    <w:next w:val="CommentText"/>
    <w:link w:val="CommentSubjectChar"/>
    <w:uiPriority w:val="9"/>
    <w:rsid w:val="004319F8"/>
    <w:rPr>
      <w:rFonts w:ascii="Arial" w:hAnsi="Arial" w:cs="Arial"/>
      <w:b/>
      <w:bCs/>
    </w:rPr>
  </w:style>
  <w:style w:type="character" w:customStyle="1" w:styleId="CommentSubjectChar">
    <w:name w:val="Comment Subject Char"/>
    <w:basedOn w:val="CommentTextChar"/>
    <w:link w:val="CommentSubject"/>
    <w:uiPriority w:val="9"/>
    <w:rsid w:val="00D97E30"/>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uiPriority w:val="9"/>
    <w:rsid w:val="00E41E30"/>
    <w:pPr>
      <w:spacing w:after="120"/>
      <w:ind w:left="283"/>
    </w:pPr>
  </w:style>
  <w:style w:type="character" w:customStyle="1" w:styleId="BodyTextIndentChar">
    <w:name w:val="Body Text Indent Char"/>
    <w:basedOn w:val="DefaultParagraphFont"/>
    <w:link w:val="BodyTextIndent"/>
    <w:uiPriority w:val="9"/>
    <w:rsid w:val="00D97E30"/>
    <w:rPr>
      <w:rFonts w:ascii="Arial" w:hAnsi="Arial" w:cs="Arial"/>
      <w:snapToGrid w:val="0"/>
      <w:sz w:val="22"/>
      <w:lang w:eastAsia="en-US"/>
    </w:rPr>
  </w:style>
  <w:style w:type="paragraph" w:customStyle="1" w:styleId="Char1CharCharChar">
    <w:name w:val="Char1 Char Char Char"/>
    <w:basedOn w:val="Normal"/>
    <w:uiPriority w:val="9"/>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aliases w:val="PBAC Paragraph Char"/>
    <w:link w:val="Subtitle"/>
    <w:uiPriority w:val="9"/>
    <w:rsid w:val="00D97E30"/>
    <w:rPr>
      <w:lang w:eastAsia="en-US"/>
    </w:rPr>
  </w:style>
  <w:style w:type="paragraph" w:styleId="Subtitle">
    <w:name w:val="Subtitle"/>
    <w:aliases w:val="PBAC Paragraph"/>
    <w:basedOn w:val="Normal"/>
    <w:link w:val="SubtitleChar"/>
    <w:uiPriority w:val="11"/>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uiPriority w:val="9"/>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3"/>
      </w:numPr>
    </w:pPr>
    <w:rPr>
      <w:rFonts w:ascii="Arial" w:hAnsi="Arial" w:cs="Arial"/>
      <w:b/>
      <w:snapToGrid w:val="0"/>
      <w:sz w:val="22"/>
      <w:szCs w:val="22"/>
      <w:lang w:eastAsia="en-US"/>
    </w:rPr>
  </w:style>
  <w:style w:type="table" w:customStyle="1" w:styleId="TableGrid1">
    <w:name w:val="Table Grid1"/>
    <w:basedOn w:val="TableNormal"/>
    <w:next w:val="TableGrid"/>
    <w:uiPriority w:val="59"/>
    <w:rsid w:val="00C803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D97E30"/>
  </w:style>
  <w:style w:type="character" w:customStyle="1" w:styleId="Small">
    <w:name w:val="Small"/>
    <w:basedOn w:val="DefaultParagraphFont"/>
    <w:uiPriority w:val="4"/>
    <w:qFormat/>
    <w:rsid w:val="00CB763F"/>
    <w:rPr>
      <w:rFonts w:ascii="Candara" w:hAnsi="Candara"/>
      <w:sz w:val="20"/>
    </w:rPr>
  </w:style>
  <w:style w:type="paragraph" w:customStyle="1" w:styleId="TableLeft">
    <w:name w:val="Table Left"/>
    <w:basedOn w:val="Normal"/>
    <w:link w:val="TableLeftChar"/>
    <w:uiPriority w:val="99"/>
    <w:qFormat/>
    <w:rsid w:val="00CB763F"/>
    <w:pPr>
      <w:widowControl/>
      <w:jc w:val="left"/>
    </w:pPr>
    <w:rPr>
      <w:rFonts w:ascii="Candara" w:hAnsi="Candara" w:cs="Times New Roman"/>
      <w:snapToGrid/>
      <w:sz w:val="20"/>
      <w:szCs w:val="22"/>
    </w:rPr>
  </w:style>
  <w:style w:type="character" w:customStyle="1" w:styleId="TableLeftChar">
    <w:name w:val="Table Left Char"/>
    <w:basedOn w:val="DefaultParagraphFont"/>
    <w:link w:val="TableLeft"/>
    <w:uiPriority w:val="99"/>
    <w:locked/>
    <w:rsid w:val="00CB763F"/>
    <w:rPr>
      <w:rFonts w:ascii="Candara" w:hAnsi="Candara"/>
      <w:szCs w:val="22"/>
      <w:lang w:eastAsia="en-US"/>
    </w:rPr>
  </w:style>
  <w:style w:type="paragraph" w:customStyle="1" w:styleId="Table">
    <w:name w:val="Table"/>
    <w:basedOn w:val="Normal"/>
    <w:link w:val="TableChar"/>
    <w:qFormat/>
    <w:rsid w:val="00CB763F"/>
    <w:pPr>
      <w:widowControl/>
      <w:jc w:val="left"/>
    </w:pPr>
    <w:rPr>
      <w:rFonts w:ascii="Candara" w:eastAsiaTheme="majorEastAsia" w:hAnsi="Candara" w:cstheme="majorBidi"/>
      <w:snapToGrid/>
      <w:sz w:val="20"/>
      <w:szCs w:val="22"/>
      <w:lang w:bidi="en-US"/>
    </w:rPr>
  </w:style>
  <w:style w:type="character" w:customStyle="1" w:styleId="TableChar">
    <w:name w:val="Table Char"/>
    <w:basedOn w:val="DefaultParagraphFont"/>
    <w:link w:val="Table"/>
    <w:locked/>
    <w:rsid w:val="00CB763F"/>
    <w:rPr>
      <w:rFonts w:ascii="Candara" w:eastAsiaTheme="majorEastAsia" w:hAnsi="Candara" w:cstheme="majorBidi"/>
      <w:szCs w:val="22"/>
      <w:lang w:eastAsia="en-US" w:bidi="en-US"/>
    </w:rPr>
  </w:style>
  <w:style w:type="paragraph" w:styleId="FootnoteText">
    <w:name w:val="footnote text"/>
    <w:basedOn w:val="Normal"/>
    <w:link w:val="FootnoteTextChar"/>
    <w:semiHidden/>
    <w:unhideWhenUsed/>
    <w:rsid w:val="00466A5C"/>
    <w:rPr>
      <w:sz w:val="20"/>
    </w:rPr>
  </w:style>
  <w:style w:type="character" w:customStyle="1" w:styleId="FootnoteTextChar">
    <w:name w:val="Footnote Text Char"/>
    <w:basedOn w:val="DefaultParagraphFont"/>
    <w:link w:val="FootnoteText"/>
    <w:semiHidden/>
    <w:rsid w:val="00466A5C"/>
    <w:rPr>
      <w:rFonts w:ascii="Arial" w:hAnsi="Arial" w:cs="Arial"/>
      <w:snapToGrid w:val="0"/>
      <w:lang w:eastAsia="en-US"/>
    </w:rPr>
  </w:style>
  <w:style w:type="character" w:styleId="FootnoteReference">
    <w:name w:val="footnote reference"/>
    <w:basedOn w:val="DefaultParagraphFont"/>
    <w:semiHidden/>
    <w:unhideWhenUsed/>
    <w:rsid w:val="00466A5C"/>
    <w:rPr>
      <w:vertAlign w:val="superscript"/>
    </w:rPr>
  </w:style>
  <w:style w:type="paragraph" w:customStyle="1" w:styleId="TableBullets">
    <w:name w:val="Table Bullets"/>
    <w:basedOn w:val="Normal"/>
    <w:uiPriority w:val="5"/>
    <w:qFormat/>
    <w:rsid w:val="007F2311"/>
    <w:pPr>
      <w:widowControl/>
      <w:numPr>
        <w:numId w:val="10"/>
      </w:numPr>
      <w:ind w:left="357" w:hanging="357"/>
      <w:jc w:val="left"/>
    </w:pPr>
    <w:rPr>
      <w:rFonts w:ascii="Candara" w:eastAsiaTheme="majorEastAsia" w:hAnsi="Candara" w:cstheme="majorBidi"/>
      <w:snapToGrid/>
      <w:sz w:val="20"/>
      <w:szCs w:val="22"/>
      <w:lang w:bidi="en-US"/>
    </w:rPr>
  </w:style>
  <w:style w:type="paragraph" w:customStyle="1" w:styleId="TableCentre">
    <w:name w:val="Table Centre"/>
    <w:basedOn w:val="Normal"/>
    <w:qFormat/>
    <w:rsid w:val="007F2311"/>
    <w:pPr>
      <w:widowControl/>
      <w:jc w:val="center"/>
    </w:pPr>
    <w:rPr>
      <w:rFonts w:ascii="Candara" w:eastAsiaTheme="majorEastAsia" w:hAnsi="Candara" w:cstheme="majorBidi"/>
      <w:snapToGrid/>
      <w:sz w:val="20"/>
      <w:szCs w:val="22"/>
      <w:lang w:bidi="en-US"/>
    </w:rPr>
  </w:style>
  <w:style w:type="character" w:customStyle="1" w:styleId="ListParagraphChar">
    <w:name w:val="List Paragraph Char"/>
    <w:aliases w:val="BulletPoints Char"/>
    <w:basedOn w:val="DefaultParagraphFont"/>
    <w:link w:val="ListParagraph"/>
    <w:uiPriority w:val="34"/>
    <w:rsid w:val="00C975FF"/>
    <w:rPr>
      <w:rFonts w:ascii="Arial" w:hAnsi="Arial" w:cs="Arial"/>
      <w:snapToGrid w:val="0"/>
      <w:sz w:val="22"/>
      <w:lang w:eastAsia="en-US"/>
    </w:rPr>
  </w:style>
  <w:style w:type="paragraph" w:customStyle="1" w:styleId="EndNoteBibliographyTitle">
    <w:name w:val="EndNote Bibliography Title"/>
    <w:basedOn w:val="Normal"/>
    <w:link w:val="EndNoteBibliographyTitleChar"/>
    <w:rsid w:val="00A63E4C"/>
    <w:pPr>
      <w:jc w:val="center"/>
    </w:pPr>
    <w:rPr>
      <w:noProof/>
      <w:lang w:val="en-US"/>
    </w:rPr>
  </w:style>
  <w:style w:type="character" w:customStyle="1" w:styleId="EndNoteBibliographyTitleChar">
    <w:name w:val="EndNote Bibliography Title Char"/>
    <w:basedOn w:val="ListParagraphChar"/>
    <w:link w:val="EndNoteBibliographyTitle"/>
    <w:rsid w:val="00A63E4C"/>
    <w:rPr>
      <w:rFonts w:ascii="Arial" w:hAnsi="Arial" w:cs="Arial"/>
      <w:noProof/>
      <w:snapToGrid w:val="0"/>
      <w:sz w:val="22"/>
      <w:lang w:val="en-US" w:eastAsia="en-US"/>
    </w:rPr>
  </w:style>
  <w:style w:type="paragraph" w:customStyle="1" w:styleId="EndNoteBibliography">
    <w:name w:val="EndNote Bibliography"/>
    <w:basedOn w:val="Normal"/>
    <w:link w:val="EndNoteBibliographyChar"/>
    <w:rsid w:val="00A63E4C"/>
    <w:rPr>
      <w:noProof/>
      <w:lang w:val="en-US"/>
    </w:rPr>
  </w:style>
  <w:style w:type="character" w:customStyle="1" w:styleId="EndNoteBibliographyChar">
    <w:name w:val="EndNote Bibliography Char"/>
    <w:basedOn w:val="ListParagraphChar"/>
    <w:link w:val="EndNoteBibliography"/>
    <w:rsid w:val="00A63E4C"/>
    <w:rPr>
      <w:rFonts w:ascii="Arial" w:hAnsi="Arial" w:cs="Arial"/>
      <w:noProof/>
      <w:snapToGrid w:val="0"/>
      <w:sz w:val="22"/>
      <w:lang w:val="en-US" w:eastAsia="en-US"/>
    </w:rPr>
  </w:style>
  <w:style w:type="character" w:customStyle="1" w:styleId="TableText1">
    <w:name w:val="Table Text"/>
    <w:basedOn w:val="DefaultParagraphFont"/>
    <w:uiPriority w:val="99"/>
    <w:qFormat/>
    <w:rsid w:val="00794F0A"/>
    <w:rPr>
      <w:sz w:val="20"/>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F15765"/>
    <w:pPr>
      <w:widowControl/>
      <w:spacing w:after="160" w:line="240" w:lineRule="exact"/>
      <w:jc w:val="left"/>
    </w:pPr>
    <w:rPr>
      <w:rFonts w:ascii="Verdana" w:eastAsia="MS Mincho" w:hAnsi="Verdana" w:cs="Verdana"/>
      <w:snapToGrid/>
      <w:sz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1" w:unhideWhenUsed="0" w:qFormat="1"/>
    <w:lsdException w:name="heading 3" w:semiHidden="0" w:uiPriority="1" w:unhideWhenUsed="0" w:qFormat="1"/>
    <w:lsdException w:name="heading 4" w:semiHidden="0" w:uiPriority="5" w:unhideWhenUsed="0"/>
    <w:lsdException w:name="heading 5" w:semiHidden="0" w:uiPriority="7" w:unhideWhenUsed="0"/>
    <w:lsdException w:name="heading 6" w:semiHidden="0" w:uiPriority="7" w:unhideWhenUsed="0"/>
    <w:lsdException w:name="heading 7" w:uiPriority="7"/>
    <w:lsdException w:name="heading 8" w:uiPriority="7"/>
    <w:lsdException w:name="heading 9" w:uiPriority="7"/>
    <w:lsdException w:name="toc 1" w:uiPriority="39"/>
    <w:lsdException w:name="toc 2" w:uiPriority="39"/>
    <w:lsdException w:name="toc 3" w:uiPriority="39"/>
    <w:lsdException w:name="toc 4" w:uiPriority="9"/>
    <w:lsdException w:name="toc 5" w:uiPriority="9"/>
    <w:lsdException w:name="toc 6" w:uiPriority="9"/>
    <w:lsdException w:name="toc 7" w:uiPriority="39"/>
    <w:lsdException w:name="toc 8" w:uiPriority="9"/>
    <w:lsdException w:name="toc 9" w:uiPriority="9"/>
    <w:lsdException w:name="header" w:uiPriority="99"/>
    <w:lsdException w:name="footer" w:uiPriority="99"/>
    <w:lsdException w:name="caption" w:uiPriority="7"/>
    <w:lsdException w:name="annotation reference" w:qFormat="1"/>
    <w:lsdException w:name="List Number" w:semiHidden="0" w:uiPriority="9" w:unhideWhenUsed="0"/>
    <w:lsdException w:name="List 4" w:semiHidden="0" w:uiPriority="9" w:unhideWhenUsed="0"/>
    <w:lsdException w:name="List 5" w:semiHidden="0" w:uiPriority="9" w:unhideWhenUsed="0"/>
    <w:lsdException w:name="Title" w:semiHidden="0" w:uiPriority="7" w:unhideWhenUsed="0" w:qFormat="1"/>
    <w:lsdException w:name="Body Text" w:uiPriority="9"/>
    <w:lsdException w:name="Body Text Indent" w:uiPriority="9"/>
    <w:lsdException w:name="Subtitle" w:semiHidden="0" w:uiPriority="11" w:unhideWhenUsed="0" w:qFormat="1"/>
    <w:lsdException w:name="Salutation" w:semiHidden="0" w:uiPriority="9" w:unhideWhenUsed="0"/>
    <w:lsdException w:name="Date" w:semiHidden="0" w:uiPriority="9" w:unhideWhenUsed="0"/>
    <w:lsdException w:name="Body Text First Indent" w:semiHidden="0" w:uiPriority="9" w:unhideWhenUsed="0"/>
    <w:lsdException w:name="Body Text 2" w:uiPriority="9"/>
    <w:lsdException w:name="Body Text 3" w:uiPriority="9"/>
    <w:lsdException w:name="Hyperlink" w:uiPriority="99"/>
    <w:lsdException w:name="Strong" w:semiHidden="0" w:uiPriority="9" w:unhideWhenUsed="0"/>
    <w:lsdException w:name="Emphasis" w:semiHidden="0" w:uiPriority="9" w:unhideWhenUsed="0"/>
    <w:lsdException w:name="Normal (Web)" w:uiPriority="99"/>
    <w:lsdException w:name="annotation subject" w:uiPriority="9"/>
    <w:lsdException w:name="No List" w:uiPriority="99"/>
    <w:lsdException w:name="Balloon Text" w:uiPriority="9"/>
    <w:lsdException w:name="Table Grid" w:semiHidden="0" w:uiPriority="39" w:unhideWhenUsed="0"/>
    <w:lsdException w:name="Placeholder Text" w:uiPriority="99" w:unhideWhenUsed="0"/>
    <w:lsdException w:name="No Spacing" w:semiHidden="0" w:uiPriority="7"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C6535E"/>
    <w:pPr>
      <w:widowControl w:val="0"/>
      <w:jc w:val="both"/>
    </w:pPr>
    <w:rPr>
      <w:rFonts w:ascii="Arial" w:hAnsi="Arial" w:cs="Arial"/>
      <w:snapToGrid w:val="0"/>
      <w:sz w:val="22"/>
      <w:lang w:eastAsia="en-US"/>
    </w:rPr>
  </w:style>
  <w:style w:type="paragraph" w:styleId="Heading1">
    <w:name w:val="heading 1"/>
    <w:basedOn w:val="PBACHeading1"/>
    <w:next w:val="Normal"/>
    <w:qFormat/>
    <w:rsid w:val="001466EA"/>
    <w:pPr>
      <w:outlineLvl w:val="0"/>
    </w:pPr>
  </w:style>
  <w:style w:type="paragraph" w:styleId="Heading2">
    <w:name w:val="heading 2"/>
    <w:basedOn w:val="Normal"/>
    <w:next w:val="Normal"/>
    <w:link w:val="Heading2Char"/>
    <w:uiPriority w:val="1"/>
    <w:qFormat/>
    <w:rsid w:val="001466EA"/>
    <w:pPr>
      <w:outlineLvl w:val="1"/>
    </w:pPr>
    <w:rPr>
      <w:b/>
      <w:bCs/>
      <w:i/>
      <w:szCs w:val="22"/>
    </w:rPr>
  </w:style>
  <w:style w:type="paragraph" w:styleId="Heading3">
    <w:name w:val="heading 3"/>
    <w:basedOn w:val="Normal"/>
    <w:next w:val="Normal"/>
    <w:uiPriority w:val="1"/>
    <w:qFormat/>
    <w:rsid w:val="00C6535E"/>
    <w:pPr>
      <w:outlineLvl w:val="2"/>
    </w:pPr>
    <w:rPr>
      <w:u w:val="single"/>
    </w:rPr>
  </w:style>
  <w:style w:type="paragraph" w:styleId="Heading4">
    <w:name w:val="heading 4"/>
    <w:basedOn w:val="Normal"/>
    <w:next w:val="Normal"/>
    <w:uiPriority w:val="5"/>
    <w:rsid w:val="00124A51"/>
    <w:pPr>
      <w:keepNext/>
      <w:spacing w:before="240" w:after="60"/>
      <w:outlineLvl w:val="3"/>
    </w:pPr>
    <w:rPr>
      <w:b/>
      <w:bCs/>
      <w:i/>
      <w:sz w:val="26"/>
      <w:szCs w:val="28"/>
    </w:rPr>
  </w:style>
  <w:style w:type="paragraph" w:styleId="Heading5">
    <w:name w:val="heading 5"/>
    <w:basedOn w:val="Normal"/>
    <w:next w:val="Normal"/>
    <w:uiPriority w:val="7"/>
    <w:rsid w:val="00124A51"/>
    <w:pPr>
      <w:spacing w:before="240" w:after="60"/>
      <w:outlineLvl w:val="4"/>
    </w:pPr>
    <w:rPr>
      <w:b/>
      <w:bCs/>
      <w:iCs/>
      <w:sz w:val="26"/>
      <w:szCs w:val="26"/>
    </w:rPr>
  </w:style>
  <w:style w:type="paragraph" w:styleId="Heading6">
    <w:name w:val="heading 6"/>
    <w:basedOn w:val="Normal"/>
    <w:next w:val="Normal"/>
    <w:uiPriority w:val="7"/>
    <w:rsid w:val="00124A51"/>
    <w:pPr>
      <w:spacing w:before="240" w:after="60"/>
      <w:outlineLvl w:val="5"/>
    </w:pPr>
    <w:rPr>
      <w:b/>
      <w:bCs/>
      <w:i/>
      <w:szCs w:val="22"/>
    </w:rPr>
  </w:style>
  <w:style w:type="paragraph" w:styleId="Heading7">
    <w:name w:val="heading 7"/>
    <w:basedOn w:val="Normal"/>
    <w:next w:val="Normal"/>
    <w:link w:val="Heading7Char"/>
    <w:uiPriority w:val="7"/>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uiPriority w:val="7"/>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uiPriority w:val="4"/>
    <w:qFormat/>
    <w:rsid w:val="00C6535E"/>
    <w:rPr>
      <w:rFonts w:ascii="Arial Narrow" w:hAnsi="Arial Narrow"/>
      <w:sz w:val="18"/>
    </w:rPr>
  </w:style>
  <w:style w:type="paragraph" w:customStyle="1" w:styleId="TableHeader">
    <w:name w:val="Table Header"/>
    <w:basedOn w:val="Normal"/>
    <w:next w:val="Normal"/>
    <w:uiPriority w:val="3"/>
    <w:qFormat/>
    <w:rsid w:val="00C6535E"/>
    <w:rPr>
      <w:rFonts w:ascii="Arial Narrow" w:hAnsi="Arial Narrow"/>
      <w:b/>
      <w:sz w:val="20"/>
    </w:rPr>
  </w:style>
  <w:style w:type="character" w:customStyle="1" w:styleId="Heading2Char">
    <w:name w:val="Heading 2 Char"/>
    <w:link w:val="Heading2"/>
    <w:uiPriority w:val="1"/>
    <w:rsid w:val="001466EA"/>
    <w:rPr>
      <w:rFonts w:ascii="Arial" w:hAnsi="Arial" w:cs="Arial"/>
      <w:b/>
      <w:bCs/>
      <w:i/>
      <w:snapToGrid w:val="0"/>
      <w:sz w:val="22"/>
      <w:szCs w:val="22"/>
      <w:lang w:eastAsia="en-US"/>
    </w:rPr>
  </w:style>
  <w:style w:type="character" w:customStyle="1" w:styleId="Heading7Char">
    <w:name w:val="Heading 7 Char"/>
    <w:basedOn w:val="DefaultParagraphFont"/>
    <w:link w:val="Heading7"/>
    <w:uiPriority w:val="7"/>
    <w:rsid w:val="00D97E30"/>
    <w:rPr>
      <w:rFonts w:ascii="Arial" w:hAnsi="Arial" w:cs="Arial"/>
      <w:b/>
      <w:snapToGrid w:val="0"/>
      <w:lang w:eastAsia="en-US"/>
    </w:rPr>
  </w:style>
  <w:style w:type="character" w:customStyle="1" w:styleId="Heading8Char">
    <w:name w:val="Heading 8 Char"/>
    <w:basedOn w:val="DefaultParagraphFont"/>
    <w:link w:val="Heading8"/>
    <w:uiPriority w:val="7"/>
    <w:rsid w:val="00D97E30"/>
    <w:rPr>
      <w:rFonts w:ascii="Arial" w:hAnsi="Arial" w:cs="Arial"/>
      <w:b/>
      <w:snapToGrid w:val="0"/>
      <w:sz w:val="22"/>
      <w:lang w:eastAsia="en-US"/>
    </w:rPr>
  </w:style>
  <w:style w:type="character" w:customStyle="1" w:styleId="Heading9Char">
    <w:name w:val="Heading 9 Char"/>
    <w:basedOn w:val="DefaultParagraphFont"/>
    <w:link w:val="Heading9"/>
    <w:uiPriority w:val="7"/>
    <w:rsid w:val="00D97E30"/>
    <w:rPr>
      <w:rFonts w:ascii="Arial" w:hAnsi="Arial" w:cs="Arial"/>
      <w:b/>
      <w:snapToGrid w:val="0"/>
      <w:color w:val="000000"/>
      <w:lang w:eastAsia="en-US"/>
    </w:rPr>
  </w:style>
  <w:style w:type="paragraph" w:styleId="Caption">
    <w:name w:val="caption"/>
    <w:basedOn w:val="Normal"/>
    <w:next w:val="TableHeader"/>
    <w:link w:val="CaptionChar"/>
    <w:uiPriority w:val="7"/>
    <w:unhideWhenUsed/>
    <w:rsid w:val="005C7F65"/>
    <w:rPr>
      <w:rFonts w:ascii="Arial Narrow" w:hAnsi="Arial Narrow"/>
      <w:b/>
      <w:bCs/>
      <w:sz w:val="20"/>
      <w:szCs w:val="18"/>
    </w:rPr>
  </w:style>
  <w:style w:type="character" w:customStyle="1" w:styleId="CaptionChar">
    <w:name w:val="Caption Char"/>
    <w:link w:val="Caption"/>
    <w:uiPriority w:val="7"/>
    <w:rsid w:val="005C7F65"/>
    <w:rPr>
      <w:rFonts w:ascii="Arial Narrow" w:hAnsi="Arial Narrow" w:cs="Arial"/>
      <w:b/>
      <w:bCs/>
      <w:snapToGrid w:val="0"/>
      <w:szCs w:val="18"/>
      <w:lang w:eastAsia="en-US"/>
    </w:rPr>
  </w:style>
  <w:style w:type="paragraph" w:styleId="Title">
    <w:name w:val="Title"/>
    <w:next w:val="Normal"/>
    <w:link w:val="TitleChar"/>
    <w:uiPriority w:val="7"/>
    <w:qFormat/>
    <w:rsid w:val="001466EA"/>
    <w:pPr>
      <w:outlineLvl w:val="0"/>
    </w:pPr>
    <w:rPr>
      <w:rFonts w:ascii="Arial Bold" w:hAnsi="Arial Bold" w:cs="Arial"/>
      <w:b/>
      <w:caps/>
      <w:snapToGrid w:val="0"/>
      <w:sz w:val="28"/>
      <w:lang w:eastAsia="en-US"/>
    </w:rPr>
  </w:style>
  <w:style w:type="character" w:customStyle="1" w:styleId="TitleChar">
    <w:name w:val="Title Char"/>
    <w:basedOn w:val="DefaultParagraphFont"/>
    <w:link w:val="Title"/>
    <w:uiPriority w:val="7"/>
    <w:rsid w:val="001466EA"/>
    <w:rPr>
      <w:rFonts w:ascii="Arial Bold" w:hAnsi="Arial Bold" w:cs="Arial"/>
      <w:b/>
      <w:caps/>
      <w:snapToGrid w:val="0"/>
      <w:sz w:val="28"/>
      <w:lang w:eastAsia="en-US"/>
    </w:rPr>
  </w:style>
  <w:style w:type="paragraph" w:styleId="BodyText">
    <w:name w:val="Body Text"/>
    <w:basedOn w:val="Normal"/>
    <w:link w:val="BodyTextChar"/>
    <w:uiPriority w:val="9"/>
    <w:rsid w:val="004B3DDB"/>
    <w:pPr>
      <w:jc w:val="left"/>
    </w:pPr>
  </w:style>
  <w:style w:type="character" w:customStyle="1" w:styleId="BodyTextChar">
    <w:name w:val="Body Text Char"/>
    <w:basedOn w:val="DefaultParagraphFont"/>
    <w:link w:val="BodyText"/>
    <w:uiPriority w:val="9"/>
    <w:rsid w:val="00D97E30"/>
    <w:rPr>
      <w:rFonts w:ascii="Arial" w:hAnsi="Arial" w:cs="Arial"/>
      <w:snapToGrid w:val="0"/>
      <w:sz w:val="22"/>
      <w:lang w:eastAsia="en-US"/>
    </w:rPr>
  </w:style>
  <w:style w:type="paragraph" w:styleId="ListParagraph">
    <w:name w:val="List Paragraph"/>
    <w:aliases w:val="BulletPoints"/>
    <w:basedOn w:val="Normal"/>
    <w:link w:val="ListParagraphChar"/>
    <w:uiPriority w:val="34"/>
    <w:qFormat/>
    <w:rsid w:val="00124A51"/>
    <w:pPr>
      <w:ind w:left="720"/>
      <w:contextualSpacing/>
    </w:pPr>
  </w:style>
  <w:style w:type="paragraph" w:customStyle="1" w:styleId="RegularText">
    <w:name w:val="Regular Text"/>
    <w:basedOn w:val="BodyText"/>
    <w:link w:val="RegularTextChar"/>
    <w:uiPriority w:val="9"/>
    <w:rsid w:val="00124A51"/>
    <w:rPr>
      <w:b/>
    </w:rPr>
  </w:style>
  <w:style w:type="paragraph" w:styleId="NoSpacing">
    <w:name w:val="No Spacing"/>
    <w:uiPriority w:val="7"/>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uiPriority w:val="9"/>
    <w:rsid w:val="00D97E30"/>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qFormat/>
    <w:rsid w:val="005C7F65"/>
    <w:rPr>
      <w:rFonts w:ascii="Arial Narrow" w:hAnsi="Arial Narrow"/>
      <w:b/>
      <w:sz w:val="20"/>
      <w:szCs w:val="16"/>
    </w:rPr>
  </w:style>
  <w:style w:type="paragraph" w:customStyle="1" w:styleId="Tabletext">
    <w:name w:val="Table text"/>
    <w:basedOn w:val="Normal"/>
    <w:link w:val="TabletextChar"/>
    <w:uiPriority w:val="2"/>
    <w:qFormat/>
    <w:rsid w:val="00C6535E"/>
    <w:pPr>
      <w:widowControl/>
      <w:jc w:val="left"/>
    </w:pPr>
    <w:rPr>
      <w:rFonts w:ascii="Arial Narrow" w:hAnsi="Arial Narrow" w:cs="Times New Roman"/>
      <w:snapToGrid/>
      <w:sz w:val="20"/>
    </w:rPr>
  </w:style>
  <w:style w:type="paragraph" w:customStyle="1" w:styleId="TableHeading">
    <w:name w:val="TableHeading"/>
    <w:basedOn w:val="Normal"/>
    <w:uiPriority w:val="9"/>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uiPriority w:val="2"/>
    <w:rsid w:val="00C6535E"/>
    <w:rPr>
      <w:rFonts w:ascii="Arial Narrow" w:hAnsi="Arial Narrow"/>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uiPriority w:val="9"/>
    <w:rsid w:val="00CE6274"/>
    <w:rPr>
      <w:rFonts w:ascii="Tahoma" w:hAnsi="Tahoma" w:cs="Tahoma"/>
      <w:sz w:val="16"/>
      <w:szCs w:val="16"/>
    </w:rPr>
  </w:style>
  <w:style w:type="character" w:customStyle="1" w:styleId="BalloonTextChar">
    <w:name w:val="Balloon Text Char"/>
    <w:basedOn w:val="DefaultParagraphFont"/>
    <w:link w:val="BalloonText"/>
    <w:uiPriority w:val="9"/>
    <w:rsid w:val="00D97E30"/>
    <w:rPr>
      <w:rFonts w:ascii="Tahoma" w:hAnsi="Tahoma" w:cs="Tahoma"/>
      <w:snapToGrid w:val="0"/>
      <w:sz w:val="16"/>
      <w:szCs w:val="16"/>
      <w:lang w:eastAsia="en-US"/>
    </w:rPr>
  </w:style>
  <w:style w:type="paragraph" w:styleId="BodyText3">
    <w:name w:val="Body Text 3"/>
    <w:basedOn w:val="Normal"/>
    <w:link w:val="BodyText3Char"/>
    <w:uiPriority w:val="9"/>
    <w:rsid w:val="00CE6274"/>
    <w:pPr>
      <w:spacing w:after="120"/>
    </w:pPr>
    <w:rPr>
      <w:sz w:val="16"/>
      <w:szCs w:val="16"/>
    </w:rPr>
  </w:style>
  <w:style w:type="character" w:customStyle="1" w:styleId="BodyText3Char">
    <w:name w:val="Body Text 3 Char"/>
    <w:basedOn w:val="DefaultParagraphFont"/>
    <w:link w:val="BodyText3"/>
    <w:uiPriority w:val="9"/>
    <w:rsid w:val="00D97E30"/>
    <w:rPr>
      <w:rFonts w:ascii="Arial" w:hAnsi="Arial" w:cs="Arial"/>
      <w:snapToGrid w:val="0"/>
      <w:sz w:val="16"/>
      <w:szCs w:val="16"/>
      <w:lang w:eastAsia="en-US"/>
    </w:rPr>
  </w:style>
  <w:style w:type="paragraph" w:styleId="TOC4">
    <w:name w:val="toc 4"/>
    <w:basedOn w:val="Normal"/>
    <w:next w:val="Normal"/>
    <w:autoRedefine/>
    <w:uiPriority w:val="9"/>
    <w:rsid w:val="00D0262E"/>
    <w:pPr>
      <w:ind w:left="660"/>
      <w:jc w:val="left"/>
    </w:pPr>
    <w:rPr>
      <w:rFonts w:asciiTheme="minorHAnsi" w:hAnsiTheme="minorHAnsi"/>
      <w:sz w:val="20"/>
    </w:rPr>
  </w:style>
  <w:style w:type="paragraph" w:styleId="TOC5">
    <w:name w:val="toc 5"/>
    <w:basedOn w:val="Normal"/>
    <w:next w:val="Normal"/>
    <w:autoRedefine/>
    <w:uiPriority w:val="9"/>
    <w:rsid w:val="00D0262E"/>
    <w:pPr>
      <w:ind w:left="880"/>
      <w:jc w:val="left"/>
    </w:pPr>
    <w:rPr>
      <w:rFonts w:asciiTheme="minorHAnsi" w:hAnsiTheme="minorHAnsi"/>
      <w:sz w:val="20"/>
    </w:rPr>
  </w:style>
  <w:style w:type="paragraph" w:styleId="TOC6">
    <w:name w:val="toc 6"/>
    <w:basedOn w:val="Normal"/>
    <w:next w:val="Normal"/>
    <w:autoRedefine/>
    <w:uiPriority w:val="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9"/>
    <w:rsid w:val="00D0262E"/>
    <w:pPr>
      <w:ind w:left="1540"/>
      <w:jc w:val="left"/>
    </w:pPr>
    <w:rPr>
      <w:rFonts w:asciiTheme="minorHAnsi" w:hAnsiTheme="minorHAnsi"/>
      <w:sz w:val="20"/>
    </w:rPr>
  </w:style>
  <w:style w:type="paragraph" w:styleId="TOC9">
    <w:name w:val="toc 9"/>
    <w:basedOn w:val="Normal"/>
    <w:next w:val="Normal"/>
    <w:autoRedefine/>
    <w:uiPriority w:val="9"/>
    <w:rsid w:val="00D0262E"/>
    <w:pPr>
      <w:ind w:left="1760"/>
      <w:jc w:val="left"/>
    </w:pPr>
    <w:rPr>
      <w:rFonts w:asciiTheme="minorHAnsi" w:hAnsiTheme="minorHAnsi"/>
      <w:sz w:val="20"/>
    </w:rPr>
  </w:style>
  <w:style w:type="paragraph" w:styleId="BodyText2">
    <w:name w:val="Body Text 2"/>
    <w:basedOn w:val="Normal"/>
    <w:link w:val="BodyText2Char"/>
    <w:uiPriority w:val="9"/>
    <w:rsid w:val="00D17D6C"/>
    <w:pPr>
      <w:spacing w:after="120" w:line="480" w:lineRule="auto"/>
    </w:pPr>
  </w:style>
  <w:style w:type="character" w:customStyle="1" w:styleId="BodyText2Char">
    <w:name w:val="Body Text 2 Char"/>
    <w:basedOn w:val="DefaultParagraphFont"/>
    <w:link w:val="BodyText2"/>
    <w:uiPriority w:val="9"/>
    <w:rsid w:val="00D97E30"/>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uiPriority w:val="9"/>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uiPriority w:val="9"/>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uiPriority w:val="9"/>
    <w:rsid w:val="00CA7B09"/>
    <w:pPr>
      <w:keepNext w:val="0"/>
      <w:keepLines/>
      <w:spacing w:before="0" w:after="360"/>
      <w:ind w:left="720"/>
    </w:pPr>
    <w:rPr>
      <w:sz w:val="18"/>
      <w:szCs w:val="18"/>
    </w:rPr>
  </w:style>
  <w:style w:type="paragraph" w:customStyle="1" w:styleId="TableNotes0">
    <w:name w:val="TableNotes+0"/>
    <w:basedOn w:val="TableNotes18"/>
    <w:uiPriority w:val="9"/>
    <w:rsid w:val="00CA7B09"/>
    <w:pPr>
      <w:keepNext/>
      <w:spacing w:after="0"/>
    </w:pPr>
  </w:style>
  <w:style w:type="paragraph" w:styleId="CommentSubject">
    <w:name w:val="annotation subject"/>
    <w:basedOn w:val="CommentText"/>
    <w:next w:val="CommentText"/>
    <w:link w:val="CommentSubjectChar"/>
    <w:uiPriority w:val="9"/>
    <w:rsid w:val="004319F8"/>
    <w:rPr>
      <w:rFonts w:ascii="Arial" w:hAnsi="Arial" w:cs="Arial"/>
      <w:b/>
      <w:bCs/>
    </w:rPr>
  </w:style>
  <w:style w:type="character" w:customStyle="1" w:styleId="CommentSubjectChar">
    <w:name w:val="Comment Subject Char"/>
    <w:basedOn w:val="CommentTextChar"/>
    <w:link w:val="CommentSubject"/>
    <w:uiPriority w:val="9"/>
    <w:rsid w:val="00D97E30"/>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uiPriority w:val="9"/>
    <w:rsid w:val="00E41E30"/>
    <w:pPr>
      <w:spacing w:after="120"/>
      <w:ind w:left="283"/>
    </w:pPr>
  </w:style>
  <w:style w:type="character" w:customStyle="1" w:styleId="BodyTextIndentChar">
    <w:name w:val="Body Text Indent Char"/>
    <w:basedOn w:val="DefaultParagraphFont"/>
    <w:link w:val="BodyTextIndent"/>
    <w:uiPriority w:val="9"/>
    <w:rsid w:val="00D97E30"/>
    <w:rPr>
      <w:rFonts w:ascii="Arial" w:hAnsi="Arial" w:cs="Arial"/>
      <w:snapToGrid w:val="0"/>
      <w:sz w:val="22"/>
      <w:lang w:eastAsia="en-US"/>
    </w:rPr>
  </w:style>
  <w:style w:type="paragraph" w:customStyle="1" w:styleId="Char1CharCharChar">
    <w:name w:val="Char1 Char Char Char"/>
    <w:basedOn w:val="Normal"/>
    <w:uiPriority w:val="9"/>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aliases w:val="PBAC Paragraph Char"/>
    <w:link w:val="Subtitle"/>
    <w:uiPriority w:val="9"/>
    <w:rsid w:val="00D97E30"/>
    <w:rPr>
      <w:lang w:eastAsia="en-US"/>
    </w:rPr>
  </w:style>
  <w:style w:type="paragraph" w:styleId="Subtitle">
    <w:name w:val="Subtitle"/>
    <w:aliases w:val="PBAC Paragraph"/>
    <w:basedOn w:val="Normal"/>
    <w:link w:val="SubtitleChar"/>
    <w:uiPriority w:val="11"/>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uiPriority w:val="9"/>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3"/>
      </w:numPr>
    </w:pPr>
    <w:rPr>
      <w:rFonts w:ascii="Arial" w:hAnsi="Arial" w:cs="Arial"/>
      <w:b/>
      <w:snapToGrid w:val="0"/>
      <w:sz w:val="22"/>
      <w:szCs w:val="22"/>
      <w:lang w:eastAsia="en-US"/>
    </w:rPr>
  </w:style>
  <w:style w:type="table" w:customStyle="1" w:styleId="TableGrid1">
    <w:name w:val="Table Grid1"/>
    <w:basedOn w:val="TableNormal"/>
    <w:next w:val="TableGrid"/>
    <w:uiPriority w:val="59"/>
    <w:rsid w:val="00C803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D97E30"/>
  </w:style>
  <w:style w:type="character" w:customStyle="1" w:styleId="Small">
    <w:name w:val="Small"/>
    <w:basedOn w:val="DefaultParagraphFont"/>
    <w:uiPriority w:val="4"/>
    <w:qFormat/>
    <w:rsid w:val="00CB763F"/>
    <w:rPr>
      <w:rFonts w:ascii="Candara" w:hAnsi="Candara"/>
      <w:sz w:val="20"/>
    </w:rPr>
  </w:style>
  <w:style w:type="paragraph" w:customStyle="1" w:styleId="TableLeft">
    <w:name w:val="Table Left"/>
    <w:basedOn w:val="Normal"/>
    <w:link w:val="TableLeftChar"/>
    <w:uiPriority w:val="99"/>
    <w:qFormat/>
    <w:rsid w:val="00CB763F"/>
    <w:pPr>
      <w:widowControl/>
      <w:jc w:val="left"/>
    </w:pPr>
    <w:rPr>
      <w:rFonts w:ascii="Candara" w:hAnsi="Candara" w:cs="Times New Roman"/>
      <w:snapToGrid/>
      <w:sz w:val="20"/>
      <w:szCs w:val="22"/>
    </w:rPr>
  </w:style>
  <w:style w:type="character" w:customStyle="1" w:styleId="TableLeftChar">
    <w:name w:val="Table Left Char"/>
    <w:basedOn w:val="DefaultParagraphFont"/>
    <w:link w:val="TableLeft"/>
    <w:uiPriority w:val="99"/>
    <w:locked/>
    <w:rsid w:val="00CB763F"/>
    <w:rPr>
      <w:rFonts w:ascii="Candara" w:hAnsi="Candara"/>
      <w:szCs w:val="22"/>
      <w:lang w:eastAsia="en-US"/>
    </w:rPr>
  </w:style>
  <w:style w:type="paragraph" w:customStyle="1" w:styleId="Table">
    <w:name w:val="Table"/>
    <w:basedOn w:val="Normal"/>
    <w:link w:val="TableChar"/>
    <w:qFormat/>
    <w:rsid w:val="00CB763F"/>
    <w:pPr>
      <w:widowControl/>
      <w:jc w:val="left"/>
    </w:pPr>
    <w:rPr>
      <w:rFonts w:ascii="Candara" w:eastAsiaTheme="majorEastAsia" w:hAnsi="Candara" w:cstheme="majorBidi"/>
      <w:snapToGrid/>
      <w:sz w:val="20"/>
      <w:szCs w:val="22"/>
      <w:lang w:bidi="en-US"/>
    </w:rPr>
  </w:style>
  <w:style w:type="character" w:customStyle="1" w:styleId="TableChar">
    <w:name w:val="Table Char"/>
    <w:basedOn w:val="DefaultParagraphFont"/>
    <w:link w:val="Table"/>
    <w:locked/>
    <w:rsid w:val="00CB763F"/>
    <w:rPr>
      <w:rFonts w:ascii="Candara" w:eastAsiaTheme="majorEastAsia" w:hAnsi="Candara" w:cstheme="majorBidi"/>
      <w:szCs w:val="22"/>
      <w:lang w:eastAsia="en-US" w:bidi="en-US"/>
    </w:rPr>
  </w:style>
  <w:style w:type="paragraph" w:styleId="FootnoteText">
    <w:name w:val="footnote text"/>
    <w:basedOn w:val="Normal"/>
    <w:link w:val="FootnoteTextChar"/>
    <w:semiHidden/>
    <w:unhideWhenUsed/>
    <w:rsid w:val="00466A5C"/>
    <w:rPr>
      <w:sz w:val="20"/>
    </w:rPr>
  </w:style>
  <w:style w:type="character" w:customStyle="1" w:styleId="FootnoteTextChar">
    <w:name w:val="Footnote Text Char"/>
    <w:basedOn w:val="DefaultParagraphFont"/>
    <w:link w:val="FootnoteText"/>
    <w:semiHidden/>
    <w:rsid w:val="00466A5C"/>
    <w:rPr>
      <w:rFonts w:ascii="Arial" w:hAnsi="Arial" w:cs="Arial"/>
      <w:snapToGrid w:val="0"/>
      <w:lang w:eastAsia="en-US"/>
    </w:rPr>
  </w:style>
  <w:style w:type="character" w:styleId="FootnoteReference">
    <w:name w:val="footnote reference"/>
    <w:basedOn w:val="DefaultParagraphFont"/>
    <w:semiHidden/>
    <w:unhideWhenUsed/>
    <w:rsid w:val="00466A5C"/>
    <w:rPr>
      <w:vertAlign w:val="superscript"/>
    </w:rPr>
  </w:style>
  <w:style w:type="paragraph" w:customStyle="1" w:styleId="TableBullets">
    <w:name w:val="Table Bullets"/>
    <w:basedOn w:val="Normal"/>
    <w:uiPriority w:val="5"/>
    <w:qFormat/>
    <w:rsid w:val="007F2311"/>
    <w:pPr>
      <w:widowControl/>
      <w:numPr>
        <w:numId w:val="10"/>
      </w:numPr>
      <w:ind w:left="357" w:hanging="357"/>
      <w:jc w:val="left"/>
    </w:pPr>
    <w:rPr>
      <w:rFonts w:ascii="Candara" w:eastAsiaTheme="majorEastAsia" w:hAnsi="Candara" w:cstheme="majorBidi"/>
      <w:snapToGrid/>
      <w:sz w:val="20"/>
      <w:szCs w:val="22"/>
      <w:lang w:bidi="en-US"/>
    </w:rPr>
  </w:style>
  <w:style w:type="paragraph" w:customStyle="1" w:styleId="TableCentre">
    <w:name w:val="Table Centre"/>
    <w:basedOn w:val="Normal"/>
    <w:qFormat/>
    <w:rsid w:val="007F2311"/>
    <w:pPr>
      <w:widowControl/>
      <w:jc w:val="center"/>
    </w:pPr>
    <w:rPr>
      <w:rFonts w:ascii="Candara" w:eastAsiaTheme="majorEastAsia" w:hAnsi="Candara" w:cstheme="majorBidi"/>
      <w:snapToGrid/>
      <w:sz w:val="20"/>
      <w:szCs w:val="22"/>
      <w:lang w:bidi="en-US"/>
    </w:rPr>
  </w:style>
  <w:style w:type="character" w:customStyle="1" w:styleId="ListParagraphChar">
    <w:name w:val="List Paragraph Char"/>
    <w:aliases w:val="BulletPoints Char"/>
    <w:basedOn w:val="DefaultParagraphFont"/>
    <w:link w:val="ListParagraph"/>
    <w:uiPriority w:val="34"/>
    <w:rsid w:val="00C975FF"/>
    <w:rPr>
      <w:rFonts w:ascii="Arial" w:hAnsi="Arial" w:cs="Arial"/>
      <w:snapToGrid w:val="0"/>
      <w:sz w:val="22"/>
      <w:lang w:eastAsia="en-US"/>
    </w:rPr>
  </w:style>
  <w:style w:type="paragraph" w:customStyle="1" w:styleId="EndNoteBibliographyTitle">
    <w:name w:val="EndNote Bibliography Title"/>
    <w:basedOn w:val="Normal"/>
    <w:link w:val="EndNoteBibliographyTitleChar"/>
    <w:rsid w:val="00A63E4C"/>
    <w:pPr>
      <w:jc w:val="center"/>
    </w:pPr>
    <w:rPr>
      <w:noProof/>
      <w:lang w:val="en-US"/>
    </w:rPr>
  </w:style>
  <w:style w:type="character" w:customStyle="1" w:styleId="EndNoteBibliographyTitleChar">
    <w:name w:val="EndNote Bibliography Title Char"/>
    <w:basedOn w:val="ListParagraphChar"/>
    <w:link w:val="EndNoteBibliographyTitle"/>
    <w:rsid w:val="00A63E4C"/>
    <w:rPr>
      <w:rFonts w:ascii="Arial" w:hAnsi="Arial" w:cs="Arial"/>
      <w:noProof/>
      <w:snapToGrid w:val="0"/>
      <w:sz w:val="22"/>
      <w:lang w:val="en-US" w:eastAsia="en-US"/>
    </w:rPr>
  </w:style>
  <w:style w:type="paragraph" w:customStyle="1" w:styleId="EndNoteBibliography">
    <w:name w:val="EndNote Bibliography"/>
    <w:basedOn w:val="Normal"/>
    <w:link w:val="EndNoteBibliographyChar"/>
    <w:rsid w:val="00A63E4C"/>
    <w:rPr>
      <w:noProof/>
      <w:lang w:val="en-US"/>
    </w:rPr>
  </w:style>
  <w:style w:type="character" w:customStyle="1" w:styleId="EndNoteBibliographyChar">
    <w:name w:val="EndNote Bibliography Char"/>
    <w:basedOn w:val="ListParagraphChar"/>
    <w:link w:val="EndNoteBibliography"/>
    <w:rsid w:val="00A63E4C"/>
    <w:rPr>
      <w:rFonts w:ascii="Arial" w:hAnsi="Arial" w:cs="Arial"/>
      <w:noProof/>
      <w:snapToGrid w:val="0"/>
      <w:sz w:val="22"/>
      <w:lang w:val="en-US" w:eastAsia="en-US"/>
    </w:rPr>
  </w:style>
  <w:style w:type="character" w:customStyle="1" w:styleId="TableText1">
    <w:name w:val="Table Text"/>
    <w:basedOn w:val="DefaultParagraphFont"/>
    <w:uiPriority w:val="99"/>
    <w:qFormat/>
    <w:rsid w:val="00794F0A"/>
    <w:rPr>
      <w:sz w:val="20"/>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F15765"/>
    <w:pPr>
      <w:widowControl/>
      <w:spacing w:after="160" w:line="240" w:lineRule="exact"/>
      <w:jc w:val="left"/>
    </w:pPr>
    <w:rPr>
      <w:rFonts w:ascii="Verdana" w:eastAsia="MS Mincho" w:hAnsi="Verdana" w:cs="Verdana"/>
      <w:snapToGrid/>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156187">
      <w:bodyDiv w:val="1"/>
      <w:marLeft w:val="0"/>
      <w:marRight w:val="0"/>
      <w:marTop w:val="0"/>
      <w:marBottom w:val="0"/>
      <w:divBdr>
        <w:top w:val="none" w:sz="0" w:space="0" w:color="auto"/>
        <w:left w:val="none" w:sz="0" w:space="0" w:color="auto"/>
        <w:bottom w:val="none" w:sz="0" w:space="0" w:color="auto"/>
        <w:right w:val="none" w:sz="0" w:space="0" w:color="auto"/>
      </w:divBdr>
    </w:div>
    <w:div w:id="987443570">
      <w:bodyDiv w:val="1"/>
      <w:marLeft w:val="0"/>
      <w:marRight w:val="0"/>
      <w:marTop w:val="0"/>
      <w:marBottom w:val="0"/>
      <w:divBdr>
        <w:top w:val="none" w:sz="0" w:space="0" w:color="auto"/>
        <w:left w:val="none" w:sz="0" w:space="0" w:color="auto"/>
        <w:bottom w:val="none" w:sz="0" w:space="0" w:color="auto"/>
        <w:right w:val="none" w:sz="0" w:space="0" w:color="auto"/>
      </w:divBdr>
    </w:div>
    <w:div w:id="1024134871">
      <w:bodyDiv w:val="1"/>
      <w:marLeft w:val="0"/>
      <w:marRight w:val="0"/>
      <w:marTop w:val="0"/>
      <w:marBottom w:val="0"/>
      <w:divBdr>
        <w:top w:val="none" w:sz="0" w:space="0" w:color="auto"/>
        <w:left w:val="none" w:sz="0" w:space="0" w:color="auto"/>
        <w:bottom w:val="none" w:sz="0" w:space="0" w:color="auto"/>
        <w:right w:val="none" w:sz="0" w:space="0" w:color="auto"/>
      </w:divBdr>
    </w:div>
    <w:div w:id="1242837677">
      <w:bodyDiv w:val="1"/>
      <w:marLeft w:val="0"/>
      <w:marRight w:val="0"/>
      <w:marTop w:val="0"/>
      <w:marBottom w:val="0"/>
      <w:divBdr>
        <w:top w:val="none" w:sz="0" w:space="0" w:color="auto"/>
        <w:left w:val="none" w:sz="0" w:space="0" w:color="auto"/>
        <w:bottom w:val="none" w:sz="0" w:space="0" w:color="auto"/>
        <w:right w:val="none" w:sz="0" w:space="0" w:color="auto"/>
      </w:divBdr>
    </w:div>
    <w:div w:id="1479685544">
      <w:bodyDiv w:val="1"/>
      <w:marLeft w:val="0"/>
      <w:marRight w:val="0"/>
      <w:marTop w:val="0"/>
      <w:marBottom w:val="0"/>
      <w:divBdr>
        <w:top w:val="none" w:sz="0" w:space="0" w:color="auto"/>
        <w:left w:val="none" w:sz="0" w:space="0" w:color="auto"/>
        <w:bottom w:val="none" w:sz="0" w:space="0" w:color="auto"/>
        <w:right w:val="none" w:sz="0" w:space="0" w:color="auto"/>
      </w:divBdr>
    </w:div>
    <w:div w:id="1736853139">
      <w:bodyDiv w:val="1"/>
      <w:marLeft w:val="0"/>
      <w:marRight w:val="0"/>
      <w:marTop w:val="0"/>
      <w:marBottom w:val="0"/>
      <w:divBdr>
        <w:top w:val="none" w:sz="0" w:space="0" w:color="auto"/>
        <w:left w:val="none" w:sz="0" w:space="0" w:color="auto"/>
        <w:bottom w:val="none" w:sz="0" w:space="0" w:color="auto"/>
        <w:right w:val="none" w:sz="0" w:space="0" w:color="auto"/>
      </w:divBdr>
    </w:div>
    <w:div w:id="194190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s://pathways.nice.org.uk/pathways/heavy-menstrual-bleed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48FF9-437F-4FC2-B6DE-D2459D656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8772</Words>
  <Characters>50578</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59232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2016-10-12T05:35:00Z</dcterms:created>
  <dcterms:modified xsi:type="dcterms:W3CDTF">2016-10-12T05:46:00Z</dcterms:modified>
</cp:coreProperties>
</file>