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CE" w:rsidRPr="00FE7564" w:rsidRDefault="000C03CE" w:rsidP="000C03CE">
      <w:pPr>
        <w:rPr>
          <w:b/>
          <w:szCs w:val="20"/>
        </w:rPr>
      </w:pPr>
    </w:p>
    <w:p w:rsidR="000C03CE" w:rsidRPr="00FE7564" w:rsidRDefault="000C03CE" w:rsidP="00FD2BA9">
      <w:pPr>
        <w:pStyle w:val="BodyText"/>
        <w:rPr>
          <w:rFonts w:ascii="Arial Bold" w:hAnsi="Arial Bold"/>
          <w:b/>
          <w:caps/>
        </w:rPr>
      </w:pPr>
    </w:p>
    <w:p w:rsidR="00091432" w:rsidRPr="0031771D" w:rsidRDefault="00393187" w:rsidP="0031771D">
      <w:pPr>
        <w:pStyle w:val="Title"/>
      </w:pPr>
      <w:bookmarkStart w:id="0" w:name="_Toc451265334"/>
      <w:r w:rsidRPr="0031771D">
        <w:t>4.01</w:t>
      </w:r>
      <w:r w:rsidR="00FD2BA9" w:rsidRPr="0031771D">
        <w:tab/>
      </w:r>
      <w:r w:rsidR="002934E3" w:rsidRPr="0031771D">
        <w:t xml:space="preserve">TRAMETINIB, </w:t>
      </w:r>
    </w:p>
    <w:p w:rsidR="00091432" w:rsidRPr="0031771D" w:rsidRDefault="002934E3" w:rsidP="0031771D">
      <w:pPr>
        <w:pStyle w:val="Title"/>
        <w:ind w:left="720"/>
      </w:pPr>
      <w:r w:rsidRPr="0031771D">
        <w:t>500 </w:t>
      </w:r>
      <w:r w:rsidR="00FD2BA9" w:rsidRPr="0031771D">
        <w:t>microgram tablet, 30, 2</w:t>
      </w:r>
      <w:r w:rsidRPr="0031771D">
        <w:rPr>
          <w:rFonts w:hint="eastAsia"/>
        </w:rPr>
        <w:t> </w:t>
      </w:r>
      <w:r w:rsidR="00FD2BA9" w:rsidRPr="0031771D">
        <w:t xml:space="preserve">mg tablet, 30, </w:t>
      </w:r>
    </w:p>
    <w:p w:rsidR="00FD2BA9" w:rsidRPr="0031771D" w:rsidRDefault="00FD2BA9" w:rsidP="0031771D">
      <w:pPr>
        <w:pStyle w:val="Title"/>
        <w:ind w:left="720"/>
      </w:pPr>
      <w:r w:rsidRPr="0031771D">
        <w:t>Mekinist®, Novartis Pharmaceuticals Australia Pty Limited</w:t>
      </w:r>
      <w:bookmarkEnd w:id="0"/>
    </w:p>
    <w:p w:rsidR="00FD2BA9" w:rsidRDefault="00FD2BA9" w:rsidP="00FD2BA9"/>
    <w:p w:rsidR="00F71733" w:rsidRPr="00FE7564" w:rsidRDefault="00F71733" w:rsidP="00FD2BA9"/>
    <w:p w:rsidR="00FD2BA9" w:rsidRPr="0031771D" w:rsidRDefault="00FD2BA9" w:rsidP="0031771D">
      <w:pPr>
        <w:pStyle w:val="Heading1"/>
      </w:pPr>
      <w:bookmarkStart w:id="1" w:name="_Toc451265336"/>
      <w:r w:rsidRPr="0031771D">
        <w:t>Purpose of Application</w:t>
      </w:r>
      <w:bookmarkEnd w:id="1"/>
    </w:p>
    <w:p w:rsidR="00FD2BA9" w:rsidRPr="00FE7564" w:rsidRDefault="00FD2BA9" w:rsidP="00FD2BA9">
      <w:pPr>
        <w:rPr>
          <w:szCs w:val="22"/>
        </w:rPr>
      </w:pPr>
    </w:p>
    <w:p w:rsidR="00FD2BA9" w:rsidRPr="00FE7564" w:rsidRDefault="00FD2BA9" w:rsidP="00FD2BA9">
      <w:pPr>
        <w:pStyle w:val="ListParagraph"/>
        <w:widowControl/>
        <w:numPr>
          <w:ilvl w:val="1"/>
          <w:numId w:val="8"/>
        </w:numPr>
        <w:rPr>
          <w:szCs w:val="22"/>
        </w:rPr>
      </w:pPr>
      <w:proofErr w:type="spellStart"/>
      <w:r w:rsidRPr="00FE7564">
        <w:t>Trametinib</w:t>
      </w:r>
      <w:proofErr w:type="spellEnd"/>
      <w:r w:rsidRPr="00FE7564">
        <w:t xml:space="preserve"> has a Section 85 Authority required listing in combination with </w:t>
      </w:r>
      <w:proofErr w:type="spellStart"/>
      <w:r w:rsidRPr="00FE7564">
        <w:t>dabrafenib</w:t>
      </w:r>
      <w:proofErr w:type="spellEnd"/>
      <w:r w:rsidRPr="00FE7564">
        <w:t xml:space="preserve"> for the treatment of </w:t>
      </w:r>
      <w:proofErr w:type="spellStart"/>
      <w:r w:rsidRPr="00FE7564">
        <w:t>unresectable</w:t>
      </w:r>
      <w:proofErr w:type="spellEnd"/>
      <w:r w:rsidRPr="00FE7564">
        <w:t xml:space="preserve"> or metastatic melanoma in patients with BRAF V600 mutation.</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t>The submission was lodged to fulfil the requirements of the Man</w:t>
      </w:r>
      <w:r w:rsidR="0095151B" w:rsidRPr="00FE7564">
        <w:t>a</w:t>
      </w:r>
      <w:r w:rsidRPr="00FE7564">
        <w:t xml:space="preserve">ged Entry Scheme (MES) under which </w:t>
      </w:r>
      <w:proofErr w:type="spellStart"/>
      <w:r w:rsidR="008753EB" w:rsidRPr="00FE7564">
        <w:t>trametinib</w:t>
      </w:r>
      <w:proofErr w:type="spellEnd"/>
      <w:r w:rsidR="008753EB" w:rsidRPr="00FE7564">
        <w:t xml:space="preserve"> </w:t>
      </w:r>
      <w:r w:rsidRPr="00FE7564">
        <w:t>was PBS-listed.</w:t>
      </w:r>
    </w:p>
    <w:p w:rsidR="00FD2BA9" w:rsidRPr="00FE7564" w:rsidRDefault="00FD2BA9" w:rsidP="00FD2BA9"/>
    <w:p w:rsidR="00370C7B" w:rsidRPr="00FE7564" w:rsidRDefault="00370C7B" w:rsidP="00FD2BA9"/>
    <w:p w:rsidR="00FD2BA9" w:rsidRPr="00FE7564" w:rsidRDefault="00FD2BA9" w:rsidP="0031771D">
      <w:pPr>
        <w:pStyle w:val="Heading1"/>
      </w:pPr>
      <w:bookmarkStart w:id="2" w:name="_Toc451265337"/>
      <w:r w:rsidRPr="00FE7564">
        <w:t>Requested listing</w:t>
      </w:r>
      <w:bookmarkEnd w:id="2"/>
    </w:p>
    <w:p w:rsidR="00FD2BA9" w:rsidRPr="00FE7564" w:rsidRDefault="00FD2BA9" w:rsidP="00FD2BA9"/>
    <w:p w:rsidR="00FD2BA9" w:rsidRPr="00FE7564" w:rsidRDefault="00FD2BA9" w:rsidP="00FD2BA9">
      <w:pPr>
        <w:pStyle w:val="ListParagraph"/>
        <w:widowControl/>
        <w:numPr>
          <w:ilvl w:val="1"/>
          <w:numId w:val="8"/>
        </w:numPr>
        <w:rPr>
          <w:szCs w:val="22"/>
        </w:rPr>
      </w:pPr>
      <w:r w:rsidRPr="00FE7564">
        <w:t>The submission was not seeking any changes in the restriction, which is summarised below</w:t>
      </w:r>
      <w:r w:rsidR="008753EB" w:rsidRPr="00FE7564">
        <w:t xml:space="preserve">, although a reduced effective price </w:t>
      </w:r>
      <w:r w:rsidR="00B234A8" w:rsidRPr="00FE7564">
        <w:t>wa</w:t>
      </w:r>
      <w:r w:rsidR="008753EB" w:rsidRPr="00FE7564">
        <w:t xml:space="preserve">s applied, based on </w:t>
      </w:r>
      <w:r w:rsidR="00B234A8" w:rsidRPr="00FE7564">
        <w:t xml:space="preserve">the </w:t>
      </w:r>
      <w:r w:rsidR="008753EB" w:rsidRPr="00FE7564">
        <w:t>updated clinical trial data and economic evaluation</w:t>
      </w:r>
      <w:r w:rsidRPr="00FE7564">
        <w:t xml:space="preserve">. </w:t>
      </w:r>
      <w:proofErr w:type="spellStart"/>
      <w:r w:rsidRPr="00FE7564">
        <w:t>Trametinib</w:t>
      </w:r>
      <w:proofErr w:type="spellEnd"/>
      <w:r w:rsidRPr="00FE7564">
        <w:t xml:space="preserve"> was TGA registered on 14 February 2014 for the following indications:</w:t>
      </w:r>
    </w:p>
    <w:p w:rsidR="00FD2BA9" w:rsidRPr="00FE7564" w:rsidRDefault="00B234A8" w:rsidP="00FD2BA9">
      <w:pPr>
        <w:pStyle w:val="ListParagraph"/>
        <w:widowControl/>
        <w:numPr>
          <w:ilvl w:val="1"/>
          <w:numId w:val="30"/>
        </w:numPr>
        <w:rPr>
          <w:szCs w:val="22"/>
        </w:rPr>
      </w:pPr>
      <w:r w:rsidRPr="00FE7564">
        <w:t>I</w:t>
      </w:r>
      <w:r w:rsidR="00FD2BA9" w:rsidRPr="00FE7564">
        <w:t xml:space="preserve">n combination with </w:t>
      </w:r>
      <w:proofErr w:type="spellStart"/>
      <w:r w:rsidR="00FD2BA9" w:rsidRPr="00FE7564">
        <w:t>dabrafenib</w:t>
      </w:r>
      <w:proofErr w:type="spellEnd"/>
      <w:r w:rsidR="00FD2BA9" w:rsidRPr="00FE7564">
        <w:t xml:space="preserve"> for the treatment of patients with BRAFV600 mutation positive </w:t>
      </w:r>
      <w:proofErr w:type="spellStart"/>
      <w:r w:rsidR="00FD2BA9" w:rsidRPr="00FE7564">
        <w:t>unresectable</w:t>
      </w:r>
      <w:proofErr w:type="spellEnd"/>
      <w:r w:rsidR="00FD2BA9" w:rsidRPr="00FE7564">
        <w:t xml:space="preserve"> stage III or metastatic (stage IV) melanoma</w:t>
      </w:r>
      <w:r w:rsidRPr="00FE7564">
        <w:t>.</w:t>
      </w:r>
    </w:p>
    <w:p w:rsidR="003C29CE" w:rsidRDefault="00FD2BA9" w:rsidP="00FD2BA9">
      <w:pPr>
        <w:pStyle w:val="ListParagraph"/>
        <w:widowControl/>
        <w:numPr>
          <w:ilvl w:val="1"/>
          <w:numId w:val="30"/>
        </w:numPr>
        <w:rPr>
          <w:szCs w:val="22"/>
        </w:rPr>
      </w:pPr>
      <w:r w:rsidRPr="00FE7564">
        <w:rPr>
          <w:szCs w:val="22"/>
        </w:rPr>
        <w:t xml:space="preserve">As a monotherapy for the treatment of patients with BRAFV600 mutation positive </w:t>
      </w:r>
      <w:proofErr w:type="spellStart"/>
      <w:r w:rsidRPr="00FE7564">
        <w:rPr>
          <w:szCs w:val="22"/>
        </w:rPr>
        <w:t>unresectable</w:t>
      </w:r>
      <w:proofErr w:type="spellEnd"/>
      <w:r w:rsidRPr="00FE7564">
        <w:rPr>
          <w:szCs w:val="22"/>
        </w:rPr>
        <w:t xml:space="preserve"> stage III or metastatic (stage IV) melanoma and in whom either there is intolerance to BRAF inhibitors or BRAF inhibitors cannot be used</w:t>
      </w:r>
      <w:r w:rsidR="00B234A8" w:rsidRPr="00FE7564">
        <w:rPr>
          <w:szCs w:val="22"/>
        </w:rPr>
        <w:t>.</w:t>
      </w:r>
    </w:p>
    <w:p w:rsidR="0010168C" w:rsidRDefault="0010168C" w:rsidP="003C29CE">
      <w:pPr>
        <w:tabs>
          <w:tab w:val="left" w:pos="3060"/>
        </w:tabs>
      </w:pPr>
    </w:p>
    <w:p w:rsidR="00694449" w:rsidRPr="003C29CE" w:rsidRDefault="00694449" w:rsidP="003C29CE">
      <w:pPr>
        <w:tabs>
          <w:tab w:val="left" w:pos="3060"/>
        </w:tabs>
      </w:pPr>
    </w:p>
    <w:tbl>
      <w:tblPr>
        <w:tblW w:w="4593" w:type="pct"/>
        <w:tblInd w:w="748" w:type="dxa"/>
        <w:tblLayout w:type="fixed"/>
        <w:tblCellMar>
          <w:left w:w="28" w:type="dxa"/>
          <w:right w:w="28" w:type="dxa"/>
        </w:tblCellMar>
        <w:tblLook w:val="0000" w:firstRow="0" w:lastRow="0" w:firstColumn="0" w:lastColumn="0" w:noHBand="0" w:noVBand="0"/>
      </w:tblPr>
      <w:tblGrid>
        <w:gridCol w:w="2339"/>
        <w:gridCol w:w="1080"/>
        <w:gridCol w:w="1080"/>
        <w:gridCol w:w="2066"/>
        <w:gridCol w:w="899"/>
        <w:gridCol w:w="879"/>
      </w:tblGrid>
      <w:tr w:rsidR="00FD2BA9" w:rsidRPr="00FE7564" w:rsidTr="00FD2BA9">
        <w:trPr>
          <w:cantSplit/>
          <w:trHeight w:val="471"/>
        </w:trPr>
        <w:tc>
          <w:tcPr>
            <w:tcW w:w="1402" w:type="pct"/>
            <w:tcBorders>
              <w:bottom w:val="single" w:sz="4" w:space="0" w:color="auto"/>
            </w:tcBorders>
          </w:tcPr>
          <w:p w:rsidR="00FD2BA9" w:rsidRPr="00FE7564" w:rsidRDefault="00FD2BA9" w:rsidP="00C26563">
            <w:pPr>
              <w:keepNext/>
              <w:rPr>
                <w:rFonts w:ascii="Arial Narrow" w:hAnsi="Arial Narrow"/>
                <w:sz w:val="20"/>
                <w:szCs w:val="20"/>
              </w:rPr>
            </w:pPr>
            <w:r w:rsidRPr="00FE7564">
              <w:rPr>
                <w:rFonts w:ascii="Arial Narrow" w:hAnsi="Arial Narrow"/>
                <w:sz w:val="20"/>
                <w:szCs w:val="20"/>
              </w:rPr>
              <w:t>Name, Restriction,</w:t>
            </w:r>
          </w:p>
          <w:p w:rsidR="00FD2BA9" w:rsidRPr="00FE7564" w:rsidRDefault="00FD2BA9" w:rsidP="00C26563">
            <w:pPr>
              <w:keepNext/>
              <w:rPr>
                <w:rFonts w:ascii="Arial Narrow" w:hAnsi="Arial Narrow"/>
                <w:sz w:val="20"/>
                <w:szCs w:val="20"/>
              </w:rPr>
            </w:pPr>
            <w:r w:rsidRPr="00FE7564">
              <w:rPr>
                <w:rFonts w:ascii="Arial Narrow" w:hAnsi="Arial Narrow"/>
                <w:sz w:val="20"/>
                <w:szCs w:val="20"/>
              </w:rPr>
              <w:t>Manner of administration and form</w:t>
            </w:r>
          </w:p>
        </w:tc>
        <w:tc>
          <w:tcPr>
            <w:tcW w:w="647" w:type="pct"/>
            <w:tcBorders>
              <w:bottom w:val="single" w:sz="4" w:space="0" w:color="auto"/>
            </w:tcBorders>
          </w:tcPr>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Max.</w:t>
            </w:r>
          </w:p>
          <w:p w:rsidR="00FD2BA9" w:rsidRPr="00FE7564" w:rsidRDefault="00FD2BA9" w:rsidP="00C26563">
            <w:pPr>
              <w:keepNext/>
              <w:jc w:val="center"/>
              <w:rPr>
                <w:rFonts w:ascii="Arial Narrow" w:hAnsi="Arial Narrow"/>
                <w:sz w:val="20"/>
                <w:szCs w:val="20"/>
              </w:rPr>
            </w:pPr>
            <w:proofErr w:type="spellStart"/>
            <w:r w:rsidRPr="00FE7564">
              <w:rPr>
                <w:rFonts w:ascii="Arial Narrow" w:hAnsi="Arial Narrow"/>
                <w:sz w:val="20"/>
                <w:szCs w:val="20"/>
              </w:rPr>
              <w:t>Qty</w:t>
            </w:r>
            <w:proofErr w:type="spellEnd"/>
          </w:p>
        </w:tc>
        <w:tc>
          <w:tcPr>
            <w:tcW w:w="647" w:type="pct"/>
            <w:tcBorders>
              <w:bottom w:val="single" w:sz="4" w:space="0" w:color="auto"/>
            </w:tcBorders>
          </w:tcPr>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№.of</w:t>
            </w:r>
          </w:p>
          <w:p w:rsidR="00FD2BA9" w:rsidRPr="00FE7564" w:rsidRDefault="00FD2BA9" w:rsidP="00C26563">
            <w:pPr>
              <w:keepNext/>
              <w:jc w:val="center"/>
              <w:rPr>
                <w:rFonts w:ascii="Arial Narrow" w:hAnsi="Arial Narrow"/>
                <w:sz w:val="20"/>
                <w:szCs w:val="20"/>
              </w:rPr>
            </w:pPr>
            <w:proofErr w:type="spellStart"/>
            <w:r w:rsidRPr="00FE7564">
              <w:rPr>
                <w:rFonts w:ascii="Arial Narrow" w:hAnsi="Arial Narrow"/>
                <w:sz w:val="20"/>
                <w:szCs w:val="20"/>
              </w:rPr>
              <w:t>Rpts</w:t>
            </w:r>
            <w:proofErr w:type="spellEnd"/>
          </w:p>
        </w:tc>
        <w:tc>
          <w:tcPr>
            <w:tcW w:w="1238" w:type="pct"/>
            <w:tcBorders>
              <w:bottom w:val="single" w:sz="4" w:space="0" w:color="auto"/>
            </w:tcBorders>
          </w:tcPr>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 xml:space="preserve">Dispensed Price for Max. </w:t>
            </w:r>
            <w:proofErr w:type="spellStart"/>
            <w:r w:rsidRPr="00FE7564">
              <w:rPr>
                <w:rFonts w:ascii="Arial Narrow" w:hAnsi="Arial Narrow"/>
                <w:sz w:val="20"/>
                <w:szCs w:val="20"/>
              </w:rPr>
              <w:t>Qty</w:t>
            </w:r>
            <w:proofErr w:type="spellEnd"/>
          </w:p>
        </w:tc>
        <w:tc>
          <w:tcPr>
            <w:tcW w:w="1066" w:type="pct"/>
            <w:gridSpan w:val="2"/>
            <w:tcBorders>
              <w:bottom w:val="single" w:sz="4" w:space="0" w:color="auto"/>
            </w:tcBorders>
            <w:vAlign w:val="center"/>
          </w:tcPr>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Proprietary Name and Manufacturer</w:t>
            </w:r>
          </w:p>
        </w:tc>
      </w:tr>
      <w:tr w:rsidR="00FD2BA9" w:rsidRPr="00FE7564" w:rsidTr="00FD2BA9">
        <w:trPr>
          <w:cantSplit/>
          <w:trHeight w:val="577"/>
        </w:trPr>
        <w:tc>
          <w:tcPr>
            <w:tcW w:w="1402" w:type="pct"/>
          </w:tcPr>
          <w:p w:rsidR="00FD2BA9" w:rsidRPr="00FE7564" w:rsidRDefault="00FD2BA9" w:rsidP="00C26563">
            <w:pPr>
              <w:keepNext/>
              <w:rPr>
                <w:rFonts w:ascii="Arial Narrow" w:hAnsi="Arial Narrow"/>
                <w:sz w:val="20"/>
                <w:szCs w:val="20"/>
              </w:rPr>
            </w:pPr>
            <w:r w:rsidRPr="00FE7564">
              <w:rPr>
                <w:rFonts w:ascii="Arial Narrow" w:hAnsi="Arial Narrow"/>
                <w:smallCaps/>
                <w:sz w:val="20"/>
                <w:szCs w:val="20"/>
              </w:rPr>
              <w:t>TRAMETINIB</w:t>
            </w:r>
          </w:p>
          <w:p w:rsidR="00FD2BA9" w:rsidRPr="00FE7564" w:rsidRDefault="005E13FC" w:rsidP="00C26563">
            <w:pPr>
              <w:keepNext/>
              <w:rPr>
                <w:rFonts w:ascii="Arial Narrow" w:hAnsi="Arial Narrow"/>
                <w:sz w:val="20"/>
                <w:szCs w:val="20"/>
              </w:rPr>
            </w:pPr>
            <w:r w:rsidRPr="00FE7564">
              <w:rPr>
                <w:rFonts w:ascii="Arial Narrow" w:hAnsi="Arial Narrow"/>
                <w:sz w:val="20"/>
                <w:szCs w:val="20"/>
              </w:rPr>
              <w:t>T</w:t>
            </w:r>
            <w:r w:rsidR="00FD2BA9" w:rsidRPr="00FE7564">
              <w:rPr>
                <w:rFonts w:ascii="Arial Narrow" w:hAnsi="Arial Narrow"/>
                <w:sz w:val="20"/>
                <w:szCs w:val="20"/>
              </w:rPr>
              <w:t>ablet, 0.5</w:t>
            </w:r>
            <w:r w:rsidR="00370C7B" w:rsidRPr="00FE7564">
              <w:rPr>
                <w:rFonts w:ascii="Arial Narrow" w:hAnsi="Arial Narrow"/>
                <w:sz w:val="20"/>
                <w:szCs w:val="20"/>
              </w:rPr>
              <w:t> </w:t>
            </w:r>
            <w:r w:rsidR="00FD2BA9" w:rsidRPr="00FE7564">
              <w:rPr>
                <w:rFonts w:ascii="Arial Narrow" w:hAnsi="Arial Narrow"/>
                <w:sz w:val="20"/>
                <w:szCs w:val="20"/>
              </w:rPr>
              <w:t>mg</w:t>
            </w:r>
          </w:p>
          <w:p w:rsidR="00FD2BA9" w:rsidRPr="00FE7564" w:rsidRDefault="00FD2BA9" w:rsidP="00C26563">
            <w:pPr>
              <w:keepNext/>
              <w:rPr>
                <w:rFonts w:ascii="Arial Narrow" w:hAnsi="Arial Narrow"/>
                <w:sz w:val="20"/>
                <w:szCs w:val="20"/>
              </w:rPr>
            </w:pPr>
          </w:p>
          <w:p w:rsidR="00FD2BA9" w:rsidRPr="00FE7564" w:rsidRDefault="005E13FC" w:rsidP="00C26563">
            <w:pPr>
              <w:keepNext/>
              <w:rPr>
                <w:rFonts w:ascii="Arial Narrow" w:hAnsi="Arial Narrow"/>
                <w:sz w:val="20"/>
                <w:szCs w:val="20"/>
              </w:rPr>
            </w:pPr>
            <w:r w:rsidRPr="00FE7564">
              <w:rPr>
                <w:rFonts w:ascii="Arial Narrow" w:hAnsi="Arial Narrow"/>
                <w:sz w:val="20"/>
                <w:szCs w:val="20"/>
              </w:rPr>
              <w:t>T</w:t>
            </w:r>
            <w:r w:rsidR="00FD2BA9" w:rsidRPr="00FE7564">
              <w:rPr>
                <w:rFonts w:ascii="Arial Narrow" w:hAnsi="Arial Narrow"/>
                <w:sz w:val="20"/>
                <w:szCs w:val="20"/>
              </w:rPr>
              <w:t>ablet, 2</w:t>
            </w:r>
            <w:r w:rsidR="00370C7B" w:rsidRPr="00FE7564">
              <w:rPr>
                <w:rFonts w:ascii="Arial Narrow" w:hAnsi="Arial Narrow"/>
                <w:sz w:val="20"/>
                <w:szCs w:val="20"/>
              </w:rPr>
              <w:t> </w:t>
            </w:r>
            <w:r w:rsidR="00FD2BA9" w:rsidRPr="00FE7564">
              <w:rPr>
                <w:rFonts w:ascii="Arial Narrow" w:hAnsi="Arial Narrow"/>
                <w:sz w:val="20"/>
                <w:szCs w:val="20"/>
              </w:rPr>
              <w:t>mg</w:t>
            </w:r>
          </w:p>
          <w:p w:rsidR="00FD2BA9" w:rsidRPr="00FE7564" w:rsidRDefault="00FD2BA9" w:rsidP="00C26563">
            <w:pPr>
              <w:keepNext/>
              <w:rPr>
                <w:rFonts w:ascii="Arial Narrow" w:hAnsi="Arial Narrow"/>
                <w:sz w:val="20"/>
                <w:szCs w:val="20"/>
              </w:rPr>
            </w:pPr>
          </w:p>
          <w:p w:rsidR="00FD2BA9" w:rsidRPr="00FE7564" w:rsidRDefault="00FD2BA9" w:rsidP="00C26563">
            <w:pPr>
              <w:keepNext/>
              <w:rPr>
                <w:rFonts w:ascii="Arial Narrow" w:hAnsi="Arial Narrow"/>
                <w:smallCaps/>
                <w:sz w:val="20"/>
                <w:szCs w:val="20"/>
              </w:rPr>
            </w:pPr>
            <w:r w:rsidRPr="00FE7564">
              <w:rPr>
                <w:rFonts w:ascii="Arial Narrow" w:hAnsi="Arial Narrow"/>
                <w:smallCaps/>
                <w:sz w:val="20"/>
                <w:szCs w:val="20"/>
              </w:rPr>
              <w:t>DABRAFENIB</w:t>
            </w:r>
          </w:p>
          <w:p w:rsidR="00FD2BA9" w:rsidRPr="00FE7564" w:rsidRDefault="00FD2BA9" w:rsidP="00C26563">
            <w:pPr>
              <w:keepNext/>
              <w:rPr>
                <w:rFonts w:ascii="Arial Narrow" w:hAnsi="Arial Narrow"/>
                <w:sz w:val="20"/>
                <w:szCs w:val="20"/>
              </w:rPr>
            </w:pPr>
            <w:r w:rsidRPr="00FE7564">
              <w:rPr>
                <w:rFonts w:ascii="Arial Narrow" w:hAnsi="Arial Narrow"/>
                <w:sz w:val="20"/>
                <w:szCs w:val="20"/>
              </w:rPr>
              <w:t>Capsule, 50</w:t>
            </w:r>
            <w:r w:rsidR="00370C7B" w:rsidRPr="00FE7564">
              <w:rPr>
                <w:rFonts w:ascii="Arial Narrow" w:hAnsi="Arial Narrow"/>
                <w:sz w:val="20"/>
                <w:szCs w:val="20"/>
              </w:rPr>
              <w:t> </w:t>
            </w:r>
            <w:r w:rsidRPr="00FE7564">
              <w:rPr>
                <w:rFonts w:ascii="Arial Narrow" w:hAnsi="Arial Narrow"/>
                <w:sz w:val="20"/>
                <w:szCs w:val="20"/>
              </w:rPr>
              <w:t>mg</w:t>
            </w:r>
          </w:p>
          <w:p w:rsidR="00FD2BA9" w:rsidRPr="00FE7564" w:rsidRDefault="00FD2BA9" w:rsidP="00C26563">
            <w:pPr>
              <w:keepNext/>
              <w:rPr>
                <w:rFonts w:ascii="Arial Narrow" w:hAnsi="Arial Narrow"/>
                <w:sz w:val="20"/>
                <w:szCs w:val="20"/>
              </w:rPr>
            </w:pPr>
          </w:p>
          <w:p w:rsidR="00FD2BA9" w:rsidRPr="00FE7564" w:rsidRDefault="00FD2BA9" w:rsidP="00C26563">
            <w:pPr>
              <w:keepNext/>
              <w:rPr>
                <w:rFonts w:ascii="Arial Narrow" w:hAnsi="Arial Narrow"/>
                <w:sz w:val="20"/>
                <w:szCs w:val="20"/>
              </w:rPr>
            </w:pPr>
            <w:r w:rsidRPr="00FE7564">
              <w:rPr>
                <w:rFonts w:ascii="Arial Narrow" w:hAnsi="Arial Narrow"/>
                <w:sz w:val="20"/>
                <w:szCs w:val="20"/>
              </w:rPr>
              <w:t>Capsule 75</w:t>
            </w:r>
            <w:r w:rsidR="003A0D6C" w:rsidRPr="00FE7564">
              <w:rPr>
                <w:rFonts w:ascii="Arial Narrow" w:hAnsi="Arial Narrow"/>
                <w:sz w:val="20"/>
                <w:szCs w:val="20"/>
              </w:rPr>
              <w:t> </w:t>
            </w:r>
            <w:r w:rsidRPr="00FE7564">
              <w:rPr>
                <w:rFonts w:ascii="Arial Narrow" w:hAnsi="Arial Narrow"/>
                <w:sz w:val="20"/>
                <w:szCs w:val="20"/>
              </w:rPr>
              <w:t>mg</w:t>
            </w:r>
          </w:p>
        </w:tc>
        <w:tc>
          <w:tcPr>
            <w:tcW w:w="647" w:type="pct"/>
          </w:tcPr>
          <w:p w:rsidR="00FD2BA9" w:rsidRPr="00FE7564" w:rsidRDefault="00FD2BA9" w:rsidP="00C26563">
            <w:pPr>
              <w:keepNext/>
              <w:jc w:val="center"/>
              <w:rPr>
                <w:rFonts w:ascii="Arial Narrow" w:hAnsi="Arial Narrow"/>
                <w:sz w:val="20"/>
                <w:szCs w:val="20"/>
              </w:rPr>
            </w:pPr>
          </w:p>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90</w:t>
            </w:r>
          </w:p>
          <w:p w:rsidR="00FD2BA9" w:rsidRPr="00FE7564" w:rsidRDefault="00FD2BA9" w:rsidP="00C26563">
            <w:pPr>
              <w:keepNext/>
              <w:jc w:val="center"/>
              <w:rPr>
                <w:rFonts w:ascii="Arial Narrow" w:hAnsi="Arial Narrow"/>
                <w:sz w:val="20"/>
                <w:szCs w:val="20"/>
              </w:rPr>
            </w:pPr>
          </w:p>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30</w:t>
            </w:r>
          </w:p>
          <w:p w:rsidR="00FD2BA9" w:rsidRPr="00FE7564" w:rsidRDefault="00FD2BA9" w:rsidP="00C26563">
            <w:pPr>
              <w:keepNext/>
              <w:jc w:val="center"/>
              <w:rPr>
                <w:rFonts w:ascii="Arial Narrow" w:hAnsi="Arial Narrow"/>
                <w:sz w:val="20"/>
                <w:szCs w:val="20"/>
              </w:rPr>
            </w:pPr>
          </w:p>
          <w:p w:rsidR="00FD2BA9" w:rsidRPr="00FE7564" w:rsidRDefault="00FD2BA9" w:rsidP="00C26563">
            <w:pPr>
              <w:keepNext/>
              <w:jc w:val="center"/>
              <w:rPr>
                <w:rFonts w:ascii="Arial Narrow" w:hAnsi="Arial Narrow"/>
                <w:sz w:val="20"/>
                <w:szCs w:val="20"/>
              </w:rPr>
            </w:pPr>
          </w:p>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120</w:t>
            </w:r>
          </w:p>
          <w:p w:rsidR="00FD2BA9" w:rsidRPr="00FE7564" w:rsidRDefault="00FD2BA9" w:rsidP="00C26563">
            <w:pPr>
              <w:keepNext/>
              <w:jc w:val="center"/>
              <w:rPr>
                <w:rFonts w:ascii="Arial Narrow" w:hAnsi="Arial Narrow"/>
                <w:sz w:val="20"/>
                <w:szCs w:val="20"/>
              </w:rPr>
            </w:pPr>
          </w:p>
          <w:p w:rsidR="00FD2BA9" w:rsidRPr="00FE7564" w:rsidRDefault="00FD2BA9" w:rsidP="00C26563">
            <w:pPr>
              <w:keepNext/>
              <w:jc w:val="center"/>
              <w:rPr>
                <w:rFonts w:ascii="Arial Narrow" w:hAnsi="Arial Narrow"/>
                <w:sz w:val="20"/>
                <w:szCs w:val="20"/>
              </w:rPr>
            </w:pPr>
            <w:r w:rsidRPr="00FE7564">
              <w:rPr>
                <w:rFonts w:ascii="Arial Narrow" w:hAnsi="Arial Narrow"/>
                <w:sz w:val="20"/>
                <w:szCs w:val="20"/>
              </w:rPr>
              <w:t>120</w:t>
            </w:r>
          </w:p>
        </w:tc>
        <w:tc>
          <w:tcPr>
            <w:tcW w:w="647" w:type="pct"/>
          </w:tcPr>
          <w:p w:rsidR="00FD2BA9" w:rsidRPr="00961846" w:rsidRDefault="00FD2BA9" w:rsidP="00C26563">
            <w:pPr>
              <w:keepNext/>
              <w:jc w:val="center"/>
              <w:rPr>
                <w:rFonts w:ascii="Arial Narrow" w:hAnsi="Arial Narrow"/>
                <w:sz w:val="20"/>
                <w:szCs w:val="20"/>
              </w:rPr>
            </w:pP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3</w:t>
            </w:r>
          </w:p>
          <w:p w:rsidR="00FD2BA9" w:rsidRPr="00961846" w:rsidRDefault="00FD2BA9" w:rsidP="00C26563">
            <w:pPr>
              <w:keepNext/>
              <w:jc w:val="center"/>
              <w:rPr>
                <w:rFonts w:ascii="Arial Narrow" w:hAnsi="Arial Narrow"/>
                <w:sz w:val="20"/>
                <w:szCs w:val="20"/>
              </w:rPr>
            </w:pP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3</w:t>
            </w:r>
          </w:p>
          <w:p w:rsidR="00FD2BA9" w:rsidRPr="00961846" w:rsidRDefault="00FD2BA9" w:rsidP="00C26563">
            <w:pPr>
              <w:keepNext/>
              <w:jc w:val="center"/>
              <w:rPr>
                <w:rFonts w:ascii="Arial Narrow" w:hAnsi="Arial Narrow"/>
                <w:sz w:val="20"/>
                <w:szCs w:val="20"/>
              </w:rPr>
            </w:pPr>
          </w:p>
          <w:p w:rsidR="00FD2BA9" w:rsidRPr="00961846" w:rsidRDefault="00FD2BA9" w:rsidP="00C26563">
            <w:pPr>
              <w:keepNext/>
              <w:jc w:val="center"/>
              <w:rPr>
                <w:rFonts w:ascii="Arial Narrow" w:hAnsi="Arial Narrow"/>
                <w:sz w:val="20"/>
                <w:szCs w:val="20"/>
              </w:rPr>
            </w:pP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3</w:t>
            </w:r>
          </w:p>
          <w:p w:rsidR="00FD2BA9" w:rsidRPr="00961846" w:rsidRDefault="00FD2BA9" w:rsidP="00C26563">
            <w:pPr>
              <w:keepNext/>
              <w:jc w:val="center"/>
              <w:rPr>
                <w:rFonts w:ascii="Arial Narrow" w:hAnsi="Arial Narrow"/>
                <w:sz w:val="20"/>
                <w:szCs w:val="20"/>
              </w:rPr>
            </w:pP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3</w:t>
            </w:r>
          </w:p>
          <w:p w:rsidR="00FD2BA9" w:rsidRPr="00961846" w:rsidRDefault="00FD2BA9" w:rsidP="00C26563">
            <w:pPr>
              <w:keepNext/>
              <w:jc w:val="center"/>
              <w:rPr>
                <w:rFonts w:ascii="Arial Narrow" w:hAnsi="Arial Narrow"/>
                <w:sz w:val="20"/>
                <w:szCs w:val="20"/>
              </w:rPr>
            </w:pPr>
          </w:p>
        </w:tc>
        <w:tc>
          <w:tcPr>
            <w:tcW w:w="1238" w:type="pct"/>
          </w:tcPr>
          <w:p w:rsidR="00FD2BA9" w:rsidRPr="00961846" w:rsidRDefault="00FD2BA9" w:rsidP="00C26563">
            <w:pPr>
              <w:keepNext/>
              <w:jc w:val="center"/>
              <w:rPr>
                <w:rFonts w:ascii="Arial Narrow" w:hAnsi="Arial Narrow"/>
                <w:sz w:val="20"/>
                <w:szCs w:val="20"/>
              </w:rPr>
            </w:pP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$6,605.97 (published)</w:t>
            </w: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w:t>
            </w:r>
            <w:r w:rsidR="00D30355">
              <w:rPr>
                <w:rFonts w:ascii="Arial Narrow" w:hAnsi="Arial Narrow"/>
                <w:noProof/>
                <w:color w:val="000000"/>
                <w:sz w:val="20"/>
                <w:szCs w:val="20"/>
                <w:highlight w:val="black"/>
              </w:rPr>
              <w:t>''''''''''''''''</w:t>
            </w:r>
            <w:r w:rsidRPr="00961846">
              <w:rPr>
                <w:rFonts w:ascii="Arial Narrow" w:hAnsi="Arial Narrow"/>
                <w:sz w:val="20"/>
                <w:szCs w:val="20"/>
              </w:rPr>
              <w:t xml:space="preserve"> (effective)</w:t>
            </w: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$8,759.04 (published)</w:t>
            </w: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w:t>
            </w:r>
            <w:r w:rsidR="00D30355">
              <w:rPr>
                <w:rFonts w:ascii="Arial Narrow" w:hAnsi="Arial Narrow"/>
                <w:noProof/>
                <w:color w:val="000000"/>
                <w:sz w:val="20"/>
                <w:szCs w:val="20"/>
                <w:highlight w:val="black"/>
              </w:rPr>
              <w:t>'''''''''''''''''</w:t>
            </w:r>
            <w:r w:rsidRPr="00961846">
              <w:rPr>
                <w:rFonts w:ascii="Arial Narrow" w:hAnsi="Arial Narrow"/>
                <w:sz w:val="20"/>
                <w:szCs w:val="20"/>
              </w:rPr>
              <w:t xml:space="preserve"> (effective)</w:t>
            </w:r>
          </w:p>
          <w:p w:rsidR="00FD2BA9" w:rsidRPr="00961846" w:rsidRDefault="00FD2BA9" w:rsidP="00C26563">
            <w:pPr>
              <w:keepNext/>
              <w:jc w:val="center"/>
              <w:rPr>
                <w:rFonts w:ascii="Arial Narrow" w:hAnsi="Arial Narrow"/>
                <w:sz w:val="20"/>
                <w:szCs w:val="20"/>
              </w:rPr>
            </w:pP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$5,888.32 (published)</w:t>
            </w: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w:t>
            </w:r>
            <w:r w:rsidR="00D30355">
              <w:rPr>
                <w:rFonts w:ascii="Arial Narrow" w:hAnsi="Arial Narrow"/>
                <w:noProof/>
                <w:color w:val="000000"/>
                <w:sz w:val="20"/>
                <w:szCs w:val="20"/>
                <w:highlight w:val="black"/>
              </w:rPr>
              <w:t>''''''''''''''''''''''</w:t>
            </w:r>
            <w:r w:rsidRPr="00961846">
              <w:rPr>
                <w:rFonts w:ascii="Arial Narrow" w:hAnsi="Arial Narrow"/>
                <w:sz w:val="20"/>
                <w:szCs w:val="20"/>
              </w:rPr>
              <w:t xml:space="preserve"> (effective)</w:t>
            </w: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$8,759.04 (published)</w:t>
            </w:r>
          </w:p>
          <w:p w:rsidR="00FD2BA9" w:rsidRPr="00961846" w:rsidRDefault="00FD2BA9" w:rsidP="00C26563">
            <w:pPr>
              <w:keepNext/>
              <w:jc w:val="center"/>
              <w:rPr>
                <w:rFonts w:ascii="Arial Narrow" w:hAnsi="Arial Narrow"/>
                <w:sz w:val="20"/>
                <w:szCs w:val="20"/>
              </w:rPr>
            </w:pPr>
            <w:r w:rsidRPr="00961846">
              <w:rPr>
                <w:rFonts w:ascii="Arial Narrow" w:hAnsi="Arial Narrow"/>
                <w:sz w:val="20"/>
                <w:szCs w:val="20"/>
              </w:rPr>
              <w:t>$</w:t>
            </w:r>
            <w:r w:rsidR="00D30355">
              <w:rPr>
                <w:rFonts w:ascii="Arial Narrow" w:hAnsi="Arial Narrow"/>
                <w:noProof/>
                <w:color w:val="000000"/>
                <w:sz w:val="20"/>
                <w:szCs w:val="20"/>
                <w:highlight w:val="black"/>
              </w:rPr>
              <w:t>''''''''''''''''''''''</w:t>
            </w:r>
            <w:r w:rsidRPr="00961846">
              <w:rPr>
                <w:rFonts w:ascii="Arial Narrow" w:hAnsi="Arial Narrow"/>
                <w:sz w:val="20"/>
                <w:szCs w:val="20"/>
              </w:rPr>
              <w:t xml:space="preserve"> (effective)</w:t>
            </w:r>
          </w:p>
        </w:tc>
        <w:tc>
          <w:tcPr>
            <w:tcW w:w="539" w:type="pct"/>
            <w:vAlign w:val="center"/>
          </w:tcPr>
          <w:p w:rsidR="00FD2BA9" w:rsidRPr="00FE7564" w:rsidRDefault="00FD2BA9" w:rsidP="00C26563">
            <w:pPr>
              <w:keepNext/>
              <w:jc w:val="center"/>
              <w:rPr>
                <w:rFonts w:ascii="Arial Narrow" w:hAnsi="Arial Narrow"/>
                <w:sz w:val="20"/>
                <w:szCs w:val="20"/>
              </w:rPr>
            </w:pPr>
          </w:p>
          <w:p w:rsidR="00FD2BA9" w:rsidRPr="00FE7564" w:rsidRDefault="00FD2BA9" w:rsidP="00C26563">
            <w:pPr>
              <w:keepNext/>
              <w:jc w:val="center"/>
              <w:rPr>
                <w:rFonts w:ascii="Arial Narrow" w:hAnsi="Arial Narrow"/>
                <w:sz w:val="20"/>
                <w:szCs w:val="20"/>
              </w:rPr>
            </w:pPr>
          </w:p>
          <w:p w:rsidR="00FD2BA9" w:rsidRPr="00FE7564" w:rsidRDefault="00FD2BA9" w:rsidP="0031771D">
            <w:pPr>
              <w:keepNext/>
              <w:rPr>
                <w:rFonts w:ascii="Arial Narrow" w:hAnsi="Arial Narrow"/>
                <w:sz w:val="20"/>
                <w:szCs w:val="20"/>
              </w:rPr>
            </w:pPr>
            <w:proofErr w:type="spellStart"/>
            <w:r w:rsidRPr="00FE7564">
              <w:rPr>
                <w:rFonts w:ascii="Arial Narrow" w:hAnsi="Arial Narrow"/>
                <w:sz w:val="20"/>
                <w:szCs w:val="20"/>
              </w:rPr>
              <w:t>Mekinist</w:t>
            </w:r>
            <w:proofErr w:type="spellEnd"/>
            <w:r w:rsidRPr="00FE7564">
              <w:rPr>
                <w:rFonts w:ascii="Arial Narrow" w:hAnsi="Arial Narrow"/>
                <w:sz w:val="20"/>
                <w:szCs w:val="20"/>
                <w:vertAlign w:val="superscript"/>
              </w:rPr>
              <w:t>®</w:t>
            </w:r>
          </w:p>
          <w:p w:rsidR="00FD2BA9" w:rsidRPr="00FE7564" w:rsidRDefault="00FD2BA9" w:rsidP="0031771D">
            <w:pPr>
              <w:keepNext/>
              <w:rPr>
                <w:rFonts w:ascii="Arial Narrow" w:hAnsi="Arial Narrow"/>
                <w:sz w:val="20"/>
                <w:szCs w:val="20"/>
              </w:rPr>
            </w:pPr>
          </w:p>
          <w:p w:rsidR="00FD2BA9" w:rsidRPr="00FE7564" w:rsidRDefault="00FD2BA9" w:rsidP="00C26563">
            <w:pPr>
              <w:keepNext/>
              <w:jc w:val="center"/>
              <w:rPr>
                <w:rFonts w:ascii="Arial Narrow" w:hAnsi="Arial Narrow"/>
                <w:sz w:val="20"/>
                <w:szCs w:val="20"/>
              </w:rPr>
            </w:pPr>
          </w:p>
          <w:p w:rsidR="00FD2BA9" w:rsidRPr="00FE7564" w:rsidRDefault="00FD2BA9" w:rsidP="00C26563">
            <w:pPr>
              <w:keepNext/>
              <w:rPr>
                <w:rFonts w:ascii="Arial Narrow" w:hAnsi="Arial Narrow"/>
                <w:sz w:val="20"/>
                <w:szCs w:val="20"/>
              </w:rPr>
            </w:pPr>
            <w:proofErr w:type="spellStart"/>
            <w:r w:rsidRPr="00FE7564">
              <w:rPr>
                <w:rFonts w:ascii="Arial Narrow" w:hAnsi="Arial Narrow"/>
                <w:sz w:val="20"/>
                <w:szCs w:val="20"/>
              </w:rPr>
              <w:t>Tafinlar</w:t>
            </w:r>
            <w:proofErr w:type="spellEnd"/>
            <w:r w:rsidRPr="00FE7564">
              <w:rPr>
                <w:rFonts w:ascii="Arial Narrow" w:hAnsi="Arial Narrow"/>
                <w:sz w:val="20"/>
                <w:szCs w:val="20"/>
                <w:vertAlign w:val="superscript"/>
              </w:rPr>
              <w:t>®</w:t>
            </w:r>
          </w:p>
          <w:p w:rsidR="00FD2BA9" w:rsidRPr="00FE7564" w:rsidRDefault="00FD2BA9" w:rsidP="00C26563">
            <w:pPr>
              <w:keepNext/>
              <w:rPr>
                <w:rFonts w:ascii="Arial Narrow" w:hAnsi="Arial Narrow"/>
                <w:sz w:val="20"/>
                <w:szCs w:val="20"/>
              </w:rPr>
            </w:pPr>
          </w:p>
          <w:p w:rsidR="00FD2BA9" w:rsidRPr="00FE7564" w:rsidRDefault="00FD2BA9" w:rsidP="00C26563">
            <w:pPr>
              <w:keepNext/>
              <w:rPr>
                <w:rFonts w:ascii="Arial Narrow" w:hAnsi="Arial Narrow"/>
                <w:sz w:val="20"/>
                <w:szCs w:val="20"/>
              </w:rPr>
            </w:pPr>
          </w:p>
          <w:p w:rsidR="00FD2BA9" w:rsidRPr="00FE7564" w:rsidRDefault="00FD2BA9" w:rsidP="00C26563">
            <w:pPr>
              <w:keepNext/>
              <w:rPr>
                <w:rFonts w:ascii="Arial Narrow" w:hAnsi="Arial Narrow"/>
                <w:sz w:val="20"/>
                <w:szCs w:val="20"/>
              </w:rPr>
            </w:pPr>
          </w:p>
        </w:tc>
        <w:tc>
          <w:tcPr>
            <w:tcW w:w="527" w:type="pct"/>
            <w:vAlign w:val="center"/>
          </w:tcPr>
          <w:p w:rsidR="00FD2BA9" w:rsidRPr="00FE7564" w:rsidRDefault="00FD2BA9" w:rsidP="00C26563">
            <w:pPr>
              <w:keepNext/>
              <w:jc w:val="center"/>
              <w:rPr>
                <w:rFonts w:ascii="Arial Narrow" w:hAnsi="Arial Narrow"/>
                <w:sz w:val="20"/>
              </w:rPr>
            </w:pPr>
            <w:r w:rsidRPr="00FE7564">
              <w:rPr>
                <w:rFonts w:ascii="Arial Narrow" w:hAnsi="Arial Narrow"/>
                <w:sz w:val="20"/>
              </w:rPr>
              <w:t>NV</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Category / Program</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GENERAL – General Schedule (Code GE)</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Prescriber type:</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fldChar w:fldCharType="begin">
                <w:ffData>
                  <w:name w:val="Check1"/>
                  <w:enabled/>
                  <w:calcOnExit w:val="0"/>
                  <w:checkBox>
                    <w:sizeAuto/>
                    <w:default w:val="0"/>
                  </w:checkBox>
                </w:ffData>
              </w:fldChar>
            </w:r>
            <w:r w:rsidRPr="00FE7564">
              <w:rPr>
                <w:rFonts w:ascii="Arial Narrow" w:hAnsi="Arial Narrow"/>
                <w:sz w:val="20"/>
              </w:rPr>
              <w:instrText xml:space="preserve"> FORMCHECKBOX </w:instrText>
            </w:r>
            <w:r w:rsidR="00113F67">
              <w:rPr>
                <w:rFonts w:ascii="Arial Narrow" w:hAnsi="Arial Narrow"/>
                <w:sz w:val="20"/>
              </w:rPr>
            </w:r>
            <w:r w:rsidR="00113F67">
              <w:rPr>
                <w:rFonts w:ascii="Arial Narrow" w:hAnsi="Arial Narrow"/>
                <w:sz w:val="20"/>
              </w:rPr>
              <w:fldChar w:fldCharType="separate"/>
            </w:r>
            <w:r w:rsidRPr="00FE7564">
              <w:rPr>
                <w:rFonts w:ascii="Arial Narrow" w:hAnsi="Arial Narrow"/>
                <w:sz w:val="20"/>
              </w:rPr>
              <w:fldChar w:fldCharType="end"/>
            </w:r>
            <w:r w:rsidRPr="00FE7564">
              <w:rPr>
                <w:rFonts w:ascii="Arial Narrow" w:hAnsi="Arial Narrow"/>
                <w:sz w:val="20"/>
              </w:rPr>
              <w:t xml:space="preserve">Dental  </w:t>
            </w:r>
            <w:r w:rsidRPr="00FE7564">
              <w:rPr>
                <w:rFonts w:ascii="Arial Narrow" w:hAnsi="Arial Narrow"/>
                <w:sz w:val="20"/>
              </w:rPr>
              <w:fldChar w:fldCharType="begin">
                <w:ffData>
                  <w:name w:val=""/>
                  <w:enabled/>
                  <w:calcOnExit w:val="0"/>
                  <w:checkBox>
                    <w:sizeAuto/>
                    <w:default w:val="1"/>
                  </w:checkBox>
                </w:ffData>
              </w:fldChar>
            </w:r>
            <w:r w:rsidRPr="00FE7564">
              <w:rPr>
                <w:rFonts w:ascii="Arial Narrow" w:hAnsi="Arial Narrow"/>
                <w:sz w:val="20"/>
              </w:rPr>
              <w:instrText xml:space="preserve"> FORMCHECKBOX </w:instrText>
            </w:r>
            <w:r w:rsidR="00113F67">
              <w:rPr>
                <w:rFonts w:ascii="Arial Narrow" w:hAnsi="Arial Narrow"/>
                <w:sz w:val="20"/>
              </w:rPr>
            </w:r>
            <w:r w:rsidR="00113F67">
              <w:rPr>
                <w:rFonts w:ascii="Arial Narrow" w:hAnsi="Arial Narrow"/>
                <w:sz w:val="20"/>
              </w:rPr>
              <w:fldChar w:fldCharType="separate"/>
            </w:r>
            <w:r w:rsidRPr="00FE7564">
              <w:rPr>
                <w:rFonts w:ascii="Arial Narrow" w:hAnsi="Arial Narrow"/>
                <w:sz w:val="20"/>
              </w:rPr>
              <w:fldChar w:fldCharType="end"/>
            </w:r>
            <w:r w:rsidRPr="00FE7564">
              <w:rPr>
                <w:rFonts w:ascii="Arial Narrow" w:hAnsi="Arial Narrow"/>
                <w:sz w:val="20"/>
              </w:rPr>
              <w:t xml:space="preserve">Medical Practitioners  </w:t>
            </w:r>
            <w:r w:rsidRPr="00FE7564">
              <w:rPr>
                <w:rFonts w:ascii="Arial Narrow" w:hAnsi="Arial Narrow"/>
                <w:sz w:val="20"/>
              </w:rPr>
              <w:fldChar w:fldCharType="begin">
                <w:ffData>
                  <w:name w:val="Check3"/>
                  <w:enabled/>
                  <w:calcOnExit w:val="0"/>
                  <w:checkBox>
                    <w:sizeAuto/>
                    <w:default w:val="0"/>
                  </w:checkBox>
                </w:ffData>
              </w:fldChar>
            </w:r>
            <w:r w:rsidRPr="00FE7564">
              <w:rPr>
                <w:rFonts w:ascii="Arial Narrow" w:hAnsi="Arial Narrow"/>
                <w:sz w:val="20"/>
              </w:rPr>
              <w:instrText xml:space="preserve"> FORMCHECKBOX </w:instrText>
            </w:r>
            <w:r w:rsidR="00113F67">
              <w:rPr>
                <w:rFonts w:ascii="Arial Narrow" w:hAnsi="Arial Narrow"/>
                <w:sz w:val="20"/>
              </w:rPr>
            </w:r>
            <w:r w:rsidR="00113F67">
              <w:rPr>
                <w:rFonts w:ascii="Arial Narrow" w:hAnsi="Arial Narrow"/>
                <w:sz w:val="20"/>
              </w:rPr>
              <w:fldChar w:fldCharType="separate"/>
            </w:r>
            <w:r w:rsidRPr="00FE7564">
              <w:rPr>
                <w:rFonts w:ascii="Arial Narrow" w:hAnsi="Arial Narrow"/>
                <w:sz w:val="20"/>
              </w:rPr>
              <w:fldChar w:fldCharType="end"/>
            </w:r>
            <w:r w:rsidRPr="00FE7564">
              <w:rPr>
                <w:rFonts w:ascii="Arial Narrow" w:hAnsi="Arial Narrow"/>
                <w:sz w:val="20"/>
              </w:rPr>
              <w:t xml:space="preserve">Nurse practitioners  </w:t>
            </w:r>
            <w:r w:rsidRPr="00FE7564">
              <w:rPr>
                <w:rFonts w:ascii="Arial Narrow" w:hAnsi="Arial Narrow"/>
                <w:sz w:val="20"/>
              </w:rPr>
              <w:fldChar w:fldCharType="begin">
                <w:ffData>
                  <w:name w:val=""/>
                  <w:enabled/>
                  <w:calcOnExit w:val="0"/>
                  <w:checkBox>
                    <w:sizeAuto/>
                    <w:default w:val="0"/>
                  </w:checkBox>
                </w:ffData>
              </w:fldChar>
            </w:r>
            <w:r w:rsidRPr="00FE7564">
              <w:rPr>
                <w:rFonts w:ascii="Arial Narrow" w:hAnsi="Arial Narrow"/>
                <w:sz w:val="20"/>
              </w:rPr>
              <w:instrText xml:space="preserve"> FORMCHECKBOX </w:instrText>
            </w:r>
            <w:r w:rsidR="00113F67">
              <w:rPr>
                <w:rFonts w:ascii="Arial Narrow" w:hAnsi="Arial Narrow"/>
                <w:sz w:val="20"/>
              </w:rPr>
            </w:r>
            <w:r w:rsidR="00113F67">
              <w:rPr>
                <w:rFonts w:ascii="Arial Narrow" w:hAnsi="Arial Narrow"/>
                <w:sz w:val="20"/>
              </w:rPr>
              <w:fldChar w:fldCharType="separate"/>
            </w:r>
            <w:r w:rsidRPr="00FE7564">
              <w:rPr>
                <w:rFonts w:ascii="Arial Narrow" w:hAnsi="Arial Narrow"/>
                <w:sz w:val="20"/>
              </w:rPr>
              <w:fldChar w:fldCharType="end"/>
            </w:r>
            <w:r w:rsidRPr="00FE7564">
              <w:rPr>
                <w:rFonts w:ascii="Arial Narrow" w:hAnsi="Arial Narrow"/>
                <w:sz w:val="20"/>
              </w:rPr>
              <w:t>Optometrists</w:t>
            </w:r>
          </w:p>
          <w:p w:rsidR="00FD2BA9" w:rsidRPr="00FE7564" w:rsidRDefault="00FD2BA9" w:rsidP="00C26563">
            <w:pPr>
              <w:rPr>
                <w:rFonts w:ascii="Arial Narrow" w:hAnsi="Arial Narrow"/>
                <w:sz w:val="20"/>
              </w:rPr>
            </w:pPr>
            <w:r w:rsidRPr="00FE7564">
              <w:rPr>
                <w:rFonts w:ascii="Arial Narrow" w:hAnsi="Arial Narrow"/>
                <w:sz w:val="20"/>
              </w:rPr>
              <w:fldChar w:fldCharType="begin">
                <w:ffData>
                  <w:name w:val="Check5"/>
                  <w:enabled/>
                  <w:calcOnExit w:val="0"/>
                  <w:checkBox>
                    <w:sizeAuto/>
                    <w:default w:val="0"/>
                  </w:checkBox>
                </w:ffData>
              </w:fldChar>
            </w:r>
            <w:r w:rsidRPr="00FE7564">
              <w:rPr>
                <w:rFonts w:ascii="Arial Narrow" w:hAnsi="Arial Narrow"/>
                <w:sz w:val="20"/>
              </w:rPr>
              <w:instrText xml:space="preserve"> FORMCHECKBOX </w:instrText>
            </w:r>
            <w:r w:rsidR="00113F67">
              <w:rPr>
                <w:rFonts w:ascii="Arial Narrow" w:hAnsi="Arial Narrow"/>
                <w:sz w:val="20"/>
              </w:rPr>
            </w:r>
            <w:r w:rsidR="00113F67">
              <w:rPr>
                <w:rFonts w:ascii="Arial Narrow" w:hAnsi="Arial Narrow"/>
                <w:sz w:val="20"/>
              </w:rPr>
              <w:fldChar w:fldCharType="separate"/>
            </w:r>
            <w:r w:rsidRPr="00FE7564">
              <w:rPr>
                <w:rFonts w:ascii="Arial Narrow" w:hAnsi="Arial Narrow"/>
                <w:sz w:val="20"/>
              </w:rPr>
              <w:fldChar w:fldCharType="end"/>
            </w:r>
            <w:r w:rsidRPr="00FE7564">
              <w:rPr>
                <w:rFonts w:ascii="Arial Narrow" w:hAnsi="Arial Narrow"/>
                <w:sz w:val="20"/>
              </w:rPr>
              <w:t>Midwives</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Severity:</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proofErr w:type="spellStart"/>
            <w:r w:rsidRPr="00FE7564">
              <w:rPr>
                <w:rFonts w:ascii="Arial Narrow" w:hAnsi="Arial Narrow"/>
                <w:sz w:val="20"/>
              </w:rPr>
              <w:t>Unresectable</w:t>
            </w:r>
            <w:proofErr w:type="spellEnd"/>
            <w:r w:rsidRPr="00FE7564">
              <w:rPr>
                <w:rFonts w:ascii="Arial Narrow" w:hAnsi="Arial Narrow"/>
                <w:sz w:val="20"/>
              </w:rPr>
              <w:t xml:space="preserve"> Stage III or Stage IV</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Condition:</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Malignant melanoma</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PBS Indication:</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proofErr w:type="spellStart"/>
            <w:r w:rsidRPr="00FE7564">
              <w:rPr>
                <w:rFonts w:ascii="Arial Narrow" w:hAnsi="Arial Narrow"/>
                <w:sz w:val="20"/>
              </w:rPr>
              <w:t>Unresectable</w:t>
            </w:r>
            <w:proofErr w:type="spellEnd"/>
            <w:r w:rsidRPr="00FE7564">
              <w:rPr>
                <w:rFonts w:ascii="Arial Narrow" w:hAnsi="Arial Narrow"/>
                <w:sz w:val="20"/>
              </w:rPr>
              <w:t xml:space="preserve"> Stage III or Stage IV malignant melanoma</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Treatment phase:</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Initial</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lastRenderedPageBreak/>
              <w:t>Restriction:</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Authority required</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Clinical criteria:</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 xml:space="preserve">Patient must be receiving PBS-subsidised </w:t>
            </w:r>
            <w:proofErr w:type="spellStart"/>
            <w:r w:rsidRPr="00FE7564">
              <w:rPr>
                <w:rFonts w:ascii="Arial Narrow" w:hAnsi="Arial Narrow"/>
                <w:sz w:val="20"/>
              </w:rPr>
              <w:t>dabrafenib</w:t>
            </w:r>
            <w:proofErr w:type="spellEnd"/>
            <w:r w:rsidRPr="00FE7564">
              <w:rPr>
                <w:rFonts w:ascii="Arial Narrow" w:hAnsi="Arial Narrow"/>
                <w:sz w:val="20"/>
              </w:rPr>
              <w:t xml:space="preserve"> concomitantly for this condition,</w:t>
            </w:r>
          </w:p>
          <w:p w:rsidR="00FD2BA9" w:rsidRPr="00FE7564" w:rsidRDefault="00FD2BA9" w:rsidP="00C26563">
            <w:pPr>
              <w:rPr>
                <w:rFonts w:ascii="Arial Narrow" w:hAnsi="Arial Narrow"/>
                <w:sz w:val="20"/>
              </w:rPr>
            </w:pPr>
            <w:r w:rsidRPr="00FE7564">
              <w:rPr>
                <w:rFonts w:ascii="Arial Narrow" w:hAnsi="Arial Narrow"/>
                <w:sz w:val="20"/>
              </w:rPr>
              <w:t>AND</w:t>
            </w:r>
          </w:p>
          <w:p w:rsidR="00FD2BA9" w:rsidRPr="00FE7564" w:rsidRDefault="00FD2BA9" w:rsidP="00C26563">
            <w:pPr>
              <w:rPr>
                <w:rFonts w:ascii="Arial Narrow" w:hAnsi="Arial Narrow"/>
                <w:sz w:val="20"/>
              </w:rPr>
            </w:pPr>
            <w:r w:rsidRPr="00FE7564">
              <w:rPr>
                <w:rFonts w:ascii="Arial Narrow" w:hAnsi="Arial Narrow"/>
                <w:sz w:val="20"/>
              </w:rPr>
              <w:t>Patient must not have had progressive disease when treated with a BRAF inhibitor.</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b/>
                <w:sz w:val="20"/>
              </w:rPr>
            </w:pPr>
            <w:r w:rsidRPr="00FE7564">
              <w:rPr>
                <w:rFonts w:ascii="Arial Narrow" w:hAnsi="Arial Narrow"/>
                <w:b/>
                <w:sz w:val="20"/>
              </w:rPr>
              <w:t>Administrative Advice</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No increase in the maximum quantity or number of units may be authorised.</w:t>
            </w:r>
          </w:p>
          <w:p w:rsidR="00FD2BA9" w:rsidRPr="00FE7564" w:rsidRDefault="00FD2BA9" w:rsidP="00C26563">
            <w:pPr>
              <w:rPr>
                <w:rFonts w:ascii="Arial Narrow" w:hAnsi="Arial Narrow"/>
                <w:sz w:val="20"/>
              </w:rPr>
            </w:pPr>
            <w:r w:rsidRPr="00FE7564">
              <w:rPr>
                <w:rFonts w:ascii="Arial Narrow" w:hAnsi="Arial Narrow"/>
                <w:sz w:val="20"/>
              </w:rPr>
              <w:t>No increase in the maximum number of repeats may be authorised.</w:t>
            </w:r>
          </w:p>
          <w:p w:rsidR="00FD2BA9" w:rsidRPr="00FE7564" w:rsidRDefault="00FD2BA9" w:rsidP="00C26563">
            <w:pPr>
              <w:rPr>
                <w:rFonts w:ascii="Arial Narrow" w:hAnsi="Arial Narrow"/>
                <w:sz w:val="20"/>
              </w:rPr>
            </w:pPr>
            <w:r w:rsidRPr="00FE7564">
              <w:rPr>
                <w:rFonts w:ascii="Arial Narrow" w:hAnsi="Arial Narrow"/>
                <w:sz w:val="20"/>
              </w:rPr>
              <w:t>Special Pricing Arrangements apply.</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sz w:val="20"/>
              </w:rPr>
            </w:pPr>
            <w:r w:rsidRPr="00FE7564">
              <w:rPr>
                <w:rFonts w:ascii="Arial Narrow" w:hAnsi="Arial Narrow"/>
                <w:b/>
                <w:sz w:val="20"/>
              </w:rPr>
              <w:t>Treatment phase:</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Continuing</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sz w:val="20"/>
              </w:rPr>
            </w:pPr>
            <w:r w:rsidRPr="00FE7564">
              <w:rPr>
                <w:rFonts w:ascii="Arial Narrow" w:hAnsi="Arial Narrow"/>
                <w:b/>
                <w:sz w:val="20"/>
              </w:rPr>
              <w:t>Restriction:</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Authority required</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sz w:val="20"/>
              </w:rPr>
            </w:pPr>
            <w:r w:rsidRPr="00FE7564">
              <w:rPr>
                <w:rFonts w:ascii="Arial Narrow" w:hAnsi="Arial Narrow"/>
                <w:b/>
                <w:sz w:val="20"/>
              </w:rPr>
              <w:t>Clinical criteria:</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Patient must have previously been issued with an authority prescription for this drug,</w:t>
            </w:r>
          </w:p>
          <w:p w:rsidR="00FD2BA9" w:rsidRPr="00FE7564" w:rsidRDefault="00FD2BA9" w:rsidP="00C26563">
            <w:pPr>
              <w:rPr>
                <w:rFonts w:ascii="Arial Narrow" w:hAnsi="Arial Narrow"/>
                <w:sz w:val="20"/>
              </w:rPr>
            </w:pPr>
            <w:r w:rsidRPr="00FE7564">
              <w:rPr>
                <w:rFonts w:ascii="Arial Narrow" w:hAnsi="Arial Narrow"/>
                <w:sz w:val="20"/>
              </w:rPr>
              <w:t>AND</w:t>
            </w:r>
          </w:p>
          <w:p w:rsidR="00FD2BA9" w:rsidRPr="00FE7564" w:rsidRDefault="00FD2BA9" w:rsidP="00C26563">
            <w:pPr>
              <w:rPr>
                <w:rFonts w:ascii="Arial Narrow" w:hAnsi="Arial Narrow"/>
                <w:sz w:val="20"/>
              </w:rPr>
            </w:pPr>
            <w:r w:rsidRPr="00FE7564">
              <w:rPr>
                <w:rFonts w:ascii="Arial Narrow" w:hAnsi="Arial Narrow"/>
                <w:sz w:val="20"/>
              </w:rPr>
              <w:t xml:space="preserve">Patient must be receiving PBS-subsidised </w:t>
            </w:r>
            <w:proofErr w:type="spellStart"/>
            <w:r w:rsidRPr="00FE7564">
              <w:rPr>
                <w:rFonts w:ascii="Arial Narrow" w:hAnsi="Arial Narrow"/>
                <w:sz w:val="20"/>
              </w:rPr>
              <w:t>dabrafenib</w:t>
            </w:r>
            <w:proofErr w:type="spellEnd"/>
            <w:r w:rsidRPr="00FE7564">
              <w:rPr>
                <w:rFonts w:ascii="Arial Narrow" w:hAnsi="Arial Narrow"/>
                <w:sz w:val="20"/>
              </w:rPr>
              <w:t xml:space="preserve"> concomitantly for this condition,</w:t>
            </w:r>
          </w:p>
          <w:p w:rsidR="00FD2BA9" w:rsidRPr="00FE7564" w:rsidRDefault="00FD2BA9" w:rsidP="00C26563">
            <w:pPr>
              <w:rPr>
                <w:rFonts w:ascii="Arial Narrow" w:hAnsi="Arial Narrow"/>
                <w:sz w:val="20"/>
              </w:rPr>
            </w:pPr>
            <w:r w:rsidRPr="00FE7564">
              <w:rPr>
                <w:rFonts w:ascii="Arial Narrow" w:hAnsi="Arial Narrow"/>
                <w:sz w:val="20"/>
              </w:rPr>
              <w:t>AND</w:t>
            </w:r>
          </w:p>
          <w:p w:rsidR="00FD2BA9" w:rsidRPr="00FE7564" w:rsidRDefault="00FD2BA9" w:rsidP="00C26563">
            <w:pPr>
              <w:rPr>
                <w:rFonts w:ascii="Arial Narrow" w:hAnsi="Arial Narrow"/>
                <w:sz w:val="20"/>
              </w:rPr>
            </w:pPr>
            <w:r w:rsidRPr="00FE7564">
              <w:rPr>
                <w:rFonts w:ascii="Arial Narrow" w:hAnsi="Arial Narrow"/>
                <w:sz w:val="20"/>
              </w:rPr>
              <w:t>Patient must have stable or responding disease.</w:t>
            </w:r>
          </w:p>
        </w:tc>
      </w:tr>
      <w:tr w:rsidR="00FD2BA9" w:rsidRPr="00FE7564" w:rsidTr="00FD2BA9">
        <w:tblPrEx>
          <w:tblCellMar>
            <w:left w:w="108" w:type="dxa"/>
            <w:right w:w="108" w:type="dxa"/>
          </w:tblCellMar>
        </w:tblPrEx>
        <w:trPr>
          <w:cantSplit/>
        </w:trPr>
        <w:tc>
          <w:tcPr>
            <w:tcW w:w="1402" w:type="pct"/>
            <w:tcBorders>
              <w:top w:val="single" w:sz="4" w:space="0" w:color="auto"/>
              <w:left w:val="single" w:sz="4" w:space="0" w:color="auto"/>
              <w:bottom w:val="single" w:sz="4" w:space="0" w:color="auto"/>
              <w:right w:val="single" w:sz="4" w:space="0" w:color="auto"/>
            </w:tcBorders>
          </w:tcPr>
          <w:p w:rsidR="00FD2BA9" w:rsidRPr="00FE7564" w:rsidRDefault="00FD2BA9" w:rsidP="00C26563">
            <w:pPr>
              <w:rPr>
                <w:rFonts w:ascii="Arial Narrow" w:hAnsi="Arial Narrow"/>
                <w:sz w:val="20"/>
              </w:rPr>
            </w:pPr>
            <w:r w:rsidRPr="00FE7564">
              <w:rPr>
                <w:rFonts w:ascii="Arial Narrow" w:hAnsi="Arial Narrow"/>
                <w:b/>
                <w:sz w:val="20"/>
              </w:rPr>
              <w:t>Administrative Advice</w:t>
            </w:r>
          </w:p>
        </w:tc>
        <w:tc>
          <w:tcPr>
            <w:tcW w:w="3598" w:type="pct"/>
            <w:gridSpan w:val="5"/>
            <w:tcBorders>
              <w:top w:val="single" w:sz="4" w:space="0" w:color="auto"/>
              <w:left w:val="single" w:sz="4" w:space="0" w:color="auto"/>
              <w:bottom w:val="single" w:sz="4" w:space="0" w:color="auto"/>
              <w:right w:val="single" w:sz="4" w:space="0" w:color="auto"/>
            </w:tcBorders>
            <w:vAlign w:val="center"/>
          </w:tcPr>
          <w:p w:rsidR="00FD2BA9" w:rsidRPr="00FE7564" w:rsidRDefault="00FD2BA9" w:rsidP="00C26563">
            <w:pPr>
              <w:rPr>
                <w:rFonts w:ascii="Arial Narrow" w:hAnsi="Arial Narrow"/>
                <w:sz w:val="20"/>
              </w:rPr>
            </w:pPr>
            <w:r w:rsidRPr="00FE7564">
              <w:rPr>
                <w:rFonts w:ascii="Arial Narrow" w:hAnsi="Arial Narrow"/>
                <w:sz w:val="20"/>
              </w:rPr>
              <w:t>A patient who has progressive disease when treated with this drug is no longer eligible for PBS-subsidised treatment with this drug.</w:t>
            </w:r>
          </w:p>
          <w:p w:rsidR="00FD2BA9" w:rsidRPr="00FE7564" w:rsidRDefault="00FD2BA9" w:rsidP="00C26563">
            <w:pPr>
              <w:rPr>
                <w:rFonts w:ascii="Arial Narrow" w:hAnsi="Arial Narrow"/>
                <w:sz w:val="20"/>
              </w:rPr>
            </w:pPr>
            <w:r w:rsidRPr="00FE7564">
              <w:rPr>
                <w:rFonts w:ascii="Arial Narrow" w:hAnsi="Arial Narrow"/>
                <w:sz w:val="20"/>
              </w:rPr>
              <w:t>No increase in the maximum quantity or number of units may be authorised.</w:t>
            </w:r>
          </w:p>
          <w:p w:rsidR="00FD2BA9" w:rsidRPr="00FE7564" w:rsidRDefault="00FD2BA9" w:rsidP="00C26563">
            <w:pPr>
              <w:rPr>
                <w:rFonts w:ascii="Arial Narrow" w:hAnsi="Arial Narrow"/>
                <w:sz w:val="20"/>
              </w:rPr>
            </w:pPr>
            <w:r w:rsidRPr="00FE7564">
              <w:rPr>
                <w:rFonts w:ascii="Arial Narrow" w:hAnsi="Arial Narrow"/>
                <w:sz w:val="20"/>
              </w:rPr>
              <w:t>No increase in the maximum number of repeats may be authorised.</w:t>
            </w:r>
          </w:p>
          <w:p w:rsidR="00FD2BA9" w:rsidRPr="00FE7564" w:rsidRDefault="00FD2BA9" w:rsidP="00C26563">
            <w:pPr>
              <w:rPr>
                <w:rFonts w:ascii="Arial Narrow" w:hAnsi="Arial Narrow"/>
                <w:sz w:val="20"/>
              </w:rPr>
            </w:pPr>
            <w:r w:rsidRPr="00FE7564">
              <w:rPr>
                <w:rFonts w:ascii="Arial Narrow" w:hAnsi="Arial Narrow"/>
                <w:sz w:val="20"/>
              </w:rPr>
              <w:t>Special Pricing Arrangements apply.</w:t>
            </w:r>
          </w:p>
        </w:tc>
      </w:tr>
    </w:tbl>
    <w:p w:rsidR="00FD2BA9" w:rsidRPr="00FE7564" w:rsidRDefault="00FD2BA9" w:rsidP="00FD2BA9">
      <w:pPr>
        <w:widowControl/>
        <w:rPr>
          <w:szCs w:val="22"/>
        </w:rPr>
      </w:pPr>
    </w:p>
    <w:p w:rsidR="00BE1BA0" w:rsidRPr="00F71733" w:rsidRDefault="00FD2BA9" w:rsidP="0010168C">
      <w:pPr>
        <w:pStyle w:val="ListParagraph"/>
        <w:widowControl/>
        <w:numPr>
          <w:ilvl w:val="1"/>
          <w:numId w:val="29"/>
        </w:numPr>
        <w:rPr>
          <w:szCs w:val="22"/>
        </w:rPr>
      </w:pPr>
      <w:r w:rsidRPr="00FE7564">
        <w:rPr>
          <w:szCs w:val="22"/>
        </w:rPr>
        <w:t>The</w:t>
      </w:r>
      <w:r w:rsidR="00B234A8" w:rsidRPr="00FE7564">
        <w:rPr>
          <w:szCs w:val="22"/>
        </w:rPr>
        <w:t xml:space="preserve"> submission </w:t>
      </w:r>
      <w:r w:rsidR="001A0A92" w:rsidRPr="00FE7564">
        <w:rPr>
          <w:szCs w:val="22"/>
        </w:rPr>
        <w:t>sta</w:t>
      </w:r>
      <w:r w:rsidR="00B42356" w:rsidRPr="00FE7564">
        <w:rPr>
          <w:szCs w:val="22"/>
        </w:rPr>
        <w:t>t</w:t>
      </w:r>
      <w:r w:rsidR="001A0A92" w:rsidRPr="00FE7564">
        <w:rPr>
          <w:szCs w:val="22"/>
        </w:rPr>
        <w:t>ed</w:t>
      </w:r>
      <w:r w:rsidR="00B234A8" w:rsidRPr="00FE7564">
        <w:rPr>
          <w:szCs w:val="22"/>
        </w:rPr>
        <w:t xml:space="preserve"> </w:t>
      </w:r>
      <w:r w:rsidRPr="00FE7564">
        <w:rPr>
          <w:szCs w:val="22"/>
        </w:rPr>
        <w:t xml:space="preserve">that a price reduction of </w:t>
      </w:r>
      <w:r w:rsidR="00D30355">
        <w:rPr>
          <w:noProof/>
          <w:color w:val="000000"/>
          <w:szCs w:val="22"/>
          <w:highlight w:val="black"/>
        </w:rPr>
        <w:t>'''''''''''</w:t>
      </w:r>
      <w:r w:rsidRPr="00FE7564">
        <w:rPr>
          <w:szCs w:val="22"/>
        </w:rPr>
        <w:t xml:space="preserve">% in the effective DPMQ was required </w:t>
      </w:r>
      <w:r w:rsidR="001A0A92" w:rsidRPr="00FE7564">
        <w:rPr>
          <w:szCs w:val="22"/>
        </w:rPr>
        <w:t>to achieve the stipulated ICER</w:t>
      </w:r>
      <w:r w:rsidR="00586A1A" w:rsidRPr="00FE7564">
        <w:rPr>
          <w:szCs w:val="22"/>
        </w:rPr>
        <w:t>/QALY</w:t>
      </w:r>
      <w:r w:rsidR="001A0A92" w:rsidRPr="00FE7564">
        <w:rPr>
          <w:szCs w:val="22"/>
        </w:rPr>
        <w:t xml:space="preserve"> of </w:t>
      </w:r>
      <w:r w:rsidR="004A47DE">
        <w:rPr>
          <w:szCs w:val="22"/>
        </w:rPr>
        <w:t>$45,000/QALY- $75,000/QALY</w:t>
      </w:r>
      <w:r w:rsidR="001A0A92" w:rsidRPr="00FE7564">
        <w:rPr>
          <w:szCs w:val="22"/>
        </w:rPr>
        <w:t xml:space="preserve"> </w:t>
      </w:r>
      <w:r w:rsidR="00BE1BA0" w:rsidRPr="00FE7564">
        <w:rPr>
          <w:szCs w:val="22"/>
        </w:rPr>
        <w:t>The submission added that</w:t>
      </w:r>
      <w:r w:rsidR="005D7E06" w:rsidRPr="00FE7564">
        <w:rPr>
          <w:szCs w:val="22"/>
        </w:rPr>
        <w:t xml:space="preserve"> the extent of uncertainty regarding the cost-effectiveness, and cost-effective price, of </w:t>
      </w:r>
      <w:proofErr w:type="spellStart"/>
      <w:r w:rsidR="005D7E06" w:rsidRPr="00FE7564">
        <w:rPr>
          <w:szCs w:val="22"/>
        </w:rPr>
        <w:t>trametinib</w:t>
      </w:r>
      <w:proofErr w:type="spellEnd"/>
      <w:r w:rsidR="005D7E06" w:rsidRPr="00FE7564">
        <w:rPr>
          <w:szCs w:val="22"/>
        </w:rPr>
        <w:t xml:space="preserve"> following incorporation of the phase III clinical trial data has been significantly reduced (see Consideration of the evidence and Economic analysis below). As such, the s</w:t>
      </w:r>
      <w:r w:rsidR="0063649A" w:rsidRPr="00FE7564">
        <w:rPr>
          <w:szCs w:val="22"/>
        </w:rPr>
        <w:t>ubmission</w:t>
      </w:r>
      <w:r w:rsidR="005D7E06" w:rsidRPr="00FE7564">
        <w:rPr>
          <w:szCs w:val="22"/>
        </w:rPr>
        <w:t xml:space="preserve"> maintained that the continued listing of </w:t>
      </w:r>
      <w:proofErr w:type="spellStart"/>
      <w:r w:rsidR="005D7E06" w:rsidRPr="00FE7564">
        <w:rPr>
          <w:szCs w:val="22"/>
        </w:rPr>
        <w:t>trametinib</w:t>
      </w:r>
      <w:proofErr w:type="spellEnd"/>
      <w:r w:rsidR="005D7E06" w:rsidRPr="00FE7564">
        <w:rPr>
          <w:szCs w:val="22"/>
        </w:rPr>
        <w:t xml:space="preserve"> at</w:t>
      </w:r>
      <w:r w:rsidR="005D7E06" w:rsidRPr="00F71733">
        <w:rPr>
          <w:szCs w:val="22"/>
        </w:rPr>
        <w:t xml:space="preserve"> the revised cost-effective price</w:t>
      </w:r>
      <w:r w:rsidR="00056B75" w:rsidRPr="00F71733">
        <w:rPr>
          <w:szCs w:val="22"/>
        </w:rPr>
        <w:t xml:space="preserve"> should no longer be subject to a M</w:t>
      </w:r>
      <w:r w:rsidR="0063649A" w:rsidRPr="00F71733">
        <w:rPr>
          <w:szCs w:val="22"/>
        </w:rPr>
        <w:t xml:space="preserve">ES. </w:t>
      </w:r>
      <w:r w:rsidR="00056B75" w:rsidRPr="00F71733">
        <w:rPr>
          <w:szCs w:val="22"/>
        </w:rPr>
        <w:t>The submission also stated that the base case proposed by the sponsor is tenable to avoid a managed exit situation.</w:t>
      </w:r>
    </w:p>
    <w:p w:rsidR="00AD07B7" w:rsidRPr="00FE7564" w:rsidRDefault="00AD07B7" w:rsidP="00AD07B7">
      <w:pPr>
        <w:widowControl/>
        <w:rPr>
          <w:szCs w:val="22"/>
        </w:rPr>
      </w:pPr>
    </w:p>
    <w:p w:rsidR="00AD07B7" w:rsidRPr="00FE7564" w:rsidRDefault="00BC38F8" w:rsidP="0084783F">
      <w:pPr>
        <w:pStyle w:val="ListParagraph"/>
        <w:widowControl/>
        <w:numPr>
          <w:ilvl w:val="1"/>
          <w:numId w:val="29"/>
        </w:numPr>
        <w:rPr>
          <w:szCs w:val="22"/>
        </w:rPr>
      </w:pPr>
      <w:r w:rsidRPr="00FE7564">
        <w:rPr>
          <w:szCs w:val="22"/>
        </w:rPr>
        <w:t>The Secretariat noted that t</w:t>
      </w:r>
      <w:r w:rsidR="0084783F" w:rsidRPr="00FE7564">
        <w:rPr>
          <w:szCs w:val="22"/>
        </w:rPr>
        <w:t xml:space="preserve">here is a note explaining the MES of </w:t>
      </w:r>
      <w:proofErr w:type="spellStart"/>
      <w:r w:rsidR="0084783F" w:rsidRPr="00FE7564">
        <w:rPr>
          <w:szCs w:val="22"/>
        </w:rPr>
        <w:t>trametinib</w:t>
      </w:r>
      <w:proofErr w:type="spellEnd"/>
      <w:r w:rsidR="0084783F" w:rsidRPr="00FE7564">
        <w:rPr>
          <w:szCs w:val="22"/>
        </w:rPr>
        <w:t xml:space="preserve"> in the </w:t>
      </w:r>
      <w:r w:rsidR="0084783F" w:rsidRPr="00FE7564">
        <w:rPr>
          <w:i/>
          <w:szCs w:val="22"/>
        </w:rPr>
        <w:t>Schedule of Pharmaceutical Benefits</w:t>
      </w:r>
      <w:r w:rsidR="0084783F" w:rsidRPr="00FE7564">
        <w:rPr>
          <w:szCs w:val="22"/>
        </w:rPr>
        <w:t xml:space="preserve">. The PBAC should consider removing this note if the Committee is of mind to decide that the MES requirements have been met and </w:t>
      </w:r>
      <w:r w:rsidR="00BF223F" w:rsidRPr="00FE7564">
        <w:rPr>
          <w:szCs w:val="22"/>
        </w:rPr>
        <w:t xml:space="preserve">so the MES </w:t>
      </w:r>
      <w:r w:rsidR="0084783F" w:rsidRPr="00FE7564">
        <w:rPr>
          <w:szCs w:val="22"/>
        </w:rPr>
        <w:t>is completed.</w:t>
      </w:r>
    </w:p>
    <w:p w:rsidR="00FD2BA9" w:rsidRPr="00FE7564" w:rsidRDefault="00FD2BA9" w:rsidP="00FD2BA9"/>
    <w:p w:rsidR="0064400F" w:rsidRPr="00FE7564" w:rsidRDefault="0064400F" w:rsidP="00931F09">
      <w:pPr>
        <w:ind w:left="709"/>
      </w:pPr>
      <w:r w:rsidRPr="00FE7564">
        <w:rPr>
          <w:bCs/>
          <w:i/>
          <w:szCs w:val="22"/>
        </w:rPr>
        <w:t>For more detail on PBAC’s view, see section 7 “PBAC outcome”</w:t>
      </w:r>
      <w:r w:rsidR="00931F09" w:rsidRPr="00FE7564">
        <w:rPr>
          <w:bCs/>
          <w:i/>
          <w:szCs w:val="22"/>
        </w:rPr>
        <w:t>.</w:t>
      </w:r>
    </w:p>
    <w:p w:rsidR="00BC38F8" w:rsidRPr="00FE7564" w:rsidRDefault="00BC38F8" w:rsidP="00FD2BA9"/>
    <w:p w:rsidR="009B297A" w:rsidRPr="00FE7564" w:rsidRDefault="009B297A" w:rsidP="00FD2BA9"/>
    <w:p w:rsidR="00FD2BA9" w:rsidRPr="00FE7564" w:rsidRDefault="00FD2BA9" w:rsidP="0031771D">
      <w:pPr>
        <w:pStyle w:val="Heading1"/>
      </w:pPr>
      <w:bookmarkStart w:id="3" w:name="_Toc451265338"/>
      <w:r w:rsidRPr="00FE7564">
        <w:t>Background</w:t>
      </w:r>
      <w:bookmarkEnd w:id="3"/>
    </w:p>
    <w:p w:rsidR="00FD2BA9" w:rsidRPr="00FE7564" w:rsidRDefault="00FD2BA9" w:rsidP="00FD2BA9">
      <w:pPr>
        <w:rPr>
          <w:szCs w:val="22"/>
        </w:rPr>
      </w:pPr>
    </w:p>
    <w:p w:rsidR="00FD2BA9" w:rsidRPr="00FE7564" w:rsidRDefault="00FD2BA9" w:rsidP="00EE43A3">
      <w:pPr>
        <w:pStyle w:val="ListParagraph"/>
        <w:widowControl/>
        <w:numPr>
          <w:ilvl w:val="1"/>
          <w:numId w:val="8"/>
        </w:numPr>
      </w:pPr>
      <w:proofErr w:type="spellStart"/>
      <w:r w:rsidRPr="00FE7564">
        <w:rPr>
          <w:szCs w:val="22"/>
        </w:rPr>
        <w:t>Trametinib</w:t>
      </w:r>
      <w:proofErr w:type="spellEnd"/>
      <w:r w:rsidRPr="00FE7564">
        <w:rPr>
          <w:szCs w:val="22"/>
        </w:rPr>
        <w:t xml:space="preserve"> was previously considered by the PBAC in</w:t>
      </w:r>
      <w:r w:rsidR="007B4755" w:rsidRPr="00FE7564">
        <w:rPr>
          <w:szCs w:val="22"/>
        </w:rPr>
        <w:t xml:space="preserve"> March 2014</w:t>
      </w:r>
      <w:r w:rsidR="002B2F0D" w:rsidRPr="00FE7564">
        <w:rPr>
          <w:szCs w:val="22"/>
        </w:rPr>
        <w:t xml:space="preserve"> and was rejected on the basis that superior comparative effectiveness of </w:t>
      </w:r>
      <w:proofErr w:type="spellStart"/>
      <w:r w:rsidR="002B2F0D" w:rsidRPr="00FE7564">
        <w:rPr>
          <w:szCs w:val="22"/>
        </w:rPr>
        <w:t>trametinib</w:t>
      </w:r>
      <w:proofErr w:type="spellEnd"/>
      <w:r w:rsidR="002B2F0D" w:rsidRPr="00FE7564">
        <w:rPr>
          <w:szCs w:val="22"/>
        </w:rPr>
        <w:t xml:space="preserve"> in combination with </w:t>
      </w:r>
      <w:proofErr w:type="spellStart"/>
      <w:r w:rsidR="002B2F0D" w:rsidRPr="00FE7564">
        <w:rPr>
          <w:szCs w:val="22"/>
        </w:rPr>
        <w:t>dabrafenib</w:t>
      </w:r>
      <w:proofErr w:type="spellEnd"/>
      <w:r w:rsidR="002B2F0D" w:rsidRPr="00FE7564">
        <w:rPr>
          <w:szCs w:val="22"/>
        </w:rPr>
        <w:t xml:space="preserve"> over </w:t>
      </w:r>
      <w:proofErr w:type="spellStart"/>
      <w:r w:rsidR="002B2F0D" w:rsidRPr="00FE7564">
        <w:rPr>
          <w:szCs w:val="22"/>
        </w:rPr>
        <w:t>dabrafenib</w:t>
      </w:r>
      <w:proofErr w:type="spellEnd"/>
      <w:r w:rsidR="002B2F0D" w:rsidRPr="00FE7564">
        <w:rPr>
          <w:szCs w:val="22"/>
        </w:rPr>
        <w:t xml:space="preserve"> monotherapy had not been established</w:t>
      </w:r>
      <w:r w:rsidR="002551B2" w:rsidRPr="00FE7564">
        <w:rPr>
          <w:szCs w:val="22"/>
        </w:rPr>
        <w:t xml:space="preserve"> (March 2014 PSD</w:t>
      </w:r>
      <w:r w:rsidR="00C617CE" w:rsidRPr="00FE7564">
        <w:rPr>
          <w:szCs w:val="22"/>
        </w:rPr>
        <w:t>, paragraph 7.1</w:t>
      </w:r>
      <w:r w:rsidR="002551B2" w:rsidRPr="00FE7564">
        <w:rPr>
          <w:szCs w:val="22"/>
        </w:rPr>
        <w:t>)</w:t>
      </w:r>
      <w:r w:rsidR="002B2F0D" w:rsidRPr="00FE7564">
        <w:rPr>
          <w:szCs w:val="22"/>
        </w:rPr>
        <w:t xml:space="preserve"> and in view of con</w:t>
      </w:r>
      <w:r w:rsidR="002551B2" w:rsidRPr="00FE7564">
        <w:rPr>
          <w:szCs w:val="22"/>
        </w:rPr>
        <w:t>c</w:t>
      </w:r>
      <w:r w:rsidR="002B2F0D" w:rsidRPr="00FE7564">
        <w:rPr>
          <w:szCs w:val="22"/>
        </w:rPr>
        <w:t>erns with the reliability of the BRF113220 trial, the PBAC considered the IC</w:t>
      </w:r>
      <w:r w:rsidR="00FF5C85">
        <w:rPr>
          <w:szCs w:val="22"/>
        </w:rPr>
        <w:t>E</w:t>
      </w:r>
      <w:r w:rsidR="002B2F0D" w:rsidRPr="00FE7564">
        <w:rPr>
          <w:szCs w:val="22"/>
        </w:rPr>
        <w:t>R was not reliable (</w:t>
      </w:r>
      <w:r w:rsidR="002551B2" w:rsidRPr="00FE7564">
        <w:rPr>
          <w:szCs w:val="22"/>
        </w:rPr>
        <w:t>March 2014 PSD</w:t>
      </w:r>
      <w:r w:rsidR="00C617CE" w:rsidRPr="00FE7564">
        <w:rPr>
          <w:szCs w:val="22"/>
        </w:rPr>
        <w:t>, paragraph 7.3</w:t>
      </w:r>
      <w:r w:rsidR="002551B2" w:rsidRPr="00FE7564">
        <w:rPr>
          <w:szCs w:val="22"/>
        </w:rPr>
        <w:t xml:space="preserve">). A </w:t>
      </w:r>
      <w:r w:rsidR="005B7DBA" w:rsidRPr="00FE7564">
        <w:rPr>
          <w:szCs w:val="22"/>
        </w:rPr>
        <w:t>re</w:t>
      </w:r>
      <w:r w:rsidR="002551B2" w:rsidRPr="00FE7564">
        <w:rPr>
          <w:szCs w:val="22"/>
        </w:rPr>
        <w:t>submission in</w:t>
      </w:r>
      <w:r w:rsidR="007B4755" w:rsidRPr="00FE7564">
        <w:rPr>
          <w:szCs w:val="22"/>
        </w:rPr>
        <w:t xml:space="preserve"> </w:t>
      </w:r>
      <w:r w:rsidRPr="00FE7564">
        <w:rPr>
          <w:szCs w:val="22"/>
        </w:rPr>
        <w:t xml:space="preserve">November 2014 received a positive recommendation </w:t>
      </w:r>
      <w:r w:rsidR="002551B2" w:rsidRPr="00FE7564">
        <w:rPr>
          <w:szCs w:val="22"/>
        </w:rPr>
        <w:t xml:space="preserve">for use </w:t>
      </w:r>
      <w:r w:rsidR="005B7DBA" w:rsidRPr="00FE7564">
        <w:rPr>
          <w:szCs w:val="22"/>
        </w:rPr>
        <w:t xml:space="preserve">of </w:t>
      </w:r>
      <w:proofErr w:type="spellStart"/>
      <w:r w:rsidR="005B7DBA" w:rsidRPr="00FE7564">
        <w:rPr>
          <w:szCs w:val="22"/>
        </w:rPr>
        <w:t>trametinib</w:t>
      </w:r>
      <w:proofErr w:type="spellEnd"/>
      <w:r w:rsidR="005B7DBA" w:rsidRPr="00FE7564">
        <w:rPr>
          <w:szCs w:val="22"/>
        </w:rPr>
        <w:t xml:space="preserve"> </w:t>
      </w:r>
      <w:r w:rsidR="002551B2" w:rsidRPr="00FE7564">
        <w:rPr>
          <w:szCs w:val="22"/>
        </w:rPr>
        <w:t xml:space="preserve">in </w:t>
      </w:r>
      <w:r w:rsidRPr="00FE7564">
        <w:rPr>
          <w:szCs w:val="22"/>
        </w:rPr>
        <w:t xml:space="preserve">combination with </w:t>
      </w:r>
      <w:proofErr w:type="spellStart"/>
      <w:r w:rsidRPr="00FE7564">
        <w:rPr>
          <w:szCs w:val="22"/>
        </w:rPr>
        <w:t>dabrafenib</w:t>
      </w:r>
      <w:proofErr w:type="spellEnd"/>
      <w:r w:rsidRPr="00FE7564">
        <w:rPr>
          <w:szCs w:val="22"/>
        </w:rPr>
        <w:t xml:space="preserve"> for the treatment of </w:t>
      </w:r>
      <w:proofErr w:type="spellStart"/>
      <w:r w:rsidRPr="00FE7564">
        <w:rPr>
          <w:szCs w:val="22"/>
        </w:rPr>
        <w:t>unres</w:t>
      </w:r>
      <w:r w:rsidR="00625BC8" w:rsidRPr="00FE7564">
        <w:rPr>
          <w:szCs w:val="22"/>
        </w:rPr>
        <w:t>ectable</w:t>
      </w:r>
      <w:proofErr w:type="spellEnd"/>
      <w:r w:rsidR="00625BC8" w:rsidRPr="00FE7564">
        <w:rPr>
          <w:szCs w:val="22"/>
        </w:rPr>
        <w:t xml:space="preserve"> or metastatic melanoma.</w:t>
      </w:r>
    </w:p>
    <w:p w:rsidR="00FD2BA9" w:rsidRPr="00FE7564" w:rsidRDefault="00FD2BA9" w:rsidP="00FD2BA9">
      <w:pPr>
        <w:widowControl/>
      </w:pPr>
    </w:p>
    <w:p w:rsidR="00947E26" w:rsidRPr="00FE7564" w:rsidRDefault="00FD2BA9" w:rsidP="00FD2BA9">
      <w:pPr>
        <w:pStyle w:val="ListParagraph"/>
        <w:widowControl/>
        <w:numPr>
          <w:ilvl w:val="1"/>
          <w:numId w:val="8"/>
        </w:numPr>
        <w:rPr>
          <w:szCs w:val="22"/>
        </w:rPr>
      </w:pPr>
      <w:r w:rsidRPr="00FE7564">
        <w:rPr>
          <w:szCs w:val="22"/>
        </w:rPr>
        <w:t xml:space="preserve">The November 2014 submission was made on the basis of a cost-utility analysis comparing </w:t>
      </w:r>
      <w:proofErr w:type="spellStart"/>
      <w:r w:rsidRPr="00FE7564">
        <w:rPr>
          <w:szCs w:val="22"/>
        </w:rPr>
        <w:t>trametinib</w:t>
      </w:r>
      <w:proofErr w:type="spellEnd"/>
      <w:r w:rsidRPr="00FE7564">
        <w:rPr>
          <w:szCs w:val="22"/>
        </w:rPr>
        <w:t xml:space="preserve"> plus </w:t>
      </w:r>
      <w:proofErr w:type="spellStart"/>
      <w:r w:rsidRPr="00FE7564">
        <w:rPr>
          <w:szCs w:val="22"/>
        </w:rPr>
        <w:t>dabrafenib</w:t>
      </w:r>
      <w:proofErr w:type="spellEnd"/>
      <w:r w:rsidRPr="00FE7564">
        <w:rPr>
          <w:szCs w:val="22"/>
        </w:rPr>
        <w:t xml:space="preserve"> combination treatment to </w:t>
      </w:r>
      <w:proofErr w:type="spellStart"/>
      <w:r w:rsidRPr="00FE7564">
        <w:rPr>
          <w:szCs w:val="22"/>
        </w:rPr>
        <w:t>dabrafenib</w:t>
      </w:r>
      <w:proofErr w:type="spellEnd"/>
      <w:r w:rsidRPr="00FE7564">
        <w:rPr>
          <w:szCs w:val="22"/>
        </w:rPr>
        <w:t xml:space="preserve"> monotherapy. The </w:t>
      </w:r>
      <w:r w:rsidR="007534DC" w:rsidRPr="00FE7564">
        <w:rPr>
          <w:szCs w:val="22"/>
        </w:rPr>
        <w:t xml:space="preserve">clinical </w:t>
      </w:r>
      <w:r w:rsidRPr="00FE7564">
        <w:rPr>
          <w:szCs w:val="22"/>
        </w:rPr>
        <w:t xml:space="preserve">evidence in the November 2014 submission </w:t>
      </w:r>
      <w:r w:rsidR="00947E26" w:rsidRPr="00FE7564">
        <w:rPr>
          <w:szCs w:val="22"/>
        </w:rPr>
        <w:t>included</w:t>
      </w:r>
      <w:r w:rsidR="007534DC" w:rsidRPr="00FE7564">
        <w:rPr>
          <w:szCs w:val="22"/>
        </w:rPr>
        <w:t xml:space="preserve"> </w:t>
      </w:r>
      <w:r w:rsidR="004B6DAE" w:rsidRPr="00FE7564">
        <w:rPr>
          <w:szCs w:val="22"/>
        </w:rPr>
        <w:t>incomplete</w:t>
      </w:r>
      <w:r w:rsidR="007534DC" w:rsidRPr="00FE7564">
        <w:rPr>
          <w:szCs w:val="22"/>
        </w:rPr>
        <w:t xml:space="preserve"> results from the </w:t>
      </w:r>
      <w:r w:rsidR="004B6DAE" w:rsidRPr="00FE7564">
        <w:rPr>
          <w:szCs w:val="22"/>
        </w:rPr>
        <w:t xml:space="preserve">randomised </w:t>
      </w:r>
      <w:r w:rsidR="00947E26" w:rsidRPr="00FE7564">
        <w:rPr>
          <w:szCs w:val="22"/>
        </w:rPr>
        <w:t xml:space="preserve">phase III </w:t>
      </w:r>
      <w:r w:rsidR="007534DC" w:rsidRPr="00FE7564">
        <w:rPr>
          <w:szCs w:val="22"/>
        </w:rPr>
        <w:t>COMBI-D and COMBI-V trials</w:t>
      </w:r>
      <w:r w:rsidR="00E84BD4" w:rsidRPr="00FE7564">
        <w:rPr>
          <w:szCs w:val="22"/>
        </w:rPr>
        <w:t>. T</w:t>
      </w:r>
      <w:r w:rsidR="00947E26" w:rsidRPr="00FE7564">
        <w:rPr>
          <w:szCs w:val="22"/>
        </w:rPr>
        <w:t>he PBAC considered</w:t>
      </w:r>
      <w:r w:rsidR="00E84BD4" w:rsidRPr="00FE7564">
        <w:rPr>
          <w:szCs w:val="22"/>
        </w:rPr>
        <w:t xml:space="preserve"> the </w:t>
      </w:r>
      <w:r w:rsidR="004B6DAE" w:rsidRPr="00FE7564">
        <w:rPr>
          <w:szCs w:val="22"/>
        </w:rPr>
        <w:t xml:space="preserve">completed </w:t>
      </w:r>
      <w:r w:rsidR="00E84BD4" w:rsidRPr="00FE7564">
        <w:rPr>
          <w:szCs w:val="22"/>
        </w:rPr>
        <w:t>COMBI-D and COMBI-V trials</w:t>
      </w:r>
      <w:r w:rsidR="00947E26" w:rsidRPr="00FE7564">
        <w:rPr>
          <w:szCs w:val="22"/>
        </w:rPr>
        <w:t xml:space="preserve"> would be more informative than the phase II BRF113220 trial</w:t>
      </w:r>
      <w:r w:rsidR="00E84BD4" w:rsidRPr="00FE7564">
        <w:rPr>
          <w:szCs w:val="22"/>
        </w:rPr>
        <w:t>,</w:t>
      </w:r>
      <w:r w:rsidR="00947E26" w:rsidRPr="00FE7564">
        <w:rPr>
          <w:szCs w:val="22"/>
        </w:rPr>
        <w:t xml:space="preserve"> which was not designed as an efficacy trial (November 2014 PSD, paragraph 7.6).</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 xml:space="preserve">The PBAC concluded that the claim of superior comparative effectiveness of </w:t>
      </w:r>
      <w:proofErr w:type="spellStart"/>
      <w:r w:rsidRPr="00FE7564">
        <w:rPr>
          <w:szCs w:val="22"/>
        </w:rPr>
        <w:t>trametinib</w:t>
      </w:r>
      <w:proofErr w:type="spellEnd"/>
      <w:r w:rsidRPr="00FE7564">
        <w:rPr>
          <w:szCs w:val="22"/>
        </w:rPr>
        <w:t xml:space="preserve"> was reasonable, but noted that the magnitude of the treatment effect was still uncertain</w:t>
      </w:r>
      <w:r w:rsidR="0037764F" w:rsidRPr="00FE7564">
        <w:rPr>
          <w:szCs w:val="22"/>
        </w:rPr>
        <w:t>,</w:t>
      </w:r>
      <w:r w:rsidR="00AF4382" w:rsidRPr="00FE7564">
        <w:rPr>
          <w:szCs w:val="22"/>
        </w:rPr>
        <w:t xml:space="preserve"> as was the duration of treatment benefit</w:t>
      </w:r>
      <w:r w:rsidRPr="00FE7564">
        <w:rPr>
          <w:szCs w:val="22"/>
        </w:rPr>
        <w:t xml:space="preserve"> (November 2014 </w:t>
      </w:r>
      <w:r w:rsidR="007534DC" w:rsidRPr="00FE7564">
        <w:rPr>
          <w:szCs w:val="22"/>
        </w:rPr>
        <w:t>PSD</w:t>
      </w:r>
      <w:r w:rsidRPr="00FE7564">
        <w:rPr>
          <w:szCs w:val="22"/>
        </w:rPr>
        <w:t xml:space="preserve">, paragraph </w:t>
      </w:r>
      <w:r w:rsidR="00AF4382" w:rsidRPr="00FE7564">
        <w:rPr>
          <w:szCs w:val="22"/>
        </w:rPr>
        <w:t>7.7</w:t>
      </w:r>
      <w:r w:rsidR="00CA1F03" w:rsidRPr="00FE7564">
        <w:rPr>
          <w:szCs w:val="22"/>
        </w:rPr>
        <w:t>).</w:t>
      </w:r>
    </w:p>
    <w:p w:rsidR="00FD2BA9" w:rsidRPr="00FE7564" w:rsidRDefault="00FD2BA9" w:rsidP="00FD2BA9">
      <w:pPr>
        <w:widowControl/>
        <w:rPr>
          <w:szCs w:val="22"/>
        </w:rPr>
      </w:pPr>
    </w:p>
    <w:p w:rsidR="002C5582" w:rsidRPr="00FE7564" w:rsidRDefault="00FD2BA9" w:rsidP="00FD2BA9">
      <w:pPr>
        <w:pStyle w:val="ListParagraph"/>
        <w:widowControl/>
        <w:numPr>
          <w:ilvl w:val="1"/>
          <w:numId w:val="8"/>
        </w:numPr>
        <w:rPr>
          <w:szCs w:val="22"/>
        </w:rPr>
      </w:pPr>
      <w:r w:rsidRPr="00FE7564">
        <w:rPr>
          <w:szCs w:val="22"/>
        </w:rPr>
        <w:t>The PBAC considered that the structure of the model was reasonable, but the inputs used from the BRF113220 trial did not provide a robust basis for making a subsidisation recommendation</w:t>
      </w:r>
      <w:r w:rsidR="00D45C8E" w:rsidRPr="00FE7564">
        <w:rPr>
          <w:szCs w:val="22"/>
        </w:rPr>
        <w:t>. The PBAC conseque</w:t>
      </w:r>
      <w:r w:rsidR="002C5582" w:rsidRPr="00FE7564">
        <w:rPr>
          <w:szCs w:val="22"/>
        </w:rPr>
        <w:t>ntly proposed re-specification of the model when final data from COMBI-D an</w:t>
      </w:r>
      <w:r w:rsidR="00D45C8E" w:rsidRPr="00FE7564">
        <w:rPr>
          <w:szCs w:val="22"/>
        </w:rPr>
        <w:t>d</w:t>
      </w:r>
      <w:r w:rsidR="002C5582" w:rsidRPr="00FE7564">
        <w:rPr>
          <w:szCs w:val="22"/>
        </w:rPr>
        <w:t xml:space="preserve"> COMBI-V would be available</w:t>
      </w:r>
      <w:r w:rsidRPr="00FE7564">
        <w:rPr>
          <w:szCs w:val="22"/>
        </w:rPr>
        <w:t xml:space="preserve"> (November 2014 </w:t>
      </w:r>
      <w:r w:rsidR="005B7DBA" w:rsidRPr="00FE7564">
        <w:rPr>
          <w:szCs w:val="22"/>
        </w:rPr>
        <w:t>PSD</w:t>
      </w:r>
      <w:r w:rsidR="00CA1F03" w:rsidRPr="00FE7564">
        <w:rPr>
          <w:szCs w:val="22"/>
        </w:rPr>
        <w:t>, paragraph 7.9).</w:t>
      </w:r>
    </w:p>
    <w:p w:rsidR="00FD2BA9" w:rsidRPr="00FE7564" w:rsidRDefault="00FD2BA9" w:rsidP="00FD2BA9">
      <w:pPr>
        <w:widowControl/>
        <w:rPr>
          <w:szCs w:val="22"/>
        </w:rPr>
      </w:pPr>
    </w:p>
    <w:p w:rsidR="00457AC6" w:rsidRPr="004A47DE" w:rsidRDefault="00FD2BA9" w:rsidP="00B42356">
      <w:pPr>
        <w:pStyle w:val="ListParagraph"/>
        <w:widowControl/>
        <w:numPr>
          <w:ilvl w:val="1"/>
          <w:numId w:val="8"/>
        </w:numPr>
        <w:rPr>
          <w:szCs w:val="22"/>
        </w:rPr>
      </w:pPr>
      <w:r w:rsidRPr="00FE7564">
        <w:rPr>
          <w:szCs w:val="22"/>
        </w:rPr>
        <w:t xml:space="preserve">The PBAC </w:t>
      </w:r>
      <w:r w:rsidR="00CA1F03" w:rsidRPr="00FE7564">
        <w:rPr>
          <w:szCs w:val="22"/>
        </w:rPr>
        <w:t xml:space="preserve">advised </w:t>
      </w:r>
      <w:r w:rsidR="00B42356" w:rsidRPr="00FE7564">
        <w:rPr>
          <w:szCs w:val="22"/>
        </w:rPr>
        <w:t xml:space="preserve">a number of conditions </w:t>
      </w:r>
      <w:r w:rsidR="00CA1F03" w:rsidRPr="00FE7564">
        <w:rPr>
          <w:szCs w:val="22"/>
        </w:rPr>
        <w:t xml:space="preserve">to </w:t>
      </w:r>
      <w:r w:rsidR="00B42356" w:rsidRPr="00FE7564">
        <w:rPr>
          <w:szCs w:val="22"/>
        </w:rPr>
        <w:t>modif</w:t>
      </w:r>
      <w:r w:rsidR="00CA1F03" w:rsidRPr="00FE7564">
        <w:rPr>
          <w:szCs w:val="22"/>
        </w:rPr>
        <w:t>y the propos</w:t>
      </w:r>
      <w:r w:rsidR="00B42356" w:rsidRPr="00FE7564">
        <w:rPr>
          <w:szCs w:val="22"/>
        </w:rPr>
        <w:t>ed MES</w:t>
      </w:r>
      <w:r w:rsidR="00E84BD4" w:rsidRPr="00FE7564">
        <w:rPr>
          <w:szCs w:val="22"/>
        </w:rPr>
        <w:t>,</w:t>
      </w:r>
      <w:r w:rsidR="00B42356" w:rsidRPr="00FE7564">
        <w:rPr>
          <w:szCs w:val="22"/>
        </w:rPr>
        <w:t xml:space="preserve"> which included detail on the re-specification of the model (Novem</w:t>
      </w:r>
      <w:r w:rsidR="00CA1F03" w:rsidRPr="00FE7564">
        <w:rPr>
          <w:szCs w:val="22"/>
        </w:rPr>
        <w:t xml:space="preserve">ber 2014 MSD, paragraph 5.11). </w:t>
      </w:r>
      <w:r w:rsidR="00B42356" w:rsidRPr="00FE7564">
        <w:rPr>
          <w:szCs w:val="22"/>
        </w:rPr>
        <w:t>The table below provides a summary of those conditions.</w:t>
      </w:r>
    </w:p>
    <w:p w:rsidR="00FD2BA9" w:rsidRPr="00FE7564" w:rsidRDefault="00FD2BA9" w:rsidP="007F0ACC">
      <w:pPr>
        <w:pageBreakBefore/>
        <w:ind w:left="629"/>
        <w:rPr>
          <w:rFonts w:ascii="Arial Narrow" w:hAnsi="Arial Narrow"/>
          <w:b/>
          <w:sz w:val="20"/>
          <w:szCs w:val="20"/>
        </w:rPr>
      </w:pPr>
      <w:r w:rsidRPr="00FE7564">
        <w:rPr>
          <w:rFonts w:ascii="Arial Narrow" w:hAnsi="Arial Narrow"/>
          <w:b/>
          <w:sz w:val="20"/>
          <w:szCs w:val="20"/>
        </w:rPr>
        <w:lastRenderedPageBreak/>
        <w:t xml:space="preserve">Table 1: Summary of MES conditions for managed entry (November 2014 </w:t>
      </w:r>
      <w:r w:rsidR="00D45C8E" w:rsidRPr="00FE7564">
        <w:rPr>
          <w:rFonts w:ascii="Arial Narrow" w:hAnsi="Arial Narrow"/>
          <w:b/>
          <w:sz w:val="20"/>
          <w:szCs w:val="20"/>
        </w:rPr>
        <w:t>PSD</w:t>
      </w:r>
      <w:r w:rsidRPr="00FE7564">
        <w:rPr>
          <w:rFonts w:ascii="Arial Narrow" w:hAnsi="Arial Narrow"/>
          <w:b/>
          <w:sz w:val="20"/>
          <w:szCs w:val="20"/>
        </w:rPr>
        <w:t>, paragraph 5.11)</w:t>
      </w:r>
    </w:p>
    <w:tbl>
      <w:tblPr>
        <w:tblStyle w:val="TableGrid"/>
        <w:tblW w:w="4568" w:type="pct"/>
        <w:tblInd w:w="738" w:type="dxa"/>
        <w:tblLook w:val="04A0" w:firstRow="1" w:lastRow="0" w:firstColumn="1" w:lastColumn="0" w:noHBand="0" w:noVBand="1"/>
        <w:tblCaption w:val="Table 1: Summary of MES conditions for managed entry (November 2014 PSD, paragraph 5.11)"/>
      </w:tblPr>
      <w:tblGrid>
        <w:gridCol w:w="5466"/>
        <w:gridCol w:w="2977"/>
      </w:tblGrid>
      <w:tr w:rsidR="00770703" w:rsidRPr="00FE7564" w:rsidTr="00CA1F03">
        <w:trPr>
          <w:tblHeader/>
        </w:trPr>
        <w:tc>
          <w:tcPr>
            <w:tcW w:w="3237" w:type="pct"/>
          </w:tcPr>
          <w:p w:rsidR="00FD2BA9" w:rsidRPr="00FE7564" w:rsidRDefault="00FD2BA9" w:rsidP="00C26563">
            <w:pPr>
              <w:rPr>
                <w:rFonts w:ascii="Arial Narrow" w:hAnsi="Arial Narrow"/>
                <w:b/>
                <w:sz w:val="20"/>
                <w:szCs w:val="20"/>
              </w:rPr>
            </w:pPr>
            <w:r w:rsidRPr="00FE7564">
              <w:rPr>
                <w:rFonts w:ascii="Arial Narrow" w:hAnsi="Arial Narrow"/>
                <w:b/>
                <w:sz w:val="20"/>
                <w:szCs w:val="20"/>
              </w:rPr>
              <w:t>Summary of MES conditions</w:t>
            </w:r>
          </w:p>
        </w:tc>
        <w:tc>
          <w:tcPr>
            <w:tcW w:w="1763" w:type="pct"/>
          </w:tcPr>
          <w:p w:rsidR="00FD2BA9" w:rsidRPr="00FE7564" w:rsidRDefault="00FD2BA9" w:rsidP="00C26563">
            <w:pPr>
              <w:jc w:val="center"/>
              <w:rPr>
                <w:rFonts w:ascii="Arial Narrow" w:hAnsi="Arial Narrow"/>
                <w:b/>
                <w:sz w:val="20"/>
                <w:szCs w:val="20"/>
              </w:rPr>
            </w:pPr>
            <w:r w:rsidRPr="00FE7564">
              <w:rPr>
                <w:rFonts w:ascii="Arial Narrow" w:hAnsi="Arial Narrow"/>
                <w:b/>
                <w:sz w:val="20"/>
                <w:szCs w:val="20"/>
              </w:rPr>
              <w:t>Submission response/comment</w:t>
            </w:r>
          </w:p>
        </w:tc>
      </w:tr>
      <w:tr w:rsidR="00770703" w:rsidRPr="00FE7564" w:rsidTr="00CA1F03">
        <w:tc>
          <w:tcPr>
            <w:tcW w:w="3237"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 xml:space="preserve">Evaluation 2 should include an individual patient data (IPD) meta-analysis using final results of both arms of the three trials (BRF113220, COMBI-D, </w:t>
            </w:r>
            <w:proofErr w:type="gramStart"/>
            <w:r w:rsidRPr="00FE7564">
              <w:rPr>
                <w:rFonts w:ascii="Arial Narrow" w:hAnsi="Arial Narrow"/>
                <w:sz w:val="20"/>
                <w:szCs w:val="20"/>
              </w:rPr>
              <w:t>COMBI</w:t>
            </w:r>
            <w:proofErr w:type="gramEnd"/>
            <w:r w:rsidRPr="00FE7564">
              <w:rPr>
                <w:rFonts w:ascii="Arial Narrow" w:hAnsi="Arial Narrow"/>
                <w:sz w:val="20"/>
                <w:szCs w:val="20"/>
              </w:rPr>
              <w:t>-V). If this approach was determined to be methodologically difficult, then the final COMBI-D trial results should be used.</w:t>
            </w:r>
          </w:p>
        </w:tc>
        <w:tc>
          <w:tcPr>
            <w:tcW w:w="1763"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The submission complied with the condition and provided an IPD meta-analysis of the three trials. The submission also provided a meta-analysis of aggregated results.</w:t>
            </w:r>
          </w:p>
        </w:tc>
      </w:tr>
      <w:tr w:rsidR="00770703" w:rsidRPr="00FE7564" w:rsidTr="00CA1F03">
        <w:tc>
          <w:tcPr>
            <w:tcW w:w="3237"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Evaluation 2 should be provided as soon as possible (and expected to be within two years) after maximal follow-up of the COMBI-D trial</w:t>
            </w:r>
            <w:r w:rsidR="00CA1F03" w:rsidRPr="00FE7564">
              <w:rPr>
                <w:rFonts w:ascii="Arial Narrow" w:hAnsi="Arial Narrow"/>
                <w:sz w:val="20"/>
                <w:szCs w:val="20"/>
              </w:rPr>
              <w:t>.</w:t>
            </w:r>
          </w:p>
        </w:tc>
        <w:tc>
          <w:tcPr>
            <w:tcW w:w="1763"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Evaluation 2 has been provided in less than two years.</w:t>
            </w:r>
          </w:p>
        </w:tc>
      </w:tr>
      <w:tr w:rsidR="00770703" w:rsidRPr="00FE7564" w:rsidTr="00CA1F03">
        <w:tc>
          <w:tcPr>
            <w:tcW w:w="3237"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 xml:space="preserve">The clinical evaluation for Evaluation 2 should formally report the meta-analyses for both PFS and OS using the standard graphics of Kaplan-Meier curves, and with standard reporting of results (log rank p-values, hazard ratios with 95% confidence intervals, medians, difference in medians </w:t>
            </w:r>
            <w:r w:rsidR="00091432" w:rsidRPr="00FE7564">
              <w:rPr>
                <w:rFonts w:ascii="Arial Narrow" w:hAnsi="Arial Narrow"/>
                <w:sz w:val="20"/>
                <w:szCs w:val="20"/>
              </w:rPr>
              <w:t>etc.</w:t>
            </w:r>
            <w:r w:rsidRPr="00FE7564">
              <w:rPr>
                <w:rFonts w:ascii="Arial Narrow" w:hAnsi="Arial Narrow"/>
                <w:sz w:val="20"/>
                <w:szCs w:val="20"/>
              </w:rPr>
              <w:t>).</w:t>
            </w:r>
          </w:p>
        </w:tc>
        <w:tc>
          <w:tcPr>
            <w:tcW w:w="1763"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The submission c</w:t>
            </w:r>
            <w:r w:rsidR="00CA1F03" w:rsidRPr="00FE7564">
              <w:rPr>
                <w:rFonts w:ascii="Arial Narrow" w:hAnsi="Arial Narrow"/>
                <w:sz w:val="20"/>
                <w:szCs w:val="20"/>
              </w:rPr>
              <w:t>omplied with the condition.</w:t>
            </w:r>
          </w:p>
        </w:tc>
      </w:tr>
      <w:tr w:rsidR="00770703" w:rsidRPr="00FE7564" w:rsidTr="00CA1F03">
        <w:tc>
          <w:tcPr>
            <w:tcW w:w="3237" w:type="pct"/>
          </w:tcPr>
          <w:p w:rsidR="00B42356" w:rsidRPr="00FE7564" w:rsidRDefault="00FD2BA9" w:rsidP="00B42356">
            <w:pPr>
              <w:rPr>
                <w:rFonts w:ascii="Arial Narrow" w:hAnsi="Arial Narrow"/>
                <w:sz w:val="20"/>
                <w:szCs w:val="20"/>
              </w:rPr>
            </w:pPr>
            <w:r w:rsidRPr="00FE7564">
              <w:rPr>
                <w:rFonts w:ascii="Arial Narrow" w:hAnsi="Arial Narrow"/>
                <w:sz w:val="20"/>
                <w:szCs w:val="20"/>
              </w:rPr>
              <w:t xml:space="preserve">Should the extent of benefit of </w:t>
            </w:r>
            <w:proofErr w:type="spellStart"/>
            <w:r w:rsidRPr="00FE7564">
              <w:rPr>
                <w:rFonts w:ascii="Arial Narrow" w:hAnsi="Arial Narrow"/>
                <w:sz w:val="20"/>
                <w:szCs w:val="20"/>
              </w:rPr>
              <w:t>trametinib</w:t>
            </w:r>
            <w:proofErr w:type="spellEnd"/>
            <w:r w:rsidRPr="00FE7564">
              <w:rPr>
                <w:rFonts w:ascii="Arial Narrow" w:hAnsi="Arial Narrow"/>
                <w:sz w:val="20"/>
                <w:szCs w:val="20"/>
              </w:rPr>
              <w:t xml:space="preserve"> modelled from BRF113220 fail to be realised in the final COMBI-D and COMBI-V results</w:t>
            </w:r>
            <w:r w:rsidR="00CA1F03" w:rsidRPr="00FE7564">
              <w:rPr>
                <w:rFonts w:ascii="Arial Narrow" w:hAnsi="Arial Narrow"/>
                <w:sz w:val="20"/>
                <w:szCs w:val="20"/>
              </w:rPr>
              <w:t>,</w:t>
            </w:r>
            <w:r w:rsidRPr="00FE7564">
              <w:rPr>
                <w:rFonts w:ascii="Arial Narrow" w:hAnsi="Arial Narrow"/>
                <w:sz w:val="20"/>
                <w:szCs w:val="20"/>
              </w:rPr>
              <w:t xml:space="preserve"> then the sponsor would rebate the Commonwealth </w:t>
            </w:r>
            <w:r w:rsidR="00B42356" w:rsidRPr="00FE7564">
              <w:rPr>
                <w:rFonts w:ascii="Arial Narrow" w:hAnsi="Arial Narrow"/>
                <w:sz w:val="20"/>
                <w:szCs w:val="20"/>
              </w:rPr>
              <w:t>taking account of:</w:t>
            </w:r>
          </w:p>
          <w:p w:rsidR="00FD2BA9" w:rsidRPr="00FE7564" w:rsidRDefault="00C369D0" w:rsidP="00E35FE6">
            <w:pPr>
              <w:pStyle w:val="ListParagraph"/>
              <w:numPr>
                <w:ilvl w:val="0"/>
                <w:numId w:val="39"/>
              </w:numPr>
              <w:ind w:left="255" w:hanging="182"/>
              <w:rPr>
                <w:rFonts w:ascii="Arial Narrow" w:hAnsi="Arial Narrow"/>
                <w:sz w:val="20"/>
                <w:szCs w:val="20"/>
              </w:rPr>
            </w:pPr>
            <w:r w:rsidRPr="00FE7564">
              <w:rPr>
                <w:rFonts w:ascii="Arial Narrow" w:hAnsi="Arial Narrow"/>
                <w:sz w:val="20"/>
                <w:szCs w:val="20"/>
              </w:rPr>
              <w:t>The</w:t>
            </w:r>
            <w:r w:rsidR="00FD2BA9" w:rsidRPr="00FE7564">
              <w:rPr>
                <w:rFonts w:ascii="Arial Narrow" w:hAnsi="Arial Narrow"/>
                <w:sz w:val="20"/>
                <w:szCs w:val="20"/>
              </w:rPr>
              <w:t xml:space="preserve"> price reduction of </w:t>
            </w:r>
            <w:proofErr w:type="spellStart"/>
            <w:r w:rsidR="00FD2BA9" w:rsidRPr="00FE7564">
              <w:rPr>
                <w:rFonts w:ascii="Arial Narrow" w:hAnsi="Arial Narrow"/>
                <w:sz w:val="20"/>
                <w:szCs w:val="20"/>
              </w:rPr>
              <w:t>trametinib</w:t>
            </w:r>
            <w:proofErr w:type="spellEnd"/>
            <w:r w:rsidR="00FD2BA9" w:rsidRPr="00FE7564">
              <w:rPr>
                <w:rFonts w:ascii="Arial Narrow" w:hAnsi="Arial Narrow"/>
                <w:sz w:val="20"/>
                <w:szCs w:val="20"/>
              </w:rPr>
              <w:t xml:space="preserve"> would be calculated to maintain the current ICER</w:t>
            </w:r>
            <w:r w:rsidR="00586A1A" w:rsidRPr="00FE7564">
              <w:rPr>
                <w:rFonts w:ascii="Arial Narrow" w:hAnsi="Arial Narrow"/>
                <w:sz w:val="20"/>
                <w:szCs w:val="20"/>
              </w:rPr>
              <w:t>/QALY</w:t>
            </w:r>
            <w:r w:rsidR="00FD2BA9" w:rsidRPr="00FE7564">
              <w:rPr>
                <w:rFonts w:ascii="Arial Narrow" w:hAnsi="Arial Narrow"/>
                <w:sz w:val="20"/>
                <w:szCs w:val="20"/>
              </w:rPr>
              <w:t xml:space="preserve"> of </w:t>
            </w:r>
            <w:r w:rsidR="004A47DE">
              <w:rPr>
                <w:rFonts w:ascii="Arial Narrow" w:hAnsi="Arial Narrow"/>
                <w:sz w:val="20"/>
                <w:szCs w:val="20"/>
              </w:rPr>
              <w:t xml:space="preserve">$45,000/QALY - $75,000/QALY </w:t>
            </w:r>
            <w:r w:rsidR="00FD2BA9" w:rsidRPr="00FE7564">
              <w:rPr>
                <w:rFonts w:ascii="Arial Narrow" w:hAnsi="Arial Narrow"/>
                <w:sz w:val="20"/>
                <w:szCs w:val="20"/>
              </w:rPr>
              <w:t>with reduced clinical benefits.</w:t>
            </w:r>
          </w:p>
          <w:p w:rsidR="00E35FE6" w:rsidRPr="00FE7564" w:rsidRDefault="00E35FE6" w:rsidP="00E35FE6">
            <w:pPr>
              <w:pStyle w:val="ListParagraph"/>
              <w:numPr>
                <w:ilvl w:val="0"/>
                <w:numId w:val="39"/>
              </w:numPr>
              <w:ind w:left="255" w:hanging="182"/>
              <w:rPr>
                <w:rFonts w:ascii="Arial Narrow" w:hAnsi="Arial Narrow"/>
                <w:sz w:val="20"/>
                <w:szCs w:val="20"/>
              </w:rPr>
            </w:pPr>
            <w:r w:rsidRPr="00FE7564">
              <w:rPr>
                <w:rFonts w:ascii="Arial Narrow" w:hAnsi="Arial Narrow"/>
                <w:sz w:val="20"/>
                <w:szCs w:val="20"/>
              </w:rPr>
              <w:t>The rebate would b</w:t>
            </w:r>
            <w:r w:rsidR="00802210" w:rsidRPr="00FE7564">
              <w:rPr>
                <w:rFonts w:ascii="Arial Narrow" w:hAnsi="Arial Narrow"/>
                <w:sz w:val="20"/>
                <w:szCs w:val="20"/>
              </w:rPr>
              <w:t>e</w:t>
            </w:r>
            <w:r w:rsidRPr="00FE7564">
              <w:rPr>
                <w:rFonts w:ascii="Arial Narrow" w:hAnsi="Arial Narrow"/>
                <w:sz w:val="20"/>
                <w:szCs w:val="20"/>
              </w:rPr>
              <w:t xml:space="preserve"> based on the price reduction multiplied by script numbers between the date of listing and date of the price reduction after applying an interest rate deemed appropriate to the Commonwealth.</w:t>
            </w:r>
          </w:p>
          <w:p w:rsidR="00E35FE6" w:rsidRPr="00FE7564" w:rsidRDefault="00E35FE6" w:rsidP="00E35FE6">
            <w:pPr>
              <w:pStyle w:val="ListParagraph"/>
              <w:numPr>
                <w:ilvl w:val="0"/>
                <w:numId w:val="39"/>
              </w:numPr>
              <w:ind w:left="255" w:hanging="182"/>
              <w:rPr>
                <w:rFonts w:ascii="Arial Narrow" w:hAnsi="Arial Narrow"/>
                <w:sz w:val="20"/>
                <w:szCs w:val="20"/>
              </w:rPr>
            </w:pPr>
            <w:r w:rsidRPr="00FE7564">
              <w:rPr>
                <w:rFonts w:ascii="Arial Narrow" w:hAnsi="Arial Narrow"/>
                <w:sz w:val="20"/>
                <w:szCs w:val="20"/>
              </w:rPr>
              <w:t xml:space="preserve">The repayment would apply to </w:t>
            </w:r>
            <w:proofErr w:type="spellStart"/>
            <w:r w:rsidRPr="00FE7564">
              <w:rPr>
                <w:rFonts w:ascii="Arial Narrow" w:hAnsi="Arial Narrow"/>
                <w:sz w:val="20"/>
                <w:szCs w:val="20"/>
              </w:rPr>
              <w:t>dabrafenib</w:t>
            </w:r>
            <w:proofErr w:type="spellEnd"/>
            <w:r w:rsidRPr="00FE7564">
              <w:rPr>
                <w:rFonts w:ascii="Arial Narrow" w:hAnsi="Arial Narrow"/>
                <w:sz w:val="20"/>
                <w:szCs w:val="20"/>
              </w:rPr>
              <w:t xml:space="preserve"> and </w:t>
            </w:r>
            <w:proofErr w:type="spellStart"/>
            <w:r w:rsidRPr="00FE7564">
              <w:rPr>
                <w:rFonts w:ascii="Arial Narrow" w:hAnsi="Arial Narrow"/>
                <w:sz w:val="20"/>
                <w:szCs w:val="20"/>
              </w:rPr>
              <w:t>trametinib</w:t>
            </w:r>
            <w:proofErr w:type="spellEnd"/>
            <w:r w:rsidRPr="00FE7564">
              <w:rPr>
                <w:rFonts w:ascii="Arial Narrow" w:hAnsi="Arial Narrow"/>
                <w:sz w:val="20"/>
                <w:szCs w:val="20"/>
              </w:rPr>
              <w:t>.</w:t>
            </w:r>
          </w:p>
        </w:tc>
        <w:tc>
          <w:tcPr>
            <w:tcW w:w="1763" w:type="pct"/>
          </w:tcPr>
          <w:p w:rsidR="00FD2BA9" w:rsidRPr="00FE7564" w:rsidRDefault="00FD2BA9" w:rsidP="00CA1F03">
            <w:pPr>
              <w:rPr>
                <w:rFonts w:ascii="Arial Narrow" w:hAnsi="Arial Narrow"/>
                <w:sz w:val="20"/>
                <w:szCs w:val="20"/>
              </w:rPr>
            </w:pPr>
            <w:r w:rsidRPr="00FE7564">
              <w:rPr>
                <w:rFonts w:ascii="Arial Narrow" w:hAnsi="Arial Narrow"/>
                <w:sz w:val="20"/>
                <w:szCs w:val="20"/>
              </w:rPr>
              <w:t xml:space="preserve">The submission complied </w:t>
            </w:r>
            <w:r w:rsidR="00CA1F03" w:rsidRPr="00FE7564">
              <w:rPr>
                <w:rFonts w:ascii="Arial Narrow" w:hAnsi="Arial Narrow"/>
                <w:sz w:val="20"/>
                <w:szCs w:val="20"/>
              </w:rPr>
              <w:t xml:space="preserve">with a </w:t>
            </w:r>
            <w:r w:rsidR="00E35FE6" w:rsidRPr="00FE7564">
              <w:rPr>
                <w:rFonts w:ascii="Arial Narrow" w:hAnsi="Arial Narrow"/>
                <w:sz w:val="20"/>
                <w:szCs w:val="20"/>
              </w:rPr>
              <w:t xml:space="preserve">reduction of the </w:t>
            </w:r>
            <w:proofErr w:type="spellStart"/>
            <w:r w:rsidR="00E35FE6" w:rsidRPr="00FE7564">
              <w:rPr>
                <w:rFonts w:ascii="Arial Narrow" w:hAnsi="Arial Narrow"/>
                <w:sz w:val="20"/>
                <w:szCs w:val="20"/>
              </w:rPr>
              <w:t>trametinib</w:t>
            </w:r>
            <w:proofErr w:type="spellEnd"/>
            <w:r w:rsidR="00E35FE6" w:rsidRPr="00FE7564">
              <w:rPr>
                <w:rFonts w:ascii="Arial Narrow" w:hAnsi="Arial Narrow"/>
                <w:sz w:val="20"/>
                <w:szCs w:val="20"/>
              </w:rPr>
              <w:t xml:space="preserve"> price to maintain </w:t>
            </w:r>
            <w:r w:rsidR="00CA1F03" w:rsidRPr="00FE7564">
              <w:rPr>
                <w:rFonts w:ascii="Arial Narrow" w:hAnsi="Arial Narrow"/>
                <w:sz w:val="20"/>
                <w:szCs w:val="20"/>
              </w:rPr>
              <w:t>an</w:t>
            </w:r>
            <w:r w:rsidR="00E35FE6" w:rsidRPr="00FE7564">
              <w:rPr>
                <w:rFonts w:ascii="Arial Narrow" w:hAnsi="Arial Narrow"/>
                <w:sz w:val="20"/>
                <w:szCs w:val="20"/>
              </w:rPr>
              <w:t xml:space="preserve"> ICER</w:t>
            </w:r>
            <w:r w:rsidR="00586A1A" w:rsidRPr="00FE7564">
              <w:rPr>
                <w:rFonts w:ascii="Arial Narrow" w:hAnsi="Arial Narrow"/>
                <w:sz w:val="20"/>
                <w:szCs w:val="20"/>
              </w:rPr>
              <w:t>/QALY</w:t>
            </w:r>
            <w:r w:rsidR="00E35FE6" w:rsidRPr="00FE7564">
              <w:rPr>
                <w:rFonts w:ascii="Arial Narrow" w:hAnsi="Arial Narrow"/>
                <w:sz w:val="20"/>
                <w:szCs w:val="20"/>
              </w:rPr>
              <w:t xml:space="preserve"> of </w:t>
            </w:r>
            <w:r w:rsidR="004A47DE">
              <w:rPr>
                <w:rFonts w:ascii="Arial Narrow" w:hAnsi="Arial Narrow"/>
                <w:sz w:val="20"/>
                <w:szCs w:val="20"/>
              </w:rPr>
              <w:t>$45,000</w:t>
            </w:r>
            <w:r w:rsidR="00D30355">
              <w:rPr>
                <w:rFonts w:ascii="Arial Narrow" w:hAnsi="Arial Narrow"/>
                <w:sz w:val="20"/>
                <w:szCs w:val="20"/>
              </w:rPr>
              <w:t xml:space="preserve"> – $75,000</w:t>
            </w:r>
            <w:r w:rsidR="004A47DE">
              <w:rPr>
                <w:rFonts w:ascii="Arial Narrow" w:hAnsi="Arial Narrow"/>
                <w:sz w:val="20"/>
                <w:szCs w:val="20"/>
              </w:rPr>
              <w:t>/QALY</w:t>
            </w:r>
            <w:r w:rsidRPr="00FE7564">
              <w:rPr>
                <w:rFonts w:ascii="Arial Narrow" w:hAnsi="Arial Narrow"/>
                <w:sz w:val="20"/>
                <w:szCs w:val="20"/>
              </w:rPr>
              <w:t xml:space="preserve"> and noted that a price decrease of </w:t>
            </w:r>
            <w:r w:rsidR="00D30355">
              <w:rPr>
                <w:rFonts w:ascii="Arial Narrow" w:hAnsi="Arial Narrow"/>
                <w:noProof/>
                <w:color w:val="000000"/>
                <w:sz w:val="20"/>
                <w:szCs w:val="20"/>
                <w:highlight w:val="black"/>
              </w:rPr>
              <w:t>''''''''''</w:t>
            </w:r>
            <w:r w:rsidRPr="00FE7564">
              <w:rPr>
                <w:rFonts w:ascii="Arial Narrow" w:hAnsi="Arial Narrow"/>
                <w:sz w:val="20"/>
                <w:szCs w:val="20"/>
              </w:rPr>
              <w:t>% was required.</w:t>
            </w:r>
          </w:p>
        </w:tc>
      </w:tr>
      <w:tr w:rsidR="00770703" w:rsidRPr="00FE7564" w:rsidTr="00CA1F03">
        <w:tc>
          <w:tcPr>
            <w:tcW w:w="3237"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 xml:space="preserve">The economic evaluation for Evaluation 2 should use direct meta-analysis IPD curves to estimate incremental PFS and incremental OS up to the median duration of follow-up across the two arms compared to the clinical evaluation, and then allow extrapolation modelling on both arms for both PFS and OS curves from this </w:t>
            </w:r>
            <w:proofErr w:type="spellStart"/>
            <w:r w:rsidRPr="00FE7564">
              <w:rPr>
                <w:rFonts w:ascii="Arial Narrow" w:hAnsi="Arial Narrow"/>
                <w:sz w:val="20"/>
                <w:szCs w:val="20"/>
              </w:rPr>
              <w:t>timepoint</w:t>
            </w:r>
            <w:proofErr w:type="spellEnd"/>
            <w:r w:rsidRPr="00FE7564">
              <w:rPr>
                <w:rFonts w:ascii="Arial Narrow" w:hAnsi="Arial Narrow"/>
                <w:sz w:val="20"/>
                <w:szCs w:val="20"/>
              </w:rPr>
              <w:t xml:space="preserve">, i.e. no statistical adjustments for </w:t>
            </w:r>
            <w:r w:rsidR="006A4CC6" w:rsidRPr="00FE7564">
              <w:rPr>
                <w:rFonts w:ascii="Arial Narrow" w:hAnsi="Arial Narrow"/>
                <w:sz w:val="20"/>
                <w:szCs w:val="20"/>
              </w:rPr>
              <w:t>crossover</w:t>
            </w:r>
            <w:r w:rsidRPr="00FE7564">
              <w:rPr>
                <w:rFonts w:ascii="Arial Narrow" w:hAnsi="Arial Narrow"/>
                <w:sz w:val="20"/>
                <w:szCs w:val="20"/>
              </w:rPr>
              <w:t>.</w:t>
            </w:r>
          </w:p>
        </w:tc>
        <w:tc>
          <w:tcPr>
            <w:tcW w:w="1763"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The submission c</w:t>
            </w:r>
            <w:r w:rsidR="00CA1F03" w:rsidRPr="00FE7564">
              <w:rPr>
                <w:rFonts w:ascii="Arial Narrow" w:hAnsi="Arial Narrow"/>
                <w:sz w:val="20"/>
                <w:szCs w:val="20"/>
              </w:rPr>
              <w:t>omplied with the condition.</w:t>
            </w:r>
          </w:p>
        </w:tc>
      </w:tr>
      <w:tr w:rsidR="00770703" w:rsidRPr="00FE7564" w:rsidTr="00CA1F03">
        <w:tc>
          <w:tcPr>
            <w:tcW w:w="3237" w:type="pct"/>
          </w:tcPr>
          <w:p w:rsidR="00FD2BA9" w:rsidRPr="00FE7564" w:rsidRDefault="00FD2BA9" w:rsidP="00C26563">
            <w:pPr>
              <w:rPr>
                <w:rFonts w:ascii="Arial Narrow" w:hAnsi="Arial Narrow"/>
                <w:sz w:val="20"/>
                <w:szCs w:val="20"/>
              </w:rPr>
            </w:pPr>
            <w:r w:rsidRPr="00FE7564">
              <w:rPr>
                <w:rFonts w:ascii="Arial Narrow" w:hAnsi="Arial Narrow"/>
                <w:sz w:val="20"/>
                <w:szCs w:val="20"/>
              </w:rPr>
              <w:t xml:space="preserve">The PBAC considered that the other inputs in the model need not change for the economic evaluation in Evaluation 2, despite the fact that the associated biases are in favour of </w:t>
            </w:r>
            <w:proofErr w:type="spellStart"/>
            <w:r w:rsidRPr="00FE7564">
              <w:rPr>
                <w:rFonts w:ascii="Arial Narrow" w:hAnsi="Arial Narrow"/>
                <w:sz w:val="20"/>
                <w:szCs w:val="20"/>
              </w:rPr>
              <w:t>trametinib</w:t>
            </w:r>
            <w:proofErr w:type="spellEnd"/>
            <w:r w:rsidRPr="00FE7564">
              <w:rPr>
                <w:rFonts w:ascii="Arial Narrow" w:hAnsi="Arial Narrow"/>
                <w:sz w:val="20"/>
                <w:szCs w:val="20"/>
              </w:rPr>
              <w:t>. These include (a) utilities for the progression-free health state and post-progression health state, (b) the costs of additional adverse effects</w:t>
            </w:r>
            <w:r w:rsidR="00BF223F" w:rsidRPr="00FE7564">
              <w:rPr>
                <w:rFonts w:ascii="Arial Narrow" w:hAnsi="Arial Narrow"/>
                <w:sz w:val="20"/>
                <w:szCs w:val="20"/>
              </w:rPr>
              <w:t>,</w:t>
            </w:r>
            <w:r w:rsidRPr="00FE7564">
              <w:rPr>
                <w:rFonts w:ascii="Arial Narrow" w:hAnsi="Arial Narrow"/>
                <w:sz w:val="20"/>
                <w:szCs w:val="20"/>
              </w:rPr>
              <w:t xml:space="preserve"> and (c) not adjusting for the trial populations excluding patients with brain metastases whilst including these patients in the requested PBS population.</w:t>
            </w:r>
          </w:p>
        </w:tc>
        <w:tc>
          <w:tcPr>
            <w:tcW w:w="1763" w:type="pct"/>
          </w:tcPr>
          <w:p w:rsidR="00FD2BA9" w:rsidRPr="00FE7564" w:rsidRDefault="00FD2BA9" w:rsidP="00CA1F03">
            <w:pPr>
              <w:rPr>
                <w:rFonts w:ascii="Arial Narrow" w:hAnsi="Arial Narrow"/>
                <w:sz w:val="20"/>
                <w:szCs w:val="20"/>
              </w:rPr>
            </w:pPr>
            <w:r w:rsidRPr="00FE7564">
              <w:rPr>
                <w:rFonts w:ascii="Arial Narrow" w:hAnsi="Arial Narrow"/>
                <w:sz w:val="20"/>
                <w:szCs w:val="20"/>
              </w:rPr>
              <w:t xml:space="preserve">The submission did not comply with this </w:t>
            </w:r>
            <w:proofErr w:type="gramStart"/>
            <w:r w:rsidRPr="00FE7564">
              <w:rPr>
                <w:rFonts w:ascii="Arial Narrow" w:hAnsi="Arial Narrow"/>
                <w:sz w:val="20"/>
                <w:szCs w:val="20"/>
              </w:rPr>
              <w:t>condition</w:t>
            </w:r>
            <w:r w:rsidR="00E35FE6" w:rsidRPr="00FE7564">
              <w:rPr>
                <w:rFonts w:ascii="Arial Narrow" w:hAnsi="Arial Narrow"/>
                <w:sz w:val="20"/>
                <w:szCs w:val="20"/>
              </w:rPr>
              <w:t>,</w:t>
            </w:r>
            <w:proofErr w:type="gramEnd"/>
            <w:r w:rsidR="00E35FE6" w:rsidRPr="00FE7564">
              <w:rPr>
                <w:rFonts w:ascii="Arial Narrow" w:hAnsi="Arial Narrow"/>
                <w:sz w:val="20"/>
                <w:szCs w:val="20"/>
              </w:rPr>
              <w:t xml:space="preserve"> see paragraphs 3.6 and 3.7 below for detail</w:t>
            </w:r>
            <w:r w:rsidR="004C1AED" w:rsidRPr="00FE7564">
              <w:rPr>
                <w:rFonts w:ascii="Arial Narrow" w:hAnsi="Arial Narrow"/>
                <w:sz w:val="20"/>
                <w:szCs w:val="20"/>
              </w:rPr>
              <w:t>s</w:t>
            </w:r>
            <w:r w:rsidR="00CA1F03" w:rsidRPr="00FE7564">
              <w:rPr>
                <w:rFonts w:ascii="Arial Narrow" w:hAnsi="Arial Narrow"/>
                <w:sz w:val="20"/>
                <w:szCs w:val="20"/>
              </w:rPr>
              <w:t>.</w:t>
            </w:r>
          </w:p>
        </w:tc>
      </w:tr>
    </w:tbl>
    <w:p w:rsidR="00FD2BA9" w:rsidRPr="00FE7564" w:rsidRDefault="00FD2BA9" w:rsidP="00FD2BA9">
      <w:pPr>
        <w:tabs>
          <w:tab w:val="left" w:pos="360"/>
        </w:tabs>
        <w:ind w:left="630"/>
        <w:rPr>
          <w:rFonts w:ascii="Arial Narrow" w:hAnsi="Arial Narrow"/>
          <w:sz w:val="18"/>
          <w:szCs w:val="20"/>
        </w:rPr>
      </w:pPr>
      <w:r w:rsidRPr="00FE7564">
        <w:rPr>
          <w:rFonts w:ascii="Arial Narrow" w:hAnsi="Arial Narrow"/>
          <w:sz w:val="18"/>
          <w:szCs w:val="20"/>
        </w:rPr>
        <w:t>Source: compiled during the evaluation. AE=adverse event; PBAC=Pharmaceutical Benefits Advisory Committee; PBS=Pharmaceutical Benefits Scheme; PFS=progression</w:t>
      </w:r>
      <w:r w:rsidR="00444F6B" w:rsidRPr="00FE7564">
        <w:rPr>
          <w:rFonts w:ascii="Arial Narrow" w:hAnsi="Arial Narrow"/>
          <w:sz w:val="18"/>
          <w:szCs w:val="20"/>
        </w:rPr>
        <w:t>-</w:t>
      </w:r>
      <w:r w:rsidRPr="00FE7564">
        <w:rPr>
          <w:rFonts w:ascii="Arial Narrow" w:hAnsi="Arial Narrow"/>
          <w:sz w:val="18"/>
          <w:szCs w:val="20"/>
        </w:rPr>
        <w:t>free survival; ORR=objective response rate; OS=overall survival.</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 xml:space="preserve">The submission made the following updates to the economic model that </w:t>
      </w:r>
      <w:r w:rsidR="004C1AED" w:rsidRPr="00FE7564">
        <w:rPr>
          <w:szCs w:val="22"/>
        </w:rPr>
        <w:t>were not requested by the PBAC:</w:t>
      </w:r>
    </w:p>
    <w:p w:rsidR="00FD2BA9" w:rsidRPr="00FE7564" w:rsidRDefault="00FD2BA9" w:rsidP="00FD2BA9">
      <w:pPr>
        <w:pStyle w:val="ListParagraph"/>
        <w:widowControl/>
        <w:numPr>
          <w:ilvl w:val="0"/>
          <w:numId w:val="33"/>
        </w:numPr>
        <w:ind w:left="1080"/>
        <w:rPr>
          <w:szCs w:val="22"/>
        </w:rPr>
      </w:pPr>
      <w:r w:rsidRPr="00FE7564">
        <w:rPr>
          <w:szCs w:val="22"/>
        </w:rPr>
        <w:t xml:space="preserve">Treatment costs of post-progression </w:t>
      </w:r>
      <w:r w:rsidR="00EF08F5" w:rsidRPr="00FE7564">
        <w:rPr>
          <w:szCs w:val="22"/>
        </w:rPr>
        <w:t xml:space="preserve">anti-cancer </w:t>
      </w:r>
      <w:r w:rsidRPr="00FE7564">
        <w:rPr>
          <w:szCs w:val="22"/>
        </w:rPr>
        <w:t>therapy</w:t>
      </w:r>
      <w:r w:rsidR="00EF08F5" w:rsidRPr="00FE7564">
        <w:rPr>
          <w:szCs w:val="22"/>
        </w:rPr>
        <w:t xml:space="preserve"> (PPACT)</w:t>
      </w:r>
      <w:r w:rsidRPr="00FE7564">
        <w:rPr>
          <w:szCs w:val="22"/>
        </w:rPr>
        <w:t xml:space="preserve"> were included in the model. The inclusion of these costs ha</w:t>
      </w:r>
      <w:r w:rsidR="004C1AED" w:rsidRPr="00FE7564">
        <w:rPr>
          <w:szCs w:val="22"/>
        </w:rPr>
        <w:t>d</w:t>
      </w:r>
      <w:r w:rsidRPr="00FE7564">
        <w:rPr>
          <w:szCs w:val="22"/>
        </w:rPr>
        <w:t xml:space="preserve"> considerable impact on the ICER, favouring </w:t>
      </w:r>
      <w:proofErr w:type="spellStart"/>
      <w:r w:rsidRPr="00FE7564">
        <w:rPr>
          <w:szCs w:val="22"/>
        </w:rPr>
        <w:t>trametinib</w:t>
      </w:r>
      <w:proofErr w:type="spellEnd"/>
      <w:r w:rsidRPr="00FE7564">
        <w:rPr>
          <w:szCs w:val="22"/>
        </w:rPr>
        <w:t xml:space="preserve"> (see </w:t>
      </w:r>
      <w:r w:rsidR="000E4595" w:rsidRPr="00FE7564">
        <w:rPr>
          <w:szCs w:val="22"/>
        </w:rPr>
        <w:t>Economic analysis below</w:t>
      </w:r>
      <w:r w:rsidRPr="00FE7564">
        <w:rPr>
          <w:szCs w:val="22"/>
        </w:rPr>
        <w:t>).</w:t>
      </w:r>
    </w:p>
    <w:p w:rsidR="00FD2BA9" w:rsidRPr="00FE7564" w:rsidRDefault="00FD2BA9" w:rsidP="00FD2BA9">
      <w:pPr>
        <w:pStyle w:val="ListParagraph"/>
        <w:widowControl/>
        <w:numPr>
          <w:ilvl w:val="0"/>
          <w:numId w:val="33"/>
        </w:numPr>
        <w:ind w:left="1080"/>
        <w:rPr>
          <w:szCs w:val="22"/>
        </w:rPr>
      </w:pPr>
      <w:r w:rsidRPr="00FE7564">
        <w:rPr>
          <w:szCs w:val="22"/>
        </w:rPr>
        <w:t xml:space="preserve">Utility values were modified with updated ORR data and updated AE trial data and the way AE costs and incidence were modelled was changed. </w:t>
      </w:r>
      <w:r w:rsidR="004C1AED" w:rsidRPr="00FE7564">
        <w:rPr>
          <w:szCs w:val="22"/>
        </w:rPr>
        <w:t>These changes had</w:t>
      </w:r>
      <w:r w:rsidRPr="00FE7564">
        <w:rPr>
          <w:szCs w:val="22"/>
        </w:rPr>
        <w:t xml:space="preserve"> a small impact on the ICER, favouring </w:t>
      </w:r>
      <w:proofErr w:type="spellStart"/>
      <w:r w:rsidRPr="00FE7564">
        <w:rPr>
          <w:szCs w:val="22"/>
        </w:rPr>
        <w:t>trametinib</w:t>
      </w:r>
      <w:proofErr w:type="spellEnd"/>
      <w:r w:rsidRPr="00FE7564">
        <w:rPr>
          <w:szCs w:val="22"/>
        </w:rPr>
        <w:t>.</w:t>
      </w:r>
    </w:p>
    <w:p w:rsidR="00FD2BA9" w:rsidRPr="00FE7564" w:rsidRDefault="00FD2BA9" w:rsidP="00FD2BA9">
      <w:pPr>
        <w:pStyle w:val="ListParagraph"/>
        <w:widowControl/>
        <w:numPr>
          <w:ilvl w:val="0"/>
          <w:numId w:val="33"/>
        </w:numPr>
        <w:ind w:left="1080"/>
        <w:rPr>
          <w:szCs w:val="22"/>
        </w:rPr>
      </w:pPr>
      <w:r w:rsidRPr="00FE7564">
        <w:rPr>
          <w:szCs w:val="22"/>
        </w:rPr>
        <w:t>Disease monitoring costs in the model were changed</w:t>
      </w:r>
      <w:r w:rsidR="00C369D0" w:rsidRPr="00FE7564">
        <w:rPr>
          <w:szCs w:val="22"/>
        </w:rPr>
        <w:t>.</w:t>
      </w:r>
      <w:r w:rsidR="00E84BD4" w:rsidRPr="00FE7564">
        <w:rPr>
          <w:szCs w:val="22"/>
        </w:rPr>
        <w:t xml:space="preserve"> This had a small impact on the ICER, favouring </w:t>
      </w:r>
      <w:proofErr w:type="spellStart"/>
      <w:r w:rsidR="00E84BD4" w:rsidRPr="00FE7564">
        <w:rPr>
          <w:szCs w:val="22"/>
        </w:rPr>
        <w:t>trametinib</w:t>
      </w:r>
      <w:proofErr w:type="spellEnd"/>
      <w:r w:rsidR="00E84BD4" w:rsidRPr="00FE7564">
        <w:rPr>
          <w:szCs w:val="22"/>
        </w:rPr>
        <w:t>.</w:t>
      </w:r>
    </w:p>
    <w:p w:rsidR="00FD2BA9" w:rsidRPr="00FE7564" w:rsidRDefault="00FD2BA9" w:rsidP="00FD2BA9">
      <w:pPr>
        <w:widowControl/>
        <w:rPr>
          <w:szCs w:val="22"/>
        </w:rPr>
      </w:pPr>
    </w:p>
    <w:p w:rsidR="0010168C" w:rsidRDefault="00FD2BA9" w:rsidP="00FD2BA9">
      <w:pPr>
        <w:pStyle w:val="ListParagraph"/>
        <w:widowControl/>
        <w:numPr>
          <w:ilvl w:val="1"/>
          <w:numId w:val="8"/>
        </w:numPr>
        <w:rPr>
          <w:szCs w:val="22"/>
        </w:rPr>
      </w:pPr>
      <w:r w:rsidRPr="00FE7564">
        <w:rPr>
          <w:szCs w:val="22"/>
        </w:rPr>
        <w:t xml:space="preserve">The submission stated that the above changes </w:t>
      </w:r>
      <w:r w:rsidR="004C1AED" w:rsidRPr="00FE7564">
        <w:rPr>
          <w:szCs w:val="22"/>
        </w:rPr>
        <w:t>we</w:t>
      </w:r>
      <w:r w:rsidRPr="00FE7564">
        <w:rPr>
          <w:szCs w:val="22"/>
        </w:rPr>
        <w:t>re consistent with best practice in health economics. The changes, particularly the case of post-progression therapy</w:t>
      </w:r>
      <w:r w:rsidR="000A55F3" w:rsidRPr="00FE7564">
        <w:rPr>
          <w:szCs w:val="22"/>
        </w:rPr>
        <w:t>,</w:t>
      </w:r>
      <w:r w:rsidRPr="00FE7564">
        <w:rPr>
          <w:szCs w:val="22"/>
        </w:rPr>
        <w:t xml:space="preserve"> </w:t>
      </w:r>
    </w:p>
    <w:p w:rsidR="0010168C" w:rsidRDefault="0010168C" w:rsidP="0010168C">
      <w:pPr>
        <w:pStyle w:val="ListParagraph"/>
        <w:widowControl/>
        <w:rPr>
          <w:szCs w:val="22"/>
        </w:rPr>
      </w:pPr>
    </w:p>
    <w:p w:rsidR="00FD2BA9" w:rsidRPr="0010168C" w:rsidRDefault="00FD2BA9" w:rsidP="0010168C">
      <w:pPr>
        <w:pStyle w:val="ListParagraph"/>
        <w:widowControl/>
        <w:rPr>
          <w:szCs w:val="22"/>
        </w:rPr>
      </w:pPr>
      <w:proofErr w:type="gramStart"/>
      <w:r w:rsidRPr="0010168C">
        <w:rPr>
          <w:szCs w:val="22"/>
        </w:rPr>
        <w:t>favour</w:t>
      </w:r>
      <w:r w:rsidR="004C1AED" w:rsidRPr="0010168C">
        <w:rPr>
          <w:szCs w:val="22"/>
        </w:rPr>
        <w:t>ed</w:t>
      </w:r>
      <w:proofErr w:type="gramEnd"/>
      <w:r w:rsidRPr="0010168C">
        <w:rPr>
          <w:szCs w:val="22"/>
        </w:rPr>
        <w:t xml:space="preserve"> combination therapy and d</w:t>
      </w:r>
      <w:r w:rsidR="004C1AED" w:rsidRPr="0010168C">
        <w:rPr>
          <w:szCs w:val="22"/>
        </w:rPr>
        <w:t>id</w:t>
      </w:r>
      <w:r w:rsidRPr="0010168C">
        <w:rPr>
          <w:szCs w:val="22"/>
        </w:rPr>
        <w:t xml:space="preserve"> not necessarily follow best practice in health economics or model plausible costs.</w:t>
      </w:r>
    </w:p>
    <w:p w:rsidR="00FD2BA9" w:rsidRPr="00FE7564" w:rsidRDefault="00FD2BA9" w:rsidP="00FD2BA9"/>
    <w:p w:rsidR="0064400F" w:rsidRPr="00FE7564" w:rsidRDefault="0064400F" w:rsidP="00931F09">
      <w:pPr>
        <w:ind w:left="709"/>
      </w:pPr>
      <w:r w:rsidRPr="00FE7564">
        <w:rPr>
          <w:bCs/>
          <w:i/>
          <w:szCs w:val="22"/>
        </w:rPr>
        <w:t>For more detail on PBAC’s view, see section 7 “PBAC outcome”</w:t>
      </w:r>
      <w:r w:rsidR="00931F09" w:rsidRPr="00FE7564">
        <w:rPr>
          <w:bCs/>
          <w:i/>
          <w:szCs w:val="22"/>
        </w:rPr>
        <w:t>.</w:t>
      </w:r>
    </w:p>
    <w:p w:rsidR="00FD2BA9" w:rsidRPr="00FE7564" w:rsidRDefault="00FD2BA9" w:rsidP="00FD2BA9"/>
    <w:p w:rsidR="00037476" w:rsidRPr="00FE7564" w:rsidRDefault="00037476" w:rsidP="00FD2BA9"/>
    <w:p w:rsidR="00FD2BA9" w:rsidRPr="00FE7564" w:rsidRDefault="00FD2BA9" w:rsidP="0031771D">
      <w:pPr>
        <w:pStyle w:val="Heading1"/>
      </w:pPr>
      <w:bookmarkStart w:id="4" w:name="_Toc451265339"/>
      <w:r w:rsidRPr="00FE7564">
        <w:t>Clinical place for the proposed therapy</w:t>
      </w:r>
      <w:bookmarkEnd w:id="4"/>
    </w:p>
    <w:p w:rsidR="00FD2BA9" w:rsidRPr="00FE7564" w:rsidRDefault="00FD2BA9" w:rsidP="00FD2BA9">
      <w:pPr>
        <w:rPr>
          <w:szCs w:val="22"/>
        </w:rPr>
      </w:pPr>
    </w:p>
    <w:p w:rsidR="00FD2BA9" w:rsidRPr="00FE7564" w:rsidRDefault="00EF08F5" w:rsidP="00FD2BA9">
      <w:pPr>
        <w:pStyle w:val="ListParagraph"/>
        <w:widowControl/>
        <w:numPr>
          <w:ilvl w:val="1"/>
          <w:numId w:val="8"/>
        </w:numPr>
        <w:rPr>
          <w:szCs w:val="22"/>
        </w:rPr>
      </w:pPr>
      <w:proofErr w:type="spellStart"/>
      <w:r w:rsidRPr="00FE7564">
        <w:t>Trametinib</w:t>
      </w:r>
      <w:proofErr w:type="spellEnd"/>
      <w:r w:rsidRPr="00FE7564">
        <w:t xml:space="preserve"> is a MEK inhibitor. </w:t>
      </w:r>
      <w:r w:rsidR="00FD2BA9" w:rsidRPr="00FE7564">
        <w:t xml:space="preserve">The PBS restriction for </w:t>
      </w:r>
      <w:proofErr w:type="spellStart"/>
      <w:r w:rsidR="00FD2BA9" w:rsidRPr="00FE7564">
        <w:t>trametinib</w:t>
      </w:r>
      <w:proofErr w:type="spellEnd"/>
      <w:r w:rsidR="00FD2BA9" w:rsidRPr="00FE7564">
        <w:t xml:space="preserve"> for the treatment of </w:t>
      </w:r>
      <w:proofErr w:type="spellStart"/>
      <w:r w:rsidR="00FD2BA9" w:rsidRPr="00FE7564">
        <w:t>unresectable</w:t>
      </w:r>
      <w:proofErr w:type="spellEnd"/>
      <w:r w:rsidR="00FD2BA9" w:rsidRPr="00FE7564">
        <w:t xml:space="preserve"> or metastatic m</w:t>
      </w:r>
      <w:r w:rsidR="004C1AED" w:rsidRPr="00FE7564">
        <w:t>elanoma places its use as first-</w:t>
      </w:r>
      <w:r w:rsidR="00FD2BA9" w:rsidRPr="00FE7564">
        <w:t>line for patients who are BRAF V600 mutation positive.</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The submission did not discuss potential alterations in the clinical management algorithm as pertaining to combination therapy. However, the submission did note in its discussion of Quality Use of Medicines that the treatment landscape for melanoma ha</w:t>
      </w:r>
      <w:r w:rsidR="004C1AED" w:rsidRPr="00FE7564">
        <w:rPr>
          <w:szCs w:val="22"/>
        </w:rPr>
        <w:t>d</w:t>
      </w:r>
      <w:r w:rsidRPr="00FE7564">
        <w:rPr>
          <w:szCs w:val="22"/>
        </w:rPr>
        <w:t xml:space="preserve"> evolved in recent years, noting the approval of </w:t>
      </w:r>
      <w:proofErr w:type="spellStart"/>
      <w:r w:rsidRPr="00FE7564">
        <w:rPr>
          <w:szCs w:val="22"/>
        </w:rPr>
        <w:t>dabrafenib</w:t>
      </w:r>
      <w:proofErr w:type="spellEnd"/>
      <w:r w:rsidRPr="00FE7564">
        <w:rPr>
          <w:szCs w:val="22"/>
        </w:rPr>
        <w:t xml:space="preserve"> monotherapy, </w:t>
      </w:r>
      <w:proofErr w:type="spellStart"/>
      <w:r w:rsidRPr="00FE7564">
        <w:rPr>
          <w:szCs w:val="22"/>
        </w:rPr>
        <w:t>trametinib</w:t>
      </w:r>
      <w:proofErr w:type="spellEnd"/>
      <w:r w:rsidRPr="00FE7564">
        <w:rPr>
          <w:szCs w:val="22"/>
        </w:rPr>
        <w:t xml:space="preserve">, and </w:t>
      </w:r>
      <w:proofErr w:type="spellStart"/>
      <w:r w:rsidRPr="00FE7564">
        <w:rPr>
          <w:szCs w:val="22"/>
        </w:rPr>
        <w:t>pembrolizumab</w:t>
      </w:r>
      <w:proofErr w:type="spellEnd"/>
      <w:r w:rsidRPr="00FE7564">
        <w:rPr>
          <w:szCs w:val="22"/>
        </w:rPr>
        <w:t xml:space="preserve">. The submission </w:t>
      </w:r>
      <w:r w:rsidR="00EF08F5" w:rsidRPr="00FE7564">
        <w:rPr>
          <w:szCs w:val="22"/>
        </w:rPr>
        <w:t xml:space="preserve">noted </w:t>
      </w:r>
      <w:r w:rsidRPr="00FE7564">
        <w:rPr>
          <w:szCs w:val="22"/>
        </w:rPr>
        <w:t xml:space="preserve">that these new therapies </w:t>
      </w:r>
      <w:r w:rsidR="004C1AED" w:rsidRPr="00FE7564">
        <w:rPr>
          <w:szCs w:val="22"/>
        </w:rPr>
        <w:t xml:space="preserve">have </w:t>
      </w:r>
      <w:r w:rsidRPr="00FE7564">
        <w:rPr>
          <w:szCs w:val="22"/>
        </w:rPr>
        <w:t>push</w:t>
      </w:r>
      <w:r w:rsidR="004C1AED" w:rsidRPr="00FE7564">
        <w:rPr>
          <w:szCs w:val="22"/>
        </w:rPr>
        <w:t>ed</w:t>
      </w:r>
      <w:r w:rsidRPr="00FE7564">
        <w:rPr>
          <w:szCs w:val="22"/>
        </w:rPr>
        <w:t xml:space="preserve"> </w:t>
      </w:r>
      <w:proofErr w:type="spellStart"/>
      <w:r w:rsidRPr="00FE7564">
        <w:rPr>
          <w:szCs w:val="22"/>
        </w:rPr>
        <w:t>ipilimumab</w:t>
      </w:r>
      <w:proofErr w:type="spellEnd"/>
      <w:r w:rsidRPr="00FE7564">
        <w:rPr>
          <w:szCs w:val="22"/>
        </w:rPr>
        <w:t xml:space="preserve"> into </w:t>
      </w:r>
      <w:r w:rsidR="004C1AED" w:rsidRPr="00FE7564">
        <w:rPr>
          <w:szCs w:val="22"/>
        </w:rPr>
        <w:t>third-</w:t>
      </w:r>
      <w:r w:rsidRPr="00FE7564">
        <w:rPr>
          <w:szCs w:val="22"/>
        </w:rPr>
        <w:t xml:space="preserve">line therapy. Not mentioned was the positive PBAC recommendation of </w:t>
      </w:r>
      <w:proofErr w:type="spellStart"/>
      <w:r w:rsidRPr="00FE7564">
        <w:rPr>
          <w:szCs w:val="22"/>
        </w:rPr>
        <w:t>nivolumab</w:t>
      </w:r>
      <w:proofErr w:type="spellEnd"/>
      <w:r w:rsidR="00EF08F5" w:rsidRPr="00FE7564">
        <w:rPr>
          <w:szCs w:val="22"/>
        </w:rPr>
        <w:t xml:space="preserve"> in November 2015</w:t>
      </w:r>
      <w:r w:rsidR="007715C4" w:rsidRPr="00FE7564">
        <w:rPr>
          <w:szCs w:val="22"/>
        </w:rPr>
        <w:t xml:space="preserve">, although this was unlikely to </w:t>
      </w:r>
      <w:r w:rsidRPr="00FE7564">
        <w:rPr>
          <w:szCs w:val="22"/>
        </w:rPr>
        <w:t xml:space="preserve">affect the place of </w:t>
      </w:r>
      <w:proofErr w:type="spellStart"/>
      <w:r w:rsidRPr="00FE7564">
        <w:rPr>
          <w:szCs w:val="22"/>
        </w:rPr>
        <w:t>trametinib</w:t>
      </w:r>
      <w:proofErr w:type="spellEnd"/>
      <w:r w:rsidRPr="00FE7564">
        <w:rPr>
          <w:szCs w:val="22"/>
        </w:rPr>
        <w:t>.</w:t>
      </w:r>
    </w:p>
    <w:p w:rsidR="00FD2BA9" w:rsidRPr="00FE7564" w:rsidRDefault="00FD2BA9" w:rsidP="00FD2BA9">
      <w:pPr>
        <w:pStyle w:val="ListParagraph"/>
        <w:ind w:left="0"/>
        <w:rPr>
          <w:szCs w:val="22"/>
        </w:rPr>
      </w:pPr>
    </w:p>
    <w:p w:rsidR="00A83EAB" w:rsidRPr="00FE7564" w:rsidRDefault="00A83EAB" w:rsidP="00FD2BA9">
      <w:pPr>
        <w:pStyle w:val="ListParagraph"/>
        <w:ind w:left="0"/>
        <w:rPr>
          <w:szCs w:val="22"/>
        </w:rPr>
      </w:pPr>
    </w:p>
    <w:p w:rsidR="00FD2BA9" w:rsidRPr="00FE7564" w:rsidRDefault="00FD2BA9" w:rsidP="0031771D">
      <w:pPr>
        <w:pStyle w:val="Heading1"/>
      </w:pPr>
      <w:bookmarkStart w:id="5" w:name="_Toc451265340"/>
      <w:r w:rsidRPr="00FE7564">
        <w:t>Comparator</w:t>
      </w:r>
      <w:bookmarkEnd w:id="5"/>
    </w:p>
    <w:p w:rsidR="00FD2BA9" w:rsidRPr="00FE7564" w:rsidRDefault="00FD2BA9" w:rsidP="00FD2BA9"/>
    <w:p w:rsidR="00FD2BA9" w:rsidRPr="00FE7564" w:rsidRDefault="00FD2BA9" w:rsidP="00FD2BA9">
      <w:pPr>
        <w:pStyle w:val="ListParagraph"/>
        <w:widowControl/>
        <w:numPr>
          <w:ilvl w:val="1"/>
          <w:numId w:val="8"/>
        </w:numPr>
        <w:rPr>
          <w:szCs w:val="22"/>
        </w:rPr>
      </w:pPr>
      <w:proofErr w:type="spellStart"/>
      <w:r w:rsidRPr="00FE7564">
        <w:t>Dabrafenib</w:t>
      </w:r>
      <w:proofErr w:type="spellEnd"/>
      <w:r w:rsidRPr="00FE7564">
        <w:t xml:space="preserve"> monotherapy was the main comparator, as it was in the November 2014 </w:t>
      </w:r>
      <w:r w:rsidR="00774934" w:rsidRPr="00FE7564">
        <w:t>re</w:t>
      </w:r>
      <w:r w:rsidRPr="00FE7564">
        <w:t>submission. This choice remains appropriate.</w:t>
      </w:r>
    </w:p>
    <w:p w:rsidR="00FD2BA9" w:rsidRPr="00FE7564" w:rsidRDefault="00FD2BA9" w:rsidP="00FD2BA9"/>
    <w:p w:rsidR="00FD2BA9" w:rsidRPr="00FE7564" w:rsidRDefault="00FD2BA9" w:rsidP="00FD2BA9"/>
    <w:p w:rsidR="00FD2BA9" w:rsidRPr="00FE7564" w:rsidRDefault="00FD2BA9" w:rsidP="0031771D">
      <w:pPr>
        <w:pStyle w:val="Heading1"/>
      </w:pPr>
      <w:bookmarkStart w:id="6" w:name="_Toc451265341"/>
      <w:r w:rsidRPr="00FE7564">
        <w:t>Consideration of the evidence</w:t>
      </w:r>
      <w:bookmarkEnd w:id="6"/>
    </w:p>
    <w:p w:rsidR="00FD2BA9" w:rsidRPr="00FE7564" w:rsidRDefault="00FD2BA9" w:rsidP="00FD2BA9">
      <w:pPr>
        <w:widowControl/>
        <w:rPr>
          <w:szCs w:val="22"/>
        </w:rPr>
      </w:pPr>
    </w:p>
    <w:p w:rsidR="00E44C96" w:rsidRPr="0031771D" w:rsidRDefault="00E44C96" w:rsidP="0031771D">
      <w:pPr>
        <w:pStyle w:val="Heading2"/>
      </w:pPr>
      <w:r w:rsidRPr="0031771D">
        <w:t>Sponsor hearing</w:t>
      </w:r>
    </w:p>
    <w:p w:rsidR="00A7645A" w:rsidRPr="00FE7564" w:rsidRDefault="00A7645A" w:rsidP="00A7645A">
      <w:pPr>
        <w:pStyle w:val="PBACheading1"/>
        <w:numPr>
          <w:ilvl w:val="0"/>
          <w:numId w:val="0"/>
        </w:numPr>
        <w:ind w:left="720" w:hanging="720"/>
      </w:pPr>
    </w:p>
    <w:p w:rsidR="00E44C96" w:rsidRPr="00FE7564" w:rsidRDefault="00E44C96" w:rsidP="0099758B">
      <w:pPr>
        <w:widowControl/>
        <w:numPr>
          <w:ilvl w:val="1"/>
          <w:numId w:val="8"/>
        </w:numPr>
        <w:jc w:val="left"/>
        <w:rPr>
          <w:bCs/>
          <w:szCs w:val="22"/>
        </w:rPr>
      </w:pPr>
      <w:r w:rsidRPr="00FE7564">
        <w:rPr>
          <w:bCs/>
          <w:szCs w:val="22"/>
        </w:rPr>
        <w:t>There was no hearing for this item.</w:t>
      </w:r>
    </w:p>
    <w:p w:rsidR="00E44C96" w:rsidRPr="00FE7564" w:rsidRDefault="00E44C96" w:rsidP="00E44C96">
      <w:pPr>
        <w:rPr>
          <w:bCs/>
          <w:szCs w:val="22"/>
        </w:rPr>
      </w:pPr>
    </w:p>
    <w:p w:rsidR="00E44C96" w:rsidRPr="0031771D" w:rsidRDefault="00E44C96" w:rsidP="0031771D">
      <w:pPr>
        <w:pStyle w:val="Heading2"/>
      </w:pPr>
      <w:r w:rsidRPr="0031771D">
        <w:t>Consumer comments</w:t>
      </w:r>
    </w:p>
    <w:p w:rsidR="00A7645A" w:rsidRPr="00FE7564" w:rsidRDefault="00A7645A" w:rsidP="00E44C96">
      <w:pPr>
        <w:widowControl/>
        <w:rPr>
          <w:bCs/>
          <w:szCs w:val="22"/>
        </w:rPr>
      </w:pPr>
    </w:p>
    <w:p w:rsidR="00E44C96" w:rsidRPr="00FE7564" w:rsidRDefault="00E44C96" w:rsidP="0099758B">
      <w:pPr>
        <w:widowControl/>
        <w:numPr>
          <w:ilvl w:val="1"/>
          <w:numId w:val="8"/>
        </w:numPr>
        <w:jc w:val="left"/>
        <w:rPr>
          <w:bCs/>
          <w:szCs w:val="22"/>
        </w:rPr>
      </w:pPr>
      <w:r w:rsidRPr="00FE7564">
        <w:rPr>
          <w:bCs/>
          <w:szCs w:val="22"/>
        </w:rPr>
        <w:t>The PBAC noted that no consumer comments were received for this item.</w:t>
      </w:r>
    </w:p>
    <w:p w:rsidR="00E44C96" w:rsidRPr="00FE7564" w:rsidRDefault="00E44C96" w:rsidP="00E44C96">
      <w:pPr>
        <w:widowControl/>
        <w:rPr>
          <w:szCs w:val="22"/>
        </w:rPr>
      </w:pPr>
    </w:p>
    <w:p w:rsidR="00FD2BA9" w:rsidRPr="0031771D" w:rsidRDefault="00FD2BA9" w:rsidP="0031771D">
      <w:pPr>
        <w:pStyle w:val="Heading2"/>
      </w:pPr>
      <w:bookmarkStart w:id="7" w:name="_Toc451265342"/>
      <w:r w:rsidRPr="0031771D">
        <w:t>Clinical trials</w:t>
      </w:r>
      <w:bookmarkEnd w:id="7"/>
    </w:p>
    <w:p w:rsidR="00FD2BA9" w:rsidRPr="00FE7564" w:rsidRDefault="00FD2BA9" w:rsidP="00FD2BA9">
      <w:pPr>
        <w:rPr>
          <w:szCs w:val="22"/>
        </w:rPr>
      </w:pPr>
    </w:p>
    <w:p w:rsidR="00FD2BA9" w:rsidRPr="00FE7564" w:rsidRDefault="00FD2BA9" w:rsidP="00FD2BA9">
      <w:pPr>
        <w:pStyle w:val="ListParagraph"/>
        <w:widowControl/>
        <w:numPr>
          <w:ilvl w:val="1"/>
          <w:numId w:val="8"/>
        </w:numPr>
        <w:rPr>
          <w:szCs w:val="22"/>
        </w:rPr>
      </w:pPr>
      <w:r w:rsidRPr="00FE7564">
        <w:t>The submission was based on individual and pooled results of the following trials:</w:t>
      </w:r>
    </w:p>
    <w:p w:rsidR="00FD2BA9" w:rsidRPr="00FE7564" w:rsidRDefault="00FD2BA9" w:rsidP="00FD2BA9">
      <w:pPr>
        <w:pStyle w:val="ListParagraph"/>
        <w:widowControl/>
        <w:numPr>
          <w:ilvl w:val="0"/>
          <w:numId w:val="34"/>
        </w:numPr>
        <w:ind w:left="1080"/>
        <w:rPr>
          <w:szCs w:val="22"/>
        </w:rPr>
      </w:pPr>
      <w:r w:rsidRPr="00FE7564">
        <w:t xml:space="preserve">BRF1132200 (N = 612), a </w:t>
      </w:r>
      <w:r w:rsidR="00956131" w:rsidRPr="00FE7564">
        <w:t xml:space="preserve">phase II </w:t>
      </w:r>
      <w:r w:rsidR="004C1AED" w:rsidRPr="00FE7564">
        <w:t>randomised, open-</w:t>
      </w:r>
      <w:r w:rsidRPr="00FE7564">
        <w:t xml:space="preserve">label trial comparing </w:t>
      </w:r>
      <w:proofErr w:type="spellStart"/>
      <w:r w:rsidRPr="00FE7564">
        <w:t>dabrafenib</w:t>
      </w:r>
      <w:proofErr w:type="spellEnd"/>
      <w:r w:rsidRPr="00FE7564">
        <w:t xml:space="preserve"> monotherapy to two different doses of </w:t>
      </w:r>
      <w:proofErr w:type="spellStart"/>
      <w:r w:rsidRPr="00FE7564">
        <w:t>trametinib</w:t>
      </w:r>
      <w:proofErr w:type="spellEnd"/>
      <w:r w:rsidRPr="00FE7564">
        <w:t xml:space="preserve"> in combination with </w:t>
      </w:r>
      <w:proofErr w:type="spellStart"/>
      <w:r w:rsidRPr="00FE7564">
        <w:t>dabrafenib</w:t>
      </w:r>
      <w:proofErr w:type="spellEnd"/>
      <w:r w:rsidRPr="00FE7564">
        <w:t>;</w:t>
      </w:r>
    </w:p>
    <w:p w:rsidR="00FD2BA9" w:rsidRPr="00FE7564" w:rsidRDefault="00FD2BA9" w:rsidP="00FD2BA9">
      <w:pPr>
        <w:pStyle w:val="ListParagraph"/>
        <w:widowControl/>
        <w:numPr>
          <w:ilvl w:val="0"/>
          <w:numId w:val="34"/>
        </w:numPr>
        <w:ind w:left="1080"/>
        <w:rPr>
          <w:szCs w:val="22"/>
        </w:rPr>
      </w:pPr>
      <w:r w:rsidRPr="00FE7564">
        <w:t xml:space="preserve">COMBI-D (N = 423) a </w:t>
      </w:r>
      <w:r w:rsidR="00956131" w:rsidRPr="00FE7564">
        <w:t xml:space="preserve">phase III </w:t>
      </w:r>
      <w:r w:rsidR="004C1AED" w:rsidRPr="00FE7564">
        <w:t>randomised, double-</w:t>
      </w:r>
      <w:r w:rsidRPr="00FE7564">
        <w:t xml:space="preserve">blind trial comparing </w:t>
      </w:r>
      <w:proofErr w:type="spellStart"/>
      <w:r w:rsidRPr="00FE7564">
        <w:t>dabrafenib</w:t>
      </w:r>
      <w:proofErr w:type="spellEnd"/>
      <w:r w:rsidRPr="00FE7564">
        <w:t xml:space="preserve"> monotherapy to </w:t>
      </w:r>
      <w:proofErr w:type="spellStart"/>
      <w:r w:rsidRPr="00FE7564">
        <w:t>trametinib</w:t>
      </w:r>
      <w:proofErr w:type="spellEnd"/>
      <w:r w:rsidRPr="00FE7564">
        <w:t xml:space="preserve"> in combination with </w:t>
      </w:r>
      <w:proofErr w:type="spellStart"/>
      <w:r w:rsidRPr="00FE7564">
        <w:t>dabrafenib</w:t>
      </w:r>
      <w:proofErr w:type="spellEnd"/>
      <w:r w:rsidRPr="00FE7564">
        <w:t>; and</w:t>
      </w:r>
    </w:p>
    <w:p w:rsidR="00FD2BA9" w:rsidRPr="00FE7564" w:rsidRDefault="00FD2BA9" w:rsidP="00FD2BA9">
      <w:pPr>
        <w:pStyle w:val="ListParagraph"/>
        <w:widowControl/>
        <w:numPr>
          <w:ilvl w:val="0"/>
          <w:numId w:val="34"/>
        </w:numPr>
        <w:ind w:left="1080"/>
        <w:rPr>
          <w:szCs w:val="22"/>
        </w:rPr>
      </w:pPr>
      <w:r w:rsidRPr="00FE7564">
        <w:t xml:space="preserve">COMBI-V (N = 704), a </w:t>
      </w:r>
      <w:r w:rsidR="00956131" w:rsidRPr="00FE7564">
        <w:t xml:space="preserve">phase III </w:t>
      </w:r>
      <w:r w:rsidR="004C1AED" w:rsidRPr="00FE7564">
        <w:t>randomised, open-</w:t>
      </w:r>
      <w:r w:rsidRPr="00FE7564">
        <w:t xml:space="preserve">label trial comparing </w:t>
      </w:r>
      <w:proofErr w:type="spellStart"/>
      <w:r w:rsidRPr="00FE7564">
        <w:t>vemurafenib</w:t>
      </w:r>
      <w:proofErr w:type="spellEnd"/>
      <w:r w:rsidRPr="00FE7564">
        <w:t xml:space="preserve"> monotherapy to </w:t>
      </w:r>
      <w:proofErr w:type="spellStart"/>
      <w:r w:rsidRPr="00FE7564">
        <w:t>trametinib</w:t>
      </w:r>
      <w:proofErr w:type="spellEnd"/>
      <w:r w:rsidRPr="00FE7564">
        <w:t xml:space="preserve"> in combination with </w:t>
      </w:r>
      <w:proofErr w:type="spellStart"/>
      <w:r w:rsidRPr="00FE7564">
        <w:t>dabrafenib</w:t>
      </w:r>
      <w:proofErr w:type="spellEnd"/>
      <w:r w:rsidRPr="00FE7564">
        <w:t>.</w:t>
      </w:r>
    </w:p>
    <w:p w:rsidR="00FD2BA9" w:rsidRDefault="00FD2BA9" w:rsidP="00FD2BA9">
      <w:pPr>
        <w:widowControl/>
        <w:rPr>
          <w:szCs w:val="22"/>
        </w:rPr>
      </w:pPr>
    </w:p>
    <w:p w:rsidR="0010168C" w:rsidRPr="00FE7564" w:rsidRDefault="0010168C"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Details of the trials presented in the submission are provided in the table below and key features of the tr</w:t>
      </w:r>
      <w:r w:rsidR="00956131" w:rsidRPr="00FE7564">
        <w:rPr>
          <w:szCs w:val="22"/>
        </w:rPr>
        <w:t>ia</w:t>
      </w:r>
      <w:r w:rsidRPr="00FE7564">
        <w:rPr>
          <w:szCs w:val="22"/>
        </w:rPr>
        <w:t>ls are in the table following.</w:t>
      </w:r>
    </w:p>
    <w:p w:rsidR="00314368" w:rsidRPr="00FE7564" w:rsidRDefault="00314368">
      <w:pPr>
        <w:widowControl/>
        <w:jc w:val="left"/>
        <w:rPr>
          <w:rStyle w:val="CommentReference"/>
          <w:rFonts w:ascii="Arial" w:hAnsi="Arial"/>
          <w:b w:val="0"/>
          <w:sz w:val="22"/>
          <w:szCs w:val="22"/>
        </w:rPr>
      </w:pPr>
    </w:p>
    <w:p w:rsidR="00FD2BA9" w:rsidRPr="00FE7564" w:rsidRDefault="00FD2BA9" w:rsidP="00FD2BA9">
      <w:pPr>
        <w:ind w:firstLine="720"/>
        <w:rPr>
          <w:rStyle w:val="CommentReference"/>
        </w:rPr>
      </w:pPr>
      <w:r w:rsidRPr="00FE7564">
        <w:rPr>
          <w:rStyle w:val="CommentReference"/>
        </w:rPr>
        <w:t>Table 2: Trials and associated reports presented in the submission</w:t>
      </w:r>
    </w:p>
    <w:tbl>
      <w:tblPr>
        <w:tblW w:w="4677"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5"/>
        <w:gridCol w:w="5381"/>
        <w:gridCol w:w="2129"/>
      </w:tblGrid>
      <w:tr w:rsidR="00345551" w:rsidRPr="00FE7564" w:rsidTr="00345551">
        <w:tc>
          <w:tcPr>
            <w:tcW w:w="580" w:type="pct"/>
          </w:tcPr>
          <w:p w:rsidR="00FD2BA9" w:rsidRPr="00FE7564" w:rsidRDefault="00FD2BA9" w:rsidP="00C26563">
            <w:pPr>
              <w:jc w:val="left"/>
              <w:rPr>
                <w:rFonts w:ascii="Arial Narrow" w:hAnsi="Arial Narrow"/>
                <w:b/>
                <w:sz w:val="20"/>
              </w:rPr>
            </w:pPr>
            <w:r w:rsidRPr="00FE7564">
              <w:rPr>
                <w:rFonts w:ascii="Arial Narrow" w:hAnsi="Arial Narrow"/>
                <w:b/>
                <w:sz w:val="20"/>
              </w:rPr>
              <w:t>Trial ID</w:t>
            </w:r>
          </w:p>
        </w:tc>
        <w:tc>
          <w:tcPr>
            <w:tcW w:w="3167" w:type="pct"/>
          </w:tcPr>
          <w:p w:rsidR="00FD2BA9" w:rsidRPr="00FE7564" w:rsidRDefault="00FD2BA9" w:rsidP="00C26563">
            <w:pPr>
              <w:jc w:val="center"/>
              <w:rPr>
                <w:rFonts w:ascii="Arial Narrow" w:hAnsi="Arial Narrow"/>
                <w:b/>
                <w:sz w:val="20"/>
              </w:rPr>
            </w:pPr>
            <w:r w:rsidRPr="00FE7564">
              <w:rPr>
                <w:rFonts w:ascii="Arial Narrow" w:hAnsi="Arial Narrow"/>
                <w:b/>
                <w:sz w:val="20"/>
              </w:rPr>
              <w:t>Protocol title/ Publication title</w:t>
            </w:r>
          </w:p>
        </w:tc>
        <w:tc>
          <w:tcPr>
            <w:tcW w:w="1253" w:type="pct"/>
          </w:tcPr>
          <w:p w:rsidR="00FD2BA9" w:rsidRPr="00FE7564" w:rsidRDefault="00FD2BA9" w:rsidP="00C26563">
            <w:pPr>
              <w:jc w:val="center"/>
              <w:rPr>
                <w:rFonts w:ascii="Arial Narrow" w:hAnsi="Arial Narrow"/>
                <w:b/>
                <w:sz w:val="20"/>
              </w:rPr>
            </w:pPr>
            <w:r w:rsidRPr="00FE7564">
              <w:rPr>
                <w:rFonts w:ascii="Arial Narrow" w:hAnsi="Arial Narrow"/>
                <w:b/>
                <w:sz w:val="20"/>
              </w:rPr>
              <w:t>Publication citation</w:t>
            </w:r>
          </w:p>
        </w:tc>
      </w:tr>
      <w:tr w:rsidR="00345551" w:rsidRPr="00FE7564" w:rsidTr="00E46CDD">
        <w:tc>
          <w:tcPr>
            <w:tcW w:w="5000" w:type="pct"/>
            <w:gridSpan w:val="3"/>
          </w:tcPr>
          <w:p w:rsidR="00FD2BA9" w:rsidRPr="00FE7564" w:rsidRDefault="00FD2BA9" w:rsidP="00C26563">
            <w:pPr>
              <w:jc w:val="left"/>
              <w:rPr>
                <w:rFonts w:ascii="Arial Narrow" w:hAnsi="Arial Narrow"/>
                <w:b/>
                <w:sz w:val="20"/>
              </w:rPr>
            </w:pPr>
            <w:r w:rsidRPr="00FE7564">
              <w:rPr>
                <w:rFonts w:ascii="Arial Narrow" w:hAnsi="Arial Narrow"/>
                <w:b/>
                <w:sz w:val="20"/>
              </w:rPr>
              <w:t>Direct randomised trials</w:t>
            </w:r>
          </w:p>
        </w:tc>
      </w:tr>
      <w:tr w:rsidR="00E46CDD" w:rsidRPr="00FE7564" w:rsidTr="00E46CDD">
        <w:trPr>
          <w:trHeight w:val="864"/>
        </w:trPr>
        <w:tc>
          <w:tcPr>
            <w:tcW w:w="580" w:type="pct"/>
            <w:vMerge w:val="restart"/>
          </w:tcPr>
          <w:p w:rsidR="00E46CDD" w:rsidRPr="00FE7564" w:rsidRDefault="00E46CDD" w:rsidP="00C26563">
            <w:pPr>
              <w:jc w:val="left"/>
              <w:rPr>
                <w:rFonts w:ascii="Arial Narrow" w:hAnsi="Arial Narrow"/>
                <w:sz w:val="20"/>
              </w:rPr>
            </w:pPr>
            <w:r w:rsidRPr="00FE7564">
              <w:rPr>
                <w:rFonts w:ascii="Arial Narrow" w:hAnsi="Arial Narrow"/>
                <w:sz w:val="20"/>
              </w:rPr>
              <w:t>BRF113220</w:t>
            </w:r>
          </w:p>
        </w:tc>
        <w:tc>
          <w:tcPr>
            <w:tcW w:w="3167" w:type="pct"/>
            <w:vMerge w:val="restart"/>
          </w:tcPr>
          <w:p w:rsidR="00E46CDD" w:rsidRDefault="00E46CDD" w:rsidP="00C26563">
            <w:pPr>
              <w:jc w:val="left"/>
              <w:rPr>
                <w:rFonts w:ascii="Arial Narrow" w:hAnsi="Arial Narrow"/>
                <w:sz w:val="20"/>
              </w:rPr>
            </w:pPr>
            <w:r w:rsidRPr="00FE7564">
              <w:rPr>
                <w:rFonts w:ascii="Arial Narrow" w:hAnsi="Arial Narrow"/>
                <w:sz w:val="20"/>
              </w:rPr>
              <w:t>An Open-Label, Dose-Escalation, Phase IB/II Study to Investigate the Safety, Pharmacokinetics, Pharmacodynamics and Clinical Activity of the BRAF Inhibitor GSK2118436 in Combination with the MEK Inhibitor GSK1120212 in Subjects with BRAF Mutant Metastatic Melanoma (Part C).</w:t>
            </w:r>
          </w:p>
          <w:p w:rsidR="00E46CDD" w:rsidRPr="00FE7564" w:rsidRDefault="00E46CDD" w:rsidP="00C26563">
            <w:pPr>
              <w:jc w:val="left"/>
              <w:rPr>
                <w:rFonts w:ascii="Arial Narrow" w:hAnsi="Arial Narrow"/>
                <w:sz w:val="20"/>
              </w:rPr>
            </w:pPr>
          </w:p>
          <w:p w:rsidR="00E46CDD" w:rsidRPr="00FE7564" w:rsidRDefault="00E46CDD" w:rsidP="00C26563">
            <w:pPr>
              <w:jc w:val="left"/>
              <w:rPr>
                <w:rFonts w:ascii="Arial Narrow" w:hAnsi="Arial Narrow"/>
                <w:sz w:val="20"/>
              </w:rPr>
            </w:pPr>
            <w:r w:rsidRPr="00FE7564">
              <w:rPr>
                <w:rFonts w:ascii="Arial Narrow" w:hAnsi="Arial Narrow"/>
                <w:sz w:val="20"/>
              </w:rPr>
              <w:t xml:space="preserve">Flaherty, K. T., </w:t>
            </w:r>
            <w:proofErr w:type="spellStart"/>
            <w:r w:rsidRPr="00FE7564">
              <w:rPr>
                <w:rFonts w:ascii="Arial Narrow" w:hAnsi="Arial Narrow"/>
                <w:sz w:val="20"/>
              </w:rPr>
              <w:t>Infante</w:t>
            </w:r>
            <w:proofErr w:type="spellEnd"/>
            <w:r w:rsidRPr="00FE7564">
              <w:rPr>
                <w:rFonts w:ascii="Arial Narrow" w:hAnsi="Arial Narrow"/>
                <w:sz w:val="20"/>
              </w:rPr>
              <w:t xml:space="preserve">, J. R., </w:t>
            </w:r>
            <w:proofErr w:type="spellStart"/>
            <w:r w:rsidRPr="00FE7564">
              <w:rPr>
                <w:rFonts w:ascii="Arial Narrow" w:hAnsi="Arial Narrow"/>
                <w:sz w:val="20"/>
              </w:rPr>
              <w:t>Daud</w:t>
            </w:r>
            <w:proofErr w:type="spellEnd"/>
            <w:r w:rsidRPr="00FE7564">
              <w:rPr>
                <w:rFonts w:ascii="Arial Narrow" w:hAnsi="Arial Narrow"/>
                <w:sz w:val="20"/>
              </w:rPr>
              <w:t xml:space="preserve">, A., Gonzalez, R., </w:t>
            </w:r>
            <w:proofErr w:type="spellStart"/>
            <w:r w:rsidRPr="00FE7564">
              <w:rPr>
                <w:rFonts w:ascii="Arial Narrow" w:hAnsi="Arial Narrow"/>
                <w:sz w:val="20"/>
              </w:rPr>
              <w:t>Kefford</w:t>
            </w:r>
            <w:proofErr w:type="spellEnd"/>
            <w:r w:rsidRPr="00FE7564">
              <w:rPr>
                <w:rFonts w:ascii="Arial Narrow" w:hAnsi="Arial Narrow"/>
                <w:sz w:val="20"/>
              </w:rPr>
              <w:t xml:space="preserve">, R. F., </w:t>
            </w:r>
            <w:proofErr w:type="spellStart"/>
            <w:r w:rsidRPr="00FE7564">
              <w:rPr>
                <w:rFonts w:ascii="Arial Narrow" w:hAnsi="Arial Narrow"/>
                <w:sz w:val="20"/>
              </w:rPr>
              <w:t>Sosman</w:t>
            </w:r>
            <w:proofErr w:type="spellEnd"/>
            <w:r w:rsidRPr="00FE7564">
              <w:rPr>
                <w:rFonts w:ascii="Arial Narrow" w:hAnsi="Arial Narrow"/>
                <w:sz w:val="20"/>
              </w:rPr>
              <w:t>, J., &amp; Weber, J. (2012). Combined BRAF and MEK inhibition in melanoma with BRAF V600 mutations</w:t>
            </w:r>
          </w:p>
        </w:tc>
        <w:tc>
          <w:tcPr>
            <w:tcW w:w="1253" w:type="pct"/>
            <w:tcBorders>
              <w:bottom w:val="nil"/>
            </w:tcBorders>
          </w:tcPr>
          <w:p w:rsidR="00E46CDD" w:rsidRPr="00FE7564" w:rsidRDefault="00E46CDD" w:rsidP="00C26563">
            <w:pPr>
              <w:jc w:val="left"/>
              <w:rPr>
                <w:rFonts w:ascii="Arial Narrow" w:hAnsi="Arial Narrow"/>
                <w:sz w:val="20"/>
              </w:rPr>
            </w:pPr>
            <w:r w:rsidRPr="00FE7564">
              <w:rPr>
                <w:rFonts w:ascii="Arial Narrow" w:hAnsi="Arial Narrow"/>
                <w:sz w:val="20"/>
              </w:rPr>
              <w:t>September 2014</w:t>
            </w:r>
          </w:p>
          <w:p w:rsidR="00E46CDD" w:rsidRPr="00FE7564" w:rsidRDefault="00E46CDD" w:rsidP="00E46CDD">
            <w:pPr>
              <w:jc w:val="left"/>
              <w:rPr>
                <w:rFonts w:ascii="Arial Narrow" w:hAnsi="Arial Narrow"/>
                <w:sz w:val="20"/>
              </w:rPr>
            </w:pPr>
            <w:r>
              <w:rPr>
                <w:rFonts w:ascii="Arial Narrow" w:hAnsi="Arial Narrow"/>
                <w:sz w:val="20"/>
              </w:rPr>
              <w:t> </w:t>
            </w:r>
          </w:p>
        </w:tc>
      </w:tr>
      <w:tr w:rsidR="00E46CDD" w:rsidRPr="00FE7564" w:rsidTr="00E46CDD">
        <w:trPr>
          <w:trHeight w:val="864"/>
        </w:trPr>
        <w:tc>
          <w:tcPr>
            <w:tcW w:w="580" w:type="pct"/>
            <w:vMerge/>
          </w:tcPr>
          <w:p w:rsidR="00E46CDD" w:rsidRPr="00FE7564" w:rsidRDefault="00E46CDD" w:rsidP="00C26563">
            <w:pPr>
              <w:jc w:val="left"/>
              <w:rPr>
                <w:rFonts w:ascii="Arial Narrow" w:hAnsi="Arial Narrow"/>
                <w:sz w:val="20"/>
              </w:rPr>
            </w:pPr>
          </w:p>
        </w:tc>
        <w:tc>
          <w:tcPr>
            <w:tcW w:w="3167" w:type="pct"/>
            <w:vMerge/>
            <w:tcBorders>
              <w:bottom w:val="single" w:sz="4" w:space="0" w:color="auto"/>
            </w:tcBorders>
          </w:tcPr>
          <w:p w:rsidR="00E46CDD" w:rsidRPr="00FE7564" w:rsidRDefault="00E46CDD" w:rsidP="00C26563">
            <w:pPr>
              <w:jc w:val="left"/>
              <w:rPr>
                <w:rFonts w:ascii="Arial Narrow" w:hAnsi="Arial Narrow"/>
                <w:sz w:val="20"/>
              </w:rPr>
            </w:pPr>
          </w:p>
        </w:tc>
        <w:tc>
          <w:tcPr>
            <w:tcW w:w="1253" w:type="pct"/>
            <w:tcBorders>
              <w:top w:val="nil"/>
              <w:bottom w:val="single" w:sz="4" w:space="0" w:color="auto"/>
            </w:tcBorders>
          </w:tcPr>
          <w:p w:rsidR="00E46CDD" w:rsidRDefault="00E46CDD" w:rsidP="00C26563">
            <w:pPr>
              <w:jc w:val="left"/>
              <w:rPr>
                <w:rFonts w:ascii="Arial Narrow" w:hAnsi="Arial Narrow"/>
                <w:sz w:val="20"/>
              </w:rPr>
            </w:pPr>
          </w:p>
          <w:p w:rsidR="00E46CDD" w:rsidRDefault="00E46CDD" w:rsidP="00C26563">
            <w:pPr>
              <w:jc w:val="left"/>
              <w:rPr>
                <w:rFonts w:ascii="Arial Narrow" w:hAnsi="Arial Narrow"/>
                <w:sz w:val="20"/>
              </w:rPr>
            </w:pPr>
          </w:p>
          <w:p w:rsidR="00E46CDD" w:rsidRPr="00FE7564" w:rsidRDefault="00E46CDD" w:rsidP="00C26563">
            <w:pPr>
              <w:jc w:val="left"/>
              <w:rPr>
                <w:rFonts w:ascii="Arial Narrow" w:hAnsi="Arial Narrow"/>
                <w:sz w:val="20"/>
              </w:rPr>
            </w:pPr>
            <w:r w:rsidRPr="00FE7564">
              <w:rPr>
                <w:rFonts w:ascii="Arial Narrow" w:hAnsi="Arial Narrow"/>
                <w:sz w:val="20"/>
              </w:rPr>
              <w:t>NEJM 2012 367(18), 1694-1703.</w:t>
            </w:r>
          </w:p>
        </w:tc>
      </w:tr>
      <w:tr w:rsidR="00E46CDD" w:rsidRPr="00FE7564" w:rsidTr="00E46CDD">
        <w:trPr>
          <w:trHeight w:val="958"/>
        </w:trPr>
        <w:tc>
          <w:tcPr>
            <w:tcW w:w="580" w:type="pct"/>
            <w:vMerge w:val="restart"/>
          </w:tcPr>
          <w:p w:rsidR="00E46CDD" w:rsidRPr="00FE7564" w:rsidRDefault="00E46CDD" w:rsidP="00C26563">
            <w:pPr>
              <w:jc w:val="left"/>
              <w:rPr>
                <w:rFonts w:ascii="Arial Narrow" w:hAnsi="Arial Narrow"/>
                <w:sz w:val="20"/>
              </w:rPr>
            </w:pPr>
            <w:r w:rsidRPr="00FE7564">
              <w:rPr>
                <w:rFonts w:ascii="Arial Narrow" w:hAnsi="Arial Narrow"/>
                <w:sz w:val="20"/>
              </w:rPr>
              <w:t>COMBI-D</w:t>
            </w:r>
          </w:p>
        </w:tc>
        <w:tc>
          <w:tcPr>
            <w:tcW w:w="3167" w:type="pct"/>
            <w:tcBorders>
              <w:bottom w:val="nil"/>
            </w:tcBorders>
          </w:tcPr>
          <w:p w:rsidR="00E46CDD" w:rsidRDefault="00E46CDD" w:rsidP="00C26563">
            <w:pPr>
              <w:jc w:val="left"/>
              <w:rPr>
                <w:rFonts w:ascii="Arial Narrow" w:hAnsi="Arial Narrow"/>
                <w:sz w:val="20"/>
              </w:rPr>
            </w:pPr>
            <w:r w:rsidRPr="00FE7564">
              <w:rPr>
                <w:rFonts w:ascii="Arial Narrow" w:hAnsi="Arial Narrow"/>
                <w:sz w:val="20"/>
              </w:rPr>
              <w:t xml:space="preserve">A Phase III, randomised, double blind study comparing the combination of the BRAF inhibitor, </w:t>
            </w:r>
            <w:proofErr w:type="spellStart"/>
            <w:r w:rsidRPr="00FE7564">
              <w:rPr>
                <w:rFonts w:ascii="Arial Narrow" w:hAnsi="Arial Narrow"/>
                <w:sz w:val="20"/>
              </w:rPr>
              <w:t>dabrafenib</w:t>
            </w:r>
            <w:proofErr w:type="spellEnd"/>
            <w:r w:rsidRPr="00FE7564">
              <w:rPr>
                <w:rFonts w:ascii="Arial Narrow" w:hAnsi="Arial Narrow"/>
                <w:sz w:val="20"/>
              </w:rPr>
              <w:t xml:space="preserve"> and the MEK inhibitor, </w:t>
            </w:r>
            <w:proofErr w:type="spellStart"/>
            <w:r w:rsidRPr="00FE7564">
              <w:rPr>
                <w:rFonts w:ascii="Arial Narrow" w:hAnsi="Arial Narrow"/>
                <w:sz w:val="20"/>
              </w:rPr>
              <w:t>trametinib</w:t>
            </w:r>
            <w:proofErr w:type="spellEnd"/>
            <w:r w:rsidRPr="00FE7564">
              <w:rPr>
                <w:rFonts w:ascii="Arial Narrow" w:hAnsi="Arial Narrow"/>
                <w:sz w:val="20"/>
              </w:rPr>
              <w:t xml:space="preserve"> to </w:t>
            </w:r>
            <w:proofErr w:type="spellStart"/>
            <w:r w:rsidRPr="00FE7564">
              <w:rPr>
                <w:rFonts w:ascii="Arial Narrow" w:hAnsi="Arial Narrow"/>
                <w:sz w:val="20"/>
              </w:rPr>
              <w:t>dabrafenib</w:t>
            </w:r>
            <w:proofErr w:type="spellEnd"/>
            <w:r w:rsidRPr="00FE7564">
              <w:rPr>
                <w:rFonts w:ascii="Arial Narrow" w:hAnsi="Arial Narrow"/>
                <w:sz w:val="20"/>
              </w:rPr>
              <w:t xml:space="preserve"> and placebo as first-line therapy in subjects with </w:t>
            </w:r>
            <w:proofErr w:type="spellStart"/>
            <w:r w:rsidRPr="00FE7564">
              <w:rPr>
                <w:rFonts w:ascii="Arial Narrow" w:hAnsi="Arial Narrow"/>
                <w:sz w:val="20"/>
              </w:rPr>
              <w:t>unresectable</w:t>
            </w:r>
            <w:proofErr w:type="spellEnd"/>
            <w:r w:rsidRPr="00FE7564">
              <w:rPr>
                <w:rFonts w:ascii="Arial Narrow" w:hAnsi="Arial Narrow"/>
                <w:sz w:val="20"/>
              </w:rPr>
              <w:t xml:space="preserve"> (Stage IIIC) or metastatic (Stage IV) BRAF V600E/K mutation positive cutaneous melanoma.</w:t>
            </w:r>
          </w:p>
          <w:p w:rsidR="00E46CDD" w:rsidRPr="00FE7564" w:rsidRDefault="00E46CDD" w:rsidP="00C26563">
            <w:pPr>
              <w:jc w:val="left"/>
              <w:rPr>
                <w:rFonts w:ascii="Arial Narrow" w:hAnsi="Arial Narrow"/>
                <w:sz w:val="20"/>
              </w:rPr>
            </w:pPr>
          </w:p>
        </w:tc>
        <w:tc>
          <w:tcPr>
            <w:tcW w:w="1253" w:type="pct"/>
            <w:tcBorders>
              <w:bottom w:val="nil"/>
            </w:tcBorders>
          </w:tcPr>
          <w:p w:rsidR="00E46CDD" w:rsidRPr="00FE7564" w:rsidRDefault="00E46CDD" w:rsidP="00C26563">
            <w:pPr>
              <w:jc w:val="left"/>
              <w:rPr>
                <w:rFonts w:ascii="Arial Narrow" w:hAnsi="Arial Narrow"/>
                <w:sz w:val="20"/>
              </w:rPr>
            </w:pPr>
            <w:r w:rsidRPr="00FE7564">
              <w:rPr>
                <w:rFonts w:ascii="Arial Narrow" w:hAnsi="Arial Narrow"/>
                <w:sz w:val="20"/>
              </w:rPr>
              <w:t>March 2015</w:t>
            </w:r>
          </w:p>
          <w:p w:rsidR="00E46CDD" w:rsidRPr="00FE7564" w:rsidRDefault="00E46CDD" w:rsidP="00C26563">
            <w:pPr>
              <w:jc w:val="left"/>
              <w:rPr>
                <w:rFonts w:ascii="Arial Narrow" w:hAnsi="Arial Narrow"/>
                <w:sz w:val="20"/>
              </w:rPr>
            </w:pPr>
          </w:p>
          <w:p w:rsidR="00E46CDD" w:rsidRPr="00FE7564" w:rsidRDefault="00E46CDD" w:rsidP="00C26563">
            <w:pPr>
              <w:jc w:val="left"/>
              <w:rPr>
                <w:rFonts w:ascii="Arial Narrow" w:hAnsi="Arial Narrow"/>
                <w:sz w:val="20"/>
              </w:rPr>
            </w:pPr>
          </w:p>
          <w:p w:rsidR="00E46CDD" w:rsidRPr="00FE7564" w:rsidRDefault="00E46CDD" w:rsidP="00C26563">
            <w:pPr>
              <w:jc w:val="left"/>
              <w:rPr>
                <w:rFonts w:ascii="Arial Narrow" w:hAnsi="Arial Narrow"/>
                <w:sz w:val="20"/>
              </w:rPr>
            </w:pPr>
          </w:p>
        </w:tc>
      </w:tr>
      <w:tr w:rsidR="00E46CDD" w:rsidRPr="00FE7564" w:rsidTr="00956A01">
        <w:trPr>
          <w:trHeight w:val="958"/>
        </w:trPr>
        <w:tc>
          <w:tcPr>
            <w:tcW w:w="580" w:type="pct"/>
            <w:vMerge/>
          </w:tcPr>
          <w:p w:rsidR="00E46CDD" w:rsidRPr="00FE7564" w:rsidRDefault="00E46CDD" w:rsidP="00C26563">
            <w:pPr>
              <w:jc w:val="left"/>
              <w:rPr>
                <w:rFonts w:ascii="Arial Narrow" w:hAnsi="Arial Narrow"/>
                <w:sz w:val="20"/>
              </w:rPr>
            </w:pPr>
          </w:p>
        </w:tc>
        <w:tc>
          <w:tcPr>
            <w:tcW w:w="3167" w:type="pct"/>
            <w:tcBorders>
              <w:top w:val="nil"/>
              <w:bottom w:val="single" w:sz="4" w:space="0" w:color="auto"/>
            </w:tcBorders>
          </w:tcPr>
          <w:p w:rsidR="00E46CDD" w:rsidRPr="00FE7564" w:rsidRDefault="00E46CDD" w:rsidP="00C26563">
            <w:pPr>
              <w:jc w:val="left"/>
              <w:rPr>
                <w:rFonts w:ascii="Arial Narrow" w:hAnsi="Arial Narrow"/>
                <w:sz w:val="20"/>
              </w:rPr>
            </w:pPr>
            <w:r w:rsidRPr="00FE7564">
              <w:rPr>
                <w:rFonts w:ascii="Arial Narrow" w:hAnsi="Arial Narrow"/>
                <w:sz w:val="20"/>
              </w:rPr>
              <w:t xml:space="preserve">Long, G.V., </w:t>
            </w:r>
            <w:proofErr w:type="spellStart"/>
            <w:r w:rsidRPr="00FE7564">
              <w:rPr>
                <w:rFonts w:ascii="Arial Narrow" w:hAnsi="Arial Narrow"/>
                <w:sz w:val="20"/>
              </w:rPr>
              <w:t>Stroyakovskiy</w:t>
            </w:r>
            <w:proofErr w:type="spellEnd"/>
            <w:r w:rsidRPr="00FE7564">
              <w:rPr>
                <w:rFonts w:ascii="Arial Narrow" w:hAnsi="Arial Narrow"/>
                <w:sz w:val="20"/>
              </w:rPr>
              <w:t xml:space="preserve">, D., </w:t>
            </w:r>
            <w:proofErr w:type="spellStart"/>
            <w:r w:rsidRPr="00FE7564">
              <w:rPr>
                <w:rFonts w:ascii="Arial Narrow" w:hAnsi="Arial Narrow"/>
                <w:sz w:val="20"/>
              </w:rPr>
              <w:t>Gogas</w:t>
            </w:r>
            <w:proofErr w:type="spellEnd"/>
            <w:r w:rsidRPr="00FE7564">
              <w:rPr>
                <w:rFonts w:ascii="Arial Narrow" w:hAnsi="Arial Narrow"/>
                <w:sz w:val="20"/>
              </w:rPr>
              <w:t xml:space="preserve">, H., </w:t>
            </w:r>
            <w:proofErr w:type="spellStart"/>
            <w:r w:rsidRPr="00FE7564">
              <w:rPr>
                <w:rFonts w:ascii="Arial Narrow" w:hAnsi="Arial Narrow"/>
                <w:sz w:val="20"/>
              </w:rPr>
              <w:t>Levchenko</w:t>
            </w:r>
            <w:proofErr w:type="spellEnd"/>
            <w:r w:rsidRPr="00FE7564">
              <w:rPr>
                <w:rFonts w:ascii="Arial Narrow" w:hAnsi="Arial Narrow"/>
                <w:sz w:val="20"/>
              </w:rPr>
              <w:t xml:space="preserve">, E., de </w:t>
            </w:r>
            <w:proofErr w:type="spellStart"/>
            <w:r w:rsidRPr="00FE7564">
              <w:rPr>
                <w:rFonts w:ascii="Arial Narrow" w:hAnsi="Arial Narrow"/>
                <w:sz w:val="20"/>
              </w:rPr>
              <w:t>Braud</w:t>
            </w:r>
            <w:proofErr w:type="spellEnd"/>
            <w:r w:rsidRPr="00FE7564">
              <w:rPr>
                <w:rFonts w:ascii="Arial Narrow" w:hAnsi="Arial Narrow"/>
                <w:sz w:val="20"/>
              </w:rPr>
              <w:t xml:space="preserve">, F., Larkin, J (2015). </w:t>
            </w:r>
            <w:proofErr w:type="spellStart"/>
            <w:r w:rsidRPr="00FE7564">
              <w:rPr>
                <w:rFonts w:ascii="Arial Narrow" w:hAnsi="Arial Narrow"/>
                <w:sz w:val="20"/>
              </w:rPr>
              <w:t>Dabrafenib</w:t>
            </w:r>
            <w:proofErr w:type="spellEnd"/>
            <w:r w:rsidRPr="00FE7564">
              <w:rPr>
                <w:rFonts w:ascii="Arial Narrow" w:hAnsi="Arial Narrow"/>
                <w:sz w:val="20"/>
              </w:rPr>
              <w:t xml:space="preserve"> and </w:t>
            </w:r>
            <w:proofErr w:type="spellStart"/>
            <w:r w:rsidRPr="00FE7564">
              <w:rPr>
                <w:rFonts w:ascii="Arial Narrow" w:hAnsi="Arial Narrow"/>
                <w:sz w:val="20"/>
              </w:rPr>
              <w:t>trametinib</w:t>
            </w:r>
            <w:proofErr w:type="spellEnd"/>
            <w:r w:rsidRPr="00FE7564">
              <w:rPr>
                <w:rFonts w:ascii="Arial Narrow" w:hAnsi="Arial Narrow"/>
                <w:sz w:val="20"/>
              </w:rPr>
              <w:t xml:space="preserve"> versus </w:t>
            </w:r>
            <w:proofErr w:type="spellStart"/>
            <w:r w:rsidRPr="00FE7564">
              <w:rPr>
                <w:rFonts w:ascii="Arial Narrow" w:hAnsi="Arial Narrow"/>
                <w:sz w:val="20"/>
              </w:rPr>
              <w:t>dabrafenib</w:t>
            </w:r>
            <w:proofErr w:type="spellEnd"/>
            <w:r w:rsidRPr="00FE7564">
              <w:rPr>
                <w:rFonts w:ascii="Arial Narrow" w:hAnsi="Arial Narrow"/>
                <w:sz w:val="20"/>
              </w:rPr>
              <w:t xml:space="preserve"> and placebo for Val600 BRAF-mutant melanoma: a multicentre, double-blind, Phase 3 randomised controlled </w:t>
            </w:r>
            <w:proofErr w:type="gramStart"/>
            <w:r w:rsidRPr="00FE7564">
              <w:rPr>
                <w:rFonts w:ascii="Arial Narrow" w:hAnsi="Arial Narrow"/>
                <w:sz w:val="20"/>
              </w:rPr>
              <w:t>trial</w:t>
            </w:r>
            <w:proofErr w:type="gramEnd"/>
            <w:r w:rsidRPr="00FE7564">
              <w:rPr>
                <w:rFonts w:ascii="Arial Narrow" w:hAnsi="Arial Narrow"/>
                <w:sz w:val="20"/>
              </w:rPr>
              <w:t>.</w:t>
            </w:r>
          </w:p>
        </w:tc>
        <w:tc>
          <w:tcPr>
            <w:tcW w:w="1253" w:type="pct"/>
            <w:tcBorders>
              <w:top w:val="nil"/>
              <w:bottom w:val="single" w:sz="4" w:space="0" w:color="auto"/>
            </w:tcBorders>
          </w:tcPr>
          <w:p w:rsidR="00E46CDD" w:rsidRPr="00FE7564" w:rsidRDefault="00E46CDD" w:rsidP="00C26563">
            <w:pPr>
              <w:jc w:val="left"/>
              <w:rPr>
                <w:rFonts w:ascii="Arial Narrow" w:hAnsi="Arial Narrow"/>
                <w:sz w:val="20"/>
              </w:rPr>
            </w:pPr>
            <w:r w:rsidRPr="00FE7564">
              <w:rPr>
                <w:rFonts w:ascii="Arial Narrow" w:hAnsi="Arial Narrow"/>
                <w:sz w:val="20"/>
              </w:rPr>
              <w:t>Lancet 2015 386 (9992), 444–451.</w:t>
            </w:r>
          </w:p>
        </w:tc>
      </w:tr>
      <w:tr w:rsidR="00E46CDD" w:rsidRPr="00FE7564" w:rsidTr="00956A01">
        <w:trPr>
          <w:trHeight w:val="764"/>
        </w:trPr>
        <w:tc>
          <w:tcPr>
            <w:tcW w:w="580" w:type="pct"/>
            <w:vMerge w:val="restart"/>
          </w:tcPr>
          <w:p w:rsidR="00E46CDD" w:rsidRPr="00FE7564" w:rsidRDefault="00E46CDD" w:rsidP="00C26563">
            <w:pPr>
              <w:jc w:val="left"/>
              <w:rPr>
                <w:rFonts w:ascii="Arial Narrow" w:hAnsi="Arial Narrow"/>
                <w:sz w:val="20"/>
              </w:rPr>
            </w:pPr>
            <w:r w:rsidRPr="00FE7564">
              <w:rPr>
                <w:rFonts w:ascii="Arial Narrow" w:hAnsi="Arial Narrow"/>
                <w:sz w:val="20"/>
              </w:rPr>
              <w:t>COMBI-V</w:t>
            </w:r>
          </w:p>
        </w:tc>
        <w:tc>
          <w:tcPr>
            <w:tcW w:w="3167" w:type="pct"/>
            <w:tcBorders>
              <w:bottom w:val="nil"/>
            </w:tcBorders>
          </w:tcPr>
          <w:p w:rsidR="00E46CDD" w:rsidRPr="00FE7564" w:rsidRDefault="00E46CDD" w:rsidP="00C26563">
            <w:pPr>
              <w:jc w:val="left"/>
              <w:rPr>
                <w:rFonts w:ascii="Arial Narrow" w:hAnsi="Arial Narrow"/>
                <w:sz w:val="20"/>
              </w:rPr>
            </w:pPr>
            <w:r w:rsidRPr="00FE7564">
              <w:rPr>
                <w:rFonts w:ascii="Arial Narrow" w:hAnsi="Arial Narrow"/>
                <w:sz w:val="20"/>
              </w:rPr>
              <w:t xml:space="preserve">A Phase III, randomised, open-label study comparing the combination of the BRAF inhibitor </w:t>
            </w:r>
            <w:proofErr w:type="spellStart"/>
            <w:r w:rsidRPr="00FE7564">
              <w:rPr>
                <w:rFonts w:ascii="Arial Narrow" w:hAnsi="Arial Narrow"/>
                <w:sz w:val="20"/>
              </w:rPr>
              <w:t>dabrafenib</w:t>
            </w:r>
            <w:proofErr w:type="spellEnd"/>
            <w:r w:rsidRPr="00FE7564">
              <w:rPr>
                <w:rFonts w:ascii="Arial Narrow" w:hAnsi="Arial Narrow"/>
                <w:sz w:val="20"/>
              </w:rPr>
              <w:t xml:space="preserve"> and the MEK inhibitor </w:t>
            </w:r>
            <w:proofErr w:type="spellStart"/>
            <w:r w:rsidRPr="00FE7564">
              <w:rPr>
                <w:rFonts w:ascii="Arial Narrow" w:hAnsi="Arial Narrow"/>
                <w:sz w:val="20"/>
              </w:rPr>
              <w:t>trametinib</w:t>
            </w:r>
            <w:proofErr w:type="spellEnd"/>
            <w:r w:rsidRPr="00FE7564">
              <w:rPr>
                <w:rFonts w:ascii="Arial Narrow" w:hAnsi="Arial Narrow"/>
                <w:sz w:val="20"/>
              </w:rPr>
              <w:t xml:space="preserve"> to the BRAF inhibitor </w:t>
            </w:r>
            <w:proofErr w:type="spellStart"/>
            <w:r w:rsidRPr="00FE7564">
              <w:rPr>
                <w:rFonts w:ascii="Arial Narrow" w:hAnsi="Arial Narrow"/>
                <w:sz w:val="20"/>
              </w:rPr>
              <w:t>vemurafenib</w:t>
            </w:r>
            <w:proofErr w:type="spellEnd"/>
            <w:r w:rsidRPr="00FE7564">
              <w:rPr>
                <w:rFonts w:ascii="Arial Narrow" w:hAnsi="Arial Narrow"/>
                <w:sz w:val="20"/>
              </w:rPr>
              <w:t xml:space="preserve"> in subjects with </w:t>
            </w:r>
            <w:proofErr w:type="spellStart"/>
            <w:r w:rsidRPr="00FE7564">
              <w:rPr>
                <w:rFonts w:ascii="Arial Narrow" w:hAnsi="Arial Narrow"/>
                <w:sz w:val="20"/>
              </w:rPr>
              <w:t>unresectable</w:t>
            </w:r>
            <w:proofErr w:type="spellEnd"/>
            <w:r w:rsidRPr="00FE7564">
              <w:rPr>
                <w:rFonts w:ascii="Arial Narrow" w:hAnsi="Arial Narrow"/>
                <w:sz w:val="20"/>
              </w:rPr>
              <w:t xml:space="preserve"> (Stage IIIC) or metastatic (Stage IV) BRAF V600E/K mutation positive cutaneous melanoma.</w:t>
            </w:r>
          </w:p>
          <w:p w:rsidR="00E46CDD" w:rsidRPr="00FE7564" w:rsidRDefault="00E46CDD" w:rsidP="00C26563">
            <w:pPr>
              <w:jc w:val="left"/>
              <w:rPr>
                <w:rFonts w:ascii="Arial Narrow" w:hAnsi="Arial Narrow"/>
                <w:sz w:val="20"/>
              </w:rPr>
            </w:pPr>
          </w:p>
          <w:p w:rsidR="00E46CDD" w:rsidRPr="00FE7564" w:rsidRDefault="00E46CDD" w:rsidP="00C26563">
            <w:pPr>
              <w:jc w:val="left"/>
              <w:rPr>
                <w:rFonts w:ascii="Arial Narrow" w:hAnsi="Arial Narrow"/>
                <w:sz w:val="20"/>
              </w:rPr>
            </w:pPr>
          </w:p>
        </w:tc>
        <w:tc>
          <w:tcPr>
            <w:tcW w:w="1253" w:type="pct"/>
            <w:tcBorders>
              <w:bottom w:val="nil"/>
            </w:tcBorders>
          </w:tcPr>
          <w:p w:rsidR="00E46CDD" w:rsidRPr="00FE7564" w:rsidRDefault="00E46CDD" w:rsidP="00C26563">
            <w:pPr>
              <w:jc w:val="left"/>
              <w:rPr>
                <w:rFonts w:ascii="Arial Narrow" w:hAnsi="Arial Narrow"/>
                <w:sz w:val="20"/>
              </w:rPr>
            </w:pPr>
            <w:r w:rsidRPr="00FE7564">
              <w:rPr>
                <w:rFonts w:ascii="Arial Narrow" w:hAnsi="Arial Narrow"/>
                <w:sz w:val="20"/>
              </w:rPr>
              <w:t>January 2015</w:t>
            </w:r>
          </w:p>
          <w:p w:rsidR="00E46CDD" w:rsidRPr="00FE7564" w:rsidRDefault="00E46CDD" w:rsidP="00C26563">
            <w:pPr>
              <w:jc w:val="left"/>
              <w:rPr>
                <w:rFonts w:ascii="Arial Narrow" w:hAnsi="Arial Narrow"/>
                <w:sz w:val="20"/>
              </w:rPr>
            </w:pPr>
          </w:p>
          <w:p w:rsidR="00E46CDD" w:rsidRPr="00FE7564" w:rsidRDefault="00E46CDD" w:rsidP="00C26563">
            <w:pPr>
              <w:jc w:val="left"/>
              <w:rPr>
                <w:rFonts w:ascii="Arial Narrow" w:hAnsi="Arial Narrow"/>
                <w:sz w:val="20"/>
              </w:rPr>
            </w:pPr>
          </w:p>
          <w:p w:rsidR="00E46CDD" w:rsidRPr="00FE7564" w:rsidRDefault="00E46CDD" w:rsidP="00774934">
            <w:pPr>
              <w:jc w:val="left"/>
              <w:rPr>
                <w:rFonts w:ascii="Arial Narrow" w:hAnsi="Arial Narrow"/>
                <w:sz w:val="20"/>
              </w:rPr>
            </w:pPr>
          </w:p>
        </w:tc>
      </w:tr>
      <w:tr w:rsidR="00E46CDD" w:rsidRPr="00FE7564" w:rsidTr="00956A01">
        <w:trPr>
          <w:trHeight w:val="764"/>
        </w:trPr>
        <w:tc>
          <w:tcPr>
            <w:tcW w:w="580" w:type="pct"/>
            <w:vMerge/>
          </w:tcPr>
          <w:p w:rsidR="00E46CDD" w:rsidRPr="00FE7564" w:rsidRDefault="00E46CDD" w:rsidP="00C26563">
            <w:pPr>
              <w:jc w:val="left"/>
              <w:rPr>
                <w:rFonts w:ascii="Arial Narrow" w:hAnsi="Arial Narrow"/>
                <w:sz w:val="20"/>
              </w:rPr>
            </w:pPr>
          </w:p>
        </w:tc>
        <w:tc>
          <w:tcPr>
            <w:tcW w:w="3167" w:type="pct"/>
            <w:tcBorders>
              <w:top w:val="nil"/>
            </w:tcBorders>
          </w:tcPr>
          <w:p w:rsidR="00E46CDD" w:rsidRPr="00FE7564" w:rsidRDefault="00956A01" w:rsidP="00C26563">
            <w:pPr>
              <w:jc w:val="left"/>
              <w:rPr>
                <w:rFonts w:ascii="Arial Narrow" w:hAnsi="Arial Narrow"/>
                <w:sz w:val="20"/>
              </w:rPr>
            </w:pPr>
            <w:r w:rsidRPr="00FE7564">
              <w:rPr>
                <w:rFonts w:ascii="Arial Narrow" w:hAnsi="Arial Narrow"/>
                <w:sz w:val="20"/>
              </w:rPr>
              <w:t xml:space="preserve">Robert C, </w:t>
            </w:r>
            <w:proofErr w:type="spellStart"/>
            <w:r w:rsidRPr="00FE7564">
              <w:rPr>
                <w:rFonts w:ascii="Arial Narrow" w:hAnsi="Arial Narrow"/>
                <w:sz w:val="20"/>
              </w:rPr>
              <w:t>Karaszewska</w:t>
            </w:r>
            <w:proofErr w:type="spellEnd"/>
            <w:r w:rsidRPr="00FE7564">
              <w:rPr>
                <w:rFonts w:ascii="Arial Narrow" w:hAnsi="Arial Narrow"/>
                <w:sz w:val="20"/>
              </w:rPr>
              <w:t xml:space="preserve"> B, </w:t>
            </w:r>
            <w:proofErr w:type="spellStart"/>
            <w:r w:rsidRPr="00FE7564">
              <w:rPr>
                <w:rFonts w:ascii="Arial Narrow" w:hAnsi="Arial Narrow"/>
                <w:sz w:val="20"/>
              </w:rPr>
              <w:t>Schachter</w:t>
            </w:r>
            <w:proofErr w:type="spellEnd"/>
            <w:r w:rsidRPr="00FE7564">
              <w:rPr>
                <w:rFonts w:ascii="Arial Narrow" w:hAnsi="Arial Narrow"/>
                <w:sz w:val="20"/>
              </w:rPr>
              <w:t xml:space="preserve"> J, et al. Improved overall survival in melanoma with combined </w:t>
            </w:r>
            <w:proofErr w:type="spellStart"/>
            <w:r w:rsidRPr="00FE7564">
              <w:rPr>
                <w:rFonts w:ascii="Arial Narrow" w:hAnsi="Arial Narrow"/>
                <w:sz w:val="20"/>
              </w:rPr>
              <w:t>dabrafenib</w:t>
            </w:r>
            <w:proofErr w:type="spellEnd"/>
            <w:r w:rsidRPr="00FE7564">
              <w:rPr>
                <w:rFonts w:ascii="Arial Narrow" w:hAnsi="Arial Narrow"/>
                <w:sz w:val="20"/>
              </w:rPr>
              <w:t xml:space="preserve"> and </w:t>
            </w:r>
            <w:proofErr w:type="spellStart"/>
            <w:r w:rsidRPr="00FE7564">
              <w:rPr>
                <w:rFonts w:ascii="Arial Narrow" w:hAnsi="Arial Narrow"/>
                <w:sz w:val="20"/>
              </w:rPr>
              <w:t>trametinib</w:t>
            </w:r>
            <w:proofErr w:type="spellEnd"/>
            <w:r w:rsidRPr="00FE7564">
              <w:rPr>
                <w:rFonts w:ascii="Arial Narrow" w:hAnsi="Arial Narrow"/>
                <w:sz w:val="20"/>
              </w:rPr>
              <w:t>.</w:t>
            </w:r>
          </w:p>
        </w:tc>
        <w:tc>
          <w:tcPr>
            <w:tcW w:w="1253" w:type="pct"/>
            <w:tcBorders>
              <w:top w:val="nil"/>
            </w:tcBorders>
          </w:tcPr>
          <w:p w:rsidR="00E46CDD" w:rsidRPr="00FE7564" w:rsidRDefault="00956A01" w:rsidP="00C26563">
            <w:pPr>
              <w:jc w:val="left"/>
              <w:rPr>
                <w:rFonts w:ascii="Arial Narrow" w:hAnsi="Arial Narrow"/>
                <w:sz w:val="20"/>
              </w:rPr>
            </w:pPr>
            <w:r w:rsidRPr="00FE7564">
              <w:rPr>
                <w:rFonts w:ascii="Arial Narrow" w:hAnsi="Arial Narrow"/>
                <w:sz w:val="20"/>
              </w:rPr>
              <w:t>NEJM 2015 372(1), 30-39.</w:t>
            </w:r>
          </w:p>
        </w:tc>
      </w:tr>
    </w:tbl>
    <w:p w:rsidR="00FD2BA9" w:rsidRPr="00FE7564" w:rsidRDefault="00FD2BA9" w:rsidP="00FD2BA9">
      <w:pPr>
        <w:pStyle w:val="TableFooter"/>
        <w:ind w:left="720"/>
      </w:pPr>
      <w:r w:rsidRPr="00FE7564">
        <w:t>Source: Table B.2-</w:t>
      </w:r>
      <w:r w:rsidR="00774934" w:rsidRPr="00FE7564">
        <w:t>1, p21 of the submission.</w:t>
      </w:r>
    </w:p>
    <w:p w:rsidR="00FD2BA9" w:rsidRPr="00FE7564" w:rsidRDefault="00FD2BA9" w:rsidP="00FD2BA9">
      <w:pPr>
        <w:widowControl/>
        <w:rPr>
          <w:szCs w:val="22"/>
        </w:rPr>
      </w:pPr>
    </w:p>
    <w:p w:rsidR="00FD2BA9" w:rsidRPr="00FE7564" w:rsidRDefault="00FD2BA9" w:rsidP="00FD2BA9">
      <w:pPr>
        <w:ind w:firstLine="720"/>
        <w:rPr>
          <w:rStyle w:val="CommentReference"/>
        </w:rPr>
      </w:pPr>
      <w:r w:rsidRPr="00FE7564">
        <w:rPr>
          <w:rStyle w:val="CommentReference"/>
        </w:rPr>
        <w:t xml:space="preserve">Table 3: Summary of </w:t>
      </w:r>
      <w:r w:rsidR="00996220" w:rsidRPr="00FE7564">
        <w:rPr>
          <w:rStyle w:val="CommentReference"/>
        </w:rPr>
        <w:t xml:space="preserve">key features of </w:t>
      </w:r>
      <w:r w:rsidRPr="00FE7564">
        <w:rPr>
          <w:rStyle w:val="CommentReference"/>
        </w:rPr>
        <w:t>BRF113220, COMBI-D and COMBI-V</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4"/>
        <w:gridCol w:w="548"/>
        <w:gridCol w:w="1058"/>
        <w:gridCol w:w="708"/>
        <w:gridCol w:w="2552"/>
        <w:gridCol w:w="852"/>
        <w:gridCol w:w="1682"/>
      </w:tblGrid>
      <w:tr w:rsidR="00FD2BA9" w:rsidRPr="00FE7564" w:rsidTr="00774934">
        <w:trPr>
          <w:tblHeader/>
        </w:trPr>
        <w:tc>
          <w:tcPr>
            <w:tcW w:w="560" w:type="pct"/>
            <w:shd w:val="clear" w:color="auto" w:fill="auto"/>
            <w:vAlign w:val="center"/>
          </w:tcPr>
          <w:p w:rsidR="00FD2BA9" w:rsidRPr="00FE7564" w:rsidRDefault="00FD2BA9" w:rsidP="00C26563">
            <w:pPr>
              <w:jc w:val="left"/>
              <w:rPr>
                <w:rFonts w:ascii="Arial Narrow" w:hAnsi="Arial Narrow"/>
                <w:b/>
                <w:sz w:val="20"/>
              </w:rPr>
            </w:pPr>
            <w:r w:rsidRPr="00FE7564">
              <w:rPr>
                <w:rFonts w:ascii="Arial Narrow" w:hAnsi="Arial Narrow"/>
                <w:b/>
                <w:sz w:val="20"/>
              </w:rPr>
              <w:t>Trial</w:t>
            </w:r>
          </w:p>
        </w:tc>
        <w:tc>
          <w:tcPr>
            <w:tcW w:w="329"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N</w:t>
            </w:r>
          </w:p>
        </w:tc>
        <w:tc>
          <w:tcPr>
            <w:tcW w:w="635"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Design</w:t>
            </w:r>
          </w:p>
        </w:tc>
        <w:tc>
          <w:tcPr>
            <w:tcW w:w="425"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Risk of bias</w:t>
            </w:r>
          </w:p>
        </w:tc>
        <w:tc>
          <w:tcPr>
            <w:tcW w:w="1531"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Patient population</w:t>
            </w:r>
          </w:p>
        </w:tc>
        <w:tc>
          <w:tcPr>
            <w:tcW w:w="511"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Primary outcome</w:t>
            </w:r>
          </w:p>
        </w:tc>
        <w:tc>
          <w:tcPr>
            <w:tcW w:w="1010"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Use in modelled evaluation</w:t>
            </w:r>
          </w:p>
        </w:tc>
      </w:tr>
      <w:tr w:rsidR="00FD2BA9" w:rsidRPr="00FE7564" w:rsidTr="00774934">
        <w:tc>
          <w:tcPr>
            <w:tcW w:w="5000" w:type="pct"/>
            <w:gridSpan w:val="7"/>
            <w:shd w:val="clear" w:color="auto" w:fill="auto"/>
            <w:vAlign w:val="center"/>
          </w:tcPr>
          <w:p w:rsidR="00FD2BA9" w:rsidRPr="00FE7564" w:rsidRDefault="00FD2BA9" w:rsidP="00C26563">
            <w:pPr>
              <w:jc w:val="left"/>
              <w:rPr>
                <w:rFonts w:ascii="Arial Narrow" w:hAnsi="Arial Narrow"/>
                <w:b/>
                <w:sz w:val="20"/>
              </w:rPr>
            </w:pPr>
            <w:proofErr w:type="spellStart"/>
            <w:r w:rsidRPr="00FE7564">
              <w:rPr>
                <w:rFonts w:ascii="Arial Narrow" w:hAnsi="Arial Narrow"/>
                <w:b/>
                <w:sz w:val="20"/>
              </w:rPr>
              <w:t>Trametinib</w:t>
            </w:r>
            <w:proofErr w:type="spellEnd"/>
            <w:r w:rsidRPr="00FE7564">
              <w:rPr>
                <w:rFonts w:ascii="Arial Narrow" w:hAnsi="Arial Narrow"/>
                <w:b/>
                <w:sz w:val="20"/>
              </w:rPr>
              <w:t xml:space="preserve"> 2mg/day combined with </w:t>
            </w:r>
            <w:proofErr w:type="spellStart"/>
            <w:r w:rsidRPr="00FE7564">
              <w:rPr>
                <w:rFonts w:ascii="Arial Narrow" w:hAnsi="Arial Narrow"/>
                <w:b/>
                <w:sz w:val="20"/>
              </w:rPr>
              <w:t>dabrafenib</w:t>
            </w:r>
            <w:proofErr w:type="spellEnd"/>
            <w:r w:rsidRPr="00FE7564">
              <w:rPr>
                <w:rFonts w:ascii="Arial Narrow" w:hAnsi="Arial Narrow"/>
                <w:b/>
                <w:sz w:val="20"/>
              </w:rPr>
              <w:t xml:space="preserve"> 150mg/</w:t>
            </w:r>
            <w:proofErr w:type="spellStart"/>
            <w:r w:rsidRPr="00FE7564">
              <w:rPr>
                <w:rFonts w:ascii="Arial Narrow" w:hAnsi="Arial Narrow"/>
                <w:b/>
                <w:sz w:val="20"/>
              </w:rPr>
              <w:t>bd</w:t>
            </w:r>
            <w:proofErr w:type="spellEnd"/>
            <w:r w:rsidRPr="00FE7564">
              <w:rPr>
                <w:rFonts w:ascii="Arial Narrow" w:hAnsi="Arial Narrow"/>
                <w:b/>
                <w:sz w:val="20"/>
              </w:rPr>
              <w:t xml:space="preserve"> vs. </w:t>
            </w:r>
            <w:proofErr w:type="spellStart"/>
            <w:r w:rsidRPr="00FE7564">
              <w:rPr>
                <w:rFonts w:ascii="Arial Narrow" w:hAnsi="Arial Narrow"/>
                <w:b/>
                <w:sz w:val="20"/>
              </w:rPr>
              <w:t>dabrafenib</w:t>
            </w:r>
            <w:proofErr w:type="spellEnd"/>
            <w:r w:rsidRPr="00FE7564">
              <w:rPr>
                <w:rFonts w:ascii="Arial Narrow" w:hAnsi="Arial Narrow"/>
                <w:b/>
                <w:sz w:val="20"/>
              </w:rPr>
              <w:t xml:space="preserve"> 150mg/</w:t>
            </w:r>
            <w:proofErr w:type="spellStart"/>
            <w:r w:rsidRPr="00FE7564">
              <w:rPr>
                <w:rFonts w:ascii="Arial Narrow" w:hAnsi="Arial Narrow"/>
                <w:b/>
                <w:sz w:val="20"/>
              </w:rPr>
              <w:t>bd</w:t>
            </w:r>
            <w:proofErr w:type="spellEnd"/>
          </w:p>
        </w:tc>
      </w:tr>
      <w:tr w:rsidR="00FD2BA9" w:rsidRPr="00FE7564" w:rsidTr="00774934">
        <w:tc>
          <w:tcPr>
            <w:tcW w:w="560" w:type="pct"/>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 xml:space="preserve">BRF113220 </w:t>
            </w:r>
          </w:p>
        </w:tc>
        <w:tc>
          <w:tcPr>
            <w:tcW w:w="329"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162</w:t>
            </w:r>
            <w:r w:rsidRPr="00FE7564">
              <w:rPr>
                <w:rFonts w:ascii="Arial Narrow" w:hAnsi="Arial Narrow"/>
                <w:sz w:val="20"/>
                <w:vertAlign w:val="superscript"/>
              </w:rPr>
              <w:t>a</w:t>
            </w:r>
          </w:p>
        </w:tc>
        <w:tc>
          <w:tcPr>
            <w:tcW w:w="635"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R, OL, MC</w:t>
            </w:r>
          </w:p>
        </w:tc>
        <w:tc>
          <w:tcPr>
            <w:tcW w:w="425"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High</w:t>
            </w:r>
          </w:p>
        </w:tc>
        <w:tc>
          <w:tcPr>
            <w:tcW w:w="1531" w:type="pct"/>
            <w:vMerge w:val="restart"/>
            <w:shd w:val="clear" w:color="auto" w:fill="auto"/>
            <w:vAlign w:val="center"/>
          </w:tcPr>
          <w:p w:rsidR="00FD2BA9" w:rsidRPr="00FE7564" w:rsidRDefault="004C1AED" w:rsidP="00C26563">
            <w:pPr>
              <w:jc w:val="center"/>
              <w:rPr>
                <w:rFonts w:ascii="Arial Narrow" w:hAnsi="Arial Narrow"/>
                <w:sz w:val="20"/>
              </w:rPr>
            </w:pPr>
            <w:r w:rsidRPr="00FE7564">
              <w:rPr>
                <w:rFonts w:ascii="Arial Narrow" w:hAnsi="Arial Narrow"/>
                <w:sz w:val="20"/>
              </w:rPr>
              <w:t>First-</w:t>
            </w:r>
            <w:r w:rsidR="00FD2BA9" w:rsidRPr="00FE7564">
              <w:rPr>
                <w:rFonts w:ascii="Arial Narrow" w:hAnsi="Arial Narrow"/>
                <w:sz w:val="20"/>
              </w:rPr>
              <w:t xml:space="preserve">line </w:t>
            </w:r>
            <w:proofErr w:type="spellStart"/>
            <w:r w:rsidR="00FD2BA9" w:rsidRPr="00FE7564">
              <w:rPr>
                <w:rStyle w:val="Heading2Char"/>
                <w:rFonts w:ascii="Arial Narrow" w:hAnsi="Arial Narrow"/>
                <w:b w:val="0"/>
                <w:sz w:val="20"/>
              </w:rPr>
              <w:t>unresectable</w:t>
            </w:r>
            <w:proofErr w:type="spellEnd"/>
            <w:r w:rsidR="00FD2BA9" w:rsidRPr="00FE7564">
              <w:rPr>
                <w:rStyle w:val="Heading2Char"/>
                <w:rFonts w:ascii="Arial Narrow" w:hAnsi="Arial Narrow"/>
                <w:b w:val="0"/>
                <w:sz w:val="20"/>
              </w:rPr>
              <w:t xml:space="preserve"> stage III) or metastatic (stage IV) melanoma</w:t>
            </w:r>
          </w:p>
        </w:tc>
        <w:tc>
          <w:tcPr>
            <w:tcW w:w="511"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PFS</w:t>
            </w:r>
          </w:p>
        </w:tc>
        <w:tc>
          <w:tcPr>
            <w:tcW w:w="1010" w:type="pct"/>
            <w:vMerge w:val="restart"/>
            <w:shd w:val="clear" w:color="auto" w:fill="auto"/>
            <w:vAlign w:val="center"/>
          </w:tcPr>
          <w:p w:rsidR="00FD2BA9" w:rsidRPr="00FE7564" w:rsidRDefault="00FD2BA9" w:rsidP="00885BE5">
            <w:pPr>
              <w:jc w:val="center"/>
              <w:rPr>
                <w:rFonts w:ascii="Arial Narrow" w:hAnsi="Arial Narrow"/>
                <w:sz w:val="20"/>
              </w:rPr>
            </w:pPr>
            <w:r w:rsidRPr="00FE7564">
              <w:rPr>
                <w:rFonts w:ascii="Arial Narrow" w:hAnsi="Arial Narrow"/>
                <w:sz w:val="20"/>
              </w:rPr>
              <w:t>Parametric survival functions fitted to the pooled PFS and OS IPD data from all 3 trials; ORR and AE data also included.</w:t>
            </w:r>
          </w:p>
        </w:tc>
      </w:tr>
      <w:tr w:rsidR="00FD2BA9" w:rsidRPr="00FE7564" w:rsidTr="00774934">
        <w:tc>
          <w:tcPr>
            <w:tcW w:w="560" w:type="pct"/>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COMBI-D</w:t>
            </w:r>
          </w:p>
        </w:tc>
        <w:tc>
          <w:tcPr>
            <w:tcW w:w="329"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423</w:t>
            </w:r>
          </w:p>
        </w:tc>
        <w:tc>
          <w:tcPr>
            <w:tcW w:w="635"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R, DB, MC</w:t>
            </w:r>
          </w:p>
        </w:tc>
        <w:tc>
          <w:tcPr>
            <w:tcW w:w="425"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Low</w:t>
            </w:r>
          </w:p>
        </w:tc>
        <w:tc>
          <w:tcPr>
            <w:tcW w:w="1531" w:type="pct"/>
            <w:vMerge/>
            <w:shd w:val="clear" w:color="auto" w:fill="auto"/>
            <w:vAlign w:val="center"/>
          </w:tcPr>
          <w:p w:rsidR="00FD2BA9" w:rsidRPr="00FE7564" w:rsidRDefault="00FD2BA9" w:rsidP="00C26563">
            <w:pPr>
              <w:jc w:val="center"/>
              <w:rPr>
                <w:rFonts w:ascii="Arial Narrow" w:hAnsi="Arial Narrow"/>
                <w:sz w:val="20"/>
              </w:rPr>
            </w:pPr>
          </w:p>
        </w:tc>
        <w:tc>
          <w:tcPr>
            <w:tcW w:w="511"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PFS</w:t>
            </w:r>
          </w:p>
        </w:tc>
        <w:tc>
          <w:tcPr>
            <w:tcW w:w="1010" w:type="pct"/>
            <w:vMerge/>
            <w:shd w:val="clear" w:color="auto" w:fill="auto"/>
            <w:vAlign w:val="center"/>
          </w:tcPr>
          <w:p w:rsidR="00FD2BA9" w:rsidRPr="00FE7564" w:rsidRDefault="00FD2BA9" w:rsidP="00C26563">
            <w:pPr>
              <w:jc w:val="center"/>
              <w:rPr>
                <w:rFonts w:ascii="Arial Narrow" w:hAnsi="Arial Narrow"/>
                <w:sz w:val="20"/>
              </w:rPr>
            </w:pPr>
          </w:p>
        </w:tc>
      </w:tr>
      <w:tr w:rsidR="00FD2BA9" w:rsidRPr="00FE7564" w:rsidTr="007F72E2">
        <w:trPr>
          <w:trHeight w:val="361"/>
        </w:trPr>
        <w:tc>
          <w:tcPr>
            <w:tcW w:w="3990" w:type="pct"/>
            <w:gridSpan w:val="6"/>
            <w:shd w:val="clear" w:color="auto" w:fill="auto"/>
            <w:vAlign w:val="center"/>
          </w:tcPr>
          <w:p w:rsidR="00FD2BA9" w:rsidRPr="00FE7564" w:rsidRDefault="00FD2BA9" w:rsidP="00C26563">
            <w:pPr>
              <w:jc w:val="left"/>
              <w:rPr>
                <w:rFonts w:ascii="Arial Narrow" w:hAnsi="Arial Narrow"/>
                <w:b/>
                <w:sz w:val="20"/>
              </w:rPr>
            </w:pPr>
            <w:proofErr w:type="spellStart"/>
            <w:r w:rsidRPr="00FE7564">
              <w:rPr>
                <w:rFonts w:ascii="Arial Narrow" w:hAnsi="Arial Narrow"/>
                <w:b/>
                <w:sz w:val="20"/>
              </w:rPr>
              <w:t>Trametinib</w:t>
            </w:r>
            <w:proofErr w:type="spellEnd"/>
            <w:r w:rsidRPr="00FE7564">
              <w:rPr>
                <w:rFonts w:ascii="Arial Narrow" w:hAnsi="Arial Narrow"/>
                <w:b/>
                <w:sz w:val="20"/>
              </w:rPr>
              <w:t xml:space="preserve"> 2mg/day combined with </w:t>
            </w:r>
            <w:proofErr w:type="spellStart"/>
            <w:r w:rsidRPr="00FE7564">
              <w:rPr>
                <w:rFonts w:ascii="Arial Narrow" w:hAnsi="Arial Narrow"/>
                <w:b/>
                <w:sz w:val="20"/>
              </w:rPr>
              <w:t>dabrafenib</w:t>
            </w:r>
            <w:proofErr w:type="spellEnd"/>
            <w:r w:rsidRPr="00FE7564">
              <w:rPr>
                <w:rFonts w:ascii="Arial Narrow" w:hAnsi="Arial Narrow"/>
                <w:b/>
                <w:sz w:val="20"/>
              </w:rPr>
              <w:t xml:space="preserve"> 150mg/</w:t>
            </w:r>
            <w:proofErr w:type="spellStart"/>
            <w:r w:rsidRPr="00FE7564">
              <w:rPr>
                <w:rFonts w:ascii="Arial Narrow" w:hAnsi="Arial Narrow"/>
                <w:b/>
                <w:sz w:val="20"/>
              </w:rPr>
              <w:t>bd</w:t>
            </w:r>
            <w:proofErr w:type="spellEnd"/>
            <w:r w:rsidRPr="00FE7564">
              <w:rPr>
                <w:rFonts w:ascii="Arial Narrow" w:hAnsi="Arial Narrow"/>
                <w:b/>
                <w:sz w:val="20"/>
              </w:rPr>
              <w:t xml:space="preserve"> vs. </w:t>
            </w:r>
            <w:proofErr w:type="spellStart"/>
            <w:r w:rsidRPr="00FE7564">
              <w:rPr>
                <w:rFonts w:ascii="Arial Narrow" w:hAnsi="Arial Narrow"/>
                <w:b/>
                <w:sz w:val="20"/>
              </w:rPr>
              <w:t>vemurafenib</w:t>
            </w:r>
            <w:proofErr w:type="spellEnd"/>
            <w:r w:rsidRPr="00FE7564">
              <w:rPr>
                <w:rFonts w:ascii="Arial Narrow" w:hAnsi="Arial Narrow"/>
                <w:b/>
                <w:sz w:val="20"/>
              </w:rPr>
              <w:t xml:space="preserve"> 960mg/</w:t>
            </w:r>
            <w:proofErr w:type="spellStart"/>
            <w:r w:rsidRPr="00FE7564">
              <w:rPr>
                <w:rFonts w:ascii="Arial Narrow" w:hAnsi="Arial Narrow"/>
                <w:b/>
                <w:sz w:val="20"/>
              </w:rPr>
              <w:t>bd</w:t>
            </w:r>
            <w:proofErr w:type="spellEnd"/>
          </w:p>
        </w:tc>
        <w:tc>
          <w:tcPr>
            <w:tcW w:w="1010" w:type="pct"/>
            <w:vMerge/>
            <w:shd w:val="clear" w:color="auto" w:fill="auto"/>
            <w:vAlign w:val="center"/>
          </w:tcPr>
          <w:p w:rsidR="00FD2BA9" w:rsidRPr="00FE7564" w:rsidRDefault="00FD2BA9" w:rsidP="00C26563">
            <w:pPr>
              <w:jc w:val="center"/>
              <w:rPr>
                <w:rFonts w:ascii="Arial Narrow" w:hAnsi="Arial Narrow"/>
                <w:b/>
                <w:sz w:val="20"/>
              </w:rPr>
            </w:pPr>
          </w:p>
        </w:tc>
      </w:tr>
      <w:tr w:rsidR="00FD2BA9" w:rsidRPr="00FE7564" w:rsidTr="00774934">
        <w:tc>
          <w:tcPr>
            <w:tcW w:w="560" w:type="pct"/>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COMBI-V</w:t>
            </w:r>
          </w:p>
        </w:tc>
        <w:tc>
          <w:tcPr>
            <w:tcW w:w="329"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704</w:t>
            </w:r>
          </w:p>
        </w:tc>
        <w:tc>
          <w:tcPr>
            <w:tcW w:w="635" w:type="pct"/>
            <w:shd w:val="clear" w:color="auto" w:fill="auto"/>
            <w:vAlign w:val="center"/>
          </w:tcPr>
          <w:p w:rsidR="00885BE5" w:rsidRPr="00FE7564" w:rsidRDefault="00FD2BA9" w:rsidP="00C26563">
            <w:pPr>
              <w:jc w:val="center"/>
              <w:rPr>
                <w:rFonts w:ascii="Arial Narrow" w:hAnsi="Arial Narrow"/>
                <w:sz w:val="20"/>
              </w:rPr>
            </w:pPr>
            <w:r w:rsidRPr="00FE7564">
              <w:rPr>
                <w:rFonts w:ascii="Arial Narrow" w:hAnsi="Arial Narrow"/>
                <w:sz w:val="20"/>
              </w:rPr>
              <w:t xml:space="preserve">R, OL, MC </w:t>
            </w:r>
          </w:p>
          <w:p w:rsidR="00FD2BA9" w:rsidRPr="00FE7564" w:rsidRDefault="00FD2BA9" w:rsidP="00C26563">
            <w:pPr>
              <w:jc w:val="center"/>
              <w:rPr>
                <w:rFonts w:ascii="Arial Narrow" w:hAnsi="Arial Narrow"/>
                <w:sz w:val="20"/>
              </w:rPr>
            </w:pPr>
            <w:r w:rsidRPr="00FE7564">
              <w:rPr>
                <w:rFonts w:ascii="Arial Narrow" w:hAnsi="Arial Narrow"/>
                <w:sz w:val="20"/>
              </w:rPr>
              <w:t>Trial halted (Phase III)</w:t>
            </w:r>
          </w:p>
        </w:tc>
        <w:tc>
          <w:tcPr>
            <w:tcW w:w="425"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High</w:t>
            </w:r>
          </w:p>
        </w:tc>
        <w:tc>
          <w:tcPr>
            <w:tcW w:w="1531" w:type="pct"/>
            <w:shd w:val="clear" w:color="auto" w:fill="auto"/>
            <w:vAlign w:val="center"/>
          </w:tcPr>
          <w:p w:rsidR="00FD2BA9" w:rsidRPr="00FE7564" w:rsidRDefault="00FD2BA9" w:rsidP="004C1AED">
            <w:pPr>
              <w:jc w:val="center"/>
              <w:rPr>
                <w:rFonts w:ascii="Arial Narrow" w:hAnsi="Arial Narrow"/>
                <w:sz w:val="20"/>
              </w:rPr>
            </w:pPr>
            <w:r w:rsidRPr="00FE7564">
              <w:rPr>
                <w:rFonts w:ascii="Arial Narrow" w:hAnsi="Arial Narrow"/>
                <w:sz w:val="20"/>
              </w:rPr>
              <w:t>First</w:t>
            </w:r>
            <w:r w:rsidR="004C1AED" w:rsidRPr="00FE7564">
              <w:rPr>
                <w:rFonts w:ascii="Arial Narrow" w:hAnsi="Arial Narrow"/>
                <w:sz w:val="20"/>
              </w:rPr>
              <w:t>-</w:t>
            </w:r>
            <w:r w:rsidRPr="00FE7564">
              <w:rPr>
                <w:rFonts w:ascii="Arial Narrow" w:hAnsi="Arial Narrow"/>
                <w:sz w:val="20"/>
              </w:rPr>
              <w:t xml:space="preserve">line </w:t>
            </w:r>
            <w:proofErr w:type="spellStart"/>
            <w:r w:rsidRPr="00FE7564">
              <w:rPr>
                <w:rStyle w:val="Heading2Char"/>
                <w:rFonts w:ascii="Arial Narrow" w:hAnsi="Arial Narrow"/>
                <w:b w:val="0"/>
                <w:sz w:val="20"/>
              </w:rPr>
              <w:t>unresectable</w:t>
            </w:r>
            <w:proofErr w:type="spellEnd"/>
            <w:r w:rsidRPr="00FE7564">
              <w:rPr>
                <w:rStyle w:val="Heading2Char"/>
                <w:rFonts w:ascii="Arial Narrow" w:hAnsi="Arial Narrow"/>
                <w:b w:val="0"/>
                <w:sz w:val="20"/>
              </w:rPr>
              <w:t xml:space="preserve"> stage III) or metastatic (stage IV) melanoma</w:t>
            </w:r>
          </w:p>
        </w:tc>
        <w:tc>
          <w:tcPr>
            <w:tcW w:w="511" w:type="pct"/>
            <w:shd w:val="clear" w:color="auto" w:fill="auto"/>
            <w:vAlign w:val="center"/>
          </w:tcPr>
          <w:p w:rsidR="00FD2BA9" w:rsidRPr="00FE7564" w:rsidRDefault="00FD2BA9" w:rsidP="00C26563">
            <w:pPr>
              <w:jc w:val="center"/>
              <w:rPr>
                <w:rFonts w:ascii="Arial Narrow" w:hAnsi="Arial Narrow"/>
                <w:sz w:val="20"/>
              </w:rPr>
            </w:pPr>
            <w:r w:rsidRPr="00FE7564">
              <w:rPr>
                <w:rFonts w:ascii="Arial Narrow" w:hAnsi="Arial Narrow"/>
                <w:sz w:val="20"/>
              </w:rPr>
              <w:t>OS</w:t>
            </w:r>
          </w:p>
        </w:tc>
        <w:tc>
          <w:tcPr>
            <w:tcW w:w="1010" w:type="pct"/>
            <w:vMerge/>
            <w:shd w:val="clear" w:color="auto" w:fill="auto"/>
            <w:vAlign w:val="center"/>
          </w:tcPr>
          <w:p w:rsidR="00FD2BA9" w:rsidRPr="00FE7564" w:rsidRDefault="00FD2BA9" w:rsidP="00C26563">
            <w:pPr>
              <w:jc w:val="center"/>
              <w:rPr>
                <w:rFonts w:ascii="Arial Narrow" w:hAnsi="Arial Narrow"/>
                <w:sz w:val="20"/>
              </w:rPr>
            </w:pPr>
          </w:p>
        </w:tc>
      </w:tr>
    </w:tbl>
    <w:p w:rsidR="00FD2BA9" w:rsidRPr="00FE7564" w:rsidRDefault="00FD2BA9" w:rsidP="00774934">
      <w:pPr>
        <w:keepNext/>
        <w:widowControl/>
        <w:ind w:left="900" w:hanging="142"/>
        <w:rPr>
          <w:rFonts w:ascii="Arial Narrow" w:hAnsi="Arial Narrow"/>
          <w:sz w:val="18"/>
          <w:szCs w:val="18"/>
        </w:rPr>
      </w:pPr>
      <w:proofErr w:type="spellStart"/>
      <w:proofErr w:type="gramStart"/>
      <w:r w:rsidRPr="00FE7564">
        <w:rPr>
          <w:rFonts w:ascii="Arial Narrow" w:hAnsi="Arial Narrow"/>
          <w:sz w:val="18"/>
          <w:szCs w:val="18"/>
          <w:vertAlign w:val="superscript"/>
        </w:rPr>
        <w:t>a</w:t>
      </w:r>
      <w:proofErr w:type="spellEnd"/>
      <w:proofErr w:type="gramEnd"/>
      <w:r w:rsidRPr="00FE7564">
        <w:rPr>
          <w:rFonts w:ascii="Arial Narrow" w:hAnsi="Arial Narrow"/>
          <w:sz w:val="18"/>
          <w:szCs w:val="18"/>
        </w:rPr>
        <w:tab/>
        <w:t xml:space="preserve">Includes 54 patients randomised to </w:t>
      </w:r>
      <w:proofErr w:type="spellStart"/>
      <w:r w:rsidRPr="00FE7564">
        <w:rPr>
          <w:rFonts w:ascii="Arial Narrow" w:hAnsi="Arial Narrow"/>
          <w:sz w:val="18"/>
          <w:szCs w:val="18"/>
        </w:rPr>
        <w:t>trametinib</w:t>
      </w:r>
      <w:proofErr w:type="spellEnd"/>
      <w:r w:rsidRPr="00FE7564">
        <w:rPr>
          <w:rFonts w:ascii="Arial Narrow" w:hAnsi="Arial Narrow"/>
          <w:sz w:val="18"/>
          <w:szCs w:val="18"/>
        </w:rPr>
        <w:t xml:space="preserve"> 1mg in combination with </w:t>
      </w:r>
      <w:proofErr w:type="spellStart"/>
      <w:r w:rsidRPr="00FE7564">
        <w:rPr>
          <w:rFonts w:ascii="Arial Narrow" w:hAnsi="Arial Narrow"/>
          <w:sz w:val="18"/>
          <w:szCs w:val="18"/>
        </w:rPr>
        <w:t>dabrafenib</w:t>
      </w:r>
      <w:proofErr w:type="spellEnd"/>
      <w:r w:rsidRPr="00FE7564">
        <w:rPr>
          <w:rFonts w:ascii="Arial Narrow" w:hAnsi="Arial Narrow"/>
          <w:sz w:val="18"/>
          <w:szCs w:val="18"/>
        </w:rPr>
        <w:t xml:space="preserve"> 150mg/</w:t>
      </w:r>
      <w:proofErr w:type="spellStart"/>
      <w:r w:rsidRPr="00FE7564">
        <w:rPr>
          <w:rFonts w:ascii="Arial Narrow" w:hAnsi="Arial Narrow"/>
          <w:sz w:val="18"/>
          <w:szCs w:val="18"/>
        </w:rPr>
        <w:t>bd</w:t>
      </w:r>
      <w:proofErr w:type="spellEnd"/>
      <w:r w:rsidRPr="00FE7564">
        <w:rPr>
          <w:rFonts w:ascii="Arial Narrow" w:hAnsi="Arial Narrow"/>
          <w:sz w:val="18"/>
          <w:szCs w:val="18"/>
        </w:rPr>
        <w:t xml:space="preserve"> (regimen not directly relevant to the evaluation of treatment effect).</w:t>
      </w:r>
    </w:p>
    <w:p w:rsidR="00FD2BA9" w:rsidRPr="00FE7564" w:rsidRDefault="00FD2BA9" w:rsidP="00FD2BA9">
      <w:pPr>
        <w:pStyle w:val="TableFooter"/>
        <w:ind w:left="720"/>
        <w:rPr>
          <w:szCs w:val="18"/>
        </w:rPr>
      </w:pPr>
      <w:r w:rsidRPr="00FE7564">
        <w:rPr>
          <w:szCs w:val="18"/>
        </w:rPr>
        <w:t xml:space="preserve">AE=adverse event; </w:t>
      </w:r>
      <w:proofErr w:type="spellStart"/>
      <w:r w:rsidRPr="00FE7564">
        <w:rPr>
          <w:szCs w:val="18"/>
        </w:rPr>
        <w:t>bd</w:t>
      </w:r>
      <w:proofErr w:type="spellEnd"/>
      <w:r w:rsidRPr="00FE7564">
        <w:rPr>
          <w:szCs w:val="18"/>
        </w:rPr>
        <w:t>=twice daily; DB=double-blind; IPD=individual patient level data; MC=multi-centre; OL=open label; ORR=overall response rate; OS=overall survival; PFS=progression-free survival; R=randomised</w:t>
      </w:r>
    </w:p>
    <w:p w:rsidR="0010168C" w:rsidRDefault="00FD2BA9" w:rsidP="00956A01">
      <w:pPr>
        <w:pStyle w:val="TableFooter"/>
        <w:ind w:left="720"/>
        <w:rPr>
          <w:szCs w:val="22"/>
        </w:rPr>
      </w:pPr>
      <w:r w:rsidRPr="00FE7564">
        <w:t>Source: compiled during the evaluation</w:t>
      </w:r>
      <w:r w:rsidRPr="00FE7564">
        <w:rPr>
          <w:lang w:eastAsia="zh-CN"/>
        </w:rPr>
        <w:t xml:space="preserve"> </w:t>
      </w:r>
    </w:p>
    <w:p w:rsidR="0010168C" w:rsidRDefault="0010168C"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lastRenderedPageBreak/>
        <w:t xml:space="preserve">BRF113220 remained significantly affected by crossover. COMBI-D did not allow crossover, and though COMBI-V did have a protocol amendment allowing crossover, all data presented </w:t>
      </w:r>
      <w:r w:rsidR="0092024F" w:rsidRPr="00FE7564">
        <w:rPr>
          <w:szCs w:val="22"/>
        </w:rPr>
        <w:t xml:space="preserve">dated </w:t>
      </w:r>
      <w:r w:rsidRPr="00FE7564">
        <w:rPr>
          <w:szCs w:val="22"/>
        </w:rPr>
        <w:t>from before crossover was allowed.</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As requested by the PBAC, the submission pooled the survival data of the 3 trials using individual patient data (IPD) and presented Kaplan</w:t>
      </w:r>
      <w:r w:rsidR="002878A5" w:rsidRPr="00FE7564">
        <w:rPr>
          <w:szCs w:val="22"/>
        </w:rPr>
        <w:t>-</w:t>
      </w:r>
      <w:r w:rsidRPr="00FE7564">
        <w:rPr>
          <w:szCs w:val="22"/>
        </w:rPr>
        <w:t xml:space="preserve">Meier curves, hazard ratios and confidence intervals for the pooled PFS and OS. The submission used BRF113220 results with no statistical adjustments for </w:t>
      </w:r>
      <w:r w:rsidR="006A4CC6" w:rsidRPr="00FE7564">
        <w:rPr>
          <w:szCs w:val="22"/>
        </w:rPr>
        <w:t>crossover</w:t>
      </w:r>
      <w:r w:rsidRPr="00FE7564">
        <w:rPr>
          <w:szCs w:val="22"/>
        </w:rPr>
        <w:t xml:space="preserve"> in the pooled analysis and noted that</w:t>
      </w:r>
      <w:r w:rsidR="00B16F92" w:rsidRPr="00FE7564">
        <w:rPr>
          <w:szCs w:val="22"/>
        </w:rPr>
        <w:t>,</w:t>
      </w:r>
      <w:r w:rsidRPr="00FE7564">
        <w:rPr>
          <w:szCs w:val="22"/>
        </w:rPr>
        <w:t xml:space="preserve"> though the results were contaminated by </w:t>
      </w:r>
      <w:r w:rsidR="006A4CC6" w:rsidRPr="00FE7564">
        <w:rPr>
          <w:szCs w:val="22"/>
        </w:rPr>
        <w:t>crossover</w:t>
      </w:r>
      <w:r w:rsidRPr="00FE7564">
        <w:rPr>
          <w:szCs w:val="22"/>
        </w:rPr>
        <w:t xml:space="preserve">, the relative small size of BRF113200 </w:t>
      </w:r>
      <w:r w:rsidR="00C20177" w:rsidRPr="00FE7564">
        <w:rPr>
          <w:szCs w:val="22"/>
        </w:rPr>
        <w:t xml:space="preserve">meant </w:t>
      </w:r>
      <w:r w:rsidRPr="00FE7564">
        <w:rPr>
          <w:szCs w:val="22"/>
        </w:rPr>
        <w:t xml:space="preserve">the inclusion of BRF113220 in the pooled results </w:t>
      </w:r>
      <w:r w:rsidR="00C20177" w:rsidRPr="00FE7564">
        <w:rPr>
          <w:szCs w:val="22"/>
        </w:rPr>
        <w:t>had</w:t>
      </w:r>
      <w:r w:rsidRPr="00FE7564">
        <w:rPr>
          <w:szCs w:val="22"/>
        </w:rPr>
        <w:t xml:space="preserve"> little effect on OS and PFS res</w:t>
      </w:r>
      <w:r w:rsidR="00B16F92" w:rsidRPr="00FE7564">
        <w:rPr>
          <w:szCs w:val="22"/>
        </w:rPr>
        <w:t>ults.</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The pooled results in the current submission were based on the final analyses of the COMBI-D and COMBI</w:t>
      </w:r>
      <w:r w:rsidR="00C20177" w:rsidRPr="00FE7564">
        <w:rPr>
          <w:szCs w:val="22"/>
        </w:rPr>
        <w:t>-</w:t>
      </w:r>
      <w:r w:rsidRPr="00FE7564">
        <w:rPr>
          <w:szCs w:val="22"/>
        </w:rPr>
        <w:t xml:space="preserve">V trials and recent unreported results from BRF113220 with 44.5 months of follow up (as opposed to 33.5 months in the latest reported analysis). The results of the updated BRF113220 data with 44.5 months follow up were not formally reported as individual trial results. </w:t>
      </w:r>
      <w:r w:rsidRPr="00FE7564">
        <w:t>Consequently, hazard ratios, confidence intervals, and Kaplan</w:t>
      </w:r>
      <w:r w:rsidR="002878A5" w:rsidRPr="00FE7564">
        <w:t>-</w:t>
      </w:r>
      <w:r w:rsidRPr="00FE7564">
        <w:t>Meier curves were not available for the BRF</w:t>
      </w:r>
      <w:r w:rsidR="00C20177" w:rsidRPr="00FE7564">
        <w:t>113220</w:t>
      </w:r>
      <w:r w:rsidRPr="00FE7564">
        <w:t xml:space="preserve"> data that contributed to the pooled data analysis.</w:t>
      </w:r>
    </w:p>
    <w:p w:rsidR="00FD2BA9" w:rsidRPr="00FE7564" w:rsidRDefault="00FD2BA9" w:rsidP="00FD2BA9">
      <w:pPr>
        <w:widowControl/>
        <w:rPr>
          <w:szCs w:val="22"/>
        </w:rPr>
      </w:pPr>
    </w:p>
    <w:p w:rsidR="002278E7" w:rsidRPr="00FE7564" w:rsidRDefault="00FD2BA9" w:rsidP="00FD2BA9">
      <w:pPr>
        <w:pStyle w:val="ListParagraph"/>
        <w:widowControl/>
        <w:numPr>
          <w:ilvl w:val="1"/>
          <w:numId w:val="8"/>
        </w:numPr>
        <w:rPr>
          <w:szCs w:val="22"/>
        </w:rPr>
      </w:pPr>
      <w:r w:rsidRPr="00FE7564">
        <w:rPr>
          <w:szCs w:val="22"/>
        </w:rPr>
        <w:t>Outcomes assessment for PFS and progression was</w:t>
      </w:r>
      <w:r w:rsidR="002278E7" w:rsidRPr="00FE7564">
        <w:rPr>
          <w:szCs w:val="22"/>
        </w:rPr>
        <w:t xml:space="preserve"> investigator-assessed in BRF113220</w:t>
      </w:r>
      <w:r w:rsidR="00B16F92" w:rsidRPr="00FE7564">
        <w:rPr>
          <w:szCs w:val="22"/>
        </w:rPr>
        <w:t>,</w:t>
      </w:r>
      <w:r w:rsidR="002278E7" w:rsidRPr="00FE7564">
        <w:rPr>
          <w:szCs w:val="22"/>
        </w:rPr>
        <w:t xml:space="preserve"> although</w:t>
      </w:r>
      <w:r w:rsidRPr="00FE7564">
        <w:rPr>
          <w:szCs w:val="22"/>
        </w:rPr>
        <w:t xml:space="preserve"> blinded independent central review (BICR) </w:t>
      </w:r>
      <w:r w:rsidR="002278E7" w:rsidRPr="00FE7564">
        <w:rPr>
          <w:szCs w:val="22"/>
        </w:rPr>
        <w:t>was used as a sensitivity analysis</w:t>
      </w:r>
      <w:r w:rsidRPr="00FE7564">
        <w:rPr>
          <w:szCs w:val="22"/>
        </w:rPr>
        <w:t>. In COMBI-D</w:t>
      </w:r>
      <w:r w:rsidR="00B16F92" w:rsidRPr="00FE7564">
        <w:rPr>
          <w:szCs w:val="22"/>
        </w:rPr>
        <w:t>,</w:t>
      </w:r>
      <w:r w:rsidRPr="00FE7564">
        <w:rPr>
          <w:szCs w:val="22"/>
        </w:rPr>
        <w:t xml:space="preserve"> the primary analysis of PFS was </w:t>
      </w:r>
      <w:r w:rsidR="00F044A2" w:rsidRPr="00FE7564">
        <w:rPr>
          <w:szCs w:val="22"/>
        </w:rPr>
        <w:t>investigator-</w:t>
      </w:r>
      <w:r w:rsidRPr="00FE7564">
        <w:rPr>
          <w:szCs w:val="22"/>
        </w:rPr>
        <w:t xml:space="preserve">assessed </w:t>
      </w:r>
      <w:r w:rsidR="00F044A2" w:rsidRPr="00FE7564">
        <w:rPr>
          <w:szCs w:val="22"/>
        </w:rPr>
        <w:t>(the trial is double-blind</w:t>
      </w:r>
      <w:r w:rsidRPr="00FE7564">
        <w:rPr>
          <w:szCs w:val="22"/>
        </w:rPr>
        <w:t>). Outcome assessments for PFS were not blinded in COMBI-V</w:t>
      </w:r>
      <w:r w:rsidR="00F044A2" w:rsidRPr="00FE7564">
        <w:rPr>
          <w:szCs w:val="22"/>
        </w:rPr>
        <w:t>, which was open-label</w:t>
      </w:r>
      <w:r w:rsidRPr="00FE7564">
        <w:rPr>
          <w:szCs w:val="22"/>
        </w:rPr>
        <w:t>.</w:t>
      </w:r>
    </w:p>
    <w:p w:rsidR="00FD2BA9" w:rsidRPr="00FE7564" w:rsidRDefault="00FD2BA9" w:rsidP="00FD2BA9">
      <w:pPr>
        <w:widowControl/>
        <w:rPr>
          <w:szCs w:val="22"/>
        </w:rPr>
      </w:pPr>
    </w:p>
    <w:p w:rsidR="00FD2BA9" w:rsidRPr="00FE7564" w:rsidRDefault="00FD2BA9" w:rsidP="0031771D">
      <w:pPr>
        <w:pStyle w:val="Heading2"/>
      </w:pPr>
      <w:bookmarkStart w:id="8" w:name="_Toc451265343"/>
      <w:r w:rsidRPr="00FE7564">
        <w:t>Comparative effectiveness</w:t>
      </w:r>
      <w:bookmarkEnd w:id="8"/>
    </w:p>
    <w:p w:rsidR="00FD2BA9" w:rsidRPr="00FE7564" w:rsidRDefault="00FD2BA9" w:rsidP="00FD2BA9">
      <w:pPr>
        <w:widowControl/>
        <w:rPr>
          <w:szCs w:val="22"/>
        </w:rPr>
      </w:pPr>
    </w:p>
    <w:p w:rsidR="00FD2BA9" w:rsidRPr="00FE7564" w:rsidRDefault="00FD2BA9" w:rsidP="00D774CF">
      <w:pPr>
        <w:pStyle w:val="ListParagraph"/>
        <w:widowControl/>
        <w:numPr>
          <w:ilvl w:val="1"/>
          <w:numId w:val="8"/>
        </w:numPr>
        <w:rPr>
          <w:szCs w:val="22"/>
        </w:rPr>
      </w:pPr>
      <w:r w:rsidRPr="00FE7564">
        <w:rPr>
          <w:szCs w:val="22"/>
        </w:rPr>
        <w:t>Key survival results from the pooled analysis as well as</w:t>
      </w:r>
      <w:r w:rsidR="00D774CF" w:rsidRPr="00FE7564">
        <w:rPr>
          <w:szCs w:val="22"/>
        </w:rPr>
        <w:t xml:space="preserve"> updated individual trial results from COMBI-D </w:t>
      </w:r>
      <w:r w:rsidRPr="00FE7564">
        <w:rPr>
          <w:szCs w:val="22"/>
        </w:rPr>
        <w:t>are presented in the table below</w:t>
      </w:r>
      <w:r w:rsidR="00D774CF" w:rsidRPr="00FE7564">
        <w:rPr>
          <w:szCs w:val="22"/>
        </w:rPr>
        <w:t>. Also included are results from the November 2014 submission to allow comparison of results across time and trials. The Kaplan</w:t>
      </w:r>
      <w:r w:rsidR="002878A5" w:rsidRPr="00FE7564">
        <w:rPr>
          <w:szCs w:val="22"/>
        </w:rPr>
        <w:t>-</w:t>
      </w:r>
      <w:r w:rsidR="00D774CF" w:rsidRPr="00FE7564">
        <w:rPr>
          <w:szCs w:val="22"/>
        </w:rPr>
        <w:t>Meier curves from the pooled analysis for OS and PFS follow the table.</w:t>
      </w:r>
      <w:r w:rsidRPr="00FE7564">
        <w:rPr>
          <w:szCs w:val="22"/>
        </w:rPr>
        <w:t xml:space="preserve"> The submission requested that </w:t>
      </w:r>
      <w:r w:rsidR="00305D9F" w:rsidRPr="00FE7564">
        <w:rPr>
          <w:szCs w:val="22"/>
        </w:rPr>
        <w:t xml:space="preserve">the </w:t>
      </w:r>
      <w:r w:rsidRPr="00FE7564">
        <w:rPr>
          <w:szCs w:val="22"/>
        </w:rPr>
        <w:t>results of the pooled analysis be maint</w:t>
      </w:r>
      <w:r w:rsidR="00305D9F" w:rsidRPr="00FE7564">
        <w:rPr>
          <w:szCs w:val="22"/>
        </w:rPr>
        <w:t>ained commercial in confidence.</w:t>
      </w:r>
    </w:p>
    <w:p w:rsidR="00FD2BA9" w:rsidRPr="00FE7564" w:rsidRDefault="00FD2BA9" w:rsidP="00FD2BA9">
      <w:pPr>
        <w:widowControl/>
        <w:rPr>
          <w:szCs w:val="22"/>
        </w:rPr>
      </w:pPr>
    </w:p>
    <w:p w:rsidR="00314368" w:rsidRPr="00FE7564" w:rsidRDefault="00314368">
      <w:pPr>
        <w:widowControl/>
        <w:jc w:val="left"/>
        <w:rPr>
          <w:rStyle w:val="CommentReference"/>
        </w:rPr>
      </w:pPr>
    </w:p>
    <w:p w:rsidR="00401986" w:rsidRDefault="00401986">
      <w:pPr>
        <w:widowControl/>
        <w:jc w:val="left"/>
        <w:rPr>
          <w:rStyle w:val="CommentReference"/>
          <w:szCs w:val="20"/>
        </w:rPr>
      </w:pPr>
      <w:r>
        <w:rPr>
          <w:rStyle w:val="CommentReference"/>
          <w:szCs w:val="20"/>
        </w:rPr>
        <w:br w:type="page"/>
      </w:r>
    </w:p>
    <w:p w:rsidR="00FD2BA9" w:rsidRPr="00FE7564" w:rsidRDefault="00FD2BA9" w:rsidP="00655B08">
      <w:pPr>
        <w:ind w:left="709" w:firstLine="11"/>
        <w:rPr>
          <w:rStyle w:val="CommentReference"/>
          <w:szCs w:val="20"/>
        </w:rPr>
      </w:pPr>
      <w:r w:rsidRPr="00FE7564">
        <w:rPr>
          <w:rStyle w:val="CommentReference"/>
          <w:szCs w:val="20"/>
        </w:rPr>
        <w:lastRenderedPageBreak/>
        <w:t xml:space="preserve">Table 4: </w:t>
      </w:r>
      <w:r w:rsidR="00113F67">
        <w:rPr>
          <w:rStyle w:val="CommentReference"/>
          <w:szCs w:val="20"/>
        </w:rPr>
        <w:t xml:space="preserve">Patient survival from the </w:t>
      </w:r>
      <w:bookmarkStart w:id="9" w:name="_GoBack"/>
      <w:bookmarkEnd w:id="9"/>
      <w:r w:rsidR="00655B08" w:rsidRPr="00FE7564">
        <w:rPr>
          <w:rStyle w:val="CommentReference"/>
          <w:szCs w:val="20"/>
        </w:rPr>
        <w:t>OS and PFS results based on the IPD pooled analyses for BRF113220, COMBI-D and COMBI</w:t>
      </w:r>
      <w:r w:rsidR="00305D9F" w:rsidRPr="00FE7564">
        <w:rPr>
          <w:rStyle w:val="CommentReference"/>
          <w:szCs w:val="20"/>
        </w:rPr>
        <w:t>-V and individual trial results</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1"/>
        <w:gridCol w:w="1528"/>
        <w:gridCol w:w="1442"/>
        <w:gridCol w:w="1258"/>
        <w:gridCol w:w="1585"/>
      </w:tblGrid>
      <w:tr w:rsidR="00FD2BA9" w:rsidRPr="00FE7564" w:rsidTr="00C26563">
        <w:trPr>
          <w:tblHeader/>
        </w:trPr>
        <w:tc>
          <w:tcPr>
            <w:tcW w:w="1512" w:type="pct"/>
            <w:shd w:val="clear" w:color="auto" w:fill="auto"/>
            <w:vAlign w:val="center"/>
          </w:tcPr>
          <w:p w:rsidR="00FD2BA9" w:rsidRPr="00FE7564" w:rsidRDefault="00FD2BA9" w:rsidP="00655B08">
            <w:pPr>
              <w:ind w:left="-108"/>
              <w:jc w:val="left"/>
              <w:rPr>
                <w:rFonts w:ascii="Arial Narrow" w:hAnsi="Arial Narrow"/>
                <w:b/>
                <w:sz w:val="20"/>
                <w:szCs w:val="20"/>
                <w:lang w:val="en-US"/>
              </w:rPr>
            </w:pPr>
          </w:p>
        </w:tc>
        <w:tc>
          <w:tcPr>
            <w:tcW w:w="917" w:type="pct"/>
            <w:shd w:val="clear" w:color="auto" w:fill="auto"/>
            <w:vAlign w:val="center"/>
          </w:tcPr>
          <w:p w:rsidR="00FD2BA9" w:rsidRPr="00FE7564" w:rsidRDefault="00FD2BA9" w:rsidP="00655B08">
            <w:pPr>
              <w:jc w:val="center"/>
              <w:rPr>
                <w:rFonts w:ascii="Arial Narrow" w:hAnsi="Arial Narrow"/>
                <w:b/>
                <w:sz w:val="20"/>
                <w:szCs w:val="20"/>
                <w:lang w:val="en-US"/>
              </w:rPr>
            </w:pPr>
            <w:r w:rsidRPr="00FE7564">
              <w:rPr>
                <w:rFonts w:ascii="Arial Narrow" w:hAnsi="Arial Narrow"/>
                <w:b/>
                <w:sz w:val="20"/>
                <w:szCs w:val="20"/>
                <w:lang w:val="en-US"/>
              </w:rPr>
              <w:t>Combination 150/2 therapy n/N (%)</w:t>
            </w:r>
          </w:p>
        </w:tc>
        <w:tc>
          <w:tcPr>
            <w:tcW w:w="865" w:type="pct"/>
            <w:shd w:val="clear" w:color="auto" w:fill="auto"/>
            <w:vAlign w:val="center"/>
          </w:tcPr>
          <w:p w:rsidR="00FD2BA9" w:rsidRPr="00FE7564" w:rsidRDefault="00FD2BA9" w:rsidP="00655B08">
            <w:pPr>
              <w:jc w:val="center"/>
              <w:rPr>
                <w:rFonts w:ascii="Arial Narrow" w:hAnsi="Arial Narrow"/>
                <w:b/>
                <w:sz w:val="20"/>
                <w:szCs w:val="20"/>
                <w:lang w:val="en-US"/>
              </w:rPr>
            </w:pPr>
            <w:r w:rsidRPr="00FE7564">
              <w:rPr>
                <w:rFonts w:ascii="Arial Narrow" w:hAnsi="Arial Narrow"/>
                <w:b/>
                <w:sz w:val="20"/>
                <w:szCs w:val="20"/>
                <w:lang w:val="en-US"/>
              </w:rPr>
              <w:t>Monotherapy</w:t>
            </w:r>
          </w:p>
          <w:p w:rsidR="00FD2BA9" w:rsidRPr="00FE7564" w:rsidRDefault="00FD2BA9" w:rsidP="00655B08">
            <w:pPr>
              <w:jc w:val="center"/>
              <w:rPr>
                <w:rFonts w:ascii="Arial Narrow" w:hAnsi="Arial Narrow"/>
                <w:b/>
                <w:sz w:val="20"/>
                <w:szCs w:val="20"/>
                <w:lang w:val="en-US"/>
              </w:rPr>
            </w:pPr>
            <w:proofErr w:type="gramStart"/>
            <w:r w:rsidRPr="00FE7564">
              <w:rPr>
                <w:rFonts w:ascii="Arial Narrow" w:hAnsi="Arial Narrow"/>
                <w:b/>
                <w:sz w:val="20"/>
                <w:szCs w:val="20"/>
                <w:lang w:val="en-US"/>
              </w:rPr>
              <w:t>n/N</w:t>
            </w:r>
            <w:proofErr w:type="gramEnd"/>
            <w:r w:rsidRPr="00FE7564">
              <w:rPr>
                <w:rFonts w:ascii="Arial Narrow" w:hAnsi="Arial Narrow"/>
                <w:b/>
                <w:sz w:val="20"/>
                <w:szCs w:val="20"/>
                <w:lang w:val="en-US"/>
              </w:rPr>
              <w:t xml:space="preserve"> (%)</w:t>
            </w:r>
          </w:p>
        </w:tc>
        <w:tc>
          <w:tcPr>
            <w:tcW w:w="755" w:type="pct"/>
            <w:shd w:val="clear" w:color="auto" w:fill="auto"/>
            <w:vAlign w:val="center"/>
          </w:tcPr>
          <w:p w:rsidR="00FD2BA9" w:rsidRPr="00FE7564" w:rsidRDefault="00FD2BA9" w:rsidP="00655B08">
            <w:pPr>
              <w:jc w:val="center"/>
              <w:rPr>
                <w:rFonts w:ascii="Arial Narrow" w:hAnsi="Arial Narrow"/>
                <w:b/>
                <w:sz w:val="20"/>
                <w:szCs w:val="20"/>
                <w:lang w:val="en-US"/>
              </w:rPr>
            </w:pPr>
            <w:r w:rsidRPr="00FE7564">
              <w:rPr>
                <w:rFonts w:ascii="Arial Narrow" w:hAnsi="Arial Narrow"/>
                <w:b/>
                <w:sz w:val="20"/>
                <w:szCs w:val="20"/>
                <w:lang w:val="en-US"/>
              </w:rPr>
              <w:t xml:space="preserve">Absolute difference </w:t>
            </w:r>
          </w:p>
          <w:p w:rsidR="00FD2BA9" w:rsidRPr="00FE7564" w:rsidRDefault="00FD2BA9" w:rsidP="00655B08">
            <w:pPr>
              <w:jc w:val="center"/>
              <w:rPr>
                <w:rFonts w:ascii="Arial Narrow" w:hAnsi="Arial Narrow"/>
                <w:b/>
                <w:sz w:val="20"/>
                <w:szCs w:val="20"/>
                <w:lang w:val="en-US"/>
              </w:rPr>
            </w:pPr>
            <w:r w:rsidRPr="00FE7564">
              <w:rPr>
                <w:rFonts w:ascii="Arial Narrow" w:hAnsi="Arial Narrow"/>
                <w:b/>
                <w:sz w:val="20"/>
                <w:szCs w:val="20"/>
                <w:lang w:val="en-US"/>
              </w:rPr>
              <w:t>RD (95% CI)</w:t>
            </w:r>
          </w:p>
        </w:tc>
        <w:tc>
          <w:tcPr>
            <w:tcW w:w="951" w:type="pct"/>
            <w:shd w:val="clear" w:color="auto" w:fill="auto"/>
            <w:vAlign w:val="center"/>
          </w:tcPr>
          <w:p w:rsidR="00FD2BA9" w:rsidRPr="00FE7564" w:rsidRDefault="00FD2BA9" w:rsidP="00655B08">
            <w:pPr>
              <w:jc w:val="center"/>
              <w:rPr>
                <w:rFonts w:ascii="Arial Narrow" w:hAnsi="Arial Narrow"/>
                <w:b/>
                <w:sz w:val="20"/>
                <w:szCs w:val="20"/>
                <w:lang w:val="en-US"/>
              </w:rPr>
            </w:pPr>
            <w:r w:rsidRPr="00FE7564">
              <w:rPr>
                <w:rFonts w:ascii="Arial Narrow" w:hAnsi="Arial Narrow"/>
                <w:b/>
                <w:sz w:val="20"/>
                <w:szCs w:val="20"/>
                <w:lang w:val="en-US"/>
              </w:rPr>
              <w:t xml:space="preserve">Relative difference </w:t>
            </w:r>
          </w:p>
          <w:p w:rsidR="00FD2BA9" w:rsidRPr="00FE7564" w:rsidRDefault="00FD2BA9" w:rsidP="00655B08">
            <w:pPr>
              <w:jc w:val="center"/>
              <w:rPr>
                <w:rFonts w:ascii="Arial Narrow" w:hAnsi="Arial Narrow"/>
                <w:b/>
                <w:sz w:val="20"/>
                <w:szCs w:val="20"/>
                <w:lang w:val="en-US"/>
              </w:rPr>
            </w:pPr>
            <w:r w:rsidRPr="00FE7564">
              <w:rPr>
                <w:rFonts w:ascii="Arial Narrow" w:hAnsi="Arial Narrow"/>
                <w:b/>
                <w:sz w:val="20"/>
                <w:szCs w:val="20"/>
                <w:lang w:val="en-US"/>
              </w:rPr>
              <w:t>HR (95% CI)</w:t>
            </w:r>
          </w:p>
        </w:tc>
      </w:tr>
      <w:tr w:rsidR="00FD2BA9" w:rsidRPr="00FE7564" w:rsidTr="00C26563">
        <w:tc>
          <w:tcPr>
            <w:tcW w:w="5000" w:type="pct"/>
            <w:gridSpan w:val="5"/>
            <w:shd w:val="clear" w:color="auto" w:fill="auto"/>
            <w:vAlign w:val="center"/>
          </w:tcPr>
          <w:p w:rsidR="00FD2BA9" w:rsidRPr="00FE7564" w:rsidRDefault="00FD2BA9" w:rsidP="00655B08">
            <w:pPr>
              <w:jc w:val="left"/>
              <w:rPr>
                <w:rFonts w:ascii="Arial Narrow" w:hAnsi="Arial Narrow"/>
                <w:b/>
                <w:sz w:val="20"/>
                <w:szCs w:val="20"/>
                <w:lang w:val="en-US"/>
              </w:rPr>
            </w:pPr>
            <w:r w:rsidRPr="00FE7564">
              <w:rPr>
                <w:rFonts w:ascii="Arial Narrow" w:hAnsi="Arial Narrow"/>
                <w:b/>
                <w:sz w:val="20"/>
                <w:szCs w:val="20"/>
                <w:lang w:val="en-US"/>
              </w:rPr>
              <w:t>Current submission</w:t>
            </w:r>
          </w:p>
        </w:tc>
      </w:tr>
      <w:tr w:rsidR="00FD2BA9" w:rsidRPr="00FE7564" w:rsidTr="00C26563">
        <w:tc>
          <w:tcPr>
            <w:tcW w:w="5000" w:type="pct"/>
            <w:gridSpan w:val="5"/>
            <w:shd w:val="clear" w:color="auto" w:fill="auto"/>
            <w:vAlign w:val="center"/>
          </w:tcPr>
          <w:p w:rsidR="00FD2BA9" w:rsidRPr="00FE7564" w:rsidRDefault="00FD2BA9" w:rsidP="00444F6B">
            <w:pPr>
              <w:jc w:val="left"/>
              <w:rPr>
                <w:rFonts w:ascii="Arial Narrow" w:hAnsi="Arial Narrow"/>
                <w:b/>
                <w:sz w:val="20"/>
                <w:szCs w:val="20"/>
                <w:lang w:val="en-US"/>
              </w:rPr>
            </w:pPr>
            <w:r w:rsidRPr="00FE7564">
              <w:rPr>
                <w:rFonts w:ascii="Arial Narrow" w:hAnsi="Arial Narrow"/>
                <w:b/>
                <w:sz w:val="20"/>
                <w:szCs w:val="20"/>
                <w:lang w:val="en-US"/>
              </w:rPr>
              <w:t>Progression</w:t>
            </w:r>
            <w:r w:rsidR="00444F6B" w:rsidRPr="00FE7564">
              <w:rPr>
                <w:rFonts w:ascii="Arial Narrow" w:hAnsi="Arial Narrow"/>
                <w:b/>
                <w:sz w:val="20"/>
                <w:szCs w:val="20"/>
                <w:lang w:val="en-US"/>
              </w:rPr>
              <w:t>-</w:t>
            </w:r>
            <w:r w:rsidRPr="00FE7564">
              <w:rPr>
                <w:rFonts w:ascii="Arial Narrow" w:hAnsi="Arial Narrow"/>
                <w:b/>
                <w:sz w:val="20"/>
                <w:szCs w:val="20"/>
                <w:lang w:val="en-US"/>
              </w:rPr>
              <w:t xml:space="preserve">free survival </w:t>
            </w:r>
            <w:r w:rsidR="00305D9F" w:rsidRPr="00FE7564">
              <w:rPr>
                <w:rFonts w:ascii="Arial Narrow" w:hAnsi="Arial Narrow"/>
                <w:b/>
                <w:sz w:val="20"/>
                <w:szCs w:val="20"/>
                <w:lang w:val="en-US"/>
              </w:rPr>
              <w:t>–</w:t>
            </w:r>
            <w:r w:rsidRPr="00FE7564">
              <w:rPr>
                <w:rFonts w:ascii="Arial Narrow" w:hAnsi="Arial Narrow"/>
                <w:b/>
                <w:sz w:val="20"/>
                <w:szCs w:val="20"/>
                <w:lang w:val="en-US"/>
              </w:rPr>
              <w:t xml:space="preserve"> </w:t>
            </w:r>
            <w:r w:rsidR="00D774CF" w:rsidRPr="00FE7564">
              <w:rPr>
                <w:rFonts w:ascii="Arial Narrow" w:hAnsi="Arial Narrow"/>
                <w:b/>
                <w:sz w:val="20"/>
                <w:szCs w:val="20"/>
                <w:lang w:val="en-US"/>
              </w:rPr>
              <w:t>IPD</w:t>
            </w:r>
            <w:r w:rsidR="00305D9F" w:rsidRPr="00FE7564">
              <w:rPr>
                <w:rFonts w:ascii="Arial Narrow" w:hAnsi="Arial Narrow"/>
                <w:b/>
                <w:sz w:val="20"/>
                <w:szCs w:val="20"/>
                <w:lang w:val="en-US"/>
              </w:rPr>
              <w:t xml:space="preserve"> </w:t>
            </w:r>
            <w:r w:rsidRPr="00FE7564">
              <w:rPr>
                <w:rFonts w:ascii="Arial Narrow" w:hAnsi="Arial Narrow"/>
                <w:b/>
                <w:sz w:val="20"/>
                <w:szCs w:val="20"/>
                <w:lang w:val="en-US"/>
              </w:rPr>
              <w:t>pooled analysis</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 xml:space="preserve">Pooled </w:t>
            </w:r>
          </w:p>
        </w:tc>
        <w:tc>
          <w:tcPr>
            <w:tcW w:w="1781" w:type="pct"/>
            <w:gridSpan w:val="2"/>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NR</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w:t>
            </w:r>
          </w:p>
        </w:tc>
        <w:tc>
          <w:tcPr>
            <w:tcW w:w="951" w:type="pct"/>
            <w:shd w:val="clear" w:color="auto" w:fill="auto"/>
            <w:vAlign w:val="center"/>
          </w:tcPr>
          <w:p w:rsidR="00FD2BA9" w:rsidRPr="00FE7564" w:rsidRDefault="00D30355" w:rsidP="00655B08">
            <w:pPr>
              <w:jc w:val="center"/>
              <w:rPr>
                <w:rFonts w:ascii="Arial Narrow" w:hAnsi="Arial Narrow"/>
                <w:sz w:val="20"/>
                <w:szCs w:val="20"/>
              </w:rPr>
            </w:pPr>
            <w:r>
              <w:rPr>
                <w:rFonts w:ascii="Arial Narrow" w:hAnsi="Arial Narrow"/>
                <w:noProof/>
                <w:color w:val="000000"/>
                <w:sz w:val="20"/>
                <w:szCs w:val="20"/>
                <w:highlight w:val="black"/>
              </w:rPr>
              <w:t>'''''''''''</w:t>
            </w:r>
            <w:r w:rsidR="00FD2BA9" w:rsidRPr="00FE7564">
              <w:rPr>
                <w:rFonts w:ascii="Arial Narrow" w:hAnsi="Arial Narrow"/>
                <w:sz w:val="20"/>
                <w:szCs w:val="20"/>
              </w:rPr>
              <w:t xml:space="preserve"> (</w:t>
            </w:r>
            <w:r>
              <w:rPr>
                <w:rFonts w:ascii="Arial Narrow" w:hAnsi="Arial Narrow"/>
                <w:noProof/>
                <w:color w:val="000000"/>
                <w:sz w:val="20"/>
                <w:szCs w:val="20"/>
                <w:highlight w:val="black"/>
              </w:rPr>
              <w:t>'''''''''''</w:t>
            </w:r>
            <w:r w:rsidR="00FD2BA9" w:rsidRPr="00FE7564">
              <w:rPr>
                <w:rFonts w:ascii="Arial Narrow" w:hAnsi="Arial Narrow"/>
                <w:sz w:val="20"/>
                <w:szCs w:val="20"/>
              </w:rPr>
              <w:t xml:space="preserve">, </w:t>
            </w:r>
            <w:r>
              <w:rPr>
                <w:rFonts w:ascii="Arial Narrow" w:hAnsi="Arial Narrow"/>
                <w:noProof/>
                <w:color w:val="000000"/>
                <w:sz w:val="20"/>
                <w:szCs w:val="20"/>
                <w:highlight w:val="black"/>
              </w:rPr>
              <w:t>'''''''''''</w:t>
            </w:r>
            <w:r w:rsidR="00FD2BA9" w:rsidRPr="00FE7564">
              <w:rPr>
                <w:rFonts w:ascii="Arial Narrow" w:hAnsi="Arial Narrow"/>
                <w:sz w:val="20"/>
                <w:szCs w:val="20"/>
              </w:rPr>
              <w:t>)</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Median months PFS (95% CI)</w:t>
            </w:r>
          </w:p>
        </w:tc>
        <w:tc>
          <w:tcPr>
            <w:tcW w:w="917" w:type="pct"/>
            <w:shd w:val="clear" w:color="auto" w:fill="auto"/>
            <w:vAlign w:val="center"/>
          </w:tcPr>
          <w:p w:rsidR="00FD2BA9" w:rsidRPr="00FE7564" w:rsidRDefault="00D30355" w:rsidP="00655B08">
            <w:pPr>
              <w:jc w:val="center"/>
              <w:rPr>
                <w:rFonts w:ascii="Arial Narrow" w:hAnsi="Arial Narrow"/>
                <w:sz w:val="20"/>
                <w:szCs w:val="20"/>
              </w:rPr>
            </w:pPr>
            <w:r>
              <w:rPr>
                <w:rFonts w:ascii="Arial Narrow" w:hAnsi="Arial Narrow"/>
                <w:noProof/>
                <w:color w:val="000000"/>
                <w:sz w:val="20"/>
                <w:szCs w:val="20"/>
                <w:highlight w:val="black"/>
              </w:rPr>
              <w:t>'''''''''''''</w:t>
            </w:r>
            <w:r w:rsidR="00FD2BA9" w:rsidRPr="00FE7564">
              <w:rPr>
                <w:rFonts w:ascii="Arial Narrow" w:hAnsi="Arial Narrow"/>
                <w:sz w:val="20"/>
                <w:szCs w:val="20"/>
              </w:rPr>
              <w:t xml:space="preserve"> (NR, NR)</w:t>
            </w:r>
          </w:p>
        </w:tc>
        <w:tc>
          <w:tcPr>
            <w:tcW w:w="865" w:type="pct"/>
            <w:shd w:val="clear" w:color="auto" w:fill="auto"/>
            <w:vAlign w:val="center"/>
          </w:tcPr>
          <w:p w:rsidR="00FD2BA9" w:rsidRPr="00FE7564" w:rsidRDefault="00D30355" w:rsidP="00655B08">
            <w:pPr>
              <w:jc w:val="center"/>
              <w:rPr>
                <w:rFonts w:ascii="Arial Narrow" w:hAnsi="Arial Narrow"/>
                <w:sz w:val="20"/>
                <w:szCs w:val="20"/>
              </w:rPr>
            </w:pPr>
            <w:r>
              <w:rPr>
                <w:rFonts w:ascii="Arial Narrow" w:hAnsi="Arial Narrow"/>
                <w:noProof/>
                <w:color w:val="000000"/>
                <w:sz w:val="20"/>
                <w:szCs w:val="20"/>
                <w:highlight w:val="black"/>
              </w:rPr>
              <w:t>'''''''''</w:t>
            </w:r>
            <w:r w:rsidR="00FD2BA9" w:rsidRPr="00FE7564">
              <w:rPr>
                <w:rFonts w:ascii="Arial Narrow" w:hAnsi="Arial Narrow"/>
                <w:sz w:val="20"/>
                <w:szCs w:val="20"/>
              </w:rPr>
              <w:t xml:space="preserve"> (NR, NR)</w:t>
            </w:r>
          </w:p>
        </w:tc>
        <w:tc>
          <w:tcPr>
            <w:tcW w:w="755" w:type="pct"/>
            <w:shd w:val="clear" w:color="auto" w:fill="auto"/>
            <w:vAlign w:val="center"/>
          </w:tcPr>
          <w:p w:rsidR="00FD2BA9" w:rsidRPr="00D30355" w:rsidRDefault="00D30355" w:rsidP="00655B08">
            <w:pPr>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p>
        </w:tc>
      </w:tr>
      <w:tr w:rsidR="00FD2BA9" w:rsidRPr="00FE7564" w:rsidTr="00C26563">
        <w:tc>
          <w:tcPr>
            <w:tcW w:w="5000" w:type="pct"/>
            <w:gridSpan w:val="5"/>
            <w:shd w:val="clear" w:color="auto" w:fill="auto"/>
            <w:vAlign w:val="center"/>
          </w:tcPr>
          <w:p w:rsidR="00FD2BA9" w:rsidRPr="00FE7564" w:rsidRDefault="00FD2BA9" w:rsidP="00655B08">
            <w:pPr>
              <w:jc w:val="left"/>
              <w:rPr>
                <w:rFonts w:ascii="Arial Narrow" w:hAnsi="Arial Narrow"/>
                <w:b/>
                <w:sz w:val="20"/>
                <w:szCs w:val="20"/>
                <w:lang w:val="en-US"/>
              </w:rPr>
            </w:pPr>
            <w:r w:rsidRPr="00FE7564">
              <w:rPr>
                <w:rFonts w:ascii="Arial Narrow" w:hAnsi="Arial Narrow"/>
                <w:b/>
                <w:sz w:val="20"/>
                <w:szCs w:val="20"/>
                <w:lang w:val="en-US"/>
              </w:rPr>
              <w:t xml:space="preserve">Overall survival – </w:t>
            </w:r>
            <w:r w:rsidR="00D774CF" w:rsidRPr="00FE7564">
              <w:rPr>
                <w:rFonts w:ascii="Arial Narrow" w:hAnsi="Arial Narrow"/>
                <w:b/>
                <w:sz w:val="20"/>
                <w:szCs w:val="20"/>
                <w:lang w:val="en-US"/>
              </w:rPr>
              <w:t xml:space="preserve">IPD </w:t>
            </w:r>
            <w:r w:rsidRPr="00FE7564">
              <w:rPr>
                <w:rFonts w:ascii="Arial Narrow" w:hAnsi="Arial Narrow"/>
                <w:b/>
                <w:sz w:val="20"/>
                <w:szCs w:val="20"/>
                <w:lang w:val="en-US"/>
              </w:rPr>
              <w:t>pooled analysis</w:t>
            </w:r>
          </w:p>
        </w:tc>
      </w:tr>
      <w:tr w:rsidR="00FD2BA9" w:rsidRPr="00FE7564" w:rsidTr="00C26563">
        <w:tc>
          <w:tcPr>
            <w:tcW w:w="1512" w:type="pct"/>
            <w:shd w:val="clear" w:color="auto" w:fill="auto"/>
            <w:vAlign w:val="center"/>
          </w:tcPr>
          <w:p w:rsidR="00FD2BA9" w:rsidRPr="00FE7564" w:rsidRDefault="00305D9F" w:rsidP="00655B08">
            <w:pPr>
              <w:jc w:val="left"/>
              <w:rPr>
                <w:rFonts w:ascii="Arial Narrow" w:hAnsi="Arial Narrow"/>
                <w:sz w:val="20"/>
                <w:szCs w:val="20"/>
                <w:lang w:val="en-US"/>
              </w:rPr>
            </w:pPr>
            <w:r w:rsidRPr="00FE7564">
              <w:rPr>
                <w:rFonts w:ascii="Arial Narrow" w:hAnsi="Arial Narrow"/>
                <w:sz w:val="20"/>
                <w:szCs w:val="20"/>
                <w:lang w:val="en-US"/>
              </w:rPr>
              <w:t>P</w:t>
            </w:r>
            <w:r w:rsidR="00FD2BA9" w:rsidRPr="00FE7564">
              <w:rPr>
                <w:rFonts w:ascii="Arial Narrow" w:hAnsi="Arial Narrow"/>
                <w:sz w:val="20"/>
                <w:szCs w:val="20"/>
                <w:lang w:val="en-US"/>
              </w:rPr>
              <w:t>ooled</w:t>
            </w:r>
          </w:p>
        </w:tc>
        <w:tc>
          <w:tcPr>
            <w:tcW w:w="1781" w:type="pct"/>
            <w:gridSpan w:val="2"/>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NR</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w:t>
            </w:r>
          </w:p>
        </w:tc>
        <w:tc>
          <w:tcPr>
            <w:tcW w:w="951" w:type="pct"/>
            <w:shd w:val="clear" w:color="auto" w:fill="auto"/>
            <w:vAlign w:val="center"/>
          </w:tcPr>
          <w:p w:rsidR="00FD2BA9" w:rsidRPr="00FE7564" w:rsidRDefault="00D30355" w:rsidP="00655B08">
            <w:pPr>
              <w:jc w:val="center"/>
              <w:rPr>
                <w:rFonts w:ascii="Arial Narrow" w:hAnsi="Arial Narrow"/>
                <w:sz w:val="20"/>
                <w:szCs w:val="20"/>
              </w:rPr>
            </w:pPr>
            <w:r>
              <w:rPr>
                <w:rFonts w:ascii="Arial Narrow" w:hAnsi="Arial Narrow"/>
                <w:noProof/>
                <w:color w:val="000000"/>
                <w:sz w:val="20"/>
                <w:szCs w:val="20"/>
                <w:highlight w:val="black"/>
              </w:rPr>
              <w:t>''''''''''</w:t>
            </w:r>
            <w:r w:rsidR="00FD2BA9" w:rsidRPr="00FE7564">
              <w:rPr>
                <w:rFonts w:ascii="Arial Narrow" w:hAnsi="Arial Narrow"/>
                <w:sz w:val="20"/>
                <w:szCs w:val="20"/>
              </w:rPr>
              <w:t xml:space="preserve"> (</w:t>
            </w:r>
            <w:r>
              <w:rPr>
                <w:rFonts w:ascii="Arial Narrow" w:hAnsi="Arial Narrow"/>
                <w:noProof/>
                <w:color w:val="000000"/>
                <w:sz w:val="20"/>
                <w:szCs w:val="20"/>
                <w:highlight w:val="black"/>
              </w:rPr>
              <w:t>'''''''''''</w:t>
            </w:r>
            <w:r w:rsidR="00FD2BA9" w:rsidRPr="00FE7564">
              <w:rPr>
                <w:rFonts w:ascii="Arial Narrow" w:hAnsi="Arial Narrow"/>
                <w:sz w:val="20"/>
                <w:szCs w:val="20"/>
              </w:rPr>
              <w:t xml:space="preserve">, </w:t>
            </w:r>
            <w:r>
              <w:rPr>
                <w:rFonts w:ascii="Arial Narrow" w:hAnsi="Arial Narrow"/>
                <w:noProof/>
                <w:color w:val="000000"/>
                <w:sz w:val="20"/>
                <w:szCs w:val="20"/>
                <w:highlight w:val="black"/>
              </w:rPr>
              <w:t>'''''''''''</w:t>
            </w:r>
            <w:r w:rsidR="00FD2BA9" w:rsidRPr="00FE7564">
              <w:rPr>
                <w:rFonts w:ascii="Arial Narrow" w:hAnsi="Arial Narrow"/>
                <w:sz w:val="20"/>
                <w:szCs w:val="20"/>
              </w:rPr>
              <w:t>)</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Median months OS (95% CI)</w:t>
            </w:r>
          </w:p>
        </w:tc>
        <w:tc>
          <w:tcPr>
            <w:tcW w:w="917" w:type="pct"/>
            <w:shd w:val="clear" w:color="auto" w:fill="auto"/>
            <w:vAlign w:val="center"/>
          </w:tcPr>
          <w:p w:rsidR="00FD2BA9" w:rsidRPr="00FE7564" w:rsidRDefault="00D30355" w:rsidP="00655B08">
            <w:pPr>
              <w:jc w:val="center"/>
              <w:rPr>
                <w:rFonts w:ascii="Arial Narrow" w:hAnsi="Arial Narrow"/>
                <w:sz w:val="20"/>
                <w:szCs w:val="20"/>
              </w:rPr>
            </w:pPr>
            <w:r>
              <w:rPr>
                <w:rFonts w:ascii="Arial Narrow" w:hAnsi="Arial Narrow"/>
                <w:noProof/>
                <w:color w:val="000000"/>
                <w:sz w:val="20"/>
                <w:szCs w:val="20"/>
                <w:highlight w:val="black"/>
              </w:rPr>
              <w:t>'''''''''''''''</w:t>
            </w:r>
            <w:r w:rsidR="00FD2BA9" w:rsidRPr="00FE7564">
              <w:rPr>
                <w:rFonts w:ascii="Arial Narrow" w:hAnsi="Arial Narrow"/>
                <w:sz w:val="20"/>
                <w:szCs w:val="20"/>
              </w:rPr>
              <w:t xml:space="preserve"> (NR, NR)</w:t>
            </w:r>
          </w:p>
        </w:tc>
        <w:tc>
          <w:tcPr>
            <w:tcW w:w="865" w:type="pct"/>
            <w:shd w:val="clear" w:color="auto" w:fill="auto"/>
            <w:vAlign w:val="center"/>
          </w:tcPr>
          <w:p w:rsidR="00FD2BA9" w:rsidRPr="00FE7564" w:rsidRDefault="00D30355" w:rsidP="00655B08">
            <w:pPr>
              <w:jc w:val="center"/>
              <w:rPr>
                <w:rFonts w:ascii="Arial Narrow" w:hAnsi="Arial Narrow"/>
                <w:sz w:val="20"/>
                <w:szCs w:val="20"/>
              </w:rPr>
            </w:pPr>
            <w:r>
              <w:rPr>
                <w:rFonts w:ascii="Arial Narrow" w:hAnsi="Arial Narrow"/>
                <w:noProof/>
                <w:color w:val="000000"/>
                <w:sz w:val="20"/>
                <w:szCs w:val="20"/>
                <w:highlight w:val="black"/>
              </w:rPr>
              <w:t>''''''''''</w:t>
            </w:r>
            <w:r w:rsidR="00FD2BA9" w:rsidRPr="00FE7564">
              <w:rPr>
                <w:rFonts w:ascii="Arial Narrow" w:hAnsi="Arial Narrow"/>
                <w:sz w:val="20"/>
                <w:szCs w:val="20"/>
              </w:rPr>
              <w:t xml:space="preserve"> (NR, NR)</w:t>
            </w:r>
          </w:p>
        </w:tc>
        <w:tc>
          <w:tcPr>
            <w:tcW w:w="755" w:type="pct"/>
            <w:shd w:val="clear" w:color="auto" w:fill="auto"/>
            <w:vAlign w:val="center"/>
          </w:tcPr>
          <w:p w:rsidR="00FD2BA9" w:rsidRPr="00D30355" w:rsidRDefault="00D30355" w:rsidP="00655B08">
            <w:pPr>
              <w:jc w:val="center"/>
              <w:rPr>
                <w:rFonts w:ascii="Arial Narrow" w:hAnsi="Arial Narrow"/>
                <w:sz w:val="20"/>
                <w:szCs w:val="20"/>
                <w:highlight w:val="black"/>
                <w:lang w:val="en-US"/>
              </w:rPr>
            </w:pPr>
            <w:r>
              <w:rPr>
                <w:rFonts w:ascii="Arial Narrow" w:hAnsi="Arial Narrow"/>
                <w:noProof/>
                <w:color w:val="000000"/>
                <w:sz w:val="20"/>
                <w:szCs w:val="20"/>
                <w:highlight w:val="black"/>
              </w:rPr>
              <w:t>'''''''''''</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p>
        </w:tc>
      </w:tr>
      <w:tr w:rsidR="00FD2BA9" w:rsidRPr="00FE7564" w:rsidTr="00C26563">
        <w:tc>
          <w:tcPr>
            <w:tcW w:w="5000" w:type="pct"/>
            <w:gridSpan w:val="5"/>
            <w:shd w:val="clear" w:color="auto" w:fill="auto"/>
            <w:vAlign w:val="center"/>
          </w:tcPr>
          <w:p w:rsidR="00FD2BA9" w:rsidRPr="00FE7564" w:rsidRDefault="00FD2BA9" w:rsidP="00444F6B">
            <w:pPr>
              <w:jc w:val="left"/>
              <w:rPr>
                <w:rFonts w:ascii="Arial Narrow" w:hAnsi="Arial Narrow"/>
                <w:sz w:val="20"/>
                <w:szCs w:val="20"/>
                <w:lang w:val="en-US"/>
              </w:rPr>
            </w:pPr>
            <w:r w:rsidRPr="00FE7564">
              <w:rPr>
                <w:rFonts w:ascii="Arial Narrow" w:hAnsi="Arial Narrow"/>
                <w:b/>
                <w:sz w:val="20"/>
                <w:szCs w:val="20"/>
                <w:lang w:val="en-US"/>
              </w:rPr>
              <w:t>Progression</w:t>
            </w:r>
            <w:r w:rsidR="00444F6B" w:rsidRPr="00FE7564">
              <w:rPr>
                <w:rFonts w:ascii="Arial Narrow" w:hAnsi="Arial Narrow"/>
                <w:b/>
                <w:sz w:val="20"/>
                <w:szCs w:val="20"/>
                <w:lang w:val="en-US"/>
              </w:rPr>
              <w:t>-</w:t>
            </w:r>
            <w:r w:rsidRPr="00FE7564">
              <w:rPr>
                <w:rFonts w:ascii="Arial Narrow" w:hAnsi="Arial Narrow"/>
                <w:b/>
                <w:sz w:val="20"/>
                <w:szCs w:val="20"/>
                <w:lang w:val="en-US"/>
              </w:rPr>
              <w:t>free survival – COMBI-D</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January 2015 cut-</w:t>
            </w:r>
            <w:proofErr w:type="spellStart"/>
            <w:r w:rsidRPr="00FE7564">
              <w:rPr>
                <w:rFonts w:ascii="Arial Narrow" w:hAnsi="Arial Narrow"/>
                <w:sz w:val="20"/>
                <w:szCs w:val="20"/>
                <w:lang w:val="en-US"/>
              </w:rPr>
              <w:t>off</w:t>
            </w:r>
            <w:r w:rsidRPr="00FE7564">
              <w:rPr>
                <w:rFonts w:ascii="Arial Narrow" w:hAnsi="Arial Narrow"/>
                <w:b/>
                <w:sz w:val="20"/>
                <w:szCs w:val="20"/>
                <w:vertAlign w:val="superscript"/>
                <w:lang w:val="en-US"/>
              </w:rPr>
              <w:t>a</w:t>
            </w:r>
            <w:proofErr w:type="spellEnd"/>
          </w:p>
        </w:tc>
        <w:tc>
          <w:tcPr>
            <w:tcW w:w="917" w:type="pct"/>
            <w:shd w:val="clear" w:color="auto" w:fill="auto"/>
            <w:vAlign w:val="center"/>
          </w:tcPr>
          <w:p w:rsidR="00FD2BA9" w:rsidRPr="00FE7564" w:rsidRDefault="00FD2BA9" w:rsidP="00655B08">
            <w:pPr>
              <w:jc w:val="center"/>
              <w:rPr>
                <w:rFonts w:ascii="Arial Narrow" w:hAnsi="Arial Narrow"/>
                <w:sz w:val="20"/>
                <w:szCs w:val="20"/>
              </w:rPr>
            </w:pPr>
            <w:r w:rsidRPr="00331CB6">
              <w:rPr>
                <w:rFonts w:ascii="Arial Narrow" w:hAnsi="Arial Narrow"/>
                <w:sz w:val="20"/>
                <w:szCs w:val="20"/>
              </w:rPr>
              <w:t>72/211</w:t>
            </w:r>
            <w:r w:rsidRPr="00FE7564">
              <w:rPr>
                <w:rFonts w:ascii="Arial Narrow" w:hAnsi="Arial Narrow"/>
                <w:sz w:val="20"/>
                <w:szCs w:val="20"/>
              </w:rPr>
              <w:t xml:space="preserve"> (</w:t>
            </w:r>
            <w:r w:rsidRPr="00331CB6">
              <w:rPr>
                <w:rFonts w:ascii="Arial Narrow" w:hAnsi="Arial Narrow"/>
                <w:sz w:val="20"/>
                <w:szCs w:val="20"/>
              </w:rPr>
              <w:t>34</w:t>
            </w:r>
            <w:r w:rsidRPr="00FE7564">
              <w:rPr>
                <w:rFonts w:ascii="Arial Narrow" w:hAnsi="Arial Narrow"/>
                <w:sz w:val="20"/>
                <w:szCs w:val="20"/>
              </w:rPr>
              <w:t>%)</w:t>
            </w:r>
          </w:p>
        </w:tc>
        <w:tc>
          <w:tcPr>
            <w:tcW w:w="865" w:type="pct"/>
            <w:shd w:val="clear" w:color="auto" w:fill="auto"/>
            <w:vAlign w:val="center"/>
          </w:tcPr>
          <w:p w:rsidR="00FD2BA9" w:rsidRPr="00FE7564" w:rsidRDefault="00FD2BA9" w:rsidP="00655B08">
            <w:pPr>
              <w:jc w:val="center"/>
              <w:rPr>
                <w:rFonts w:ascii="Arial Narrow" w:hAnsi="Arial Narrow"/>
                <w:sz w:val="20"/>
                <w:szCs w:val="20"/>
              </w:rPr>
            </w:pPr>
            <w:r w:rsidRPr="00331CB6">
              <w:rPr>
                <w:rFonts w:ascii="Arial Narrow" w:hAnsi="Arial Narrow"/>
                <w:sz w:val="20"/>
                <w:szCs w:val="20"/>
              </w:rPr>
              <w:t xml:space="preserve">50/212 </w:t>
            </w:r>
            <w:r w:rsidRPr="00FE7564">
              <w:rPr>
                <w:rFonts w:ascii="Arial Narrow" w:hAnsi="Arial Narrow"/>
                <w:sz w:val="20"/>
                <w:szCs w:val="20"/>
              </w:rPr>
              <w:t>(</w:t>
            </w:r>
            <w:r w:rsidRPr="00331CB6">
              <w:rPr>
                <w:rFonts w:ascii="Arial Narrow" w:hAnsi="Arial Narrow"/>
                <w:sz w:val="20"/>
                <w:szCs w:val="20"/>
              </w:rPr>
              <w:t>24</w:t>
            </w:r>
            <w:r w:rsidRPr="00FE7564">
              <w:rPr>
                <w:rFonts w:ascii="Arial Narrow" w:hAnsi="Arial Narrow"/>
                <w:sz w:val="20"/>
                <w:szCs w:val="20"/>
              </w:rPr>
              <w:t>%)</w:t>
            </w:r>
          </w:p>
        </w:tc>
        <w:tc>
          <w:tcPr>
            <w:tcW w:w="755" w:type="pct"/>
            <w:shd w:val="clear" w:color="auto" w:fill="auto"/>
            <w:vAlign w:val="center"/>
          </w:tcPr>
          <w:p w:rsidR="00FD2BA9" w:rsidRPr="00FE7564" w:rsidRDefault="00FD2BA9" w:rsidP="00655B08">
            <w:pPr>
              <w:jc w:val="center"/>
              <w:rPr>
                <w:rFonts w:ascii="Arial Narrow" w:hAnsi="Arial Narrow"/>
                <w:sz w:val="20"/>
                <w:szCs w:val="20"/>
              </w:rPr>
            </w:pPr>
            <w:r w:rsidRPr="00331CB6">
              <w:rPr>
                <w:rFonts w:ascii="Arial Narrow" w:hAnsi="Arial Narrow"/>
                <w:sz w:val="20"/>
                <w:szCs w:val="20"/>
              </w:rPr>
              <w:t>10</w:t>
            </w:r>
            <w:r w:rsidRPr="00FE7564">
              <w:rPr>
                <w:rFonts w:ascii="Arial Narrow" w:hAnsi="Arial Narrow"/>
                <w:sz w:val="20"/>
                <w:szCs w:val="20"/>
              </w:rPr>
              <w:t>%</w:t>
            </w:r>
          </w:p>
        </w:tc>
        <w:tc>
          <w:tcPr>
            <w:tcW w:w="951"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0.67 (0.53, 0.84)</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Median months PFS (95% CI)</w:t>
            </w:r>
          </w:p>
        </w:tc>
        <w:tc>
          <w:tcPr>
            <w:tcW w:w="917"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11.0 (</w:t>
            </w:r>
            <w:r w:rsidRPr="00331CB6">
              <w:rPr>
                <w:rFonts w:ascii="Arial Narrow" w:hAnsi="Arial Narrow"/>
                <w:sz w:val="20"/>
                <w:szCs w:val="20"/>
              </w:rPr>
              <w:t>8.0</w:t>
            </w:r>
            <w:r w:rsidRPr="00FE7564">
              <w:rPr>
                <w:rFonts w:ascii="Arial Narrow" w:hAnsi="Arial Narrow"/>
                <w:sz w:val="20"/>
                <w:szCs w:val="20"/>
              </w:rPr>
              <w:t xml:space="preserve">, </w:t>
            </w:r>
            <w:r w:rsidRPr="00331CB6">
              <w:rPr>
                <w:rFonts w:ascii="Arial Narrow" w:hAnsi="Arial Narrow"/>
                <w:sz w:val="20"/>
                <w:szCs w:val="20"/>
              </w:rPr>
              <w:t>13.9</w:t>
            </w:r>
            <w:r w:rsidRPr="00FE7564">
              <w:rPr>
                <w:rFonts w:ascii="Arial Narrow" w:hAnsi="Arial Narrow"/>
                <w:sz w:val="20"/>
                <w:szCs w:val="20"/>
              </w:rPr>
              <w:t>)</w:t>
            </w:r>
          </w:p>
        </w:tc>
        <w:tc>
          <w:tcPr>
            <w:tcW w:w="865"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8.8 (</w:t>
            </w:r>
            <w:r w:rsidRPr="00331CB6">
              <w:rPr>
                <w:rFonts w:ascii="Arial Narrow" w:hAnsi="Arial Narrow"/>
                <w:sz w:val="20"/>
                <w:szCs w:val="20"/>
              </w:rPr>
              <w:t>5.9, 9.3</w:t>
            </w:r>
            <w:r w:rsidRPr="00FE7564">
              <w:rPr>
                <w:rFonts w:ascii="Arial Narrow" w:hAnsi="Arial Narrow"/>
                <w:sz w:val="20"/>
                <w:szCs w:val="20"/>
              </w:rPr>
              <w:t>)</w:t>
            </w:r>
          </w:p>
        </w:tc>
        <w:tc>
          <w:tcPr>
            <w:tcW w:w="755"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2.2</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p>
        </w:tc>
      </w:tr>
      <w:tr w:rsidR="00FD2BA9" w:rsidRPr="00FE7564" w:rsidTr="00C26563">
        <w:tc>
          <w:tcPr>
            <w:tcW w:w="5000" w:type="pct"/>
            <w:gridSpan w:val="5"/>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b/>
                <w:sz w:val="20"/>
                <w:szCs w:val="20"/>
                <w:lang w:val="en-US"/>
              </w:rPr>
              <w:t>Overall survival – COMBI-D</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January 2015 cut-</w:t>
            </w:r>
            <w:proofErr w:type="spellStart"/>
            <w:r w:rsidRPr="00FE7564">
              <w:rPr>
                <w:rFonts w:ascii="Arial Narrow" w:hAnsi="Arial Narrow"/>
                <w:sz w:val="20"/>
                <w:szCs w:val="20"/>
                <w:lang w:val="en-US"/>
              </w:rPr>
              <w:t>off</w:t>
            </w:r>
            <w:r w:rsidRPr="00FE7564">
              <w:rPr>
                <w:rFonts w:ascii="Arial Narrow" w:hAnsi="Arial Narrow"/>
                <w:b/>
                <w:sz w:val="20"/>
                <w:szCs w:val="20"/>
                <w:vertAlign w:val="superscript"/>
                <w:lang w:val="en-US"/>
              </w:rPr>
              <w:t>a</w:t>
            </w:r>
            <w:proofErr w:type="spellEnd"/>
          </w:p>
        </w:tc>
        <w:tc>
          <w:tcPr>
            <w:tcW w:w="917"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112/212 (53%)</w:t>
            </w:r>
          </w:p>
        </w:tc>
        <w:tc>
          <w:tcPr>
            <w:tcW w:w="865"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89/212 (42%)</w:t>
            </w:r>
          </w:p>
        </w:tc>
        <w:tc>
          <w:tcPr>
            <w:tcW w:w="755"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11%</w:t>
            </w:r>
          </w:p>
        </w:tc>
        <w:tc>
          <w:tcPr>
            <w:tcW w:w="951" w:type="pct"/>
            <w:shd w:val="clear" w:color="auto" w:fill="auto"/>
            <w:vAlign w:val="center"/>
          </w:tcPr>
          <w:p w:rsidR="00FD2BA9" w:rsidRPr="00FE7564" w:rsidRDefault="00FD2BA9" w:rsidP="00305D9F">
            <w:pPr>
              <w:jc w:val="center"/>
              <w:rPr>
                <w:rFonts w:ascii="Arial Narrow" w:hAnsi="Arial Narrow"/>
                <w:sz w:val="20"/>
                <w:szCs w:val="20"/>
                <w:lang w:val="en-US"/>
              </w:rPr>
            </w:pPr>
            <w:r w:rsidRPr="00FE7564">
              <w:rPr>
                <w:rFonts w:ascii="Arial Narrow" w:hAnsi="Arial Narrow"/>
                <w:sz w:val="20"/>
                <w:szCs w:val="20"/>
              </w:rPr>
              <w:t>0.71 (0.55, 0.92)</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Median months OS (95% CI)</w:t>
            </w:r>
          </w:p>
        </w:tc>
        <w:tc>
          <w:tcPr>
            <w:tcW w:w="917" w:type="pct"/>
            <w:shd w:val="clear" w:color="auto" w:fill="auto"/>
            <w:vAlign w:val="center"/>
          </w:tcPr>
          <w:p w:rsidR="00FD2BA9" w:rsidRPr="00FE7564" w:rsidRDefault="00FD2BA9" w:rsidP="00655B08">
            <w:pPr>
              <w:jc w:val="center"/>
              <w:rPr>
                <w:rFonts w:ascii="Arial Narrow" w:hAnsi="Arial Narrow"/>
                <w:sz w:val="20"/>
                <w:szCs w:val="20"/>
              </w:rPr>
            </w:pPr>
            <w:r w:rsidRPr="00331CB6">
              <w:rPr>
                <w:rFonts w:ascii="Arial Narrow" w:hAnsi="Arial Narrow"/>
                <w:sz w:val="20"/>
                <w:szCs w:val="20"/>
              </w:rPr>
              <w:t>25.1 (19.2, NR)</w:t>
            </w:r>
          </w:p>
        </w:tc>
        <w:tc>
          <w:tcPr>
            <w:tcW w:w="865"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18.7 (</w:t>
            </w:r>
            <w:r w:rsidRPr="00331CB6">
              <w:rPr>
                <w:rFonts w:ascii="Arial Narrow" w:hAnsi="Arial Narrow"/>
                <w:sz w:val="20"/>
                <w:szCs w:val="20"/>
              </w:rPr>
              <w:t>15.2, 23.7</w:t>
            </w:r>
            <w:r w:rsidRPr="00FE7564">
              <w:rPr>
                <w:rFonts w:ascii="Arial Narrow" w:hAnsi="Arial Narrow"/>
                <w:sz w:val="20"/>
                <w:szCs w:val="20"/>
              </w:rPr>
              <w:t>)</w:t>
            </w:r>
          </w:p>
        </w:tc>
        <w:tc>
          <w:tcPr>
            <w:tcW w:w="755"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rPr>
              <w:t>6.4</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p>
        </w:tc>
      </w:tr>
      <w:tr w:rsidR="00FD2BA9" w:rsidRPr="00FE7564" w:rsidTr="00C26563">
        <w:tc>
          <w:tcPr>
            <w:tcW w:w="5000" w:type="pct"/>
            <w:gridSpan w:val="5"/>
            <w:tcBorders>
              <w:bottom w:val="double" w:sz="4" w:space="0" w:color="auto"/>
            </w:tcBorders>
            <w:shd w:val="clear" w:color="auto" w:fill="auto"/>
            <w:vAlign w:val="center"/>
          </w:tcPr>
          <w:p w:rsidR="00FD2BA9" w:rsidRPr="00FE7564" w:rsidRDefault="00FD2BA9" w:rsidP="00655B08">
            <w:pPr>
              <w:jc w:val="left"/>
              <w:rPr>
                <w:rFonts w:ascii="Arial Narrow" w:hAnsi="Arial Narrow"/>
                <w:b/>
                <w:sz w:val="20"/>
                <w:szCs w:val="20"/>
                <w:lang w:val="en-US"/>
              </w:rPr>
            </w:pPr>
            <w:r w:rsidRPr="00FE7564">
              <w:rPr>
                <w:rFonts w:ascii="Arial Narrow" w:hAnsi="Arial Narrow"/>
                <w:b/>
                <w:sz w:val="20"/>
                <w:szCs w:val="20"/>
                <w:lang w:val="en-US"/>
              </w:rPr>
              <w:t>November 2014 submission</w:t>
            </w:r>
          </w:p>
        </w:tc>
      </w:tr>
      <w:tr w:rsidR="00FD2BA9" w:rsidRPr="00FE7564" w:rsidTr="00C26563">
        <w:tc>
          <w:tcPr>
            <w:tcW w:w="5000" w:type="pct"/>
            <w:gridSpan w:val="5"/>
            <w:tcBorders>
              <w:top w:val="double" w:sz="4" w:space="0" w:color="auto"/>
            </w:tcBorders>
            <w:shd w:val="clear" w:color="auto" w:fill="auto"/>
            <w:vAlign w:val="center"/>
          </w:tcPr>
          <w:p w:rsidR="00FD2BA9" w:rsidRPr="00FE7564" w:rsidRDefault="00FD2BA9" w:rsidP="00444F6B">
            <w:pPr>
              <w:jc w:val="left"/>
              <w:rPr>
                <w:rFonts w:ascii="Arial Narrow" w:hAnsi="Arial Narrow"/>
                <w:b/>
                <w:sz w:val="20"/>
                <w:szCs w:val="20"/>
                <w:lang w:val="en-US"/>
              </w:rPr>
            </w:pPr>
            <w:r w:rsidRPr="00FE7564">
              <w:rPr>
                <w:rFonts w:ascii="Arial Narrow" w:hAnsi="Arial Narrow"/>
                <w:b/>
                <w:sz w:val="20"/>
                <w:szCs w:val="20"/>
                <w:lang w:val="en-US"/>
              </w:rPr>
              <w:t>Progression</w:t>
            </w:r>
            <w:r w:rsidR="00444F6B" w:rsidRPr="00FE7564">
              <w:rPr>
                <w:rFonts w:ascii="Arial Narrow" w:hAnsi="Arial Narrow"/>
                <w:b/>
                <w:sz w:val="20"/>
                <w:szCs w:val="20"/>
                <w:lang w:val="en-US"/>
              </w:rPr>
              <w:t>-</w:t>
            </w:r>
            <w:r w:rsidRPr="00FE7564">
              <w:rPr>
                <w:rFonts w:ascii="Arial Narrow" w:hAnsi="Arial Narrow"/>
                <w:b/>
                <w:sz w:val="20"/>
                <w:szCs w:val="20"/>
                <w:lang w:val="en-US"/>
              </w:rPr>
              <w:t>free survival – COMBI-D</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26 Aug 2013 cut-</w:t>
            </w:r>
            <w:proofErr w:type="spellStart"/>
            <w:r w:rsidRPr="00FE7564">
              <w:rPr>
                <w:rFonts w:ascii="Arial Narrow" w:hAnsi="Arial Narrow"/>
                <w:sz w:val="20"/>
                <w:szCs w:val="20"/>
                <w:lang w:val="en-US"/>
              </w:rPr>
              <w:t>off</w:t>
            </w:r>
            <w:r w:rsidRPr="00FE7564">
              <w:rPr>
                <w:rFonts w:ascii="Arial Narrow" w:hAnsi="Arial Narrow"/>
                <w:sz w:val="20"/>
                <w:szCs w:val="20"/>
                <w:vertAlign w:val="superscript"/>
                <w:lang w:val="en-US"/>
              </w:rPr>
              <w:t>b</w:t>
            </w:r>
            <w:proofErr w:type="spellEnd"/>
          </w:p>
        </w:tc>
        <w:tc>
          <w:tcPr>
            <w:tcW w:w="917" w:type="pct"/>
            <w:shd w:val="clear" w:color="auto" w:fill="auto"/>
            <w:vAlign w:val="center"/>
          </w:tcPr>
          <w:p w:rsidR="00FD2BA9" w:rsidRPr="00FE7564" w:rsidRDefault="00FD2BA9" w:rsidP="00655B08">
            <w:pPr>
              <w:jc w:val="center"/>
              <w:rPr>
                <w:rFonts w:ascii="Arial Narrow" w:hAnsi="Arial Narrow"/>
                <w:sz w:val="20"/>
                <w:szCs w:val="20"/>
                <w:lang w:val="en-US"/>
              </w:rPr>
            </w:pPr>
            <w:r w:rsidRPr="00331CB6">
              <w:rPr>
                <w:rFonts w:ascii="Arial Narrow" w:hAnsi="Arial Narrow"/>
                <w:sz w:val="20"/>
                <w:szCs w:val="20"/>
                <w:lang w:val="en-US"/>
              </w:rPr>
              <w:t>109/211 (52%)</w:t>
            </w:r>
          </w:p>
        </w:tc>
        <w:tc>
          <w:tcPr>
            <w:tcW w:w="865" w:type="pct"/>
            <w:shd w:val="clear" w:color="auto" w:fill="auto"/>
            <w:vAlign w:val="center"/>
          </w:tcPr>
          <w:p w:rsidR="00FD2BA9" w:rsidRPr="00FE7564" w:rsidRDefault="00FD2BA9" w:rsidP="00655B08">
            <w:pPr>
              <w:jc w:val="center"/>
              <w:rPr>
                <w:rFonts w:ascii="Arial Narrow" w:hAnsi="Arial Narrow"/>
                <w:sz w:val="20"/>
                <w:szCs w:val="20"/>
                <w:lang w:val="en-US"/>
              </w:rPr>
            </w:pPr>
            <w:r w:rsidRPr="00331CB6">
              <w:rPr>
                <w:rFonts w:ascii="Arial Narrow" w:hAnsi="Arial Narrow"/>
                <w:sz w:val="20"/>
                <w:szCs w:val="20"/>
                <w:lang w:val="en-US"/>
              </w:rPr>
              <w:t>103/212 (49%)</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331CB6">
              <w:rPr>
                <w:rFonts w:ascii="Arial Narrow" w:hAnsi="Arial Narrow"/>
                <w:sz w:val="20"/>
                <w:szCs w:val="20"/>
                <w:lang w:val="en-US"/>
              </w:rPr>
              <w:t>3</w:t>
            </w:r>
            <w:r w:rsidRPr="00FE7564">
              <w:rPr>
                <w:rFonts w:ascii="Arial Narrow" w:hAnsi="Arial Narrow"/>
                <w:sz w:val="20"/>
                <w:szCs w:val="20"/>
                <w:lang w:val="en-US"/>
              </w:rPr>
              <w:t>%</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r w:rsidRPr="00331CB6">
              <w:rPr>
                <w:rFonts w:ascii="Arial Narrow" w:hAnsi="Arial Narrow"/>
                <w:sz w:val="20"/>
                <w:szCs w:val="20"/>
              </w:rPr>
              <w:t>0.75 (0.57, 0.99)</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Median months PFS (95% CI)</w:t>
            </w:r>
          </w:p>
        </w:tc>
        <w:tc>
          <w:tcPr>
            <w:tcW w:w="917"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9.3 (7.7, 11.1)</w:t>
            </w:r>
          </w:p>
        </w:tc>
        <w:tc>
          <w:tcPr>
            <w:tcW w:w="865"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8.8 (5.9, 10.9)</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0.5</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w:t>
            </w:r>
          </w:p>
        </w:tc>
      </w:tr>
      <w:tr w:rsidR="00FD2BA9" w:rsidRPr="00FE7564" w:rsidTr="00C26563">
        <w:tc>
          <w:tcPr>
            <w:tcW w:w="5000" w:type="pct"/>
            <w:gridSpan w:val="5"/>
            <w:shd w:val="clear" w:color="auto" w:fill="auto"/>
            <w:vAlign w:val="center"/>
          </w:tcPr>
          <w:p w:rsidR="00FD2BA9" w:rsidRPr="00FE7564" w:rsidRDefault="00FD2BA9" w:rsidP="00655B08">
            <w:pPr>
              <w:jc w:val="left"/>
              <w:rPr>
                <w:rFonts w:ascii="Arial Narrow" w:hAnsi="Arial Narrow"/>
                <w:b/>
                <w:sz w:val="20"/>
                <w:szCs w:val="20"/>
                <w:lang w:val="en-US"/>
              </w:rPr>
            </w:pPr>
            <w:r w:rsidRPr="00FE7564">
              <w:rPr>
                <w:rFonts w:ascii="Arial Narrow" w:hAnsi="Arial Narrow"/>
                <w:b/>
                <w:sz w:val="20"/>
                <w:szCs w:val="20"/>
                <w:lang w:val="en-US"/>
              </w:rPr>
              <w:t>Overall survival – COMBI-D</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26 Aug 2013 cut-</w:t>
            </w:r>
            <w:proofErr w:type="spellStart"/>
            <w:r w:rsidRPr="00FE7564">
              <w:rPr>
                <w:rFonts w:ascii="Arial Narrow" w:hAnsi="Arial Narrow"/>
                <w:sz w:val="20"/>
                <w:szCs w:val="20"/>
                <w:lang w:val="en-US"/>
              </w:rPr>
              <w:t>off</w:t>
            </w:r>
            <w:r w:rsidRPr="00FE7564">
              <w:rPr>
                <w:rFonts w:ascii="Arial Narrow" w:hAnsi="Arial Narrow"/>
                <w:sz w:val="20"/>
                <w:szCs w:val="20"/>
                <w:vertAlign w:val="superscript"/>
                <w:lang w:val="en-US"/>
              </w:rPr>
              <w:t>b</w:t>
            </w:r>
            <w:proofErr w:type="spellEnd"/>
          </w:p>
        </w:tc>
        <w:tc>
          <w:tcPr>
            <w:tcW w:w="917"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171/211 (81%)</w:t>
            </w:r>
          </w:p>
        </w:tc>
        <w:tc>
          <w:tcPr>
            <w:tcW w:w="865"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157/212 (74%)</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7%</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0.63 (0.42, 0.94)</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Median months OS (95% CI)</w:t>
            </w:r>
          </w:p>
        </w:tc>
        <w:tc>
          <w:tcPr>
            <w:tcW w:w="917"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 (14.1, -)</w:t>
            </w:r>
          </w:p>
        </w:tc>
        <w:tc>
          <w:tcPr>
            <w:tcW w:w="865"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w:t>
            </w:r>
          </w:p>
        </w:tc>
      </w:tr>
      <w:tr w:rsidR="00FD2BA9" w:rsidRPr="00FE7564" w:rsidTr="00C26563">
        <w:tc>
          <w:tcPr>
            <w:tcW w:w="5000" w:type="pct"/>
            <w:gridSpan w:val="5"/>
            <w:shd w:val="clear" w:color="auto" w:fill="auto"/>
            <w:vAlign w:val="center"/>
          </w:tcPr>
          <w:p w:rsidR="00FD2BA9" w:rsidRPr="00FE7564" w:rsidRDefault="00FD2BA9" w:rsidP="00444F6B">
            <w:pPr>
              <w:jc w:val="left"/>
              <w:rPr>
                <w:rFonts w:ascii="Arial Narrow" w:hAnsi="Arial Narrow"/>
                <w:sz w:val="20"/>
                <w:szCs w:val="20"/>
                <w:lang w:val="en-US"/>
              </w:rPr>
            </w:pPr>
            <w:r w:rsidRPr="00FE7564">
              <w:rPr>
                <w:rFonts w:ascii="Arial Narrow" w:hAnsi="Arial Narrow"/>
                <w:b/>
                <w:sz w:val="20"/>
                <w:szCs w:val="20"/>
                <w:lang w:val="en-US"/>
              </w:rPr>
              <w:t>Progression</w:t>
            </w:r>
            <w:r w:rsidR="00444F6B" w:rsidRPr="00FE7564">
              <w:rPr>
                <w:rFonts w:ascii="Arial Narrow" w:hAnsi="Arial Narrow"/>
                <w:b/>
                <w:sz w:val="20"/>
                <w:szCs w:val="20"/>
                <w:lang w:val="en-US"/>
              </w:rPr>
              <w:t>-</w:t>
            </w:r>
            <w:r w:rsidRPr="00FE7564">
              <w:rPr>
                <w:rFonts w:ascii="Arial Narrow" w:hAnsi="Arial Narrow"/>
                <w:b/>
                <w:sz w:val="20"/>
                <w:szCs w:val="20"/>
                <w:lang w:val="en-US"/>
              </w:rPr>
              <w:t xml:space="preserve">free survival – </w:t>
            </w:r>
            <w:r w:rsidRPr="00FE7564">
              <w:rPr>
                <w:rFonts w:ascii="Arial Narrow" w:hAnsi="Arial Narrow"/>
                <w:b/>
                <w:sz w:val="20"/>
                <w:szCs w:val="20"/>
              </w:rPr>
              <w:t xml:space="preserve">BRF113220 </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31 May 2012 cut-off</w:t>
            </w:r>
            <w:r w:rsidRPr="00FE7564">
              <w:rPr>
                <w:rFonts w:ascii="Arial Narrow" w:hAnsi="Arial Narrow"/>
                <w:b/>
                <w:sz w:val="20"/>
                <w:szCs w:val="20"/>
                <w:vertAlign w:val="superscript"/>
              </w:rPr>
              <w:t xml:space="preserve"> </w:t>
            </w:r>
            <w:r w:rsidRPr="00FE7564">
              <w:rPr>
                <w:rFonts w:ascii="Arial Narrow" w:hAnsi="Arial Narrow"/>
                <w:sz w:val="20"/>
                <w:szCs w:val="20"/>
                <w:vertAlign w:val="superscript"/>
              </w:rPr>
              <w:t>c</w:t>
            </w:r>
          </w:p>
        </w:tc>
        <w:tc>
          <w:tcPr>
            <w:tcW w:w="917"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23/54 (43%)</w:t>
            </w:r>
          </w:p>
        </w:tc>
        <w:tc>
          <w:tcPr>
            <w:tcW w:w="86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7/54 (13%)</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30%</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rPr>
              <w:t>0.39 (0.25, 0.62)</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Median months PFS (95% CI)</w:t>
            </w:r>
          </w:p>
        </w:tc>
        <w:tc>
          <w:tcPr>
            <w:tcW w:w="917"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9.4 (8.6, 16.7)</w:t>
            </w:r>
          </w:p>
        </w:tc>
        <w:tc>
          <w:tcPr>
            <w:tcW w:w="86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5.8 (4.6, 7.4)</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3.6</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w:t>
            </w:r>
          </w:p>
        </w:tc>
      </w:tr>
      <w:tr w:rsidR="00FD2BA9" w:rsidRPr="00FE7564" w:rsidTr="00C26563">
        <w:tc>
          <w:tcPr>
            <w:tcW w:w="5000" w:type="pct"/>
            <w:gridSpan w:val="5"/>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b/>
                <w:sz w:val="20"/>
                <w:szCs w:val="20"/>
              </w:rPr>
              <w:t>Overall survival</w:t>
            </w:r>
            <w:r w:rsidR="00444F6B" w:rsidRPr="00FE7564">
              <w:rPr>
                <w:rFonts w:ascii="Arial Narrow" w:hAnsi="Arial Narrow"/>
                <w:b/>
                <w:sz w:val="20"/>
                <w:szCs w:val="20"/>
              </w:rPr>
              <w:t xml:space="preserve"> </w:t>
            </w:r>
            <w:r w:rsidRPr="00FE7564">
              <w:rPr>
                <w:rFonts w:ascii="Arial Narrow" w:hAnsi="Arial Narrow"/>
                <w:b/>
                <w:sz w:val="20"/>
                <w:szCs w:val="20"/>
              </w:rPr>
              <w:t>– BRF113220</w:t>
            </w:r>
          </w:p>
        </w:tc>
      </w:tr>
      <w:tr w:rsidR="00FD2BA9" w:rsidRPr="00FE7564" w:rsidTr="00C26563">
        <w:tc>
          <w:tcPr>
            <w:tcW w:w="1512" w:type="pct"/>
            <w:shd w:val="clear" w:color="auto" w:fill="auto"/>
            <w:vAlign w:val="center"/>
          </w:tcPr>
          <w:p w:rsidR="00FD2BA9" w:rsidRPr="00FE7564" w:rsidRDefault="00FD2BA9" w:rsidP="00655B08">
            <w:pPr>
              <w:jc w:val="left"/>
              <w:rPr>
                <w:rFonts w:ascii="Arial Narrow" w:hAnsi="Arial Narrow"/>
                <w:sz w:val="20"/>
                <w:szCs w:val="20"/>
                <w:lang w:val="en-US"/>
              </w:rPr>
            </w:pPr>
            <w:r w:rsidRPr="00FE7564">
              <w:rPr>
                <w:rFonts w:ascii="Arial Narrow" w:hAnsi="Arial Narrow"/>
                <w:sz w:val="20"/>
                <w:szCs w:val="20"/>
                <w:lang w:val="en-US"/>
              </w:rPr>
              <w:t xml:space="preserve">31 May 2012 cut-off </w:t>
            </w:r>
            <w:r w:rsidRPr="00FE7564">
              <w:rPr>
                <w:rFonts w:ascii="Arial Narrow" w:hAnsi="Arial Narrow"/>
                <w:sz w:val="20"/>
                <w:szCs w:val="20"/>
                <w:vertAlign w:val="superscript"/>
              </w:rPr>
              <w:t>c</w:t>
            </w:r>
          </w:p>
        </w:tc>
        <w:tc>
          <w:tcPr>
            <w:tcW w:w="917"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40/54 (74%)</w:t>
            </w:r>
          </w:p>
        </w:tc>
        <w:tc>
          <w:tcPr>
            <w:tcW w:w="865"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35/54 (65%)</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9%</w:t>
            </w:r>
          </w:p>
        </w:tc>
        <w:tc>
          <w:tcPr>
            <w:tcW w:w="951" w:type="pct"/>
            <w:shd w:val="clear" w:color="auto" w:fill="auto"/>
            <w:vAlign w:val="center"/>
          </w:tcPr>
          <w:p w:rsidR="00FD2BA9" w:rsidRPr="00FE7564" w:rsidRDefault="00FD2BA9" w:rsidP="00655B08">
            <w:pPr>
              <w:jc w:val="center"/>
              <w:rPr>
                <w:rFonts w:ascii="Arial Narrow" w:hAnsi="Arial Narrow"/>
                <w:sz w:val="20"/>
                <w:szCs w:val="20"/>
              </w:rPr>
            </w:pPr>
            <w:r w:rsidRPr="00FE7564">
              <w:rPr>
                <w:rFonts w:ascii="Arial Narrow" w:hAnsi="Arial Narrow"/>
                <w:sz w:val="20"/>
                <w:szCs w:val="20"/>
                <w:lang w:val="en-US"/>
              </w:rPr>
              <w:t>0.67</w:t>
            </w:r>
            <w:r w:rsidR="00A7454B" w:rsidRPr="00FE7564">
              <w:rPr>
                <w:rFonts w:ascii="Arial Narrow" w:hAnsi="Arial Narrow"/>
                <w:sz w:val="20"/>
                <w:szCs w:val="20"/>
                <w:vertAlign w:val="superscript"/>
                <w:lang w:val="en-US"/>
              </w:rPr>
              <w:t>d</w:t>
            </w:r>
            <w:r w:rsidRPr="00FE7564">
              <w:rPr>
                <w:rFonts w:ascii="Arial Narrow" w:hAnsi="Arial Narrow"/>
                <w:sz w:val="20"/>
                <w:szCs w:val="20"/>
                <w:lang w:val="en-US"/>
              </w:rPr>
              <w:t xml:space="preserve"> (0.34,1.34)</w:t>
            </w:r>
          </w:p>
        </w:tc>
      </w:tr>
      <w:tr w:rsidR="00FD2BA9" w:rsidRPr="00FE7564" w:rsidTr="00C26563">
        <w:tc>
          <w:tcPr>
            <w:tcW w:w="1512" w:type="pct"/>
            <w:shd w:val="clear" w:color="auto" w:fill="auto"/>
            <w:vAlign w:val="center"/>
          </w:tcPr>
          <w:p w:rsidR="00FD2BA9" w:rsidRPr="00FE7564" w:rsidRDefault="00FD2BA9" w:rsidP="00A7454B">
            <w:pPr>
              <w:jc w:val="left"/>
              <w:rPr>
                <w:rFonts w:ascii="Arial Narrow" w:hAnsi="Arial Narrow"/>
                <w:sz w:val="20"/>
                <w:szCs w:val="20"/>
                <w:lang w:val="en-US"/>
              </w:rPr>
            </w:pPr>
            <w:r w:rsidRPr="00FE7564">
              <w:rPr>
                <w:rFonts w:ascii="Arial Narrow" w:hAnsi="Arial Narrow"/>
                <w:sz w:val="20"/>
                <w:szCs w:val="20"/>
                <w:lang w:val="en-US"/>
              </w:rPr>
              <w:t>29 March 2013 cut-</w:t>
            </w:r>
            <w:proofErr w:type="spellStart"/>
            <w:r w:rsidR="00A7454B" w:rsidRPr="00FE7564">
              <w:rPr>
                <w:rFonts w:ascii="Arial Narrow" w:hAnsi="Arial Narrow"/>
                <w:sz w:val="20"/>
                <w:szCs w:val="20"/>
                <w:lang w:val="en-US"/>
              </w:rPr>
              <w:t>off</w:t>
            </w:r>
            <w:r w:rsidR="00A7454B" w:rsidRPr="00FE7564">
              <w:rPr>
                <w:rFonts w:ascii="Arial Narrow" w:hAnsi="Arial Narrow"/>
                <w:sz w:val="20"/>
                <w:szCs w:val="20"/>
                <w:vertAlign w:val="superscript"/>
                <w:lang w:val="en-US"/>
              </w:rPr>
              <w:t>e</w:t>
            </w:r>
            <w:proofErr w:type="spellEnd"/>
          </w:p>
        </w:tc>
        <w:tc>
          <w:tcPr>
            <w:tcW w:w="917"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28/54 (52%)</w:t>
            </w:r>
          </w:p>
        </w:tc>
        <w:tc>
          <w:tcPr>
            <w:tcW w:w="865" w:type="pct"/>
            <w:shd w:val="clear" w:color="auto" w:fill="auto"/>
            <w:vAlign w:val="center"/>
          </w:tcPr>
          <w:p w:rsidR="00FD2BA9" w:rsidRPr="00FE7564" w:rsidRDefault="00FD2BA9" w:rsidP="00655B08">
            <w:pPr>
              <w:jc w:val="center"/>
              <w:rPr>
                <w:rFonts w:ascii="Arial Narrow" w:hAnsi="Arial Narrow"/>
                <w:color w:val="000000"/>
                <w:sz w:val="20"/>
                <w:szCs w:val="20"/>
              </w:rPr>
            </w:pPr>
            <w:r w:rsidRPr="00FE7564">
              <w:rPr>
                <w:rFonts w:ascii="Arial Narrow" w:hAnsi="Arial Narrow"/>
                <w:color w:val="000000"/>
                <w:sz w:val="20"/>
                <w:szCs w:val="20"/>
              </w:rPr>
              <w:t>23/54 (43%)</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9%</w:t>
            </w:r>
          </w:p>
        </w:tc>
        <w:tc>
          <w:tcPr>
            <w:tcW w:w="951" w:type="pct"/>
            <w:shd w:val="clear" w:color="auto" w:fill="auto"/>
            <w:vAlign w:val="center"/>
          </w:tcPr>
          <w:p w:rsidR="00FD2BA9" w:rsidRPr="00FE7564" w:rsidRDefault="00FD2BA9" w:rsidP="00655B08">
            <w:pPr>
              <w:jc w:val="center"/>
              <w:rPr>
                <w:rFonts w:ascii="Arial Narrow" w:hAnsi="Arial Narrow"/>
                <w:sz w:val="20"/>
                <w:szCs w:val="20"/>
                <w:lang w:val="en-US"/>
              </w:rPr>
            </w:pPr>
            <w:r w:rsidRPr="00FE7564">
              <w:rPr>
                <w:rFonts w:ascii="Arial Narrow" w:hAnsi="Arial Narrow"/>
                <w:sz w:val="20"/>
                <w:szCs w:val="20"/>
                <w:lang w:val="en-US"/>
              </w:rPr>
              <w:t>0.73 (0.43,1.24)</w:t>
            </w:r>
          </w:p>
        </w:tc>
      </w:tr>
      <w:tr w:rsidR="00FD2BA9" w:rsidRPr="00FE7564" w:rsidTr="00C26563">
        <w:tc>
          <w:tcPr>
            <w:tcW w:w="1512" w:type="pct"/>
            <w:shd w:val="clear" w:color="auto" w:fill="auto"/>
            <w:vAlign w:val="center"/>
          </w:tcPr>
          <w:p w:rsidR="00FD2BA9" w:rsidRPr="00FE7564" w:rsidRDefault="00FD2BA9" w:rsidP="00A7454B">
            <w:pPr>
              <w:jc w:val="left"/>
              <w:rPr>
                <w:rFonts w:ascii="Arial Narrow" w:hAnsi="Arial Narrow"/>
                <w:sz w:val="20"/>
                <w:szCs w:val="20"/>
                <w:lang w:val="en-US"/>
              </w:rPr>
            </w:pPr>
            <w:r w:rsidRPr="00FE7564">
              <w:rPr>
                <w:rFonts w:ascii="Arial Narrow" w:hAnsi="Arial Narrow"/>
                <w:sz w:val="20"/>
                <w:szCs w:val="20"/>
                <w:lang w:val="en-US"/>
              </w:rPr>
              <w:t>15 January 2014 cut-</w:t>
            </w:r>
            <w:proofErr w:type="spellStart"/>
            <w:r w:rsidR="00A7454B" w:rsidRPr="00FE7564">
              <w:rPr>
                <w:rFonts w:ascii="Arial Narrow" w:hAnsi="Arial Narrow"/>
                <w:sz w:val="20"/>
                <w:szCs w:val="20"/>
                <w:lang w:val="en-US"/>
              </w:rPr>
              <w:t>off</w:t>
            </w:r>
            <w:r w:rsidR="00A7454B" w:rsidRPr="00FE7564">
              <w:rPr>
                <w:rFonts w:ascii="Arial Narrow" w:hAnsi="Arial Narrow"/>
                <w:sz w:val="20"/>
                <w:szCs w:val="20"/>
                <w:vertAlign w:val="superscript"/>
                <w:lang w:val="en-US"/>
              </w:rPr>
              <w:t>f</w:t>
            </w:r>
            <w:proofErr w:type="spellEnd"/>
          </w:p>
        </w:tc>
        <w:tc>
          <w:tcPr>
            <w:tcW w:w="917" w:type="pct"/>
            <w:shd w:val="clear" w:color="auto" w:fill="auto"/>
            <w:vAlign w:val="center"/>
          </w:tcPr>
          <w:p w:rsidR="00FD2BA9" w:rsidRPr="00FE7564" w:rsidRDefault="00FD2BA9" w:rsidP="00655B08">
            <w:pPr>
              <w:jc w:val="center"/>
              <w:rPr>
                <w:rFonts w:ascii="Arial Narrow" w:hAnsi="Arial Narrow"/>
                <w:color w:val="000000"/>
                <w:sz w:val="20"/>
                <w:szCs w:val="20"/>
              </w:rPr>
            </w:pPr>
            <w:r w:rsidRPr="00331CB6">
              <w:rPr>
                <w:rFonts w:ascii="Arial Narrow" w:hAnsi="Arial Narrow"/>
                <w:color w:val="000000"/>
                <w:sz w:val="20"/>
                <w:szCs w:val="20"/>
              </w:rPr>
              <w:t>22/54 (41%)</w:t>
            </w:r>
          </w:p>
        </w:tc>
        <w:tc>
          <w:tcPr>
            <w:tcW w:w="865" w:type="pct"/>
            <w:shd w:val="clear" w:color="auto" w:fill="auto"/>
            <w:vAlign w:val="center"/>
          </w:tcPr>
          <w:p w:rsidR="00FD2BA9" w:rsidRPr="00FE7564" w:rsidRDefault="00FD2BA9" w:rsidP="00655B08">
            <w:pPr>
              <w:jc w:val="center"/>
              <w:rPr>
                <w:rFonts w:ascii="Arial Narrow" w:hAnsi="Arial Narrow"/>
                <w:color w:val="000000"/>
                <w:sz w:val="20"/>
                <w:szCs w:val="20"/>
              </w:rPr>
            </w:pPr>
            <w:r w:rsidRPr="00331CB6">
              <w:rPr>
                <w:rFonts w:ascii="Arial Narrow" w:hAnsi="Arial Narrow"/>
                <w:color w:val="000000"/>
                <w:sz w:val="20"/>
                <w:szCs w:val="20"/>
              </w:rPr>
              <w:t>18/54 (33%)</w:t>
            </w:r>
          </w:p>
        </w:tc>
        <w:tc>
          <w:tcPr>
            <w:tcW w:w="755" w:type="pct"/>
            <w:shd w:val="clear" w:color="auto" w:fill="auto"/>
            <w:vAlign w:val="center"/>
          </w:tcPr>
          <w:p w:rsidR="00FD2BA9" w:rsidRPr="00FE7564" w:rsidRDefault="00FD2BA9" w:rsidP="00655B08">
            <w:pPr>
              <w:jc w:val="center"/>
              <w:rPr>
                <w:rFonts w:ascii="Arial Narrow" w:hAnsi="Arial Narrow"/>
                <w:sz w:val="20"/>
                <w:szCs w:val="20"/>
                <w:lang w:val="en-US"/>
              </w:rPr>
            </w:pPr>
            <w:r w:rsidRPr="00331CB6">
              <w:rPr>
                <w:rFonts w:ascii="Arial Narrow" w:hAnsi="Arial Narrow"/>
                <w:sz w:val="20"/>
                <w:szCs w:val="20"/>
                <w:lang w:val="en-US"/>
              </w:rPr>
              <w:t>7%</w:t>
            </w:r>
          </w:p>
        </w:tc>
        <w:tc>
          <w:tcPr>
            <w:tcW w:w="951" w:type="pct"/>
            <w:shd w:val="clear" w:color="auto" w:fill="auto"/>
            <w:vAlign w:val="center"/>
          </w:tcPr>
          <w:p w:rsidR="00FD2BA9" w:rsidRPr="00FE7564" w:rsidRDefault="00FD2BA9" w:rsidP="00655B08">
            <w:pPr>
              <w:jc w:val="center"/>
              <w:rPr>
                <w:rFonts w:ascii="Arial Narrow" w:hAnsi="Arial Narrow"/>
                <w:sz w:val="20"/>
                <w:szCs w:val="20"/>
              </w:rPr>
            </w:pPr>
            <w:r w:rsidRPr="00331CB6">
              <w:rPr>
                <w:rFonts w:ascii="Arial Narrow" w:hAnsi="Arial Narrow"/>
                <w:sz w:val="20"/>
                <w:szCs w:val="20"/>
              </w:rPr>
              <w:t>0.79 (0.49, 1.27)</w:t>
            </w:r>
          </w:p>
        </w:tc>
      </w:tr>
    </w:tbl>
    <w:p w:rsidR="00FD2BA9" w:rsidRPr="00FE7564" w:rsidRDefault="00FD2BA9" w:rsidP="00FD2BA9">
      <w:pPr>
        <w:pStyle w:val="TableFooter"/>
        <w:ind w:left="720"/>
      </w:pPr>
      <w:r w:rsidRPr="00FE7564">
        <w:t xml:space="preserve">Source: Tables B.6-1 and B.6-2, p73-74 of the submission. CI=confidence interval; </w:t>
      </w:r>
      <w:r w:rsidR="00D774CF" w:rsidRPr="00FE7564">
        <w:t xml:space="preserve">IPD=individual patient data; </w:t>
      </w:r>
      <w:r w:rsidRPr="00FE7564">
        <w:t>NR=not reported; OS=overall survival; PFS=progression-free survival</w:t>
      </w:r>
    </w:p>
    <w:p w:rsidR="00FD2BA9" w:rsidRPr="00FE7564" w:rsidRDefault="00FD2BA9" w:rsidP="00FD2BA9">
      <w:pPr>
        <w:pStyle w:val="ListParagraph"/>
        <w:rPr>
          <w:rFonts w:ascii="Arial Narrow" w:hAnsi="Arial Narrow"/>
          <w:sz w:val="18"/>
          <w:szCs w:val="18"/>
          <w:vertAlign w:val="superscript"/>
          <w:lang w:val="en-US"/>
        </w:rPr>
      </w:pPr>
      <w:r w:rsidRPr="00FE7564">
        <w:rPr>
          <w:rFonts w:ascii="Arial Narrow" w:hAnsi="Arial Narrow"/>
          <w:sz w:val="18"/>
          <w:szCs w:val="18"/>
          <w:vertAlign w:val="superscript"/>
          <w:lang w:val="en-US"/>
        </w:rPr>
        <w:t>a</w:t>
      </w:r>
      <w:r w:rsidRPr="00FE7564">
        <w:rPr>
          <w:rFonts w:ascii="Arial Narrow" w:hAnsi="Arial Narrow"/>
          <w:sz w:val="18"/>
          <w:szCs w:val="18"/>
          <w:vertAlign w:val="superscript"/>
          <w:lang w:val="en-US" w:eastAsia="zh-CN"/>
        </w:rPr>
        <w:t xml:space="preserve"> </w:t>
      </w:r>
      <w:r w:rsidRPr="00FE7564">
        <w:rPr>
          <w:rFonts w:ascii="Arial Narrow" w:hAnsi="Arial Narrow"/>
          <w:sz w:val="18"/>
          <w:szCs w:val="18"/>
          <w:lang w:val="en-US"/>
        </w:rPr>
        <w:t>median follow-up of 16 months in monotherapy and 20 months in combination therapy</w:t>
      </w:r>
      <w:r w:rsidRPr="00FE7564">
        <w:rPr>
          <w:rFonts w:ascii="Arial Narrow" w:hAnsi="Arial Narrow"/>
          <w:sz w:val="18"/>
          <w:szCs w:val="18"/>
          <w:vertAlign w:val="superscript"/>
          <w:lang w:val="en-US"/>
        </w:rPr>
        <w:t>; b</w:t>
      </w:r>
      <w:r w:rsidRPr="00FE7564">
        <w:rPr>
          <w:rFonts w:ascii="Arial Narrow" w:hAnsi="Arial Narrow"/>
          <w:sz w:val="18"/>
          <w:szCs w:val="18"/>
          <w:lang w:val="en-US" w:eastAsia="zh-CN"/>
        </w:rPr>
        <w:t xml:space="preserve"> median follow up of 9 months; </w:t>
      </w:r>
      <w:r w:rsidRPr="00FE7564">
        <w:rPr>
          <w:rFonts w:ascii="Arial Narrow" w:hAnsi="Arial Narrow"/>
          <w:sz w:val="18"/>
          <w:szCs w:val="18"/>
          <w:vertAlign w:val="superscript"/>
          <w:lang w:val="en-US"/>
        </w:rPr>
        <w:t>c</w:t>
      </w:r>
      <w:r w:rsidRPr="00FE7564">
        <w:rPr>
          <w:rFonts w:ascii="Arial Narrow" w:hAnsi="Arial Narrow"/>
          <w:sz w:val="18"/>
          <w:szCs w:val="18"/>
          <w:lang w:val="en-US" w:eastAsia="zh-CN"/>
        </w:rPr>
        <w:t xml:space="preserve"> </w:t>
      </w:r>
      <w:r w:rsidRPr="00FE7564">
        <w:rPr>
          <w:rFonts w:ascii="Arial Narrow" w:hAnsi="Arial Narrow"/>
          <w:sz w:val="18"/>
          <w:szCs w:val="18"/>
          <w:lang w:val="en-US"/>
        </w:rPr>
        <w:t>median 14 months follow-up;</w:t>
      </w:r>
      <w:r w:rsidR="00A7454B" w:rsidRPr="00FE7564">
        <w:rPr>
          <w:rFonts w:ascii="Arial Narrow" w:hAnsi="Arial Narrow"/>
          <w:sz w:val="18"/>
          <w:szCs w:val="18"/>
          <w:lang w:val="en-US"/>
        </w:rPr>
        <w:t xml:space="preserve"> </w:t>
      </w:r>
      <w:r w:rsidR="00A7454B" w:rsidRPr="00FE7564">
        <w:rPr>
          <w:rFonts w:ascii="Arial Narrow" w:hAnsi="Arial Narrow"/>
          <w:sz w:val="18"/>
          <w:szCs w:val="18"/>
          <w:vertAlign w:val="superscript"/>
          <w:lang w:val="en-US"/>
        </w:rPr>
        <w:t>d</w:t>
      </w:r>
      <w:r w:rsidR="00A7454B" w:rsidRPr="00FE7564">
        <w:rPr>
          <w:rFonts w:ascii="Arial Narrow" w:hAnsi="Arial Narrow"/>
          <w:sz w:val="18"/>
          <w:szCs w:val="18"/>
          <w:lang w:val="en-US"/>
        </w:rPr>
        <w:t xml:space="preserve"> adjusted to </w:t>
      </w:r>
      <w:r w:rsidR="00D30355">
        <w:rPr>
          <w:rFonts w:ascii="Arial Narrow" w:hAnsi="Arial Narrow"/>
          <w:noProof/>
          <w:color w:val="000000"/>
          <w:sz w:val="18"/>
          <w:szCs w:val="18"/>
          <w:highlight w:val="black"/>
          <w:lang w:val="en-US"/>
        </w:rPr>
        <w:t>''''''''''</w:t>
      </w:r>
      <w:r w:rsidR="00A7454B" w:rsidRPr="00FE7564">
        <w:rPr>
          <w:rFonts w:ascii="Arial Narrow" w:hAnsi="Arial Narrow"/>
          <w:sz w:val="18"/>
          <w:szCs w:val="18"/>
          <w:lang w:val="en-US"/>
        </w:rPr>
        <w:t xml:space="preserve"> using RPSFT for use in the November 2014 model;</w:t>
      </w:r>
      <w:r w:rsidRPr="00FE7564">
        <w:rPr>
          <w:rFonts w:ascii="Arial Narrow" w:hAnsi="Arial Narrow"/>
          <w:sz w:val="18"/>
          <w:szCs w:val="18"/>
          <w:lang w:val="en-US"/>
        </w:rPr>
        <w:t xml:space="preserve"> </w:t>
      </w:r>
      <w:r w:rsidR="00A7454B" w:rsidRPr="00FE7564">
        <w:rPr>
          <w:rFonts w:ascii="Arial Narrow" w:hAnsi="Arial Narrow"/>
          <w:sz w:val="18"/>
          <w:szCs w:val="18"/>
          <w:vertAlign w:val="superscript"/>
          <w:lang w:val="en-US"/>
        </w:rPr>
        <w:t>e</w:t>
      </w:r>
      <w:r w:rsidR="00A7454B" w:rsidRPr="00FE7564">
        <w:rPr>
          <w:rFonts w:ascii="Arial Narrow" w:hAnsi="Arial Narrow"/>
          <w:sz w:val="18"/>
          <w:szCs w:val="18"/>
          <w:lang w:val="en-US"/>
        </w:rPr>
        <w:t xml:space="preserve"> </w:t>
      </w:r>
      <w:r w:rsidRPr="00FE7564">
        <w:rPr>
          <w:rFonts w:ascii="Arial Narrow" w:hAnsi="Arial Narrow"/>
          <w:sz w:val="18"/>
          <w:szCs w:val="18"/>
          <w:lang w:val="en-US"/>
        </w:rPr>
        <w:t>median 24 months follow-up;</w:t>
      </w:r>
      <w:r w:rsidRPr="00FE7564">
        <w:rPr>
          <w:rFonts w:ascii="Arial Narrow" w:hAnsi="Arial Narrow"/>
          <w:sz w:val="18"/>
          <w:szCs w:val="18"/>
          <w:vertAlign w:val="superscript"/>
          <w:lang w:val="en-US"/>
        </w:rPr>
        <w:t xml:space="preserve"> </w:t>
      </w:r>
      <w:r w:rsidR="00A7454B" w:rsidRPr="00FE7564">
        <w:rPr>
          <w:rFonts w:ascii="Arial Narrow" w:hAnsi="Arial Narrow"/>
          <w:sz w:val="18"/>
          <w:szCs w:val="18"/>
          <w:vertAlign w:val="superscript"/>
          <w:lang w:val="en-US"/>
        </w:rPr>
        <w:t>f</w:t>
      </w:r>
      <w:r w:rsidR="00A7454B" w:rsidRPr="00FE7564">
        <w:rPr>
          <w:rFonts w:ascii="Arial Narrow" w:hAnsi="Arial Narrow"/>
          <w:sz w:val="18"/>
          <w:szCs w:val="18"/>
          <w:lang w:val="en-US" w:eastAsia="zh-CN"/>
        </w:rPr>
        <w:t xml:space="preserve"> </w:t>
      </w:r>
      <w:r w:rsidRPr="00FE7564">
        <w:rPr>
          <w:rFonts w:ascii="Arial Narrow" w:hAnsi="Arial Narrow"/>
          <w:sz w:val="18"/>
          <w:szCs w:val="18"/>
          <w:lang w:val="en-US" w:eastAsia="zh-CN"/>
        </w:rPr>
        <w:t>median 33.5 months follow-up</w:t>
      </w:r>
    </w:p>
    <w:p w:rsidR="00FD2BA9" w:rsidRPr="00FE7564" w:rsidRDefault="00FD2BA9" w:rsidP="00FD2BA9">
      <w:pPr>
        <w:rPr>
          <w:szCs w:val="22"/>
        </w:rPr>
      </w:pPr>
    </w:p>
    <w:p w:rsidR="00FD2BA9" w:rsidRPr="00FE7564" w:rsidRDefault="00FD2BA9" w:rsidP="00FD2BA9">
      <w:pPr>
        <w:keepNext/>
        <w:keepLines/>
        <w:ind w:left="810"/>
        <w:rPr>
          <w:rStyle w:val="CommentReference"/>
        </w:rPr>
      </w:pPr>
      <w:r w:rsidRPr="00FE7564">
        <w:rPr>
          <w:rStyle w:val="CommentReference"/>
        </w:rPr>
        <w:lastRenderedPageBreak/>
        <w:t>Figure 1: Kaplan</w:t>
      </w:r>
      <w:r w:rsidR="002878A5" w:rsidRPr="00FE7564">
        <w:rPr>
          <w:rStyle w:val="CommentReference"/>
        </w:rPr>
        <w:t>-</w:t>
      </w:r>
      <w:r w:rsidRPr="00FE7564">
        <w:rPr>
          <w:rStyle w:val="CommentReference"/>
        </w:rPr>
        <w:t>Meier OS estimates</w:t>
      </w:r>
      <w:r w:rsidR="00655B08" w:rsidRPr="00FE7564">
        <w:rPr>
          <w:rStyle w:val="CommentReference"/>
        </w:rPr>
        <w:t xml:space="preserve"> - IPD pooled analysis</w:t>
      </w:r>
    </w:p>
    <w:p w:rsidR="00FD2BA9" w:rsidRPr="00FE7564" w:rsidRDefault="00D30355" w:rsidP="00FD2BA9">
      <w:pPr>
        <w:ind w:left="720"/>
      </w:pPr>
      <w:r>
        <w:rPr>
          <w:noProof/>
          <w:snapToGrid/>
          <w:lang w:eastAsia="en-AU"/>
        </w:rPr>
        <w:drawing>
          <wp:inline distT="0" distB="0" distL="0" distR="0" wp14:anchorId="69A98CF6" wp14:editId="2891A56A">
            <wp:extent cx="4907915" cy="3345815"/>
            <wp:effectExtent l="0" t="0" r="6985" b="6985"/>
            <wp:docPr id="2" name="Picture 2" title="Figure 1: Kaplan-Meier OS estimates - IPD pooled analysis (redac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07915" cy="3345815"/>
                    </a:xfrm>
                    <a:prstGeom prst="rect">
                      <a:avLst/>
                    </a:prstGeom>
                  </pic:spPr>
                </pic:pic>
              </a:graphicData>
            </a:graphic>
          </wp:inline>
        </w:drawing>
      </w:r>
    </w:p>
    <w:p w:rsidR="00FD2BA9" w:rsidRPr="00FE7564" w:rsidRDefault="00FD2BA9" w:rsidP="00FD2BA9">
      <w:pPr>
        <w:pStyle w:val="TableFooter"/>
        <w:ind w:left="810"/>
      </w:pPr>
      <w:r w:rsidRPr="00FE7564">
        <w:t>Source: Table B.6.2, p76 of the submission.</w:t>
      </w:r>
    </w:p>
    <w:p w:rsidR="00FD2BA9" w:rsidRPr="00FE7564" w:rsidRDefault="00FD2BA9" w:rsidP="00FD2BA9">
      <w:pPr>
        <w:pStyle w:val="TableFooter"/>
        <w:rPr>
          <w:rFonts w:ascii="Arial" w:hAnsi="Arial"/>
          <w:sz w:val="22"/>
          <w:szCs w:val="22"/>
        </w:rPr>
      </w:pPr>
    </w:p>
    <w:p w:rsidR="00FD2BA9" w:rsidRPr="00FE7564" w:rsidRDefault="00FD2BA9" w:rsidP="00FD2BA9">
      <w:pPr>
        <w:keepNext/>
        <w:keepLines/>
        <w:ind w:left="720"/>
      </w:pPr>
      <w:r w:rsidRPr="00FE7564">
        <w:rPr>
          <w:rStyle w:val="CommentReference"/>
        </w:rPr>
        <w:t>Figure 2: Kaplan</w:t>
      </w:r>
      <w:r w:rsidR="002878A5" w:rsidRPr="00FE7564">
        <w:rPr>
          <w:rStyle w:val="CommentReference"/>
        </w:rPr>
        <w:t>-</w:t>
      </w:r>
      <w:r w:rsidRPr="00FE7564">
        <w:rPr>
          <w:rStyle w:val="CommentReference"/>
        </w:rPr>
        <w:t>Meier PFS estimates</w:t>
      </w:r>
      <w:r w:rsidR="00655B08" w:rsidRPr="00FE7564">
        <w:rPr>
          <w:rStyle w:val="CommentReference"/>
        </w:rPr>
        <w:t xml:space="preserve"> - IPD pooled analysis</w:t>
      </w:r>
    </w:p>
    <w:p w:rsidR="00FD2BA9" w:rsidRPr="00FE7564" w:rsidRDefault="0031771D" w:rsidP="00FD2BA9">
      <w:pPr>
        <w:ind w:left="720"/>
      </w:pPr>
      <w:r>
        <w:rPr>
          <w:noProof/>
          <w:snapToGrid/>
          <w:lang w:eastAsia="en-AU"/>
        </w:rPr>
        <w:drawing>
          <wp:inline distT="0" distB="0" distL="0" distR="0" wp14:anchorId="7683AA7F" wp14:editId="3430C5EB">
            <wp:extent cx="4909185" cy="3592830"/>
            <wp:effectExtent l="0" t="0" r="5715" b="7620"/>
            <wp:docPr id="1" name="Picture 1" title="Figure 2: Kaplan-Meier PFS estimates - IPD pooled analysis (redac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09185" cy="3592830"/>
                    </a:xfrm>
                    <a:prstGeom prst="rect">
                      <a:avLst/>
                    </a:prstGeom>
                  </pic:spPr>
                </pic:pic>
              </a:graphicData>
            </a:graphic>
          </wp:inline>
        </w:drawing>
      </w:r>
    </w:p>
    <w:p w:rsidR="00FD2BA9" w:rsidRPr="00FE7564" w:rsidRDefault="00FD2BA9" w:rsidP="00FD2BA9">
      <w:pPr>
        <w:pStyle w:val="TableFooter"/>
        <w:ind w:left="810"/>
      </w:pPr>
      <w:r w:rsidRPr="00FE7564">
        <w:t>Source: Table B.6.9, p89 of the submission.</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lastRenderedPageBreak/>
        <w:t>There were key differences in the survival results obtained in the current analyses and those presented in the November 2014 submission and u</w:t>
      </w:r>
      <w:r w:rsidR="00305D9F" w:rsidRPr="00FE7564">
        <w:rPr>
          <w:szCs w:val="22"/>
        </w:rPr>
        <w:t>sed in the November 2014 model:</w:t>
      </w:r>
    </w:p>
    <w:p w:rsidR="00FD2BA9" w:rsidRPr="00FE7564" w:rsidRDefault="00FD2BA9" w:rsidP="00FD2BA9">
      <w:pPr>
        <w:pStyle w:val="ListParagraph"/>
        <w:widowControl/>
        <w:numPr>
          <w:ilvl w:val="0"/>
          <w:numId w:val="35"/>
        </w:numPr>
        <w:ind w:left="1080"/>
        <w:rPr>
          <w:szCs w:val="22"/>
        </w:rPr>
      </w:pPr>
      <w:r w:rsidRPr="00FE7564">
        <w:rPr>
          <w:szCs w:val="22"/>
        </w:rPr>
        <w:t xml:space="preserve">The increase of the </w:t>
      </w:r>
      <w:r w:rsidR="00291A9D" w:rsidRPr="00FE7564">
        <w:rPr>
          <w:szCs w:val="22"/>
        </w:rPr>
        <w:t>OS</w:t>
      </w:r>
      <w:r w:rsidRPr="00FE7564">
        <w:rPr>
          <w:szCs w:val="22"/>
        </w:rPr>
        <w:t xml:space="preserve"> hazard ratio (lowering of estimated comparative efficacy) from </w:t>
      </w:r>
      <w:r w:rsidR="00D30355">
        <w:rPr>
          <w:noProof/>
          <w:color w:val="000000"/>
          <w:szCs w:val="22"/>
          <w:highlight w:val="black"/>
        </w:rPr>
        <w:t>''''''''''</w:t>
      </w:r>
      <w:r w:rsidRPr="00FE7564">
        <w:rPr>
          <w:szCs w:val="22"/>
        </w:rPr>
        <w:t xml:space="preserve"> in the RPSFT crossover adjusted BRF113220 </w:t>
      </w:r>
      <w:r w:rsidR="00AF0F33" w:rsidRPr="00FE7564">
        <w:rPr>
          <w:szCs w:val="22"/>
        </w:rPr>
        <w:t>analysis</w:t>
      </w:r>
      <w:r w:rsidR="00291A9D" w:rsidRPr="00FE7564">
        <w:rPr>
          <w:szCs w:val="22"/>
        </w:rPr>
        <w:t xml:space="preserve"> </w:t>
      </w:r>
      <w:r w:rsidRPr="00FE7564">
        <w:rPr>
          <w:szCs w:val="22"/>
        </w:rPr>
        <w:t xml:space="preserve">applied in the November 2014 model to </w:t>
      </w:r>
      <w:r w:rsidR="00D30355">
        <w:rPr>
          <w:noProof/>
          <w:color w:val="000000"/>
          <w:szCs w:val="22"/>
          <w:highlight w:val="black"/>
        </w:rPr>
        <w:t>'''''''''''</w:t>
      </w:r>
      <w:r w:rsidRPr="00FE7564">
        <w:rPr>
          <w:szCs w:val="22"/>
        </w:rPr>
        <w:t xml:space="preserve"> in the IPD analysis of the 3 trials, which had no crossover adjustments.</w:t>
      </w:r>
    </w:p>
    <w:p w:rsidR="00FD2BA9" w:rsidRPr="00FE7564" w:rsidRDefault="00FD2BA9" w:rsidP="00FD2BA9">
      <w:pPr>
        <w:pStyle w:val="ListParagraph"/>
        <w:widowControl/>
        <w:numPr>
          <w:ilvl w:val="0"/>
          <w:numId w:val="35"/>
        </w:numPr>
        <w:ind w:left="1080"/>
        <w:rPr>
          <w:szCs w:val="22"/>
        </w:rPr>
      </w:pPr>
      <w:r w:rsidRPr="00FE7564">
        <w:rPr>
          <w:szCs w:val="22"/>
        </w:rPr>
        <w:t xml:space="preserve">The increase of the </w:t>
      </w:r>
      <w:r w:rsidR="00291A9D" w:rsidRPr="00FE7564">
        <w:rPr>
          <w:szCs w:val="22"/>
        </w:rPr>
        <w:t>PFS</w:t>
      </w:r>
      <w:r w:rsidRPr="00FE7564">
        <w:rPr>
          <w:szCs w:val="22"/>
        </w:rPr>
        <w:t xml:space="preserve"> hazard ratio (lowering of the estimated comparative efficacy) from 0.39 in the data presented in November 2014 for BRF113220 to </w:t>
      </w:r>
      <w:r w:rsidR="00D30355">
        <w:rPr>
          <w:noProof/>
          <w:color w:val="000000"/>
          <w:szCs w:val="22"/>
          <w:highlight w:val="black"/>
        </w:rPr>
        <w:t>''''''''''</w:t>
      </w:r>
      <w:r w:rsidRPr="00FE7564">
        <w:rPr>
          <w:szCs w:val="22"/>
        </w:rPr>
        <w:t xml:space="preserve"> in th</w:t>
      </w:r>
      <w:r w:rsidR="00305D9F" w:rsidRPr="00FE7564">
        <w:rPr>
          <w:szCs w:val="22"/>
        </w:rPr>
        <w:t>e IPD analysis of the 3 trials.</w:t>
      </w:r>
    </w:p>
    <w:p w:rsidR="00F40198" w:rsidRPr="00FE7564" w:rsidRDefault="00F40198" w:rsidP="00F40198">
      <w:pPr>
        <w:ind w:left="709"/>
        <w:rPr>
          <w:szCs w:val="22"/>
        </w:rPr>
      </w:pPr>
      <w:r w:rsidRPr="00FE7564">
        <w:rPr>
          <w:szCs w:val="22"/>
        </w:rPr>
        <w:t xml:space="preserve">These differences indicated a reduction in clinical effect compared to </w:t>
      </w:r>
      <w:r w:rsidR="00FF5C85">
        <w:rPr>
          <w:szCs w:val="22"/>
        </w:rPr>
        <w:t xml:space="preserve">that claimed in </w:t>
      </w:r>
      <w:r w:rsidRPr="00FE7564">
        <w:rPr>
          <w:szCs w:val="22"/>
        </w:rPr>
        <w:t>the November 2014 submission.</w:t>
      </w:r>
    </w:p>
    <w:p w:rsidR="00FD2BA9" w:rsidRPr="00FE7564" w:rsidRDefault="00FD2BA9" w:rsidP="00305D9F">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 xml:space="preserve">On a trial specific basis, OS </w:t>
      </w:r>
      <w:r w:rsidR="00291A9D" w:rsidRPr="00FE7564">
        <w:rPr>
          <w:szCs w:val="22"/>
        </w:rPr>
        <w:t>hazard ratios (</w:t>
      </w:r>
      <w:r w:rsidRPr="00FE7564">
        <w:rPr>
          <w:szCs w:val="22"/>
        </w:rPr>
        <w:t>HRs</w:t>
      </w:r>
      <w:r w:rsidR="00291A9D" w:rsidRPr="00FE7564">
        <w:rPr>
          <w:szCs w:val="22"/>
        </w:rPr>
        <w:t>)</w:t>
      </w:r>
      <w:r w:rsidRPr="00FE7564">
        <w:rPr>
          <w:szCs w:val="22"/>
        </w:rPr>
        <w:t xml:space="preserve"> increased with more recent data cut-offs</w:t>
      </w:r>
      <w:r w:rsidR="00967E08" w:rsidRPr="00FE7564">
        <w:rPr>
          <w:szCs w:val="22"/>
        </w:rPr>
        <w:t>:</w:t>
      </w:r>
    </w:p>
    <w:p w:rsidR="00FD2BA9" w:rsidRPr="00FE7564" w:rsidRDefault="00FD2BA9" w:rsidP="00FD2BA9">
      <w:pPr>
        <w:pStyle w:val="ListParagraph"/>
        <w:widowControl/>
        <w:numPr>
          <w:ilvl w:val="0"/>
          <w:numId w:val="36"/>
        </w:numPr>
        <w:tabs>
          <w:tab w:val="left" w:pos="1530"/>
        </w:tabs>
        <w:ind w:left="1170"/>
        <w:rPr>
          <w:szCs w:val="22"/>
        </w:rPr>
      </w:pPr>
      <w:r w:rsidRPr="00FE7564">
        <w:rPr>
          <w:szCs w:val="22"/>
        </w:rPr>
        <w:t>In BRF113220</w:t>
      </w:r>
      <w:r w:rsidR="00305D9F" w:rsidRPr="00FE7564">
        <w:rPr>
          <w:szCs w:val="22"/>
        </w:rPr>
        <w:t>,</w:t>
      </w:r>
      <w:r w:rsidRPr="00FE7564">
        <w:rPr>
          <w:szCs w:val="22"/>
        </w:rPr>
        <w:t xml:space="preserve"> the unadjusted OS HR was 0.67 in May 2012, 0.73 in March 2013 and 0.79 in January 2014.</w:t>
      </w:r>
    </w:p>
    <w:p w:rsidR="00FD2BA9" w:rsidRPr="00FE7564" w:rsidRDefault="00FD2BA9" w:rsidP="00FD2BA9">
      <w:pPr>
        <w:pStyle w:val="ListParagraph"/>
        <w:widowControl/>
        <w:numPr>
          <w:ilvl w:val="0"/>
          <w:numId w:val="36"/>
        </w:numPr>
        <w:tabs>
          <w:tab w:val="left" w:pos="1530"/>
        </w:tabs>
        <w:ind w:left="1170"/>
        <w:rPr>
          <w:szCs w:val="22"/>
        </w:rPr>
      </w:pPr>
      <w:r w:rsidRPr="00FE7564">
        <w:rPr>
          <w:szCs w:val="22"/>
        </w:rPr>
        <w:t>In COMBI-D</w:t>
      </w:r>
      <w:r w:rsidR="00305D9F" w:rsidRPr="00FE7564">
        <w:rPr>
          <w:szCs w:val="22"/>
        </w:rPr>
        <w:t>,</w:t>
      </w:r>
      <w:r w:rsidRPr="00FE7564">
        <w:rPr>
          <w:szCs w:val="22"/>
        </w:rPr>
        <w:t xml:space="preserve"> the OS HR was 0.63 in August 2012 and 0.71 in January 2015.</w:t>
      </w:r>
    </w:p>
    <w:p w:rsidR="00FD2BA9" w:rsidRPr="00FE7564" w:rsidRDefault="00FD2BA9" w:rsidP="00305D9F">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PFS data was not reported in later data</w:t>
      </w:r>
      <w:r w:rsidR="00A53EB7" w:rsidRPr="00FE7564">
        <w:rPr>
          <w:szCs w:val="22"/>
        </w:rPr>
        <w:t xml:space="preserve"> </w:t>
      </w:r>
      <w:r w:rsidRPr="00FE7564">
        <w:rPr>
          <w:szCs w:val="22"/>
        </w:rPr>
        <w:t>cut</w:t>
      </w:r>
      <w:r w:rsidR="00A53EB7" w:rsidRPr="00FE7564">
        <w:rPr>
          <w:szCs w:val="22"/>
        </w:rPr>
        <w:t>-</w:t>
      </w:r>
      <w:r w:rsidRPr="00FE7564">
        <w:rPr>
          <w:szCs w:val="22"/>
        </w:rPr>
        <w:t>offs of BRF113220. COMBI-D showed a decrease in the PFS HR from 0.75 in August 2013 to 0.67 in January 2015</w:t>
      </w:r>
      <w:r w:rsidR="004A0578" w:rsidRPr="00FE7564">
        <w:rPr>
          <w:szCs w:val="22"/>
        </w:rPr>
        <w:t>.</w:t>
      </w:r>
    </w:p>
    <w:p w:rsidR="003C29CE" w:rsidRDefault="003C29CE" w:rsidP="0031771D">
      <w:bookmarkStart w:id="10" w:name="_Toc451265344"/>
    </w:p>
    <w:p w:rsidR="00FD2BA9" w:rsidRPr="00FE7564" w:rsidRDefault="00FD2BA9" w:rsidP="0031771D">
      <w:pPr>
        <w:pStyle w:val="Heading2"/>
      </w:pPr>
      <w:r w:rsidRPr="00FE7564">
        <w:t>Comparative harms</w:t>
      </w:r>
      <w:bookmarkEnd w:id="10"/>
    </w:p>
    <w:p w:rsidR="00FD2BA9" w:rsidRPr="00FE7564" w:rsidRDefault="00FD2BA9" w:rsidP="00FD2BA9">
      <w:pPr>
        <w:ind w:left="720" w:hanging="720"/>
        <w:rPr>
          <w:szCs w:val="22"/>
        </w:rPr>
      </w:pPr>
    </w:p>
    <w:p w:rsidR="00FD2BA9" w:rsidRPr="00FE7564" w:rsidRDefault="00FD2BA9" w:rsidP="00FD2BA9">
      <w:pPr>
        <w:pStyle w:val="ListParagraph"/>
        <w:widowControl/>
        <w:numPr>
          <w:ilvl w:val="1"/>
          <w:numId w:val="8"/>
        </w:numPr>
        <w:rPr>
          <w:szCs w:val="22"/>
        </w:rPr>
      </w:pPr>
      <w:r w:rsidRPr="00FE7564">
        <w:t>A summary of adverse events (AEs) in BRF113220</w:t>
      </w:r>
      <w:r w:rsidR="00C369D0" w:rsidRPr="00FE7564">
        <w:t>,</w:t>
      </w:r>
      <w:r w:rsidRPr="00FE7564">
        <w:t xml:space="preserve"> COMBI-D</w:t>
      </w:r>
      <w:r w:rsidR="00967E08" w:rsidRPr="00FE7564">
        <w:t xml:space="preserve"> and the combination arm of </w:t>
      </w:r>
      <w:r w:rsidR="00DA5328" w:rsidRPr="00FE7564">
        <w:t>COMBI-V</w:t>
      </w:r>
      <w:r w:rsidRPr="00FE7564">
        <w:t xml:space="preserve"> </w:t>
      </w:r>
      <w:r w:rsidR="00C369D0" w:rsidRPr="00FE7564">
        <w:t>are</w:t>
      </w:r>
      <w:r w:rsidRPr="00FE7564">
        <w:t xml:space="preserve"> provided in the table below.</w:t>
      </w:r>
      <w:r w:rsidR="00DA5328" w:rsidRPr="00FE7564">
        <w:t xml:space="preserve"> The submission did not provide AE results for the </w:t>
      </w:r>
      <w:proofErr w:type="spellStart"/>
      <w:r w:rsidR="004A0578" w:rsidRPr="00FE7564">
        <w:t>vemurafenib</w:t>
      </w:r>
      <w:proofErr w:type="spellEnd"/>
      <w:r w:rsidR="004A0578" w:rsidRPr="00FE7564">
        <w:t xml:space="preserve"> </w:t>
      </w:r>
      <w:r w:rsidR="00DA5328" w:rsidRPr="00FE7564">
        <w:t xml:space="preserve">arm of COMBI-V because </w:t>
      </w:r>
      <w:proofErr w:type="spellStart"/>
      <w:r w:rsidR="004A0578" w:rsidRPr="00FE7564">
        <w:t>vemurafenib</w:t>
      </w:r>
      <w:proofErr w:type="spellEnd"/>
      <w:r w:rsidR="004A0578" w:rsidRPr="00FE7564">
        <w:t xml:space="preserve"> was considered to have a different safety profile </w:t>
      </w:r>
      <w:r w:rsidR="00ED4F58" w:rsidRPr="00FE7564">
        <w:t xml:space="preserve">to </w:t>
      </w:r>
      <w:proofErr w:type="spellStart"/>
      <w:r w:rsidR="004A0578" w:rsidRPr="00FE7564">
        <w:t>dabrafenib</w:t>
      </w:r>
      <w:proofErr w:type="spellEnd"/>
      <w:r w:rsidR="00305D9F" w:rsidRPr="00FE7564">
        <w:t xml:space="preserve">. </w:t>
      </w:r>
      <w:r w:rsidR="00DA5328" w:rsidRPr="00FE7564">
        <w:t>Between-group differences in AEs for BRF113220 and COMBI-D were calculated during the evaluation.</w:t>
      </w:r>
    </w:p>
    <w:p w:rsidR="00314368" w:rsidRPr="00FE7564" w:rsidRDefault="00314368">
      <w:pPr>
        <w:widowControl/>
        <w:jc w:val="left"/>
        <w:rPr>
          <w:rStyle w:val="CommentReference"/>
        </w:rPr>
      </w:pPr>
    </w:p>
    <w:p w:rsidR="00401986" w:rsidRDefault="00401986">
      <w:pPr>
        <w:widowControl/>
        <w:jc w:val="left"/>
        <w:rPr>
          <w:rStyle w:val="CommentReference"/>
          <w:szCs w:val="20"/>
        </w:rPr>
      </w:pPr>
      <w:r>
        <w:rPr>
          <w:rStyle w:val="CommentReference"/>
          <w:szCs w:val="20"/>
        </w:rPr>
        <w:br w:type="page"/>
      </w:r>
    </w:p>
    <w:p w:rsidR="00FD2BA9" w:rsidRPr="00FE7564" w:rsidRDefault="00FD2BA9" w:rsidP="00FD2BA9">
      <w:pPr>
        <w:ind w:left="720"/>
        <w:rPr>
          <w:rFonts w:ascii="Arial Narrow" w:hAnsi="Arial Narrow"/>
          <w:sz w:val="20"/>
          <w:szCs w:val="20"/>
        </w:rPr>
      </w:pPr>
      <w:r w:rsidRPr="00FE7564">
        <w:rPr>
          <w:rStyle w:val="CommentReference"/>
          <w:szCs w:val="20"/>
        </w:rPr>
        <w:lastRenderedPageBreak/>
        <w:t xml:space="preserve">Table 5: </w:t>
      </w:r>
      <w:r w:rsidRPr="00FE7564">
        <w:rPr>
          <w:rFonts w:ascii="Arial Narrow" w:hAnsi="Arial Narrow"/>
          <w:b/>
          <w:sz w:val="20"/>
          <w:szCs w:val="20"/>
        </w:rPr>
        <w:t>Summary of adverse events of special interest in BRF113220, COMBI-D &amp; COMBI-V</w:t>
      </w:r>
    </w:p>
    <w:tbl>
      <w:tblPr>
        <w:tblW w:w="8370" w:type="dxa"/>
        <w:tblInd w:w="828" w:type="dxa"/>
        <w:tblLayout w:type="fixed"/>
        <w:tblLook w:val="04A0" w:firstRow="1" w:lastRow="0" w:firstColumn="1" w:lastColumn="0" w:noHBand="0" w:noVBand="1"/>
      </w:tblPr>
      <w:tblGrid>
        <w:gridCol w:w="1440"/>
        <w:gridCol w:w="720"/>
        <w:gridCol w:w="810"/>
        <w:gridCol w:w="1530"/>
        <w:gridCol w:w="810"/>
        <w:gridCol w:w="900"/>
        <w:gridCol w:w="1170"/>
        <w:gridCol w:w="990"/>
      </w:tblGrid>
      <w:tr w:rsidR="00274B0F" w:rsidRPr="00FE7564" w:rsidTr="00274B0F">
        <w:trPr>
          <w:trHeight w:val="69"/>
        </w:trPr>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D2BA9" w:rsidRPr="00FE7564" w:rsidRDefault="00FD2BA9" w:rsidP="00C26563">
            <w:pPr>
              <w:widowControl/>
              <w:jc w:val="left"/>
              <w:rPr>
                <w:rFonts w:ascii="Arial Narrow" w:hAnsi="Arial Narrow" w:cs="Times New Roman"/>
                <w:b/>
                <w:bCs/>
                <w:snapToGrid/>
                <w:color w:val="000000"/>
                <w:sz w:val="20"/>
                <w:szCs w:val="20"/>
                <w:lang w:val="en-US"/>
              </w:rPr>
            </w:pPr>
          </w:p>
        </w:tc>
        <w:tc>
          <w:tcPr>
            <w:tcW w:w="3060" w:type="dxa"/>
            <w:gridSpan w:val="3"/>
            <w:tcBorders>
              <w:top w:val="single" w:sz="8" w:space="0" w:color="auto"/>
              <w:left w:val="nil"/>
              <w:bottom w:val="single" w:sz="8" w:space="0" w:color="auto"/>
              <w:right w:val="single" w:sz="8" w:space="0" w:color="000000"/>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BRF113220</w:t>
            </w:r>
          </w:p>
        </w:tc>
        <w:tc>
          <w:tcPr>
            <w:tcW w:w="28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COMBI-D</w:t>
            </w:r>
          </w:p>
        </w:tc>
        <w:tc>
          <w:tcPr>
            <w:tcW w:w="990" w:type="dxa"/>
            <w:tcBorders>
              <w:top w:val="single" w:sz="8" w:space="0" w:color="auto"/>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COMBI-V</w:t>
            </w:r>
          </w:p>
        </w:tc>
      </w:tr>
      <w:tr w:rsidR="00274B0F" w:rsidRPr="00FE7564" w:rsidTr="00274B0F">
        <w:trPr>
          <w:trHeight w:val="133"/>
        </w:trPr>
        <w:tc>
          <w:tcPr>
            <w:tcW w:w="1440" w:type="dxa"/>
            <w:vMerge/>
            <w:tcBorders>
              <w:top w:val="single" w:sz="8" w:space="0" w:color="auto"/>
              <w:left w:val="single" w:sz="8" w:space="0" w:color="auto"/>
              <w:bottom w:val="single" w:sz="8" w:space="0" w:color="000000"/>
              <w:right w:val="single" w:sz="8" w:space="0" w:color="auto"/>
            </w:tcBorders>
            <w:vAlign w:val="center"/>
            <w:hideMark/>
          </w:tcPr>
          <w:p w:rsidR="00FD2BA9" w:rsidRPr="00FE7564" w:rsidRDefault="00FD2BA9" w:rsidP="00C26563">
            <w:pPr>
              <w:widowControl/>
              <w:jc w:val="left"/>
              <w:rPr>
                <w:rFonts w:ascii="Arial Narrow" w:hAnsi="Arial Narrow" w:cs="Times New Roman"/>
                <w:b/>
                <w:bCs/>
                <w:snapToGrid/>
                <w:color w:val="000000"/>
                <w:sz w:val="20"/>
                <w:szCs w:val="20"/>
                <w:lang w:val="en-US"/>
              </w:rPr>
            </w:pPr>
          </w:p>
        </w:tc>
        <w:tc>
          <w:tcPr>
            <w:tcW w:w="3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Jan-14 </w:t>
            </w:r>
          </w:p>
        </w:tc>
        <w:tc>
          <w:tcPr>
            <w:tcW w:w="28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Jan-15</w:t>
            </w:r>
          </w:p>
        </w:tc>
        <w:tc>
          <w:tcPr>
            <w:tcW w:w="990" w:type="dxa"/>
            <w:tcBorders>
              <w:top w:val="nil"/>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Apr-14</w:t>
            </w:r>
          </w:p>
        </w:tc>
      </w:tr>
      <w:tr w:rsidR="00274B0F" w:rsidRPr="00FE7564" w:rsidTr="00274B0F">
        <w:trPr>
          <w:trHeight w:val="70"/>
        </w:trPr>
        <w:tc>
          <w:tcPr>
            <w:tcW w:w="1440" w:type="dxa"/>
            <w:vMerge/>
            <w:tcBorders>
              <w:top w:val="single" w:sz="8" w:space="0" w:color="auto"/>
              <w:left w:val="single" w:sz="8" w:space="0" w:color="auto"/>
              <w:bottom w:val="single" w:sz="8" w:space="0" w:color="000000"/>
              <w:right w:val="single" w:sz="8" w:space="0" w:color="auto"/>
            </w:tcBorders>
            <w:vAlign w:val="center"/>
            <w:hideMark/>
          </w:tcPr>
          <w:p w:rsidR="00FD2BA9" w:rsidRPr="00FE7564" w:rsidRDefault="00FD2BA9" w:rsidP="00C26563">
            <w:pPr>
              <w:widowControl/>
              <w:jc w:val="left"/>
              <w:rPr>
                <w:rFonts w:ascii="Arial Narrow" w:hAnsi="Arial Narrow" w:cs="Times New Roman"/>
                <w:b/>
                <w:bCs/>
                <w:snapToGrid/>
                <w:color w:val="000000"/>
                <w:sz w:val="20"/>
                <w:szCs w:val="20"/>
                <w:lang w:val="en-US"/>
              </w:rPr>
            </w:pPr>
          </w:p>
        </w:tc>
        <w:tc>
          <w:tcPr>
            <w:tcW w:w="720" w:type="dxa"/>
            <w:tcBorders>
              <w:top w:val="nil"/>
              <w:left w:val="nil"/>
              <w:bottom w:val="single" w:sz="4"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Mono</w:t>
            </w:r>
          </w:p>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 xml:space="preserve">N=53 </w:t>
            </w:r>
          </w:p>
          <w:p w:rsidR="00FD2BA9" w:rsidRPr="00FE7564" w:rsidRDefault="00FD2BA9" w:rsidP="00C26563">
            <w:pPr>
              <w:jc w:val="center"/>
              <w:rPr>
                <w:rFonts w:ascii="Arial Narrow" w:hAnsi="Arial Narrow" w:cs="Times New Roman"/>
                <w:b/>
                <w:bCs/>
                <w:snapToGrid/>
                <w:color w:val="000000"/>
                <w:sz w:val="20"/>
                <w:szCs w:val="20"/>
              </w:rPr>
            </w:pPr>
            <w:proofErr w:type="gramStart"/>
            <w:r w:rsidRPr="00FE7564">
              <w:rPr>
                <w:rFonts w:ascii="Arial Narrow" w:hAnsi="Arial Narrow" w:cs="Times New Roman"/>
                <w:b/>
                <w:bCs/>
                <w:snapToGrid/>
                <w:color w:val="000000"/>
                <w:sz w:val="20"/>
                <w:szCs w:val="20"/>
                <w:lang w:val="en-US"/>
              </w:rPr>
              <w:t>n</w:t>
            </w:r>
            <w:proofErr w:type="gramEnd"/>
            <w:r w:rsidRPr="00FE7564">
              <w:rPr>
                <w:rFonts w:ascii="Arial Narrow" w:hAnsi="Arial Narrow" w:cs="Times New Roman"/>
                <w:b/>
                <w:bCs/>
                <w:snapToGrid/>
                <w:color w:val="000000"/>
                <w:sz w:val="20"/>
                <w:szCs w:val="20"/>
                <w:lang w:val="en-US"/>
              </w:rPr>
              <w:t xml:space="preserve"> (%)</w:t>
            </w:r>
          </w:p>
        </w:tc>
        <w:tc>
          <w:tcPr>
            <w:tcW w:w="810" w:type="dxa"/>
            <w:tcBorders>
              <w:top w:val="nil"/>
              <w:left w:val="nil"/>
              <w:bottom w:val="single" w:sz="4"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proofErr w:type="spellStart"/>
            <w:r w:rsidRPr="00FE7564">
              <w:rPr>
                <w:rFonts w:ascii="Arial Narrow" w:hAnsi="Arial Narrow" w:cs="Times New Roman"/>
                <w:b/>
                <w:bCs/>
                <w:snapToGrid/>
                <w:color w:val="000000"/>
                <w:sz w:val="20"/>
                <w:szCs w:val="20"/>
                <w:lang w:val="en-US"/>
              </w:rPr>
              <w:t>Combi</w:t>
            </w:r>
            <w:proofErr w:type="spellEnd"/>
          </w:p>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 xml:space="preserve">N= 55 </w:t>
            </w:r>
          </w:p>
          <w:p w:rsidR="00FD2BA9" w:rsidRPr="00FE7564" w:rsidRDefault="00FD2BA9" w:rsidP="00C26563">
            <w:pPr>
              <w:jc w:val="center"/>
              <w:rPr>
                <w:rFonts w:ascii="Arial Narrow" w:hAnsi="Arial Narrow" w:cs="Times New Roman"/>
                <w:b/>
                <w:bCs/>
                <w:snapToGrid/>
                <w:color w:val="000000"/>
                <w:sz w:val="20"/>
                <w:szCs w:val="20"/>
                <w:lang w:val="en-US"/>
              </w:rPr>
            </w:pPr>
            <w:proofErr w:type="gramStart"/>
            <w:r w:rsidRPr="00FE7564">
              <w:rPr>
                <w:rFonts w:ascii="Arial Narrow" w:hAnsi="Arial Narrow" w:cs="Times New Roman"/>
                <w:b/>
                <w:bCs/>
                <w:snapToGrid/>
                <w:color w:val="000000"/>
                <w:sz w:val="20"/>
                <w:szCs w:val="20"/>
                <w:lang w:val="en-US"/>
              </w:rPr>
              <w:t>n</w:t>
            </w:r>
            <w:proofErr w:type="gramEnd"/>
            <w:r w:rsidRPr="00FE7564">
              <w:rPr>
                <w:rFonts w:ascii="Arial Narrow" w:hAnsi="Arial Narrow" w:cs="Times New Roman"/>
                <w:b/>
                <w:bCs/>
                <w:snapToGrid/>
                <w:color w:val="000000"/>
                <w:sz w:val="20"/>
                <w:szCs w:val="20"/>
                <w:lang w:val="en-US"/>
              </w:rPr>
              <w:t xml:space="preserve"> (%)</w:t>
            </w:r>
          </w:p>
        </w:tc>
        <w:tc>
          <w:tcPr>
            <w:tcW w:w="1530" w:type="dxa"/>
            <w:tcBorders>
              <w:top w:val="nil"/>
              <w:left w:val="nil"/>
              <w:bottom w:val="single" w:sz="4" w:space="0" w:color="auto"/>
              <w:right w:val="single" w:sz="8" w:space="0" w:color="auto"/>
            </w:tcBorders>
            <w:shd w:val="clear" w:color="auto" w:fill="auto"/>
            <w:vAlign w:val="center"/>
            <w:hideMark/>
          </w:tcPr>
          <w:p w:rsidR="00DA5328"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 xml:space="preserve">Risk </w:t>
            </w:r>
          </w:p>
          <w:p w:rsidR="00FD2BA9" w:rsidRPr="00FE7564" w:rsidRDefault="00DA5328"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difference</w:t>
            </w:r>
          </w:p>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(95% CI)</w:t>
            </w:r>
          </w:p>
        </w:tc>
        <w:tc>
          <w:tcPr>
            <w:tcW w:w="810" w:type="dxa"/>
            <w:tcBorders>
              <w:top w:val="nil"/>
              <w:left w:val="nil"/>
              <w:bottom w:val="single" w:sz="4"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Mono</w:t>
            </w:r>
          </w:p>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 xml:space="preserve">N=53 </w:t>
            </w:r>
          </w:p>
          <w:p w:rsidR="00FD2BA9" w:rsidRPr="00FE7564" w:rsidRDefault="00FD2BA9" w:rsidP="00C26563">
            <w:pPr>
              <w:jc w:val="center"/>
              <w:rPr>
                <w:rFonts w:ascii="Arial Narrow" w:hAnsi="Arial Narrow" w:cs="Times New Roman"/>
                <w:b/>
                <w:bCs/>
                <w:snapToGrid/>
                <w:color w:val="000000"/>
                <w:sz w:val="20"/>
                <w:szCs w:val="20"/>
                <w:lang w:val="en-US"/>
              </w:rPr>
            </w:pPr>
            <w:proofErr w:type="gramStart"/>
            <w:r w:rsidRPr="00FE7564">
              <w:rPr>
                <w:rFonts w:ascii="Arial Narrow" w:hAnsi="Arial Narrow" w:cs="Times New Roman"/>
                <w:b/>
                <w:bCs/>
                <w:snapToGrid/>
                <w:color w:val="000000"/>
                <w:sz w:val="20"/>
                <w:szCs w:val="20"/>
                <w:lang w:val="en-US"/>
              </w:rPr>
              <w:t>n</w:t>
            </w:r>
            <w:proofErr w:type="gramEnd"/>
            <w:r w:rsidRPr="00FE7564">
              <w:rPr>
                <w:rFonts w:ascii="Arial Narrow" w:hAnsi="Arial Narrow" w:cs="Times New Roman"/>
                <w:b/>
                <w:bCs/>
                <w:snapToGrid/>
                <w:color w:val="000000"/>
                <w:sz w:val="20"/>
                <w:szCs w:val="20"/>
                <w:lang w:val="en-US"/>
              </w:rPr>
              <w:t xml:space="preserve"> (%)</w:t>
            </w:r>
          </w:p>
        </w:tc>
        <w:tc>
          <w:tcPr>
            <w:tcW w:w="900" w:type="dxa"/>
            <w:tcBorders>
              <w:top w:val="nil"/>
              <w:left w:val="nil"/>
              <w:bottom w:val="single" w:sz="4"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proofErr w:type="spellStart"/>
            <w:r w:rsidRPr="00FE7564">
              <w:rPr>
                <w:rFonts w:ascii="Arial Narrow" w:hAnsi="Arial Narrow" w:cs="Times New Roman"/>
                <w:b/>
                <w:bCs/>
                <w:snapToGrid/>
                <w:color w:val="000000"/>
                <w:sz w:val="20"/>
                <w:szCs w:val="20"/>
                <w:lang w:val="en-US"/>
              </w:rPr>
              <w:t>Combi</w:t>
            </w:r>
            <w:proofErr w:type="spellEnd"/>
          </w:p>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 xml:space="preserve">N= 55 </w:t>
            </w:r>
          </w:p>
          <w:p w:rsidR="00FD2BA9" w:rsidRPr="00FE7564" w:rsidRDefault="00FD2BA9" w:rsidP="00C26563">
            <w:pPr>
              <w:jc w:val="center"/>
              <w:rPr>
                <w:rFonts w:ascii="Arial Narrow" w:hAnsi="Arial Narrow" w:cs="Times New Roman"/>
                <w:b/>
                <w:bCs/>
                <w:snapToGrid/>
                <w:color w:val="000000"/>
                <w:sz w:val="20"/>
                <w:szCs w:val="20"/>
                <w:lang w:val="en-US"/>
              </w:rPr>
            </w:pPr>
            <w:proofErr w:type="gramStart"/>
            <w:r w:rsidRPr="00FE7564">
              <w:rPr>
                <w:rFonts w:ascii="Arial Narrow" w:hAnsi="Arial Narrow" w:cs="Times New Roman"/>
                <w:b/>
                <w:bCs/>
                <w:snapToGrid/>
                <w:color w:val="000000"/>
                <w:sz w:val="20"/>
                <w:szCs w:val="20"/>
                <w:lang w:val="en-US"/>
              </w:rPr>
              <w:t>n</w:t>
            </w:r>
            <w:proofErr w:type="gramEnd"/>
            <w:r w:rsidRPr="00FE7564">
              <w:rPr>
                <w:rFonts w:ascii="Arial Narrow" w:hAnsi="Arial Narrow" w:cs="Times New Roman"/>
                <w:b/>
                <w:bCs/>
                <w:snapToGrid/>
                <w:color w:val="000000"/>
                <w:sz w:val="20"/>
                <w:szCs w:val="20"/>
                <w:lang w:val="en-US"/>
              </w:rPr>
              <w:t xml:space="preserve"> (%)</w:t>
            </w:r>
          </w:p>
        </w:tc>
        <w:tc>
          <w:tcPr>
            <w:tcW w:w="1170" w:type="dxa"/>
            <w:tcBorders>
              <w:top w:val="nil"/>
              <w:left w:val="nil"/>
              <w:bottom w:val="single" w:sz="4"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 xml:space="preserve">Risk </w:t>
            </w:r>
            <w:r w:rsidR="00DA5328" w:rsidRPr="00FE7564">
              <w:rPr>
                <w:rFonts w:ascii="Arial Narrow" w:hAnsi="Arial Narrow" w:cs="Times New Roman"/>
                <w:b/>
                <w:bCs/>
                <w:snapToGrid/>
                <w:color w:val="000000"/>
                <w:sz w:val="20"/>
                <w:szCs w:val="20"/>
                <w:lang w:val="en-US"/>
              </w:rPr>
              <w:t>difference</w:t>
            </w:r>
          </w:p>
          <w:p w:rsidR="00FD2BA9" w:rsidRPr="00FE7564" w:rsidRDefault="00FD2BA9" w:rsidP="00C26563">
            <w:pPr>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(95% CI)</w:t>
            </w:r>
          </w:p>
        </w:tc>
        <w:tc>
          <w:tcPr>
            <w:tcW w:w="990" w:type="dxa"/>
            <w:tcBorders>
              <w:top w:val="nil"/>
              <w:left w:val="nil"/>
              <w:bottom w:val="single" w:sz="4"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b/>
                <w:bCs/>
                <w:snapToGrid/>
                <w:color w:val="000000"/>
                <w:sz w:val="20"/>
                <w:szCs w:val="20"/>
                <w:lang w:val="en-US"/>
              </w:rPr>
            </w:pPr>
            <w:proofErr w:type="spellStart"/>
            <w:r w:rsidRPr="00FE7564">
              <w:rPr>
                <w:rFonts w:ascii="Arial Narrow" w:hAnsi="Arial Narrow" w:cs="Times New Roman"/>
                <w:b/>
                <w:bCs/>
                <w:snapToGrid/>
                <w:color w:val="000000"/>
                <w:sz w:val="20"/>
                <w:szCs w:val="20"/>
                <w:lang w:val="en-US"/>
              </w:rPr>
              <w:t>Combi</w:t>
            </w:r>
            <w:proofErr w:type="spellEnd"/>
          </w:p>
          <w:p w:rsidR="00FD2BA9" w:rsidRPr="00FE7564" w:rsidRDefault="00FD2BA9" w:rsidP="00C26563">
            <w:pPr>
              <w:widowControl/>
              <w:jc w:val="center"/>
              <w:rPr>
                <w:rFonts w:ascii="Arial Narrow" w:hAnsi="Arial Narrow" w:cs="Times New Roman"/>
                <w:b/>
                <w:bCs/>
                <w:snapToGrid/>
                <w:color w:val="000000"/>
                <w:sz w:val="20"/>
                <w:szCs w:val="20"/>
                <w:lang w:val="en-US"/>
              </w:rPr>
            </w:pPr>
            <w:r w:rsidRPr="00FE7564">
              <w:rPr>
                <w:rFonts w:ascii="Arial Narrow" w:hAnsi="Arial Narrow" w:cs="Times New Roman"/>
                <w:b/>
                <w:bCs/>
                <w:snapToGrid/>
                <w:color w:val="000000"/>
                <w:sz w:val="20"/>
                <w:szCs w:val="20"/>
                <w:lang w:val="en-US"/>
              </w:rPr>
              <w:t xml:space="preserve">N=350 </w:t>
            </w:r>
          </w:p>
          <w:p w:rsidR="00FD2BA9" w:rsidRPr="00FE7564" w:rsidRDefault="00FD2BA9" w:rsidP="00C26563">
            <w:pPr>
              <w:jc w:val="center"/>
              <w:rPr>
                <w:rFonts w:ascii="Arial Narrow" w:hAnsi="Arial Narrow" w:cs="Times New Roman"/>
                <w:b/>
                <w:bCs/>
                <w:snapToGrid/>
                <w:color w:val="000000"/>
                <w:sz w:val="20"/>
                <w:szCs w:val="20"/>
                <w:lang w:val="en-US"/>
              </w:rPr>
            </w:pPr>
            <w:proofErr w:type="gramStart"/>
            <w:r w:rsidRPr="00FE7564">
              <w:rPr>
                <w:rFonts w:ascii="Arial Narrow" w:hAnsi="Arial Narrow" w:cs="Times New Roman"/>
                <w:b/>
                <w:bCs/>
                <w:snapToGrid/>
                <w:color w:val="000000"/>
                <w:sz w:val="20"/>
                <w:szCs w:val="20"/>
                <w:lang w:val="en-US"/>
              </w:rPr>
              <w:t>n</w:t>
            </w:r>
            <w:proofErr w:type="gramEnd"/>
            <w:r w:rsidRPr="00FE7564">
              <w:rPr>
                <w:rFonts w:ascii="Arial Narrow" w:hAnsi="Arial Narrow" w:cs="Times New Roman"/>
                <w:b/>
                <w:bCs/>
                <w:snapToGrid/>
                <w:color w:val="000000"/>
                <w:sz w:val="20"/>
                <w:szCs w:val="20"/>
                <w:lang w:val="en-US"/>
              </w:rPr>
              <w:t xml:space="preserve"> (%)</w:t>
            </w:r>
          </w:p>
        </w:tc>
      </w:tr>
      <w:tr w:rsidR="00274B0F" w:rsidRPr="00FE7564" w:rsidTr="00274B0F">
        <w:trPr>
          <w:trHeight w:val="69"/>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FD2BA9" w:rsidRPr="00FE7564" w:rsidRDefault="00FD2BA9" w:rsidP="00C26563">
            <w:pPr>
              <w:widowControl/>
              <w:jc w:val="left"/>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Pyrexia</w:t>
            </w:r>
          </w:p>
        </w:tc>
        <w:tc>
          <w:tcPr>
            <w:tcW w:w="720" w:type="dxa"/>
            <w:tcBorders>
              <w:top w:val="single" w:sz="4" w:space="0" w:color="auto"/>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17 (32)</w:t>
            </w:r>
          </w:p>
        </w:tc>
        <w:tc>
          <w:tcPr>
            <w:tcW w:w="810" w:type="dxa"/>
            <w:tcBorders>
              <w:top w:val="single" w:sz="4" w:space="0" w:color="auto"/>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41 (75)</w:t>
            </w:r>
          </w:p>
        </w:tc>
        <w:tc>
          <w:tcPr>
            <w:tcW w:w="1530" w:type="dxa"/>
            <w:tcBorders>
              <w:top w:val="single" w:sz="4" w:space="0" w:color="auto"/>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0.42 (0.25, 0.6)</w:t>
            </w:r>
          </w:p>
        </w:tc>
        <w:tc>
          <w:tcPr>
            <w:tcW w:w="810" w:type="dxa"/>
            <w:tcBorders>
              <w:top w:val="single" w:sz="4" w:space="0" w:color="auto"/>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79 (37)</w:t>
            </w:r>
          </w:p>
        </w:tc>
        <w:tc>
          <w:tcPr>
            <w:tcW w:w="900" w:type="dxa"/>
            <w:tcBorders>
              <w:top w:val="single" w:sz="4" w:space="0" w:color="auto"/>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129 (62)</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rsidR="00FD2BA9" w:rsidRPr="00331CB6"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0.24</w:t>
            </w:r>
          </w:p>
          <w:p w:rsidR="00FD2BA9" w:rsidRPr="00FE7564" w:rsidRDefault="00FD2BA9" w:rsidP="00C26563">
            <w:pPr>
              <w:widowControl/>
              <w:jc w:val="center"/>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 xml:space="preserve"> (</w:t>
            </w:r>
            <w:r w:rsidRPr="00331CB6">
              <w:rPr>
                <w:rFonts w:ascii="Arial Narrow" w:hAnsi="Arial Narrow" w:cs="Times New Roman"/>
                <w:snapToGrid/>
                <w:color w:val="000000"/>
                <w:sz w:val="20"/>
                <w:szCs w:val="20"/>
                <w:lang w:val="en-US"/>
              </w:rPr>
              <w:t>0.15, 0.34</w:t>
            </w:r>
            <w:r w:rsidRPr="00FE7564">
              <w:rPr>
                <w:rFonts w:ascii="Arial Narrow" w:hAnsi="Arial Narrow" w:cs="Times New Roman"/>
                <w:snapToGrid/>
                <w:color w:val="000000"/>
                <w:sz w:val="20"/>
                <w:szCs w:val="20"/>
                <w:lang w:val="en-US"/>
              </w:rPr>
              <w:t>)</w:t>
            </w:r>
          </w:p>
        </w:tc>
        <w:tc>
          <w:tcPr>
            <w:tcW w:w="990" w:type="dxa"/>
            <w:tcBorders>
              <w:top w:val="single" w:sz="4" w:space="0" w:color="auto"/>
              <w:left w:val="nil"/>
              <w:bottom w:val="single" w:sz="8" w:space="0" w:color="auto"/>
              <w:right w:val="single" w:sz="8" w:space="0" w:color="auto"/>
            </w:tcBorders>
            <w:shd w:val="clear" w:color="auto" w:fill="auto"/>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200 (57)</w:t>
            </w:r>
          </w:p>
        </w:tc>
      </w:tr>
      <w:tr w:rsidR="00274B0F" w:rsidRPr="00FE7564" w:rsidTr="00274B0F">
        <w:trPr>
          <w:trHeight w:val="196"/>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FD2BA9" w:rsidRPr="00FE7564" w:rsidRDefault="00FD2BA9" w:rsidP="00C26563">
            <w:pPr>
              <w:widowControl/>
              <w:jc w:val="left"/>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 xml:space="preserve">Cardiac-related events </w:t>
            </w:r>
          </w:p>
        </w:tc>
        <w:tc>
          <w:tcPr>
            <w:tcW w:w="72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 (0)</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6 (11)</w:t>
            </w:r>
          </w:p>
        </w:tc>
        <w:tc>
          <w:tcPr>
            <w:tcW w:w="153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0.11 (0.03, 0.19)</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10 (5)</w:t>
            </w:r>
          </w:p>
        </w:tc>
        <w:tc>
          <w:tcPr>
            <w:tcW w:w="90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12 (6)</w:t>
            </w:r>
          </w:p>
        </w:tc>
        <w:tc>
          <w:tcPr>
            <w:tcW w:w="1170" w:type="dxa"/>
            <w:tcBorders>
              <w:top w:val="nil"/>
              <w:left w:val="nil"/>
              <w:bottom w:val="single" w:sz="8" w:space="0" w:color="auto"/>
              <w:right w:val="single" w:sz="8" w:space="0" w:color="auto"/>
            </w:tcBorders>
            <w:shd w:val="clear" w:color="000000" w:fill="FFFFFF"/>
            <w:vAlign w:val="center"/>
            <w:hideMark/>
          </w:tcPr>
          <w:p w:rsidR="00FD2BA9" w:rsidRPr="00331CB6"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0.01</w:t>
            </w:r>
          </w:p>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 xml:space="preserve"> (-0.03, 0.05)</w:t>
            </w:r>
          </w:p>
        </w:tc>
        <w:tc>
          <w:tcPr>
            <w:tcW w:w="99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29 (8)</w:t>
            </w:r>
          </w:p>
        </w:tc>
      </w:tr>
      <w:tr w:rsidR="00274B0F" w:rsidRPr="00FE7564" w:rsidTr="00274B0F">
        <w:trPr>
          <w:trHeight w:val="69"/>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FD2BA9" w:rsidRPr="00FE7564" w:rsidRDefault="00FD2BA9" w:rsidP="00C26563">
            <w:pPr>
              <w:widowControl/>
              <w:jc w:val="left"/>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Hepatic events</w:t>
            </w:r>
          </w:p>
        </w:tc>
        <w:tc>
          <w:tcPr>
            <w:tcW w:w="72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 (4)</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10 (18)</w:t>
            </w:r>
          </w:p>
        </w:tc>
        <w:tc>
          <w:tcPr>
            <w:tcW w:w="153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0.14 (0.03, 0.26)</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25 (12)</w:t>
            </w:r>
          </w:p>
        </w:tc>
        <w:tc>
          <w:tcPr>
            <w:tcW w:w="90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39 (19)</w:t>
            </w:r>
          </w:p>
        </w:tc>
        <w:tc>
          <w:tcPr>
            <w:tcW w:w="1170" w:type="dxa"/>
            <w:tcBorders>
              <w:top w:val="nil"/>
              <w:left w:val="nil"/>
              <w:bottom w:val="single" w:sz="8" w:space="0" w:color="auto"/>
              <w:right w:val="single" w:sz="8" w:space="0" w:color="auto"/>
            </w:tcBorders>
            <w:shd w:val="clear" w:color="000000" w:fill="FFFFFF"/>
            <w:vAlign w:val="center"/>
            <w:hideMark/>
          </w:tcPr>
          <w:p w:rsidR="00FD2BA9" w:rsidRPr="00331CB6"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 xml:space="preserve">0.07 </w:t>
            </w:r>
          </w:p>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(0, 0.14)</w:t>
            </w:r>
          </w:p>
        </w:tc>
        <w:tc>
          <w:tcPr>
            <w:tcW w:w="99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92 (26)</w:t>
            </w:r>
          </w:p>
        </w:tc>
      </w:tr>
      <w:tr w:rsidR="00274B0F" w:rsidRPr="00FE7564" w:rsidTr="00274B0F">
        <w:trPr>
          <w:trHeight w:val="69"/>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FD2BA9" w:rsidRPr="00FE7564" w:rsidRDefault="00FD2BA9" w:rsidP="00C26563">
            <w:pPr>
              <w:widowControl/>
              <w:jc w:val="left"/>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Ocular events</w:t>
            </w:r>
          </w:p>
        </w:tc>
        <w:tc>
          <w:tcPr>
            <w:tcW w:w="72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9 (17)</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16 (29)</w:t>
            </w:r>
          </w:p>
        </w:tc>
        <w:tc>
          <w:tcPr>
            <w:tcW w:w="153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4977FB">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0.12 (-0.04, 0.28)</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23 (11)</w:t>
            </w:r>
          </w:p>
        </w:tc>
        <w:tc>
          <w:tcPr>
            <w:tcW w:w="90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27 (13)</w:t>
            </w:r>
          </w:p>
        </w:tc>
        <w:tc>
          <w:tcPr>
            <w:tcW w:w="1170" w:type="dxa"/>
            <w:tcBorders>
              <w:top w:val="nil"/>
              <w:left w:val="nil"/>
              <w:bottom w:val="single" w:sz="8" w:space="0" w:color="auto"/>
              <w:right w:val="single" w:sz="8" w:space="0" w:color="auto"/>
            </w:tcBorders>
            <w:shd w:val="clear" w:color="000000" w:fill="FFFFFF"/>
            <w:vAlign w:val="center"/>
            <w:hideMark/>
          </w:tcPr>
          <w:p w:rsidR="00FD2BA9" w:rsidRPr="00331CB6"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 xml:space="preserve">0.02 </w:t>
            </w:r>
          </w:p>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(-0.04, 0.08)</w:t>
            </w:r>
          </w:p>
        </w:tc>
        <w:tc>
          <w:tcPr>
            <w:tcW w:w="99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39 (11)</w:t>
            </w:r>
          </w:p>
        </w:tc>
      </w:tr>
      <w:tr w:rsidR="00274B0F" w:rsidRPr="00FE7564" w:rsidTr="00274B0F">
        <w:trPr>
          <w:trHeight w:val="70"/>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FD2BA9" w:rsidRPr="00FE7564" w:rsidRDefault="00FD2BA9" w:rsidP="006A22D0">
            <w:pPr>
              <w:widowControl/>
              <w:jc w:val="left"/>
              <w:rPr>
                <w:rFonts w:ascii="Arial Narrow" w:hAnsi="Arial Narrow" w:cs="Times New Roman"/>
                <w:snapToGrid/>
                <w:color w:val="000000"/>
                <w:sz w:val="20"/>
                <w:szCs w:val="20"/>
                <w:lang w:val="en-US"/>
              </w:rPr>
            </w:pPr>
            <w:proofErr w:type="spellStart"/>
            <w:r w:rsidRPr="00FE7564">
              <w:rPr>
                <w:rFonts w:ascii="Arial Narrow" w:hAnsi="Arial Narrow" w:cs="Times New Roman"/>
                <w:snapToGrid/>
                <w:color w:val="000000"/>
                <w:sz w:val="20"/>
                <w:szCs w:val="20"/>
                <w:lang w:val="en-US"/>
              </w:rPr>
              <w:t>cuSCC</w:t>
            </w:r>
            <w:r w:rsidR="006A22D0" w:rsidRPr="00FE7564">
              <w:rPr>
                <w:rFonts w:ascii="Arial Narrow" w:hAnsi="Arial Narrow" w:cs="Times New Roman"/>
                <w:snapToGrid/>
                <w:color w:val="000000"/>
                <w:sz w:val="20"/>
                <w:szCs w:val="20"/>
                <w:vertAlign w:val="superscript"/>
                <w:lang w:val="en-US"/>
              </w:rPr>
              <w:t>a</w:t>
            </w:r>
            <w:proofErr w:type="spellEnd"/>
          </w:p>
        </w:tc>
        <w:tc>
          <w:tcPr>
            <w:tcW w:w="72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9 (17)</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4 (7)</w:t>
            </w:r>
          </w:p>
        </w:tc>
        <w:tc>
          <w:tcPr>
            <w:tcW w:w="153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w:t>
            </w:r>
            <w:r w:rsidRPr="00331CB6">
              <w:rPr>
                <w:rFonts w:ascii="Arial Narrow" w:hAnsi="Arial Narrow" w:cs="Times New Roman"/>
                <w:snapToGrid/>
                <w:color w:val="000000"/>
                <w:sz w:val="20"/>
                <w:szCs w:val="20"/>
                <w:lang w:val="en-US"/>
              </w:rPr>
              <w:t>0.1 (-0.22, 0.03)</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22 (10)</w:t>
            </w:r>
          </w:p>
        </w:tc>
        <w:tc>
          <w:tcPr>
            <w:tcW w:w="90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6 (3)</w:t>
            </w:r>
          </w:p>
        </w:tc>
        <w:tc>
          <w:tcPr>
            <w:tcW w:w="1170" w:type="dxa"/>
            <w:tcBorders>
              <w:top w:val="nil"/>
              <w:left w:val="nil"/>
              <w:bottom w:val="single" w:sz="8" w:space="0" w:color="auto"/>
              <w:right w:val="single" w:sz="8" w:space="0" w:color="auto"/>
            </w:tcBorders>
            <w:shd w:val="clear" w:color="000000" w:fill="FFFFFF"/>
            <w:vAlign w:val="center"/>
            <w:hideMark/>
          </w:tcPr>
          <w:p w:rsidR="00FD2BA9" w:rsidRPr="00331CB6"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 xml:space="preserve">-0.08 </w:t>
            </w:r>
          </w:p>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(-0.12, -0.03)</w:t>
            </w:r>
          </w:p>
        </w:tc>
        <w:tc>
          <w:tcPr>
            <w:tcW w:w="99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5 (1)</w:t>
            </w:r>
          </w:p>
        </w:tc>
      </w:tr>
      <w:tr w:rsidR="00274B0F" w:rsidRPr="00FE7564" w:rsidTr="00274B0F">
        <w:trPr>
          <w:trHeight w:val="304"/>
        </w:trPr>
        <w:tc>
          <w:tcPr>
            <w:tcW w:w="1440" w:type="dxa"/>
            <w:tcBorders>
              <w:top w:val="nil"/>
              <w:left w:val="single" w:sz="8" w:space="0" w:color="auto"/>
              <w:bottom w:val="single" w:sz="8" w:space="0" w:color="auto"/>
              <w:right w:val="single" w:sz="8" w:space="0" w:color="auto"/>
            </w:tcBorders>
            <w:shd w:val="clear" w:color="000000" w:fill="FFFFFF"/>
            <w:vAlign w:val="center"/>
            <w:hideMark/>
          </w:tcPr>
          <w:p w:rsidR="00FD2BA9" w:rsidRPr="00FE7564" w:rsidRDefault="00FD2BA9" w:rsidP="00C26563">
            <w:pPr>
              <w:widowControl/>
              <w:jc w:val="left"/>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Skin related toxicities</w:t>
            </w:r>
          </w:p>
        </w:tc>
        <w:tc>
          <w:tcPr>
            <w:tcW w:w="72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4977FB">
            <w:pPr>
              <w:widowControl/>
              <w:ind w:right="-63"/>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35 (66)</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36 (65)</w:t>
            </w:r>
          </w:p>
        </w:tc>
        <w:tc>
          <w:tcPr>
            <w:tcW w:w="153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4977FB">
            <w:pPr>
              <w:widowControl/>
              <w:jc w:val="center"/>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w:t>
            </w:r>
            <w:r w:rsidRPr="00331CB6">
              <w:rPr>
                <w:rFonts w:ascii="Arial Narrow" w:hAnsi="Arial Narrow" w:cs="Times New Roman"/>
                <w:snapToGrid/>
                <w:color w:val="000000"/>
                <w:sz w:val="20"/>
                <w:szCs w:val="20"/>
                <w:lang w:val="en-US"/>
              </w:rPr>
              <w:t>0.01 (-0.18, 0.17)</w:t>
            </w:r>
          </w:p>
        </w:tc>
        <w:tc>
          <w:tcPr>
            <w:tcW w:w="81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4977FB">
            <w:pPr>
              <w:widowControl/>
              <w:ind w:right="-32"/>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112</w:t>
            </w:r>
            <w:r w:rsidRPr="00FE7564">
              <w:rPr>
                <w:rFonts w:ascii="Arial Narrow" w:hAnsi="Arial Narrow" w:cs="Times New Roman"/>
                <w:snapToGrid/>
                <w:color w:val="000000"/>
                <w:sz w:val="20"/>
                <w:szCs w:val="20"/>
                <w:lang w:val="en-US"/>
              </w:rPr>
              <w:t xml:space="preserve"> (</w:t>
            </w:r>
            <w:r w:rsidRPr="00331CB6">
              <w:rPr>
                <w:rFonts w:ascii="Arial Narrow" w:hAnsi="Arial Narrow" w:cs="Times New Roman"/>
                <w:snapToGrid/>
                <w:color w:val="000000"/>
                <w:sz w:val="20"/>
                <w:szCs w:val="20"/>
                <w:lang w:val="en-US"/>
              </w:rPr>
              <w:t>53</w:t>
            </w:r>
            <w:r w:rsidRPr="00FE7564">
              <w:rPr>
                <w:rFonts w:ascii="Arial Narrow" w:hAnsi="Arial Narrow" w:cs="Times New Roman"/>
                <w:snapToGrid/>
                <w:color w:val="000000"/>
                <w:sz w:val="20"/>
                <w:szCs w:val="20"/>
                <w:lang w:val="en-US"/>
              </w:rPr>
              <w:t>)</w:t>
            </w:r>
          </w:p>
        </w:tc>
        <w:tc>
          <w:tcPr>
            <w:tcW w:w="90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101</w:t>
            </w:r>
            <w:r w:rsidRPr="00FE7564">
              <w:rPr>
                <w:rFonts w:ascii="Arial Narrow" w:hAnsi="Arial Narrow" w:cs="Times New Roman"/>
                <w:snapToGrid/>
                <w:color w:val="000000"/>
                <w:sz w:val="20"/>
                <w:szCs w:val="20"/>
                <w:lang w:val="en-US"/>
              </w:rPr>
              <w:t xml:space="preserve"> (</w:t>
            </w:r>
            <w:r w:rsidRPr="00331CB6">
              <w:rPr>
                <w:rFonts w:ascii="Arial Narrow" w:hAnsi="Arial Narrow" w:cs="Times New Roman"/>
                <w:snapToGrid/>
                <w:color w:val="000000"/>
                <w:sz w:val="20"/>
                <w:szCs w:val="20"/>
                <w:lang w:val="en-US"/>
              </w:rPr>
              <w:t>48</w:t>
            </w:r>
            <w:r w:rsidRPr="00FE7564">
              <w:rPr>
                <w:rFonts w:ascii="Arial Narrow" w:hAnsi="Arial Narrow" w:cs="Times New Roman"/>
                <w:snapToGrid/>
                <w:color w:val="000000"/>
                <w:sz w:val="20"/>
                <w:szCs w:val="20"/>
                <w:lang w:val="en-US"/>
              </w:rPr>
              <w:t>)</w:t>
            </w:r>
          </w:p>
        </w:tc>
        <w:tc>
          <w:tcPr>
            <w:tcW w:w="117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w:t>
            </w:r>
            <w:r w:rsidRPr="00331CB6">
              <w:rPr>
                <w:rFonts w:ascii="Arial Narrow" w:hAnsi="Arial Narrow" w:cs="Times New Roman"/>
                <w:snapToGrid/>
                <w:color w:val="000000"/>
                <w:sz w:val="20"/>
                <w:szCs w:val="20"/>
                <w:lang w:val="en-US"/>
              </w:rPr>
              <w:t>0.05</w:t>
            </w:r>
            <w:r w:rsidRPr="00FE7564">
              <w:rPr>
                <w:rFonts w:ascii="Arial Narrow" w:hAnsi="Arial Narrow" w:cs="Times New Roman"/>
                <w:snapToGrid/>
                <w:color w:val="000000"/>
                <w:sz w:val="20"/>
                <w:szCs w:val="20"/>
                <w:lang w:val="en-US"/>
              </w:rPr>
              <w:t xml:space="preserve"> </w:t>
            </w:r>
          </w:p>
          <w:p w:rsidR="00FD2BA9" w:rsidRPr="00FE7564" w:rsidRDefault="00FD2BA9" w:rsidP="00C26563">
            <w:pPr>
              <w:widowControl/>
              <w:jc w:val="center"/>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w:t>
            </w:r>
            <w:r w:rsidRPr="00331CB6">
              <w:rPr>
                <w:rFonts w:ascii="Arial Narrow" w:hAnsi="Arial Narrow" w:cs="Times New Roman"/>
                <w:snapToGrid/>
                <w:color w:val="000000"/>
                <w:sz w:val="20"/>
                <w:szCs w:val="20"/>
                <w:lang w:val="en-US"/>
              </w:rPr>
              <w:t>0.14, 0.05</w:t>
            </w:r>
            <w:r w:rsidRPr="00FE7564">
              <w:rPr>
                <w:rFonts w:ascii="Arial Narrow" w:hAnsi="Arial Narrow" w:cs="Times New Roman"/>
                <w:snapToGrid/>
                <w:color w:val="000000"/>
                <w:sz w:val="20"/>
                <w:szCs w:val="20"/>
                <w:lang w:val="en-US"/>
              </w:rPr>
              <w:t>)</w:t>
            </w:r>
          </w:p>
        </w:tc>
        <w:tc>
          <w:tcPr>
            <w:tcW w:w="990" w:type="dxa"/>
            <w:tcBorders>
              <w:top w:val="nil"/>
              <w:left w:val="nil"/>
              <w:bottom w:val="single" w:sz="8"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157 (45)</w:t>
            </w:r>
          </w:p>
        </w:tc>
      </w:tr>
      <w:tr w:rsidR="00274B0F" w:rsidRPr="00FE7564" w:rsidTr="00274B0F">
        <w:trPr>
          <w:trHeight w:val="69"/>
        </w:trPr>
        <w:tc>
          <w:tcPr>
            <w:tcW w:w="1440" w:type="dxa"/>
            <w:tcBorders>
              <w:top w:val="nil"/>
              <w:left w:val="single" w:sz="8" w:space="0" w:color="auto"/>
              <w:bottom w:val="single" w:sz="4" w:space="0" w:color="auto"/>
              <w:right w:val="single" w:sz="8" w:space="0" w:color="auto"/>
            </w:tcBorders>
            <w:shd w:val="clear" w:color="000000" w:fill="FFFFFF"/>
            <w:vAlign w:val="center"/>
            <w:hideMark/>
          </w:tcPr>
          <w:p w:rsidR="00FD2BA9" w:rsidRPr="00FE7564" w:rsidRDefault="00FD2BA9" w:rsidP="00C26563">
            <w:pPr>
              <w:widowControl/>
              <w:jc w:val="left"/>
              <w:rPr>
                <w:rFonts w:ascii="Arial Narrow" w:hAnsi="Arial Narrow" w:cs="Times New Roman"/>
                <w:snapToGrid/>
                <w:color w:val="000000"/>
                <w:sz w:val="20"/>
                <w:szCs w:val="20"/>
                <w:lang w:val="en-US"/>
              </w:rPr>
            </w:pPr>
            <w:proofErr w:type="spellStart"/>
            <w:r w:rsidRPr="00FE7564">
              <w:rPr>
                <w:rFonts w:ascii="Arial Narrow" w:hAnsi="Arial Narrow" w:cs="Times New Roman"/>
                <w:snapToGrid/>
                <w:color w:val="000000"/>
                <w:sz w:val="20"/>
                <w:szCs w:val="20"/>
                <w:lang w:val="en-US"/>
              </w:rPr>
              <w:t>Diarrhoea</w:t>
            </w:r>
            <w:proofErr w:type="spellEnd"/>
          </w:p>
        </w:tc>
        <w:tc>
          <w:tcPr>
            <w:tcW w:w="720" w:type="dxa"/>
            <w:tcBorders>
              <w:top w:val="nil"/>
              <w:left w:val="nil"/>
              <w:bottom w:val="single" w:sz="4" w:space="0" w:color="auto"/>
              <w:right w:val="single" w:sz="8" w:space="0" w:color="auto"/>
            </w:tcBorders>
            <w:shd w:val="clear" w:color="000000" w:fill="FFFFFF"/>
            <w:vAlign w:val="center"/>
            <w:hideMark/>
          </w:tcPr>
          <w:p w:rsidR="00FD2BA9" w:rsidRPr="00FE7564" w:rsidRDefault="00FD2BA9" w:rsidP="004977FB">
            <w:pPr>
              <w:widowControl/>
              <w:ind w:right="-63"/>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15 (28)</w:t>
            </w:r>
          </w:p>
        </w:tc>
        <w:tc>
          <w:tcPr>
            <w:tcW w:w="810" w:type="dxa"/>
            <w:tcBorders>
              <w:top w:val="nil"/>
              <w:left w:val="nil"/>
              <w:bottom w:val="single" w:sz="4"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26 (47)</w:t>
            </w:r>
          </w:p>
        </w:tc>
        <w:tc>
          <w:tcPr>
            <w:tcW w:w="1530" w:type="dxa"/>
            <w:tcBorders>
              <w:top w:val="nil"/>
              <w:left w:val="nil"/>
              <w:bottom w:val="single" w:sz="4"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0.19 (0.01, 0.37)</w:t>
            </w:r>
          </w:p>
        </w:tc>
        <w:tc>
          <w:tcPr>
            <w:tcW w:w="810" w:type="dxa"/>
            <w:tcBorders>
              <w:top w:val="nil"/>
              <w:left w:val="nil"/>
              <w:bottom w:val="single" w:sz="4"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33</w:t>
            </w:r>
            <w:r w:rsidRPr="00FE7564">
              <w:rPr>
                <w:rFonts w:ascii="Arial Narrow" w:hAnsi="Arial Narrow" w:cs="Times New Roman"/>
                <w:snapToGrid/>
                <w:color w:val="000000"/>
                <w:sz w:val="20"/>
                <w:szCs w:val="20"/>
                <w:lang w:val="en-US"/>
              </w:rPr>
              <w:t xml:space="preserve"> (</w:t>
            </w:r>
            <w:r w:rsidRPr="00331CB6">
              <w:rPr>
                <w:rFonts w:ascii="Arial Narrow" w:hAnsi="Arial Narrow" w:cs="Times New Roman"/>
                <w:snapToGrid/>
                <w:color w:val="000000"/>
                <w:sz w:val="20"/>
                <w:szCs w:val="20"/>
                <w:lang w:val="en-US"/>
              </w:rPr>
              <w:t>16</w:t>
            </w:r>
            <w:r w:rsidRPr="00FE7564">
              <w:rPr>
                <w:rFonts w:ascii="Arial Narrow" w:hAnsi="Arial Narrow" w:cs="Times New Roman"/>
                <w:snapToGrid/>
                <w:color w:val="000000"/>
                <w:sz w:val="20"/>
                <w:szCs w:val="20"/>
                <w:lang w:val="en-US"/>
              </w:rPr>
              <w:t>)</w:t>
            </w:r>
          </w:p>
        </w:tc>
        <w:tc>
          <w:tcPr>
            <w:tcW w:w="900" w:type="dxa"/>
            <w:tcBorders>
              <w:top w:val="nil"/>
              <w:left w:val="nil"/>
              <w:bottom w:val="single" w:sz="4"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63</w:t>
            </w:r>
            <w:r w:rsidRPr="00FE7564">
              <w:rPr>
                <w:rFonts w:ascii="Arial Narrow" w:hAnsi="Arial Narrow" w:cs="Times New Roman"/>
                <w:snapToGrid/>
                <w:color w:val="000000"/>
                <w:sz w:val="20"/>
                <w:szCs w:val="20"/>
                <w:lang w:val="en-US"/>
              </w:rPr>
              <w:t xml:space="preserve"> (</w:t>
            </w:r>
            <w:r w:rsidRPr="00331CB6">
              <w:rPr>
                <w:rFonts w:ascii="Arial Narrow" w:hAnsi="Arial Narrow" w:cs="Times New Roman"/>
                <w:snapToGrid/>
                <w:color w:val="000000"/>
                <w:sz w:val="20"/>
                <w:szCs w:val="20"/>
                <w:lang w:val="en-US"/>
              </w:rPr>
              <w:t>30</w:t>
            </w:r>
            <w:r w:rsidRPr="00FE7564">
              <w:rPr>
                <w:rFonts w:ascii="Arial Narrow" w:hAnsi="Arial Narrow" w:cs="Times New Roman"/>
                <w:snapToGrid/>
                <w:color w:val="000000"/>
                <w:sz w:val="20"/>
                <w:szCs w:val="20"/>
                <w:lang w:val="en-US"/>
              </w:rPr>
              <w:t>)</w:t>
            </w:r>
          </w:p>
        </w:tc>
        <w:tc>
          <w:tcPr>
            <w:tcW w:w="1170" w:type="dxa"/>
            <w:tcBorders>
              <w:top w:val="nil"/>
              <w:left w:val="nil"/>
              <w:bottom w:val="single" w:sz="4" w:space="0" w:color="auto"/>
              <w:right w:val="single" w:sz="8" w:space="0" w:color="auto"/>
            </w:tcBorders>
            <w:shd w:val="clear" w:color="000000" w:fill="FFFFFF"/>
            <w:vAlign w:val="center"/>
            <w:hideMark/>
          </w:tcPr>
          <w:p w:rsidR="00FD2BA9" w:rsidRPr="00331CB6"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0.15</w:t>
            </w:r>
          </w:p>
          <w:p w:rsidR="00FD2BA9" w:rsidRPr="00FE7564" w:rsidRDefault="00FD2BA9" w:rsidP="00C26563">
            <w:pPr>
              <w:widowControl/>
              <w:jc w:val="center"/>
              <w:rPr>
                <w:rFonts w:ascii="Arial Narrow" w:hAnsi="Arial Narrow" w:cs="Times New Roman"/>
                <w:snapToGrid/>
                <w:color w:val="000000"/>
                <w:sz w:val="20"/>
                <w:szCs w:val="20"/>
                <w:lang w:val="en-US"/>
              </w:rPr>
            </w:pPr>
            <w:r w:rsidRPr="00FE7564">
              <w:rPr>
                <w:rFonts w:ascii="Arial Narrow" w:hAnsi="Arial Narrow" w:cs="Times New Roman"/>
                <w:snapToGrid/>
                <w:color w:val="000000"/>
                <w:sz w:val="20"/>
                <w:szCs w:val="20"/>
                <w:lang w:val="en-US"/>
              </w:rPr>
              <w:t xml:space="preserve"> (</w:t>
            </w:r>
            <w:r w:rsidRPr="00331CB6">
              <w:rPr>
                <w:rFonts w:ascii="Arial Narrow" w:hAnsi="Arial Narrow" w:cs="Times New Roman"/>
                <w:snapToGrid/>
                <w:color w:val="000000"/>
                <w:sz w:val="20"/>
                <w:szCs w:val="20"/>
                <w:lang w:val="en-US"/>
              </w:rPr>
              <w:t>0.07, 0.22</w:t>
            </w:r>
            <w:r w:rsidRPr="00FE7564">
              <w:rPr>
                <w:rFonts w:ascii="Arial Narrow" w:hAnsi="Arial Narrow" w:cs="Times New Roman"/>
                <w:snapToGrid/>
                <w:color w:val="000000"/>
                <w:sz w:val="20"/>
                <w:szCs w:val="20"/>
                <w:lang w:val="en-US"/>
              </w:rPr>
              <w:t>)</w:t>
            </w:r>
          </w:p>
        </w:tc>
        <w:tc>
          <w:tcPr>
            <w:tcW w:w="990" w:type="dxa"/>
            <w:tcBorders>
              <w:top w:val="nil"/>
              <w:left w:val="nil"/>
              <w:bottom w:val="single" w:sz="4" w:space="0" w:color="auto"/>
              <w:right w:val="single" w:sz="8" w:space="0" w:color="auto"/>
            </w:tcBorders>
            <w:shd w:val="clear" w:color="000000" w:fill="FFFFFF"/>
            <w:vAlign w:val="center"/>
            <w:hideMark/>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112</w:t>
            </w:r>
            <w:r w:rsidRPr="00FE7564">
              <w:rPr>
                <w:rFonts w:ascii="Arial Narrow" w:hAnsi="Arial Narrow" w:cs="Times New Roman"/>
                <w:snapToGrid/>
                <w:color w:val="000000"/>
                <w:sz w:val="20"/>
                <w:szCs w:val="20"/>
                <w:lang w:val="en-US"/>
              </w:rPr>
              <w:t xml:space="preserve"> (</w:t>
            </w:r>
            <w:r w:rsidRPr="00331CB6">
              <w:rPr>
                <w:rFonts w:ascii="Arial Narrow" w:hAnsi="Arial Narrow" w:cs="Times New Roman"/>
                <w:snapToGrid/>
                <w:color w:val="000000"/>
                <w:sz w:val="20"/>
                <w:szCs w:val="20"/>
                <w:lang w:val="en-US"/>
              </w:rPr>
              <w:t>32</w:t>
            </w:r>
            <w:r w:rsidRPr="00FE7564">
              <w:rPr>
                <w:rFonts w:ascii="Arial Narrow" w:hAnsi="Arial Narrow" w:cs="Times New Roman"/>
                <w:snapToGrid/>
                <w:color w:val="000000"/>
                <w:sz w:val="20"/>
                <w:szCs w:val="20"/>
                <w:lang w:val="en-US"/>
              </w:rPr>
              <w:t>)</w:t>
            </w:r>
          </w:p>
        </w:tc>
      </w:tr>
      <w:tr w:rsidR="00274B0F" w:rsidRPr="00FE7564" w:rsidTr="004977FB">
        <w:trPr>
          <w:trHeight w:val="69"/>
        </w:trPr>
        <w:tc>
          <w:tcPr>
            <w:tcW w:w="1440" w:type="dxa"/>
            <w:tcBorders>
              <w:top w:val="single" w:sz="4" w:space="0" w:color="auto"/>
              <w:left w:val="single" w:sz="8" w:space="0" w:color="auto"/>
              <w:bottom w:val="single" w:sz="8" w:space="0" w:color="auto"/>
              <w:right w:val="single" w:sz="8" w:space="0" w:color="auto"/>
            </w:tcBorders>
            <w:shd w:val="clear" w:color="000000" w:fill="FFFFFF"/>
            <w:vAlign w:val="center"/>
          </w:tcPr>
          <w:p w:rsidR="00274B0F" w:rsidRPr="00FE7564" w:rsidRDefault="00274B0F" w:rsidP="00C26563">
            <w:pPr>
              <w:widowControl/>
              <w:jc w:val="left"/>
              <w:rPr>
                <w:rFonts w:ascii="Arial Narrow" w:hAnsi="Arial Narrow" w:cs="Times New Roman"/>
                <w:snapToGrid/>
                <w:color w:val="000000"/>
                <w:sz w:val="20"/>
                <w:szCs w:val="20"/>
                <w:lang w:val="en-US"/>
              </w:rPr>
            </w:pPr>
            <w:r w:rsidRPr="00FE7564">
              <w:rPr>
                <w:rFonts w:ascii="Arial Narrow" w:hAnsi="Arial Narrow"/>
                <w:sz w:val="20"/>
                <w:szCs w:val="20"/>
              </w:rPr>
              <w:t>Haemorrhages</w:t>
            </w:r>
          </w:p>
        </w:tc>
        <w:tc>
          <w:tcPr>
            <w:tcW w:w="720" w:type="dxa"/>
            <w:tcBorders>
              <w:top w:val="single" w:sz="4" w:space="0" w:color="auto"/>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3 (6)</w:t>
            </w:r>
          </w:p>
        </w:tc>
        <w:tc>
          <w:tcPr>
            <w:tcW w:w="810" w:type="dxa"/>
            <w:tcBorders>
              <w:top w:val="single" w:sz="4" w:space="0" w:color="auto"/>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17 (31)</w:t>
            </w:r>
          </w:p>
        </w:tc>
        <w:tc>
          <w:tcPr>
            <w:tcW w:w="1530" w:type="dxa"/>
            <w:tcBorders>
              <w:top w:val="single" w:sz="4" w:space="0" w:color="auto"/>
              <w:left w:val="nil"/>
              <w:bottom w:val="single" w:sz="8" w:space="0" w:color="auto"/>
              <w:right w:val="single" w:sz="8" w:space="0" w:color="auto"/>
            </w:tcBorders>
            <w:shd w:val="clear" w:color="000000" w:fill="FFFFFF"/>
            <w:vAlign w:val="center"/>
          </w:tcPr>
          <w:p w:rsidR="00274B0F" w:rsidRPr="00FE7564" w:rsidRDefault="00274B0F" w:rsidP="004977FB">
            <w:pPr>
              <w:keepNext/>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0.25 (0.12, 0.39)</w:t>
            </w:r>
          </w:p>
        </w:tc>
        <w:tc>
          <w:tcPr>
            <w:tcW w:w="810" w:type="dxa"/>
            <w:tcBorders>
              <w:top w:val="single" w:sz="4" w:space="0" w:color="auto"/>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32</w:t>
            </w:r>
            <w:r w:rsidRPr="00FE7564">
              <w:rPr>
                <w:rFonts w:ascii="Arial Narrow" w:hAnsi="Arial Narrow"/>
                <w:color w:val="000000"/>
                <w:sz w:val="20"/>
                <w:szCs w:val="20"/>
              </w:rPr>
              <w:t xml:space="preserve"> (</w:t>
            </w:r>
            <w:r w:rsidRPr="00331CB6">
              <w:rPr>
                <w:rFonts w:ascii="Arial Narrow" w:hAnsi="Arial Narrow"/>
                <w:color w:val="000000"/>
                <w:sz w:val="20"/>
                <w:szCs w:val="20"/>
              </w:rPr>
              <w:t>15</w:t>
            </w:r>
            <w:r w:rsidRPr="00FE7564">
              <w:rPr>
                <w:rFonts w:ascii="Arial Narrow" w:hAnsi="Arial Narrow"/>
                <w:color w:val="000000"/>
                <w:sz w:val="20"/>
                <w:szCs w:val="20"/>
              </w:rPr>
              <w:t>)</w:t>
            </w:r>
          </w:p>
        </w:tc>
        <w:tc>
          <w:tcPr>
            <w:tcW w:w="900" w:type="dxa"/>
            <w:tcBorders>
              <w:top w:val="single" w:sz="4" w:space="0" w:color="auto"/>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40</w:t>
            </w:r>
            <w:r w:rsidRPr="00FE7564">
              <w:rPr>
                <w:rFonts w:ascii="Arial Narrow" w:hAnsi="Arial Narrow"/>
                <w:color w:val="000000"/>
                <w:sz w:val="20"/>
                <w:szCs w:val="20"/>
              </w:rPr>
              <w:t xml:space="preserve"> (</w:t>
            </w:r>
            <w:r w:rsidRPr="00331CB6">
              <w:rPr>
                <w:rFonts w:ascii="Arial Narrow" w:hAnsi="Arial Narrow"/>
                <w:color w:val="000000"/>
                <w:sz w:val="20"/>
                <w:szCs w:val="20"/>
              </w:rPr>
              <w:t>19</w:t>
            </w:r>
            <w:r w:rsidRPr="00FE7564">
              <w:rPr>
                <w:rFonts w:ascii="Arial Narrow" w:hAnsi="Arial Narrow"/>
                <w:color w:val="000000"/>
                <w:sz w:val="20"/>
                <w:szCs w:val="20"/>
              </w:rPr>
              <w:t>)</w:t>
            </w:r>
          </w:p>
        </w:tc>
        <w:tc>
          <w:tcPr>
            <w:tcW w:w="1170" w:type="dxa"/>
            <w:tcBorders>
              <w:top w:val="single" w:sz="4" w:space="0" w:color="auto"/>
              <w:left w:val="nil"/>
              <w:bottom w:val="single" w:sz="8" w:space="0" w:color="auto"/>
              <w:right w:val="single" w:sz="8" w:space="0" w:color="auto"/>
            </w:tcBorders>
            <w:shd w:val="clear" w:color="000000" w:fill="FFFFFF"/>
            <w:vAlign w:val="center"/>
          </w:tcPr>
          <w:p w:rsidR="00274B0F" w:rsidRPr="00331CB6"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0.04</w:t>
            </w:r>
          </w:p>
          <w:p w:rsidR="00274B0F" w:rsidRPr="00FE7564" w:rsidRDefault="00274B0F" w:rsidP="004977FB">
            <w:pPr>
              <w:widowControl/>
              <w:jc w:val="center"/>
              <w:rPr>
                <w:rFonts w:ascii="Arial Narrow" w:hAnsi="Arial Narrow" w:cs="Times New Roman"/>
                <w:snapToGrid/>
                <w:color w:val="000000"/>
                <w:sz w:val="20"/>
                <w:szCs w:val="20"/>
                <w:lang w:val="en-US"/>
              </w:rPr>
            </w:pPr>
            <w:r w:rsidRPr="00FE7564">
              <w:rPr>
                <w:rFonts w:ascii="Arial Narrow" w:hAnsi="Arial Narrow"/>
                <w:color w:val="000000"/>
                <w:sz w:val="20"/>
                <w:szCs w:val="20"/>
              </w:rPr>
              <w:t>(-</w:t>
            </w:r>
            <w:r w:rsidRPr="00331CB6">
              <w:rPr>
                <w:rFonts w:ascii="Arial Narrow" w:hAnsi="Arial Narrow"/>
                <w:color w:val="000000"/>
                <w:sz w:val="20"/>
                <w:szCs w:val="20"/>
              </w:rPr>
              <w:t>0.03, 0.11</w:t>
            </w:r>
            <w:r w:rsidRPr="00FE7564">
              <w:rPr>
                <w:rFonts w:ascii="Arial Narrow" w:hAnsi="Arial Narrow"/>
                <w:color w:val="000000"/>
                <w:sz w:val="20"/>
                <w:szCs w:val="20"/>
              </w:rPr>
              <w:t>)</w:t>
            </w:r>
          </w:p>
        </w:tc>
        <w:tc>
          <w:tcPr>
            <w:tcW w:w="990" w:type="dxa"/>
            <w:tcBorders>
              <w:top w:val="single" w:sz="4" w:space="0" w:color="auto"/>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62</w:t>
            </w:r>
            <w:r w:rsidRPr="00FE7564">
              <w:rPr>
                <w:rFonts w:ascii="Arial Narrow" w:hAnsi="Arial Narrow"/>
                <w:color w:val="000000"/>
                <w:sz w:val="20"/>
                <w:szCs w:val="20"/>
              </w:rPr>
              <w:t xml:space="preserve"> (</w:t>
            </w:r>
            <w:r w:rsidRPr="00331CB6">
              <w:rPr>
                <w:rFonts w:ascii="Arial Narrow" w:hAnsi="Arial Narrow"/>
                <w:color w:val="000000"/>
                <w:sz w:val="20"/>
                <w:szCs w:val="20"/>
              </w:rPr>
              <w:t>18</w:t>
            </w:r>
            <w:r w:rsidRPr="00FE7564">
              <w:rPr>
                <w:rFonts w:ascii="Arial Narrow" w:hAnsi="Arial Narrow"/>
                <w:color w:val="000000"/>
                <w:sz w:val="20"/>
                <w:szCs w:val="20"/>
              </w:rPr>
              <w:t>)</w:t>
            </w:r>
          </w:p>
        </w:tc>
      </w:tr>
      <w:tr w:rsidR="00274B0F" w:rsidRPr="00FE7564" w:rsidTr="004977FB">
        <w:trPr>
          <w:trHeight w:val="69"/>
        </w:trPr>
        <w:tc>
          <w:tcPr>
            <w:tcW w:w="1440" w:type="dxa"/>
            <w:tcBorders>
              <w:top w:val="nil"/>
              <w:left w:val="single" w:sz="8" w:space="0" w:color="auto"/>
              <w:bottom w:val="single" w:sz="8" w:space="0" w:color="auto"/>
              <w:right w:val="single" w:sz="8" w:space="0" w:color="auto"/>
            </w:tcBorders>
            <w:shd w:val="clear" w:color="000000" w:fill="FFFFFF"/>
            <w:vAlign w:val="center"/>
          </w:tcPr>
          <w:p w:rsidR="00274B0F" w:rsidRPr="00FE7564" w:rsidRDefault="00274B0F" w:rsidP="00C26563">
            <w:pPr>
              <w:widowControl/>
              <w:jc w:val="left"/>
              <w:rPr>
                <w:rFonts w:ascii="Arial Narrow" w:hAnsi="Arial Narrow"/>
                <w:sz w:val="20"/>
                <w:szCs w:val="20"/>
              </w:rPr>
            </w:pPr>
            <w:r w:rsidRPr="00FE7564">
              <w:rPr>
                <w:rFonts w:ascii="Arial Narrow" w:hAnsi="Arial Narrow"/>
                <w:sz w:val="20"/>
                <w:szCs w:val="20"/>
              </w:rPr>
              <w:t>Oedema</w:t>
            </w:r>
          </w:p>
        </w:tc>
        <w:tc>
          <w:tcPr>
            <w:tcW w:w="72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9 (17)</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15 (27)</w:t>
            </w:r>
          </w:p>
        </w:tc>
        <w:tc>
          <w:tcPr>
            <w:tcW w:w="153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keepNext/>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 xml:space="preserve">0.1 </w:t>
            </w:r>
            <w:r w:rsidRPr="00FE7564">
              <w:rPr>
                <w:rFonts w:ascii="Arial Narrow" w:hAnsi="Arial Narrow"/>
                <w:color w:val="000000"/>
                <w:sz w:val="20"/>
                <w:szCs w:val="20"/>
              </w:rPr>
              <w:t>(-</w:t>
            </w:r>
            <w:r w:rsidRPr="00331CB6">
              <w:rPr>
                <w:rFonts w:ascii="Arial Narrow" w:hAnsi="Arial Narrow"/>
                <w:color w:val="000000"/>
                <w:sz w:val="20"/>
                <w:szCs w:val="20"/>
              </w:rPr>
              <w:t>0.05, 0.26</w:t>
            </w:r>
            <w:r w:rsidRPr="00FE7564">
              <w:rPr>
                <w:rFonts w:ascii="Arial Narrow" w:hAnsi="Arial Narrow"/>
                <w:color w:val="000000"/>
                <w:sz w:val="20"/>
                <w:szCs w:val="20"/>
              </w:rPr>
              <w:t>)</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23</w:t>
            </w:r>
            <w:r w:rsidRPr="00FE7564">
              <w:rPr>
                <w:rFonts w:ascii="Arial Narrow" w:hAnsi="Arial Narrow"/>
                <w:color w:val="000000"/>
                <w:sz w:val="20"/>
                <w:szCs w:val="20"/>
              </w:rPr>
              <w:t xml:space="preserve"> (</w:t>
            </w:r>
            <w:r w:rsidRPr="00331CB6">
              <w:rPr>
                <w:rFonts w:ascii="Arial Narrow" w:hAnsi="Arial Narrow"/>
                <w:color w:val="000000"/>
                <w:sz w:val="20"/>
                <w:szCs w:val="20"/>
              </w:rPr>
              <w:t>11</w:t>
            </w:r>
            <w:r w:rsidRPr="00FE7564">
              <w:rPr>
                <w:rFonts w:ascii="Arial Narrow" w:hAnsi="Arial Narrow"/>
                <w:color w:val="000000"/>
                <w:sz w:val="20"/>
                <w:szCs w:val="20"/>
              </w:rPr>
              <w:t>)</w:t>
            </w:r>
          </w:p>
        </w:tc>
        <w:tc>
          <w:tcPr>
            <w:tcW w:w="90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53</w:t>
            </w:r>
            <w:r w:rsidRPr="00FE7564">
              <w:rPr>
                <w:rFonts w:ascii="Arial Narrow" w:hAnsi="Arial Narrow"/>
                <w:color w:val="000000"/>
                <w:sz w:val="20"/>
                <w:szCs w:val="20"/>
              </w:rPr>
              <w:t xml:space="preserve"> (</w:t>
            </w:r>
            <w:r w:rsidRPr="00331CB6">
              <w:rPr>
                <w:rFonts w:ascii="Arial Narrow" w:hAnsi="Arial Narrow"/>
                <w:color w:val="000000"/>
                <w:sz w:val="20"/>
                <w:szCs w:val="20"/>
              </w:rPr>
              <w:t>25</w:t>
            </w:r>
            <w:r w:rsidRPr="00FE7564">
              <w:rPr>
                <w:rFonts w:ascii="Arial Narrow" w:hAnsi="Arial Narrow"/>
                <w:color w:val="000000"/>
                <w:sz w:val="20"/>
                <w:szCs w:val="20"/>
              </w:rPr>
              <w:t>)</w:t>
            </w:r>
          </w:p>
        </w:tc>
        <w:tc>
          <w:tcPr>
            <w:tcW w:w="1170" w:type="dxa"/>
            <w:tcBorders>
              <w:top w:val="nil"/>
              <w:left w:val="nil"/>
              <w:bottom w:val="single" w:sz="8" w:space="0" w:color="auto"/>
              <w:right w:val="single" w:sz="8" w:space="0" w:color="auto"/>
            </w:tcBorders>
            <w:shd w:val="clear" w:color="000000" w:fill="FFFFFF"/>
            <w:vAlign w:val="center"/>
          </w:tcPr>
          <w:p w:rsidR="00274B0F" w:rsidRPr="00331CB6"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0.14</w:t>
            </w:r>
          </w:p>
          <w:p w:rsidR="00274B0F" w:rsidRPr="00FE7564" w:rsidRDefault="00274B0F" w:rsidP="004977FB">
            <w:pPr>
              <w:widowControl/>
              <w:jc w:val="center"/>
              <w:rPr>
                <w:rFonts w:ascii="Arial Narrow" w:hAnsi="Arial Narrow" w:cs="Times New Roman"/>
                <w:snapToGrid/>
                <w:color w:val="000000"/>
                <w:sz w:val="20"/>
                <w:szCs w:val="20"/>
                <w:lang w:val="en-US"/>
              </w:rPr>
            </w:pPr>
            <w:r w:rsidRPr="00FE7564">
              <w:rPr>
                <w:rFonts w:ascii="Arial Narrow" w:hAnsi="Arial Narrow"/>
                <w:color w:val="000000"/>
                <w:sz w:val="20"/>
                <w:szCs w:val="20"/>
              </w:rPr>
              <w:t>(</w:t>
            </w:r>
            <w:r w:rsidRPr="00331CB6">
              <w:rPr>
                <w:rFonts w:ascii="Arial Narrow" w:hAnsi="Arial Narrow"/>
                <w:color w:val="000000"/>
                <w:sz w:val="20"/>
                <w:szCs w:val="20"/>
              </w:rPr>
              <w:t>0.07, 0.22</w:t>
            </w:r>
            <w:r w:rsidRPr="00FE7564">
              <w:rPr>
                <w:rFonts w:ascii="Arial Narrow" w:hAnsi="Arial Narrow"/>
                <w:color w:val="000000"/>
                <w:sz w:val="20"/>
                <w:szCs w:val="20"/>
              </w:rPr>
              <w:t>)</w:t>
            </w:r>
          </w:p>
        </w:tc>
        <w:tc>
          <w:tcPr>
            <w:tcW w:w="99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63</w:t>
            </w:r>
            <w:r w:rsidRPr="00FE7564">
              <w:rPr>
                <w:rFonts w:ascii="Arial Narrow" w:hAnsi="Arial Narrow"/>
                <w:color w:val="000000"/>
                <w:sz w:val="20"/>
                <w:szCs w:val="20"/>
              </w:rPr>
              <w:t xml:space="preserve"> (</w:t>
            </w:r>
            <w:r w:rsidRPr="00331CB6">
              <w:rPr>
                <w:rFonts w:ascii="Arial Narrow" w:hAnsi="Arial Narrow"/>
                <w:color w:val="000000"/>
                <w:sz w:val="20"/>
                <w:szCs w:val="20"/>
              </w:rPr>
              <w:t>18</w:t>
            </w:r>
            <w:r w:rsidRPr="00FE7564">
              <w:rPr>
                <w:rFonts w:ascii="Arial Narrow" w:hAnsi="Arial Narrow"/>
                <w:color w:val="000000"/>
                <w:sz w:val="20"/>
                <w:szCs w:val="20"/>
              </w:rPr>
              <w:t>)</w:t>
            </w:r>
          </w:p>
        </w:tc>
      </w:tr>
      <w:tr w:rsidR="00274B0F" w:rsidRPr="00FE7564" w:rsidTr="004977FB">
        <w:trPr>
          <w:trHeight w:val="69"/>
        </w:trPr>
        <w:tc>
          <w:tcPr>
            <w:tcW w:w="1440" w:type="dxa"/>
            <w:tcBorders>
              <w:top w:val="nil"/>
              <w:left w:val="single" w:sz="8" w:space="0" w:color="auto"/>
              <w:bottom w:val="single" w:sz="8" w:space="0" w:color="auto"/>
              <w:right w:val="single" w:sz="8" w:space="0" w:color="auto"/>
            </w:tcBorders>
            <w:shd w:val="clear" w:color="000000" w:fill="FFFFFF"/>
            <w:vAlign w:val="center"/>
          </w:tcPr>
          <w:p w:rsidR="00274B0F" w:rsidRPr="00FE7564" w:rsidRDefault="00274B0F" w:rsidP="00C26563">
            <w:pPr>
              <w:widowControl/>
              <w:jc w:val="left"/>
              <w:rPr>
                <w:rFonts w:ascii="Arial Narrow" w:hAnsi="Arial Narrow"/>
                <w:sz w:val="20"/>
                <w:szCs w:val="20"/>
              </w:rPr>
            </w:pPr>
            <w:r w:rsidRPr="00FE7564">
              <w:rPr>
                <w:rFonts w:ascii="Arial Narrow" w:hAnsi="Arial Narrow"/>
                <w:sz w:val="20"/>
                <w:szCs w:val="20"/>
              </w:rPr>
              <w:t>Neutropenia</w:t>
            </w:r>
          </w:p>
        </w:tc>
        <w:tc>
          <w:tcPr>
            <w:tcW w:w="72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2(4)</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10 (18)</w:t>
            </w:r>
          </w:p>
        </w:tc>
        <w:tc>
          <w:tcPr>
            <w:tcW w:w="153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keepNext/>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0.14 (0.03, 0.26)</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9</w:t>
            </w:r>
            <w:r w:rsidRPr="00FE7564">
              <w:rPr>
                <w:rFonts w:ascii="Arial Narrow" w:hAnsi="Arial Narrow"/>
                <w:color w:val="000000"/>
                <w:sz w:val="20"/>
                <w:szCs w:val="20"/>
              </w:rPr>
              <w:t xml:space="preserve"> (</w:t>
            </w:r>
            <w:r w:rsidRPr="00331CB6">
              <w:rPr>
                <w:rFonts w:ascii="Arial Narrow" w:hAnsi="Arial Narrow"/>
                <w:color w:val="000000"/>
                <w:sz w:val="20"/>
                <w:szCs w:val="20"/>
              </w:rPr>
              <w:t>4</w:t>
            </w:r>
            <w:r w:rsidRPr="00FE7564">
              <w:rPr>
                <w:rFonts w:ascii="Arial Narrow" w:hAnsi="Arial Narrow"/>
                <w:color w:val="000000"/>
                <w:sz w:val="20"/>
                <w:szCs w:val="20"/>
              </w:rPr>
              <w:t>)</w:t>
            </w:r>
          </w:p>
        </w:tc>
        <w:tc>
          <w:tcPr>
            <w:tcW w:w="90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30</w:t>
            </w:r>
            <w:r w:rsidRPr="00FE7564">
              <w:rPr>
                <w:rFonts w:ascii="Arial Narrow" w:hAnsi="Arial Narrow"/>
                <w:color w:val="000000"/>
                <w:sz w:val="20"/>
                <w:szCs w:val="20"/>
              </w:rPr>
              <w:t xml:space="preserve"> (</w:t>
            </w:r>
            <w:r w:rsidRPr="00331CB6">
              <w:rPr>
                <w:rFonts w:ascii="Arial Narrow" w:hAnsi="Arial Narrow"/>
                <w:color w:val="000000"/>
                <w:sz w:val="20"/>
                <w:szCs w:val="20"/>
              </w:rPr>
              <w:t>14</w:t>
            </w:r>
            <w:r w:rsidRPr="00FE7564">
              <w:rPr>
                <w:rFonts w:ascii="Arial Narrow" w:hAnsi="Arial Narrow"/>
                <w:color w:val="000000"/>
                <w:sz w:val="20"/>
                <w:szCs w:val="20"/>
              </w:rPr>
              <w:t>)</w:t>
            </w:r>
          </w:p>
        </w:tc>
        <w:tc>
          <w:tcPr>
            <w:tcW w:w="1170" w:type="dxa"/>
            <w:tcBorders>
              <w:top w:val="nil"/>
              <w:left w:val="nil"/>
              <w:bottom w:val="single" w:sz="8" w:space="0" w:color="auto"/>
              <w:right w:val="single" w:sz="8" w:space="0" w:color="auto"/>
            </w:tcBorders>
            <w:shd w:val="clear" w:color="000000" w:fill="FFFFFF"/>
            <w:vAlign w:val="center"/>
          </w:tcPr>
          <w:p w:rsidR="00274B0F" w:rsidRPr="00331CB6"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0.10</w:t>
            </w:r>
          </w:p>
          <w:p w:rsidR="00274B0F" w:rsidRPr="00FE7564" w:rsidRDefault="00274B0F" w:rsidP="004977FB">
            <w:pPr>
              <w:widowControl/>
              <w:jc w:val="center"/>
              <w:rPr>
                <w:rFonts w:ascii="Arial Narrow" w:hAnsi="Arial Narrow" w:cs="Times New Roman"/>
                <w:snapToGrid/>
                <w:color w:val="000000"/>
                <w:sz w:val="20"/>
                <w:szCs w:val="20"/>
                <w:lang w:val="en-US"/>
              </w:rPr>
            </w:pPr>
            <w:r w:rsidRPr="00FE7564">
              <w:rPr>
                <w:rFonts w:ascii="Arial Narrow" w:hAnsi="Arial Narrow"/>
                <w:color w:val="000000"/>
                <w:sz w:val="20"/>
                <w:szCs w:val="20"/>
              </w:rPr>
              <w:t>(</w:t>
            </w:r>
            <w:r w:rsidRPr="00331CB6">
              <w:rPr>
                <w:rFonts w:ascii="Arial Narrow" w:hAnsi="Arial Narrow"/>
                <w:color w:val="000000"/>
                <w:sz w:val="20"/>
                <w:szCs w:val="20"/>
              </w:rPr>
              <w:t>0.05, 0.16</w:t>
            </w:r>
            <w:r w:rsidRPr="00FE7564">
              <w:rPr>
                <w:rFonts w:ascii="Arial Narrow" w:hAnsi="Arial Narrow"/>
                <w:color w:val="000000"/>
                <w:sz w:val="20"/>
                <w:szCs w:val="20"/>
              </w:rPr>
              <w:t>)</w:t>
            </w:r>
          </w:p>
        </w:tc>
        <w:tc>
          <w:tcPr>
            <w:tcW w:w="99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50</w:t>
            </w:r>
            <w:r w:rsidRPr="00FE7564">
              <w:rPr>
                <w:rFonts w:ascii="Arial Narrow" w:hAnsi="Arial Narrow"/>
                <w:color w:val="000000"/>
                <w:sz w:val="20"/>
                <w:szCs w:val="20"/>
              </w:rPr>
              <w:t xml:space="preserve"> (</w:t>
            </w:r>
            <w:r w:rsidRPr="00331CB6">
              <w:rPr>
                <w:rFonts w:ascii="Arial Narrow" w:hAnsi="Arial Narrow"/>
                <w:color w:val="000000"/>
                <w:sz w:val="20"/>
                <w:szCs w:val="20"/>
              </w:rPr>
              <w:t>14</w:t>
            </w:r>
            <w:r w:rsidRPr="00FE7564">
              <w:rPr>
                <w:rFonts w:ascii="Arial Narrow" w:hAnsi="Arial Narrow"/>
                <w:color w:val="000000"/>
                <w:sz w:val="20"/>
                <w:szCs w:val="20"/>
              </w:rPr>
              <w:t>)</w:t>
            </w:r>
          </w:p>
        </w:tc>
      </w:tr>
      <w:tr w:rsidR="00274B0F" w:rsidRPr="00FE7564" w:rsidTr="004977FB">
        <w:trPr>
          <w:trHeight w:val="69"/>
        </w:trPr>
        <w:tc>
          <w:tcPr>
            <w:tcW w:w="1440" w:type="dxa"/>
            <w:tcBorders>
              <w:top w:val="nil"/>
              <w:left w:val="single" w:sz="8" w:space="0" w:color="auto"/>
              <w:bottom w:val="single" w:sz="8" w:space="0" w:color="auto"/>
              <w:right w:val="single" w:sz="8" w:space="0" w:color="auto"/>
            </w:tcBorders>
            <w:shd w:val="clear" w:color="000000" w:fill="FFFFFF"/>
            <w:vAlign w:val="center"/>
          </w:tcPr>
          <w:p w:rsidR="00274B0F" w:rsidRPr="00FE7564" w:rsidRDefault="00274B0F" w:rsidP="00C26563">
            <w:pPr>
              <w:widowControl/>
              <w:jc w:val="left"/>
              <w:rPr>
                <w:rFonts w:ascii="Arial Narrow" w:hAnsi="Arial Narrow"/>
                <w:sz w:val="20"/>
                <w:szCs w:val="20"/>
              </w:rPr>
            </w:pPr>
            <w:r w:rsidRPr="00FE7564">
              <w:rPr>
                <w:rFonts w:ascii="Arial Narrow" w:hAnsi="Arial Narrow"/>
                <w:sz w:val="20"/>
                <w:szCs w:val="20"/>
              </w:rPr>
              <w:t>Hypertension</w:t>
            </w:r>
          </w:p>
        </w:tc>
        <w:tc>
          <w:tcPr>
            <w:tcW w:w="72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2 (4)</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6 (11)</w:t>
            </w:r>
          </w:p>
        </w:tc>
        <w:tc>
          <w:tcPr>
            <w:tcW w:w="153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 xml:space="preserve">0.07 </w:t>
            </w:r>
            <w:r w:rsidRPr="00FE7564">
              <w:rPr>
                <w:rFonts w:ascii="Arial Narrow" w:hAnsi="Arial Narrow"/>
                <w:color w:val="000000"/>
                <w:sz w:val="20"/>
                <w:szCs w:val="20"/>
              </w:rPr>
              <w:t>(-</w:t>
            </w:r>
            <w:r w:rsidRPr="00331CB6">
              <w:rPr>
                <w:rFonts w:ascii="Arial Narrow" w:hAnsi="Arial Narrow"/>
                <w:color w:val="000000"/>
                <w:sz w:val="20"/>
                <w:szCs w:val="20"/>
              </w:rPr>
              <w:t>0.03, 0.17</w:t>
            </w:r>
            <w:r w:rsidRPr="00FE7564">
              <w:rPr>
                <w:rFonts w:ascii="Arial Narrow" w:hAnsi="Arial Narrow"/>
                <w:color w:val="000000"/>
                <w:sz w:val="20"/>
                <w:szCs w:val="20"/>
              </w:rPr>
              <w:t>)</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36</w:t>
            </w:r>
            <w:r w:rsidRPr="00FE7564">
              <w:rPr>
                <w:rFonts w:ascii="Arial Narrow" w:hAnsi="Arial Narrow"/>
                <w:color w:val="000000"/>
                <w:sz w:val="20"/>
                <w:szCs w:val="20"/>
              </w:rPr>
              <w:t xml:space="preserve"> (</w:t>
            </w:r>
            <w:r w:rsidRPr="00331CB6">
              <w:rPr>
                <w:rFonts w:ascii="Arial Narrow" w:hAnsi="Arial Narrow"/>
                <w:color w:val="000000"/>
                <w:sz w:val="20"/>
                <w:szCs w:val="20"/>
              </w:rPr>
              <w:t>17</w:t>
            </w:r>
            <w:r w:rsidRPr="00FE7564">
              <w:rPr>
                <w:rFonts w:ascii="Arial Narrow" w:hAnsi="Arial Narrow"/>
                <w:color w:val="000000"/>
                <w:sz w:val="20"/>
                <w:szCs w:val="20"/>
              </w:rPr>
              <w:t>)</w:t>
            </w:r>
          </w:p>
        </w:tc>
        <w:tc>
          <w:tcPr>
            <w:tcW w:w="90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54</w:t>
            </w:r>
            <w:r w:rsidRPr="00FE7564">
              <w:rPr>
                <w:rFonts w:ascii="Arial Narrow" w:hAnsi="Arial Narrow"/>
                <w:color w:val="000000"/>
                <w:sz w:val="20"/>
                <w:szCs w:val="20"/>
              </w:rPr>
              <w:t xml:space="preserve"> (</w:t>
            </w:r>
            <w:r w:rsidRPr="00331CB6">
              <w:rPr>
                <w:rFonts w:ascii="Arial Narrow" w:hAnsi="Arial Narrow"/>
                <w:color w:val="000000"/>
                <w:sz w:val="20"/>
                <w:szCs w:val="20"/>
              </w:rPr>
              <w:t>26</w:t>
            </w:r>
            <w:r w:rsidRPr="00FE7564">
              <w:rPr>
                <w:rFonts w:ascii="Arial Narrow" w:hAnsi="Arial Narrow"/>
                <w:color w:val="000000"/>
                <w:sz w:val="20"/>
                <w:szCs w:val="20"/>
              </w:rPr>
              <w:t>)</w:t>
            </w:r>
          </w:p>
        </w:tc>
        <w:tc>
          <w:tcPr>
            <w:tcW w:w="1170" w:type="dxa"/>
            <w:tcBorders>
              <w:top w:val="nil"/>
              <w:left w:val="nil"/>
              <w:bottom w:val="single" w:sz="8" w:space="0" w:color="auto"/>
              <w:right w:val="single" w:sz="8" w:space="0" w:color="auto"/>
            </w:tcBorders>
            <w:shd w:val="clear" w:color="000000" w:fill="FFFFFF"/>
            <w:vAlign w:val="center"/>
          </w:tcPr>
          <w:p w:rsidR="00274B0F" w:rsidRPr="00331CB6"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0.09</w:t>
            </w:r>
          </w:p>
          <w:p w:rsidR="00274B0F" w:rsidRPr="00FE7564" w:rsidRDefault="00274B0F" w:rsidP="004977FB">
            <w:pPr>
              <w:keepNext/>
              <w:jc w:val="center"/>
              <w:rPr>
                <w:rFonts w:ascii="Arial Narrow" w:hAnsi="Arial Narrow"/>
                <w:color w:val="000000"/>
                <w:sz w:val="20"/>
                <w:szCs w:val="20"/>
              </w:rPr>
            </w:pPr>
            <w:r w:rsidRPr="00FE7564">
              <w:rPr>
                <w:rFonts w:ascii="Arial Narrow" w:hAnsi="Arial Narrow"/>
                <w:color w:val="000000"/>
                <w:sz w:val="20"/>
                <w:szCs w:val="20"/>
              </w:rPr>
              <w:t>(</w:t>
            </w:r>
            <w:r w:rsidRPr="00331CB6">
              <w:rPr>
                <w:rFonts w:ascii="Arial Narrow" w:hAnsi="Arial Narrow"/>
                <w:color w:val="000000"/>
                <w:sz w:val="20"/>
                <w:szCs w:val="20"/>
              </w:rPr>
              <w:t>0.01, 0.17</w:t>
            </w:r>
            <w:r w:rsidRPr="00FE7564">
              <w:rPr>
                <w:rFonts w:ascii="Arial Narrow" w:hAnsi="Arial Narrow"/>
                <w:color w:val="000000"/>
                <w:sz w:val="20"/>
                <w:szCs w:val="20"/>
              </w:rPr>
              <w:t>)</w:t>
            </w:r>
          </w:p>
        </w:tc>
        <w:tc>
          <w:tcPr>
            <w:tcW w:w="99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94</w:t>
            </w:r>
            <w:r w:rsidRPr="00FE7564">
              <w:rPr>
                <w:rFonts w:ascii="Arial Narrow" w:hAnsi="Arial Narrow"/>
                <w:color w:val="000000"/>
                <w:sz w:val="20"/>
                <w:szCs w:val="20"/>
              </w:rPr>
              <w:t xml:space="preserve"> (</w:t>
            </w:r>
            <w:r w:rsidRPr="00331CB6">
              <w:rPr>
                <w:rFonts w:ascii="Arial Narrow" w:hAnsi="Arial Narrow"/>
                <w:color w:val="000000"/>
                <w:sz w:val="20"/>
                <w:szCs w:val="20"/>
              </w:rPr>
              <w:t>27</w:t>
            </w:r>
            <w:r w:rsidRPr="00FE7564">
              <w:rPr>
                <w:rFonts w:ascii="Arial Narrow" w:hAnsi="Arial Narrow"/>
                <w:color w:val="000000"/>
                <w:sz w:val="20"/>
                <w:szCs w:val="20"/>
              </w:rPr>
              <w:t>)</w:t>
            </w:r>
          </w:p>
        </w:tc>
      </w:tr>
      <w:tr w:rsidR="00274B0F" w:rsidRPr="00FE7564" w:rsidTr="004977FB">
        <w:trPr>
          <w:trHeight w:val="69"/>
        </w:trPr>
        <w:tc>
          <w:tcPr>
            <w:tcW w:w="1440" w:type="dxa"/>
            <w:tcBorders>
              <w:top w:val="nil"/>
              <w:left w:val="single" w:sz="8" w:space="0" w:color="auto"/>
              <w:bottom w:val="single" w:sz="8" w:space="0" w:color="auto"/>
              <w:right w:val="single" w:sz="8" w:space="0" w:color="auto"/>
            </w:tcBorders>
            <w:shd w:val="clear" w:color="000000" w:fill="FFFFFF"/>
            <w:vAlign w:val="center"/>
          </w:tcPr>
          <w:p w:rsidR="00274B0F" w:rsidRPr="00FE7564" w:rsidRDefault="00C369D0" w:rsidP="00C26563">
            <w:pPr>
              <w:widowControl/>
              <w:jc w:val="left"/>
              <w:rPr>
                <w:rFonts w:ascii="Arial Narrow" w:hAnsi="Arial Narrow"/>
                <w:sz w:val="20"/>
                <w:szCs w:val="20"/>
              </w:rPr>
            </w:pPr>
            <w:r w:rsidRPr="00FE7564">
              <w:rPr>
                <w:rFonts w:ascii="Arial Narrow" w:hAnsi="Arial Narrow"/>
                <w:sz w:val="20"/>
                <w:szCs w:val="20"/>
              </w:rPr>
              <w:t>Hyperglycaemia</w:t>
            </w:r>
          </w:p>
        </w:tc>
        <w:tc>
          <w:tcPr>
            <w:tcW w:w="72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3</w:t>
            </w:r>
            <w:r w:rsidR="004977FB" w:rsidRPr="00331CB6">
              <w:rPr>
                <w:rFonts w:ascii="Arial Narrow" w:hAnsi="Arial Narrow"/>
                <w:color w:val="000000"/>
                <w:sz w:val="20"/>
                <w:szCs w:val="20"/>
              </w:rPr>
              <w:t xml:space="preserve"> </w:t>
            </w:r>
            <w:r w:rsidRPr="00331CB6">
              <w:rPr>
                <w:rFonts w:ascii="Arial Narrow" w:hAnsi="Arial Narrow"/>
                <w:color w:val="000000"/>
                <w:sz w:val="20"/>
                <w:szCs w:val="20"/>
              </w:rPr>
              <w:t>(6)</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6 (11)</w:t>
            </w:r>
          </w:p>
        </w:tc>
        <w:tc>
          <w:tcPr>
            <w:tcW w:w="153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 xml:space="preserve">0.05 </w:t>
            </w:r>
            <w:r w:rsidRPr="00FE7564">
              <w:rPr>
                <w:rFonts w:ascii="Arial Narrow" w:hAnsi="Arial Narrow"/>
                <w:color w:val="000000"/>
                <w:sz w:val="20"/>
                <w:szCs w:val="20"/>
              </w:rPr>
              <w:t>(-</w:t>
            </w:r>
            <w:r w:rsidRPr="00331CB6">
              <w:rPr>
                <w:rFonts w:ascii="Arial Narrow" w:hAnsi="Arial Narrow"/>
                <w:color w:val="000000"/>
                <w:sz w:val="20"/>
                <w:szCs w:val="20"/>
              </w:rPr>
              <w:t>0.05, 0.16</w:t>
            </w:r>
            <w:r w:rsidRPr="00FE7564">
              <w:rPr>
                <w:rFonts w:ascii="Arial Narrow" w:hAnsi="Arial Narrow"/>
                <w:color w:val="000000"/>
                <w:sz w:val="20"/>
                <w:szCs w:val="20"/>
              </w:rPr>
              <w:t>)</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7</w:t>
            </w:r>
            <w:r w:rsidRPr="00FE7564">
              <w:rPr>
                <w:rFonts w:ascii="Arial Narrow" w:hAnsi="Arial Narrow"/>
                <w:color w:val="000000"/>
                <w:sz w:val="20"/>
                <w:szCs w:val="20"/>
              </w:rPr>
              <w:t xml:space="preserve"> </w:t>
            </w:r>
            <w:r w:rsidRPr="00331CB6">
              <w:rPr>
                <w:rFonts w:ascii="Arial Narrow" w:hAnsi="Arial Narrow"/>
                <w:color w:val="000000"/>
                <w:sz w:val="20"/>
                <w:szCs w:val="20"/>
              </w:rPr>
              <w:t>(3</w:t>
            </w:r>
            <w:r w:rsidRPr="00FE7564">
              <w:rPr>
                <w:rFonts w:ascii="Arial Narrow" w:hAnsi="Arial Narrow"/>
                <w:color w:val="000000"/>
                <w:sz w:val="20"/>
                <w:szCs w:val="20"/>
              </w:rPr>
              <w:t>)</w:t>
            </w:r>
          </w:p>
        </w:tc>
        <w:tc>
          <w:tcPr>
            <w:tcW w:w="90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15</w:t>
            </w:r>
            <w:r w:rsidRPr="00FE7564">
              <w:rPr>
                <w:rFonts w:ascii="Arial Narrow" w:hAnsi="Arial Narrow"/>
                <w:color w:val="000000"/>
                <w:sz w:val="20"/>
                <w:szCs w:val="20"/>
              </w:rPr>
              <w:t xml:space="preserve"> </w:t>
            </w:r>
            <w:r w:rsidRPr="00331CB6">
              <w:rPr>
                <w:rFonts w:ascii="Arial Narrow" w:hAnsi="Arial Narrow"/>
                <w:color w:val="000000"/>
                <w:sz w:val="20"/>
                <w:szCs w:val="20"/>
              </w:rPr>
              <w:t>(7</w:t>
            </w:r>
            <w:r w:rsidRPr="00FE7564">
              <w:rPr>
                <w:rFonts w:ascii="Arial Narrow" w:hAnsi="Arial Narrow"/>
                <w:color w:val="000000"/>
                <w:sz w:val="20"/>
                <w:szCs w:val="20"/>
              </w:rPr>
              <w:t>)</w:t>
            </w:r>
          </w:p>
        </w:tc>
        <w:tc>
          <w:tcPr>
            <w:tcW w:w="1170" w:type="dxa"/>
            <w:tcBorders>
              <w:top w:val="nil"/>
              <w:left w:val="nil"/>
              <w:bottom w:val="single" w:sz="8" w:space="0" w:color="auto"/>
              <w:right w:val="single" w:sz="8" w:space="0" w:color="auto"/>
            </w:tcBorders>
            <w:shd w:val="clear" w:color="000000" w:fill="FFFFFF"/>
            <w:vAlign w:val="center"/>
          </w:tcPr>
          <w:p w:rsidR="00274B0F" w:rsidRPr="00331CB6"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0.04</w:t>
            </w:r>
          </w:p>
          <w:p w:rsidR="00274B0F" w:rsidRPr="00FE7564" w:rsidRDefault="00274B0F" w:rsidP="004977FB">
            <w:pPr>
              <w:keepNext/>
              <w:jc w:val="center"/>
              <w:rPr>
                <w:rFonts w:ascii="Arial Narrow" w:hAnsi="Arial Narrow"/>
                <w:color w:val="000000"/>
                <w:sz w:val="20"/>
                <w:szCs w:val="20"/>
              </w:rPr>
            </w:pPr>
            <w:r w:rsidRPr="00FE7564">
              <w:rPr>
                <w:rFonts w:ascii="Arial Narrow" w:hAnsi="Arial Narrow"/>
                <w:color w:val="000000"/>
                <w:sz w:val="20"/>
                <w:szCs w:val="20"/>
              </w:rPr>
              <w:t>(</w:t>
            </w:r>
            <w:r w:rsidRPr="00331CB6">
              <w:rPr>
                <w:rFonts w:ascii="Arial Narrow" w:hAnsi="Arial Narrow"/>
                <w:color w:val="000000"/>
                <w:sz w:val="20"/>
                <w:szCs w:val="20"/>
              </w:rPr>
              <w:t>0, 0.08</w:t>
            </w:r>
            <w:r w:rsidRPr="00FE7564">
              <w:rPr>
                <w:rFonts w:ascii="Arial Narrow" w:hAnsi="Arial Narrow"/>
                <w:color w:val="000000"/>
                <w:sz w:val="20"/>
                <w:szCs w:val="20"/>
              </w:rPr>
              <w:t>)</w:t>
            </w:r>
          </w:p>
        </w:tc>
        <w:tc>
          <w:tcPr>
            <w:tcW w:w="99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 xml:space="preserve">23 </w:t>
            </w:r>
            <w:r w:rsidRPr="00FE7564">
              <w:rPr>
                <w:rFonts w:ascii="Arial Narrow" w:hAnsi="Arial Narrow"/>
                <w:color w:val="000000"/>
                <w:sz w:val="20"/>
                <w:szCs w:val="20"/>
              </w:rPr>
              <w:t>(</w:t>
            </w:r>
            <w:r w:rsidRPr="00331CB6">
              <w:rPr>
                <w:rFonts w:ascii="Arial Narrow" w:hAnsi="Arial Narrow"/>
                <w:color w:val="000000"/>
                <w:sz w:val="20"/>
                <w:szCs w:val="20"/>
              </w:rPr>
              <w:t>7</w:t>
            </w:r>
            <w:r w:rsidRPr="00FE7564">
              <w:rPr>
                <w:rFonts w:ascii="Arial Narrow" w:hAnsi="Arial Narrow"/>
                <w:color w:val="000000"/>
                <w:sz w:val="20"/>
                <w:szCs w:val="20"/>
              </w:rPr>
              <w:t>)</w:t>
            </w:r>
          </w:p>
        </w:tc>
      </w:tr>
      <w:tr w:rsidR="00274B0F" w:rsidRPr="00FE7564" w:rsidTr="004977FB">
        <w:trPr>
          <w:trHeight w:val="69"/>
        </w:trPr>
        <w:tc>
          <w:tcPr>
            <w:tcW w:w="1440" w:type="dxa"/>
            <w:tcBorders>
              <w:top w:val="nil"/>
              <w:left w:val="single" w:sz="8" w:space="0" w:color="auto"/>
              <w:bottom w:val="single" w:sz="8" w:space="0" w:color="auto"/>
              <w:right w:val="single" w:sz="8" w:space="0" w:color="auto"/>
            </w:tcBorders>
            <w:shd w:val="clear" w:color="000000" w:fill="FFFFFF"/>
            <w:vAlign w:val="center"/>
          </w:tcPr>
          <w:p w:rsidR="00274B0F" w:rsidRPr="00FE7564" w:rsidRDefault="00274B0F" w:rsidP="00C26563">
            <w:pPr>
              <w:widowControl/>
              <w:jc w:val="left"/>
              <w:rPr>
                <w:rFonts w:ascii="Arial Narrow" w:hAnsi="Arial Narrow"/>
                <w:sz w:val="20"/>
                <w:szCs w:val="20"/>
              </w:rPr>
            </w:pPr>
            <w:r w:rsidRPr="00FE7564">
              <w:rPr>
                <w:rFonts w:ascii="Arial Narrow" w:hAnsi="Arial Narrow"/>
                <w:sz w:val="20"/>
                <w:szCs w:val="20"/>
              </w:rPr>
              <w:t>Hypersensitivity</w:t>
            </w:r>
          </w:p>
        </w:tc>
        <w:tc>
          <w:tcPr>
            <w:tcW w:w="72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2 (4)</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6 (11)</w:t>
            </w:r>
          </w:p>
        </w:tc>
        <w:tc>
          <w:tcPr>
            <w:tcW w:w="153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 xml:space="preserve">0.07 </w:t>
            </w:r>
            <w:r w:rsidRPr="00FE7564">
              <w:rPr>
                <w:rFonts w:ascii="Arial Narrow" w:hAnsi="Arial Narrow"/>
                <w:color w:val="000000"/>
                <w:sz w:val="20"/>
                <w:szCs w:val="20"/>
              </w:rPr>
              <w:t>(-</w:t>
            </w:r>
            <w:r w:rsidRPr="00331CB6">
              <w:rPr>
                <w:rFonts w:ascii="Arial Narrow" w:hAnsi="Arial Narrow"/>
                <w:color w:val="000000"/>
                <w:sz w:val="20"/>
                <w:szCs w:val="20"/>
              </w:rPr>
              <w:t>0.03, 0.17</w:t>
            </w:r>
            <w:r w:rsidRPr="00FE7564">
              <w:rPr>
                <w:rFonts w:ascii="Arial Narrow" w:hAnsi="Arial Narrow"/>
                <w:color w:val="000000"/>
                <w:sz w:val="20"/>
                <w:szCs w:val="20"/>
              </w:rPr>
              <w:t>)</w:t>
            </w:r>
          </w:p>
        </w:tc>
        <w:tc>
          <w:tcPr>
            <w:tcW w:w="81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 xml:space="preserve">14 </w:t>
            </w:r>
            <w:r w:rsidRPr="00FE7564">
              <w:rPr>
                <w:rFonts w:ascii="Arial Narrow" w:hAnsi="Arial Narrow"/>
                <w:color w:val="000000"/>
                <w:sz w:val="20"/>
                <w:szCs w:val="20"/>
              </w:rPr>
              <w:t>(</w:t>
            </w:r>
            <w:r w:rsidRPr="00331CB6">
              <w:rPr>
                <w:rFonts w:ascii="Arial Narrow" w:hAnsi="Arial Narrow"/>
                <w:color w:val="000000"/>
                <w:sz w:val="20"/>
                <w:szCs w:val="20"/>
              </w:rPr>
              <w:t>7</w:t>
            </w:r>
            <w:r w:rsidRPr="00FE7564">
              <w:rPr>
                <w:rFonts w:ascii="Arial Narrow" w:hAnsi="Arial Narrow"/>
                <w:color w:val="000000"/>
                <w:sz w:val="20"/>
                <w:szCs w:val="20"/>
              </w:rPr>
              <w:t>)</w:t>
            </w:r>
          </w:p>
        </w:tc>
        <w:tc>
          <w:tcPr>
            <w:tcW w:w="90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35</w:t>
            </w:r>
            <w:r w:rsidRPr="00FE7564">
              <w:rPr>
                <w:rFonts w:ascii="Arial Narrow" w:hAnsi="Arial Narrow"/>
                <w:color w:val="000000"/>
                <w:sz w:val="20"/>
                <w:szCs w:val="20"/>
              </w:rPr>
              <w:t xml:space="preserve"> (</w:t>
            </w:r>
            <w:r w:rsidRPr="00331CB6">
              <w:rPr>
                <w:rFonts w:ascii="Arial Narrow" w:hAnsi="Arial Narrow"/>
                <w:color w:val="000000"/>
                <w:sz w:val="20"/>
                <w:szCs w:val="20"/>
              </w:rPr>
              <w:t>17</w:t>
            </w:r>
            <w:r w:rsidRPr="00FE7564">
              <w:rPr>
                <w:rFonts w:ascii="Arial Narrow" w:hAnsi="Arial Narrow"/>
                <w:color w:val="000000"/>
                <w:sz w:val="20"/>
                <w:szCs w:val="20"/>
              </w:rPr>
              <w:t>)</w:t>
            </w:r>
          </w:p>
        </w:tc>
        <w:tc>
          <w:tcPr>
            <w:tcW w:w="1170" w:type="dxa"/>
            <w:tcBorders>
              <w:top w:val="nil"/>
              <w:left w:val="nil"/>
              <w:bottom w:val="single" w:sz="8" w:space="0" w:color="auto"/>
              <w:right w:val="single" w:sz="8" w:space="0" w:color="auto"/>
            </w:tcBorders>
            <w:shd w:val="clear" w:color="000000" w:fill="FFFFFF"/>
            <w:vAlign w:val="center"/>
          </w:tcPr>
          <w:p w:rsidR="00274B0F" w:rsidRPr="00331CB6" w:rsidRDefault="00274B0F" w:rsidP="004977FB">
            <w:pPr>
              <w:keepNext/>
              <w:jc w:val="center"/>
              <w:rPr>
                <w:rFonts w:ascii="Arial Narrow" w:hAnsi="Arial Narrow"/>
                <w:color w:val="000000"/>
                <w:sz w:val="20"/>
                <w:szCs w:val="20"/>
              </w:rPr>
            </w:pPr>
            <w:r w:rsidRPr="00331CB6">
              <w:rPr>
                <w:rFonts w:ascii="Arial Narrow" w:hAnsi="Arial Narrow"/>
                <w:color w:val="000000"/>
                <w:sz w:val="20"/>
                <w:szCs w:val="20"/>
              </w:rPr>
              <w:t>0.10</w:t>
            </w:r>
          </w:p>
          <w:p w:rsidR="00274B0F" w:rsidRPr="00FE7564" w:rsidRDefault="00274B0F" w:rsidP="004977FB">
            <w:pPr>
              <w:widowControl/>
              <w:jc w:val="center"/>
              <w:rPr>
                <w:rFonts w:ascii="Arial Narrow" w:hAnsi="Arial Narrow" w:cs="Times New Roman"/>
                <w:snapToGrid/>
                <w:color w:val="000000"/>
                <w:sz w:val="20"/>
                <w:szCs w:val="20"/>
                <w:lang w:val="en-US"/>
              </w:rPr>
            </w:pPr>
            <w:r w:rsidRPr="00FE7564">
              <w:rPr>
                <w:rFonts w:ascii="Arial Narrow" w:hAnsi="Arial Narrow"/>
                <w:color w:val="000000"/>
                <w:sz w:val="20"/>
                <w:szCs w:val="20"/>
              </w:rPr>
              <w:t>(</w:t>
            </w:r>
            <w:r w:rsidRPr="00331CB6">
              <w:rPr>
                <w:rFonts w:ascii="Arial Narrow" w:hAnsi="Arial Narrow"/>
                <w:color w:val="000000"/>
                <w:sz w:val="20"/>
                <w:szCs w:val="20"/>
              </w:rPr>
              <w:t>0.04, 0.16</w:t>
            </w:r>
            <w:r w:rsidRPr="00FE7564">
              <w:rPr>
                <w:rFonts w:ascii="Arial Narrow" w:hAnsi="Arial Narrow"/>
                <w:color w:val="000000"/>
                <w:sz w:val="20"/>
                <w:szCs w:val="20"/>
              </w:rPr>
              <w:t>)</w:t>
            </w:r>
          </w:p>
        </w:tc>
        <w:tc>
          <w:tcPr>
            <w:tcW w:w="990" w:type="dxa"/>
            <w:tcBorders>
              <w:top w:val="nil"/>
              <w:left w:val="nil"/>
              <w:bottom w:val="single" w:sz="8" w:space="0" w:color="auto"/>
              <w:right w:val="single" w:sz="8" w:space="0" w:color="auto"/>
            </w:tcBorders>
            <w:shd w:val="clear" w:color="000000" w:fill="FFFFFF"/>
            <w:vAlign w:val="center"/>
          </w:tcPr>
          <w:p w:rsidR="00274B0F" w:rsidRPr="00FE7564" w:rsidRDefault="00274B0F" w:rsidP="004977FB">
            <w:pPr>
              <w:widowControl/>
              <w:jc w:val="center"/>
              <w:rPr>
                <w:rFonts w:ascii="Arial Narrow" w:hAnsi="Arial Narrow" w:cs="Times New Roman"/>
                <w:snapToGrid/>
                <w:color w:val="000000"/>
                <w:sz w:val="20"/>
                <w:szCs w:val="20"/>
                <w:lang w:val="en-US"/>
              </w:rPr>
            </w:pPr>
            <w:r w:rsidRPr="00331CB6">
              <w:rPr>
                <w:rFonts w:ascii="Arial Narrow" w:hAnsi="Arial Narrow"/>
                <w:color w:val="000000"/>
                <w:sz w:val="20"/>
                <w:szCs w:val="20"/>
              </w:rPr>
              <w:t>36</w:t>
            </w:r>
            <w:r w:rsidRPr="00FE7564">
              <w:rPr>
                <w:rFonts w:ascii="Arial Narrow" w:hAnsi="Arial Narrow"/>
                <w:color w:val="000000"/>
                <w:sz w:val="20"/>
                <w:szCs w:val="20"/>
              </w:rPr>
              <w:t xml:space="preserve"> (</w:t>
            </w:r>
            <w:r w:rsidRPr="00331CB6">
              <w:rPr>
                <w:rFonts w:ascii="Arial Narrow" w:hAnsi="Arial Narrow"/>
                <w:color w:val="000000"/>
                <w:sz w:val="20"/>
                <w:szCs w:val="20"/>
              </w:rPr>
              <w:t>10</w:t>
            </w:r>
            <w:r w:rsidRPr="00FE7564">
              <w:rPr>
                <w:rFonts w:ascii="Arial Narrow" w:hAnsi="Arial Narrow"/>
                <w:color w:val="000000"/>
                <w:sz w:val="20"/>
                <w:szCs w:val="20"/>
              </w:rPr>
              <w:t>)</w:t>
            </w:r>
          </w:p>
        </w:tc>
      </w:tr>
    </w:tbl>
    <w:p w:rsidR="00FD2BA9" w:rsidRPr="00FE7564" w:rsidRDefault="00FD2BA9" w:rsidP="00FD2BA9">
      <w:pPr>
        <w:pStyle w:val="TableFooter"/>
        <w:ind w:left="720"/>
      </w:pPr>
      <w:r w:rsidRPr="00FE7564">
        <w:t xml:space="preserve">Source: Table B.6-28, p125 of the submission. </w:t>
      </w:r>
      <w:proofErr w:type="spellStart"/>
      <w:r w:rsidRPr="00FE7564">
        <w:t>Combi</w:t>
      </w:r>
      <w:proofErr w:type="spellEnd"/>
      <w:r w:rsidRPr="00FE7564">
        <w:t>=combination therapy</w:t>
      </w:r>
      <w:r w:rsidR="001C366D" w:rsidRPr="00FE7564">
        <w:t>;</w:t>
      </w:r>
      <w:r w:rsidRPr="00FE7564">
        <w:t xml:space="preserve"> </w:t>
      </w:r>
      <w:proofErr w:type="spellStart"/>
      <w:r w:rsidRPr="00FE7564">
        <w:t>cuSCC</w:t>
      </w:r>
      <w:proofErr w:type="spellEnd"/>
      <w:r w:rsidRPr="00FE7564">
        <w:t>=cutaneous squamous cell carcinoma; Mono=monotherapy</w:t>
      </w:r>
    </w:p>
    <w:p w:rsidR="00FD2BA9" w:rsidRPr="00FE7564" w:rsidRDefault="006A22D0" w:rsidP="00FD2BA9">
      <w:pPr>
        <w:pStyle w:val="TableFooter"/>
        <w:ind w:left="720"/>
      </w:pPr>
      <w:proofErr w:type="gramStart"/>
      <w:r w:rsidRPr="00FE7564">
        <w:rPr>
          <w:rFonts w:cs="Times New Roman"/>
          <w:snapToGrid/>
          <w:color w:val="000000"/>
          <w:sz w:val="20"/>
          <w:szCs w:val="20"/>
          <w:vertAlign w:val="superscript"/>
          <w:lang w:val="en-US"/>
        </w:rPr>
        <w:t>a</w:t>
      </w:r>
      <w:proofErr w:type="gramEnd"/>
      <w:r w:rsidRPr="00FE7564" w:rsidDel="006A22D0">
        <w:t xml:space="preserve"> </w:t>
      </w:r>
      <w:r w:rsidR="00FD2BA9" w:rsidRPr="00FE7564">
        <w:t xml:space="preserve">including </w:t>
      </w:r>
      <w:proofErr w:type="spellStart"/>
      <w:r w:rsidR="00FD2BA9" w:rsidRPr="00FE7564">
        <w:t>keratoacanthoma</w:t>
      </w:r>
      <w:proofErr w:type="spellEnd"/>
    </w:p>
    <w:p w:rsidR="00FD2BA9" w:rsidRPr="00FE7564" w:rsidRDefault="00FD2BA9" w:rsidP="00FD2BA9">
      <w:pPr>
        <w:widowControl/>
      </w:pPr>
    </w:p>
    <w:p w:rsidR="00FD2BA9" w:rsidRPr="00F71733" w:rsidRDefault="00FD2BA9" w:rsidP="00F71733">
      <w:pPr>
        <w:pStyle w:val="ListParagraph"/>
        <w:widowControl/>
        <w:numPr>
          <w:ilvl w:val="1"/>
          <w:numId w:val="8"/>
        </w:numPr>
        <w:rPr>
          <w:szCs w:val="22"/>
        </w:rPr>
      </w:pPr>
      <w:r w:rsidRPr="00FE7564">
        <w:rPr>
          <w:szCs w:val="22"/>
        </w:rPr>
        <w:t xml:space="preserve">Concerning AEs of special interest, the submission argued that the proportion of patients with pyrexia, decreased from </w:t>
      </w:r>
      <w:r w:rsidRPr="00331CB6">
        <w:rPr>
          <w:szCs w:val="22"/>
        </w:rPr>
        <w:t>71</w:t>
      </w:r>
      <w:r w:rsidRPr="00FE7564">
        <w:rPr>
          <w:szCs w:val="22"/>
        </w:rPr>
        <w:t xml:space="preserve">% in the May 31 2012 BRF113220 data cut to </w:t>
      </w:r>
      <w:r w:rsidRPr="00331CB6">
        <w:rPr>
          <w:szCs w:val="22"/>
        </w:rPr>
        <w:t>57</w:t>
      </w:r>
      <w:r w:rsidRPr="00FE7564">
        <w:rPr>
          <w:szCs w:val="22"/>
        </w:rPr>
        <w:t xml:space="preserve">% and </w:t>
      </w:r>
      <w:r w:rsidRPr="00331CB6">
        <w:rPr>
          <w:szCs w:val="22"/>
        </w:rPr>
        <w:t>53</w:t>
      </w:r>
      <w:r w:rsidRPr="00FE7564">
        <w:rPr>
          <w:szCs w:val="22"/>
        </w:rPr>
        <w:t>% in the combination therapy arms of the COMBI-D and COMBI-V trials, res</w:t>
      </w:r>
      <w:r w:rsidR="004977FB" w:rsidRPr="00FE7564">
        <w:rPr>
          <w:szCs w:val="22"/>
        </w:rPr>
        <w:t>pectively. The submission argued</w:t>
      </w:r>
      <w:r w:rsidRPr="00FE7564">
        <w:rPr>
          <w:szCs w:val="22"/>
        </w:rPr>
        <w:t xml:space="preserve"> that this shift occurred due to the changes in management of pyrexia that occurred while the BRF113220 trial was underway. The submission point</w:t>
      </w:r>
      <w:r w:rsidR="004977FB" w:rsidRPr="00FE7564">
        <w:rPr>
          <w:szCs w:val="22"/>
        </w:rPr>
        <w:t>ed</w:t>
      </w:r>
      <w:r w:rsidRPr="00FE7564">
        <w:rPr>
          <w:szCs w:val="22"/>
        </w:rPr>
        <w:t xml:space="preserve"> specifically to the recommendation to use corticosteroids and avoid dose reductions in cases of recurrent pyrexia and/or pyrexia accompanie</w:t>
      </w:r>
      <w:r w:rsidR="004977FB" w:rsidRPr="00FE7564">
        <w:rPr>
          <w:szCs w:val="22"/>
        </w:rPr>
        <w:t xml:space="preserve">d </w:t>
      </w:r>
      <w:r w:rsidR="004977FB" w:rsidRPr="00F71733">
        <w:rPr>
          <w:szCs w:val="22"/>
        </w:rPr>
        <w:t>with systemic manifestations.</w:t>
      </w:r>
      <w:r w:rsidRPr="00F71733">
        <w:rPr>
          <w:szCs w:val="22"/>
        </w:rPr>
        <w:t xml:space="preserve"> Though the risk difference </w:t>
      </w:r>
      <w:r w:rsidR="004977FB" w:rsidRPr="00F71733">
        <w:rPr>
          <w:szCs w:val="22"/>
        </w:rPr>
        <w:t>wa</w:t>
      </w:r>
      <w:r w:rsidRPr="00F71733">
        <w:rPr>
          <w:szCs w:val="22"/>
        </w:rPr>
        <w:t>s reduced for pyrexia in the COMBI-D trial, it remain</w:t>
      </w:r>
      <w:r w:rsidR="0054387F" w:rsidRPr="00F71733">
        <w:rPr>
          <w:szCs w:val="22"/>
        </w:rPr>
        <w:t>ed</w:t>
      </w:r>
      <w:r w:rsidRPr="00F71733">
        <w:rPr>
          <w:szCs w:val="22"/>
        </w:rPr>
        <w:t xml:space="preserve"> substantial and statistically significant at </w:t>
      </w:r>
      <w:r w:rsidR="00ED4F58" w:rsidRPr="00F71733">
        <w:rPr>
          <w:szCs w:val="22"/>
        </w:rPr>
        <w:t>RD=</w:t>
      </w:r>
      <w:r w:rsidRPr="00F71733">
        <w:rPr>
          <w:szCs w:val="22"/>
        </w:rPr>
        <w:t>0.24. The</w:t>
      </w:r>
      <w:r w:rsidR="006B14CB" w:rsidRPr="00F71733">
        <w:rPr>
          <w:szCs w:val="22"/>
        </w:rPr>
        <w:t xml:space="preserve"> increased</w:t>
      </w:r>
      <w:r w:rsidRPr="00F71733">
        <w:rPr>
          <w:szCs w:val="22"/>
        </w:rPr>
        <w:t xml:space="preserve"> risk</w:t>
      </w:r>
      <w:r w:rsidR="006B14CB" w:rsidRPr="00F71733">
        <w:rPr>
          <w:szCs w:val="22"/>
        </w:rPr>
        <w:t xml:space="preserve"> in the combination arm</w:t>
      </w:r>
      <w:r w:rsidRPr="00F71733">
        <w:rPr>
          <w:szCs w:val="22"/>
        </w:rPr>
        <w:t xml:space="preserve"> of </w:t>
      </w:r>
      <w:r w:rsidR="001C366D" w:rsidRPr="00F71733">
        <w:rPr>
          <w:szCs w:val="22"/>
        </w:rPr>
        <w:t>diarrhoea</w:t>
      </w:r>
      <w:r w:rsidR="009B7923" w:rsidRPr="00F71733">
        <w:rPr>
          <w:szCs w:val="22"/>
        </w:rPr>
        <w:t xml:space="preserve">, oedema, neutropenia, hypertension and hypersensitivity </w:t>
      </w:r>
      <w:r w:rsidR="006B14CB" w:rsidRPr="00F71733">
        <w:rPr>
          <w:szCs w:val="22"/>
        </w:rPr>
        <w:t>was</w:t>
      </w:r>
      <w:r w:rsidR="009B7923" w:rsidRPr="00F71733">
        <w:rPr>
          <w:szCs w:val="22"/>
        </w:rPr>
        <w:t xml:space="preserve"> also</w:t>
      </w:r>
      <w:r w:rsidRPr="00F71733">
        <w:rPr>
          <w:szCs w:val="22"/>
        </w:rPr>
        <w:t xml:space="preserve"> statistically significant in the COMBI-D trial</w:t>
      </w:r>
      <w:r w:rsidR="00C47AE5" w:rsidRPr="00F71733">
        <w:rPr>
          <w:szCs w:val="22"/>
        </w:rPr>
        <w:t>.</w:t>
      </w:r>
      <w:r w:rsidR="00395526" w:rsidRPr="00F71733">
        <w:rPr>
          <w:szCs w:val="22"/>
        </w:rPr>
        <w:t xml:space="preserve"> In the monotherapy arm in COMBI-D, the only statistically higher AE was cutaneous squamous cell carcinoma. These results suggested that combination therapy may have inferior safety to monotherapy, which </w:t>
      </w:r>
      <w:proofErr w:type="gramStart"/>
      <w:r w:rsidR="00395526" w:rsidRPr="00F71733">
        <w:rPr>
          <w:szCs w:val="22"/>
        </w:rPr>
        <w:t>was the safety claim</w:t>
      </w:r>
      <w:proofErr w:type="gramEnd"/>
      <w:r w:rsidR="00395526" w:rsidRPr="00F71733">
        <w:rPr>
          <w:szCs w:val="22"/>
        </w:rPr>
        <w:t xml:space="preserve"> made in the March 2014 submission.</w:t>
      </w:r>
    </w:p>
    <w:p w:rsidR="00FD2BA9" w:rsidRPr="00FE7564" w:rsidRDefault="00FD2BA9" w:rsidP="00FD2BA9">
      <w:pPr>
        <w:pStyle w:val="ListParagraph"/>
        <w:ind w:left="0"/>
        <w:rPr>
          <w:szCs w:val="22"/>
        </w:rPr>
      </w:pPr>
    </w:p>
    <w:p w:rsidR="004B1538" w:rsidRDefault="004B1538" w:rsidP="0031771D">
      <w:bookmarkStart w:id="11" w:name="_Toc451265345"/>
    </w:p>
    <w:p w:rsidR="00FD2BA9" w:rsidRPr="00FE7564" w:rsidRDefault="00FD2BA9" w:rsidP="0031771D">
      <w:pPr>
        <w:pStyle w:val="Heading2"/>
      </w:pPr>
      <w:r w:rsidRPr="00FE7564">
        <w:lastRenderedPageBreak/>
        <w:t>Benefits/harms</w:t>
      </w:r>
      <w:bookmarkEnd w:id="11"/>
    </w:p>
    <w:p w:rsidR="00FD2BA9" w:rsidRPr="00FE7564" w:rsidRDefault="00FD2BA9" w:rsidP="00FD2BA9">
      <w:pPr>
        <w:pStyle w:val="ListParagraph"/>
        <w:ind w:left="0"/>
        <w:rPr>
          <w:szCs w:val="22"/>
        </w:rPr>
      </w:pPr>
    </w:p>
    <w:p w:rsidR="00FD2BA9" w:rsidRPr="00FE7564" w:rsidRDefault="00FD2BA9" w:rsidP="00FD2BA9">
      <w:pPr>
        <w:pStyle w:val="ListParagraph"/>
        <w:widowControl/>
        <w:numPr>
          <w:ilvl w:val="1"/>
          <w:numId w:val="8"/>
        </w:numPr>
        <w:rPr>
          <w:szCs w:val="22"/>
        </w:rPr>
      </w:pPr>
      <w:r w:rsidRPr="00FE7564">
        <w:t>A summary of comparative benefits and harms for combination therapy versus monotherapy is presented in the table below.</w:t>
      </w:r>
    </w:p>
    <w:p w:rsidR="00FD2BA9" w:rsidRPr="00FE7564" w:rsidRDefault="00FD2BA9" w:rsidP="00444F6B">
      <w:pPr>
        <w:widowControl/>
        <w:rPr>
          <w:szCs w:val="22"/>
        </w:rPr>
      </w:pPr>
    </w:p>
    <w:p w:rsidR="00FD2BA9" w:rsidRPr="00FE7564" w:rsidRDefault="00FD2BA9" w:rsidP="00FD2BA9">
      <w:pPr>
        <w:keepNext/>
        <w:ind w:left="709"/>
        <w:rPr>
          <w:rFonts w:ascii="Arial Narrow" w:hAnsi="Arial Narrow"/>
          <w:sz w:val="20"/>
        </w:rPr>
      </w:pPr>
      <w:r w:rsidRPr="00FE7564">
        <w:rPr>
          <w:rFonts w:ascii="Arial Narrow" w:hAnsi="Arial Narrow"/>
          <w:b/>
          <w:sz w:val="20"/>
          <w:lang w:val="en-US"/>
        </w:rPr>
        <w:t>Table 6: Summary of benefits and harms</w:t>
      </w:r>
    </w:p>
    <w:tbl>
      <w:tblPr>
        <w:tblStyle w:val="TableGrid"/>
        <w:tblW w:w="4665" w:type="pct"/>
        <w:tblInd w:w="698" w:type="dxa"/>
        <w:tblLayout w:type="fixed"/>
        <w:tblCellMar>
          <w:left w:w="28" w:type="dxa"/>
          <w:right w:w="28" w:type="dxa"/>
        </w:tblCellMar>
        <w:tblLook w:val="04A0" w:firstRow="1" w:lastRow="0" w:firstColumn="1" w:lastColumn="0" w:noHBand="0" w:noVBand="1"/>
        <w:tblCaption w:val="Table 6: Summary of benefits and harms"/>
      </w:tblPr>
      <w:tblGrid>
        <w:gridCol w:w="1759"/>
        <w:gridCol w:w="2520"/>
        <w:gridCol w:w="1261"/>
        <w:gridCol w:w="1624"/>
        <w:gridCol w:w="1310"/>
      </w:tblGrid>
      <w:tr w:rsidR="00FD2BA9" w:rsidRPr="00FE7564" w:rsidTr="00956A01">
        <w:trPr>
          <w:tblHeader/>
        </w:trPr>
        <w:tc>
          <w:tcPr>
            <w:tcW w:w="5000" w:type="pct"/>
            <w:gridSpan w:val="5"/>
            <w:shd w:val="clear" w:color="auto" w:fill="auto"/>
            <w:vAlign w:val="center"/>
          </w:tcPr>
          <w:p w:rsidR="00FD2BA9" w:rsidRPr="00FE7564" w:rsidRDefault="00FD2BA9" w:rsidP="00C26563">
            <w:pPr>
              <w:keepNext/>
              <w:jc w:val="left"/>
              <w:rPr>
                <w:rFonts w:ascii="Arial Narrow" w:hAnsi="Arial Narrow"/>
                <w:b/>
                <w:color w:val="000000"/>
                <w:sz w:val="20"/>
              </w:rPr>
            </w:pPr>
            <w:r w:rsidRPr="00FE7564">
              <w:rPr>
                <w:rFonts w:ascii="Arial Narrow" w:hAnsi="Arial Narrow"/>
                <w:b/>
                <w:color w:val="000000"/>
                <w:sz w:val="20"/>
              </w:rPr>
              <w:t>Benefits</w:t>
            </w:r>
          </w:p>
        </w:tc>
      </w:tr>
      <w:tr w:rsidR="00FD2BA9" w:rsidRPr="00FE7564" w:rsidTr="00C26563">
        <w:tc>
          <w:tcPr>
            <w:tcW w:w="1038" w:type="pct"/>
            <w:tcBorders>
              <w:bottom w:val="single" w:sz="4" w:space="0" w:color="auto"/>
            </w:tcBorders>
            <w:shd w:val="clear" w:color="auto" w:fill="auto"/>
            <w:vAlign w:val="center"/>
          </w:tcPr>
          <w:p w:rsidR="00FD2BA9" w:rsidRPr="00FE7564" w:rsidRDefault="00FD2BA9" w:rsidP="00C26563">
            <w:pPr>
              <w:keepNext/>
              <w:jc w:val="left"/>
              <w:rPr>
                <w:rFonts w:ascii="Arial Narrow" w:hAnsi="Arial Narrow"/>
                <w:b/>
                <w:sz w:val="20"/>
                <w:lang w:val="en-US"/>
              </w:rPr>
            </w:pPr>
          </w:p>
        </w:tc>
        <w:tc>
          <w:tcPr>
            <w:tcW w:w="1487" w:type="pct"/>
            <w:tcBorders>
              <w:bottom w:val="single" w:sz="4" w:space="0" w:color="auto"/>
            </w:tcBorders>
            <w:vAlign w:val="center"/>
          </w:tcPr>
          <w:p w:rsidR="00FD2BA9" w:rsidRPr="00FE7564" w:rsidRDefault="00FD2BA9" w:rsidP="00C26563">
            <w:pPr>
              <w:keepNext/>
              <w:jc w:val="center"/>
              <w:rPr>
                <w:rFonts w:ascii="Arial Narrow" w:hAnsi="Arial Narrow"/>
                <w:b/>
                <w:sz w:val="20"/>
                <w:lang w:val="en-US"/>
              </w:rPr>
            </w:pPr>
            <w:r w:rsidRPr="00FE7564">
              <w:rPr>
                <w:rFonts w:ascii="Arial Narrow" w:hAnsi="Arial Narrow"/>
                <w:b/>
                <w:sz w:val="20"/>
              </w:rPr>
              <w:t>Combination 150/2 therapy</w:t>
            </w:r>
          </w:p>
        </w:tc>
        <w:tc>
          <w:tcPr>
            <w:tcW w:w="743" w:type="pct"/>
            <w:tcBorders>
              <w:bottom w:val="single" w:sz="4" w:space="0" w:color="auto"/>
            </w:tcBorders>
            <w:vAlign w:val="center"/>
          </w:tcPr>
          <w:p w:rsidR="00FD2BA9" w:rsidRPr="00FE7564" w:rsidRDefault="00FD2BA9" w:rsidP="00C26563">
            <w:pPr>
              <w:keepNext/>
              <w:jc w:val="center"/>
              <w:rPr>
                <w:rFonts w:ascii="Arial Narrow" w:hAnsi="Arial Narrow"/>
                <w:b/>
                <w:sz w:val="20"/>
                <w:lang w:val="en-US"/>
              </w:rPr>
            </w:pPr>
            <w:r w:rsidRPr="00FE7564">
              <w:rPr>
                <w:rFonts w:ascii="Arial Narrow" w:hAnsi="Arial Narrow"/>
                <w:b/>
                <w:sz w:val="20"/>
                <w:lang w:val="en-US"/>
              </w:rPr>
              <w:t>Monotherapy</w:t>
            </w:r>
          </w:p>
        </w:tc>
        <w:tc>
          <w:tcPr>
            <w:tcW w:w="958" w:type="pct"/>
            <w:tcBorders>
              <w:bottom w:val="single" w:sz="4" w:space="0" w:color="auto"/>
            </w:tcBorders>
            <w:vAlign w:val="center"/>
          </w:tcPr>
          <w:p w:rsidR="00FD2BA9" w:rsidRPr="00FE7564" w:rsidRDefault="00FD2BA9" w:rsidP="00C26563">
            <w:pPr>
              <w:keepNext/>
              <w:jc w:val="center"/>
              <w:rPr>
                <w:rFonts w:ascii="Arial Narrow" w:hAnsi="Arial Narrow"/>
                <w:b/>
                <w:sz w:val="20"/>
                <w:lang w:val="en-US"/>
              </w:rPr>
            </w:pPr>
            <w:r w:rsidRPr="00FE7564">
              <w:rPr>
                <w:rFonts w:ascii="Arial Narrow" w:hAnsi="Arial Narrow"/>
                <w:b/>
                <w:sz w:val="20"/>
                <w:lang w:val="en-US"/>
              </w:rPr>
              <w:t>Absolute difference</w:t>
            </w:r>
          </w:p>
        </w:tc>
        <w:tc>
          <w:tcPr>
            <w:tcW w:w="774" w:type="pct"/>
            <w:tcBorders>
              <w:bottom w:val="single" w:sz="4" w:space="0" w:color="auto"/>
            </w:tcBorders>
            <w:vAlign w:val="center"/>
          </w:tcPr>
          <w:p w:rsidR="00FD2BA9" w:rsidRPr="00FE7564" w:rsidRDefault="00FD2BA9" w:rsidP="00C26563">
            <w:pPr>
              <w:keepNext/>
              <w:jc w:val="center"/>
              <w:rPr>
                <w:rFonts w:ascii="Arial Narrow" w:hAnsi="Arial Narrow"/>
                <w:b/>
                <w:sz w:val="20"/>
                <w:lang w:val="en-US"/>
              </w:rPr>
            </w:pPr>
            <w:r w:rsidRPr="00FE7564">
              <w:rPr>
                <w:rFonts w:ascii="Arial Narrow" w:hAnsi="Arial Narrow"/>
                <w:b/>
                <w:sz w:val="20"/>
                <w:lang w:val="en-US"/>
              </w:rPr>
              <w:t>HR (95% CI)</w:t>
            </w:r>
          </w:p>
        </w:tc>
      </w:tr>
      <w:tr w:rsidR="00FD2BA9" w:rsidRPr="00FE7564" w:rsidTr="00C26563">
        <w:tc>
          <w:tcPr>
            <w:tcW w:w="5000" w:type="pct"/>
            <w:gridSpan w:val="5"/>
            <w:tcBorders>
              <w:bottom w:val="single" w:sz="4" w:space="0" w:color="auto"/>
            </w:tcBorders>
            <w:shd w:val="clear" w:color="auto" w:fill="auto"/>
          </w:tcPr>
          <w:p w:rsidR="00FD2BA9" w:rsidRPr="00FE7564" w:rsidRDefault="00FD2BA9" w:rsidP="00C26563">
            <w:pPr>
              <w:jc w:val="left"/>
              <w:rPr>
                <w:rFonts w:ascii="Arial Narrow" w:hAnsi="Arial Narrow"/>
                <w:b/>
                <w:sz w:val="20"/>
                <w:lang w:val="en-US"/>
              </w:rPr>
            </w:pPr>
            <w:r w:rsidRPr="00FE7564">
              <w:rPr>
                <w:rFonts w:ascii="Arial Narrow" w:hAnsi="Arial Narrow"/>
                <w:b/>
                <w:sz w:val="20"/>
                <w:lang w:val="en-US"/>
              </w:rPr>
              <w:t>Overall survival (pooled IPD analysis)</w:t>
            </w:r>
          </w:p>
        </w:tc>
      </w:tr>
      <w:tr w:rsidR="00FD2BA9" w:rsidRPr="00FE7564" w:rsidTr="00C26563">
        <w:tc>
          <w:tcPr>
            <w:tcW w:w="1038" w:type="pct"/>
            <w:tcBorders>
              <w:bottom w:val="single" w:sz="4" w:space="0" w:color="auto"/>
            </w:tcBorders>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Died</w:t>
            </w:r>
          </w:p>
        </w:tc>
        <w:tc>
          <w:tcPr>
            <w:tcW w:w="3188" w:type="pct"/>
            <w:gridSpan w:val="3"/>
            <w:tcBorders>
              <w:bottom w:val="single" w:sz="4" w:space="0" w:color="auto"/>
            </w:tcBorders>
            <w:vAlign w:val="center"/>
          </w:tcPr>
          <w:p w:rsidR="00FD2BA9" w:rsidRPr="00FE7564" w:rsidRDefault="00FD2BA9" w:rsidP="00C26563">
            <w:pPr>
              <w:jc w:val="center"/>
              <w:rPr>
                <w:rFonts w:ascii="Arial Narrow" w:hAnsi="Arial Narrow"/>
                <w:sz w:val="20"/>
                <w:lang w:val="en-US"/>
              </w:rPr>
            </w:pPr>
            <w:r w:rsidRPr="00FE7564">
              <w:rPr>
                <w:rFonts w:ascii="Arial Narrow" w:hAnsi="Arial Narrow"/>
                <w:sz w:val="20"/>
              </w:rPr>
              <w:t>NR</w:t>
            </w:r>
          </w:p>
        </w:tc>
        <w:tc>
          <w:tcPr>
            <w:tcW w:w="774" w:type="pct"/>
            <w:tcBorders>
              <w:bottom w:val="single" w:sz="4" w:space="0" w:color="auto"/>
            </w:tcBorders>
            <w:vAlign w:val="center"/>
          </w:tcPr>
          <w:p w:rsidR="00FD2BA9" w:rsidRPr="00FE7564" w:rsidRDefault="00D30355" w:rsidP="00C26563">
            <w:pPr>
              <w:jc w:val="center"/>
              <w:rPr>
                <w:rFonts w:ascii="Arial Narrow" w:hAnsi="Arial Narrow"/>
                <w:sz w:val="20"/>
              </w:rPr>
            </w:pPr>
            <w:r>
              <w:rPr>
                <w:rFonts w:ascii="Arial Narrow" w:hAnsi="Arial Narrow"/>
                <w:noProof/>
                <w:color w:val="000000"/>
                <w:sz w:val="20"/>
                <w:highlight w:val="black"/>
              </w:rPr>
              <w:t>'''''''''''</w:t>
            </w:r>
            <w:r w:rsidR="00FD2BA9" w:rsidRPr="00FE7564">
              <w:rPr>
                <w:rFonts w:ascii="Arial Narrow" w:hAnsi="Arial Narrow"/>
                <w:sz w:val="20"/>
              </w:rPr>
              <w:t xml:space="preserve"> (</w:t>
            </w:r>
            <w:r>
              <w:rPr>
                <w:rFonts w:ascii="Arial Narrow" w:hAnsi="Arial Narrow"/>
                <w:noProof/>
                <w:color w:val="000000"/>
                <w:sz w:val="20"/>
                <w:highlight w:val="black"/>
              </w:rPr>
              <w:t>'''''''''''</w:t>
            </w:r>
            <w:r w:rsidR="00FD2BA9" w:rsidRPr="00331CB6">
              <w:rPr>
                <w:rFonts w:ascii="Arial Narrow" w:hAnsi="Arial Narrow"/>
                <w:sz w:val="20"/>
              </w:rPr>
              <w:t xml:space="preserve">, </w:t>
            </w:r>
            <w:r>
              <w:rPr>
                <w:rFonts w:ascii="Arial Narrow" w:hAnsi="Arial Narrow"/>
                <w:noProof/>
                <w:color w:val="000000"/>
                <w:sz w:val="20"/>
                <w:highlight w:val="black"/>
              </w:rPr>
              <w:t>''''''''''</w:t>
            </w:r>
            <w:r w:rsidR="00FD2BA9" w:rsidRPr="00FE7564">
              <w:rPr>
                <w:rFonts w:ascii="Arial Narrow" w:hAnsi="Arial Narrow"/>
                <w:sz w:val="20"/>
              </w:rPr>
              <w:t>)</w:t>
            </w:r>
          </w:p>
        </w:tc>
      </w:tr>
      <w:tr w:rsidR="00FD2BA9" w:rsidRPr="00FE7564" w:rsidTr="00C26563">
        <w:tc>
          <w:tcPr>
            <w:tcW w:w="1038" w:type="pct"/>
            <w:tcBorders>
              <w:bottom w:val="single" w:sz="4" w:space="0" w:color="auto"/>
            </w:tcBorders>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 xml:space="preserve">Median </w:t>
            </w:r>
            <w:proofErr w:type="spellStart"/>
            <w:r w:rsidRPr="00FE7564">
              <w:rPr>
                <w:rFonts w:ascii="Arial Narrow" w:hAnsi="Arial Narrow"/>
                <w:sz w:val="20"/>
              </w:rPr>
              <w:t>mths</w:t>
            </w:r>
            <w:proofErr w:type="spellEnd"/>
            <w:r w:rsidRPr="00FE7564">
              <w:rPr>
                <w:rFonts w:ascii="Arial Narrow" w:hAnsi="Arial Narrow"/>
                <w:sz w:val="20"/>
              </w:rPr>
              <w:t xml:space="preserve"> (95% CI)</w:t>
            </w:r>
          </w:p>
        </w:tc>
        <w:tc>
          <w:tcPr>
            <w:tcW w:w="1487" w:type="pct"/>
            <w:tcBorders>
              <w:bottom w:val="single" w:sz="4" w:space="0" w:color="auto"/>
            </w:tcBorders>
            <w:vAlign w:val="center"/>
          </w:tcPr>
          <w:p w:rsidR="00FD2BA9" w:rsidRPr="00FE7564" w:rsidRDefault="00D30355" w:rsidP="00C26563">
            <w:pPr>
              <w:jc w:val="center"/>
              <w:rPr>
                <w:rFonts w:ascii="Arial Narrow" w:hAnsi="Arial Narrow"/>
                <w:sz w:val="20"/>
                <w:lang w:val="en-US"/>
              </w:rPr>
            </w:pPr>
            <w:r>
              <w:rPr>
                <w:rFonts w:ascii="Arial Narrow" w:hAnsi="Arial Narrow"/>
                <w:noProof/>
                <w:color w:val="000000"/>
                <w:sz w:val="20"/>
                <w:highlight w:val="black"/>
              </w:rPr>
              <w:t>'''''''''''''</w:t>
            </w:r>
            <w:r w:rsidR="00FD2BA9" w:rsidRPr="00FE7564">
              <w:rPr>
                <w:rFonts w:ascii="Arial Narrow" w:hAnsi="Arial Narrow"/>
                <w:sz w:val="20"/>
              </w:rPr>
              <w:t xml:space="preserve"> (NR, NR)</w:t>
            </w:r>
          </w:p>
        </w:tc>
        <w:tc>
          <w:tcPr>
            <w:tcW w:w="743" w:type="pct"/>
            <w:tcBorders>
              <w:bottom w:val="single" w:sz="4" w:space="0" w:color="auto"/>
            </w:tcBorders>
            <w:vAlign w:val="center"/>
          </w:tcPr>
          <w:p w:rsidR="00FD2BA9" w:rsidRPr="00FE7564" w:rsidRDefault="00D30355" w:rsidP="00C26563">
            <w:pPr>
              <w:jc w:val="center"/>
              <w:rPr>
                <w:rFonts w:ascii="Arial Narrow" w:hAnsi="Arial Narrow"/>
                <w:sz w:val="20"/>
                <w:lang w:val="en-US"/>
              </w:rPr>
            </w:pPr>
            <w:r>
              <w:rPr>
                <w:rFonts w:ascii="Arial Narrow" w:hAnsi="Arial Narrow"/>
                <w:noProof/>
                <w:color w:val="000000"/>
                <w:sz w:val="20"/>
                <w:highlight w:val="black"/>
              </w:rPr>
              <w:t>''''''''''</w:t>
            </w:r>
            <w:r w:rsidR="00FD2BA9" w:rsidRPr="00FE7564">
              <w:rPr>
                <w:rFonts w:ascii="Arial Narrow" w:hAnsi="Arial Narrow"/>
                <w:sz w:val="20"/>
              </w:rPr>
              <w:t xml:space="preserve"> (NR, NR)</w:t>
            </w:r>
          </w:p>
        </w:tc>
        <w:tc>
          <w:tcPr>
            <w:tcW w:w="958" w:type="pct"/>
            <w:tcBorders>
              <w:bottom w:val="single" w:sz="4" w:space="0" w:color="auto"/>
            </w:tcBorders>
            <w:vAlign w:val="center"/>
          </w:tcPr>
          <w:p w:rsidR="00FD2BA9" w:rsidRPr="00D30355" w:rsidRDefault="00D30355" w:rsidP="00C26563">
            <w:pPr>
              <w:jc w:val="center"/>
              <w:rPr>
                <w:rFonts w:ascii="Arial Narrow" w:hAnsi="Arial Narrow"/>
                <w:sz w:val="20"/>
                <w:highlight w:val="black"/>
                <w:lang w:val="en-US"/>
              </w:rPr>
            </w:pPr>
            <w:r>
              <w:rPr>
                <w:rFonts w:ascii="Arial Narrow" w:hAnsi="Arial Narrow"/>
                <w:noProof/>
                <w:color w:val="000000"/>
                <w:sz w:val="20"/>
                <w:highlight w:val="black"/>
              </w:rPr>
              <w:t>''''''''</w:t>
            </w:r>
          </w:p>
        </w:tc>
        <w:tc>
          <w:tcPr>
            <w:tcW w:w="774" w:type="pct"/>
            <w:tcBorders>
              <w:bottom w:val="single" w:sz="4" w:space="0" w:color="auto"/>
            </w:tcBorders>
            <w:vAlign w:val="center"/>
          </w:tcPr>
          <w:p w:rsidR="00FD2BA9" w:rsidRPr="00FE7564" w:rsidRDefault="00FD2BA9" w:rsidP="00C26563">
            <w:pPr>
              <w:jc w:val="center"/>
              <w:rPr>
                <w:rFonts w:ascii="Arial Narrow" w:hAnsi="Arial Narrow"/>
                <w:sz w:val="20"/>
                <w:lang w:val="en-US"/>
              </w:rPr>
            </w:pPr>
            <w:r w:rsidRPr="00FE7564">
              <w:rPr>
                <w:rFonts w:ascii="Arial Narrow" w:hAnsi="Arial Narrow"/>
                <w:sz w:val="20"/>
                <w:lang w:val="en-US"/>
              </w:rPr>
              <w:t>NR</w:t>
            </w:r>
          </w:p>
        </w:tc>
      </w:tr>
      <w:tr w:rsidR="00FD2BA9" w:rsidRPr="00FE7564" w:rsidTr="00C26563">
        <w:tc>
          <w:tcPr>
            <w:tcW w:w="5000" w:type="pct"/>
            <w:gridSpan w:val="5"/>
            <w:tcBorders>
              <w:bottom w:val="single" w:sz="4" w:space="0" w:color="auto"/>
            </w:tcBorders>
            <w:shd w:val="clear" w:color="auto" w:fill="auto"/>
          </w:tcPr>
          <w:p w:rsidR="00FD2BA9" w:rsidRPr="00FE7564" w:rsidRDefault="00FD2BA9" w:rsidP="00C26563">
            <w:pPr>
              <w:jc w:val="left"/>
              <w:rPr>
                <w:rFonts w:ascii="Arial Narrow" w:hAnsi="Arial Narrow"/>
                <w:b/>
                <w:sz w:val="20"/>
                <w:lang w:val="en-US"/>
              </w:rPr>
            </w:pPr>
            <w:r w:rsidRPr="00FE7564">
              <w:rPr>
                <w:rFonts w:ascii="Arial Narrow" w:hAnsi="Arial Narrow"/>
                <w:b/>
                <w:sz w:val="20"/>
                <w:lang w:val="en-US"/>
              </w:rPr>
              <w:t>Progression-free survival (pooled IPD analysis)</w:t>
            </w:r>
          </w:p>
        </w:tc>
      </w:tr>
      <w:tr w:rsidR="00FD2BA9" w:rsidRPr="00FE7564" w:rsidTr="00C26563">
        <w:trPr>
          <w:trHeight w:val="79"/>
        </w:trPr>
        <w:tc>
          <w:tcPr>
            <w:tcW w:w="1038" w:type="pct"/>
            <w:tcBorders>
              <w:bottom w:val="single" w:sz="4" w:space="0" w:color="auto"/>
            </w:tcBorders>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Progressed</w:t>
            </w:r>
          </w:p>
        </w:tc>
        <w:tc>
          <w:tcPr>
            <w:tcW w:w="3188" w:type="pct"/>
            <w:gridSpan w:val="3"/>
            <w:tcBorders>
              <w:bottom w:val="single" w:sz="4" w:space="0" w:color="auto"/>
            </w:tcBorders>
            <w:vAlign w:val="center"/>
          </w:tcPr>
          <w:p w:rsidR="00FD2BA9" w:rsidRPr="00FE7564" w:rsidRDefault="00FD2BA9" w:rsidP="00C26563">
            <w:pPr>
              <w:jc w:val="center"/>
              <w:rPr>
                <w:rFonts w:ascii="Arial Narrow" w:hAnsi="Arial Narrow"/>
                <w:sz w:val="20"/>
                <w:lang w:val="en-US"/>
              </w:rPr>
            </w:pPr>
            <w:r w:rsidRPr="00FE7564">
              <w:rPr>
                <w:rFonts w:ascii="Arial Narrow" w:hAnsi="Arial Narrow"/>
                <w:sz w:val="20"/>
              </w:rPr>
              <w:t>NR</w:t>
            </w:r>
          </w:p>
        </w:tc>
        <w:tc>
          <w:tcPr>
            <w:tcW w:w="774" w:type="pct"/>
            <w:tcBorders>
              <w:bottom w:val="single" w:sz="4" w:space="0" w:color="auto"/>
            </w:tcBorders>
            <w:vAlign w:val="center"/>
          </w:tcPr>
          <w:p w:rsidR="00FD2BA9" w:rsidRPr="00FE7564" w:rsidRDefault="00D30355" w:rsidP="00C26563">
            <w:pPr>
              <w:jc w:val="center"/>
              <w:rPr>
                <w:rFonts w:ascii="Arial Narrow" w:hAnsi="Arial Narrow"/>
                <w:sz w:val="20"/>
              </w:rPr>
            </w:pPr>
            <w:r>
              <w:rPr>
                <w:rFonts w:ascii="Arial Narrow" w:hAnsi="Arial Narrow"/>
                <w:noProof/>
                <w:color w:val="000000"/>
                <w:sz w:val="20"/>
                <w:highlight w:val="black"/>
              </w:rPr>
              <w:t>'''''''''''</w:t>
            </w:r>
            <w:r w:rsidR="00FD2BA9" w:rsidRPr="00FE7564">
              <w:rPr>
                <w:rFonts w:ascii="Arial Narrow" w:hAnsi="Arial Narrow"/>
                <w:sz w:val="20"/>
              </w:rPr>
              <w:t xml:space="preserve"> (</w:t>
            </w:r>
            <w:r>
              <w:rPr>
                <w:rFonts w:ascii="Arial Narrow" w:hAnsi="Arial Narrow"/>
                <w:noProof/>
                <w:color w:val="000000"/>
                <w:sz w:val="20"/>
                <w:highlight w:val="black"/>
              </w:rPr>
              <w:t>''''''''''</w:t>
            </w:r>
            <w:r w:rsidR="00FD2BA9" w:rsidRPr="00331CB6">
              <w:rPr>
                <w:rFonts w:ascii="Arial Narrow" w:hAnsi="Arial Narrow"/>
                <w:sz w:val="20"/>
              </w:rPr>
              <w:t xml:space="preserve">, </w:t>
            </w:r>
            <w:r>
              <w:rPr>
                <w:rFonts w:ascii="Arial Narrow" w:hAnsi="Arial Narrow"/>
                <w:noProof/>
                <w:color w:val="000000"/>
                <w:sz w:val="20"/>
                <w:highlight w:val="black"/>
              </w:rPr>
              <w:t>''''''''''</w:t>
            </w:r>
            <w:r w:rsidR="00FD2BA9" w:rsidRPr="00FE7564">
              <w:rPr>
                <w:rFonts w:ascii="Arial Narrow" w:hAnsi="Arial Narrow"/>
                <w:sz w:val="20"/>
              </w:rPr>
              <w:t>)</w:t>
            </w:r>
          </w:p>
        </w:tc>
      </w:tr>
      <w:tr w:rsidR="00FD2BA9" w:rsidRPr="00FE7564" w:rsidTr="00C26563">
        <w:tc>
          <w:tcPr>
            <w:tcW w:w="1038" w:type="pct"/>
            <w:tcBorders>
              <w:bottom w:val="single" w:sz="4" w:space="0" w:color="auto"/>
            </w:tcBorders>
            <w:shd w:val="clear" w:color="auto" w:fill="auto"/>
            <w:vAlign w:val="center"/>
          </w:tcPr>
          <w:p w:rsidR="00FD2BA9" w:rsidRPr="00FE7564" w:rsidRDefault="00FD2BA9" w:rsidP="00C26563">
            <w:pPr>
              <w:jc w:val="left"/>
              <w:rPr>
                <w:rFonts w:ascii="Arial Narrow" w:hAnsi="Arial Narrow"/>
                <w:sz w:val="20"/>
                <w:lang w:val="en-US"/>
              </w:rPr>
            </w:pPr>
            <w:r w:rsidRPr="00FE7564">
              <w:rPr>
                <w:rFonts w:ascii="Arial Narrow" w:hAnsi="Arial Narrow"/>
                <w:sz w:val="20"/>
              </w:rPr>
              <w:t xml:space="preserve">Median </w:t>
            </w:r>
            <w:proofErr w:type="spellStart"/>
            <w:r w:rsidRPr="00FE7564">
              <w:rPr>
                <w:rFonts w:ascii="Arial Narrow" w:hAnsi="Arial Narrow"/>
                <w:sz w:val="20"/>
              </w:rPr>
              <w:t>mths</w:t>
            </w:r>
            <w:proofErr w:type="spellEnd"/>
            <w:r w:rsidRPr="00FE7564">
              <w:rPr>
                <w:rFonts w:ascii="Arial Narrow" w:hAnsi="Arial Narrow"/>
                <w:sz w:val="20"/>
              </w:rPr>
              <w:t xml:space="preserve"> (95% CI)</w:t>
            </w:r>
          </w:p>
        </w:tc>
        <w:tc>
          <w:tcPr>
            <w:tcW w:w="1487" w:type="pct"/>
            <w:tcBorders>
              <w:bottom w:val="single" w:sz="4" w:space="0" w:color="auto"/>
            </w:tcBorders>
            <w:vAlign w:val="center"/>
          </w:tcPr>
          <w:p w:rsidR="00FD2BA9" w:rsidRPr="00FE7564" w:rsidRDefault="00D30355" w:rsidP="00C26563">
            <w:pPr>
              <w:jc w:val="center"/>
              <w:rPr>
                <w:rFonts w:ascii="Arial Narrow" w:hAnsi="Arial Narrow"/>
                <w:sz w:val="20"/>
                <w:lang w:val="en-US"/>
              </w:rPr>
            </w:pPr>
            <w:r>
              <w:rPr>
                <w:rFonts w:ascii="Arial Narrow" w:hAnsi="Arial Narrow"/>
                <w:noProof/>
                <w:color w:val="000000"/>
                <w:sz w:val="20"/>
                <w:highlight w:val="black"/>
              </w:rPr>
              <w:t>''''''''''''</w:t>
            </w:r>
            <w:r w:rsidR="00FD2BA9" w:rsidRPr="00FE7564">
              <w:rPr>
                <w:rFonts w:ascii="Arial Narrow" w:hAnsi="Arial Narrow"/>
                <w:sz w:val="20"/>
              </w:rPr>
              <w:t xml:space="preserve"> (NR, NR)</w:t>
            </w:r>
          </w:p>
        </w:tc>
        <w:tc>
          <w:tcPr>
            <w:tcW w:w="743" w:type="pct"/>
            <w:tcBorders>
              <w:bottom w:val="single" w:sz="4" w:space="0" w:color="auto"/>
            </w:tcBorders>
            <w:vAlign w:val="center"/>
          </w:tcPr>
          <w:p w:rsidR="00FD2BA9" w:rsidRPr="00FE7564" w:rsidRDefault="00D30355" w:rsidP="00C26563">
            <w:pPr>
              <w:jc w:val="center"/>
              <w:rPr>
                <w:rFonts w:ascii="Arial Narrow" w:hAnsi="Arial Narrow"/>
                <w:sz w:val="20"/>
                <w:lang w:val="en-US"/>
              </w:rPr>
            </w:pPr>
            <w:r>
              <w:rPr>
                <w:rFonts w:ascii="Arial Narrow" w:hAnsi="Arial Narrow"/>
                <w:noProof/>
                <w:color w:val="000000"/>
                <w:sz w:val="20"/>
                <w:highlight w:val="black"/>
              </w:rPr>
              <w:t>'''''''''</w:t>
            </w:r>
            <w:r w:rsidR="00FD2BA9" w:rsidRPr="00FE7564">
              <w:rPr>
                <w:rFonts w:ascii="Arial Narrow" w:hAnsi="Arial Narrow"/>
                <w:sz w:val="20"/>
              </w:rPr>
              <w:t xml:space="preserve"> (NR, NR)</w:t>
            </w:r>
          </w:p>
        </w:tc>
        <w:tc>
          <w:tcPr>
            <w:tcW w:w="958" w:type="pct"/>
            <w:tcBorders>
              <w:bottom w:val="single" w:sz="4" w:space="0" w:color="auto"/>
            </w:tcBorders>
            <w:vAlign w:val="center"/>
          </w:tcPr>
          <w:p w:rsidR="00FD2BA9" w:rsidRPr="00D30355" w:rsidRDefault="00D30355" w:rsidP="00C26563">
            <w:pPr>
              <w:jc w:val="center"/>
              <w:rPr>
                <w:rFonts w:ascii="Arial Narrow" w:hAnsi="Arial Narrow"/>
                <w:sz w:val="20"/>
                <w:highlight w:val="black"/>
                <w:lang w:val="en-US"/>
              </w:rPr>
            </w:pPr>
            <w:r>
              <w:rPr>
                <w:rFonts w:ascii="Arial Narrow" w:hAnsi="Arial Narrow"/>
                <w:noProof/>
                <w:color w:val="000000"/>
                <w:sz w:val="20"/>
                <w:highlight w:val="black"/>
              </w:rPr>
              <w:t>''''''''</w:t>
            </w:r>
          </w:p>
        </w:tc>
        <w:tc>
          <w:tcPr>
            <w:tcW w:w="774" w:type="pct"/>
            <w:tcBorders>
              <w:bottom w:val="single" w:sz="4" w:space="0" w:color="auto"/>
            </w:tcBorders>
            <w:vAlign w:val="center"/>
          </w:tcPr>
          <w:p w:rsidR="00FD2BA9" w:rsidRPr="00FE7564" w:rsidRDefault="00FD2BA9" w:rsidP="00C26563">
            <w:pPr>
              <w:jc w:val="center"/>
              <w:rPr>
                <w:rFonts w:ascii="Arial Narrow" w:hAnsi="Arial Narrow"/>
                <w:sz w:val="20"/>
                <w:lang w:val="en-US"/>
              </w:rPr>
            </w:pPr>
            <w:r w:rsidRPr="00FE7564">
              <w:rPr>
                <w:rFonts w:ascii="Arial Narrow" w:hAnsi="Arial Narrow"/>
                <w:sz w:val="20"/>
                <w:lang w:val="en-US"/>
              </w:rPr>
              <w:t>NR</w:t>
            </w:r>
          </w:p>
        </w:tc>
      </w:tr>
      <w:tr w:rsidR="00FD2BA9" w:rsidRPr="00FE7564" w:rsidTr="00C26563">
        <w:trPr>
          <w:trHeight w:val="59"/>
        </w:trPr>
        <w:tc>
          <w:tcPr>
            <w:tcW w:w="5000" w:type="pct"/>
            <w:gridSpan w:val="5"/>
            <w:tcBorders>
              <w:top w:val="double" w:sz="4" w:space="0" w:color="auto"/>
            </w:tcBorders>
            <w:shd w:val="clear" w:color="auto" w:fill="auto"/>
            <w:vAlign w:val="center"/>
          </w:tcPr>
          <w:p w:rsidR="00FD2BA9" w:rsidRPr="00FE7564" w:rsidRDefault="00FD2BA9" w:rsidP="006A22D0">
            <w:pPr>
              <w:keepNext/>
              <w:jc w:val="left"/>
              <w:rPr>
                <w:rFonts w:ascii="Arial Narrow" w:hAnsi="Arial Narrow"/>
                <w:b/>
                <w:color w:val="000000"/>
                <w:sz w:val="20"/>
              </w:rPr>
            </w:pPr>
            <w:r w:rsidRPr="00FE7564">
              <w:rPr>
                <w:rFonts w:ascii="Arial Narrow" w:hAnsi="Arial Narrow"/>
                <w:b/>
                <w:color w:val="000000"/>
                <w:sz w:val="20"/>
              </w:rPr>
              <w:t>Harms (COMBI-D January 2015</w:t>
            </w:r>
            <w:r w:rsidR="006A22D0" w:rsidRPr="00FE7564">
              <w:rPr>
                <w:rFonts w:ascii="Arial Narrow" w:hAnsi="Arial Narrow"/>
                <w:b/>
                <w:color w:val="000000"/>
                <w:sz w:val="20"/>
              </w:rPr>
              <w:t>)</w:t>
            </w:r>
            <w:r w:rsidR="006A22D0" w:rsidRPr="00FE7564">
              <w:rPr>
                <w:rFonts w:ascii="Arial Narrow" w:hAnsi="Arial Narrow"/>
                <w:b/>
                <w:color w:val="000000"/>
                <w:sz w:val="20"/>
                <w:vertAlign w:val="superscript"/>
              </w:rPr>
              <w:t>a</w:t>
            </w:r>
          </w:p>
        </w:tc>
      </w:tr>
      <w:tr w:rsidR="00FD2BA9" w:rsidRPr="00FE7564" w:rsidTr="00C26563">
        <w:trPr>
          <w:trHeight w:val="98"/>
        </w:trPr>
        <w:tc>
          <w:tcPr>
            <w:tcW w:w="1038" w:type="pct"/>
            <w:shd w:val="clear" w:color="auto" w:fill="auto"/>
            <w:vAlign w:val="center"/>
          </w:tcPr>
          <w:p w:rsidR="00FD2BA9" w:rsidRPr="00FE7564" w:rsidRDefault="00FD2BA9" w:rsidP="00C26563">
            <w:pPr>
              <w:keepNext/>
              <w:jc w:val="left"/>
              <w:rPr>
                <w:rFonts w:ascii="Arial Narrow" w:hAnsi="Arial Narrow"/>
                <w:b/>
                <w:sz w:val="20"/>
                <w:lang w:val="en-US"/>
              </w:rPr>
            </w:pPr>
          </w:p>
        </w:tc>
        <w:tc>
          <w:tcPr>
            <w:tcW w:w="1487" w:type="pct"/>
            <w:vAlign w:val="center"/>
          </w:tcPr>
          <w:p w:rsidR="00FD2BA9" w:rsidRPr="00FE7564" w:rsidRDefault="00FD2BA9" w:rsidP="00C26563">
            <w:pPr>
              <w:keepNext/>
              <w:jc w:val="center"/>
              <w:rPr>
                <w:rFonts w:ascii="Arial Narrow" w:hAnsi="Arial Narrow"/>
                <w:b/>
                <w:sz w:val="20"/>
                <w:lang w:val="en-US"/>
              </w:rPr>
            </w:pPr>
            <w:r w:rsidRPr="00FE7564">
              <w:rPr>
                <w:rFonts w:ascii="Arial Narrow" w:hAnsi="Arial Narrow"/>
                <w:b/>
                <w:sz w:val="20"/>
              </w:rPr>
              <w:t>Combination 150/2 therapy</w:t>
            </w:r>
          </w:p>
        </w:tc>
        <w:tc>
          <w:tcPr>
            <w:tcW w:w="744" w:type="pct"/>
            <w:vAlign w:val="center"/>
          </w:tcPr>
          <w:p w:rsidR="00FD2BA9" w:rsidRPr="00FE7564" w:rsidRDefault="00FD2BA9" w:rsidP="00C26563">
            <w:pPr>
              <w:keepNext/>
              <w:jc w:val="center"/>
              <w:rPr>
                <w:rFonts w:ascii="Arial Narrow" w:hAnsi="Arial Narrow"/>
                <w:b/>
                <w:sz w:val="20"/>
                <w:lang w:val="en-US"/>
              </w:rPr>
            </w:pPr>
            <w:r w:rsidRPr="00FE7564">
              <w:rPr>
                <w:rFonts w:ascii="Arial Narrow" w:hAnsi="Arial Narrow"/>
                <w:b/>
                <w:sz w:val="20"/>
                <w:lang w:val="en-US"/>
              </w:rPr>
              <w:t>Monotherapy</w:t>
            </w:r>
          </w:p>
        </w:tc>
        <w:tc>
          <w:tcPr>
            <w:tcW w:w="1731" w:type="pct"/>
            <w:gridSpan w:val="2"/>
            <w:vAlign w:val="center"/>
          </w:tcPr>
          <w:p w:rsidR="00FD2BA9" w:rsidRPr="00FE7564" w:rsidRDefault="00FD2BA9" w:rsidP="00C26563">
            <w:pPr>
              <w:keepNext/>
              <w:jc w:val="center"/>
              <w:rPr>
                <w:rFonts w:ascii="Arial Narrow" w:hAnsi="Arial Narrow"/>
                <w:b/>
                <w:sz w:val="20"/>
                <w:lang w:val="en-US"/>
              </w:rPr>
            </w:pPr>
            <w:r w:rsidRPr="00FE7564">
              <w:rPr>
                <w:rFonts w:ascii="Arial Narrow" w:hAnsi="Arial Narrow"/>
                <w:b/>
                <w:sz w:val="20"/>
                <w:lang w:val="en-US"/>
              </w:rPr>
              <w:t xml:space="preserve">Risk </w:t>
            </w:r>
            <w:r w:rsidR="00C26563" w:rsidRPr="00FE7564">
              <w:rPr>
                <w:rFonts w:ascii="Arial Narrow" w:hAnsi="Arial Narrow"/>
                <w:b/>
                <w:sz w:val="20"/>
                <w:lang w:val="en-US"/>
              </w:rPr>
              <w:t xml:space="preserve">difference </w:t>
            </w:r>
            <w:r w:rsidRPr="00FE7564">
              <w:rPr>
                <w:rFonts w:ascii="Arial Narrow" w:hAnsi="Arial Narrow"/>
                <w:b/>
                <w:sz w:val="20"/>
                <w:lang w:val="en-US"/>
              </w:rPr>
              <w:t>(95% CI)</w:t>
            </w:r>
          </w:p>
        </w:tc>
      </w:tr>
      <w:tr w:rsidR="00FD2BA9" w:rsidRPr="00FE7564" w:rsidTr="00C26563">
        <w:trPr>
          <w:trHeight w:val="79"/>
        </w:trPr>
        <w:tc>
          <w:tcPr>
            <w:tcW w:w="1038" w:type="pct"/>
            <w:shd w:val="clear" w:color="auto" w:fill="auto"/>
            <w:vAlign w:val="center"/>
          </w:tcPr>
          <w:p w:rsidR="00FD2BA9" w:rsidRPr="00FE7564" w:rsidRDefault="00FD2BA9" w:rsidP="00C26563">
            <w:pPr>
              <w:jc w:val="left"/>
              <w:rPr>
                <w:rFonts w:ascii="Arial Narrow" w:hAnsi="Arial Narrow"/>
                <w:sz w:val="20"/>
                <w:lang w:val="en-US"/>
              </w:rPr>
            </w:pPr>
            <w:r w:rsidRPr="00FE7564">
              <w:rPr>
                <w:rFonts w:ascii="Arial Narrow" w:hAnsi="Arial Narrow"/>
                <w:sz w:val="20"/>
              </w:rPr>
              <w:t>Pyrexia</w:t>
            </w:r>
          </w:p>
        </w:tc>
        <w:tc>
          <w:tcPr>
            <w:tcW w:w="1487" w:type="pct"/>
            <w:vAlign w:val="center"/>
          </w:tcPr>
          <w:p w:rsidR="00FD2BA9" w:rsidRPr="00FE7564" w:rsidRDefault="00FD2BA9" w:rsidP="00C26563">
            <w:pPr>
              <w:jc w:val="center"/>
              <w:rPr>
                <w:rFonts w:ascii="Arial Narrow" w:hAnsi="Arial Narrow"/>
                <w:sz w:val="20"/>
                <w:lang w:val="en-US"/>
              </w:rPr>
            </w:pPr>
            <w:r w:rsidRPr="00331CB6">
              <w:rPr>
                <w:rFonts w:ascii="Arial Narrow" w:hAnsi="Arial Narrow" w:cs="Times New Roman"/>
                <w:snapToGrid/>
                <w:color w:val="000000"/>
                <w:sz w:val="20"/>
                <w:szCs w:val="20"/>
                <w:lang w:val="en-US"/>
              </w:rPr>
              <w:t>129 (62)</w:t>
            </w:r>
          </w:p>
        </w:tc>
        <w:tc>
          <w:tcPr>
            <w:tcW w:w="744" w:type="pct"/>
            <w:vAlign w:val="center"/>
          </w:tcPr>
          <w:p w:rsidR="00FD2BA9" w:rsidRPr="00FE7564" w:rsidRDefault="00FD2BA9" w:rsidP="00C26563">
            <w:pPr>
              <w:jc w:val="center"/>
              <w:rPr>
                <w:rFonts w:ascii="Arial Narrow" w:hAnsi="Arial Narrow"/>
                <w:sz w:val="20"/>
                <w:lang w:val="en-US"/>
              </w:rPr>
            </w:pPr>
            <w:r w:rsidRPr="00331CB6">
              <w:rPr>
                <w:rFonts w:ascii="Arial Narrow" w:hAnsi="Arial Narrow" w:cs="Times New Roman"/>
                <w:snapToGrid/>
                <w:color w:val="000000"/>
                <w:sz w:val="20"/>
                <w:szCs w:val="20"/>
                <w:lang w:val="en-US"/>
              </w:rPr>
              <w:t>79 (37)</w:t>
            </w:r>
          </w:p>
        </w:tc>
        <w:tc>
          <w:tcPr>
            <w:tcW w:w="1731" w:type="pct"/>
            <w:gridSpan w:val="2"/>
            <w:vAlign w:val="center"/>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0.24 (0.15, 0.34)</w:t>
            </w:r>
          </w:p>
        </w:tc>
      </w:tr>
      <w:tr w:rsidR="00FD2BA9" w:rsidRPr="00FE7564" w:rsidTr="00C26563">
        <w:tc>
          <w:tcPr>
            <w:tcW w:w="1038" w:type="pct"/>
            <w:shd w:val="clear" w:color="auto" w:fill="auto"/>
            <w:vAlign w:val="center"/>
          </w:tcPr>
          <w:p w:rsidR="00FD2BA9" w:rsidRPr="00FE7564" w:rsidRDefault="00FD2BA9" w:rsidP="00C26563">
            <w:pPr>
              <w:jc w:val="left"/>
              <w:rPr>
                <w:rFonts w:ascii="Arial Narrow" w:hAnsi="Arial Narrow"/>
                <w:sz w:val="20"/>
                <w:lang w:val="en-US"/>
              </w:rPr>
            </w:pPr>
            <w:r w:rsidRPr="00FE7564">
              <w:rPr>
                <w:rFonts w:ascii="Arial Narrow" w:hAnsi="Arial Narrow"/>
                <w:sz w:val="20"/>
              </w:rPr>
              <w:t>Diarrhoea</w:t>
            </w:r>
          </w:p>
        </w:tc>
        <w:tc>
          <w:tcPr>
            <w:tcW w:w="1487" w:type="pct"/>
            <w:vAlign w:val="center"/>
          </w:tcPr>
          <w:p w:rsidR="00FD2BA9" w:rsidRPr="00FE7564" w:rsidRDefault="00FD2BA9" w:rsidP="00C26563">
            <w:pPr>
              <w:jc w:val="center"/>
              <w:rPr>
                <w:rFonts w:ascii="Arial Narrow" w:hAnsi="Arial Narrow"/>
                <w:sz w:val="20"/>
                <w:lang w:val="en-US"/>
              </w:rPr>
            </w:pPr>
            <w:r w:rsidRPr="00331CB6">
              <w:rPr>
                <w:rFonts w:ascii="Arial Narrow" w:hAnsi="Arial Narrow" w:cs="Times New Roman"/>
                <w:snapToGrid/>
                <w:color w:val="000000"/>
                <w:sz w:val="20"/>
                <w:szCs w:val="20"/>
                <w:lang w:val="en-US"/>
              </w:rPr>
              <w:t>63 (30)</w:t>
            </w:r>
          </w:p>
        </w:tc>
        <w:tc>
          <w:tcPr>
            <w:tcW w:w="744" w:type="pct"/>
            <w:vAlign w:val="center"/>
          </w:tcPr>
          <w:p w:rsidR="00FD2BA9" w:rsidRPr="00FE7564" w:rsidRDefault="00FD2BA9" w:rsidP="00C26563">
            <w:pPr>
              <w:jc w:val="center"/>
              <w:rPr>
                <w:rFonts w:ascii="Arial Narrow" w:hAnsi="Arial Narrow"/>
                <w:sz w:val="20"/>
                <w:lang w:val="en-US"/>
              </w:rPr>
            </w:pPr>
            <w:r w:rsidRPr="00331CB6">
              <w:rPr>
                <w:rFonts w:ascii="Arial Narrow" w:hAnsi="Arial Narrow" w:cs="Times New Roman"/>
                <w:snapToGrid/>
                <w:color w:val="000000"/>
                <w:sz w:val="20"/>
                <w:szCs w:val="20"/>
                <w:lang w:val="en-US"/>
              </w:rPr>
              <w:t>33 (16)</w:t>
            </w:r>
          </w:p>
        </w:tc>
        <w:tc>
          <w:tcPr>
            <w:tcW w:w="1731" w:type="pct"/>
            <w:gridSpan w:val="2"/>
            <w:vAlign w:val="center"/>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0.15 (0.07, 0.22)</w:t>
            </w:r>
          </w:p>
        </w:tc>
      </w:tr>
      <w:tr w:rsidR="00FD2BA9" w:rsidRPr="00FE7564" w:rsidTr="00C26563">
        <w:trPr>
          <w:trHeight w:val="98"/>
        </w:trPr>
        <w:tc>
          <w:tcPr>
            <w:tcW w:w="1038" w:type="pct"/>
            <w:shd w:val="clear" w:color="auto" w:fill="auto"/>
            <w:vAlign w:val="center"/>
          </w:tcPr>
          <w:p w:rsidR="00FD2BA9" w:rsidRPr="00FE7564" w:rsidRDefault="00FD2BA9" w:rsidP="00C26563">
            <w:pPr>
              <w:jc w:val="left"/>
              <w:rPr>
                <w:rFonts w:ascii="Arial Narrow" w:hAnsi="Arial Narrow"/>
                <w:sz w:val="20"/>
                <w:lang w:val="en-US"/>
              </w:rPr>
            </w:pPr>
            <w:r w:rsidRPr="00FE7564">
              <w:rPr>
                <w:rFonts w:ascii="Arial Narrow" w:hAnsi="Arial Narrow"/>
                <w:sz w:val="20"/>
                <w:lang w:val="en-US"/>
              </w:rPr>
              <w:t>Hepatic events</w:t>
            </w:r>
          </w:p>
        </w:tc>
        <w:tc>
          <w:tcPr>
            <w:tcW w:w="1487" w:type="pct"/>
            <w:vAlign w:val="center"/>
          </w:tcPr>
          <w:p w:rsidR="00FD2BA9" w:rsidRPr="00FE7564" w:rsidRDefault="00FD2BA9" w:rsidP="00C26563">
            <w:pPr>
              <w:jc w:val="center"/>
              <w:rPr>
                <w:rFonts w:ascii="Arial Narrow" w:hAnsi="Arial Narrow"/>
                <w:sz w:val="20"/>
                <w:lang w:val="en-US"/>
              </w:rPr>
            </w:pPr>
            <w:r w:rsidRPr="00331CB6">
              <w:rPr>
                <w:rFonts w:ascii="Arial Narrow" w:hAnsi="Arial Narrow" w:cs="Times New Roman"/>
                <w:snapToGrid/>
                <w:color w:val="000000"/>
                <w:sz w:val="20"/>
                <w:szCs w:val="20"/>
                <w:lang w:val="en-US"/>
              </w:rPr>
              <w:t>39 (19)</w:t>
            </w:r>
          </w:p>
        </w:tc>
        <w:tc>
          <w:tcPr>
            <w:tcW w:w="744" w:type="pct"/>
            <w:vAlign w:val="center"/>
          </w:tcPr>
          <w:p w:rsidR="00FD2BA9" w:rsidRPr="00FE7564" w:rsidRDefault="00FD2BA9" w:rsidP="00C26563">
            <w:pPr>
              <w:jc w:val="center"/>
              <w:rPr>
                <w:rFonts w:ascii="Arial Narrow" w:hAnsi="Arial Narrow"/>
                <w:sz w:val="20"/>
                <w:lang w:val="en-US"/>
              </w:rPr>
            </w:pPr>
            <w:r w:rsidRPr="00331CB6">
              <w:rPr>
                <w:rFonts w:ascii="Arial Narrow" w:hAnsi="Arial Narrow" w:cs="Times New Roman"/>
                <w:snapToGrid/>
                <w:color w:val="000000"/>
                <w:sz w:val="20"/>
                <w:szCs w:val="20"/>
                <w:lang w:val="en-US"/>
              </w:rPr>
              <w:t>25 (12)</w:t>
            </w:r>
          </w:p>
        </w:tc>
        <w:tc>
          <w:tcPr>
            <w:tcW w:w="1731" w:type="pct"/>
            <w:gridSpan w:val="2"/>
            <w:vAlign w:val="center"/>
          </w:tcPr>
          <w:p w:rsidR="00FD2BA9" w:rsidRPr="00FE7564" w:rsidRDefault="00FD2BA9" w:rsidP="00C26563">
            <w:pPr>
              <w:widowControl/>
              <w:jc w:val="center"/>
              <w:rPr>
                <w:rFonts w:ascii="Arial Narrow" w:hAnsi="Arial Narrow" w:cs="Times New Roman"/>
                <w:snapToGrid/>
                <w:color w:val="000000"/>
                <w:sz w:val="20"/>
                <w:szCs w:val="20"/>
                <w:lang w:val="en-US"/>
              </w:rPr>
            </w:pPr>
            <w:r w:rsidRPr="00331CB6">
              <w:rPr>
                <w:rFonts w:ascii="Arial Narrow" w:hAnsi="Arial Narrow" w:cs="Times New Roman"/>
                <w:snapToGrid/>
                <w:color w:val="000000"/>
                <w:sz w:val="20"/>
                <w:szCs w:val="20"/>
                <w:lang w:val="en-US"/>
              </w:rPr>
              <w:t>0.07 (0, 0.14)</w:t>
            </w:r>
          </w:p>
        </w:tc>
      </w:tr>
    </w:tbl>
    <w:p w:rsidR="00FD2BA9" w:rsidRPr="00FE7564" w:rsidRDefault="00FD2BA9" w:rsidP="00FD2BA9">
      <w:pPr>
        <w:pStyle w:val="TableFooter"/>
        <w:ind w:left="630"/>
      </w:pPr>
      <w:r w:rsidRPr="00FE7564">
        <w:t xml:space="preserve">Source: Tables B.6-1 and B.6-2, p73-74, and B.6-28, p125 of the submission CI=confidence interval; IPD=individual patient data; </w:t>
      </w:r>
      <w:proofErr w:type="spellStart"/>
      <w:r w:rsidRPr="00FE7564">
        <w:t>mths</w:t>
      </w:r>
      <w:proofErr w:type="spellEnd"/>
      <w:r w:rsidRPr="00FE7564">
        <w:t>=months</w:t>
      </w:r>
    </w:p>
    <w:p w:rsidR="00FD2BA9" w:rsidRPr="00FE7564" w:rsidRDefault="006A22D0" w:rsidP="00FD2BA9">
      <w:pPr>
        <w:pStyle w:val="TableFooter"/>
        <w:ind w:left="630"/>
      </w:pPr>
      <w:proofErr w:type="gramStart"/>
      <w:r w:rsidRPr="00FE7564">
        <w:rPr>
          <w:vertAlign w:val="superscript"/>
        </w:rPr>
        <w:t>a</w:t>
      </w:r>
      <w:proofErr w:type="gramEnd"/>
      <w:r w:rsidRPr="00FE7564">
        <w:rPr>
          <w:vertAlign w:val="superscript"/>
        </w:rPr>
        <w:t xml:space="preserve"> </w:t>
      </w:r>
      <w:r w:rsidR="00FD2BA9" w:rsidRPr="00FE7564">
        <w:t xml:space="preserve">No pooled comparisons were made for individual adverse events. COMBI-D was selected for comparative harms as it was the larger and most recent trial of the trials comparing </w:t>
      </w:r>
      <w:proofErr w:type="spellStart"/>
      <w:r w:rsidR="00FD2BA9" w:rsidRPr="00FE7564">
        <w:t>dabrafenib</w:t>
      </w:r>
      <w:proofErr w:type="spellEnd"/>
      <w:r w:rsidR="00FD2BA9" w:rsidRPr="00FE7564">
        <w:t xml:space="preserve"> monotherapy and </w:t>
      </w:r>
      <w:proofErr w:type="spellStart"/>
      <w:r w:rsidR="00FD2BA9" w:rsidRPr="00FE7564">
        <w:t>dabrafenib</w:t>
      </w:r>
      <w:proofErr w:type="spellEnd"/>
      <w:r w:rsidR="00FD2BA9" w:rsidRPr="00FE7564">
        <w:t xml:space="preserve"> in combination with </w:t>
      </w:r>
      <w:proofErr w:type="spellStart"/>
      <w:r w:rsidR="00FD2BA9" w:rsidRPr="00FE7564">
        <w:t>trametinib</w:t>
      </w:r>
      <w:proofErr w:type="spellEnd"/>
    </w:p>
    <w:p w:rsidR="00FD2BA9" w:rsidRPr="00FE7564" w:rsidRDefault="00FD2BA9" w:rsidP="00FD2BA9">
      <w:pPr>
        <w:rPr>
          <w:szCs w:val="22"/>
        </w:rPr>
      </w:pPr>
    </w:p>
    <w:p w:rsidR="00FD2BA9" w:rsidRPr="00FE7564" w:rsidRDefault="00FD2BA9" w:rsidP="00FD2BA9">
      <w:pPr>
        <w:pStyle w:val="ListParagraph"/>
        <w:widowControl/>
        <w:numPr>
          <w:ilvl w:val="1"/>
          <w:numId w:val="8"/>
        </w:numPr>
        <w:rPr>
          <w:szCs w:val="22"/>
        </w:rPr>
      </w:pPr>
      <w:r w:rsidRPr="00FE7564">
        <w:t xml:space="preserve">On the basis of the pooled individual patient data (IPD analysis), the comparison of </w:t>
      </w:r>
      <w:r w:rsidR="001C366D" w:rsidRPr="00FE7564">
        <w:t xml:space="preserve">combination </w:t>
      </w:r>
      <w:proofErr w:type="spellStart"/>
      <w:r w:rsidR="001C366D" w:rsidRPr="00FE7564">
        <w:t>trametinib</w:t>
      </w:r>
      <w:proofErr w:type="spellEnd"/>
      <w:r w:rsidR="001C366D" w:rsidRPr="00FE7564">
        <w:t xml:space="preserve"> and </w:t>
      </w:r>
      <w:proofErr w:type="spellStart"/>
      <w:r w:rsidR="001C366D" w:rsidRPr="00FE7564">
        <w:t>dabrafenib</w:t>
      </w:r>
      <w:proofErr w:type="spellEnd"/>
      <w:r w:rsidR="001C366D" w:rsidRPr="00FE7564">
        <w:t xml:space="preserve"> therapy with</w:t>
      </w:r>
      <w:r w:rsidRPr="00FE7564">
        <w:t xml:space="preserve"> </w:t>
      </w:r>
      <w:proofErr w:type="spellStart"/>
      <w:r w:rsidRPr="00FE7564">
        <w:t>dabrafenib</w:t>
      </w:r>
      <w:proofErr w:type="spellEnd"/>
      <w:r w:rsidRPr="00FE7564">
        <w:t xml:space="preserve"> monotherapy resulted in:</w:t>
      </w:r>
    </w:p>
    <w:p w:rsidR="00FD2BA9" w:rsidRPr="00FE7564" w:rsidRDefault="00FD2BA9" w:rsidP="00091432">
      <w:pPr>
        <w:pStyle w:val="ListParagraph"/>
        <w:widowControl/>
        <w:numPr>
          <w:ilvl w:val="0"/>
          <w:numId w:val="6"/>
        </w:numPr>
        <w:ind w:left="993" w:hanging="284"/>
      </w:pPr>
      <w:r w:rsidRPr="00FE7564">
        <w:t xml:space="preserve">Approximately </w:t>
      </w:r>
      <w:r w:rsidR="00D30355">
        <w:rPr>
          <w:noProof/>
          <w:color w:val="000000"/>
          <w:highlight w:val="black"/>
        </w:rPr>
        <w:t>''''''''</w:t>
      </w:r>
      <w:r w:rsidRPr="00FE7564">
        <w:t xml:space="preserve"> months difference in progression</w:t>
      </w:r>
      <w:r w:rsidR="00444F6B" w:rsidRPr="00FE7564">
        <w:t>-</w:t>
      </w:r>
      <w:r w:rsidRPr="00FE7564">
        <w:t>free survival for 50% of patients</w:t>
      </w:r>
      <w:r w:rsidR="00C26563" w:rsidRPr="00FE7564">
        <w:t>.</w:t>
      </w:r>
    </w:p>
    <w:p w:rsidR="00FD2BA9" w:rsidRPr="00FE7564" w:rsidRDefault="00FD2BA9" w:rsidP="00091432">
      <w:pPr>
        <w:pStyle w:val="ListParagraph"/>
        <w:widowControl/>
        <w:numPr>
          <w:ilvl w:val="0"/>
          <w:numId w:val="6"/>
        </w:numPr>
        <w:ind w:left="993" w:hanging="284"/>
      </w:pPr>
      <w:r w:rsidRPr="00FE7564">
        <w:t xml:space="preserve">Approximately </w:t>
      </w:r>
      <w:r w:rsidR="00D30355">
        <w:rPr>
          <w:noProof/>
          <w:color w:val="000000"/>
          <w:highlight w:val="black"/>
        </w:rPr>
        <w:t>''''''''</w:t>
      </w:r>
      <w:r w:rsidRPr="00FE7564">
        <w:t xml:space="preserve"> months difference in overall survival for 50% of patients</w:t>
      </w:r>
      <w:r w:rsidR="00C26563" w:rsidRPr="00FE7564">
        <w:t>.</w:t>
      </w:r>
    </w:p>
    <w:p w:rsidR="00FD2BA9" w:rsidRPr="00FE7564" w:rsidRDefault="00FD2BA9" w:rsidP="00444F6B">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 xml:space="preserve">On the basis of the COMBI-D trial, for every 100 patients treated with combination therapy compared to </w:t>
      </w:r>
      <w:proofErr w:type="spellStart"/>
      <w:r w:rsidRPr="00FE7564">
        <w:rPr>
          <w:szCs w:val="22"/>
        </w:rPr>
        <w:t>dabrafenib</w:t>
      </w:r>
      <w:proofErr w:type="spellEnd"/>
      <w:r w:rsidRPr="00FE7564">
        <w:rPr>
          <w:szCs w:val="22"/>
        </w:rPr>
        <w:t xml:space="preserve"> monotherapy</w:t>
      </w:r>
      <w:r w:rsidR="001C366D" w:rsidRPr="00FE7564">
        <w:rPr>
          <w:szCs w:val="22"/>
        </w:rPr>
        <w:t>:</w:t>
      </w:r>
    </w:p>
    <w:p w:rsidR="00FD2BA9" w:rsidRPr="00FE7564" w:rsidRDefault="00FD2BA9" w:rsidP="00091432">
      <w:pPr>
        <w:pStyle w:val="ListParagraph"/>
        <w:widowControl/>
        <w:numPr>
          <w:ilvl w:val="0"/>
          <w:numId w:val="37"/>
        </w:numPr>
        <w:ind w:left="993" w:hanging="284"/>
        <w:rPr>
          <w:szCs w:val="22"/>
        </w:rPr>
      </w:pPr>
      <w:r w:rsidRPr="00FE7564">
        <w:rPr>
          <w:szCs w:val="22"/>
        </w:rPr>
        <w:t xml:space="preserve">Approximately </w:t>
      </w:r>
      <w:r w:rsidRPr="00331CB6">
        <w:rPr>
          <w:szCs w:val="22"/>
        </w:rPr>
        <w:t>24</w:t>
      </w:r>
      <w:r w:rsidRPr="00FE7564">
        <w:rPr>
          <w:szCs w:val="22"/>
        </w:rPr>
        <w:t xml:space="preserve"> more patients will experience pyrexia</w:t>
      </w:r>
      <w:r w:rsidR="001C366D" w:rsidRPr="00FE7564">
        <w:rPr>
          <w:szCs w:val="22"/>
        </w:rPr>
        <w:t>.</w:t>
      </w:r>
    </w:p>
    <w:p w:rsidR="00FD2BA9" w:rsidRPr="00FE7564" w:rsidRDefault="00FD2BA9" w:rsidP="00091432">
      <w:pPr>
        <w:pStyle w:val="ListParagraph"/>
        <w:widowControl/>
        <w:numPr>
          <w:ilvl w:val="0"/>
          <w:numId w:val="37"/>
        </w:numPr>
        <w:ind w:left="993" w:hanging="284"/>
        <w:rPr>
          <w:szCs w:val="22"/>
        </w:rPr>
      </w:pPr>
      <w:r w:rsidRPr="00FE7564">
        <w:rPr>
          <w:szCs w:val="22"/>
        </w:rPr>
        <w:t xml:space="preserve">Approximately </w:t>
      </w:r>
      <w:r w:rsidRPr="00331CB6">
        <w:rPr>
          <w:szCs w:val="22"/>
        </w:rPr>
        <w:t>15</w:t>
      </w:r>
      <w:r w:rsidRPr="00FE7564">
        <w:rPr>
          <w:szCs w:val="22"/>
        </w:rPr>
        <w:t xml:space="preserve"> </w:t>
      </w:r>
      <w:r w:rsidR="001C366D" w:rsidRPr="00FE7564">
        <w:rPr>
          <w:szCs w:val="22"/>
        </w:rPr>
        <w:t xml:space="preserve">more patients </w:t>
      </w:r>
      <w:r w:rsidRPr="00FE7564">
        <w:rPr>
          <w:szCs w:val="22"/>
        </w:rPr>
        <w:t>will experience diarrhoea.</w:t>
      </w:r>
    </w:p>
    <w:p w:rsidR="001C366D" w:rsidRPr="00FE7564" w:rsidRDefault="001C366D" w:rsidP="00091432">
      <w:pPr>
        <w:pStyle w:val="ListParagraph"/>
        <w:widowControl/>
        <w:numPr>
          <w:ilvl w:val="0"/>
          <w:numId w:val="37"/>
        </w:numPr>
        <w:ind w:left="993" w:hanging="284"/>
        <w:rPr>
          <w:szCs w:val="22"/>
        </w:rPr>
      </w:pPr>
      <w:r w:rsidRPr="00FE7564">
        <w:rPr>
          <w:szCs w:val="22"/>
        </w:rPr>
        <w:t xml:space="preserve">Approximately </w:t>
      </w:r>
      <w:r w:rsidRPr="00331CB6">
        <w:rPr>
          <w:szCs w:val="22"/>
        </w:rPr>
        <w:t xml:space="preserve">7 </w:t>
      </w:r>
      <w:r w:rsidRPr="00FE7564">
        <w:rPr>
          <w:szCs w:val="22"/>
        </w:rPr>
        <w:t>more patients will experience hepatic events.</w:t>
      </w:r>
    </w:p>
    <w:p w:rsidR="00FD2BA9" w:rsidRPr="00FE7564" w:rsidRDefault="00FD2BA9" w:rsidP="00FD2BA9"/>
    <w:p w:rsidR="00FD2BA9" w:rsidRPr="00FE7564" w:rsidRDefault="00FD2BA9" w:rsidP="0031771D">
      <w:pPr>
        <w:pStyle w:val="Heading2"/>
      </w:pPr>
      <w:bookmarkStart w:id="12" w:name="_Toc451265346"/>
      <w:r w:rsidRPr="00FE7564">
        <w:t>Clinical claim</w:t>
      </w:r>
      <w:bookmarkEnd w:id="12"/>
    </w:p>
    <w:p w:rsidR="00FD2BA9" w:rsidRPr="00FE7564" w:rsidRDefault="00FD2BA9" w:rsidP="00FD2BA9"/>
    <w:p w:rsidR="0010168C" w:rsidRPr="0010168C" w:rsidRDefault="00FD2BA9" w:rsidP="00FD2BA9">
      <w:pPr>
        <w:pStyle w:val="ListParagraph"/>
        <w:widowControl/>
        <w:numPr>
          <w:ilvl w:val="1"/>
          <w:numId w:val="8"/>
        </w:numPr>
        <w:rPr>
          <w:szCs w:val="22"/>
        </w:rPr>
      </w:pPr>
      <w:r w:rsidRPr="00FE7564">
        <w:t xml:space="preserve">The submission concluded that combination </w:t>
      </w:r>
      <w:proofErr w:type="spellStart"/>
      <w:r w:rsidRPr="00FE7564">
        <w:t>trametinib</w:t>
      </w:r>
      <w:proofErr w:type="spellEnd"/>
      <w:r w:rsidRPr="00FE7564">
        <w:t xml:space="preserve"> and </w:t>
      </w:r>
      <w:proofErr w:type="spellStart"/>
      <w:r w:rsidRPr="00FE7564">
        <w:t>dabrafenib</w:t>
      </w:r>
      <w:proofErr w:type="spellEnd"/>
      <w:r w:rsidRPr="00FE7564">
        <w:t xml:space="preserve"> therapy </w:t>
      </w:r>
      <w:r w:rsidR="007A23CD" w:rsidRPr="00FE7564">
        <w:t>i</w:t>
      </w:r>
      <w:r w:rsidRPr="00FE7564">
        <w:t xml:space="preserve">s superior to </w:t>
      </w:r>
      <w:proofErr w:type="spellStart"/>
      <w:r w:rsidRPr="00FE7564">
        <w:t>dabrafenib</w:t>
      </w:r>
      <w:proofErr w:type="spellEnd"/>
      <w:r w:rsidRPr="00FE7564">
        <w:t xml:space="preserve"> monotherapy with respect to efficacy and has a different but no worse comparative safety profile.</w:t>
      </w:r>
    </w:p>
    <w:p w:rsidR="0010168C" w:rsidRPr="00FE7564" w:rsidRDefault="0010168C" w:rsidP="00FD2BA9">
      <w:pPr>
        <w:widowControl/>
        <w:rPr>
          <w:szCs w:val="22"/>
        </w:rPr>
      </w:pPr>
    </w:p>
    <w:p w:rsidR="00FD2BA9" w:rsidRPr="00FE7564" w:rsidRDefault="00FD2BA9" w:rsidP="00FD2BA9">
      <w:pPr>
        <w:pStyle w:val="ListParagraph"/>
        <w:widowControl/>
        <w:numPr>
          <w:ilvl w:val="1"/>
          <w:numId w:val="8"/>
        </w:numPr>
        <w:rPr>
          <w:szCs w:val="22"/>
        </w:rPr>
      </w:pPr>
      <w:r w:rsidRPr="00FE7564">
        <w:t>This claim of superior comparative effectiveness had already been considered reasonable by the PBAC (November 2014 PBAC Minutes, paragraph 6.18), and the premise of this submission had been to establish the magnitude of incremental effect. Th</w:t>
      </w:r>
      <w:r w:rsidR="007A23CD" w:rsidRPr="00FE7564">
        <w:t>e estimate of th</w:t>
      </w:r>
      <w:r w:rsidRPr="00FE7564">
        <w:t xml:space="preserve">is effect, in terms of </w:t>
      </w:r>
      <w:r w:rsidR="00FF5C85">
        <w:t xml:space="preserve">improvements in </w:t>
      </w:r>
      <w:r w:rsidRPr="00FE7564">
        <w:t xml:space="preserve">PFS and OS, was significantly reduced in the updated data </w:t>
      </w:r>
      <w:r w:rsidR="00FF5C85">
        <w:t xml:space="preserve">provided </w:t>
      </w:r>
      <w:r w:rsidRPr="00FE7564">
        <w:t xml:space="preserve">in the </w:t>
      </w:r>
      <w:r w:rsidR="00FF5C85">
        <w:t xml:space="preserve">current </w:t>
      </w:r>
      <w:r w:rsidRPr="00FE7564">
        <w:t>submission.</w:t>
      </w:r>
    </w:p>
    <w:p w:rsidR="00FD2BA9" w:rsidRPr="00FE7564" w:rsidRDefault="00FD2BA9" w:rsidP="00FD2BA9">
      <w:pPr>
        <w:widowControl/>
        <w:rPr>
          <w:szCs w:val="22"/>
        </w:rPr>
      </w:pPr>
    </w:p>
    <w:p w:rsidR="00FD2BA9" w:rsidRPr="00FE7564" w:rsidRDefault="007A23CD" w:rsidP="00FD2BA9">
      <w:pPr>
        <w:pStyle w:val="ListParagraph"/>
        <w:widowControl/>
        <w:numPr>
          <w:ilvl w:val="1"/>
          <w:numId w:val="8"/>
        </w:numPr>
        <w:rPr>
          <w:szCs w:val="22"/>
        </w:rPr>
      </w:pPr>
      <w:r w:rsidRPr="00FE7564">
        <w:t>T</w:t>
      </w:r>
      <w:r w:rsidR="00FD2BA9" w:rsidRPr="00FE7564">
        <w:t>he key differences in the survival results applied to the economic evaluations of the current and previous submissions were:</w:t>
      </w:r>
    </w:p>
    <w:p w:rsidR="00FD2BA9" w:rsidRPr="00FE7564" w:rsidRDefault="00FD2BA9" w:rsidP="00FD2BA9">
      <w:pPr>
        <w:pStyle w:val="ListParagraph"/>
        <w:numPr>
          <w:ilvl w:val="0"/>
          <w:numId w:val="7"/>
        </w:numPr>
        <w:ind w:left="1170"/>
      </w:pPr>
      <w:r w:rsidRPr="00FE7564">
        <w:t xml:space="preserve">The increase of the </w:t>
      </w:r>
      <w:r w:rsidR="00746DAF" w:rsidRPr="00FE7564">
        <w:t>OS</w:t>
      </w:r>
      <w:r w:rsidRPr="00FE7564">
        <w:t xml:space="preserve"> hazard ratio (lowering of estimated comparative efficacy) </w:t>
      </w:r>
      <w:r w:rsidRPr="00FE7564">
        <w:lastRenderedPageBreak/>
        <w:t xml:space="preserve">from </w:t>
      </w:r>
      <w:r w:rsidR="00D30355">
        <w:rPr>
          <w:noProof/>
          <w:color w:val="000000"/>
          <w:highlight w:val="black"/>
        </w:rPr>
        <w:t>'''''''''''</w:t>
      </w:r>
      <w:r w:rsidRPr="00FE7564">
        <w:t xml:space="preserve"> in the RPSFT crossover adjusted BRF113220 </w:t>
      </w:r>
      <w:r w:rsidR="00AF0F33" w:rsidRPr="00FE7564">
        <w:t xml:space="preserve">analysis </w:t>
      </w:r>
      <w:r w:rsidRPr="00FE7564">
        <w:t xml:space="preserve">applied in the November 2014 model to </w:t>
      </w:r>
      <w:r w:rsidR="00D30355">
        <w:rPr>
          <w:noProof/>
          <w:color w:val="000000"/>
          <w:highlight w:val="black"/>
        </w:rPr>
        <w:t>''''''''''</w:t>
      </w:r>
      <w:r w:rsidRPr="00FE7564">
        <w:t xml:space="preserve"> in the IPD analysis of the 3 trials which had no crossover adjustments.</w:t>
      </w:r>
    </w:p>
    <w:p w:rsidR="00FD2BA9" w:rsidRPr="00FE7564" w:rsidRDefault="00FD2BA9" w:rsidP="00FD2BA9">
      <w:pPr>
        <w:pStyle w:val="ListParagraph"/>
        <w:numPr>
          <w:ilvl w:val="0"/>
          <w:numId w:val="7"/>
        </w:numPr>
        <w:ind w:left="1170"/>
      </w:pPr>
      <w:r w:rsidRPr="00FE7564">
        <w:t xml:space="preserve">The increase of the </w:t>
      </w:r>
      <w:r w:rsidR="00746DAF" w:rsidRPr="00FE7564">
        <w:t>PFS</w:t>
      </w:r>
      <w:r w:rsidRPr="00FE7564">
        <w:t xml:space="preserve"> hazard ratio (lowering of the estimated comparative efficacy) from </w:t>
      </w:r>
      <w:r w:rsidR="00D30355">
        <w:rPr>
          <w:noProof/>
          <w:color w:val="000000"/>
          <w:highlight w:val="black"/>
        </w:rPr>
        <w:t>'''''''''''</w:t>
      </w:r>
      <w:r w:rsidRPr="00FE7564">
        <w:t xml:space="preserve"> in the data presented in November 2014 for BRF113220 to </w:t>
      </w:r>
      <w:r w:rsidR="00D30355">
        <w:rPr>
          <w:noProof/>
          <w:color w:val="000000"/>
          <w:highlight w:val="black"/>
        </w:rPr>
        <w:t>''''''''''</w:t>
      </w:r>
      <w:r w:rsidRPr="00FE7564">
        <w:t xml:space="preserve"> in the IPD analysis of the 3 trials.</w:t>
      </w:r>
    </w:p>
    <w:p w:rsidR="00FD2BA9" w:rsidRPr="00FE7564" w:rsidRDefault="00FD2BA9" w:rsidP="00FD2BA9">
      <w:pPr>
        <w:widowControl/>
        <w:rPr>
          <w:szCs w:val="22"/>
        </w:rPr>
      </w:pPr>
    </w:p>
    <w:p w:rsidR="009B7923" w:rsidRPr="00FE7564" w:rsidRDefault="00FD2BA9" w:rsidP="00447F56">
      <w:pPr>
        <w:pStyle w:val="ListParagraph"/>
        <w:widowControl/>
        <w:numPr>
          <w:ilvl w:val="1"/>
          <w:numId w:val="8"/>
        </w:numPr>
        <w:rPr>
          <w:szCs w:val="22"/>
        </w:rPr>
      </w:pPr>
      <w:r w:rsidRPr="00FE7564">
        <w:rPr>
          <w:szCs w:val="22"/>
        </w:rPr>
        <w:t xml:space="preserve">While the PBAC previously relied on COMBI-V results for safety, in the current submission only </w:t>
      </w:r>
      <w:r w:rsidR="00471023" w:rsidRPr="00FE7564">
        <w:rPr>
          <w:szCs w:val="22"/>
        </w:rPr>
        <w:t xml:space="preserve">results </w:t>
      </w:r>
      <w:r w:rsidRPr="00FE7564">
        <w:rPr>
          <w:szCs w:val="22"/>
        </w:rPr>
        <w:t>for the combination arm from COMBI-V were presented for safety outcomes, not allowing for any comparative assessment. The updated COMBI-D safety data</w:t>
      </w:r>
      <w:r w:rsidR="002001FA" w:rsidRPr="00FE7564">
        <w:t xml:space="preserve"> indicated </w:t>
      </w:r>
      <w:r w:rsidR="00C37756" w:rsidRPr="00FE7564">
        <w:t>that</w:t>
      </w:r>
      <w:r w:rsidR="007A23CD" w:rsidRPr="00FE7564">
        <w:t>,</w:t>
      </w:r>
      <w:r w:rsidR="00C37756" w:rsidRPr="00FE7564">
        <w:t xml:space="preserve"> of the AEs of special interest, there were statistically significant </w:t>
      </w:r>
      <w:r w:rsidR="006B14CB" w:rsidRPr="00FE7564">
        <w:t>higher rates of</w:t>
      </w:r>
      <w:r w:rsidR="00C37756" w:rsidRPr="00FE7564">
        <w:t xml:space="preserve"> pyrexia, diarrhoea, oedema, neutropenia, hypertension, and hypersensitivity</w:t>
      </w:r>
      <w:r w:rsidR="00AF37C6" w:rsidRPr="00FE7564">
        <w:t xml:space="preserve"> in the combination arm</w:t>
      </w:r>
      <w:r w:rsidR="00C37756" w:rsidRPr="00FE7564">
        <w:t xml:space="preserve">, while the only statistically higher AE in the monotherapy arm was cutaneous squamous cell carcinoma. This might go against the safety claim that combination therapy had a “different but no worse” safety profile compared to monotherapy. These results would suggest that the safety profile was in fact inferior, which </w:t>
      </w:r>
      <w:proofErr w:type="gramStart"/>
      <w:r w:rsidR="00C37756" w:rsidRPr="00FE7564">
        <w:t>was the claim</w:t>
      </w:r>
      <w:proofErr w:type="gramEnd"/>
      <w:r w:rsidR="00C37756" w:rsidRPr="00FE7564">
        <w:t xml:space="preserve"> made in the original March 2014 submission.</w:t>
      </w:r>
      <w:r w:rsidR="000456B4" w:rsidRPr="00FE7564">
        <w:t xml:space="preserve"> </w:t>
      </w:r>
      <w:r w:rsidR="000456B4" w:rsidRPr="00FE7564">
        <w:rPr>
          <w:szCs w:val="22"/>
        </w:rPr>
        <w:t xml:space="preserve">The ESC noted that the </w:t>
      </w:r>
      <w:r w:rsidR="00447F56" w:rsidRPr="00FE7564">
        <w:rPr>
          <w:szCs w:val="22"/>
        </w:rPr>
        <w:t>Pre-Sub-Committee Response (</w:t>
      </w:r>
      <w:r w:rsidR="000456B4" w:rsidRPr="00FE7564">
        <w:rPr>
          <w:szCs w:val="22"/>
        </w:rPr>
        <w:t>PSCR</w:t>
      </w:r>
      <w:r w:rsidR="00447F56" w:rsidRPr="00FE7564">
        <w:rPr>
          <w:szCs w:val="22"/>
        </w:rPr>
        <w:t>)</w:t>
      </w:r>
      <w:r w:rsidR="000456B4" w:rsidRPr="00FE7564">
        <w:rPr>
          <w:szCs w:val="22"/>
        </w:rPr>
        <w:t xml:space="preserve"> did not address the clinical issue </w:t>
      </w:r>
      <w:r w:rsidR="00ED1B16" w:rsidRPr="00FE7564">
        <w:rPr>
          <w:szCs w:val="22"/>
        </w:rPr>
        <w:t xml:space="preserve">of whether </w:t>
      </w:r>
      <w:r w:rsidR="000456B4" w:rsidRPr="00FE7564">
        <w:rPr>
          <w:szCs w:val="22"/>
        </w:rPr>
        <w:t xml:space="preserve">the updated safety data </w:t>
      </w:r>
      <w:r w:rsidR="00ED1B16" w:rsidRPr="00FE7564">
        <w:rPr>
          <w:szCs w:val="22"/>
        </w:rPr>
        <w:t>cast doubt on</w:t>
      </w:r>
      <w:r w:rsidR="000456B4" w:rsidRPr="00FE7564">
        <w:rPr>
          <w:szCs w:val="22"/>
        </w:rPr>
        <w:t xml:space="preserve"> the safety claim that combination therapy had a “different but no worse” safety profile compared to monotherapy.</w:t>
      </w:r>
      <w:r w:rsidR="00274AC8" w:rsidRPr="00FE7564">
        <w:rPr>
          <w:szCs w:val="22"/>
        </w:rPr>
        <w:t xml:space="preserve"> The PBAC noted that this issue was not addressed.</w:t>
      </w:r>
    </w:p>
    <w:p w:rsidR="009B7923" w:rsidRPr="00FE7564" w:rsidRDefault="009B7923" w:rsidP="00FD2BA9">
      <w:pPr>
        <w:ind w:left="720" w:hanging="720"/>
        <w:rPr>
          <w:szCs w:val="22"/>
        </w:rPr>
      </w:pPr>
    </w:p>
    <w:p w:rsidR="002077C8" w:rsidRPr="00FE7564" w:rsidRDefault="002077C8" w:rsidP="00447F56">
      <w:pPr>
        <w:pStyle w:val="ListParagraph"/>
        <w:widowControl/>
        <w:numPr>
          <w:ilvl w:val="1"/>
          <w:numId w:val="8"/>
        </w:numPr>
        <w:rPr>
          <w:bCs/>
        </w:rPr>
      </w:pPr>
      <w:r w:rsidRPr="00FE7564">
        <w:rPr>
          <w:bCs/>
          <w:szCs w:val="22"/>
        </w:rPr>
        <w:t>The PBAC considered that the claim of superior comparative effectiveness was reasonable.</w:t>
      </w:r>
    </w:p>
    <w:p w:rsidR="002077C8" w:rsidRPr="00FE7564" w:rsidRDefault="002077C8" w:rsidP="00447F56">
      <w:pPr>
        <w:rPr>
          <w:bCs/>
          <w:szCs w:val="22"/>
        </w:rPr>
      </w:pPr>
    </w:p>
    <w:p w:rsidR="002077C8" w:rsidRPr="00FE7564" w:rsidRDefault="002077C8" w:rsidP="00447F56">
      <w:pPr>
        <w:pStyle w:val="ListParagraph"/>
        <w:widowControl/>
        <w:numPr>
          <w:ilvl w:val="1"/>
          <w:numId w:val="8"/>
        </w:numPr>
        <w:rPr>
          <w:szCs w:val="22"/>
        </w:rPr>
      </w:pPr>
      <w:r w:rsidRPr="00FE7564">
        <w:rPr>
          <w:szCs w:val="22"/>
        </w:rPr>
        <w:t xml:space="preserve">The PBAC </w:t>
      </w:r>
      <w:r w:rsidR="005F5C8E" w:rsidRPr="00FE7564">
        <w:rPr>
          <w:szCs w:val="22"/>
        </w:rPr>
        <w:t xml:space="preserve">did not change its conclusions with respect to the comparative safety profile of combination </w:t>
      </w:r>
      <w:proofErr w:type="spellStart"/>
      <w:r w:rsidR="005F5C8E" w:rsidRPr="00FE7564">
        <w:rPr>
          <w:szCs w:val="22"/>
        </w:rPr>
        <w:t>trametinib</w:t>
      </w:r>
      <w:proofErr w:type="spellEnd"/>
      <w:r w:rsidR="005F5C8E" w:rsidRPr="00FE7564">
        <w:rPr>
          <w:szCs w:val="22"/>
        </w:rPr>
        <w:t xml:space="preserve"> with </w:t>
      </w:r>
      <w:proofErr w:type="spellStart"/>
      <w:r w:rsidR="005F5C8E" w:rsidRPr="00FE7564">
        <w:rPr>
          <w:szCs w:val="22"/>
        </w:rPr>
        <w:t>dabrafenib</w:t>
      </w:r>
      <w:proofErr w:type="spellEnd"/>
      <w:r w:rsidR="005F5C8E" w:rsidRPr="00FE7564">
        <w:rPr>
          <w:szCs w:val="22"/>
        </w:rPr>
        <w:t xml:space="preserve"> to </w:t>
      </w:r>
      <w:proofErr w:type="spellStart"/>
      <w:r w:rsidR="005F5C8E" w:rsidRPr="00FE7564">
        <w:rPr>
          <w:szCs w:val="22"/>
        </w:rPr>
        <w:t>dabrafenib</w:t>
      </w:r>
      <w:proofErr w:type="spellEnd"/>
      <w:r w:rsidR="005F5C8E" w:rsidRPr="00FE7564">
        <w:rPr>
          <w:szCs w:val="22"/>
        </w:rPr>
        <w:t xml:space="preserve"> monotherapy</w:t>
      </w:r>
      <w:r w:rsidRPr="00FE7564">
        <w:rPr>
          <w:szCs w:val="22"/>
        </w:rPr>
        <w:t>.</w:t>
      </w:r>
    </w:p>
    <w:p w:rsidR="002077C8" w:rsidRPr="00FE7564" w:rsidRDefault="002077C8" w:rsidP="00447F56">
      <w:pPr>
        <w:ind w:left="720" w:hanging="720"/>
        <w:rPr>
          <w:szCs w:val="22"/>
        </w:rPr>
      </w:pPr>
    </w:p>
    <w:p w:rsidR="00FD2BA9" w:rsidRPr="00FE7564" w:rsidRDefault="00FD2BA9" w:rsidP="0031771D">
      <w:pPr>
        <w:pStyle w:val="Heading2"/>
      </w:pPr>
      <w:bookmarkStart w:id="13" w:name="_Toc451265347"/>
      <w:r w:rsidRPr="00FE7564">
        <w:t>Economic analysis</w:t>
      </w:r>
      <w:bookmarkEnd w:id="13"/>
    </w:p>
    <w:p w:rsidR="00FD2BA9" w:rsidRPr="00FE7564" w:rsidRDefault="00FD2BA9" w:rsidP="00FD2BA9">
      <w:pPr>
        <w:ind w:left="720" w:hanging="720"/>
        <w:rPr>
          <w:szCs w:val="22"/>
        </w:rPr>
      </w:pPr>
    </w:p>
    <w:p w:rsidR="00FD2BA9" w:rsidRPr="00FE7564" w:rsidRDefault="00FD2BA9" w:rsidP="00FD2BA9">
      <w:pPr>
        <w:pStyle w:val="ListParagraph"/>
        <w:widowControl/>
        <w:numPr>
          <w:ilvl w:val="1"/>
          <w:numId w:val="8"/>
        </w:numPr>
        <w:rPr>
          <w:szCs w:val="22"/>
        </w:rPr>
      </w:pPr>
      <w:r w:rsidRPr="00FE7564">
        <w:t xml:space="preserve">The submission presented a cost-utility analysis based on pooled individual patient data from </w:t>
      </w:r>
      <w:r w:rsidR="008C2FB9" w:rsidRPr="00FE7564">
        <w:t>BRF113220, COMBI-D and COMBI-V</w:t>
      </w:r>
      <w:r w:rsidRPr="00FE7564">
        <w:t xml:space="preserve">, as specified by the PBAC in November 2014 (November </w:t>
      </w:r>
      <w:r w:rsidR="008C2FB9" w:rsidRPr="00FE7564">
        <w:t>PSD</w:t>
      </w:r>
      <w:r w:rsidRPr="00FE7564">
        <w:t xml:space="preserve">, paragraph 5.11). </w:t>
      </w:r>
      <w:r w:rsidR="008C2FB9" w:rsidRPr="00FE7564">
        <w:t xml:space="preserve">The </w:t>
      </w:r>
      <w:r w:rsidRPr="00FE7564">
        <w:t>table below provides a summary of the model structure</w:t>
      </w:r>
      <w:r w:rsidR="008C2FB9" w:rsidRPr="00FE7564">
        <w:t>.</w:t>
      </w:r>
    </w:p>
    <w:p w:rsidR="00314368" w:rsidRPr="00FE7564" w:rsidRDefault="00314368" w:rsidP="00314368">
      <w:pPr>
        <w:widowControl/>
        <w:rPr>
          <w:szCs w:val="22"/>
        </w:rPr>
      </w:pPr>
    </w:p>
    <w:p w:rsidR="00314368" w:rsidRPr="00FE7564" w:rsidRDefault="00314368">
      <w:pPr>
        <w:widowControl/>
        <w:jc w:val="left"/>
        <w:rPr>
          <w:rStyle w:val="CommentReference"/>
        </w:rPr>
      </w:pPr>
    </w:p>
    <w:p w:rsidR="00401986" w:rsidRDefault="00401986">
      <w:pPr>
        <w:widowControl/>
        <w:jc w:val="left"/>
        <w:rPr>
          <w:rStyle w:val="CommentReference"/>
        </w:rPr>
      </w:pPr>
      <w:r>
        <w:rPr>
          <w:rStyle w:val="CommentReference"/>
        </w:rPr>
        <w:br w:type="page"/>
      </w:r>
    </w:p>
    <w:p w:rsidR="00FD2BA9" w:rsidRPr="00FE7564" w:rsidRDefault="00FD2BA9" w:rsidP="00FD2BA9">
      <w:pPr>
        <w:ind w:firstLine="720"/>
        <w:rPr>
          <w:rStyle w:val="CommentReference"/>
        </w:rPr>
      </w:pPr>
      <w:r w:rsidRPr="00FE7564">
        <w:rPr>
          <w:rStyle w:val="CommentReference"/>
        </w:rPr>
        <w:lastRenderedPageBreak/>
        <w:t>Table 7: Summary of model structure and rationale</w:t>
      </w:r>
    </w:p>
    <w:tbl>
      <w:tblPr>
        <w:tblW w:w="832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80"/>
        <w:gridCol w:w="6744"/>
      </w:tblGrid>
      <w:tr w:rsidR="00FD2BA9" w:rsidRPr="00FE7564" w:rsidTr="00C26563">
        <w:trPr>
          <w:trHeight w:val="240"/>
        </w:trPr>
        <w:tc>
          <w:tcPr>
            <w:tcW w:w="1580" w:type="dxa"/>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Time horizon</w:t>
            </w:r>
          </w:p>
        </w:tc>
        <w:tc>
          <w:tcPr>
            <w:tcW w:w="6744" w:type="dxa"/>
            <w:shd w:val="clear" w:color="auto" w:fill="auto"/>
            <w:vAlign w:val="center"/>
          </w:tcPr>
          <w:p w:rsidR="00FD2BA9" w:rsidRPr="00FE7564" w:rsidRDefault="00FD2BA9" w:rsidP="00C26563">
            <w:pPr>
              <w:rPr>
                <w:rFonts w:ascii="Arial Narrow" w:hAnsi="Arial Narrow"/>
                <w:sz w:val="20"/>
              </w:rPr>
            </w:pPr>
            <w:r w:rsidRPr="00FE7564">
              <w:rPr>
                <w:rFonts w:ascii="Arial Narrow" w:hAnsi="Arial Narrow"/>
                <w:sz w:val="20"/>
              </w:rPr>
              <w:t xml:space="preserve">5 years in the model base case versus a follow-up of 44.5 months in BRF-113220, 16 months in the monotherapy arm and 20 months in combination therapy arm of COMBI-D and 10 months in the </w:t>
            </w:r>
            <w:proofErr w:type="spellStart"/>
            <w:r w:rsidRPr="00FE7564">
              <w:rPr>
                <w:rFonts w:ascii="Arial Narrow" w:hAnsi="Arial Narrow"/>
                <w:sz w:val="20"/>
              </w:rPr>
              <w:t>vemurafenib</w:t>
            </w:r>
            <w:proofErr w:type="spellEnd"/>
            <w:r w:rsidRPr="00FE7564">
              <w:rPr>
                <w:rFonts w:ascii="Arial Narrow" w:hAnsi="Arial Narrow"/>
                <w:sz w:val="20"/>
              </w:rPr>
              <w:t xml:space="preserve"> arm and 11 months in the combination arm of COMBI-V. </w:t>
            </w:r>
          </w:p>
        </w:tc>
      </w:tr>
      <w:tr w:rsidR="00FD2BA9" w:rsidRPr="00FE7564" w:rsidTr="00C26563">
        <w:trPr>
          <w:trHeight w:val="161"/>
        </w:trPr>
        <w:tc>
          <w:tcPr>
            <w:tcW w:w="1580" w:type="dxa"/>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Outcomes</w:t>
            </w:r>
          </w:p>
        </w:tc>
        <w:tc>
          <w:tcPr>
            <w:tcW w:w="6744" w:type="dxa"/>
            <w:shd w:val="clear" w:color="auto" w:fill="auto"/>
            <w:vAlign w:val="center"/>
          </w:tcPr>
          <w:p w:rsidR="00FD2BA9" w:rsidRPr="00FE7564" w:rsidRDefault="00FD2BA9" w:rsidP="00C26563">
            <w:pPr>
              <w:rPr>
                <w:rFonts w:ascii="Arial Narrow" w:hAnsi="Arial Narrow"/>
                <w:sz w:val="20"/>
              </w:rPr>
            </w:pPr>
            <w:r w:rsidRPr="00FE7564">
              <w:rPr>
                <w:rFonts w:ascii="Arial Narrow" w:hAnsi="Arial Narrow"/>
                <w:sz w:val="20"/>
              </w:rPr>
              <w:t>QALYs and life-years</w:t>
            </w:r>
          </w:p>
        </w:tc>
      </w:tr>
      <w:tr w:rsidR="00FD2BA9" w:rsidRPr="00FE7564" w:rsidTr="00C26563">
        <w:trPr>
          <w:trHeight w:val="704"/>
        </w:trPr>
        <w:tc>
          <w:tcPr>
            <w:tcW w:w="1580" w:type="dxa"/>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Methods used to generate results</w:t>
            </w:r>
          </w:p>
        </w:tc>
        <w:tc>
          <w:tcPr>
            <w:tcW w:w="6744" w:type="dxa"/>
            <w:shd w:val="clear" w:color="auto" w:fill="auto"/>
            <w:vAlign w:val="center"/>
          </w:tcPr>
          <w:p w:rsidR="00FD2BA9" w:rsidRPr="00FE7564" w:rsidRDefault="00FD2BA9" w:rsidP="002878A5">
            <w:pPr>
              <w:rPr>
                <w:rFonts w:ascii="Arial Narrow" w:hAnsi="Arial Narrow"/>
                <w:sz w:val="20"/>
              </w:rPr>
            </w:pPr>
            <w:r w:rsidRPr="00FE7564">
              <w:rPr>
                <w:rFonts w:ascii="Arial Narrow" w:hAnsi="Arial Narrow"/>
                <w:sz w:val="20"/>
              </w:rPr>
              <w:t>Kaplan</w:t>
            </w:r>
            <w:r w:rsidR="002878A5" w:rsidRPr="00FE7564">
              <w:rPr>
                <w:rFonts w:ascii="Arial Narrow" w:hAnsi="Arial Narrow"/>
                <w:sz w:val="20"/>
              </w:rPr>
              <w:t>-</w:t>
            </w:r>
            <w:r w:rsidRPr="00FE7564">
              <w:rPr>
                <w:rFonts w:ascii="Arial Narrow" w:hAnsi="Arial Narrow"/>
                <w:sz w:val="20"/>
              </w:rPr>
              <w:t xml:space="preserve">Meier curves generated from the IPD analysis are used up to median duration of follow-up, </w:t>
            </w:r>
            <w:r w:rsidR="00EB2685" w:rsidRPr="00FE7564">
              <w:rPr>
                <w:rFonts w:ascii="Arial Narrow" w:hAnsi="Arial Narrow"/>
                <w:sz w:val="20"/>
              </w:rPr>
              <w:t>and then</w:t>
            </w:r>
            <w:r w:rsidRPr="00FE7564">
              <w:rPr>
                <w:rFonts w:ascii="Arial Narrow" w:hAnsi="Arial Narrow"/>
                <w:sz w:val="20"/>
              </w:rPr>
              <w:t xml:space="preserve"> the log-logistic extrapolation of pooled BRF113220, COMBI-D and COMBI-V PFS and OS data is used. </w:t>
            </w:r>
          </w:p>
        </w:tc>
      </w:tr>
      <w:tr w:rsidR="00FD2BA9" w:rsidRPr="00FE7564" w:rsidTr="00C26563">
        <w:trPr>
          <w:trHeight w:val="225"/>
        </w:trPr>
        <w:tc>
          <w:tcPr>
            <w:tcW w:w="1580" w:type="dxa"/>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Cycle length</w:t>
            </w:r>
          </w:p>
        </w:tc>
        <w:tc>
          <w:tcPr>
            <w:tcW w:w="6744" w:type="dxa"/>
            <w:shd w:val="clear" w:color="auto" w:fill="auto"/>
            <w:vAlign w:val="center"/>
          </w:tcPr>
          <w:p w:rsidR="00FD2BA9" w:rsidRPr="00FE7564" w:rsidRDefault="00FD2BA9" w:rsidP="00C26563">
            <w:pPr>
              <w:rPr>
                <w:rFonts w:ascii="Arial Narrow" w:hAnsi="Arial Narrow"/>
                <w:sz w:val="20"/>
              </w:rPr>
            </w:pPr>
            <w:r w:rsidRPr="00FE7564">
              <w:rPr>
                <w:rFonts w:ascii="Arial Narrow" w:hAnsi="Arial Narrow"/>
                <w:sz w:val="20"/>
              </w:rPr>
              <w:t>1 week (no half cycle correction has been applied)</w:t>
            </w:r>
          </w:p>
        </w:tc>
      </w:tr>
      <w:tr w:rsidR="00FD2BA9" w:rsidRPr="00FE7564" w:rsidTr="00C26563">
        <w:trPr>
          <w:trHeight w:val="448"/>
        </w:trPr>
        <w:tc>
          <w:tcPr>
            <w:tcW w:w="1580" w:type="dxa"/>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Transition probabilities</w:t>
            </w:r>
          </w:p>
        </w:tc>
        <w:tc>
          <w:tcPr>
            <w:tcW w:w="6744" w:type="dxa"/>
            <w:shd w:val="clear" w:color="auto" w:fill="auto"/>
            <w:vAlign w:val="center"/>
          </w:tcPr>
          <w:p w:rsidR="00FD2BA9" w:rsidRPr="00FE7564" w:rsidRDefault="00FD2BA9" w:rsidP="00C26563">
            <w:pPr>
              <w:rPr>
                <w:rFonts w:ascii="Arial Narrow" w:hAnsi="Arial Narrow"/>
                <w:sz w:val="20"/>
              </w:rPr>
            </w:pPr>
            <w:r w:rsidRPr="00FE7564">
              <w:rPr>
                <w:rFonts w:ascii="Arial Narrow" w:hAnsi="Arial Narrow"/>
                <w:sz w:val="20"/>
              </w:rPr>
              <w:t xml:space="preserve">Derived from a series of observed and parametric survival functions. The model calculates the proportion of patients alive, and alive without progression, at each point (t) representing months since initiation </w:t>
            </w:r>
            <w:r w:rsidR="00B4220A" w:rsidRPr="00FE7564">
              <w:rPr>
                <w:rFonts w:ascii="Arial Narrow" w:hAnsi="Arial Narrow"/>
                <w:sz w:val="20"/>
              </w:rPr>
              <w:t>of therapy, (</w:t>
            </w:r>
            <w:proofErr w:type="gramStart"/>
            <w:r w:rsidR="00B4220A" w:rsidRPr="00FE7564">
              <w:rPr>
                <w:rFonts w:ascii="Arial Narrow" w:hAnsi="Arial Narrow"/>
                <w:sz w:val="20"/>
              </w:rPr>
              <w:t>OS(</w:t>
            </w:r>
            <w:proofErr w:type="gramEnd"/>
            <w:r w:rsidR="00B4220A" w:rsidRPr="00FE7564">
              <w:rPr>
                <w:rFonts w:ascii="Arial Narrow" w:hAnsi="Arial Narrow"/>
                <w:sz w:val="20"/>
              </w:rPr>
              <w:t xml:space="preserve">t) or PFS(t)). </w:t>
            </w:r>
            <w:proofErr w:type="gramStart"/>
            <w:r w:rsidRPr="00FE7564">
              <w:rPr>
                <w:rFonts w:ascii="Arial Narrow" w:hAnsi="Arial Narrow"/>
                <w:sz w:val="20"/>
              </w:rPr>
              <w:t>PFS(</w:t>
            </w:r>
            <w:proofErr w:type="gramEnd"/>
            <w:r w:rsidRPr="00FE7564">
              <w:rPr>
                <w:rFonts w:ascii="Arial Narrow" w:hAnsi="Arial Narrow"/>
                <w:sz w:val="20"/>
              </w:rPr>
              <w:t>t) = the proportion of patients in the pre-progression state in each model cycle; PFS(t) – OS(t) = the proportion in the post progression state; and 1-OS(t) = the proportion dead.</w:t>
            </w:r>
          </w:p>
        </w:tc>
      </w:tr>
      <w:tr w:rsidR="00FD2BA9" w:rsidRPr="00FE7564" w:rsidTr="00C26563">
        <w:trPr>
          <w:trHeight w:val="240"/>
        </w:trPr>
        <w:tc>
          <w:tcPr>
            <w:tcW w:w="1580" w:type="dxa"/>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Discount rate</w:t>
            </w:r>
          </w:p>
        </w:tc>
        <w:tc>
          <w:tcPr>
            <w:tcW w:w="6744" w:type="dxa"/>
            <w:shd w:val="clear" w:color="auto" w:fill="auto"/>
            <w:vAlign w:val="center"/>
          </w:tcPr>
          <w:p w:rsidR="00FD2BA9" w:rsidRPr="00FE7564" w:rsidRDefault="00FD2BA9" w:rsidP="00C26563">
            <w:pPr>
              <w:rPr>
                <w:rFonts w:ascii="Arial Narrow" w:hAnsi="Arial Narrow"/>
                <w:sz w:val="20"/>
              </w:rPr>
            </w:pPr>
            <w:r w:rsidRPr="00FE7564">
              <w:rPr>
                <w:rFonts w:ascii="Arial Narrow" w:hAnsi="Arial Narrow"/>
                <w:sz w:val="20"/>
              </w:rPr>
              <w:t>5% for costs and outcomes</w:t>
            </w:r>
          </w:p>
        </w:tc>
      </w:tr>
      <w:tr w:rsidR="00FD2BA9" w:rsidRPr="00FE7564" w:rsidTr="00C26563">
        <w:trPr>
          <w:trHeight w:val="225"/>
        </w:trPr>
        <w:tc>
          <w:tcPr>
            <w:tcW w:w="1580" w:type="dxa"/>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Software package</w:t>
            </w:r>
          </w:p>
        </w:tc>
        <w:tc>
          <w:tcPr>
            <w:tcW w:w="6744" w:type="dxa"/>
            <w:shd w:val="clear" w:color="auto" w:fill="auto"/>
            <w:vAlign w:val="center"/>
          </w:tcPr>
          <w:p w:rsidR="00FD2BA9" w:rsidRPr="00FE7564" w:rsidRDefault="00FD2BA9" w:rsidP="00C26563">
            <w:pPr>
              <w:rPr>
                <w:rFonts w:ascii="Arial Narrow" w:hAnsi="Arial Narrow"/>
                <w:sz w:val="20"/>
              </w:rPr>
            </w:pPr>
            <w:r w:rsidRPr="00FE7564">
              <w:rPr>
                <w:rFonts w:ascii="Arial Narrow" w:hAnsi="Arial Narrow"/>
                <w:sz w:val="20"/>
              </w:rPr>
              <w:t>Excel 2010</w:t>
            </w:r>
          </w:p>
        </w:tc>
      </w:tr>
    </w:tbl>
    <w:p w:rsidR="00FD2BA9" w:rsidRPr="00FE7564" w:rsidRDefault="00FD2BA9" w:rsidP="00FD2BA9">
      <w:pPr>
        <w:pStyle w:val="TableFooter"/>
        <w:ind w:firstLine="720"/>
      </w:pPr>
      <w:r w:rsidRPr="00FE7564">
        <w:t>Source: compiled during the evaluation</w:t>
      </w:r>
      <w:r w:rsidR="007A23CD" w:rsidRPr="00FE7564">
        <w:t>. IPD=individual patient data;</w:t>
      </w:r>
      <w:r w:rsidRPr="00FE7564">
        <w:t xml:space="preserve"> PFS=progression</w:t>
      </w:r>
      <w:r w:rsidR="00444F6B" w:rsidRPr="00FE7564">
        <w:t>-</w:t>
      </w:r>
      <w:r w:rsidRPr="00FE7564">
        <w:t>free</w:t>
      </w:r>
      <w:r w:rsidR="007A23CD" w:rsidRPr="00FE7564">
        <w:t xml:space="preserve"> survival; OS=overall survival</w:t>
      </w:r>
    </w:p>
    <w:p w:rsidR="00FD2BA9" w:rsidRPr="00FE7564" w:rsidRDefault="00FD2BA9" w:rsidP="00FD2BA9">
      <w:pPr>
        <w:rPr>
          <w:snapToGrid/>
        </w:rPr>
      </w:pPr>
    </w:p>
    <w:p w:rsidR="00FD2BA9" w:rsidRPr="00FE7564" w:rsidRDefault="00FD2BA9" w:rsidP="00FD2BA9">
      <w:pPr>
        <w:pStyle w:val="ListParagraph"/>
        <w:widowControl/>
        <w:numPr>
          <w:ilvl w:val="1"/>
          <w:numId w:val="8"/>
        </w:numPr>
        <w:rPr>
          <w:szCs w:val="22"/>
        </w:rPr>
      </w:pPr>
      <w:r w:rsidRPr="00FE7564">
        <w:t>The model complied with most specifications of the PBAC, including the requirement to use Kaplan</w:t>
      </w:r>
      <w:r w:rsidR="002878A5" w:rsidRPr="00FE7564">
        <w:t>-</w:t>
      </w:r>
      <w:r w:rsidRPr="00FE7564">
        <w:t>Meier curves from the pooled IPD analysis to median follow-up and then apply extrapolation. Changes made to the economic evaluation that were not consistent with PBAC specifications included</w:t>
      </w:r>
      <w:r w:rsidR="00AF3D44" w:rsidRPr="00FE7564">
        <w:t>:</w:t>
      </w:r>
      <w:r w:rsidRPr="00FE7564">
        <w:t xml:space="preserve"> updating of AE </w:t>
      </w:r>
      <w:r w:rsidR="00D74C23" w:rsidRPr="00FE7564">
        <w:t xml:space="preserve">rates and </w:t>
      </w:r>
      <w:r w:rsidRPr="00FE7564">
        <w:t>costs</w:t>
      </w:r>
      <w:r w:rsidR="00AF3D44" w:rsidRPr="00FE7564">
        <w:t>;</w:t>
      </w:r>
      <w:r w:rsidRPr="00FE7564">
        <w:t xml:space="preserve"> </w:t>
      </w:r>
      <w:r w:rsidR="00D74C23" w:rsidRPr="00FE7564">
        <w:t xml:space="preserve">updating of monitoring costs; </w:t>
      </w:r>
      <w:r w:rsidRPr="00FE7564">
        <w:t xml:space="preserve">updating of </w:t>
      </w:r>
      <w:r w:rsidR="00D74C23" w:rsidRPr="00FE7564">
        <w:t xml:space="preserve">pre-progression </w:t>
      </w:r>
      <w:r w:rsidRPr="00FE7564">
        <w:t>utility values</w:t>
      </w:r>
      <w:r w:rsidR="00AF3D44" w:rsidRPr="00FE7564">
        <w:t>;</w:t>
      </w:r>
      <w:r w:rsidRPr="00FE7564">
        <w:t xml:space="preserve"> and most importantly, inclusion of post progression anti-cancer therapy (PPACT) costs</w:t>
      </w:r>
      <w:r w:rsidR="00AF3D44" w:rsidRPr="00FE7564">
        <w:t>.</w:t>
      </w:r>
      <w:r w:rsidRPr="00FE7564">
        <w:t xml:space="preserve"> </w:t>
      </w:r>
      <w:r w:rsidR="00AF3D44" w:rsidRPr="00FE7564">
        <w:t xml:space="preserve">These latter costs </w:t>
      </w:r>
      <w:r w:rsidRPr="00FE7564">
        <w:t>had not been included in the previous model.</w:t>
      </w:r>
      <w:r w:rsidR="007A23CD" w:rsidRPr="00FE7564">
        <w:t xml:space="preserve"> </w:t>
      </w:r>
      <w:r w:rsidRPr="00FE7564">
        <w:t>While most changes did not affect the model considerably, the inclusion of PPACT costs favoured com</w:t>
      </w:r>
      <w:r w:rsidR="007A23CD" w:rsidRPr="00FE7564">
        <w:t>bination therapy significantly.</w:t>
      </w:r>
    </w:p>
    <w:p w:rsidR="00FD2BA9" w:rsidRPr="00FE7564" w:rsidRDefault="00FD2BA9" w:rsidP="00FD2BA9">
      <w:pPr>
        <w:widowControl/>
        <w:rPr>
          <w:szCs w:val="22"/>
        </w:rPr>
      </w:pPr>
    </w:p>
    <w:p w:rsidR="00D70691" w:rsidRPr="00FE7564" w:rsidRDefault="00D70691" w:rsidP="00D70691">
      <w:pPr>
        <w:pStyle w:val="ListParagraph"/>
        <w:widowControl/>
        <w:numPr>
          <w:ilvl w:val="1"/>
          <w:numId w:val="8"/>
        </w:numPr>
        <w:rPr>
          <w:szCs w:val="22"/>
        </w:rPr>
      </w:pPr>
      <w:r w:rsidRPr="00FE7564">
        <w:t xml:space="preserve">The submission included costs associated with PPACT use </w:t>
      </w:r>
      <w:r w:rsidR="00767006" w:rsidRPr="00FE7564">
        <w:t>in the model because it argued these were</w:t>
      </w:r>
      <w:r w:rsidRPr="00FE7564">
        <w:t xml:space="preserve"> clearly relevant to the current decision context as many therapies were reasonably effective in a second</w:t>
      </w:r>
      <w:r w:rsidR="004C1AED" w:rsidRPr="00FE7564">
        <w:t>-</w:t>
      </w:r>
      <w:r w:rsidRPr="00FE7564">
        <w:t>line setting</w:t>
      </w:r>
      <w:r w:rsidR="00041FC2">
        <w:t>. Further the</w:t>
      </w:r>
      <w:r w:rsidRPr="00FE7564">
        <w:t xml:space="preserve"> differential utilisation in the studies was likely to have influenced the observed OS outcomes upon which the submission was based, and consequently there was an intrinsic link between the OS outcome reported in t</w:t>
      </w:r>
      <w:r w:rsidR="007A23CD" w:rsidRPr="00FE7564">
        <w:t>he trials and the use of PPACT.</w:t>
      </w:r>
      <w:r w:rsidR="00924419" w:rsidRPr="00FE7564">
        <w:t xml:space="preserve"> </w:t>
      </w:r>
      <w:r w:rsidR="00924419" w:rsidRPr="00FE7564">
        <w:rPr>
          <w:szCs w:val="22"/>
        </w:rPr>
        <w:t xml:space="preserve">The PSCR (p 1) argued that it is appropriate to include all relevant costs and consequences, and that the updated data showed that patients in the Phase III trials were managed with additional therapies post-progression, and therefore it is appropriate to include </w:t>
      </w:r>
      <w:r w:rsidR="00041FC2">
        <w:rPr>
          <w:szCs w:val="22"/>
        </w:rPr>
        <w:t xml:space="preserve">PPACT </w:t>
      </w:r>
      <w:r w:rsidR="00924419" w:rsidRPr="00FE7564">
        <w:rPr>
          <w:szCs w:val="22"/>
        </w:rPr>
        <w:t xml:space="preserve">to demonstrate the true cost and value of combination therapy involving </w:t>
      </w:r>
      <w:proofErr w:type="spellStart"/>
      <w:r w:rsidR="00924419" w:rsidRPr="00FE7564">
        <w:rPr>
          <w:szCs w:val="22"/>
        </w:rPr>
        <w:t>trametinib</w:t>
      </w:r>
      <w:proofErr w:type="spellEnd"/>
      <w:r w:rsidR="00924419" w:rsidRPr="00FE7564">
        <w:rPr>
          <w:szCs w:val="22"/>
        </w:rPr>
        <w:t xml:space="preserve"> in Australia. The PSCR (p 2) also argued that the reason for not including these costs in Evaluation 1 (data from BRF113220 were immature, small differences in utilisation, adjustment for crossover in effectiveness estimates) did not apply to Evaluation 2 (which is based on mature COMBI-D and COMBI-V data which both had differences in PPACT utilisation).</w:t>
      </w:r>
    </w:p>
    <w:p w:rsidR="00D70691" w:rsidRPr="00FE7564" w:rsidRDefault="00D70691" w:rsidP="00D70691">
      <w:pPr>
        <w:widowControl/>
      </w:pPr>
    </w:p>
    <w:p w:rsidR="00621B8C" w:rsidRPr="00FE7564" w:rsidRDefault="00621B8C" w:rsidP="00621B8C">
      <w:pPr>
        <w:pStyle w:val="ListParagraph"/>
        <w:widowControl/>
        <w:numPr>
          <w:ilvl w:val="1"/>
          <w:numId w:val="8"/>
        </w:numPr>
        <w:rPr>
          <w:szCs w:val="22"/>
        </w:rPr>
      </w:pPr>
      <w:r w:rsidRPr="00FE7564">
        <w:rPr>
          <w:szCs w:val="22"/>
        </w:rPr>
        <w:t xml:space="preserve">The ESC advised that acceptance of PPACT costs would depend on whether the therapies in the model reflect likely current practice in Australia, especially when the inclusion largely changes the incremental costs of the model in favour of </w:t>
      </w:r>
      <w:proofErr w:type="spellStart"/>
      <w:r w:rsidRPr="00FE7564">
        <w:rPr>
          <w:szCs w:val="22"/>
        </w:rPr>
        <w:t>trametinib</w:t>
      </w:r>
      <w:proofErr w:type="spellEnd"/>
      <w:r w:rsidRPr="00FE7564">
        <w:rPr>
          <w:szCs w:val="22"/>
        </w:rPr>
        <w:t>. The sponsor acknowledged (PSCR p. 2) that its approach was driven by “internal validity” (</w:t>
      </w:r>
      <w:r w:rsidR="00EB2685" w:rsidRPr="00FE7564">
        <w:rPr>
          <w:szCs w:val="22"/>
        </w:rPr>
        <w:t>i.e.</w:t>
      </w:r>
      <w:r w:rsidRPr="00FE7564">
        <w:rPr>
          <w:szCs w:val="22"/>
        </w:rPr>
        <w:t xml:space="preserve"> capturing the costs associated with the outcomes in COMBI-D and COMBI-V and that “the external validity of the modelling approach…is debateable”).</w:t>
      </w:r>
    </w:p>
    <w:p w:rsidR="00621B8C" w:rsidRPr="00FE7564" w:rsidRDefault="00621B8C" w:rsidP="00621B8C">
      <w:pPr>
        <w:rPr>
          <w:szCs w:val="22"/>
        </w:rPr>
      </w:pPr>
    </w:p>
    <w:p w:rsidR="00FD2BA9" w:rsidRPr="00FE7564" w:rsidRDefault="00FD2BA9" w:rsidP="00FD2BA9">
      <w:pPr>
        <w:pStyle w:val="ListParagraph"/>
        <w:widowControl/>
        <w:numPr>
          <w:ilvl w:val="1"/>
          <w:numId w:val="8"/>
        </w:numPr>
        <w:rPr>
          <w:szCs w:val="22"/>
        </w:rPr>
      </w:pPr>
      <w:r w:rsidRPr="00FE7564">
        <w:t>The submission calculated PPACT costs through the following steps:</w:t>
      </w:r>
    </w:p>
    <w:p w:rsidR="00767006" w:rsidRPr="00FE7564" w:rsidRDefault="00767006" w:rsidP="00FD2BA9">
      <w:pPr>
        <w:pStyle w:val="ListParagraph"/>
        <w:numPr>
          <w:ilvl w:val="0"/>
          <w:numId w:val="38"/>
        </w:numPr>
        <w:ind w:left="1080"/>
      </w:pPr>
      <w:r w:rsidRPr="00FE7564">
        <w:lastRenderedPageBreak/>
        <w:t>e</w:t>
      </w:r>
      <w:r w:rsidR="00FD2BA9" w:rsidRPr="00FE7564">
        <w:t>xtracting percentages of specific PPACT use from COMBI-D</w:t>
      </w:r>
      <w:r w:rsidRPr="00FE7564">
        <w:t>;</w:t>
      </w:r>
    </w:p>
    <w:p w:rsidR="00FD2BA9" w:rsidRPr="00FE7564" w:rsidRDefault="00767006" w:rsidP="00FD2BA9">
      <w:pPr>
        <w:pStyle w:val="ListParagraph"/>
        <w:numPr>
          <w:ilvl w:val="0"/>
          <w:numId w:val="38"/>
        </w:numPr>
        <w:ind w:left="1080"/>
      </w:pPr>
      <w:r w:rsidRPr="00FE7564">
        <w:t>a</w:t>
      </w:r>
      <w:r w:rsidR="00FD2BA9" w:rsidRPr="00FE7564">
        <w:t>djusting for censoring by dividing the proportion of patients using a specific therapy by the proportion of patients who progressed or died</w:t>
      </w:r>
      <w:r w:rsidRPr="00FE7564">
        <w:t>;</w:t>
      </w:r>
    </w:p>
    <w:p w:rsidR="0010168C" w:rsidRDefault="00767006" w:rsidP="00FD2BA9">
      <w:pPr>
        <w:pStyle w:val="ListParagraph"/>
        <w:numPr>
          <w:ilvl w:val="0"/>
          <w:numId w:val="38"/>
        </w:numPr>
        <w:ind w:left="1080"/>
      </w:pPr>
      <w:r w:rsidRPr="00FE7564">
        <w:t>e</w:t>
      </w:r>
      <w:r w:rsidR="00FD2BA9" w:rsidRPr="00FE7564">
        <w:t>stimat</w:t>
      </w:r>
      <w:r w:rsidRPr="00FE7564">
        <w:t>ing</w:t>
      </w:r>
      <w:r w:rsidR="00FD2BA9" w:rsidRPr="00FE7564">
        <w:t xml:space="preserve"> </w:t>
      </w:r>
      <w:r w:rsidRPr="00FE7564">
        <w:t xml:space="preserve">the </w:t>
      </w:r>
      <w:r w:rsidR="00FD2BA9" w:rsidRPr="00FE7564">
        <w:t xml:space="preserve">dosage of each PPACT from the literature and product </w:t>
      </w:r>
    </w:p>
    <w:p w:rsidR="0010168C" w:rsidRDefault="0010168C" w:rsidP="0010168C">
      <w:pPr>
        <w:pStyle w:val="ListParagraph"/>
        <w:ind w:left="1080"/>
      </w:pPr>
    </w:p>
    <w:p w:rsidR="00FD2BA9" w:rsidRPr="00FE7564" w:rsidRDefault="00FD2BA9" w:rsidP="0010168C">
      <w:pPr>
        <w:pStyle w:val="ListParagraph"/>
        <w:ind w:left="1080"/>
      </w:pPr>
      <w:proofErr w:type="gramStart"/>
      <w:r w:rsidRPr="00FE7564">
        <w:t>inform</w:t>
      </w:r>
      <w:r w:rsidR="00767006" w:rsidRPr="00FE7564">
        <w:t>ation</w:t>
      </w:r>
      <w:proofErr w:type="gramEnd"/>
      <w:r w:rsidR="00767006" w:rsidRPr="00FE7564">
        <w:t>. For patients with weight-</w:t>
      </w:r>
      <w:r w:rsidRPr="00FE7564">
        <w:t xml:space="preserve">based dosing regimens, baseline data from the COMBI-D trial was used, and </w:t>
      </w:r>
      <w:r w:rsidR="00ED1B16" w:rsidRPr="00FE7564">
        <w:t xml:space="preserve">each </w:t>
      </w:r>
      <w:r w:rsidRPr="00FE7564">
        <w:t>second</w:t>
      </w:r>
      <w:r w:rsidR="004C1AED" w:rsidRPr="00FE7564">
        <w:t>-</w:t>
      </w:r>
      <w:r w:rsidRPr="00FE7564">
        <w:t xml:space="preserve">line therapy was assumed to last 6 months (except the 4 doses of </w:t>
      </w:r>
      <w:proofErr w:type="spellStart"/>
      <w:r w:rsidRPr="00FE7564">
        <w:t>ipilimumab</w:t>
      </w:r>
      <w:proofErr w:type="spellEnd"/>
      <w:r w:rsidRPr="00FE7564">
        <w:t>)</w:t>
      </w:r>
      <w:r w:rsidR="00767006" w:rsidRPr="00FE7564">
        <w:t>;</w:t>
      </w:r>
    </w:p>
    <w:p w:rsidR="00FD2BA9" w:rsidRPr="00FE7564" w:rsidRDefault="00767006" w:rsidP="00FD2BA9">
      <w:pPr>
        <w:pStyle w:val="ListParagraph"/>
        <w:numPr>
          <w:ilvl w:val="0"/>
          <w:numId w:val="38"/>
        </w:numPr>
        <w:ind w:left="1080"/>
      </w:pPr>
      <w:proofErr w:type="gramStart"/>
      <w:r w:rsidRPr="00FE7564">
        <w:t>obtaining</w:t>
      </w:r>
      <w:proofErr w:type="gramEnd"/>
      <w:r w:rsidRPr="00FE7564">
        <w:t xml:space="preserve"> c</w:t>
      </w:r>
      <w:r w:rsidR="00FD2BA9" w:rsidRPr="00FE7564">
        <w:t xml:space="preserve">ourse costs from the PBS schedule except for DTIC, </w:t>
      </w:r>
      <w:proofErr w:type="spellStart"/>
      <w:r w:rsidR="00FD2BA9" w:rsidRPr="00FE7564">
        <w:t>vemurafenib</w:t>
      </w:r>
      <w:proofErr w:type="spellEnd"/>
      <w:r w:rsidR="00FD2BA9" w:rsidRPr="00FE7564">
        <w:t xml:space="preserve"> and </w:t>
      </w:r>
      <w:proofErr w:type="spellStart"/>
      <w:r w:rsidR="00FD2BA9" w:rsidRPr="00FE7564">
        <w:t>lomustine</w:t>
      </w:r>
      <w:proofErr w:type="spellEnd"/>
      <w:r w:rsidR="00FD2BA9" w:rsidRPr="00FE7564">
        <w:t xml:space="preserve">, which </w:t>
      </w:r>
      <w:r w:rsidRPr="00FE7564">
        <w:t>were not PBS listed.</w:t>
      </w:r>
    </w:p>
    <w:p w:rsidR="000E2D22" w:rsidRPr="00FE7564" w:rsidRDefault="000E2D22" w:rsidP="005F5C8E"/>
    <w:p w:rsidR="00E82154" w:rsidRPr="00FE7564" w:rsidRDefault="00E82154" w:rsidP="00E82154">
      <w:pPr>
        <w:ind w:left="720"/>
      </w:pPr>
      <w:r w:rsidRPr="00FE7564">
        <w:t xml:space="preserve">Further details of these calculations </w:t>
      </w:r>
      <w:r w:rsidR="00314368" w:rsidRPr="00FE7564">
        <w:t>are provided in Table 8</w:t>
      </w:r>
      <w:r w:rsidRPr="00FE7564">
        <w:t>.</w:t>
      </w:r>
    </w:p>
    <w:p w:rsidR="00314368" w:rsidRPr="00FE7564" w:rsidRDefault="00314368">
      <w:pPr>
        <w:widowControl/>
        <w:jc w:val="left"/>
        <w:rPr>
          <w:rStyle w:val="CommentReference"/>
          <w:i/>
        </w:rPr>
      </w:pPr>
    </w:p>
    <w:p w:rsidR="00BA1DD7" w:rsidRPr="00FE7564" w:rsidRDefault="00BA1DD7" w:rsidP="00BA1DD7">
      <w:pPr>
        <w:ind w:left="720"/>
        <w:rPr>
          <w:rStyle w:val="CommentReference"/>
        </w:rPr>
      </w:pPr>
      <w:r w:rsidRPr="00FE7564">
        <w:rPr>
          <w:rStyle w:val="CommentReference"/>
        </w:rPr>
        <w:t xml:space="preserve">Table </w:t>
      </w:r>
      <w:r w:rsidR="00314368" w:rsidRPr="00FE7564">
        <w:rPr>
          <w:rStyle w:val="CommentReference"/>
        </w:rPr>
        <w:t>8</w:t>
      </w:r>
      <w:r w:rsidRPr="00FE7564">
        <w:rPr>
          <w:rStyle w:val="CommentReference"/>
        </w:rPr>
        <w:t>: Calculation of PPACT costs</w:t>
      </w:r>
    </w:p>
    <w:tbl>
      <w:tblPr>
        <w:tblW w:w="4654" w:type="pct"/>
        <w:tblInd w:w="720" w:type="dxa"/>
        <w:tblLayout w:type="fixed"/>
        <w:tblLook w:val="04A0" w:firstRow="1" w:lastRow="0" w:firstColumn="1" w:lastColumn="0" w:noHBand="0" w:noVBand="1"/>
      </w:tblPr>
      <w:tblGrid>
        <w:gridCol w:w="1374"/>
        <w:gridCol w:w="568"/>
        <w:gridCol w:w="711"/>
        <w:gridCol w:w="707"/>
        <w:gridCol w:w="850"/>
        <w:gridCol w:w="1134"/>
        <w:gridCol w:w="1135"/>
        <w:gridCol w:w="993"/>
        <w:gridCol w:w="1130"/>
      </w:tblGrid>
      <w:tr w:rsidR="00A43C02" w:rsidRPr="00FE7564" w:rsidTr="00A43C02">
        <w:tc>
          <w:tcPr>
            <w:tcW w:w="799" w:type="pct"/>
            <w:vMerge w:val="restart"/>
            <w:tcBorders>
              <w:top w:val="single" w:sz="4" w:space="0" w:color="auto"/>
              <w:left w:val="single" w:sz="4" w:space="0" w:color="auto"/>
              <w:right w:val="single" w:sz="4" w:space="0" w:color="auto"/>
            </w:tcBorders>
            <w:shd w:val="clear" w:color="auto" w:fill="auto"/>
            <w:noWrap/>
            <w:vAlign w:val="center"/>
            <w:hideMark/>
          </w:tcPr>
          <w:p w:rsidR="00BA1DD7" w:rsidRPr="00FE7564" w:rsidRDefault="00BA1DD7" w:rsidP="00832DF8">
            <w:pPr>
              <w:jc w:val="left"/>
              <w:rPr>
                <w:rFonts w:ascii="Arial Narrow" w:hAnsi="Arial Narrow" w:cs="Times New Roman"/>
                <w:b/>
                <w:snapToGrid/>
                <w:sz w:val="20"/>
                <w:szCs w:val="20"/>
              </w:rPr>
            </w:pPr>
            <w:r w:rsidRPr="00FE7564">
              <w:rPr>
                <w:rFonts w:ascii="Arial Narrow" w:hAnsi="Arial Narrow" w:cs="Times New Roman"/>
                <w:b/>
                <w:snapToGrid/>
                <w:sz w:val="20"/>
                <w:szCs w:val="20"/>
              </w:rPr>
              <w:t> </w:t>
            </w:r>
          </w:p>
        </w:tc>
        <w:tc>
          <w:tcPr>
            <w:tcW w:w="742" w:type="pct"/>
            <w:gridSpan w:val="2"/>
            <w:tcBorders>
              <w:top w:val="single" w:sz="4" w:space="0" w:color="auto"/>
              <w:left w:val="nil"/>
              <w:bottom w:val="single" w:sz="4" w:space="0" w:color="auto"/>
              <w:right w:val="single" w:sz="4" w:space="0" w:color="auto"/>
            </w:tcBorders>
            <w:shd w:val="clear" w:color="auto" w:fill="auto"/>
            <w:noWrap/>
            <w:vAlign w:val="center"/>
            <w:hideMark/>
          </w:tcPr>
          <w:p w:rsidR="00BA1DD7" w:rsidRPr="00FE7564" w:rsidRDefault="00BA1DD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Utilisation in COMBI-D</w:t>
            </w:r>
          </w:p>
        </w:tc>
        <w:tc>
          <w:tcPr>
            <w:tcW w:w="905" w:type="pct"/>
            <w:gridSpan w:val="2"/>
            <w:tcBorders>
              <w:top w:val="single" w:sz="4" w:space="0" w:color="auto"/>
              <w:left w:val="nil"/>
              <w:bottom w:val="single" w:sz="4" w:space="0" w:color="auto"/>
              <w:right w:val="single" w:sz="4" w:space="0" w:color="auto"/>
            </w:tcBorders>
            <w:shd w:val="clear" w:color="auto" w:fill="auto"/>
            <w:noWrap/>
            <w:vAlign w:val="center"/>
            <w:hideMark/>
          </w:tcPr>
          <w:p w:rsidR="00BA1DD7" w:rsidRPr="00FE7564" w:rsidRDefault="00BA1DD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Utilisation in the model</w:t>
            </w:r>
          </w:p>
        </w:tc>
        <w:tc>
          <w:tcPr>
            <w:tcW w:w="659" w:type="pct"/>
            <w:vMerge w:val="restart"/>
            <w:tcBorders>
              <w:top w:val="single" w:sz="4" w:space="0" w:color="auto"/>
              <w:left w:val="nil"/>
              <w:right w:val="single" w:sz="4" w:space="0" w:color="auto"/>
            </w:tcBorders>
            <w:shd w:val="clear" w:color="auto" w:fill="auto"/>
            <w:noWrap/>
            <w:vAlign w:val="center"/>
            <w:hideMark/>
          </w:tcPr>
          <w:p w:rsidR="00BA1DD7" w:rsidRPr="00FE7564" w:rsidRDefault="00BA1DD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Cost/dose</w:t>
            </w:r>
          </w:p>
        </w:tc>
        <w:tc>
          <w:tcPr>
            <w:tcW w:w="660" w:type="pct"/>
            <w:vMerge w:val="restart"/>
            <w:tcBorders>
              <w:top w:val="single" w:sz="4" w:space="0" w:color="auto"/>
              <w:left w:val="nil"/>
              <w:right w:val="single" w:sz="4" w:space="0" w:color="auto"/>
            </w:tcBorders>
            <w:shd w:val="clear" w:color="auto" w:fill="auto"/>
            <w:noWrap/>
            <w:vAlign w:val="center"/>
            <w:hideMark/>
          </w:tcPr>
          <w:p w:rsidR="00BA1DD7" w:rsidRPr="00FE7564" w:rsidRDefault="00BA1DD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Cost/</w:t>
            </w:r>
          </w:p>
          <w:p w:rsidR="00BA1DD7" w:rsidRPr="00FE7564" w:rsidRDefault="00BA1DD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course</w:t>
            </w:r>
          </w:p>
        </w:tc>
        <w:tc>
          <w:tcPr>
            <w:tcW w:w="1236" w:type="pct"/>
            <w:gridSpan w:val="2"/>
            <w:tcBorders>
              <w:top w:val="single" w:sz="4" w:space="0" w:color="auto"/>
              <w:left w:val="nil"/>
              <w:bottom w:val="single" w:sz="4" w:space="0" w:color="auto"/>
              <w:right w:val="single" w:sz="4" w:space="0" w:color="auto"/>
            </w:tcBorders>
            <w:vAlign w:val="center"/>
          </w:tcPr>
          <w:p w:rsidR="00BA1DD7" w:rsidRPr="00FE7564" w:rsidRDefault="00BA1DD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Expected cost</w:t>
            </w:r>
          </w:p>
        </w:tc>
      </w:tr>
      <w:tr w:rsidR="00A43C02" w:rsidRPr="00FE7564" w:rsidTr="00A43C02">
        <w:tc>
          <w:tcPr>
            <w:tcW w:w="799" w:type="pct"/>
            <w:vMerge/>
            <w:tcBorders>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b/>
                <w:snapToGrid/>
                <w:sz w:val="20"/>
                <w:szCs w:val="20"/>
              </w:rPr>
            </w:pPr>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A43C02">
            <w:pPr>
              <w:widowControl/>
              <w:ind w:left="-109" w:right="-103"/>
              <w:jc w:val="center"/>
              <w:rPr>
                <w:rFonts w:ascii="Arial Narrow" w:hAnsi="Arial Narrow" w:cs="Times New Roman"/>
                <w:b/>
                <w:snapToGrid/>
                <w:sz w:val="20"/>
                <w:szCs w:val="20"/>
              </w:rPr>
            </w:pPr>
            <w:r w:rsidRPr="00FE7564">
              <w:rPr>
                <w:rFonts w:ascii="Arial Narrow" w:hAnsi="Arial Narrow" w:cs="Times New Roman"/>
                <w:b/>
                <w:snapToGrid/>
                <w:sz w:val="20"/>
                <w:szCs w:val="20"/>
              </w:rPr>
              <w:t>Mono</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A43C02">
            <w:pPr>
              <w:widowControl/>
              <w:ind w:left="-109" w:right="-103"/>
              <w:jc w:val="center"/>
              <w:rPr>
                <w:rFonts w:ascii="Arial Narrow" w:hAnsi="Arial Narrow" w:cs="Times New Roman"/>
                <w:b/>
                <w:snapToGrid/>
                <w:sz w:val="20"/>
                <w:szCs w:val="20"/>
              </w:rPr>
            </w:pPr>
            <w:proofErr w:type="spellStart"/>
            <w:r w:rsidRPr="00FE7564">
              <w:rPr>
                <w:rFonts w:ascii="Arial Narrow" w:hAnsi="Arial Narrow" w:cs="Times New Roman"/>
                <w:b/>
                <w:snapToGrid/>
                <w:sz w:val="20"/>
                <w:szCs w:val="20"/>
              </w:rPr>
              <w:t>Combi</w:t>
            </w:r>
            <w:proofErr w:type="spellEnd"/>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A43C02">
            <w:pPr>
              <w:widowControl/>
              <w:ind w:left="-109" w:right="-102"/>
              <w:jc w:val="center"/>
              <w:rPr>
                <w:rFonts w:ascii="Arial Narrow" w:hAnsi="Arial Narrow" w:cs="Times New Roman"/>
                <w:b/>
                <w:snapToGrid/>
                <w:sz w:val="20"/>
                <w:szCs w:val="20"/>
              </w:rPr>
            </w:pPr>
            <w:r w:rsidRPr="00FE7564">
              <w:rPr>
                <w:rFonts w:ascii="Arial Narrow" w:hAnsi="Arial Narrow" w:cs="Times New Roman"/>
                <w:b/>
                <w:snapToGrid/>
                <w:sz w:val="20"/>
                <w:szCs w:val="20"/>
              </w:rPr>
              <w:t>Mono*</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A43C02">
            <w:pPr>
              <w:widowControl/>
              <w:ind w:left="-108" w:right="-166"/>
              <w:jc w:val="center"/>
              <w:rPr>
                <w:rFonts w:ascii="Arial Narrow" w:hAnsi="Arial Narrow" w:cs="Times New Roman"/>
                <w:b/>
                <w:snapToGrid/>
                <w:sz w:val="20"/>
                <w:szCs w:val="20"/>
              </w:rPr>
            </w:pPr>
            <w:proofErr w:type="spellStart"/>
            <w:r w:rsidRPr="00FE7564">
              <w:rPr>
                <w:rFonts w:ascii="Arial Narrow" w:hAnsi="Arial Narrow" w:cs="Times New Roman"/>
                <w:b/>
                <w:snapToGrid/>
                <w:sz w:val="20"/>
                <w:szCs w:val="20"/>
              </w:rPr>
              <w:t>Combi</w:t>
            </w:r>
            <w:proofErr w:type="spellEnd"/>
            <w:r w:rsidRPr="00FE7564">
              <w:rPr>
                <w:rFonts w:ascii="Arial Narrow" w:hAnsi="Arial Narrow" w:cs="Times New Roman"/>
                <w:b/>
                <w:snapToGrid/>
                <w:sz w:val="20"/>
                <w:szCs w:val="20"/>
              </w:rPr>
              <w:t>**</w:t>
            </w:r>
          </w:p>
        </w:tc>
        <w:tc>
          <w:tcPr>
            <w:tcW w:w="659" w:type="pct"/>
            <w:vMerge/>
            <w:tcBorders>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b/>
                <w:snapToGrid/>
                <w:sz w:val="20"/>
                <w:szCs w:val="20"/>
              </w:rPr>
            </w:pPr>
          </w:p>
        </w:tc>
        <w:tc>
          <w:tcPr>
            <w:tcW w:w="660" w:type="pct"/>
            <w:vMerge/>
            <w:tcBorders>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p>
        </w:tc>
        <w:tc>
          <w:tcPr>
            <w:tcW w:w="577" w:type="pct"/>
            <w:tcBorders>
              <w:top w:val="nil"/>
              <w:left w:val="nil"/>
              <w:bottom w:val="single" w:sz="4" w:space="0" w:color="auto"/>
              <w:right w:val="single" w:sz="4" w:space="0" w:color="auto"/>
            </w:tcBorders>
          </w:tcPr>
          <w:p w:rsidR="00BA1DD7" w:rsidRPr="00FE7564" w:rsidRDefault="00BA1DD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Mono</w:t>
            </w:r>
          </w:p>
        </w:tc>
        <w:tc>
          <w:tcPr>
            <w:tcW w:w="659" w:type="pct"/>
            <w:tcBorders>
              <w:top w:val="nil"/>
              <w:left w:val="nil"/>
              <w:bottom w:val="single" w:sz="4" w:space="0" w:color="auto"/>
              <w:right w:val="single" w:sz="4" w:space="0" w:color="auto"/>
            </w:tcBorders>
          </w:tcPr>
          <w:p w:rsidR="00BA1DD7" w:rsidRPr="00FE7564" w:rsidRDefault="00BA1DD7" w:rsidP="00832DF8">
            <w:pPr>
              <w:widowControl/>
              <w:jc w:val="center"/>
              <w:rPr>
                <w:rFonts w:ascii="Arial Narrow" w:hAnsi="Arial Narrow" w:cs="Times New Roman"/>
                <w:b/>
                <w:snapToGrid/>
                <w:sz w:val="20"/>
                <w:szCs w:val="20"/>
              </w:rPr>
            </w:pPr>
            <w:proofErr w:type="spellStart"/>
            <w:r w:rsidRPr="00FE7564">
              <w:rPr>
                <w:rFonts w:ascii="Arial Narrow" w:hAnsi="Arial Narrow" w:cs="Times New Roman"/>
                <w:b/>
                <w:snapToGrid/>
                <w:sz w:val="20"/>
                <w:szCs w:val="20"/>
              </w:rPr>
              <w:t>Combi</w:t>
            </w:r>
            <w:proofErr w:type="spellEnd"/>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Ipilimumab</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28%</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18%</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$14,846.39</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$59,385.54</w:t>
            </w:r>
          </w:p>
        </w:tc>
        <w:tc>
          <w:tcPr>
            <w:tcW w:w="577" w:type="pct"/>
            <w:tcBorders>
              <w:top w:val="nil"/>
              <w:left w:val="nil"/>
              <w:bottom w:val="single" w:sz="4" w:space="0" w:color="auto"/>
              <w:right w:val="single" w:sz="4" w:space="0" w:color="auto"/>
            </w:tcBorders>
            <w:vAlign w:val="bottom"/>
          </w:tcPr>
          <w:p w:rsidR="00BA1DD7" w:rsidRPr="00FE7564" w:rsidRDefault="00BA1DD7" w:rsidP="00A43C02">
            <w:pPr>
              <w:widowControl/>
              <w:ind w:left="-109" w:right="-108"/>
              <w:jc w:val="center"/>
              <w:rPr>
                <w:rFonts w:ascii="Arial Narrow" w:hAnsi="Arial Narrow" w:cs="Times New Roman"/>
                <w:snapToGrid/>
                <w:sz w:val="20"/>
                <w:szCs w:val="20"/>
              </w:rPr>
            </w:pPr>
            <w:r w:rsidRPr="00FE7564">
              <w:rPr>
                <w:rFonts w:ascii="Arial Narrow" w:hAnsi="Arial Narrow"/>
                <w:sz w:val="20"/>
              </w:rPr>
              <w:t>$21,878.88</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$16,196.06</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Dacarbazine</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11%</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8%</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$212.55</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$5,313.75</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$769.10</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$644.09</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Vemurafenib</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11%</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8%</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A43C02">
            <w:pPr>
              <w:widowControl/>
              <w:ind w:left="-108" w:right="-109"/>
              <w:jc w:val="center"/>
              <w:rPr>
                <w:rFonts w:ascii="Arial Narrow" w:hAnsi="Arial Narrow" w:cs="Times New Roman"/>
                <w:snapToGrid/>
                <w:sz w:val="20"/>
                <w:szCs w:val="20"/>
              </w:rPr>
            </w:pPr>
            <w:r w:rsidRPr="00FE7564">
              <w:rPr>
                <w:rFonts w:ascii="Arial Narrow" w:hAnsi="Arial Narrow" w:cs="Times New Roman"/>
                <w:snapToGrid/>
                <w:sz w:val="20"/>
                <w:szCs w:val="20"/>
              </w:rPr>
              <w:t>Same as dab</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$17,574.48</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$2,543.67</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$2,130.24</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r w:rsidRPr="00FE7564">
              <w:rPr>
                <w:rFonts w:ascii="Arial Narrow" w:hAnsi="Arial Narrow" w:cs="Times New Roman"/>
                <w:snapToGrid/>
                <w:sz w:val="20"/>
                <w:szCs w:val="20"/>
              </w:rPr>
              <w:t>Paclitaxel</w:t>
            </w:r>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6%</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4%</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$191.74</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$1,533.92</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$121.10</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$92.96</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Fotemustine</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4%</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4%</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$1,167.00</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$9,336.00</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$491.37</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$565.82</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A43C02">
            <w:pPr>
              <w:widowControl/>
              <w:ind w:right="-106"/>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Pembrolizumab</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5%</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$4,501.34</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$36,010.68</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$2,369.12</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$1,091.23</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r w:rsidRPr="00FE7564">
              <w:rPr>
                <w:rFonts w:ascii="Arial Narrow" w:hAnsi="Arial Narrow" w:cs="Times New Roman"/>
                <w:snapToGrid/>
                <w:sz w:val="20"/>
                <w:szCs w:val="20"/>
              </w:rPr>
              <w:t>Carboplatin</w:t>
            </w:r>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3%</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4%</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$158.57</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$1,268.56</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$50.07</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$76.88</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Temozolomide</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5%</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$125.38</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$10,531.92</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$277.16</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$797.87</w:t>
            </w:r>
          </w:p>
        </w:tc>
      </w:tr>
      <w:tr w:rsidR="00A43C02" w:rsidRPr="00FE7564" w:rsidTr="00A43C02">
        <w:tc>
          <w:tcPr>
            <w:tcW w:w="7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Dabrafenib</w:t>
            </w:r>
            <w:proofErr w:type="spellEnd"/>
          </w:p>
        </w:tc>
        <w:tc>
          <w:tcPr>
            <w:tcW w:w="330" w:type="pct"/>
            <w:tcBorders>
              <w:top w:val="single" w:sz="4" w:space="0" w:color="auto"/>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4%</w:t>
            </w: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single" w:sz="4" w:space="0" w:color="auto"/>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single" w:sz="4" w:space="0" w:color="auto"/>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$104.61</w:t>
            </w:r>
          </w:p>
        </w:tc>
        <w:tc>
          <w:tcPr>
            <w:tcW w:w="660" w:type="pct"/>
            <w:tcBorders>
              <w:top w:val="single" w:sz="4" w:space="0" w:color="auto"/>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$17,574.48</w:t>
            </w:r>
          </w:p>
        </w:tc>
        <w:tc>
          <w:tcPr>
            <w:tcW w:w="577" w:type="pct"/>
            <w:tcBorders>
              <w:top w:val="single" w:sz="4" w:space="0" w:color="auto"/>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$462.49</w:t>
            </w:r>
          </w:p>
        </w:tc>
        <w:tc>
          <w:tcPr>
            <w:tcW w:w="659" w:type="pct"/>
            <w:tcBorders>
              <w:top w:val="single" w:sz="4" w:space="0" w:color="auto"/>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$1,065.12</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r w:rsidRPr="00FE7564">
              <w:rPr>
                <w:rFonts w:ascii="Arial Narrow" w:hAnsi="Arial Narrow" w:cs="Times New Roman"/>
                <w:snapToGrid/>
                <w:sz w:val="20"/>
                <w:szCs w:val="20"/>
              </w:rPr>
              <w:t>Cisplatin</w:t>
            </w:r>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3%</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$118.37</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$710.22</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$28.04</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$21.52</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Lomustine</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A43C02">
            <w:pPr>
              <w:widowControl/>
              <w:ind w:left="-108" w:right="-109"/>
              <w:jc w:val="center"/>
              <w:rPr>
                <w:rFonts w:ascii="Arial Narrow" w:hAnsi="Arial Narrow" w:cs="Times New Roman"/>
                <w:snapToGrid/>
                <w:sz w:val="20"/>
                <w:szCs w:val="20"/>
              </w:rPr>
            </w:pPr>
            <w:r w:rsidRPr="00FE7564">
              <w:rPr>
                <w:rFonts w:ascii="Arial Narrow" w:hAnsi="Arial Narrow" w:cs="Times New Roman"/>
                <w:snapToGrid/>
                <w:sz w:val="20"/>
                <w:szCs w:val="20"/>
              </w:rPr>
              <w:t xml:space="preserve">Same as </w:t>
            </w:r>
            <w:proofErr w:type="spellStart"/>
            <w:r w:rsidRPr="00FE7564">
              <w:rPr>
                <w:rFonts w:ascii="Arial Narrow" w:hAnsi="Arial Narrow" w:cs="Times New Roman"/>
                <w:snapToGrid/>
                <w:sz w:val="20"/>
                <w:szCs w:val="20"/>
              </w:rPr>
              <w:t>fote</w:t>
            </w:r>
            <w:proofErr w:type="spellEnd"/>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$9,336.00</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$245.68</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$141.45</w:t>
            </w:r>
          </w:p>
        </w:tc>
      </w:tr>
      <w:tr w:rsidR="00A43C02" w:rsidRPr="00FE7564" w:rsidTr="00A43C02">
        <w:tc>
          <w:tcPr>
            <w:tcW w:w="799" w:type="pct"/>
            <w:tcBorders>
              <w:top w:val="nil"/>
              <w:left w:val="single" w:sz="4" w:space="0" w:color="auto"/>
              <w:bottom w:val="single" w:sz="4" w:space="0" w:color="auto"/>
              <w:right w:val="single" w:sz="4" w:space="0" w:color="auto"/>
            </w:tcBorders>
            <w:shd w:val="clear" w:color="auto" w:fill="auto"/>
            <w:noWrap/>
            <w:vAlign w:val="bottom"/>
            <w:hideMark/>
          </w:tcPr>
          <w:p w:rsidR="00BA1DD7" w:rsidRPr="00FE7564" w:rsidRDefault="00BA1DD7" w:rsidP="00832DF8">
            <w:pPr>
              <w:widowControl/>
              <w:jc w:val="left"/>
              <w:rPr>
                <w:rFonts w:ascii="Arial Narrow" w:hAnsi="Arial Narrow" w:cs="Times New Roman"/>
                <w:snapToGrid/>
                <w:sz w:val="20"/>
                <w:szCs w:val="20"/>
              </w:rPr>
            </w:pPr>
            <w:proofErr w:type="spellStart"/>
            <w:r w:rsidRPr="00FE7564">
              <w:rPr>
                <w:rFonts w:ascii="Arial Narrow" w:hAnsi="Arial Narrow" w:cs="Times New Roman"/>
                <w:snapToGrid/>
                <w:sz w:val="20"/>
                <w:szCs w:val="20"/>
              </w:rPr>
              <w:t>Bevacizumab</w:t>
            </w:r>
            <w:proofErr w:type="spellEnd"/>
          </w:p>
        </w:tc>
        <w:tc>
          <w:tcPr>
            <w:tcW w:w="33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2%</w:t>
            </w:r>
          </w:p>
        </w:tc>
        <w:tc>
          <w:tcPr>
            <w:tcW w:w="413"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1%</w:t>
            </w:r>
          </w:p>
        </w:tc>
        <w:tc>
          <w:tcPr>
            <w:tcW w:w="411"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494" w:type="pct"/>
            <w:tcBorders>
              <w:top w:val="nil"/>
              <w:left w:val="nil"/>
              <w:bottom w:val="single" w:sz="4" w:space="0" w:color="auto"/>
              <w:right w:val="single" w:sz="4" w:space="0" w:color="auto"/>
            </w:tcBorders>
            <w:shd w:val="clear" w:color="auto" w:fill="auto"/>
            <w:noWrap/>
            <w:vAlign w:val="bottom"/>
            <w:hideMark/>
          </w:tcPr>
          <w:p w:rsidR="00BA1DD7" w:rsidRPr="00FE7564" w:rsidRDefault="00D30355" w:rsidP="00832DF8">
            <w:pPr>
              <w:widowControl/>
              <w:jc w:val="center"/>
              <w:rPr>
                <w:rFonts w:ascii="Arial Narrow" w:hAnsi="Arial Narrow" w:cs="Times New Roman"/>
                <w:snapToGrid/>
                <w:sz w:val="20"/>
                <w:szCs w:val="20"/>
              </w:rPr>
            </w:pPr>
            <w:r>
              <w:rPr>
                <w:rFonts w:ascii="Arial Narrow" w:hAnsi="Arial Narrow" w:cs="Times New Roman"/>
                <w:noProof/>
                <w:snapToGrid/>
                <w:color w:val="000000"/>
                <w:sz w:val="20"/>
                <w:szCs w:val="20"/>
                <w:highlight w:val="black"/>
              </w:rPr>
              <w:t>'''</w:t>
            </w:r>
            <w:r w:rsidR="00BA1DD7" w:rsidRPr="00FE7564">
              <w:rPr>
                <w:rFonts w:ascii="Arial Narrow" w:hAnsi="Arial Narrow" w:cs="Times New Roman"/>
                <w:snapToGrid/>
                <w:sz w:val="20"/>
                <w:szCs w:val="20"/>
              </w:rPr>
              <w:t>%</w:t>
            </w:r>
          </w:p>
        </w:tc>
        <w:tc>
          <w:tcPr>
            <w:tcW w:w="659"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$3,552.67</w:t>
            </w:r>
          </w:p>
        </w:tc>
        <w:tc>
          <w:tcPr>
            <w:tcW w:w="660" w:type="pct"/>
            <w:tcBorders>
              <w:top w:val="nil"/>
              <w:left w:val="nil"/>
              <w:bottom w:val="single" w:sz="4" w:space="0" w:color="auto"/>
              <w:right w:val="single" w:sz="4" w:space="0" w:color="auto"/>
            </w:tcBorders>
            <w:shd w:val="clear" w:color="auto" w:fill="auto"/>
            <w:noWrap/>
            <w:vAlign w:val="bottom"/>
            <w:hideMark/>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cs="Times New Roman"/>
                <w:snapToGrid/>
                <w:sz w:val="20"/>
                <w:szCs w:val="20"/>
              </w:rPr>
              <w:t>$42,632.04</w:t>
            </w:r>
          </w:p>
        </w:tc>
        <w:tc>
          <w:tcPr>
            <w:tcW w:w="577"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$1,121.90</w:t>
            </w:r>
          </w:p>
        </w:tc>
        <w:tc>
          <w:tcPr>
            <w:tcW w:w="659" w:type="pct"/>
            <w:tcBorders>
              <w:top w:val="nil"/>
              <w:left w:val="nil"/>
              <w:bottom w:val="single" w:sz="4" w:space="0" w:color="auto"/>
              <w:right w:val="single" w:sz="4" w:space="0" w:color="auto"/>
            </w:tcBorders>
            <w:vAlign w:val="bottom"/>
          </w:tcPr>
          <w:p w:rsidR="00BA1DD7" w:rsidRPr="00FE7564" w:rsidRDefault="00BA1DD7" w:rsidP="00832DF8">
            <w:pPr>
              <w:widowControl/>
              <w:jc w:val="center"/>
              <w:rPr>
                <w:rFonts w:ascii="Arial Narrow" w:hAnsi="Arial Narrow" w:cs="Times New Roman"/>
                <w:snapToGrid/>
                <w:sz w:val="20"/>
                <w:szCs w:val="20"/>
              </w:rPr>
            </w:pPr>
            <w:r w:rsidRPr="00FE7564">
              <w:rPr>
                <w:rFonts w:ascii="Arial Narrow" w:hAnsi="Arial Narrow"/>
                <w:sz w:val="20"/>
              </w:rPr>
              <w:t>$645.94</w:t>
            </w:r>
          </w:p>
        </w:tc>
      </w:tr>
      <w:tr w:rsidR="00A43C02" w:rsidRPr="00FE7564" w:rsidTr="00A43C02">
        <w:tc>
          <w:tcPr>
            <w:tcW w:w="7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32B97" w:rsidRPr="00FE7564" w:rsidRDefault="00E32B97" w:rsidP="00832DF8">
            <w:pPr>
              <w:widowControl/>
              <w:jc w:val="left"/>
              <w:rPr>
                <w:rFonts w:ascii="Arial Narrow" w:hAnsi="Arial Narrow" w:cs="Times New Roman"/>
                <w:b/>
                <w:snapToGrid/>
                <w:sz w:val="20"/>
                <w:szCs w:val="20"/>
              </w:rPr>
            </w:pPr>
            <w:r w:rsidRPr="00FE7564">
              <w:rPr>
                <w:rFonts w:ascii="Arial Narrow" w:hAnsi="Arial Narrow" w:cs="Times New Roman"/>
                <w:b/>
                <w:snapToGrid/>
                <w:sz w:val="20"/>
                <w:szCs w:val="20"/>
              </w:rPr>
              <w:t>TOTAL</w:t>
            </w:r>
          </w:p>
        </w:tc>
        <w:tc>
          <w:tcPr>
            <w:tcW w:w="330" w:type="pct"/>
            <w:tcBorders>
              <w:top w:val="single" w:sz="4" w:space="0" w:color="auto"/>
              <w:left w:val="nil"/>
              <w:bottom w:val="single" w:sz="4" w:space="0" w:color="auto"/>
              <w:right w:val="single" w:sz="4" w:space="0" w:color="auto"/>
            </w:tcBorders>
            <w:shd w:val="clear" w:color="auto" w:fill="auto"/>
            <w:noWrap/>
            <w:vAlign w:val="bottom"/>
          </w:tcPr>
          <w:p w:rsidR="00E32B97" w:rsidRPr="00FE7564" w:rsidRDefault="00E32B9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79%</w:t>
            </w:r>
          </w:p>
        </w:tc>
        <w:tc>
          <w:tcPr>
            <w:tcW w:w="413" w:type="pct"/>
            <w:tcBorders>
              <w:top w:val="single" w:sz="4" w:space="0" w:color="auto"/>
              <w:left w:val="nil"/>
              <w:bottom w:val="single" w:sz="4" w:space="0" w:color="auto"/>
              <w:right w:val="single" w:sz="4" w:space="0" w:color="auto"/>
            </w:tcBorders>
            <w:shd w:val="clear" w:color="auto" w:fill="auto"/>
            <w:noWrap/>
            <w:vAlign w:val="bottom"/>
          </w:tcPr>
          <w:p w:rsidR="00E32B97" w:rsidRPr="00FE7564" w:rsidRDefault="00E32B97" w:rsidP="00832DF8">
            <w:pPr>
              <w:widowControl/>
              <w:jc w:val="center"/>
              <w:rPr>
                <w:rFonts w:ascii="Arial Narrow" w:hAnsi="Arial Narrow" w:cs="Times New Roman"/>
                <w:b/>
                <w:snapToGrid/>
                <w:sz w:val="20"/>
                <w:szCs w:val="20"/>
              </w:rPr>
            </w:pPr>
            <w:r w:rsidRPr="00FE7564">
              <w:rPr>
                <w:rFonts w:ascii="Arial Narrow" w:hAnsi="Arial Narrow" w:cs="Times New Roman"/>
                <w:b/>
                <w:snapToGrid/>
                <w:sz w:val="20"/>
                <w:szCs w:val="20"/>
              </w:rPr>
              <w:t>61%</w:t>
            </w:r>
          </w:p>
        </w:tc>
        <w:tc>
          <w:tcPr>
            <w:tcW w:w="411" w:type="pct"/>
            <w:tcBorders>
              <w:top w:val="single" w:sz="4" w:space="0" w:color="auto"/>
              <w:left w:val="nil"/>
              <w:bottom w:val="single" w:sz="4" w:space="0" w:color="auto"/>
              <w:right w:val="single" w:sz="4" w:space="0" w:color="auto"/>
            </w:tcBorders>
            <w:shd w:val="clear" w:color="auto" w:fill="auto"/>
            <w:noWrap/>
            <w:vAlign w:val="bottom"/>
          </w:tcPr>
          <w:p w:rsidR="00E32B97" w:rsidRPr="00FE7564" w:rsidRDefault="00D30355" w:rsidP="00832DF8">
            <w:pPr>
              <w:widowControl/>
              <w:jc w:val="center"/>
              <w:rPr>
                <w:rFonts w:ascii="Arial Narrow" w:hAnsi="Arial Narrow" w:cs="Times New Roman"/>
                <w:b/>
                <w:snapToGrid/>
                <w:sz w:val="20"/>
                <w:szCs w:val="20"/>
              </w:rPr>
            </w:pPr>
            <w:r>
              <w:rPr>
                <w:rFonts w:ascii="Arial Narrow" w:hAnsi="Arial Narrow" w:cs="Times New Roman"/>
                <w:b/>
                <w:noProof/>
                <w:snapToGrid/>
                <w:color w:val="000000"/>
                <w:sz w:val="20"/>
                <w:szCs w:val="20"/>
                <w:highlight w:val="black"/>
              </w:rPr>
              <w:t>'''''''</w:t>
            </w:r>
            <w:r w:rsidR="00E32B97" w:rsidRPr="00FE7564">
              <w:rPr>
                <w:rFonts w:ascii="Arial Narrow" w:hAnsi="Arial Narrow" w:cs="Times New Roman"/>
                <w:b/>
                <w:snapToGrid/>
                <w:sz w:val="20"/>
                <w:szCs w:val="20"/>
              </w:rPr>
              <w:t>%</w:t>
            </w:r>
          </w:p>
        </w:tc>
        <w:tc>
          <w:tcPr>
            <w:tcW w:w="494" w:type="pct"/>
            <w:tcBorders>
              <w:top w:val="single" w:sz="4" w:space="0" w:color="auto"/>
              <w:left w:val="nil"/>
              <w:bottom w:val="single" w:sz="4" w:space="0" w:color="auto"/>
              <w:right w:val="single" w:sz="4" w:space="0" w:color="auto"/>
            </w:tcBorders>
            <w:shd w:val="clear" w:color="auto" w:fill="auto"/>
            <w:noWrap/>
            <w:vAlign w:val="bottom"/>
          </w:tcPr>
          <w:p w:rsidR="00E32B97" w:rsidRPr="00FE7564" w:rsidRDefault="00D30355" w:rsidP="005B00D7">
            <w:pPr>
              <w:widowControl/>
              <w:jc w:val="center"/>
              <w:rPr>
                <w:rFonts w:ascii="Arial Narrow" w:hAnsi="Arial Narrow" w:cs="Times New Roman"/>
                <w:b/>
                <w:snapToGrid/>
                <w:sz w:val="20"/>
                <w:szCs w:val="20"/>
              </w:rPr>
            </w:pPr>
            <w:r>
              <w:rPr>
                <w:rFonts w:ascii="Arial Narrow" w:hAnsi="Arial Narrow" w:cs="Times New Roman"/>
                <w:b/>
                <w:noProof/>
                <w:snapToGrid/>
                <w:color w:val="000000"/>
                <w:sz w:val="20"/>
                <w:szCs w:val="20"/>
                <w:highlight w:val="black"/>
              </w:rPr>
              <w:t>'''''</w:t>
            </w:r>
            <w:r w:rsidR="00E32B97" w:rsidRPr="00FE7564">
              <w:rPr>
                <w:rFonts w:ascii="Arial Narrow" w:hAnsi="Arial Narrow" w:cs="Times New Roman"/>
                <w:b/>
                <w:snapToGrid/>
                <w:sz w:val="20"/>
                <w:szCs w:val="20"/>
              </w:rPr>
              <w:t>%</w:t>
            </w:r>
          </w:p>
        </w:tc>
        <w:tc>
          <w:tcPr>
            <w:tcW w:w="659" w:type="pct"/>
            <w:tcBorders>
              <w:top w:val="single" w:sz="4" w:space="0" w:color="auto"/>
              <w:left w:val="nil"/>
              <w:bottom w:val="single" w:sz="4" w:space="0" w:color="auto"/>
              <w:right w:val="single" w:sz="4" w:space="0" w:color="auto"/>
            </w:tcBorders>
            <w:shd w:val="clear" w:color="auto" w:fill="auto"/>
            <w:noWrap/>
            <w:vAlign w:val="bottom"/>
          </w:tcPr>
          <w:p w:rsidR="00E32B97" w:rsidRPr="00FE7564" w:rsidRDefault="00E32B97" w:rsidP="00832DF8">
            <w:pPr>
              <w:widowControl/>
              <w:jc w:val="center"/>
              <w:rPr>
                <w:rFonts w:ascii="Arial Narrow" w:hAnsi="Arial Narrow" w:cs="Times New Roman"/>
                <w:snapToGrid/>
                <w:sz w:val="20"/>
                <w:szCs w:val="20"/>
              </w:rPr>
            </w:pPr>
          </w:p>
        </w:tc>
        <w:tc>
          <w:tcPr>
            <w:tcW w:w="660" w:type="pct"/>
            <w:tcBorders>
              <w:top w:val="single" w:sz="4" w:space="0" w:color="auto"/>
              <w:left w:val="nil"/>
              <w:bottom w:val="single" w:sz="4" w:space="0" w:color="auto"/>
              <w:right w:val="single" w:sz="4" w:space="0" w:color="auto"/>
            </w:tcBorders>
            <w:shd w:val="clear" w:color="auto" w:fill="auto"/>
            <w:noWrap/>
            <w:vAlign w:val="bottom"/>
          </w:tcPr>
          <w:p w:rsidR="00E32B97" w:rsidRPr="00FE7564" w:rsidRDefault="00E32B97" w:rsidP="00832DF8">
            <w:pPr>
              <w:widowControl/>
              <w:jc w:val="center"/>
              <w:rPr>
                <w:rFonts w:ascii="Arial Narrow" w:hAnsi="Arial Narrow" w:cs="Times New Roman"/>
                <w:snapToGrid/>
                <w:sz w:val="20"/>
                <w:szCs w:val="20"/>
              </w:rPr>
            </w:pPr>
          </w:p>
        </w:tc>
        <w:tc>
          <w:tcPr>
            <w:tcW w:w="577" w:type="pct"/>
            <w:tcBorders>
              <w:top w:val="single" w:sz="4" w:space="0" w:color="auto"/>
              <w:left w:val="nil"/>
              <w:bottom w:val="single" w:sz="4" w:space="0" w:color="auto"/>
              <w:right w:val="single" w:sz="4" w:space="0" w:color="auto"/>
            </w:tcBorders>
            <w:vAlign w:val="bottom"/>
          </w:tcPr>
          <w:p w:rsidR="00E32B97" w:rsidRPr="00FE7564" w:rsidRDefault="00E32B97" w:rsidP="00832DF8">
            <w:pPr>
              <w:widowControl/>
              <w:jc w:val="center"/>
              <w:rPr>
                <w:rFonts w:ascii="Arial Narrow" w:hAnsi="Arial Narrow"/>
                <w:sz w:val="20"/>
              </w:rPr>
            </w:pPr>
          </w:p>
        </w:tc>
        <w:tc>
          <w:tcPr>
            <w:tcW w:w="659" w:type="pct"/>
            <w:tcBorders>
              <w:top w:val="single" w:sz="4" w:space="0" w:color="auto"/>
              <w:left w:val="nil"/>
              <w:bottom w:val="single" w:sz="4" w:space="0" w:color="auto"/>
              <w:right w:val="single" w:sz="4" w:space="0" w:color="auto"/>
            </w:tcBorders>
            <w:vAlign w:val="bottom"/>
          </w:tcPr>
          <w:p w:rsidR="00E32B97" w:rsidRPr="00FE7564" w:rsidRDefault="00E32B97" w:rsidP="00832DF8">
            <w:pPr>
              <w:widowControl/>
              <w:jc w:val="center"/>
              <w:rPr>
                <w:rFonts w:ascii="Arial Narrow" w:hAnsi="Arial Narrow"/>
                <w:sz w:val="20"/>
              </w:rPr>
            </w:pPr>
          </w:p>
        </w:tc>
      </w:tr>
    </w:tbl>
    <w:p w:rsidR="00BA1DD7" w:rsidRPr="00FE7564" w:rsidRDefault="00BA1DD7" w:rsidP="00BA1DD7">
      <w:pPr>
        <w:pStyle w:val="TableFooter"/>
        <w:ind w:left="720"/>
        <w:rPr>
          <w:snapToGrid/>
        </w:rPr>
      </w:pPr>
      <w:r w:rsidRPr="00FE7564">
        <w:rPr>
          <w:snapToGrid/>
        </w:rPr>
        <w:t>Source: Tables D.5—12, D.5—13 and D.5—14, p177, p179 and p180 of the submission.</w:t>
      </w:r>
    </w:p>
    <w:p w:rsidR="00BA1DD7" w:rsidRPr="00FE7564" w:rsidRDefault="00BA1DD7" w:rsidP="00BA1DD7">
      <w:pPr>
        <w:pStyle w:val="TableFooter"/>
        <w:ind w:left="720"/>
        <w:rPr>
          <w:snapToGrid/>
        </w:rPr>
      </w:pPr>
      <w:r w:rsidRPr="00FE7564">
        <w:rPr>
          <w:snapToGrid/>
        </w:rPr>
        <w:t>*adjusted for 76% of patients progressing or dying</w:t>
      </w:r>
    </w:p>
    <w:p w:rsidR="00BA1DD7" w:rsidRPr="00FE7564" w:rsidRDefault="00BA1DD7" w:rsidP="00BA1DD7">
      <w:pPr>
        <w:pStyle w:val="TableFooter"/>
        <w:ind w:left="720"/>
        <w:rPr>
          <w:snapToGrid/>
        </w:rPr>
      </w:pPr>
      <w:r w:rsidRPr="00FE7564">
        <w:rPr>
          <w:snapToGrid/>
        </w:rPr>
        <w:t>** adjusted for 66% of patients progressing or dying</w:t>
      </w:r>
    </w:p>
    <w:p w:rsidR="00BA1DD7" w:rsidRPr="00FE7564" w:rsidRDefault="00BA1DD7" w:rsidP="00BA1DD7">
      <w:pPr>
        <w:pStyle w:val="TableFooter"/>
        <w:ind w:left="720"/>
        <w:rPr>
          <w:snapToGrid/>
        </w:rPr>
      </w:pPr>
      <w:proofErr w:type="gramStart"/>
      <w:r w:rsidRPr="00FE7564">
        <w:rPr>
          <w:snapToGrid/>
        </w:rPr>
        <w:t>dab=</w:t>
      </w:r>
      <w:proofErr w:type="spellStart"/>
      <w:proofErr w:type="gramEnd"/>
      <w:r w:rsidRPr="00FE7564">
        <w:rPr>
          <w:snapToGrid/>
        </w:rPr>
        <w:t>dabrafenib</w:t>
      </w:r>
      <w:proofErr w:type="spellEnd"/>
      <w:r w:rsidRPr="00FE7564">
        <w:rPr>
          <w:snapToGrid/>
        </w:rPr>
        <w:t xml:space="preserve">; </w:t>
      </w:r>
      <w:proofErr w:type="spellStart"/>
      <w:r w:rsidRPr="00FE7564">
        <w:rPr>
          <w:snapToGrid/>
        </w:rPr>
        <w:t>fote</w:t>
      </w:r>
      <w:proofErr w:type="spellEnd"/>
      <w:r w:rsidRPr="00FE7564">
        <w:rPr>
          <w:snapToGrid/>
        </w:rPr>
        <w:t>=</w:t>
      </w:r>
      <w:proofErr w:type="spellStart"/>
      <w:r w:rsidRPr="00FE7564">
        <w:rPr>
          <w:snapToGrid/>
        </w:rPr>
        <w:t>fotemustine</w:t>
      </w:r>
      <w:proofErr w:type="spellEnd"/>
    </w:p>
    <w:p w:rsidR="00BA1DD7" w:rsidRPr="00FE7564" w:rsidRDefault="00BA1DD7" w:rsidP="00EA74B5">
      <w:pPr>
        <w:rPr>
          <w:szCs w:val="22"/>
        </w:rPr>
      </w:pPr>
    </w:p>
    <w:p w:rsidR="004B7A1B" w:rsidRPr="00FE7564" w:rsidRDefault="006E1F43" w:rsidP="00EA74B5">
      <w:pPr>
        <w:pStyle w:val="ListParagraph"/>
        <w:widowControl/>
        <w:numPr>
          <w:ilvl w:val="1"/>
          <w:numId w:val="8"/>
        </w:numPr>
        <w:rPr>
          <w:szCs w:val="22"/>
        </w:rPr>
      </w:pPr>
      <w:r w:rsidRPr="00FE7564">
        <w:rPr>
          <w:szCs w:val="22"/>
        </w:rPr>
        <w:t xml:space="preserve">The ESC </w:t>
      </w:r>
      <w:r w:rsidR="005C64FD" w:rsidRPr="00FE7564">
        <w:rPr>
          <w:szCs w:val="22"/>
        </w:rPr>
        <w:t>noted</w:t>
      </w:r>
      <w:r w:rsidRPr="00FE7564">
        <w:rPr>
          <w:szCs w:val="22"/>
        </w:rPr>
        <w:t xml:space="preserve"> from the Commentary (</w:t>
      </w:r>
      <w:r w:rsidR="00BA1DD7" w:rsidRPr="00FE7564">
        <w:rPr>
          <w:szCs w:val="22"/>
        </w:rPr>
        <w:t>4.01.COM.</w:t>
      </w:r>
      <w:r w:rsidRPr="00FE7564">
        <w:rPr>
          <w:szCs w:val="22"/>
        </w:rPr>
        <w:t xml:space="preserve">44) that it </w:t>
      </w:r>
      <w:r w:rsidR="005C64FD" w:rsidRPr="00FE7564">
        <w:rPr>
          <w:szCs w:val="22"/>
        </w:rPr>
        <w:t>wa</w:t>
      </w:r>
      <w:r w:rsidRPr="00FE7564">
        <w:rPr>
          <w:szCs w:val="22"/>
        </w:rPr>
        <w:t xml:space="preserve">s difficult to determine what the </w:t>
      </w:r>
      <w:r w:rsidR="00E82154" w:rsidRPr="00FE7564">
        <w:rPr>
          <w:szCs w:val="22"/>
        </w:rPr>
        <w:t xml:space="preserve">adjusted </w:t>
      </w:r>
      <w:r w:rsidR="005C64FD" w:rsidRPr="00FE7564">
        <w:rPr>
          <w:szCs w:val="22"/>
        </w:rPr>
        <w:t>percent</w:t>
      </w:r>
      <w:r w:rsidRPr="00FE7564">
        <w:rPr>
          <w:szCs w:val="22"/>
        </w:rPr>
        <w:t xml:space="preserve">ages </w:t>
      </w:r>
      <w:r w:rsidR="00E82154" w:rsidRPr="00FE7564">
        <w:rPr>
          <w:szCs w:val="22"/>
        </w:rPr>
        <w:t xml:space="preserve">of utilisation for the model </w:t>
      </w:r>
      <w:r w:rsidRPr="00FE7564">
        <w:rPr>
          <w:szCs w:val="22"/>
        </w:rPr>
        <w:t xml:space="preserve">mean in terms of the specific use of </w:t>
      </w:r>
      <w:r w:rsidR="00E82154" w:rsidRPr="00FE7564">
        <w:rPr>
          <w:szCs w:val="22"/>
        </w:rPr>
        <w:t xml:space="preserve">each </w:t>
      </w:r>
      <w:r w:rsidRPr="00FE7564">
        <w:rPr>
          <w:szCs w:val="22"/>
        </w:rPr>
        <w:t>PPACT in patients who progress (because they are rates for the arm of the trial, not how they apply to individuals)</w:t>
      </w:r>
      <w:r w:rsidR="005C64FD" w:rsidRPr="00FE7564">
        <w:rPr>
          <w:szCs w:val="22"/>
        </w:rPr>
        <w:t xml:space="preserve">, and </w:t>
      </w:r>
      <w:r w:rsidR="00E82154" w:rsidRPr="00FE7564">
        <w:rPr>
          <w:szCs w:val="22"/>
        </w:rPr>
        <w:t xml:space="preserve">advised </w:t>
      </w:r>
      <w:r w:rsidR="005C64FD" w:rsidRPr="00FE7564">
        <w:rPr>
          <w:szCs w:val="22"/>
        </w:rPr>
        <w:t xml:space="preserve">that </w:t>
      </w:r>
      <w:r w:rsidR="00E82154" w:rsidRPr="00FE7564">
        <w:rPr>
          <w:szCs w:val="22"/>
        </w:rPr>
        <w:t xml:space="preserve">the approach taken has </w:t>
      </w:r>
      <w:r w:rsidR="00596DF5" w:rsidRPr="00FE7564">
        <w:rPr>
          <w:szCs w:val="22"/>
        </w:rPr>
        <w:t>likely</w:t>
      </w:r>
      <w:r w:rsidR="00C55075" w:rsidRPr="00FE7564">
        <w:rPr>
          <w:szCs w:val="22"/>
        </w:rPr>
        <w:t xml:space="preserve"> </w:t>
      </w:r>
      <w:r w:rsidR="00E82154" w:rsidRPr="00FE7564">
        <w:rPr>
          <w:szCs w:val="22"/>
        </w:rPr>
        <w:t>overestimated the PPACT costs. F</w:t>
      </w:r>
      <w:r w:rsidR="00141B45" w:rsidRPr="00FE7564">
        <w:rPr>
          <w:szCs w:val="22"/>
        </w:rPr>
        <w:t>urther</w:t>
      </w:r>
      <w:r w:rsidR="00E82154" w:rsidRPr="00FE7564">
        <w:rPr>
          <w:szCs w:val="22"/>
        </w:rPr>
        <w:t xml:space="preserve">, although this adjustment was stated to be “for censoring”, the approach taken </w:t>
      </w:r>
      <w:r w:rsidR="007F3A2F" w:rsidRPr="00FE7564">
        <w:rPr>
          <w:szCs w:val="22"/>
        </w:rPr>
        <w:t xml:space="preserve">appears to </w:t>
      </w:r>
      <w:r w:rsidR="00E82154" w:rsidRPr="00FE7564">
        <w:rPr>
          <w:szCs w:val="22"/>
        </w:rPr>
        <w:t xml:space="preserve">adjust also for patients who died </w:t>
      </w:r>
      <w:r w:rsidR="00141B45" w:rsidRPr="00FE7564">
        <w:rPr>
          <w:szCs w:val="22"/>
        </w:rPr>
        <w:t xml:space="preserve">before </w:t>
      </w:r>
      <w:r w:rsidR="007F3A2F" w:rsidRPr="00FE7564">
        <w:rPr>
          <w:szCs w:val="22"/>
        </w:rPr>
        <w:t xml:space="preserve">taking PPACT </w:t>
      </w:r>
      <w:r w:rsidR="00E82154" w:rsidRPr="00FE7564">
        <w:rPr>
          <w:szCs w:val="22"/>
        </w:rPr>
        <w:t xml:space="preserve">rather than </w:t>
      </w:r>
      <w:r w:rsidR="00141B45" w:rsidRPr="00FE7564">
        <w:rPr>
          <w:szCs w:val="22"/>
        </w:rPr>
        <w:t xml:space="preserve">those who </w:t>
      </w:r>
      <w:r w:rsidR="00E82154" w:rsidRPr="00FE7564">
        <w:rPr>
          <w:szCs w:val="22"/>
        </w:rPr>
        <w:t>just progressed</w:t>
      </w:r>
      <w:r w:rsidRPr="00FE7564">
        <w:rPr>
          <w:szCs w:val="22"/>
        </w:rPr>
        <w:t>.</w:t>
      </w:r>
    </w:p>
    <w:p w:rsidR="004B7A1B" w:rsidRPr="00FE7564" w:rsidRDefault="004B7A1B" w:rsidP="00EA74B5">
      <w:pPr>
        <w:rPr>
          <w:szCs w:val="22"/>
        </w:rPr>
      </w:pPr>
    </w:p>
    <w:p w:rsidR="006E1F43" w:rsidRPr="0010168C" w:rsidRDefault="004B7A1B" w:rsidP="00EA74B5">
      <w:pPr>
        <w:pStyle w:val="ListParagraph"/>
        <w:widowControl/>
        <w:numPr>
          <w:ilvl w:val="1"/>
          <w:numId w:val="8"/>
        </w:numPr>
      </w:pPr>
      <w:r w:rsidRPr="00FE7564">
        <w:t>The rates of utilisation of PPACT in the COMBI-D and COMBI-V were similar at the final cut-off of these trials to the most recent cut-off of the BRF113220 study for the monotherapy arm (</w:t>
      </w:r>
      <w:r w:rsidRPr="002341FD">
        <w:t>51</w:t>
      </w:r>
      <w:r w:rsidRPr="00FE7564">
        <w:t xml:space="preserve">%, </w:t>
      </w:r>
      <w:r w:rsidRPr="002341FD">
        <w:t>43</w:t>
      </w:r>
      <w:r w:rsidRPr="00FE7564">
        <w:t xml:space="preserve">% and </w:t>
      </w:r>
      <w:r w:rsidRPr="002341FD">
        <w:t>46</w:t>
      </w:r>
      <w:r w:rsidRPr="00FE7564">
        <w:t>% respectively) and for the combination therapy arm (</w:t>
      </w:r>
      <w:r w:rsidRPr="002341FD">
        <w:t>33</w:t>
      </w:r>
      <w:r w:rsidRPr="00FE7564">
        <w:t xml:space="preserve">%, </w:t>
      </w:r>
      <w:r w:rsidRPr="002341FD">
        <w:t>20</w:t>
      </w:r>
      <w:r w:rsidRPr="00FE7564">
        <w:t xml:space="preserve">% and </w:t>
      </w:r>
      <w:r w:rsidRPr="002341FD">
        <w:t>33</w:t>
      </w:r>
      <w:r w:rsidRPr="00FE7564">
        <w:t xml:space="preserve">% respectively). </w:t>
      </w:r>
      <w:r w:rsidR="005C64FD" w:rsidRPr="00FE7564">
        <w:rPr>
          <w:szCs w:val="22"/>
        </w:rPr>
        <w:t>The P</w:t>
      </w:r>
      <w:r w:rsidR="006E1F43" w:rsidRPr="00FE7564">
        <w:rPr>
          <w:szCs w:val="22"/>
        </w:rPr>
        <w:t xml:space="preserve">SCR </w:t>
      </w:r>
      <w:r w:rsidRPr="00FE7564">
        <w:rPr>
          <w:szCs w:val="22"/>
        </w:rPr>
        <w:t>(p</w:t>
      </w:r>
      <w:r w:rsidR="00EA74B5" w:rsidRPr="00FE7564">
        <w:rPr>
          <w:szCs w:val="22"/>
        </w:rPr>
        <w:t xml:space="preserve"> 2) </w:t>
      </w:r>
      <w:r w:rsidR="006E1F43" w:rsidRPr="00FE7564">
        <w:rPr>
          <w:szCs w:val="22"/>
        </w:rPr>
        <w:t>argue</w:t>
      </w:r>
      <w:r w:rsidRPr="00FE7564">
        <w:rPr>
          <w:szCs w:val="22"/>
        </w:rPr>
        <w:t>d</w:t>
      </w:r>
      <w:r w:rsidR="006E1F43" w:rsidRPr="00FE7564">
        <w:rPr>
          <w:szCs w:val="22"/>
        </w:rPr>
        <w:t xml:space="preserve"> that it is reasonable </w:t>
      </w:r>
      <w:r w:rsidRPr="00FE7564">
        <w:rPr>
          <w:szCs w:val="22"/>
        </w:rPr>
        <w:t xml:space="preserve">for the estimated percentages </w:t>
      </w:r>
      <w:r w:rsidR="00EA74B5" w:rsidRPr="00FE7564">
        <w:rPr>
          <w:szCs w:val="22"/>
        </w:rPr>
        <w:t>of PPACT agent use</w:t>
      </w:r>
      <w:r w:rsidR="00596DF5" w:rsidRPr="00FE7564">
        <w:rPr>
          <w:szCs w:val="22"/>
        </w:rPr>
        <w:t>d</w:t>
      </w:r>
      <w:r w:rsidR="00EA74B5" w:rsidRPr="00FE7564">
        <w:rPr>
          <w:szCs w:val="22"/>
        </w:rPr>
        <w:t xml:space="preserve"> </w:t>
      </w:r>
      <w:r w:rsidRPr="00FE7564">
        <w:rPr>
          <w:szCs w:val="22"/>
        </w:rPr>
        <w:t xml:space="preserve">to sum to more than </w:t>
      </w:r>
      <w:r w:rsidR="00EA74B5" w:rsidRPr="00FE7564">
        <w:rPr>
          <w:szCs w:val="22"/>
        </w:rPr>
        <w:t xml:space="preserve">these percentages of patient use </w:t>
      </w:r>
      <w:r w:rsidR="006E1F43" w:rsidRPr="00FE7564">
        <w:rPr>
          <w:szCs w:val="22"/>
        </w:rPr>
        <w:t xml:space="preserve">because the </w:t>
      </w:r>
      <w:r w:rsidRPr="00FE7564">
        <w:rPr>
          <w:szCs w:val="22"/>
        </w:rPr>
        <w:t xml:space="preserve">different </w:t>
      </w:r>
      <w:r w:rsidR="006E1F43" w:rsidRPr="00FE7564">
        <w:rPr>
          <w:szCs w:val="22"/>
        </w:rPr>
        <w:t xml:space="preserve">drugs may be used in combination or in sequence. </w:t>
      </w:r>
      <w:r w:rsidR="005C64FD" w:rsidRPr="00FE7564">
        <w:rPr>
          <w:szCs w:val="22"/>
        </w:rPr>
        <w:t>H</w:t>
      </w:r>
      <w:r w:rsidR="006E1F43" w:rsidRPr="00FE7564">
        <w:rPr>
          <w:szCs w:val="22"/>
        </w:rPr>
        <w:t>owever</w:t>
      </w:r>
      <w:r w:rsidR="005C64FD" w:rsidRPr="00FE7564">
        <w:rPr>
          <w:szCs w:val="22"/>
        </w:rPr>
        <w:t xml:space="preserve">, the ESC noted that </w:t>
      </w:r>
      <w:r w:rsidR="006E1F43" w:rsidRPr="00FE7564">
        <w:rPr>
          <w:szCs w:val="22"/>
        </w:rPr>
        <w:t>th</w:t>
      </w:r>
      <w:r w:rsidR="00EA74B5" w:rsidRPr="00FE7564">
        <w:rPr>
          <w:szCs w:val="22"/>
        </w:rPr>
        <w:t xml:space="preserve">is would be affected by the </w:t>
      </w:r>
      <w:r w:rsidR="006E1F43" w:rsidRPr="00FE7564">
        <w:rPr>
          <w:szCs w:val="22"/>
        </w:rPr>
        <w:t>assum</w:t>
      </w:r>
      <w:r w:rsidR="00EA74B5" w:rsidRPr="00FE7564">
        <w:rPr>
          <w:szCs w:val="22"/>
        </w:rPr>
        <w:t>ption for the model that they all</w:t>
      </w:r>
      <w:r w:rsidR="006E1F43" w:rsidRPr="00FE7564">
        <w:rPr>
          <w:szCs w:val="22"/>
        </w:rPr>
        <w:t xml:space="preserve"> have the same duration of therapy</w:t>
      </w:r>
      <w:r w:rsidR="00A53EB7" w:rsidRPr="00FE7564">
        <w:rPr>
          <w:szCs w:val="22"/>
        </w:rPr>
        <w:t xml:space="preserve"> (6 months)</w:t>
      </w:r>
      <w:r w:rsidR="006E1F43" w:rsidRPr="00FE7564">
        <w:rPr>
          <w:szCs w:val="22"/>
        </w:rPr>
        <w:t>, which does</w:t>
      </w:r>
      <w:r w:rsidR="00EA74B5" w:rsidRPr="00FE7564">
        <w:rPr>
          <w:szCs w:val="22"/>
        </w:rPr>
        <w:t xml:space="preserve"> </w:t>
      </w:r>
      <w:r w:rsidR="006E1F43" w:rsidRPr="00FE7564">
        <w:rPr>
          <w:szCs w:val="22"/>
        </w:rPr>
        <w:t>n</w:t>
      </w:r>
      <w:r w:rsidR="00EA74B5" w:rsidRPr="00FE7564">
        <w:rPr>
          <w:szCs w:val="22"/>
        </w:rPr>
        <w:t>o</w:t>
      </w:r>
      <w:r w:rsidR="006E1F43" w:rsidRPr="00FE7564">
        <w:rPr>
          <w:szCs w:val="22"/>
        </w:rPr>
        <w:t xml:space="preserve">t account for </w:t>
      </w:r>
      <w:r w:rsidR="00EA74B5" w:rsidRPr="00FE7564">
        <w:rPr>
          <w:szCs w:val="22"/>
        </w:rPr>
        <w:t xml:space="preserve">variations in </w:t>
      </w:r>
      <w:r w:rsidR="006E1F43" w:rsidRPr="00FE7564">
        <w:rPr>
          <w:szCs w:val="22"/>
        </w:rPr>
        <w:t>discontinuations</w:t>
      </w:r>
      <w:r w:rsidR="00EA74B5" w:rsidRPr="00FE7564">
        <w:rPr>
          <w:szCs w:val="22"/>
        </w:rPr>
        <w:t xml:space="preserve"> or</w:t>
      </w:r>
      <w:r w:rsidR="006E1F43" w:rsidRPr="00FE7564">
        <w:rPr>
          <w:szCs w:val="22"/>
        </w:rPr>
        <w:t xml:space="preserve"> switches.</w:t>
      </w:r>
      <w:r w:rsidR="00A53EB7" w:rsidRPr="00FE7564">
        <w:rPr>
          <w:szCs w:val="22"/>
        </w:rPr>
        <w:t xml:space="preserve"> The ESC also </w:t>
      </w:r>
      <w:r w:rsidR="00A53EB7" w:rsidRPr="00FE7564">
        <w:rPr>
          <w:szCs w:val="22"/>
        </w:rPr>
        <w:lastRenderedPageBreak/>
        <w:t>queried whether the assumed duration of therapy (6 months) may also overestimate the PPACT cost offsets.</w:t>
      </w:r>
    </w:p>
    <w:p w:rsidR="00E82154" w:rsidRPr="00FE7564" w:rsidRDefault="00E82154" w:rsidP="00EA74B5"/>
    <w:p w:rsidR="00E82154" w:rsidRPr="00FE7564" w:rsidRDefault="00E82154" w:rsidP="00EA74B5">
      <w:pPr>
        <w:pStyle w:val="ListParagraph"/>
        <w:widowControl/>
        <w:numPr>
          <w:ilvl w:val="1"/>
          <w:numId w:val="8"/>
        </w:numPr>
        <w:rPr>
          <w:szCs w:val="22"/>
        </w:rPr>
      </w:pPr>
      <w:r w:rsidRPr="00FE7564">
        <w:rPr>
          <w:szCs w:val="22"/>
        </w:rPr>
        <w:t xml:space="preserve">The ESC </w:t>
      </w:r>
      <w:r w:rsidR="00EA74B5" w:rsidRPr="00FE7564">
        <w:rPr>
          <w:szCs w:val="22"/>
        </w:rPr>
        <w:t xml:space="preserve">therefore </w:t>
      </w:r>
      <w:r w:rsidRPr="00FE7564">
        <w:rPr>
          <w:szCs w:val="22"/>
        </w:rPr>
        <w:t>advised that, even if the PBAC accepts that including the PPACT costs might be justified from an internal validity perspective (</w:t>
      </w:r>
      <w:r w:rsidR="00EB2685" w:rsidRPr="00FE7564">
        <w:rPr>
          <w:szCs w:val="22"/>
        </w:rPr>
        <w:t>i.e.</w:t>
      </w:r>
      <w:r w:rsidRPr="00FE7564">
        <w:rPr>
          <w:szCs w:val="22"/>
        </w:rPr>
        <w:t xml:space="preserve"> that the PPACT contributed to the overall survival observed in each arm), the way that these PPACT costs were calculated has resulted in significant uncertainty, as they did not capture the actual </w:t>
      </w:r>
      <w:r w:rsidR="00E32B97" w:rsidRPr="00FE7564">
        <w:rPr>
          <w:szCs w:val="22"/>
        </w:rPr>
        <w:t xml:space="preserve">quantity of </w:t>
      </w:r>
      <w:r w:rsidRPr="00FE7564">
        <w:rPr>
          <w:szCs w:val="22"/>
        </w:rPr>
        <w:t>PPACT used by each patient.</w:t>
      </w:r>
    </w:p>
    <w:p w:rsidR="00621B8C" w:rsidRPr="00FE7564" w:rsidRDefault="00621B8C" w:rsidP="00621B8C">
      <w:pPr>
        <w:widowControl/>
        <w:rPr>
          <w:szCs w:val="22"/>
        </w:rPr>
      </w:pPr>
    </w:p>
    <w:p w:rsidR="00FD2BA9" w:rsidRPr="00FE7564" w:rsidRDefault="00FD2BA9" w:rsidP="00575A1F">
      <w:pPr>
        <w:pStyle w:val="ListParagraph"/>
        <w:widowControl/>
        <w:numPr>
          <w:ilvl w:val="1"/>
          <w:numId w:val="8"/>
        </w:numPr>
        <w:rPr>
          <w:snapToGrid/>
        </w:rPr>
      </w:pPr>
      <w:r w:rsidRPr="00FE7564">
        <w:rPr>
          <w:szCs w:val="22"/>
        </w:rPr>
        <w:t xml:space="preserve">Apart from not being requested by the PBAC, the estimates of PPACT use included in the model were not likely to reflect the current Australian treatment setting, and the method used to apply PPACT costs to the model inherently favoured combination therapy. </w:t>
      </w:r>
      <w:r w:rsidR="00575A1F" w:rsidRPr="00FE7564">
        <w:rPr>
          <w:szCs w:val="22"/>
        </w:rPr>
        <w:t xml:space="preserve">The model was unlikely to reflect the current Australian treatment setting because </w:t>
      </w:r>
      <w:r w:rsidRPr="00FE7564">
        <w:rPr>
          <w:snapToGrid/>
        </w:rPr>
        <w:t xml:space="preserve">COMBI-D was a multicentre international trial whose most recent data cut-off point was January 2015. Given the recent evolution of the treatment landscape in melanoma, the estimates were currently inappropriate. Specifically, with the listing of </w:t>
      </w:r>
      <w:proofErr w:type="spellStart"/>
      <w:r w:rsidRPr="00FE7564">
        <w:rPr>
          <w:snapToGrid/>
        </w:rPr>
        <w:t>pembrolizumab</w:t>
      </w:r>
      <w:proofErr w:type="spellEnd"/>
      <w:r w:rsidRPr="00FE7564">
        <w:rPr>
          <w:snapToGrid/>
        </w:rPr>
        <w:t xml:space="preserve"> </w:t>
      </w:r>
      <w:r w:rsidR="00DA1C1F" w:rsidRPr="00FE7564">
        <w:rPr>
          <w:snapToGrid/>
        </w:rPr>
        <w:t>and</w:t>
      </w:r>
      <w:r w:rsidRPr="00FE7564">
        <w:rPr>
          <w:snapToGrid/>
        </w:rPr>
        <w:t xml:space="preserve"> the PBAC recommendation of </w:t>
      </w:r>
      <w:proofErr w:type="spellStart"/>
      <w:r w:rsidRPr="00FE7564">
        <w:rPr>
          <w:snapToGrid/>
        </w:rPr>
        <w:t>nivolumab</w:t>
      </w:r>
      <w:proofErr w:type="spellEnd"/>
      <w:r w:rsidR="00767006" w:rsidRPr="00FE7564">
        <w:rPr>
          <w:snapToGrid/>
        </w:rPr>
        <w:t>,</w:t>
      </w:r>
      <w:r w:rsidR="00DA1C1F" w:rsidRPr="00FE7564">
        <w:rPr>
          <w:snapToGrid/>
        </w:rPr>
        <w:t xml:space="preserve"> it is likely that</w:t>
      </w:r>
      <w:r w:rsidRPr="00FE7564">
        <w:rPr>
          <w:snapToGrid/>
        </w:rPr>
        <w:t xml:space="preserve"> </w:t>
      </w:r>
      <w:proofErr w:type="spellStart"/>
      <w:proofErr w:type="gramStart"/>
      <w:r w:rsidRPr="00FE7564">
        <w:rPr>
          <w:snapToGrid/>
        </w:rPr>
        <w:t>ipilimumab</w:t>
      </w:r>
      <w:proofErr w:type="spellEnd"/>
      <w:r w:rsidRPr="00FE7564">
        <w:rPr>
          <w:snapToGrid/>
        </w:rPr>
        <w:t>,</w:t>
      </w:r>
      <w:proofErr w:type="gramEnd"/>
      <w:r w:rsidRPr="00FE7564">
        <w:rPr>
          <w:snapToGrid/>
        </w:rPr>
        <w:t xml:space="preserve"> (the drug estimated to have the highest subsequent use in the model) might be relegated to third</w:t>
      </w:r>
      <w:r w:rsidR="004C1AED" w:rsidRPr="00FE7564">
        <w:rPr>
          <w:snapToGrid/>
        </w:rPr>
        <w:t>-</w:t>
      </w:r>
      <w:r w:rsidRPr="00FE7564">
        <w:rPr>
          <w:snapToGrid/>
        </w:rPr>
        <w:t>line treatment or later</w:t>
      </w:r>
      <w:r w:rsidR="00767006" w:rsidRPr="00FE7564">
        <w:rPr>
          <w:snapToGrid/>
        </w:rPr>
        <w:t>.</w:t>
      </w:r>
      <w:r w:rsidR="00DA1C1F" w:rsidRPr="00FE7564">
        <w:rPr>
          <w:snapToGrid/>
        </w:rPr>
        <w:t xml:space="preserve"> It is also likely that</w:t>
      </w:r>
      <w:r w:rsidRPr="00FE7564">
        <w:rPr>
          <w:snapToGrid/>
        </w:rPr>
        <w:t xml:space="preserve"> the other treatments included in the PPACT estimates</w:t>
      </w:r>
      <w:r w:rsidR="0091335A" w:rsidRPr="00FE7564">
        <w:rPr>
          <w:snapToGrid/>
        </w:rPr>
        <w:t xml:space="preserve"> will move</w:t>
      </w:r>
      <w:r w:rsidRPr="00FE7564">
        <w:rPr>
          <w:snapToGrid/>
        </w:rPr>
        <w:t xml:space="preserve"> into even later lines of treatment or may not be used at all. It would be reasonable to assume that a large proportion of patients would receive </w:t>
      </w:r>
      <w:proofErr w:type="spellStart"/>
      <w:r w:rsidRPr="00FE7564">
        <w:rPr>
          <w:snapToGrid/>
        </w:rPr>
        <w:t>pembrolizumab</w:t>
      </w:r>
      <w:proofErr w:type="spellEnd"/>
      <w:r w:rsidRPr="00FE7564">
        <w:rPr>
          <w:snapToGrid/>
        </w:rPr>
        <w:t xml:space="preserve">, and </w:t>
      </w:r>
      <w:r w:rsidR="00767006" w:rsidRPr="00FE7564">
        <w:rPr>
          <w:snapToGrid/>
        </w:rPr>
        <w:t>since</w:t>
      </w:r>
      <w:r w:rsidRPr="00FE7564">
        <w:rPr>
          <w:snapToGrid/>
        </w:rPr>
        <w:t xml:space="preserve"> PBS listing, </w:t>
      </w:r>
      <w:proofErr w:type="spellStart"/>
      <w:r w:rsidRPr="00FE7564">
        <w:rPr>
          <w:snapToGrid/>
        </w:rPr>
        <w:t>nivolumab</w:t>
      </w:r>
      <w:proofErr w:type="spellEnd"/>
      <w:r w:rsidRPr="00FE7564">
        <w:rPr>
          <w:snapToGrid/>
        </w:rPr>
        <w:t>.</w:t>
      </w:r>
      <w:r w:rsidR="00767006" w:rsidRPr="00FE7564">
        <w:rPr>
          <w:snapToGrid/>
        </w:rPr>
        <w:t xml:space="preserve"> The submission acknowledged</w:t>
      </w:r>
      <w:r w:rsidR="00C04DA6" w:rsidRPr="00FE7564">
        <w:rPr>
          <w:snapToGrid/>
        </w:rPr>
        <w:t xml:space="preserve"> that the use of </w:t>
      </w:r>
      <w:proofErr w:type="spellStart"/>
      <w:r w:rsidR="00C04DA6" w:rsidRPr="00FE7564">
        <w:rPr>
          <w:snapToGrid/>
        </w:rPr>
        <w:t>p</w:t>
      </w:r>
      <w:r w:rsidR="00455358" w:rsidRPr="00FE7564">
        <w:rPr>
          <w:snapToGrid/>
        </w:rPr>
        <w:t>embrolizumab</w:t>
      </w:r>
      <w:proofErr w:type="spellEnd"/>
      <w:r w:rsidR="00455358" w:rsidRPr="00FE7564">
        <w:rPr>
          <w:snapToGrid/>
        </w:rPr>
        <w:t xml:space="preserve"> by progressed patient</w:t>
      </w:r>
      <w:r w:rsidR="00C04DA6" w:rsidRPr="00FE7564">
        <w:rPr>
          <w:snapToGrid/>
        </w:rPr>
        <w:t>s</w:t>
      </w:r>
      <w:r w:rsidR="00455358" w:rsidRPr="00FE7564">
        <w:rPr>
          <w:snapToGrid/>
        </w:rPr>
        <w:t xml:space="preserve"> </w:t>
      </w:r>
      <w:r w:rsidR="00C04DA6" w:rsidRPr="00FE7564">
        <w:rPr>
          <w:snapToGrid/>
        </w:rPr>
        <w:t>in COMBI-D is likely to be underestimated, but the submission did not address the impact of this on the applied costs and outcomes of the PPACT component of the model.</w:t>
      </w:r>
      <w:r w:rsidR="001C6880" w:rsidRPr="00FE7564">
        <w:rPr>
          <w:snapToGrid/>
        </w:rPr>
        <w:t xml:space="preserve"> </w:t>
      </w:r>
      <w:proofErr w:type="spellStart"/>
      <w:r w:rsidR="001C6880" w:rsidRPr="00FE7564">
        <w:rPr>
          <w:snapToGrid/>
        </w:rPr>
        <w:t>Pembrolizumab</w:t>
      </w:r>
      <w:proofErr w:type="spellEnd"/>
      <w:r w:rsidR="001C6880" w:rsidRPr="00FE7564">
        <w:rPr>
          <w:snapToGrid/>
        </w:rPr>
        <w:t xml:space="preserve"> use has been addressed in a sensitivity analysis conducted during the evaluation</w:t>
      </w:r>
      <w:r w:rsidR="00C2394D" w:rsidRPr="00FE7564">
        <w:rPr>
          <w:snapToGrid/>
        </w:rPr>
        <w:t xml:space="preserve"> (</w:t>
      </w:r>
      <w:r w:rsidR="001C6880" w:rsidRPr="00FE7564">
        <w:rPr>
          <w:snapToGrid/>
        </w:rPr>
        <w:t>see below for results</w:t>
      </w:r>
      <w:r w:rsidR="00C2394D" w:rsidRPr="00FE7564">
        <w:rPr>
          <w:snapToGrid/>
        </w:rPr>
        <w:t>)</w:t>
      </w:r>
      <w:r w:rsidR="001C6880" w:rsidRPr="00FE7564">
        <w:rPr>
          <w:snapToGrid/>
        </w:rPr>
        <w:t>.</w:t>
      </w:r>
      <w:r w:rsidR="006B14CB" w:rsidRPr="00FE7564">
        <w:rPr>
          <w:snapToGrid/>
        </w:rPr>
        <w:t xml:space="preserve"> It was also noted that DTIC, </w:t>
      </w:r>
      <w:proofErr w:type="spellStart"/>
      <w:r w:rsidR="006B14CB" w:rsidRPr="00FE7564">
        <w:rPr>
          <w:snapToGrid/>
        </w:rPr>
        <w:t>vemurafenib</w:t>
      </w:r>
      <w:proofErr w:type="spellEnd"/>
      <w:r w:rsidR="006B14CB" w:rsidRPr="00FE7564">
        <w:rPr>
          <w:snapToGrid/>
        </w:rPr>
        <w:t xml:space="preserve">, paclitaxel, </w:t>
      </w:r>
      <w:r w:rsidR="000E01E8" w:rsidRPr="00FE7564">
        <w:rPr>
          <w:snapToGrid/>
        </w:rPr>
        <w:t xml:space="preserve">and </w:t>
      </w:r>
      <w:proofErr w:type="spellStart"/>
      <w:r w:rsidR="000E01E8" w:rsidRPr="00FE7564">
        <w:rPr>
          <w:snapToGrid/>
        </w:rPr>
        <w:t>bevacizumab</w:t>
      </w:r>
      <w:proofErr w:type="spellEnd"/>
      <w:r w:rsidR="000E01E8" w:rsidRPr="00FE7564">
        <w:rPr>
          <w:snapToGrid/>
        </w:rPr>
        <w:t xml:space="preserve">, </w:t>
      </w:r>
      <w:r w:rsidR="00ED4F58" w:rsidRPr="00FE7564">
        <w:rPr>
          <w:snapToGrid/>
        </w:rPr>
        <w:t xml:space="preserve">which were </w:t>
      </w:r>
      <w:r w:rsidR="000E01E8" w:rsidRPr="00FE7564">
        <w:rPr>
          <w:snapToGrid/>
        </w:rPr>
        <w:t>included</w:t>
      </w:r>
      <w:r w:rsidR="00ED4F58" w:rsidRPr="00FE7564">
        <w:rPr>
          <w:snapToGrid/>
        </w:rPr>
        <w:t xml:space="preserve"> by the submission in the</w:t>
      </w:r>
      <w:r w:rsidR="000E01E8" w:rsidRPr="00FE7564">
        <w:rPr>
          <w:snapToGrid/>
        </w:rPr>
        <w:t xml:space="preserve"> PPACT use estimates, were not </w:t>
      </w:r>
      <w:r w:rsidR="00ED4F58" w:rsidRPr="00FE7564">
        <w:rPr>
          <w:snapToGrid/>
        </w:rPr>
        <w:t>PBS-</w:t>
      </w:r>
      <w:r w:rsidR="000E01E8" w:rsidRPr="00FE7564">
        <w:rPr>
          <w:snapToGrid/>
        </w:rPr>
        <w:t>listed for melanoma.</w:t>
      </w:r>
      <w:r w:rsidR="00767006" w:rsidRPr="00FE7564">
        <w:rPr>
          <w:snapToGrid/>
        </w:rPr>
        <w:t xml:space="preserve"> </w:t>
      </w:r>
      <w:r w:rsidR="00AB2947" w:rsidRPr="00FE7564">
        <w:rPr>
          <w:snapToGrid/>
        </w:rPr>
        <w:t>While the</w:t>
      </w:r>
      <w:r w:rsidR="00ED4F58" w:rsidRPr="00FE7564">
        <w:rPr>
          <w:snapToGrid/>
        </w:rPr>
        <w:t xml:space="preserve"> submission </w:t>
      </w:r>
      <w:r w:rsidR="00AB2947" w:rsidRPr="00FE7564">
        <w:rPr>
          <w:snapToGrid/>
        </w:rPr>
        <w:t xml:space="preserve">acknowledged that DTIC, </w:t>
      </w:r>
      <w:proofErr w:type="spellStart"/>
      <w:r w:rsidR="00AB2947" w:rsidRPr="00FE7564">
        <w:rPr>
          <w:snapToGrid/>
        </w:rPr>
        <w:t>vemurafenib</w:t>
      </w:r>
      <w:proofErr w:type="spellEnd"/>
      <w:r w:rsidR="00AB2947" w:rsidRPr="00FE7564">
        <w:rPr>
          <w:snapToGrid/>
        </w:rPr>
        <w:t xml:space="preserve"> and </w:t>
      </w:r>
      <w:proofErr w:type="spellStart"/>
      <w:r w:rsidR="00AB2947" w:rsidRPr="00FE7564">
        <w:rPr>
          <w:snapToGrid/>
        </w:rPr>
        <w:t>lomustine</w:t>
      </w:r>
      <w:proofErr w:type="spellEnd"/>
      <w:r w:rsidR="00AB2947" w:rsidRPr="00FE7564">
        <w:rPr>
          <w:snapToGrid/>
        </w:rPr>
        <w:t xml:space="preserve"> </w:t>
      </w:r>
      <w:r w:rsidR="00767006" w:rsidRPr="00FE7564">
        <w:rPr>
          <w:snapToGrid/>
        </w:rPr>
        <w:t>we</w:t>
      </w:r>
      <w:r w:rsidR="00AB2947" w:rsidRPr="00FE7564">
        <w:rPr>
          <w:snapToGrid/>
        </w:rPr>
        <w:t xml:space="preserve">re not PBS-listed, it </w:t>
      </w:r>
      <w:r w:rsidR="00ED4F58" w:rsidRPr="00FE7564">
        <w:rPr>
          <w:snapToGrid/>
        </w:rPr>
        <w:t xml:space="preserve">did not justify why costs for </w:t>
      </w:r>
      <w:r w:rsidR="00AB2947" w:rsidRPr="00FE7564">
        <w:rPr>
          <w:snapToGrid/>
        </w:rPr>
        <w:t xml:space="preserve">drugs that </w:t>
      </w:r>
      <w:r w:rsidR="00767006" w:rsidRPr="00FE7564">
        <w:rPr>
          <w:snapToGrid/>
        </w:rPr>
        <w:t>we</w:t>
      </w:r>
      <w:r w:rsidR="00AB2947" w:rsidRPr="00FE7564">
        <w:rPr>
          <w:snapToGrid/>
        </w:rPr>
        <w:t>re PBS-listed</w:t>
      </w:r>
      <w:r w:rsidR="00767006" w:rsidRPr="00FE7564">
        <w:rPr>
          <w:snapToGrid/>
        </w:rPr>
        <w:t>,</w:t>
      </w:r>
      <w:r w:rsidR="00AB2947" w:rsidRPr="00FE7564">
        <w:rPr>
          <w:snapToGrid/>
        </w:rPr>
        <w:t xml:space="preserve"> but do not have a restriction that allows treatment of melanoma</w:t>
      </w:r>
      <w:r w:rsidR="00767006" w:rsidRPr="00FE7564">
        <w:rPr>
          <w:snapToGrid/>
        </w:rPr>
        <w:t>,</w:t>
      </w:r>
      <w:r w:rsidR="00AB2947" w:rsidRPr="00FE7564">
        <w:rPr>
          <w:snapToGrid/>
        </w:rPr>
        <w:t xml:space="preserve"> were included</w:t>
      </w:r>
      <w:r w:rsidR="00ED4F58" w:rsidRPr="00FE7564">
        <w:rPr>
          <w:snapToGrid/>
        </w:rPr>
        <w:t>.</w:t>
      </w:r>
      <w:r w:rsidR="0044204E" w:rsidRPr="00FE7564">
        <w:rPr>
          <w:snapToGrid/>
        </w:rPr>
        <w:t xml:space="preserve"> </w:t>
      </w:r>
      <w:r w:rsidR="00110CD8" w:rsidRPr="00FE7564">
        <w:rPr>
          <w:snapToGrid/>
        </w:rPr>
        <w:t xml:space="preserve">The PSCR (p 3) stated that inclusion of </w:t>
      </w:r>
      <w:proofErr w:type="spellStart"/>
      <w:r w:rsidR="00110CD8" w:rsidRPr="00FE7564">
        <w:rPr>
          <w:snapToGrid/>
        </w:rPr>
        <w:t>bevacizumab</w:t>
      </w:r>
      <w:proofErr w:type="spellEnd"/>
      <w:r w:rsidR="00110CD8" w:rsidRPr="00FE7564">
        <w:rPr>
          <w:snapToGrid/>
        </w:rPr>
        <w:t xml:space="preserve">, DTIC, </w:t>
      </w:r>
      <w:proofErr w:type="spellStart"/>
      <w:r w:rsidR="00110CD8" w:rsidRPr="00FE7564">
        <w:rPr>
          <w:snapToGrid/>
        </w:rPr>
        <w:t>vemurafenib</w:t>
      </w:r>
      <w:proofErr w:type="spellEnd"/>
      <w:r w:rsidR="00110CD8" w:rsidRPr="00FE7564">
        <w:rPr>
          <w:snapToGrid/>
        </w:rPr>
        <w:t xml:space="preserve"> and paclitaxel in the PPACT costs were appropriate </w:t>
      </w:r>
      <w:r w:rsidR="005B00D7" w:rsidRPr="00FE7564">
        <w:rPr>
          <w:snapToGrid/>
        </w:rPr>
        <w:t xml:space="preserve">to estimate </w:t>
      </w:r>
      <w:r w:rsidR="00110CD8" w:rsidRPr="00FE7564">
        <w:rPr>
          <w:snapToGrid/>
        </w:rPr>
        <w:t>the valu</w:t>
      </w:r>
      <w:r w:rsidR="005B00D7" w:rsidRPr="00FE7564">
        <w:rPr>
          <w:snapToGrid/>
        </w:rPr>
        <w:t>e</w:t>
      </w:r>
      <w:r w:rsidR="00110CD8" w:rsidRPr="00FE7564">
        <w:rPr>
          <w:snapToGrid/>
        </w:rPr>
        <w:t xml:space="preserve"> of </w:t>
      </w:r>
      <w:r w:rsidR="005B00D7" w:rsidRPr="00FE7564">
        <w:rPr>
          <w:snapToGrid/>
        </w:rPr>
        <w:t xml:space="preserve">these </w:t>
      </w:r>
      <w:r w:rsidR="00110CD8" w:rsidRPr="00FE7564">
        <w:rPr>
          <w:snapToGrid/>
        </w:rPr>
        <w:t>health care resources</w:t>
      </w:r>
      <w:r w:rsidR="005B00D7" w:rsidRPr="00FE7564">
        <w:rPr>
          <w:snapToGrid/>
        </w:rPr>
        <w:t>, emphasising</w:t>
      </w:r>
      <w:r w:rsidR="00110CD8" w:rsidRPr="00FE7564">
        <w:rPr>
          <w:snapToGrid/>
        </w:rPr>
        <w:t xml:space="preserve"> the “fact that these drugs are not listed for use in melanoma does not mean they are not used in this indication”.</w:t>
      </w:r>
      <w:r w:rsidR="0046444F" w:rsidRPr="00FE7564">
        <w:rPr>
          <w:snapToGrid/>
        </w:rPr>
        <w:t xml:space="preserve"> The ESC advise</w:t>
      </w:r>
      <w:r w:rsidR="005B00D7" w:rsidRPr="00FE7564">
        <w:rPr>
          <w:snapToGrid/>
        </w:rPr>
        <w:t>d</w:t>
      </w:r>
      <w:r w:rsidR="0046444F" w:rsidRPr="00FE7564">
        <w:rPr>
          <w:snapToGrid/>
        </w:rPr>
        <w:t xml:space="preserve"> that </w:t>
      </w:r>
      <w:r w:rsidR="005B00D7" w:rsidRPr="00FE7564">
        <w:rPr>
          <w:snapToGrid/>
        </w:rPr>
        <w:t xml:space="preserve">although </w:t>
      </w:r>
      <w:r w:rsidR="0046444F" w:rsidRPr="00FE7564">
        <w:rPr>
          <w:snapToGrid/>
        </w:rPr>
        <w:t xml:space="preserve">this </w:t>
      </w:r>
      <w:r w:rsidR="005B00D7" w:rsidRPr="00FE7564">
        <w:rPr>
          <w:snapToGrid/>
        </w:rPr>
        <w:t xml:space="preserve">might be a justification for the method of estimating costs, it also </w:t>
      </w:r>
      <w:r w:rsidR="0046444F" w:rsidRPr="00FE7564">
        <w:rPr>
          <w:snapToGrid/>
        </w:rPr>
        <w:t>raises the issue of whether there is any evidence that the</w:t>
      </w:r>
      <w:r w:rsidR="005B00D7" w:rsidRPr="00FE7564">
        <w:rPr>
          <w:snapToGrid/>
        </w:rPr>
        <w:t>se PPACT</w:t>
      </w:r>
      <w:r w:rsidR="0046444F" w:rsidRPr="00FE7564">
        <w:rPr>
          <w:snapToGrid/>
        </w:rPr>
        <w:t xml:space="preserve"> are effective, and noted that their inclusion may be artificially inflating costs of the comparator arm without any contribution to </w:t>
      </w:r>
      <w:r w:rsidR="005B00D7" w:rsidRPr="00FE7564">
        <w:rPr>
          <w:snapToGrid/>
        </w:rPr>
        <w:t xml:space="preserve">improving the health outcomes </w:t>
      </w:r>
      <w:r w:rsidR="0046444F" w:rsidRPr="00FE7564">
        <w:rPr>
          <w:snapToGrid/>
        </w:rPr>
        <w:t>of the comparator arm.</w:t>
      </w:r>
    </w:p>
    <w:p w:rsidR="00FD2BA9" w:rsidRPr="00FE7564" w:rsidRDefault="00FD2BA9" w:rsidP="00FD2BA9">
      <w:pPr>
        <w:widowControl/>
        <w:rPr>
          <w:szCs w:val="22"/>
        </w:rPr>
      </w:pPr>
    </w:p>
    <w:p w:rsidR="00401986" w:rsidRDefault="00401986">
      <w:pPr>
        <w:widowControl/>
        <w:jc w:val="left"/>
        <w:rPr>
          <w:snapToGrid/>
        </w:rPr>
      </w:pPr>
      <w:r>
        <w:rPr>
          <w:snapToGrid/>
        </w:rPr>
        <w:br w:type="page"/>
      </w:r>
    </w:p>
    <w:p w:rsidR="00FD2BA9" w:rsidRPr="00FE7564" w:rsidRDefault="003D5783" w:rsidP="00FD2BA9">
      <w:pPr>
        <w:pStyle w:val="ListParagraph"/>
        <w:widowControl/>
        <w:numPr>
          <w:ilvl w:val="1"/>
          <w:numId w:val="8"/>
        </w:numPr>
        <w:rPr>
          <w:szCs w:val="22"/>
        </w:rPr>
      </w:pPr>
      <w:r w:rsidRPr="00FE7564">
        <w:rPr>
          <w:snapToGrid/>
        </w:rPr>
        <w:lastRenderedPageBreak/>
        <w:t>The table below summaries the key drivers of the model.</w:t>
      </w:r>
    </w:p>
    <w:p w:rsidR="00FD2BA9" w:rsidRPr="00FE7564" w:rsidRDefault="00FD2BA9" w:rsidP="00FD2BA9">
      <w:pPr>
        <w:widowControl/>
        <w:rPr>
          <w:szCs w:val="22"/>
        </w:rPr>
      </w:pPr>
    </w:p>
    <w:p w:rsidR="00FD2BA9" w:rsidRPr="00FE7564" w:rsidRDefault="00FD2BA9" w:rsidP="00401986">
      <w:pPr>
        <w:widowControl/>
        <w:ind w:firstLine="720"/>
        <w:jc w:val="left"/>
        <w:rPr>
          <w:rStyle w:val="CommentReference"/>
        </w:rPr>
      </w:pPr>
      <w:r w:rsidRPr="00FE7564">
        <w:rPr>
          <w:rStyle w:val="CommentReference"/>
        </w:rPr>
        <w:t xml:space="preserve">Table </w:t>
      </w:r>
      <w:r w:rsidR="00314368" w:rsidRPr="00FE7564">
        <w:rPr>
          <w:rStyle w:val="CommentReference"/>
        </w:rPr>
        <w:t>9</w:t>
      </w:r>
      <w:r w:rsidRPr="00FE7564">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9"/>
        <w:gridCol w:w="5102"/>
        <w:gridCol w:w="1824"/>
      </w:tblGrid>
      <w:tr w:rsidR="00FD2BA9" w:rsidRPr="00FE7564" w:rsidTr="00767006">
        <w:trPr>
          <w:tblHeader/>
        </w:trPr>
        <w:tc>
          <w:tcPr>
            <w:tcW w:w="850" w:type="pct"/>
            <w:shd w:val="clear" w:color="auto" w:fill="auto"/>
            <w:vAlign w:val="center"/>
          </w:tcPr>
          <w:p w:rsidR="00FD2BA9" w:rsidRPr="00FE7564" w:rsidRDefault="00FD2BA9" w:rsidP="00C26563">
            <w:pPr>
              <w:jc w:val="left"/>
              <w:rPr>
                <w:rFonts w:ascii="Arial Narrow" w:hAnsi="Arial Narrow"/>
                <w:b/>
                <w:sz w:val="20"/>
              </w:rPr>
            </w:pPr>
            <w:r w:rsidRPr="00FE7564">
              <w:rPr>
                <w:rFonts w:ascii="Arial Narrow" w:hAnsi="Arial Narrow"/>
                <w:b/>
                <w:sz w:val="20"/>
              </w:rPr>
              <w:t>Description</w:t>
            </w:r>
          </w:p>
        </w:tc>
        <w:tc>
          <w:tcPr>
            <w:tcW w:w="3057"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Method/Value</w:t>
            </w:r>
          </w:p>
        </w:tc>
        <w:tc>
          <w:tcPr>
            <w:tcW w:w="1093" w:type="pct"/>
            <w:shd w:val="clear" w:color="auto" w:fill="auto"/>
            <w:vAlign w:val="center"/>
          </w:tcPr>
          <w:p w:rsidR="00FD2BA9" w:rsidRPr="00FE7564" w:rsidRDefault="00FD2BA9" w:rsidP="00C26563">
            <w:pPr>
              <w:jc w:val="center"/>
              <w:rPr>
                <w:rFonts w:ascii="Arial Narrow" w:hAnsi="Arial Narrow"/>
                <w:b/>
                <w:sz w:val="20"/>
              </w:rPr>
            </w:pPr>
            <w:r w:rsidRPr="00FE7564">
              <w:rPr>
                <w:rFonts w:ascii="Arial Narrow" w:hAnsi="Arial Narrow"/>
                <w:b/>
                <w:sz w:val="20"/>
              </w:rPr>
              <w:t>Impact</w:t>
            </w:r>
          </w:p>
        </w:tc>
      </w:tr>
      <w:tr w:rsidR="00FD2BA9" w:rsidRPr="00FE7564" w:rsidTr="00767006">
        <w:tc>
          <w:tcPr>
            <w:tcW w:w="850" w:type="pct"/>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Updated survival estimates</w:t>
            </w:r>
          </w:p>
        </w:tc>
        <w:tc>
          <w:tcPr>
            <w:tcW w:w="3057" w:type="pct"/>
            <w:shd w:val="clear" w:color="auto" w:fill="auto"/>
            <w:vAlign w:val="center"/>
          </w:tcPr>
          <w:p w:rsidR="00FD2BA9" w:rsidRPr="00FE7564" w:rsidRDefault="00FD2BA9" w:rsidP="002878A5">
            <w:pPr>
              <w:jc w:val="left"/>
              <w:rPr>
                <w:rFonts w:ascii="Arial Narrow" w:hAnsi="Arial Narrow"/>
                <w:sz w:val="20"/>
              </w:rPr>
            </w:pPr>
            <w:r w:rsidRPr="00FE7564">
              <w:rPr>
                <w:rFonts w:ascii="Arial Narrow" w:hAnsi="Arial Narrow"/>
                <w:sz w:val="20"/>
              </w:rPr>
              <w:t>Pooled individual patient data as requested by the PBAC</w:t>
            </w:r>
            <w:r w:rsidR="00871403" w:rsidRPr="00FE7564">
              <w:rPr>
                <w:rFonts w:ascii="Arial Narrow" w:hAnsi="Arial Narrow"/>
                <w:sz w:val="20"/>
              </w:rPr>
              <w:t>.</w:t>
            </w:r>
            <w:r w:rsidR="002001FA" w:rsidRPr="00FE7564">
              <w:rPr>
                <w:rFonts w:ascii="Arial Narrow" w:hAnsi="Arial Narrow"/>
                <w:sz w:val="20"/>
              </w:rPr>
              <w:t xml:space="preserve"> Kaplan</w:t>
            </w:r>
            <w:r w:rsidR="002878A5" w:rsidRPr="00FE7564">
              <w:rPr>
                <w:rFonts w:ascii="Arial Narrow" w:hAnsi="Arial Narrow"/>
                <w:sz w:val="20"/>
              </w:rPr>
              <w:t>-</w:t>
            </w:r>
            <w:r w:rsidR="002001FA" w:rsidRPr="00FE7564">
              <w:rPr>
                <w:rFonts w:ascii="Arial Narrow" w:hAnsi="Arial Narrow"/>
                <w:sz w:val="20"/>
              </w:rPr>
              <w:t>Meier curves generated from the IPD analysis are used up to median duration of follow-up</w:t>
            </w:r>
            <w:r w:rsidR="00B855BD" w:rsidRPr="00FE7564">
              <w:rPr>
                <w:rFonts w:ascii="Arial Narrow" w:hAnsi="Arial Narrow"/>
                <w:sz w:val="20"/>
              </w:rPr>
              <w:t xml:space="preserve">, </w:t>
            </w:r>
            <w:r w:rsidR="00EB2685" w:rsidRPr="00FE7564">
              <w:rPr>
                <w:rFonts w:ascii="Arial Narrow" w:hAnsi="Arial Narrow"/>
                <w:sz w:val="20"/>
              </w:rPr>
              <w:t>and then</w:t>
            </w:r>
            <w:r w:rsidR="002001FA" w:rsidRPr="00FE7564">
              <w:rPr>
                <w:rFonts w:ascii="Arial Narrow" w:hAnsi="Arial Narrow"/>
                <w:sz w:val="20"/>
              </w:rPr>
              <w:t xml:space="preserve"> the log-logistic extrapolation of pooled BRF113220, COMBI-D and COMBI-V PFS and OS data </w:t>
            </w:r>
            <w:r w:rsidR="00B855BD" w:rsidRPr="00FE7564">
              <w:rPr>
                <w:rFonts w:ascii="Arial Narrow" w:hAnsi="Arial Narrow"/>
                <w:sz w:val="20"/>
              </w:rPr>
              <w:t xml:space="preserve">was </w:t>
            </w:r>
            <w:r w:rsidR="002001FA" w:rsidRPr="00FE7564">
              <w:rPr>
                <w:rFonts w:ascii="Arial Narrow" w:hAnsi="Arial Narrow"/>
                <w:sz w:val="20"/>
              </w:rPr>
              <w:t>used.</w:t>
            </w:r>
          </w:p>
        </w:tc>
        <w:tc>
          <w:tcPr>
            <w:tcW w:w="1093" w:type="pct"/>
            <w:shd w:val="clear" w:color="auto" w:fill="auto"/>
            <w:vAlign w:val="center"/>
          </w:tcPr>
          <w:p w:rsidR="00FD2BA9" w:rsidRPr="00FE7564" w:rsidRDefault="00FD2BA9" w:rsidP="00767006">
            <w:pPr>
              <w:jc w:val="center"/>
              <w:rPr>
                <w:rFonts w:ascii="Arial Narrow" w:hAnsi="Arial Narrow"/>
                <w:sz w:val="20"/>
              </w:rPr>
            </w:pPr>
            <w:r w:rsidRPr="00FE7564">
              <w:rPr>
                <w:rFonts w:ascii="Arial Narrow" w:hAnsi="Arial Narrow"/>
                <w:sz w:val="20"/>
              </w:rPr>
              <w:t>High, favour</w:t>
            </w:r>
            <w:r w:rsidR="00767006" w:rsidRPr="00FE7564">
              <w:rPr>
                <w:rFonts w:ascii="Arial Narrow" w:hAnsi="Arial Narrow"/>
                <w:sz w:val="20"/>
              </w:rPr>
              <w:t>ed</w:t>
            </w:r>
            <w:r w:rsidRPr="00FE7564">
              <w:rPr>
                <w:rFonts w:ascii="Arial Narrow" w:hAnsi="Arial Narrow"/>
                <w:sz w:val="20"/>
              </w:rPr>
              <w:t xml:space="preserve"> </w:t>
            </w:r>
            <w:proofErr w:type="spellStart"/>
            <w:r w:rsidRPr="00FE7564">
              <w:rPr>
                <w:rFonts w:ascii="Arial Narrow" w:hAnsi="Arial Narrow"/>
                <w:sz w:val="20"/>
              </w:rPr>
              <w:t>dabrafenib</w:t>
            </w:r>
            <w:proofErr w:type="spellEnd"/>
            <w:r w:rsidRPr="00FE7564">
              <w:rPr>
                <w:rFonts w:ascii="Arial Narrow" w:hAnsi="Arial Narrow"/>
                <w:sz w:val="20"/>
              </w:rPr>
              <w:t xml:space="preserve"> monotherapy</w:t>
            </w:r>
          </w:p>
        </w:tc>
      </w:tr>
      <w:tr w:rsidR="00FD2BA9" w:rsidRPr="00FE7564" w:rsidTr="00767006">
        <w:tc>
          <w:tcPr>
            <w:tcW w:w="850" w:type="pct"/>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Inclusion of PPACT costs</w:t>
            </w:r>
          </w:p>
        </w:tc>
        <w:tc>
          <w:tcPr>
            <w:tcW w:w="3057" w:type="pct"/>
            <w:shd w:val="clear" w:color="auto" w:fill="auto"/>
            <w:vAlign w:val="center"/>
          </w:tcPr>
          <w:p w:rsidR="00FD2BA9" w:rsidRPr="00FE7564" w:rsidRDefault="00FD2BA9" w:rsidP="00C26563">
            <w:pPr>
              <w:jc w:val="left"/>
              <w:rPr>
                <w:rFonts w:ascii="Arial Narrow" w:hAnsi="Arial Narrow"/>
                <w:sz w:val="20"/>
              </w:rPr>
            </w:pPr>
            <w:r w:rsidRPr="00FE7564">
              <w:rPr>
                <w:rFonts w:ascii="Arial Narrow" w:hAnsi="Arial Narrow"/>
                <w:sz w:val="20"/>
              </w:rPr>
              <w:t>Calculated from subsequent therapy estimates of the COMBI-D data. These costs were not requested by the PBAC</w:t>
            </w:r>
            <w:r w:rsidR="00871403" w:rsidRPr="00FE7564">
              <w:rPr>
                <w:rFonts w:ascii="Arial Narrow" w:hAnsi="Arial Narrow"/>
                <w:sz w:val="20"/>
              </w:rPr>
              <w:t>.</w:t>
            </w:r>
          </w:p>
        </w:tc>
        <w:tc>
          <w:tcPr>
            <w:tcW w:w="1093" w:type="pct"/>
            <w:shd w:val="clear" w:color="auto" w:fill="auto"/>
            <w:vAlign w:val="center"/>
          </w:tcPr>
          <w:p w:rsidR="00FD2BA9" w:rsidRPr="00FE7564" w:rsidRDefault="00FD2BA9" w:rsidP="00767006">
            <w:pPr>
              <w:jc w:val="center"/>
              <w:rPr>
                <w:rFonts w:ascii="Arial Narrow" w:hAnsi="Arial Narrow"/>
                <w:sz w:val="20"/>
              </w:rPr>
            </w:pPr>
            <w:r w:rsidRPr="00FE7564">
              <w:rPr>
                <w:rFonts w:ascii="Arial Narrow" w:hAnsi="Arial Narrow"/>
                <w:sz w:val="20"/>
              </w:rPr>
              <w:t>High, favour</w:t>
            </w:r>
            <w:r w:rsidR="00767006" w:rsidRPr="00FE7564">
              <w:rPr>
                <w:rFonts w:ascii="Arial Narrow" w:hAnsi="Arial Narrow"/>
                <w:sz w:val="20"/>
              </w:rPr>
              <w:t>ed</w:t>
            </w:r>
            <w:r w:rsidRPr="00FE7564">
              <w:rPr>
                <w:rFonts w:ascii="Arial Narrow" w:hAnsi="Arial Narrow"/>
                <w:sz w:val="20"/>
              </w:rPr>
              <w:t xml:space="preserve"> </w:t>
            </w:r>
            <w:r w:rsidR="009B74F1" w:rsidRPr="00FE7564">
              <w:rPr>
                <w:rFonts w:ascii="Arial Narrow" w:hAnsi="Arial Narrow"/>
                <w:sz w:val="20"/>
              </w:rPr>
              <w:t>combination therapy</w:t>
            </w:r>
          </w:p>
        </w:tc>
      </w:tr>
    </w:tbl>
    <w:p w:rsidR="00FD2BA9" w:rsidRPr="00FE7564" w:rsidRDefault="00FD2BA9" w:rsidP="00FD2BA9">
      <w:pPr>
        <w:pStyle w:val="TableFooter"/>
        <w:ind w:firstLine="720"/>
      </w:pPr>
      <w:r w:rsidRPr="00FE7564">
        <w:t>Source: compiled during the evaluation</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t xml:space="preserve">The results of the base case of the economic evaluation are provided in the table below, followed by the results of the </w:t>
      </w:r>
      <w:r w:rsidR="008B567C" w:rsidRPr="00FE7564">
        <w:t>economic evaluation based on</w:t>
      </w:r>
      <w:r w:rsidRPr="00FE7564">
        <w:t xml:space="preserve"> PBAC specifications.</w:t>
      </w:r>
    </w:p>
    <w:p w:rsidR="00FD2BA9" w:rsidRPr="00FE7564" w:rsidRDefault="00FD2BA9" w:rsidP="00FD2BA9">
      <w:pPr>
        <w:widowControl/>
        <w:rPr>
          <w:szCs w:val="22"/>
        </w:rPr>
      </w:pPr>
    </w:p>
    <w:p w:rsidR="00FD2BA9" w:rsidRPr="00FE7564" w:rsidRDefault="00FD2BA9" w:rsidP="00621B8C">
      <w:pPr>
        <w:ind w:left="720"/>
        <w:rPr>
          <w:rStyle w:val="CommentReference"/>
        </w:rPr>
      </w:pPr>
      <w:r w:rsidRPr="00FE7564">
        <w:rPr>
          <w:rStyle w:val="CommentReference"/>
        </w:rPr>
        <w:t xml:space="preserve">Table </w:t>
      </w:r>
      <w:r w:rsidR="00314368" w:rsidRPr="00FE7564">
        <w:rPr>
          <w:rStyle w:val="CommentReference"/>
        </w:rPr>
        <w:t>10</w:t>
      </w:r>
      <w:r w:rsidRPr="00FE7564">
        <w:rPr>
          <w:rStyle w:val="CommentReference"/>
        </w:rPr>
        <w:t>: Results of the economic evaluation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2"/>
        <w:gridCol w:w="2579"/>
        <w:gridCol w:w="2550"/>
        <w:gridCol w:w="1683"/>
      </w:tblGrid>
      <w:tr w:rsidR="00FD2BA9" w:rsidRPr="00FE7564" w:rsidTr="00EF6FB2">
        <w:tc>
          <w:tcPr>
            <w:tcW w:w="913" w:type="pct"/>
          </w:tcPr>
          <w:p w:rsidR="00FD2BA9" w:rsidRPr="00FE7564" w:rsidRDefault="00FD2BA9" w:rsidP="00C26563">
            <w:pPr>
              <w:rPr>
                <w:rFonts w:ascii="Arial Narrow" w:hAnsi="Arial Narrow"/>
                <w:b/>
                <w:sz w:val="20"/>
              </w:rPr>
            </w:pPr>
            <w:r w:rsidRPr="00FE7564">
              <w:rPr>
                <w:rFonts w:ascii="Arial Narrow" w:hAnsi="Arial Narrow"/>
                <w:b/>
                <w:sz w:val="20"/>
              </w:rPr>
              <w:t>Component</w:t>
            </w:r>
          </w:p>
        </w:tc>
        <w:tc>
          <w:tcPr>
            <w:tcW w:w="1547" w:type="pct"/>
          </w:tcPr>
          <w:p w:rsidR="00FD2BA9" w:rsidRPr="00FE7564" w:rsidRDefault="00FD2BA9" w:rsidP="00C26563">
            <w:pPr>
              <w:jc w:val="center"/>
              <w:rPr>
                <w:rFonts w:ascii="Arial Narrow" w:hAnsi="Arial Narrow"/>
                <w:b/>
                <w:sz w:val="20"/>
              </w:rPr>
            </w:pPr>
            <w:r w:rsidRPr="00FE7564">
              <w:rPr>
                <w:rFonts w:ascii="Arial Narrow" w:hAnsi="Arial Narrow"/>
                <w:b/>
                <w:sz w:val="20"/>
              </w:rPr>
              <w:t>Combination</w:t>
            </w:r>
          </w:p>
        </w:tc>
        <w:tc>
          <w:tcPr>
            <w:tcW w:w="1530" w:type="pct"/>
          </w:tcPr>
          <w:p w:rsidR="00FD2BA9" w:rsidRPr="00FE7564" w:rsidRDefault="00FD2BA9" w:rsidP="00C26563">
            <w:pPr>
              <w:jc w:val="center"/>
              <w:rPr>
                <w:rFonts w:ascii="Arial Narrow" w:hAnsi="Arial Narrow"/>
                <w:b/>
                <w:sz w:val="20"/>
              </w:rPr>
            </w:pPr>
            <w:r w:rsidRPr="00FE7564">
              <w:rPr>
                <w:rFonts w:ascii="Arial Narrow" w:hAnsi="Arial Narrow"/>
                <w:b/>
                <w:sz w:val="20"/>
              </w:rPr>
              <w:t>Monotherapy</w:t>
            </w:r>
          </w:p>
        </w:tc>
        <w:tc>
          <w:tcPr>
            <w:tcW w:w="1010" w:type="pct"/>
          </w:tcPr>
          <w:p w:rsidR="00FD2BA9" w:rsidRPr="00FE7564" w:rsidRDefault="00FD2BA9" w:rsidP="00C26563">
            <w:pPr>
              <w:jc w:val="center"/>
              <w:rPr>
                <w:rFonts w:ascii="Arial Narrow" w:hAnsi="Arial Narrow"/>
                <w:b/>
                <w:sz w:val="20"/>
              </w:rPr>
            </w:pPr>
            <w:r w:rsidRPr="00FE7564">
              <w:rPr>
                <w:rFonts w:ascii="Arial Narrow" w:hAnsi="Arial Narrow"/>
                <w:b/>
                <w:sz w:val="20"/>
              </w:rPr>
              <w:t>Increment</w:t>
            </w:r>
          </w:p>
        </w:tc>
      </w:tr>
      <w:tr w:rsidR="00FD2BA9" w:rsidRPr="00FE7564" w:rsidTr="00EF6FB2">
        <w:tc>
          <w:tcPr>
            <w:tcW w:w="913" w:type="pct"/>
          </w:tcPr>
          <w:p w:rsidR="00FD2BA9" w:rsidRPr="00FE7564" w:rsidRDefault="00FD2BA9" w:rsidP="00C26563">
            <w:pPr>
              <w:rPr>
                <w:rFonts w:ascii="Arial Narrow" w:hAnsi="Arial Narrow"/>
                <w:sz w:val="20"/>
              </w:rPr>
            </w:pPr>
            <w:r w:rsidRPr="00FE7564">
              <w:rPr>
                <w:rFonts w:ascii="Arial Narrow" w:hAnsi="Arial Narrow"/>
                <w:sz w:val="20"/>
              </w:rPr>
              <w:t>Costs</w:t>
            </w:r>
          </w:p>
        </w:tc>
        <w:tc>
          <w:tcPr>
            <w:tcW w:w="1547" w:type="pct"/>
          </w:tcPr>
          <w:p w:rsidR="00FD2BA9" w:rsidRPr="00FE7564" w:rsidRDefault="00FD2BA9" w:rsidP="00C26563">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530" w:type="pct"/>
          </w:tcPr>
          <w:p w:rsidR="00FD2BA9" w:rsidRPr="00FE7564" w:rsidRDefault="00FD2BA9" w:rsidP="00C26563">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010" w:type="pct"/>
          </w:tcPr>
          <w:p w:rsidR="00FD2BA9" w:rsidRPr="00FE7564" w:rsidRDefault="00FD2BA9" w:rsidP="00C26563">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r>
      <w:tr w:rsidR="00FD2BA9" w:rsidRPr="00FE7564" w:rsidTr="00EF6FB2">
        <w:tc>
          <w:tcPr>
            <w:tcW w:w="913" w:type="pct"/>
          </w:tcPr>
          <w:p w:rsidR="00FD2BA9" w:rsidRPr="00FE7564" w:rsidRDefault="00FD2BA9" w:rsidP="00C26563">
            <w:pPr>
              <w:rPr>
                <w:rFonts w:ascii="Arial Narrow" w:hAnsi="Arial Narrow"/>
                <w:sz w:val="20"/>
              </w:rPr>
            </w:pPr>
            <w:r w:rsidRPr="00FE7564">
              <w:rPr>
                <w:rFonts w:ascii="Arial Narrow" w:hAnsi="Arial Narrow"/>
                <w:sz w:val="20"/>
              </w:rPr>
              <w:t>QALYs</w:t>
            </w:r>
          </w:p>
        </w:tc>
        <w:tc>
          <w:tcPr>
            <w:tcW w:w="1547" w:type="pct"/>
          </w:tcPr>
          <w:p w:rsidR="00FD2BA9" w:rsidRPr="00D30355" w:rsidRDefault="00D30355" w:rsidP="00C26563">
            <w:pPr>
              <w:jc w:val="center"/>
              <w:rPr>
                <w:rFonts w:ascii="Arial Narrow" w:hAnsi="Arial Narrow"/>
                <w:sz w:val="20"/>
                <w:highlight w:val="black"/>
              </w:rPr>
            </w:pPr>
            <w:r>
              <w:rPr>
                <w:rFonts w:ascii="Arial Narrow" w:hAnsi="Arial Narrow"/>
                <w:noProof/>
                <w:color w:val="000000"/>
                <w:sz w:val="20"/>
                <w:highlight w:val="black"/>
              </w:rPr>
              <w:t>'''''''''''''''</w:t>
            </w:r>
          </w:p>
        </w:tc>
        <w:tc>
          <w:tcPr>
            <w:tcW w:w="1530" w:type="pct"/>
          </w:tcPr>
          <w:p w:rsidR="00FD2BA9" w:rsidRPr="00D30355" w:rsidRDefault="00D30355" w:rsidP="00C26563">
            <w:pPr>
              <w:jc w:val="center"/>
              <w:rPr>
                <w:rFonts w:ascii="Arial Narrow" w:hAnsi="Arial Narrow"/>
                <w:sz w:val="20"/>
                <w:highlight w:val="black"/>
              </w:rPr>
            </w:pPr>
            <w:r>
              <w:rPr>
                <w:rFonts w:ascii="Arial Narrow" w:hAnsi="Arial Narrow"/>
                <w:noProof/>
                <w:color w:val="000000"/>
                <w:sz w:val="20"/>
                <w:highlight w:val="black"/>
              </w:rPr>
              <w:t>''''''''''''</w:t>
            </w:r>
          </w:p>
        </w:tc>
        <w:tc>
          <w:tcPr>
            <w:tcW w:w="1010" w:type="pct"/>
          </w:tcPr>
          <w:p w:rsidR="00FD2BA9" w:rsidRPr="00D30355" w:rsidRDefault="00D30355" w:rsidP="00C26563">
            <w:pPr>
              <w:jc w:val="center"/>
              <w:rPr>
                <w:rFonts w:ascii="Arial Narrow" w:hAnsi="Arial Narrow"/>
                <w:sz w:val="20"/>
                <w:highlight w:val="black"/>
              </w:rPr>
            </w:pPr>
            <w:r>
              <w:rPr>
                <w:rFonts w:ascii="Arial Narrow" w:hAnsi="Arial Narrow"/>
                <w:noProof/>
                <w:color w:val="000000"/>
                <w:sz w:val="20"/>
                <w:highlight w:val="black"/>
              </w:rPr>
              <w:t>'''''''''''''</w:t>
            </w:r>
          </w:p>
        </w:tc>
      </w:tr>
      <w:tr w:rsidR="000164FF" w:rsidRPr="00FE7564" w:rsidTr="00EF6FB2">
        <w:tc>
          <w:tcPr>
            <w:tcW w:w="3990" w:type="pct"/>
            <w:gridSpan w:val="3"/>
          </w:tcPr>
          <w:p w:rsidR="000164FF" w:rsidRPr="00FE7564" w:rsidRDefault="000164FF" w:rsidP="00C26563">
            <w:pPr>
              <w:rPr>
                <w:rFonts w:ascii="Arial Narrow" w:hAnsi="Arial Narrow"/>
                <w:b/>
                <w:sz w:val="20"/>
              </w:rPr>
            </w:pPr>
            <w:r w:rsidRPr="00FE7564">
              <w:rPr>
                <w:rFonts w:ascii="Arial Narrow" w:hAnsi="Arial Narrow"/>
                <w:b/>
                <w:sz w:val="20"/>
              </w:rPr>
              <w:t>Incremental cost/extra QALY gained</w:t>
            </w:r>
          </w:p>
        </w:tc>
        <w:tc>
          <w:tcPr>
            <w:tcW w:w="1010" w:type="pct"/>
          </w:tcPr>
          <w:p w:rsidR="000164FF" w:rsidRPr="00FE7564" w:rsidRDefault="000164FF" w:rsidP="00C26563">
            <w:pPr>
              <w:jc w:val="center"/>
              <w:rPr>
                <w:rFonts w:ascii="Arial Narrow" w:hAnsi="Arial Narrow"/>
                <w:b/>
                <w:sz w:val="20"/>
              </w:rPr>
            </w:pPr>
            <w:r w:rsidRPr="00FE7564">
              <w:rPr>
                <w:rFonts w:ascii="Arial Narrow" w:hAnsi="Arial Narrow"/>
                <w:b/>
                <w:sz w:val="20"/>
              </w:rPr>
              <w:t>$</w:t>
            </w:r>
            <w:r w:rsidR="00D30355">
              <w:rPr>
                <w:rFonts w:ascii="Arial Narrow" w:hAnsi="Arial Narrow"/>
                <w:b/>
                <w:noProof/>
                <w:color w:val="000000"/>
                <w:sz w:val="20"/>
                <w:highlight w:val="black"/>
              </w:rPr>
              <w:t>'''''''''''''</w:t>
            </w:r>
          </w:p>
        </w:tc>
      </w:tr>
      <w:tr w:rsidR="000164FF" w:rsidRPr="00FE7564" w:rsidTr="00EF6FB2">
        <w:tc>
          <w:tcPr>
            <w:tcW w:w="3990" w:type="pct"/>
            <w:gridSpan w:val="3"/>
          </w:tcPr>
          <w:p w:rsidR="000164FF" w:rsidRPr="00FE7564" w:rsidRDefault="000164FF" w:rsidP="00DB648B">
            <w:pPr>
              <w:rPr>
                <w:rFonts w:ascii="Arial Narrow" w:hAnsi="Arial Narrow"/>
                <w:b/>
                <w:sz w:val="20"/>
              </w:rPr>
            </w:pPr>
            <w:proofErr w:type="spellStart"/>
            <w:r w:rsidRPr="00FE7564">
              <w:rPr>
                <w:rFonts w:ascii="Arial Narrow" w:hAnsi="Arial Narrow"/>
                <w:b/>
                <w:sz w:val="20"/>
              </w:rPr>
              <w:t>Trametinib</w:t>
            </w:r>
            <w:proofErr w:type="spellEnd"/>
            <w:r w:rsidRPr="00FE7564">
              <w:rPr>
                <w:rFonts w:ascii="Arial Narrow" w:hAnsi="Arial Narrow"/>
                <w:b/>
                <w:sz w:val="20"/>
              </w:rPr>
              <w:t xml:space="preserve"> </w:t>
            </w:r>
            <w:r w:rsidR="00DB648B" w:rsidRPr="00FE7564">
              <w:rPr>
                <w:rFonts w:ascii="Arial Narrow" w:hAnsi="Arial Narrow"/>
                <w:b/>
                <w:sz w:val="20"/>
              </w:rPr>
              <w:t xml:space="preserve">2 mg </w:t>
            </w:r>
            <w:r w:rsidRPr="00FE7564">
              <w:rPr>
                <w:rFonts w:ascii="Arial Narrow" w:hAnsi="Arial Narrow"/>
                <w:b/>
                <w:sz w:val="20"/>
              </w:rPr>
              <w:t xml:space="preserve">DPMQ needed to maintain incremental cost/QALY of </w:t>
            </w:r>
            <w:r w:rsidR="00824D73">
              <w:rPr>
                <w:rFonts w:ascii="Arial Narrow" w:hAnsi="Arial Narrow"/>
                <w:b/>
                <w:sz w:val="20"/>
              </w:rPr>
              <w:t xml:space="preserve"> $45,000/QALY - $75,000/QALY</w:t>
            </w:r>
          </w:p>
        </w:tc>
        <w:tc>
          <w:tcPr>
            <w:tcW w:w="1010" w:type="pct"/>
          </w:tcPr>
          <w:p w:rsidR="000164FF" w:rsidRPr="00FE7564" w:rsidRDefault="000164FF" w:rsidP="00C26563">
            <w:pPr>
              <w:jc w:val="center"/>
              <w:rPr>
                <w:rFonts w:ascii="Arial Narrow" w:hAnsi="Arial Narrow"/>
                <w:b/>
                <w:sz w:val="20"/>
              </w:rPr>
            </w:pPr>
            <w:r w:rsidRPr="00FE7564">
              <w:rPr>
                <w:rFonts w:ascii="Arial Narrow" w:hAnsi="Arial Narrow"/>
                <w:b/>
                <w:sz w:val="20"/>
              </w:rPr>
              <w:t>$</w:t>
            </w:r>
            <w:r w:rsidR="00D30355">
              <w:rPr>
                <w:rFonts w:ascii="Arial Narrow" w:hAnsi="Arial Narrow"/>
                <w:b/>
                <w:noProof/>
                <w:color w:val="000000"/>
                <w:sz w:val="20"/>
                <w:highlight w:val="black"/>
              </w:rPr>
              <w:t>''''''''</w:t>
            </w:r>
          </w:p>
        </w:tc>
      </w:tr>
    </w:tbl>
    <w:p w:rsidR="00FD2BA9" w:rsidRPr="00FE7564" w:rsidRDefault="00FD2BA9" w:rsidP="00FD2BA9">
      <w:pPr>
        <w:pStyle w:val="TableFooter"/>
        <w:ind w:left="720"/>
      </w:pPr>
      <w:r w:rsidRPr="00FE7564">
        <w:t>Source: Table D.6-6, p187 of the submission. QALY=quality adjusted life year.</w:t>
      </w:r>
    </w:p>
    <w:p w:rsidR="00FD2BA9" w:rsidRPr="00FE7564" w:rsidRDefault="00FD2BA9" w:rsidP="00FD2BA9"/>
    <w:p w:rsidR="00FD2BA9" w:rsidRPr="00FE7564" w:rsidRDefault="00FD2BA9" w:rsidP="00FD2BA9">
      <w:pPr>
        <w:ind w:left="720"/>
        <w:rPr>
          <w:rStyle w:val="CommentReference"/>
        </w:rPr>
      </w:pPr>
      <w:r w:rsidRPr="00FE7564">
        <w:rPr>
          <w:rStyle w:val="CommentReference"/>
        </w:rPr>
        <w:t>Table 1</w:t>
      </w:r>
      <w:r w:rsidR="00314368" w:rsidRPr="00FE7564">
        <w:rPr>
          <w:rStyle w:val="CommentReference"/>
        </w:rPr>
        <w:t>1</w:t>
      </w:r>
      <w:r w:rsidRPr="00FE7564">
        <w:rPr>
          <w:rStyle w:val="CommentReference"/>
        </w:rPr>
        <w:t xml:space="preserve">: </w:t>
      </w:r>
      <w:r w:rsidR="00EE346E" w:rsidRPr="00FE7564">
        <w:rPr>
          <w:rStyle w:val="CommentReference"/>
        </w:rPr>
        <w:t xml:space="preserve">Adjusted </w:t>
      </w:r>
      <w:r w:rsidRPr="00FE7564">
        <w:rPr>
          <w:rStyle w:val="CommentReference"/>
        </w:rPr>
        <w:t>results of the economic evaluation (following all specifications of the PBAC and excluding additional changes added in the submission)</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2"/>
        <w:gridCol w:w="2579"/>
        <w:gridCol w:w="2550"/>
        <w:gridCol w:w="1683"/>
      </w:tblGrid>
      <w:tr w:rsidR="00FD2BA9" w:rsidRPr="00FE7564" w:rsidTr="00EF6FB2">
        <w:tc>
          <w:tcPr>
            <w:tcW w:w="913" w:type="pct"/>
          </w:tcPr>
          <w:p w:rsidR="00FD2BA9" w:rsidRPr="00FE7564" w:rsidRDefault="00FD2BA9" w:rsidP="00C26563">
            <w:pPr>
              <w:rPr>
                <w:rFonts w:ascii="Arial Narrow" w:hAnsi="Arial Narrow"/>
                <w:b/>
                <w:sz w:val="20"/>
              </w:rPr>
            </w:pPr>
            <w:r w:rsidRPr="00FE7564">
              <w:rPr>
                <w:rFonts w:ascii="Arial Narrow" w:hAnsi="Arial Narrow"/>
                <w:b/>
                <w:sz w:val="20"/>
              </w:rPr>
              <w:t>Component</w:t>
            </w:r>
          </w:p>
        </w:tc>
        <w:tc>
          <w:tcPr>
            <w:tcW w:w="1547" w:type="pct"/>
          </w:tcPr>
          <w:p w:rsidR="00FD2BA9" w:rsidRPr="00FE7564" w:rsidRDefault="00FD2BA9" w:rsidP="00C26563">
            <w:pPr>
              <w:jc w:val="center"/>
              <w:rPr>
                <w:rFonts w:ascii="Arial Narrow" w:hAnsi="Arial Narrow"/>
                <w:b/>
                <w:sz w:val="20"/>
              </w:rPr>
            </w:pPr>
            <w:r w:rsidRPr="00FE7564">
              <w:rPr>
                <w:rFonts w:ascii="Arial Narrow" w:hAnsi="Arial Narrow"/>
                <w:b/>
                <w:sz w:val="20"/>
              </w:rPr>
              <w:t>Combination</w:t>
            </w:r>
          </w:p>
        </w:tc>
        <w:tc>
          <w:tcPr>
            <w:tcW w:w="1530" w:type="pct"/>
          </w:tcPr>
          <w:p w:rsidR="00FD2BA9" w:rsidRPr="00FE7564" w:rsidRDefault="00FD2BA9" w:rsidP="00C26563">
            <w:pPr>
              <w:jc w:val="center"/>
              <w:rPr>
                <w:rFonts w:ascii="Arial Narrow" w:hAnsi="Arial Narrow"/>
                <w:b/>
                <w:sz w:val="20"/>
              </w:rPr>
            </w:pPr>
            <w:r w:rsidRPr="00FE7564">
              <w:rPr>
                <w:rFonts w:ascii="Arial Narrow" w:hAnsi="Arial Narrow"/>
                <w:b/>
                <w:sz w:val="20"/>
              </w:rPr>
              <w:t>Monotherapy</w:t>
            </w:r>
          </w:p>
        </w:tc>
        <w:tc>
          <w:tcPr>
            <w:tcW w:w="1010" w:type="pct"/>
          </w:tcPr>
          <w:p w:rsidR="00FD2BA9" w:rsidRPr="00FE7564" w:rsidRDefault="00FD2BA9" w:rsidP="00C26563">
            <w:pPr>
              <w:jc w:val="center"/>
              <w:rPr>
                <w:rFonts w:ascii="Arial Narrow" w:hAnsi="Arial Narrow"/>
                <w:b/>
                <w:sz w:val="20"/>
              </w:rPr>
            </w:pPr>
            <w:r w:rsidRPr="00FE7564">
              <w:rPr>
                <w:rFonts w:ascii="Arial Narrow" w:hAnsi="Arial Narrow"/>
                <w:b/>
                <w:sz w:val="20"/>
              </w:rPr>
              <w:t>Increment</w:t>
            </w:r>
          </w:p>
        </w:tc>
      </w:tr>
      <w:tr w:rsidR="00FD2BA9" w:rsidRPr="00FE7564" w:rsidTr="00EF6FB2">
        <w:tc>
          <w:tcPr>
            <w:tcW w:w="913" w:type="pct"/>
          </w:tcPr>
          <w:p w:rsidR="00FD2BA9" w:rsidRPr="00FE7564" w:rsidRDefault="00FD2BA9" w:rsidP="00C26563">
            <w:pPr>
              <w:rPr>
                <w:rFonts w:ascii="Arial Narrow" w:hAnsi="Arial Narrow"/>
                <w:sz w:val="20"/>
              </w:rPr>
            </w:pPr>
            <w:r w:rsidRPr="00FE7564">
              <w:rPr>
                <w:rFonts w:ascii="Arial Narrow" w:hAnsi="Arial Narrow"/>
                <w:sz w:val="20"/>
              </w:rPr>
              <w:t>Costs</w:t>
            </w:r>
          </w:p>
        </w:tc>
        <w:tc>
          <w:tcPr>
            <w:tcW w:w="1547" w:type="pct"/>
          </w:tcPr>
          <w:p w:rsidR="00FD2BA9" w:rsidRPr="00FE7564" w:rsidRDefault="00FD2BA9" w:rsidP="00C26563">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530" w:type="pct"/>
          </w:tcPr>
          <w:p w:rsidR="00FD2BA9" w:rsidRPr="00FE7564" w:rsidRDefault="00FD2BA9" w:rsidP="00C26563">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010" w:type="pct"/>
          </w:tcPr>
          <w:p w:rsidR="00FD2BA9" w:rsidRPr="00FE7564" w:rsidRDefault="00FD2BA9" w:rsidP="00C26563">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r>
      <w:tr w:rsidR="00FD2BA9" w:rsidRPr="00FE7564" w:rsidTr="00EF6FB2">
        <w:tc>
          <w:tcPr>
            <w:tcW w:w="913" w:type="pct"/>
          </w:tcPr>
          <w:p w:rsidR="00FD2BA9" w:rsidRPr="00FE7564" w:rsidRDefault="00FD2BA9" w:rsidP="00C26563">
            <w:pPr>
              <w:rPr>
                <w:rFonts w:ascii="Arial Narrow" w:hAnsi="Arial Narrow"/>
                <w:sz w:val="20"/>
              </w:rPr>
            </w:pPr>
            <w:r w:rsidRPr="00FE7564">
              <w:rPr>
                <w:rFonts w:ascii="Arial Narrow" w:hAnsi="Arial Narrow"/>
                <w:sz w:val="20"/>
              </w:rPr>
              <w:t>QALYs</w:t>
            </w:r>
          </w:p>
        </w:tc>
        <w:tc>
          <w:tcPr>
            <w:tcW w:w="1547" w:type="pct"/>
          </w:tcPr>
          <w:p w:rsidR="00FD2BA9" w:rsidRPr="00D30355" w:rsidRDefault="00D30355" w:rsidP="00C26563">
            <w:pPr>
              <w:jc w:val="center"/>
              <w:rPr>
                <w:rFonts w:ascii="Arial Narrow" w:hAnsi="Arial Narrow"/>
                <w:sz w:val="20"/>
                <w:highlight w:val="black"/>
              </w:rPr>
            </w:pPr>
            <w:r>
              <w:rPr>
                <w:rFonts w:ascii="Arial Narrow" w:hAnsi="Arial Narrow"/>
                <w:noProof/>
                <w:color w:val="000000"/>
                <w:sz w:val="20"/>
                <w:highlight w:val="black"/>
              </w:rPr>
              <w:t>''''''''''''''</w:t>
            </w:r>
          </w:p>
        </w:tc>
        <w:tc>
          <w:tcPr>
            <w:tcW w:w="1530" w:type="pct"/>
          </w:tcPr>
          <w:p w:rsidR="00FD2BA9" w:rsidRPr="00D30355" w:rsidRDefault="00D30355" w:rsidP="00C26563">
            <w:pPr>
              <w:jc w:val="center"/>
              <w:rPr>
                <w:rFonts w:ascii="Arial Narrow" w:hAnsi="Arial Narrow"/>
                <w:sz w:val="20"/>
                <w:highlight w:val="black"/>
              </w:rPr>
            </w:pPr>
            <w:r>
              <w:rPr>
                <w:rFonts w:ascii="Arial Narrow" w:hAnsi="Arial Narrow"/>
                <w:noProof/>
                <w:color w:val="000000"/>
                <w:sz w:val="20"/>
                <w:highlight w:val="black"/>
              </w:rPr>
              <w:t>''''''''''''</w:t>
            </w:r>
          </w:p>
        </w:tc>
        <w:tc>
          <w:tcPr>
            <w:tcW w:w="1010" w:type="pct"/>
          </w:tcPr>
          <w:p w:rsidR="00FD2BA9" w:rsidRPr="00D30355" w:rsidRDefault="00D30355" w:rsidP="00C26563">
            <w:pPr>
              <w:jc w:val="center"/>
              <w:rPr>
                <w:rFonts w:ascii="Arial Narrow" w:hAnsi="Arial Narrow"/>
                <w:sz w:val="20"/>
                <w:highlight w:val="black"/>
              </w:rPr>
            </w:pPr>
            <w:r>
              <w:rPr>
                <w:rFonts w:ascii="Arial Narrow" w:hAnsi="Arial Narrow"/>
                <w:noProof/>
                <w:color w:val="000000"/>
                <w:sz w:val="20"/>
                <w:highlight w:val="black"/>
              </w:rPr>
              <w:t>''''''''''''''</w:t>
            </w:r>
          </w:p>
        </w:tc>
      </w:tr>
      <w:tr w:rsidR="00FD2BA9" w:rsidRPr="00FE7564" w:rsidTr="00EF6FB2">
        <w:trPr>
          <w:trHeight w:val="143"/>
        </w:trPr>
        <w:tc>
          <w:tcPr>
            <w:tcW w:w="3990" w:type="pct"/>
            <w:gridSpan w:val="3"/>
          </w:tcPr>
          <w:p w:rsidR="00FD2BA9" w:rsidRPr="00FE7564" w:rsidRDefault="00FD2BA9" w:rsidP="00C26563">
            <w:pPr>
              <w:rPr>
                <w:rFonts w:ascii="Arial Narrow" w:hAnsi="Arial Narrow"/>
                <w:b/>
                <w:sz w:val="20"/>
              </w:rPr>
            </w:pPr>
            <w:r w:rsidRPr="00FE7564">
              <w:rPr>
                <w:rFonts w:ascii="Arial Narrow" w:hAnsi="Arial Narrow"/>
                <w:b/>
                <w:sz w:val="20"/>
              </w:rPr>
              <w:t>Incremental cost/extra QALY gained</w:t>
            </w:r>
          </w:p>
        </w:tc>
        <w:tc>
          <w:tcPr>
            <w:tcW w:w="1010" w:type="pct"/>
          </w:tcPr>
          <w:p w:rsidR="00FD2BA9" w:rsidRPr="00FE7564" w:rsidRDefault="00FD2BA9" w:rsidP="00C26563">
            <w:pPr>
              <w:jc w:val="center"/>
              <w:rPr>
                <w:rFonts w:ascii="Arial Narrow" w:hAnsi="Arial Narrow"/>
                <w:b/>
                <w:sz w:val="20"/>
              </w:rPr>
            </w:pPr>
            <w:r w:rsidRPr="00FE7564">
              <w:rPr>
                <w:rFonts w:ascii="Arial Narrow" w:hAnsi="Arial Narrow"/>
                <w:b/>
                <w:sz w:val="20"/>
              </w:rPr>
              <w:t>$</w:t>
            </w:r>
            <w:r w:rsidR="00D30355">
              <w:rPr>
                <w:rFonts w:ascii="Arial Narrow" w:hAnsi="Arial Narrow"/>
                <w:b/>
                <w:noProof/>
                <w:color w:val="000000"/>
                <w:sz w:val="20"/>
                <w:highlight w:val="black"/>
              </w:rPr>
              <w:t>''''''''''''</w:t>
            </w:r>
          </w:p>
        </w:tc>
      </w:tr>
      <w:tr w:rsidR="00FD2BA9" w:rsidRPr="00FE7564" w:rsidTr="00EF6FB2">
        <w:trPr>
          <w:trHeight w:val="143"/>
        </w:trPr>
        <w:tc>
          <w:tcPr>
            <w:tcW w:w="3990" w:type="pct"/>
            <w:gridSpan w:val="3"/>
          </w:tcPr>
          <w:p w:rsidR="00FD2BA9" w:rsidRPr="00FE7564" w:rsidRDefault="00FD2BA9" w:rsidP="00586A1A">
            <w:pPr>
              <w:rPr>
                <w:rFonts w:ascii="Arial Narrow" w:hAnsi="Arial Narrow"/>
                <w:b/>
                <w:sz w:val="20"/>
              </w:rPr>
            </w:pPr>
            <w:proofErr w:type="spellStart"/>
            <w:r w:rsidRPr="00FE7564">
              <w:rPr>
                <w:rFonts w:ascii="Arial Narrow" w:hAnsi="Arial Narrow"/>
                <w:b/>
                <w:sz w:val="20"/>
              </w:rPr>
              <w:t>Trametinib</w:t>
            </w:r>
            <w:proofErr w:type="spellEnd"/>
            <w:r w:rsidRPr="00FE7564">
              <w:rPr>
                <w:rFonts w:ascii="Arial Narrow" w:hAnsi="Arial Narrow"/>
                <w:b/>
                <w:sz w:val="20"/>
              </w:rPr>
              <w:t xml:space="preserve"> </w:t>
            </w:r>
            <w:r w:rsidR="00DB648B" w:rsidRPr="00FE7564">
              <w:rPr>
                <w:rFonts w:ascii="Arial Narrow" w:hAnsi="Arial Narrow"/>
                <w:b/>
                <w:sz w:val="20"/>
              </w:rPr>
              <w:t xml:space="preserve">2 mg </w:t>
            </w:r>
            <w:r w:rsidRPr="00FE7564">
              <w:rPr>
                <w:rFonts w:ascii="Arial Narrow" w:hAnsi="Arial Narrow"/>
                <w:b/>
                <w:sz w:val="20"/>
              </w:rPr>
              <w:t xml:space="preserve">DPMQ needed to maintain incremental cost/QALY of </w:t>
            </w:r>
            <w:r w:rsidR="00824D73">
              <w:rPr>
                <w:rFonts w:ascii="Arial Narrow" w:hAnsi="Arial Narrow"/>
                <w:b/>
                <w:sz w:val="20"/>
              </w:rPr>
              <w:t xml:space="preserve"> $45,000/QALY - $75,000/QALY</w:t>
            </w:r>
          </w:p>
        </w:tc>
        <w:tc>
          <w:tcPr>
            <w:tcW w:w="1010" w:type="pct"/>
          </w:tcPr>
          <w:p w:rsidR="00FD2BA9" w:rsidRPr="00FE7564" w:rsidRDefault="00FD2BA9" w:rsidP="00C26563">
            <w:pPr>
              <w:jc w:val="center"/>
              <w:rPr>
                <w:rFonts w:ascii="Arial Narrow" w:hAnsi="Arial Narrow"/>
                <w:b/>
                <w:sz w:val="20"/>
              </w:rPr>
            </w:pPr>
            <w:r w:rsidRPr="00FE7564">
              <w:rPr>
                <w:rFonts w:ascii="Arial Narrow" w:hAnsi="Arial Narrow"/>
                <w:b/>
                <w:sz w:val="20"/>
              </w:rPr>
              <w:t>$</w:t>
            </w:r>
            <w:r w:rsidR="00D30355">
              <w:rPr>
                <w:rFonts w:ascii="Arial Narrow" w:hAnsi="Arial Narrow"/>
                <w:b/>
                <w:noProof/>
                <w:color w:val="000000"/>
                <w:sz w:val="20"/>
                <w:highlight w:val="black"/>
              </w:rPr>
              <w:t>''''''''</w:t>
            </w:r>
          </w:p>
        </w:tc>
      </w:tr>
    </w:tbl>
    <w:p w:rsidR="00FD2BA9" w:rsidRPr="00FE7564" w:rsidRDefault="00FD2BA9" w:rsidP="00FD2BA9">
      <w:pPr>
        <w:pStyle w:val="TableFooter"/>
        <w:ind w:left="720"/>
      </w:pPr>
      <w:r w:rsidRPr="00FE7564">
        <w:t>Source: Compiled during the evaluation. QALY=quality adjusted life year</w:t>
      </w:r>
      <w:r w:rsidR="004E3141" w:rsidRPr="00FE7564">
        <w:t>.</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The significant discrepancy between the submission’s base case and the results of the analysis requested by the PBAC were primarily due to the inclusion of PPACT costs.</w:t>
      </w:r>
    </w:p>
    <w:p w:rsidR="00FD2BA9" w:rsidRPr="00FE7564" w:rsidRDefault="00FD2BA9" w:rsidP="00FD2BA9">
      <w:pPr>
        <w:widowControl/>
        <w:rPr>
          <w:szCs w:val="22"/>
        </w:rPr>
      </w:pPr>
    </w:p>
    <w:p w:rsidR="00FD2BA9" w:rsidRPr="00FE7564" w:rsidRDefault="00B26608" w:rsidP="00FD2BA9">
      <w:pPr>
        <w:pStyle w:val="ListParagraph"/>
        <w:widowControl/>
        <w:numPr>
          <w:ilvl w:val="1"/>
          <w:numId w:val="8"/>
        </w:numPr>
        <w:rPr>
          <w:szCs w:val="22"/>
        </w:rPr>
      </w:pPr>
      <w:r w:rsidRPr="00FE7564">
        <w:rPr>
          <w:snapToGrid/>
        </w:rPr>
        <w:t xml:space="preserve">If PPACT costs </w:t>
      </w:r>
      <w:r w:rsidR="002001FA" w:rsidRPr="00FE7564">
        <w:rPr>
          <w:snapToGrid/>
        </w:rPr>
        <w:t>were</w:t>
      </w:r>
      <w:r w:rsidRPr="00FE7564">
        <w:rPr>
          <w:snapToGrid/>
        </w:rPr>
        <w:t xml:space="preserve"> retained in the model, as well as the other changes instituted by the submission (AE costs updated, pre-progression utilities updated, monitoring costs updated)</w:t>
      </w:r>
      <w:r w:rsidR="00EF6FB2" w:rsidRPr="00FE7564">
        <w:rPr>
          <w:snapToGrid/>
        </w:rPr>
        <w:t>,</w:t>
      </w:r>
      <w:r w:rsidRPr="00FE7564">
        <w:rPr>
          <w:snapToGrid/>
        </w:rPr>
        <w:t xml:space="preserve"> but usage of </w:t>
      </w:r>
      <w:proofErr w:type="spellStart"/>
      <w:r w:rsidRPr="00FE7564">
        <w:rPr>
          <w:snapToGrid/>
        </w:rPr>
        <w:t>pembrolizumab</w:t>
      </w:r>
      <w:proofErr w:type="spellEnd"/>
      <w:r w:rsidRPr="00FE7564">
        <w:rPr>
          <w:snapToGrid/>
        </w:rPr>
        <w:t xml:space="preserve"> </w:t>
      </w:r>
      <w:r w:rsidR="002001FA" w:rsidRPr="00FE7564">
        <w:rPr>
          <w:snapToGrid/>
        </w:rPr>
        <w:t>were</w:t>
      </w:r>
      <w:r w:rsidRPr="00FE7564">
        <w:rPr>
          <w:snapToGrid/>
        </w:rPr>
        <w:t xml:space="preserve"> increased</w:t>
      </w:r>
      <w:r w:rsidR="000164FF" w:rsidRPr="00FE7564">
        <w:rPr>
          <w:snapToGrid/>
        </w:rPr>
        <w:t xml:space="preserve"> from the submission’s base case of </w:t>
      </w:r>
      <w:r w:rsidR="00D30355">
        <w:rPr>
          <w:noProof/>
          <w:snapToGrid/>
          <w:color w:val="000000"/>
          <w:highlight w:val="black"/>
        </w:rPr>
        <w:t>''''</w:t>
      </w:r>
      <w:r w:rsidR="000164FF" w:rsidRPr="00FE7564">
        <w:rPr>
          <w:snapToGrid/>
        </w:rPr>
        <w:t xml:space="preserve">% in the monotherapy arm and </w:t>
      </w:r>
      <w:r w:rsidR="00D30355">
        <w:rPr>
          <w:noProof/>
          <w:snapToGrid/>
          <w:color w:val="000000"/>
          <w:highlight w:val="black"/>
        </w:rPr>
        <w:t>'''</w:t>
      </w:r>
      <w:r w:rsidR="000164FF" w:rsidRPr="00FE7564">
        <w:rPr>
          <w:snapToGrid/>
        </w:rPr>
        <w:t xml:space="preserve">% in the combination arm to 90% in both arms; and the use of </w:t>
      </w:r>
      <w:proofErr w:type="spellStart"/>
      <w:r w:rsidR="000164FF" w:rsidRPr="00FE7564">
        <w:rPr>
          <w:snapToGrid/>
        </w:rPr>
        <w:t>ipilimumab</w:t>
      </w:r>
      <w:proofErr w:type="spellEnd"/>
      <w:r w:rsidR="000164FF" w:rsidRPr="00FE7564">
        <w:rPr>
          <w:snapToGrid/>
        </w:rPr>
        <w:t xml:space="preserve"> </w:t>
      </w:r>
      <w:r w:rsidR="002001FA" w:rsidRPr="00FE7564">
        <w:rPr>
          <w:snapToGrid/>
        </w:rPr>
        <w:t>were</w:t>
      </w:r>
      <w:r w:rsidR="000164FF" w:rsidRPr="00FE7564">
        <w:rPr>
          <w:snapToGrid/>
        </w:rPr>
        <w:t xml:space="preserve"> d</w:t>
      </w:r>
      <w:r w:rsidR="002001FA" w:rsidRPr="00FE7564">
        <w:rPr>
          <w:snapToGrid/>
        </w:rPr>
        <w:t>e</w:t>
      </w:r>
      <w:r w:rsidR="000164FF" w:rsidRPr="00FE7564">
        <w:rPr>
          <w:snapToGrid/>
        </w:rPr>
        <w:t xml:space="preserve">creased from </w:t>
      </w:r>
      <w:r w:rsidR="00D30355">
        <w:rPr>
          <w:noProof/>
          <w:snapToGrid/>
          <w:color w:val="000000"/>
          <w:highlight w:val="black"/>
        </w:rPr>
        <w:t>''''''</w:t>
      </w:r>
      <w:r w:rsidR="000164FF" w:rsidRPr="00FE7564">
        <w:rPr>
          <w:snapToGrid/>
        </w:rPr>
        <w:t xml:space="preserve">% in the monotherapy arm and </w:t>
      </w:r>
      <w:r w:rsidR="00D30355">
        <w:rPr>
          <w:noProof/>
          <w:snapToGrid/>
          <w:color w:val="000000"/>
          <w:highlight w:val="black"/>
        </w:rPr>
        <w:t>''''''</w:t>
      </w:r>
      <w:r w:rsidR="000164FF" w:rsidRPr="00FE7564">
        <w:rPr>
          <w:snapToGrid/>
        </w:rPr>
        <w:t>% in the combination arm to 10% in both arms (and</w:t>
      </w:r>
      <w:r w:rsidRPr="00FE7564">
        <w:rPr>
          <w:snapToGrid/>
        </w:rPr>
        <w:t xml:space="preserve"> </w:t>
      </w:r>
      <w:r w:rsidR="00D86B81" w:rsidRPr="00FE7564">
        <w:rPr>
          <w:snapToGrid/>
        </w:rPr>
        <w:t>0% use of other therapies</w:t>
      </w:r>
      <w:r w:rsidR="00B855BD" w:rsidRPr="00FE7564">
        <w:rPr>
          <w:snapToGrid/>
        </w:rPr>
        <w:t>)</w:t>
      </w:r>
      <w:r w:rsidR="00D86B81" w:rsidRPr="00FE7564">
        <w:rPr>
          <w:snapToGrid/>
        </w:rPr>
        <w:t xml:space="preserve"> the ICER</w:t>
      </w:r>
      <w:r w:rsidR="00586A1A" w:rsidRPr="00FE7564">
        <w:rPr>
          <w:szCs w:val="22"/>
        </w:rPr>
        <w:t>/QALY</w:t>
      </w:r>
      <w:r w:rsidR="00D86B81" w:rsidRPr="00FE7564">
        <w:rPr>
          <w:snapToGrid/>
        </w:rPr>
        <w:t xml:space="preserve"> </w:t>
      </w:r>
      <w:r w:rsidR="002001FA" w:rsidRPr="00FE7564">
        <w:rPr>
          <w:snapToGrid/>
        </w:rPr>
        <w:t xml:space="preserve">would </w:t>
      </w:r>
      <w:r w:rsidR="00D86B81" w:rsidRPr="00FE7564">
        <w:rPr>
          <w:snapToGrid/>
        </w:rPr>
        <w:t xml:space="preserve">increase to </w:t>
      </w:r>
      <w:r w:rsidR="00824D73">
        <w:rPr>
          <w:snapToGrid/>
        </w:rPr>
        <w:t>$</w:t>
      </w:r>
      <w:r w:rsidR="002341FD">
        <w:rPr>
          <w:snapToGrid/>
        </w:rPr>
        <w:t>4</w:t>
      </w:r>
      <w:r w:rsidR="00824D73">
        <w:rPr>
          <w:snapToGrid/>
        </w:rPr>
        <w:t>5,000/QALY - $</w:t>
      </w:r>
      <w:r w:rsidR="002341FD">
        <w:rPr>
          <w:snapToGrid/>
        </w:rPr>
        <w:t>7</w:t>
      </w:r>
      <w:r w:rsidR="00824D73">
        <w:rPr>
          <w:snapToGrid/>
        </w:rPr>
        <w:t>5,000/QALY</w:t>
      </w:r>
      <w:r w:rsidR="00D86B81" w:rsidRPr="00FE7564">
        <w:rPr>
          <w:snapToGrid/>
        </w:rPr>
        <w:t xml:space="preserve"> (required DPMQ of $</w:t>
      </w:r>
      <w:r w:rsidR="00D30355">
        <w:rPr>
          <w:noProof/>
          <w:snapToGrid/>
          <w:color w:val="000000"/>
          <w:highlight w:val="black"/>
        </w:rPr>
        <w:t>''''''''''</w:t>
      </w:r>
      <w:r w:rsidR="00D86B81" w:rsidRPr="00FE7564">
        <w:rPr>
          <w:snapToGrid/>
        </w:rPr>
        <w:t>).</w:t>
      </w:r>
      <w:r w:rsidR="00EF6FB2" w:rsidRPr="00FE7564">
        <w:rPr>
          <w:szCs w:val="22"/>
        </w:rPr>
        <w:t xml:space="preserve"> </w:t>
      </w:r>
      <w:r w:rsidR="00592FDF" w:rsidRPr="00FE7564">
        <w:rPr>
          <w:szCs w:val="22"/>
        </w:rPr>
        <w:t>These results demonstrate</w:t>
      </w:r>
      <w:r w:rsidR="002001FA" w:rsidRPr="00FE7564">
        <w:rPr>
          <w:szCs w:val="22"/>
        </w:rPr>
        <w:t>d</w:t>
      </w:r>
      <w:r w:rsidR="00592FDF" w:rsidRPr="00FE7564">
        <w:rPr>
          <w:szCs w:val="22"/>
        </w:rPr>
        <w:t xml:space="preserve"> the sensitivity of the model to PPACT costs and also indicate</w:t>
      </w:r>
      <w:r w:rsidR="002001FA" w:rsidRPr="00FE7564">
        <w:rPr>
          <w:szCs w:val="22"/>
        </w:rPr>
        <w:t>d</w:t>
      </w:r>
      <w:r w:rsidR="00592FDF" w:rsidRPr="00FE7564">
        <w:rPr>
          <w:szCs w:val="22"/>
        </w:rPr>
        <w:t xml:space="preserve"> that the reduced DPMQ suggested by the submission ($</w:t>
      </w:r>
      <w:r w:rsidR="00D30355">
        <w:rPr>
          <w:noProof/>
          <w:color w:val="000000"/>
          <w:szCs w:val="22"/>
          <w:highlight w:val="black"/>
        </w:rPr>
        <w:t>'''''''''</w:t>
      </w:r>
      <w:r w:rsidR="00592FDF" w:rsidRPr="00FE7564">
        <w:rPr>
          <w:szCs w:val="22"/>
        </w:rPr>
        <w:t xml:space="preserve">) </w:t>
      </w:r>
      <w:r w:rsidR="002001FA" w:rsidRPr="00FE7564">
        <w:rPr>
          <w:szCs w:val="22"/>
        </w:rPr>
        <w:t>was</w:t>
      </w:r>
      <w:r w:rsidR="00592FDF" w:rsidRPr="00FE7564">
        <w:rPr>
          <w:szCs w:val="22"/>
        </w:rPr>
        <w:t xml:space="preserve"> likely to be an overestimate.</w:t>
      </w:r>
    </w:p>
    <w:p w:rsidR="0021118C" w:rsidRPr="00FE7564" w:rsidRDefault="0021118C" w:rsidP="0021118C">
      <w:pPr>
        <w:widowControl/>
        <w:rPr>
          <w:szCs w:val="22"/>
        </w:rPr>
      </w:pPr>
    </w:p>
    <w:p w:rsidR="00CF54F0" w:rsidRPr="00FE7564" w:rsidRDefault="00087B3C" w:rsidP="00A67FC7">
      <w:pPr>
        <w:pStyle w:val="ListParagraph"/>
        <w:widowControl/>
        <w:numPr>
          <w:ilvl w:val="1"/>
          <w:numId w:val="8"/>
        </w:numPr>
        <w:rPr>
          <w:szCs w:val="22"/>
        </w:rPr>
      </w:pPr>
      <w:r w:rsidRPr="00FE7564">
        <w:rPr>
          <w:szCs w:val="22"/>
        </w:rPr>
        <w:t>The ESC advise</w:t>
      </w:r>
      <w:r w:rsidR="005B00D7" w:rsidRPr="00FE7564">
        <w:rPr>
          <w:szCs w:val="22"/>
        </w:rPr>
        <w:t xml:space="preserve">d </w:t>
      </w:r>
      <w:r w:rsidRPr="00FE7564">
        <w:rPr>
          <w:szCs w:val="22"/>
        </w:rPr>
        <w:t xml:space="preserve">that inclusion of PPACT </w:t>
      </w:r>
      <w:r w:rsidR="005B00D7" w:rsidRPr="00FE7564">
        <w:rPr>
          <w:szCs w:val="22"/>
        </w:rPr>
        <w:t xml:space="preserve">would </w:t>
      </w:r>
      <w:r w:rsidRPr="00FE7564">
        <w:rPr>
          <w:szCs w:val="22"/>
        </w:rPr>
        <w:t>depend on whether the therapies in the model reflect likely current practice in Australia</w:t>
      </w:r>
      <w:r w:rsidR="005B00D7" w:rsidRPr="00FE7564">
        <w:rPr>
          <w:szCs w:val="22"/>
        </w:rPr>
        <w:t xml:space="preserve">. If not, then adjustments would be </w:t>
      </w:r>
      <w:r w:rsidR="005B00D7" w:rsidRPr="00FE7564">
        <w:rPr>
          <w:szCs w:val="22"/>
        </w:rPr>
        <w:lastRenderedPageBreak/>
        <w:t>required for the estimates of both costs and health outcomes to reflect likely clinical practice in Australia.</w:t>
      </w:r>
    </w:p>
    <w:p w:rsidR="0021118C" w:rsidRPr="00FE7564" w:rsidRDefault="0021118C" w:rsidP="0021118C">
      <w:pPr>
        <w:widowControl/>
        <w:rPr>
          <w:szCs w:val="22"/>
        </w:rPr>
      </w:pPr>
    </w:p>
    <w:p w:rsidR="0021118C" w:rsidRPr="00FE7564" w:rsidRDefault="0021118C" w:rsidP="0021118C">
      <w:pPr>
        <w:pStyle w:val="ListParagraph"/>
        <w:widowControl/>
        <w:numPr>
          <w:ilvl w:val="1"/>
          <w:numId w:val="8"/>
        </w:numPr>
        <w:rPr>
          <w:szCs w:val="22"/>
        </w:rPr>
      </w:pPr>
      <w:r w:rsidRPr="00FE7564">
        <w:rPr>
          <w:szCs w:val="22"/>
        </w:rPr>
        <w:t xml:space="preserve">In summary, the ESC advised that several of the drugs included in the PPACT are not PBS-subsidised for the second-line treatment of melanoma, and that the recalculations were also based on the sponsor’s assumptions about the duration of PPACT (reflecting assumed standard protocols rather than actual utilisation in the trials), and on the published prices of PPACT, neither of which necessarily would apply (for example, </w:t>
      </w:r>
      <w:proofErr w:type="spellStart"/>
      <w:r w:rsidRPr="00FE7564">
        <w:rPr>
          <w:szCs w:val="22"/>
        </w:rPr>
        <w:t>ipilimumab</w:t>
      </w:r>
      <w:proofErr w:type="spellEnd"/>
      <w:r w:rsidRPr="00FE7564">
        <w:rPr>
          <w:szCs w:val="22"/>
        </w:rPr>
        <w:t xml:space="preserve"> is PBS-listed with a Special Pricing Arrangement).</w:t>
      </w:r>
    </w:p>
    <w:p w:rsidR="00CF54F0" w:rsidRPr="00FE7564" w:rsidRDefault="00CF54F0" w:rsidP="00CF54F0">
      <w:pPr>
        <w:rPr>
          <w:szCs w:val="22"/>
        </w:rPr>
      </w:pPr>
    </w:p>
    <w:p w:rsidR="00A67FC7" w:rsidRPr="001C79A4" w:rsidRDefault="00FF472D" w:rsidP="0010168C">
      <w:pPr>
        <w:pStyle w:val="ListParagraph"/>
        <w:widowControl/>
        <w:numPr>
          <w:ilvl w:val="1"/>
          <w:numId w:val="8"/>
        </w:numPr>
        <w:rPr>
          <w:szCs w:val="22"/>
        </w:rPr>
      </w:pPr>
      <w:r w:rsidRPr="00FE7564">
        <w:rPr>
          <w:szCs w:val="22"/>
        </w:rPr>
        <w:t>Given these uncertainties, the ESC advised</w:t>
      </w:r>
      <w:r w:rsidR="00087B3C" w:rsidRPr="00FE7564">
        <w:rPr>
          <w:szCs w:val="22"/>
        </w:rPr>
        <w:t xml:space="preserve"> the </w:t>
      </w:r>
      <w:r w:rsidRPr="00FE7564">
        <w:rPr>
          <w:szCs w:val="22"/>
        </w:rPr>
        <w:t xml:space="preserve">PBAC to consider the </w:t>
      </w:r>
      <w:r w:rsidR="00087B3C" w:rsidRPr="00FE7564">
        <w:rPr>
          <w:szCs w:val="22"/>
        </w:rPr>
        <w:t xml:space="preserve">appropriateness </w:t>
      </w:r>
      <w:r w:rsidRPr="00FE7564">
        <w:rPr>
          <w:szCs w:val="22"/>
        </w:rPr>
        <w:t xml:space="preserve">of </w:t>
      </w:r>
      <w:r w:rsidR="00087B3C" w:rsidRPr="00FE7564">
        <w:rPr>
          <w:szCs w:val="22"/>
        </w:rPr>
        <w:t>includ</w:t>
      </w:r>
      <w:r w:rsidRPr="00FE7564">
        <w:rPr>
          <w:szCs w:val="22"/>
        </w:rPr>
        <w:t>ing</w:t>
      </w:r>
      <w:r w:rsidR="00087B3C" w:rsidRPr="00FE7564">
        <w:rPr>
          <w:szCs w:val="22"/>
        </w:rPr>
        <w:t xml:space="preserve"> PPACT </w:t>
      </w:r>
      <w:r w:rsidR="00CF54F0" w:rsidRPr="00FE7564">
        <w:rPr>
          <w:szCs w:val="22"/>
        </w:rPr>
        <w:t xml:space="preserve">costs </w:t>
      </w:r>
      <w:r w:rsidR="00087B3C" w:rsidRPr="00FE7564">
        <w:rPr>
          <w:szCs w:val="22"/>
        </w:rPr>
        <w:t xml:space="preserve">in the model, </w:t>
      </w:r>
      <w:r w:rsidRPr="00FE7564">
        <w:rPr>
          <w:szCs w:val="22"/>
        </w:rPr>
        <w:t xml:space="preserve">noting the PBAC’s previous views on the model when recommending the establishment of the </w:t>
      </w:r>
      <w:r w:rsidR="00CF54F0" w:rsidRPr="00FE7564">
        <w:rPr>
          <w:szCs w:val="22"/>
        </w:rPr>
        <w:t>MES</w:t>
      </w:r>
      <w:r w:rsidR="001C79A4">
        <w:rPr>
          <w:szCs w:val="22"/>
        </w:rPr>
        <w:t xml:space="preserve">, and the </w:t>
      </w:r>
      <w:r w:rsidRPr="001C79A4">
        <w:rPr>
          <w:szCs w:val="22"/>
        </w:rPr>
        <w:t>formal agreement by the sponsor to this approach in the Deed of Agreement</w:t>
      </w:r>
      <w:r w:rsidR="00087B3C" w:rsidRPr="001C79A4">
        <w:rPr>
          <w:szCs w:val="22"/>
        </w:rPr>
        <w:t>.</w:t>
      </w:r>
      <w:r w:rsidR="00CF54F0" w:rsidRPr="001C79A4">
        <w:rPr>
          <w:szCs w:val="22"/>
        </w:rPr>
        <w:t xml:space="preserve"> Given the PBAC recommendations for the </w:t>
      </w:r>
      <w:proofErr w:type="spellStart"/>
      <w:r w:rsidR="00CF54F0" w:rsidRPr="001C79A4">
        <w:rPr>
          <w:szCs w:val="22"/>
        </w:rPr>
        <w:t>trametinib</w:t>
      </w:r>
      <w:proofErr w:type="spellEnd"/>
      <w:r w:rsidR="00CF54F0" w:rsidRPr="001C79A4">
        <w:rPr>
          <w:szCs w:val="22"/>
        </w:rPr>
        <w:t xml:space="preserve"> MES (at its November 2014 meeting) were based on an ICER</w:t>
      </w:r>
      <w:r w:rsidR="00586A1A" w:rsidRPr="001C79A4">
        <w:rPr>
          <w:szCs w:val="22"/>
        </w:rPr>
        <w:t>/QALY</w:t>
      </w:r>
      <w:r w:rsidR="00CF54F0" w:rsidRPr="001C79A4">
        <w:rPr>
          <w:szCs w:val="22"/>
        </w:rPr>
        <w:t xml:space="preserve"> of </w:t>
      </w:r>
      <w:r w:rsidR="001C79A4">
        <w:rPr>
          <w:szCs w:val="22"/>
        </w:rPr>
        <w:t xml:space="preserve"> $45,000/QALY - $75,000/QALY</w:t>
      </w:r>
      <w:r w:rsidR="00586A1A" w:rsidRPr="001C79A4">
        <w:rPr>
          <w:szCs w:val="22"/>
        </w:rPr>
        <w:t xml:space="preserve"> </w:t>
      </w:r>
      <w:r w:rsidR="00CF54F0" w:rsidRPr="001C79A4">
        <w:rPr>
          <w:szCs w:val="22"/>
        </w:rPr>
        <w:t>without the inclusion of PPACT in the model, it may not be appropriate to now subsequently adjust the model to include the PPACT and then back-calculate the post-MES price.</w:t>
      </w:r>
    </w:p>
    <w:p w:rsidR="00BC247A" w:rsidRPr="00FE7564" w:rsidRDefault="00BC247A" w:rsidP="00A67FC7">
      <w:pPr>
        <w:widowControl/>
        <w:rPr>
          <w:i/>
          <w:szCs w:val="22"/>
        </w:rPr>
      </w:pPr>
    </w:p>
    <w:p w:rsidR="00263F00" w:rsidRPr="00FE7564" w:rsidRDefault="00263F00" w:rsidP="00FD2BA9">
      <w:pPr>
        <w:pStyle w:val="ListParagraph"/>
        <w:widowControl/>
        <w:numPr>
          <w:ilvl w:val="1"/>
          <w:numId w:val="8"/>
        </w:numPr>
        <w:rPr>
          <w:szCs w:val="22"/>
        </w:rPr>
      </w:pPr>
      <w:r w:rsidRPr="00FE7564">
        <w:rPr>
          <w:szCs w:val="22"/>
        </w:rPr>
        <w:t>Table 1</w:t>
      </w:r>
      <w:r w:rsidR="00314368" w:rsidRPr="00FE7564">
        <w:rPr>
          <w:szCs w:val="22"/>
        </w:rPr>
        <w:t>2</w:t>
      </w:r>
      <w:r w:rsidRPr="00FE7564">
        <w:rPr>
          <w:szCs w:val="22"/>
        </w:rPr>
        <w:t xml:space="preserve"> below compares the current, proposed, and adjusted effective prices for both strengths of </w:t>
      </w:r>
      <w:proofErr w:type="spellStart"/>
      <w:r w:rsidRPr="00FE7564">
        <w:rPr>
          <w:szCs w:val="22"/>
        </w:rPr>
        <w:t>trametinib</w:t>
      </w:r>
      <w:proofErr w:type="spellEnd"/>
      <w:r w:rsidR="00447F56" w:rsidRPr="00FE7564">
        <w:rPr>
          <w:szCs w:val="22"/>
        </w:rPr>
        <w:t>.</w:t>
      </w:r>
      <w:r w:rsidR="004A729A" w:rsidRPr="00FE7564">
        <w:rPr>
          <w:szCs w:val="22"/>
        </w:rPr>
        <w:t xml:space="preserve"> The </w:t>
      </w:r>
      <w:r w:rsidR="001E1814" w:rsidRPr="00FE7564">
        <w:rPr>
          <w:szCs w:val="22"/>
        </w:rPr>
        <w:t xml:space="preserve">proposed prices include PPACT costs and the </w:t>
      </w:r>
      <w:r w:rsidR="004A729A" w:rsidRPr="00FE7564">
        <w:rPr>
          <w:szCs w:val="22"/>
        </w:rPr>
        <w:t xml:space="preserve">adjusted prices are based on PBAC specifications for the model and exclude additional changes to the model </w:t>
      </w:r>
      <w:r w:rsidR="00693151" w:rsidRPr="00FE7564">
        <w:rPr>
          <w:szCs w:val="22"/>
        </w:rPr>
        <w:t>that were included</w:t>
      </w:r>
      <w:r w:rsidR="004A729A" w:rsidRPr="00FE7564">
        <w:rPr>
          <w:szCs w:val="22"/>
        </w:rPr>
        <w:t xml:space="preserve"> in the submission</w:t>
      </w:r>
      <w:r w:rsidR="00D2589A" w:rsidRPr="00FE7564">
        <w:rPr>
          <w:szCs w:val="22"/>
        </w:rPr>
        <w:t xml:space="preserve"> (i</w:t>
      </w:r>
      <w:r w:rsidR="007F0D2D" w:rsidRPr="00FE7564">
        <w:rPr>
          <w:szCs w:val="22"/>
        </w:rPr>
        <w:t>.</w:t>
      </w:r>
      <w:r w:rsidR="00D2589A" w:rsidRPr="00FE7564">
        <w:rPr>
          <w:szCs w:val="22"/>
        </w:rPr>
        <w:t>e</w:t>
      </w:r>
      <w:r w:rsidR="007F0D2D" w:rsidRPr="00FE7564">
        <w:rPr>
          <w:szCs w:val="22"/>
        </w:rPr>
        <w:t>.</w:t>
      </w:r>
      <w:r w:rsidR="00D2589A" w:rsidRPr="00FE7564">
        <w:rPr>
          <w:szCs w:val="22"/>
        </w:rPr>
        <w:t xml:space="preserve"> PPACT costs</w:t>
      </w:r>
      <w:r w:rsidR="00D06602" w:rsidRPr="00FE7564">
        <w:rPr>
          <w:szCs w:val="22"/>
        </w:rPr>
        <w:t xml:space="preserve">, </w:t>
      </w:r>
      <w:r w:rsidR="00D2589A" w:rsidRPr="00FE7564">
        <w:rPr>
          <w:szCs w:val="22"/>
        </w:rPr>
        <w:t>changes to utilities and to adverse event</w:t>
      </w:r>
      <w:r w:rsidR="00450175" w:rsidRPr="00FE7564">
        <w:rPr>
          <w:szCs w:val="22"/>
        </w:rPr>
        <w:t xml:space="preserve"> and disease monitoring</w:t>
      </w:r>
      <w:r w:rsidR="00D2589A" w:rsidRPr="00FE7564">
        <w:rPr>
          <w:szCs w:val="22"/>
        </w:rPr>
        <w:t xml:space="preserve"> costs)</w:t>
      </w:r>
      <w:r w:rsidR="004A729A" w:rsidRPr="00FE7564">
        <w:rPr>
          <w:szCs w:val="22"/>
        </w:rPr>
        <w:t>.</w:t>
      </w:r>
      <w:r w:rsidR="00B4220A" w:rsidRPr="00FE7564">
        <w:rPr>
          <w:szCs w:val="22"/>
        </w:rPr>
        <w:t xml:space="preserve"> </w:t>
      </w:r>
      <w:r w:rsidR="0010604E" w:rsidRPr="00FE7564">
        <w:rPr>
          <w:szCs w:val="22"/>
        </w:rPr>
        <w:t xml:space="preserve">Both the proposed and adjusted </w:t>
      </w:r>
      <w:r w:rsidR="00DF5BA4" w:rsidRPr="00FE7564">
        <w:rPr>
          <w:szCs w:val="22"/>
        </w:rPr>
        <w:t xml:space="preserve">effective </w:t>
      </w:r>
      <w:r w:rsidR="0010604E" w:rsidRPr="00FE7564">
        <w:rPr>
          <w:szCs w:val="22"/>
        </w:rPr>
        <w:t>prices are the DPMQs required to maintain an ICER</w:t>
      </w:r>
      <w:r w:rsidR="00586A1A" w:rsidRPr="00FE7564">
        <w:rPr>
          <w:szCs w:val="22"/>
        </w:rPr>
        <w:t>/QALY</w:t>
      </w:r>
      <w:r w:rsidR="0010604E" w:rsidRPr="00FE7564">
        <w:rPr>
          <w:szCs w:val="22"/>
        </w:rPr>
        <w:t xml:space="preserve"> </w:t>
      </w:r>
      <w:proofErr w:type="gramStart"/>
      <w:r w:rsidR="0010604E" w:rsidRPr="00FE7564">
        <w:rPr>
          <w:szCs w:val="22"/>
        </w:rPr>
        <w:t xml:space="preserve">of </w:t>
      </w:r>
      <w:r w:rsidR="001C79A4">
        <w:rPr>
          <w:szCs w:val="22"/>
        </w:rPr>
        <w:t xml:space="preserve"> $</w:t>
      </w:r>
      <w:proofErr w:type="gramEnd"/>
      <w:r w:rsidR="001C79A4">
        <w:rPr>
          <w:szCs w:val="22"/>
        </w:rPr>
        <w:t>45,000/QALY - $75,000/QALY</w:t>
      </w:r>
      <w:r w:rsidR="0010604E" w:rsidRPr="00FE7564">
        <w:rPr>
          <w:szCs w:val="22"/>
        </w:rPr>
        <w:t>.</w:t>
      </w:r>
    </w:p>
    <w:p w:rsidR="00E22E40" w:rsidRPr="00FE7564" w:rsidRDefault="00E22E40" w:rsidP="00FD2BA9">
      <w:pPr>
        <w:widowControl/>
        <w:rPr>
          <w:szCs w:val="22"/>
        </w:rPr>
      </w:pPr>
    </w:p>
    <w:p w:rsidR="0019598D" w:rsidRPr="00FE7564" w:rsidRDefault="00314368" w:rsidP="0019598D">
      <w:pPr>
        <w:ind w:left="720"/>
        <w:rPr>
          <w:rStyle w:val="CommentReference"/>
        </w:rPr>
      </w:pPr>
      <w:r w:rsidRPr="00FE7564">
        <w:rPr>
          <w:rStyle w:val="CommentReference"/>
        </w:rPr>
        <w:t>Table 12</w:t>
      </w:r>
      <w:r w:rsidR="0019598D" w:rsidRPr="00FE7564">
        <w:rPr>
          <w:rStyle w:val="CommentReference"/>
        </w:rPr>
        <w:t xml:space="preserve">: Current, proposed (PPACT included) and adjusted (PPACT removed) effective prices for both strengths of </w:t>
      </w:r>
      <w:proofErr w:type="spellStart"/>
      <w:r w:rsidR="0019598D" w:rsidRPr="00FE7564">
        <w:rPr>
          <w:rStyle w:val="CommentReference"/>
        </w:rPr>
        <w:t>trametinib</w:t>
      </w:r>
      <w:proofErr w:type="spellEnd"/>
    </w:p>
    <w:tbl>
      <w:tblPr>
        <w:tblW w:w="4530"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9"/>
        <w:gridCol w:w="1155"/>
        <w:gridCol w:w="1075"/>
        <w:gridCol w:w="1307"/>
        <w:gridCol w:w="1010"/>
        <w:gridCol w:w="1076"/>
        <w:gridCol w:w="1076"/>
      </w:tblGrid>
      <w:tr w:rsidR="0019598D" w:rsidRPr="00FE7564" w:rsidTr="0019598D">
        <w:tc>
          <w:tcPr>
            <w:tcW w:w="929" w:type="pct"/>
          </w:tcPr>
          <w:p w:rsidR="0019598D" w:rsidRPr="00FE7564" w:rsidRDefault="0019598D" w:rsidP="0019598D">
            <w:pPr>
              <w:jc w:val="left"/>
              <w:rPr>
                <w:rFonts w:ascii="Arial Narrow" w:hAnsi="Arial Narrow"/>
                <w:b/>
                <w:sz w:val="20"/>
              </w:rPr>
            </w:pPr>
          </w:p>
        </w:tc>
        <w:tc>
          <w:tcPr>
            <w:tcW w:w="1355" w:type="pct"/>
            <w:gridSpan w:val="2"/>
          </w:tcPr>
          <w:p w:rsidR="0019598D" w:rsidRPr="00FE7564" w:rsidRDefault="0019598D" w:rsidP="0019598D">
            <w:pPr>
              <w:jc w:val="center"/>
              <w:rPr>
                <w:rFonts w:ascii="Arial Narrow" w:hAnsi="Arial Narrow"/>
                <w:b/>
                <w:sz w:val="20"/>
              </w:rPr>
            </w:pPr>
            <w:r w:rsidRPr="00FE7564">
              <w:rPr>
                <w:rFonts w:ascii="Arial Narrow" w:hAnsi="Arial Narrow"/>
                <w:b/>
                <w:sz w:val="20"/>
              </w:rPr>
              <w:t>Current prices</w:t>
            </w:r>
          </w:p>
        </w:tc>
        <w:tc>
          <w:tcPr>
            <w:tcW w:w="1408" w:type="pct"/>
            <w:gridSpan w:val="2"/>
          </w:tcPr>
          <w:p w:rsidR="0019598D" w:rsidRPr="00FE7564" w:rsidRDefault="0019598D" w:rsidP="0019598D">
            <w:pPr>
              <w:jc w:val="center"/>
              <w:rPr>
                <w:rFonts w:ascii="Arial Narrow" w:hAnsi="Arial Narrow"/>
                <w:b/>
                <w:sz w:val="20"/>
              </w:rPr>
            </w:pPr>
            <w:r w:rsidRPr="00FE7564">
              <w:rPr>
                <w:rFonts w:ascii="Arial Narrow" w:hAnsi="Arial Narrow"/>
                <w:b/>
                <w:sz w:val="20"/>
              </w:rPr>
              <w:t>Proposed prices</w:t>
            </w:r>
          </w:p>
        </w:tc>
        <w:tc>
          <w:tcPr>
            <w:tcW w:w="1308" w:type="pct"/>
            <w:gridSpan w:val="2"/>
          </w:tcPr>
          <w:p w:rsidR="0019598D" w:rsidRPr="00FE7564" w:rsidRDefault="0019598D" w:rsidP="0019598D">
            <w:pPr>
              <w:jc w:val="center"/>
              <w:rPr>
                <w:rFonts w:ascii="Arial Narrow" w:hAnsi="Arial Narrow"/>
                <w:b/>
                <w:sz w:val="20"/>
              </w:rPr>
            </w:pPr>
            <w:r w:rsidRPr="00FE7564">
              <w:rPr>
                <w:rFonts w:ascii="Arial Narrow" w:hAnsi="Arial Narrow"/>
                <w:b/>
                <w:sz w:val="20"/>
              </w:rPr>
              <w:t xml:space="preserve">Adjusted </w:t>
            </w:r>
            <w:proofErr w:type="spellStart"/>
            <w:r w:rsidRPr="00FE7564">
              <w:rPr>
                <w:rFonts w:ascii="Arial Narrow" w:hAnsi="Arial Narrow"/>
                <w:b/>
                <w:sz w:val="20"/>
              </w:rPr>
              <w:t>prices</w:t>
            </w:r>
            <w:r w:rsidRPr="00FE7564">
              <w:rPr>
                <w:rFonts w:ascii="Arial Narrow" w:hAnsi="Arial Narrow"/>
                <w:b/>
                <w:sz w:val="20"/>
                <w:vertAlign w:val="superscript"/>
              </w:rPr>
              <w:t>a</w:t>
            </w:r>
            <w:proofErr w:type="spellEnd"/>
          </w:p>
        </w:tc>
      </w:tr>
      <w:tr w:rsidR="0019598D" w:rsidRPr="00FE7564" w:rsidTr="0019598D">
        <w:tc>
          <w:tcPr>
            <w:tcW w:w="929" w:type="pct"/>
          </w:tcPr>
          <w:p w:rsidR="0019598D" w:rsidRPr="00FE7564" w:rsidRDefault="0019598D" w:rsidP="0019598D">
            <w:pPr>
              <w:jc w:val="left"/>
              <w:rPr>
                <w:rFonts w:ascii="Arial Narrow" w:hAnsi="Arial Narrow"/>
                <w:b/>
                <w:sz w:val="20"/>
              </w:rPr>
            </w:pPr>
            <w:r w:rsidRPr="00FE7564">
              <w:rPr>
                <w:rFonts w:ascii="Arial Narrow" w:hAnsi="Arial Narrow"/>
                <w:b/>
                <w:sz w:val="20"/>
              </w:rPr>
              <w:t>Strengths</w:t>
            </w:r>
          </w:p>
        </w:tc>
        <w:tc>
          <w:tcPr>
            <w:tcW w:w="702" w:type="pct"/>
          </w:tcPr>
          <w:p w:rsidR="0019598D" w:rsidRPr="00FE7564" w:rsidRDefault="0019598D" w:rsidP="0019598D">
            <w:pPr>
              <w:jc w:val="center"/>
              <w:rPr>
                <w:rFonts w:ascii="Arial Narrow" w:hAnsi="Arial Narrow"/>
                <w:b/>
                <w:sz w:val="20"/>
              </w:rPr>
            </w:pPr>
            <w:r w:rsidRPr="00FE7564">
              <w:rPr>
                <w:rFonts w:ascii="Arial Narrow" w:hAnsi="Arial Narrow"/>
                <w:b/>
                <w:sz w:val="20"/>
              </w:rPr>
              <w:t>Ex-man</w:t>
            </w:r>
          </w:p>
        </w:tc>
        <w:tc>
          <w:tcPr>
            <w:tcW w:w="653" w:type="pct"/>
          </w:tcPr>
          <w:p w:rsidR="0019598D" w:rsidRPr="00FE7564" w:rsidRDefault="0019598D" w:rsidP="0019598D">
            <w:pPr>
              <w:jc w:val="center"/>
              <w:rPr>
                <w:rFonts w:ascii="Arial Narrow" w:hAnsi="Arial Narrow"/>
                <w:b/>
                <w:sz w:val="20"/>
              </w:rPr>
            </w:pPr>
            <w:r w:rsidRPr="00FE7564">
              <w:rPr>
                <w:rFonts w:ascii="Arial Narrow" w:hAnsi="Arial Narrow"/>
                <w:b/>
                <w:sz w:val="20"/>
              </w:rPr>
              <w:t>DPMQ</w:t>
            </w:r>
          </w:p>
        </w:tc>
        <w:tc>
          <w:tcPr>
            <w:tcW w:w="794" w:type="pct"/>
          </w:tcPr>
          <w:p w:rsidR="0019598D" w:rsidRPr="00FE7564" w:rsidRDefault="0019598D" w:rsidP="0019598D">
            <w:pPr>
              <w:jc w:val="center"/>
              <w:rPr>
                <w:rFonts w:ascii="Arial Narrow" w:hAnsi="Arial Narrow"/>
                <w:b/>
                <w:sz w:val="20"/>
              </w:rPr>
            </w:pPr>
            <w:r w:rsidRPr="00FE7564">
              <w:rPr>
                <w:rFonts w:ascii="Arial Narrow" w:hAnsi="Arial Narrow"/>
                <w:b/>
                <w:sz w:val="20"/>
              </w:rPr>
              <w:t>Ex-</w:t>
            </w:r>
            <w:proofErr w:type="spellStart"/>
            <w:r w:rsidRPr="00FE7564">
              <w:rPr>
                <w:rFonts w:ascii="Arial Narrow" w:hAnsi="Arial Narrow"/>
                <w:b/>
                <w:sz w:val="20"/>
              </w:rPr>
              <w:t>man</w:t>
            </w:r>
            <w:r w:rsidRPr="00FE7564">
              <w:rPr>
                <w:rFonts w:ascii="Arial Narrow" w:hAnsi="Arial Narrow"/>
                <w:sz w:val="20"/>
                <w:vertAlign w:val="superscript"/>
              </w:rPr>
              <w:t>b</w:t>
            </w:r>
            <w:proofErr w:type="spellEnd"/>
          </w:p>
        </w:tc>
        <w:tc>
          <w:tcPr>
            <w:tcW w:w="614" w:type="pct"/>
          </w:tcPr>
          <w:p w:rsidR="0019598D" w:rsidRPr="00FE7564" w:rsidRDefault="0019598D" w:rsidP="0019598D">
            <w:pPr>
              <w:jc w:val="center"/>
              <w:rPr>
                <w:rFonts w:ascii="Arial Narrow" w:hAnsi="Arial Narrow"/>
                <w:b/>
                <w:sz w:val="20"/>
              </w:rPr>
            </w:pPr>
            <w:r w:rsidRPr="00FE7564">
              <w:rPr>
                <w:rFonts w:ascii="Arial Narrow" w:hAnsi="Arial Narrow"/>
                <w:b/>
                <w:sz w:val="20"/>
              </w:rPr>
              <w:t>DPMQ</w:t>
            </w:r>
          </w:p>
        </w:tc>
        <w:tc>
          <w:tcPr>
            <w:tcW w:w="654" w:type="pct"/>
          </w:tcPr>
          <w:p w:rsidR="0019598D" w:rsidRPr="00FE7564" w:rsidRDefault="0019598D" w:rsidP="0019598D">
            <w:pPr>
              <w:jc w:val="center"/>
              <w:rPr>
                <w:rFonts w:ascii="Arial Narrow" w:hAnsi="Arial Narrow"/>
                <w:sz w:val="20"/>
              </w:rPr>
            </w:pPr>
            <w:r w:rsidRPr="00FE7564">
              <w:rPr>
                <w:rFonts w:ascii="Arial Narrow" w:hAnsi="Arial Narrow"/>
                <w:b/>
                <w:sz w:val="20"/>
              </w:rPr>
              <w:t>Ex-</w:t>
            </w:r>
            <w:proofErr w:type="spellStart"/>
            <w:r w:rsidRPr="00FE7564">
              <w:rPr>
                <w:rFonts w:ascii="Arial Narrow" w:hAnsi="Arial Narrow"/>
                <w:b/>
                <w:sz w:val="20"/>
              </w:rPr>
              <w:t>man</w:t>
            </w:r>
            <w:r w:rsidRPr="00FE7564">
              <w:rPr>
                <w:rFonts w:ascii="Arial Narrow" w:hAnsi="Arial Narrow"/>
                <w:sz w:val="20"/>
                <w:vertAlign w:val="superscript"/>
              </w:rPr>
              <w:t>b</w:t>
            </w:r>
            <w:proofErr w:type="spellEnd"/>
          </w:p>
        </w:tc>
        <w:tc>
          <w:tcPr>
            <w:tcW w:w="654" w:type="pct"/>
          </w:tcPr>
          <w:p w:rsidR="0019598D" w:rsidRPr="00FE7564" w:rsidRDefault="0019598D" w:rsidP="0019598D">
            <w:pPr>
              <w:jc w:val="center"/>
              <w:rPr>
                <w:rFonts w:ascii="Arial Narrow" w:hAnsi="Arial Narrow"/>
                <w:b/>
                <w:sz w:val="20"/>
              </w:rPr>
            </w:pPr>
            <w:r w:rsidRPr="00FE7564">
              <w:rPr>
                <w:rFonts w:ascii="Arial Narrow" w:hAnsi="Arial Narrow"/>
                <w:b/>
                <w:sz w:val="20"/>
              </w:rPr>
              <w:t>DPMQ</w:t>
            </w:r>
          </w:p>
        </w:tc>
      </w:tr>
      <w:tr w:rsidR="0019598D" w:rsidRPr="00FE7564" w:rsidTr="0019598D">
        <w:tc>
          <w:tcPr>
            <w:tcW w:w="929" w:type="pct"/>
          </w:tcPr>
          <w:p w:rsidR="0019598D" w:rsidRPr="00FE7564" w:rsidRDefault="0019598D" w:rsidP="0019598D">
            <w:pPr>
              <w:jc w:val="left"/>
              <w:rPr>
                <w:rFonts w:ascii="Arial Narrow" w:hAnsi="Arial Narrow"/>
                <w:sz w:val="20"/>
              </w:rPr>
            </w:pPr>
            <w:r w:rsidRPr="00FE7564">
              <w:rPr>
                <w:rFonts w:ascii="Arial Narrow" w:hAnsi="Arial Narrow"/>
                <w:sz w:val="20"/>
              </w:rPr>
              <w:t>0.5mg (30 tabs)</w:t>
            </w:r>
          </w:p>
        </w:tc>
        <w:tc>
          <w:tcPr>
            <w:tcW w:w="702"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53" w:type="pct"/>
          </w:tcPr>
          <w:p w:rsidR="0019598D" w:rsidRPr="00FE7564" w:rsidRDefault="0019598D" w:rsidP="0019598D">
            <w:pPr>
              <w:jc w:val="center"/>
              <w:rPr>
                <w:rFonts w:ascii="Arial Narrow" w:hAnsi="Arial Narrow"/>
                <w:sz w:val="20"/>
              </w:rPr>
            </w:pPr>
            <w:r w:rsidRPr="00FE7564">
              <w:rPr>
                <w:rFonts w:ascii="Arial Narrow" w:hAnsi="Arial Narrow"/>
                <w:sz w:val="20"/>
              </w:rPr>
              <w:t>Not used</w:t>
            </w:r>
          </w:p>
        </w:tc>
        <w:tc>
          <w:tcPr>
            <w:tcW w:w="1408" w:type="pct"/>
            <w:gridSpan w:val="2"/>
          </w:tcPr>
          <w:p w:rsidR="0019598D" w:rsidRPr="00FE7564" w:rsidRDefault="0019598D" w:rsidP="0019598D">
            <w:pPr>
              <w:jc w:val="center"/>
              <w:rPr>
                <w:rFonts w:ascii="Arial Narrow" w:hAnsi="Arial Narrow"/>
                <w:sz w:val="20"/>
              </w:rPr>
            </w:pPr>
            <w:r w:rsidRPr="00FE7564">
              <w:rPr>
                <w:rFonts w:ascii="Arial Narrow" w:hAnsi="Arial Narrow"/>
                <w:sz w:val="20"/>
              </w:rPr>
              <w:t>Not requested</w:t>
            </w:r>
          </w:p>
        </w:tc>
        <w:tc>
          <w:tcPr>
            <w:tcW w:w="1308" w:type="pct"/>
            <w:gridSpan w:val="2"/>
          </w:tcPr>
          <w:p w:rsidR="0019598D" w:rsidRPr="00FE7564" w:rsidRDefault="0019598D" w:rsidP="0019598D">
            <w:pPr>
              <w:jc w:val="center"/>
              <w:rPr>
                <w:rFonts w:ascii="Arial Narrow" w:hAnsi="Arial Narrow"/>
                <w:sz w:val="20"/>
              </w:rPr>
            </w:pPr>
            <w:r w:rsidRPr="00FE7564">
              <w:rPr>
                <w:rFonts w:ascii="Arial Narrow" w:hAnsi="Arial Narrow"/>
                <w:sz w:val="20"/>
              </w:rPr>
              <w:t>-</w:t>
            </w:r>
          </w:p>
        </w:tc>
      </w:tr>
      <w:tr w:rsidR="0019598D" w:rsidRPr="00FE7564" w:rsidTr="0019598D">
        <w:tc>
          <w:tcPr>
            <w:tcW w:w="929" w:type="pct"/>
          </w:tcPr>
          <w:p w:rsidR="0019598D" w:rsidRPr="00FE7564" w:rsidRDefault="0019598D" w:rsidP="0019598D">
            <w:pPr>
              <w:jc w:val="left"/>
              <w:rPr>
                <w:rFonts w:ascii="Arial Narrow" w:hAnsi="Arial Narrow"/>
                <w:sz w:val="20"/>
              </w:rPr>
            </w:pPr>
            <w:r w:rsidRPr="00FE7564">
              <w:rPr>
                <w:rFonts w:ascii="Arial Narrow" w:hAnsi="Arial Narrow"/>
                <w:sz w:val="20"/>
              </w:rPr>
              <w:t>0.5 mg (90 tabs)</w:t>
            </w:r>
          </w:p>
        </w:tc>
        <w:tc>
          <w:tcPr>
            <w:tcW w:w="702"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53"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79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1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5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5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r w:rsidRPr="00FE7564">
              <w:rPr>
                <w:rFonts w:ascii="Arial Narrow" w:hAnsi="Arial Narrow"/>
                <w:sz w:val="20"/>
                <w:vertAlign w:val="superscript"/>
              </w:rPr>
              <w:t>d</w:t>
            </w:r>
          </w:p>
        </w:tc>
      </w:tr>
      <w:tr w:rsidR="0019598D" w:rsidRPr="00FE7564" w:rsidTr="0019598D">
        <w:tc>
          <w:tcPr>
            <w:tcW w:w="929" w:type="pct"/>
          </w:tcPr>
          <w:p w:rsidR="0019598D" w:rsidRPr="00FE7564" w:rsidRDefault="0019598D" w:rsidP="0019598D">
            <w:pPr>
              <w:jc w:val="left"/>
              <w:rPr>
                <w:rFonts w:ascii="Arial Narrow" w:hAnsi="Arial Narrow"/>
                <w:sz w:val="20"/>
              </w:rPr>
            </w:pPr>
            <w:r w:rsidRPr="00FE7564">
              <w:rPr>
                <w:rFonts w:ascii="Arial Narrow" w:hAnsi="Arial Narrow"/>
                <w:sz w:val="20"/>
              </w:rPr>
              <w:t>2 mg (30 tabs)</w:t>
            </w:r>
          </w:p>
        </w:tc>
        <w:tc>
          <w:tcPr>
            <w:tcW w:w="702"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53"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79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1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5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654" w:type="pct"/>
          </w:tcPr>
          <w:p w:rsidR="0019598D" w:rsidRPr="00FE7564" w:rsidRDefault="0019598D" w:rsidP="0019598D">
            <w:pPr>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r>
    </w:tbl>
    <w:p w:rsidR="0019598D" w:rsidRPr="00FE7564" w:rsidRDefault="0019598D" w:rsidP="0019598D">
      <w:pPr>
        <w:pStyle w:val="TableFooter"/>
        <w:ind w:left="709"/>
      </w:pPr>
      <w:r w:rsidRPr="00FE7564">
        <w:t>Source: C</w:t>
      </w:r>
      <w:r w:rsidR="00B4220A" w:rsidRPr="00FE7564">
        <w:t xml:space="preserve">ompiled during the evaluation. </w:t>
      </w:r>
      <w:r w:rsidRPr="00FE7564">
        <w:t xml:space="preserve">DPMQ=dispensed price for maximum quantity; </w:t>
      </w:r>
      <w:r w:rsidR="006A3AD5" w:rsidRPr="00FE7564">
        <w:t xml:space="preserve">ex-man=ex-manufacturer; </w:t>
      </w:r>
      <w:r w:rsidRPr="00FE7564">
        <w:t>PPACT=post-progression anti-cancer therapy; tabs=tablets.</w:t>
      </w:r>
    </w:p>
    <w:p w:rsidR="0019598D" w:rsidRPr="00FE7564" w:rsidRDefault="0019598D" w:rsidP="0019598D">
      <w:pPr>
        <w:pStyle w:val="TableFooter"/>
        <w:tabs>
          <w:tab w:val="left" w:pos="851"/>
        </w:tabs>
        <w:ind w:left="851" w:hanging="142"/>
      </w:pPr>
      <w:proofErr w:type="spellStart"/>
      <w:r w:rsidRPr="00FE7564">
        <w:rPr>
          <w:vertAlign w:val="superscript"/>
        </w:rPr>
        <w:t>a</w:t>
      </w:r>
      <w:proofErr w:type="spellEnd"/>
      <w:r w:rsidRPr="00FE7564">
        <w:tab/>
        <w:t>The adjusted price is based on PBAC specifications for the model without additional changes made by the submission, which were inclusion of PPACT costs, changes to utility values, changes to modelling of adverse event costs and disease monitoring costs.</w:t>
      </w:r>
    </w:p>
    <w:p w:rsidR="0019598D" w:rsidRPr="00FE7564" w:rsidRDefault="0019598D" w:rsidP="0019598D">
      <w:pPr>
        <w:pStyle w:val="TableFooter"/>
        <w:tabs>
          <w:tab w:val="left" w:pos="851"/>
        </w:tabs>
        <w:ind w:left="851" w:hanging="142"/>
      </w:pPr>
      <w:proofErr w:type="gramStart"/>
      <w:r w:rsidRPr="00FE7564">
        <w:rPr>
          <w:vertAlign w:val="superscript"/>
        </w:rPr>
        <w:t>b</w:t>
      </w:r>
      <w:proofErr w:type="gramEnd"/>
      <w:r w:rsidRPr="00FE7564">
        <w:tab/>
        <w:t>The ex-manufacturer proposed and adjusted prices were back-calculated from the DPMQs and there may be rounding errors.</w:t>
      </w:r>
    </w:p>
    <w:p w:rsidR="0019598D" w:rsidRPr="00FE7564" w:rsidRDefault="0019598D" w:rsidP="0019598D">
      <w:pPr>
        <w:pStyle w:val="TableFooter"/>
        <w:tabs>
          <w:tab w:val="left" w:pos="851"/>
        </w:tabs>
        <w:ind w:left="851" w:hanging="142"/>
      </w:pPr>
      <w:proofErr w:type="gramStart"/>
      <w:r w:rsidRPr="00FE7564">
        <w:rPr>
          <w:vertAlign w:val="superscript"/>
        </w:rPr>
        <w:t>c</w:t>
      </w:r>
      <w:proofErr w:type="gramEnd"/>
      <w:r w:rsidRPr="00FE7564">
        <w:tab/>
        <w:t>The submission did not provide the current DPMQ for the 0.5</w:t>
      </w:r>
      <w:r w:rsidR="00DF5BA4" w:rsidRPr="00FE7564">
        <w:t> </w:t>
      </w:r>
      <w:r w:rsidRPr="00FE7564">
        <w:t>mg tablets; this was calculated during the evaluation based on the ex-manufacturer price.</w:t>
      </w:r>
    </w:p>
    <w:p w:rsidR="0019598D" w:rsidRPr="00FE7564" w:rsidRDefault="0019598D" w:rsidP="0019598D">
      <w:pPr>
        <w:tabs>
          <w:tab w:val="left" w:pos="851"/>
        </w:tabs>
        <w:ind w:left="851" w:hanging="142"/>
        <w:rPr>
          <w:rFonts w:ascii="Arial Narrow" w:eastAsiaTheme="minorEastAsia" w:hAnsi="Arial Narrow"/>
          <w:sz w:val="18"/>
          <w:szCs w:val="18"/>
        </w:rPr>
      </w:pPr>
      <w:proofErr w:type="gramStart"/>
      <w:r w:rsidRPr="00FE7564">
        <w:rPr>
          <w:vertAlign w:val="superscript"/>
        </w:rPr>
        <w:t>d</w:t>
      </w:r>
      <w:proofErr w:type="gramEnd"/>
      <w:r w:rsidRPr="00FE7564">
        <w:tab/>
      </w:r>
      <w:r w:rsidRPr="00FE7564">
        <w:rPr>
          <w:rFonts w:ascii="Arial Narrow" w:eastAsiaTheme="minorEastAsia" w:hAnsi="Arial Narrow"/>
          <w:sz w:val="18"/>
          <w:szCs w:val="18"/>
        </w:rPr>
        <w:t>The adjusted price for 0.5mg was not calculated within the model as the 0.5mg d</w:t>
      </w:r>
      <w:r w:rsidR="00B4220A" w:rsidRPr="00FE7564">
        <w:rPr>
          <w:rFonts w:ascii="Arial Narrow" w:eastAsiaTheme="minorEastAsia" w:hAnsi="Arial Narrow"/>
          <w:sz w:val="18"/>
          <w:szCs w:val="18"/>
        </w:rPr>
        <w:t xml:space="preserve">ose was not used in the model. </w:t>
      </w:r>
      <w:r w:rsidRPr="00FE7564">
        <w:rPr>
          <w:rFonts w:ascii="Arial Narrow" w:eastAsiaTheme="minorEastAsia" w:hAnsi="Arial Narrow"/>
          <w:sz w:val="18"/>
          <w:szCs w:val="18"/>
        </w:rPr>
        <w:t>The price included here was for indicative purposes only and was based on the same percentage difference between the 2mg and 0.5mg price as in the submission's proposed effective price and current DPMQ (</w:t>
      </w:r>
      <w:proofErr w:type="spellStart"/>
      <w:r w:rsidRPr="00FE7564">
        <w:rPr>
          <w:rFonts w:ascii="Arial Narrow" w:eastAsiaTheme="minorEastAsia" w:hAnsi="Arial Narrow"/>
          <w:sz w:val="18"/>
          <w:szCs w:val="18"/>
        </w:rPr>
        <w:t>ie</w:t>
      </w:r>
      <w:proofErr w:type="spellEnd"/>
      <w:r w:rsidRPr="00FE7564">
        <w:rPr>
          <w:rFonts w:ascii="Arial Narrow" w:eastAsiaTheme="minorEastAsia" w:hAnsi="Arial Narrow"/>
          <w:sz w:val="18"/>
          <w:szCs w:val="18"/>
        </w:rPr>
        <w:t xml:space="preserve"> 75%).</w:t>
      </w:r>
    </w:p>
    <w:p w:rsidR="0019598D" w:rsidRPr="00FE7564" w:rsidRDefault="0019598D" w:rsidP="0019598D">
      <w:pPr>
        <w:tabs>
          <w:tab w:val="left" w:pos="851"/>
        </w:tabs>
        <w:ind w:left="851" w:hanging="142"/>
        <w:rPr>
          <w:rFonts w:ascii="Arial Narrow" w:hAnsi="Arial Narrow"/>
          <w:sz w:val="18"/>
          <w:szCs w:val="18"/>
        </w:rPr>
      </w:pPr>
      <w:proofErr w:type="gramStart"/>
      <w:r w:rsidRPr="00FE7564">
        <w:rPr>
          <w:vertAlign w:val="superscript"/>
        </w:rPr>
        <w:t>e</w:t>
      </w:r>
      <w:proofErr w:type="gramEnd"/>
      <w:r w:rsidRPr="00FE7564">
        <w:tab/>
      </w:r>
      <w:r w:rsidRPr="00FE7564">
        <w:rPr>
          <w:rFonts w:ascii="Arial Narrow" w:eastAsiaTheme="minorEastAsia" w:hAnsi="Arial Narrow"/>
          <w:sz w:val="18"/>
          <w:szCs w:val="18"/>
        </w:rPr>
        <w:t>The submission identified this value as $</w:t>
      </w:r>
      <w:r w:rsidR="00D30355">
        <w:rPr>
          <w:rFonts w:ascii="Arial Narrow" w:eastAsiaTheme="minorEastAsia" w:hAnsi="Arial Narrow"/>
          <w:noProof/>
          <w:color w:val="000000"/>
          <w:sz w:val="18"/>
          <w:szCs w:val="18"/>
          <w:highlight w:val="black"/>
        </w:rPr>
        <w:t>'''''''''''''''''''''</w:t>
      </w:r>
      <w:r w:rsidRPr="00FE7564">
        <w:rPr>
          <w:rFonts w:ascii="Arial Narrow" w:eastAsiaTheme="minorEastAsia" w:hAnsi="Arial Narrow"/>
          <w:sz w:val="18"/>
          <w:szCs w:val="18"/>
        </w:rPr>
        <w:t>, which was assumed to be a typographical error.</w:t>
      </w:r>
    </w:p>
    <w:p w:rsidR="0019598D" w:rsidRPr="00FE7564" w:rsidRDefault="0019598D" w:rsidP="00FD2BA9">
      <w:pPr>
        <w:widowControl/>
        <w:rPr>
          <w:szCs w:val="22"/>
        </w:rPr>
      </w:pPr>
    </w:p>
    <w:p w:rsidR="00832DF8" w:rsidRPr="00FE7564" w:rsidRDefault="000D2941" w:rsidP="000D2941">
      <w:pPr>
        <w:pStyle w:val="ListParagraph"/>
        <w:widowControl/>
        <w:numPr>
          <w:ilvl w:val="1"/>
          <w:numId w:val="8"/>
        </w:numPr>
        <w:jc w:val="left"/>
        <w:rPr>
          <w:szCs w:val="22"/>
        </w:rPr>
      </w:pPr>
      <w:r w:rsidRPr="00FE7564">
        <w:rPr>
          <w:szCs w:val="22"/>
        </w:rPr>
        <w:t xml:space="preserve">The ESC noted in the PSCR (p 5) that the sponsor </w:t>
      </w:r>
      <w:r w:rsidR="00CF54F0" w:rsidRPr="00FE7564">
        <w:rPr>
          <w:szCs w:val="22"/>
        </w:rPr>
        <w:t xml:space="preserve">had </w:t>
      </w:r>
      <w:r w:rsidRPr="00FE7564">
        <w:rPr>
          <w:szCs w:val="22"/>
        </w:rPr>
        <w:t xml:space="preserve">acknowledged an error in </w:t>
      </w:r>
      <w:r w:rsidR="00CF54F0" w:rsidRPr="00FE7564">
        <w:rPr>
          <w:szCs w:val="22"/>
        </w:rPr>
        <w:t xml:space="preserve">its estimate of the cost of </w:t>
      </w:r>
      <w:proofErr w:type="spellStart"/>
      <w:r w:rsidRPr="00FE7564">
        <w:rPr>
          <w:szCs w:val="22"/>
        </w:rPr>
        <w:t>dabrafenib</w:t>
      </w:r>
      <w:proofErr w:type="spellEnd"/>
      <w:r w:rsidRPr="00FE7564">
        <w:rPr>
          <w:szCs w:val="22"/>
        </w:rPr>
        <w:t xml:space="preserve"> in the model (i</w:t>
      </w:r>
      <w:r w:rsidR="00832DF8" w:rsidRPr="00FE7564">
        <w:rPr>
          <w:szCs w:val="22"/>
        </w:rPr>
        <w:t>.</w:t>
      </w:r>
      <w:r w:rsidRPr="00FE7564">
        <w:rPr>
          <w:szCs w:val="22"/>
        </w:rPr>
        <w:t>e</w:t>
      </w:r>
      <w:r w:rsidR="00832DF8" w:rsidRPr="00FE7564">
        <w:rPr>
          <w:szCs w:val="22"/>
        </w:rPr>
        <w:t>.</w:t>
      </w:r>
      <w:r w:rsidRPr="00FE7564">
        <w:rPr>
          <w:szCs w:val="22"/>
        </w:rPr>
        <w:t xml:space="preserve"> </w:t>
      </w:r>
      <w:proofErr w:type="spellStart"/>
      <w:r w:rsidR="00832DF8" w:rsidRPr="00FE7564">
        <w:rPr>
          <w:szCs w:val="22"/>
        </w:rPr>
        <w:t>dabrafenib</w:t>
      </w:r>
      <w:proofErr w:type="spellEnd"/>
      <w:r w:rsidR="00832DF8" w:rsidRPr="00FE7564">
        <w:rPr>
          <w:szCs w:val="22"/>
        </w:rPr>
        <w:t xml:space="preserve"> price of</w:t>
      </w:r>
      <w:r w:rsidRPr="00FE7564">
        <w:rPr>
          <w:szCs w:val="22"/>
        </w:rPr>
        <w:t xml:space="preserve"> $</w:t>
      </w:r>
      <w:r w:rsidR="00D30355">
        <w:rPr>
          <w:noProof/>
          <w:color w:val="000000"/>
          <w:szCs w:val="22"/>
          <w:highlight w:val="black"/>
        </w:rPr>
        <w:t>'''''''''''''''''''</w:t>
      </w:r>
      <w:r w:rsidRPr="00FE7564">
        <w:rPr>
          <w:szCs w:val="22"/>
        </w:rPr>
        <w:t xml:space="preserve"> instead of $</w:t>
      </w:r>
      <w:r w:rsidR="00D30355">
        <w:rPr>
          <w:noProof/>
          <w:color w:val="000000"/>
          <w:szCs w:val="22"/>
          <w:highlight w:val="black"/>
        </w:rPr>
        <w:t>'''''''''''''''''''''</w:t>
      </w:r>
      <w:r w:rsidRPr="00FE7564">
        <w:rPr>
          <w:szCs w:val="22"/>
        </w:rPr>
        <w:t>) and correcting this results in a price of $</w:t>
      </w:r>
      <w:r w:rsidR="00D30355">
        <w:rPr>
          <w:noProof/>
          <w:color w:val="000000"/>
          <w:szCs w:val="22"/>
          <w:highlight w:val="black"/>
        </w:rPr>
        <w:t xml:space="preserve">'''''''''''''''' </w:t>
      </w:r>
      <w:r w:rsidRPr="00FE7564">
        <w:rPr>
          <w:szCs w:val="22"/>
        </w:rPr>
        <w:t xml:space="preserve">for </w:t>
      </w:r>
      <w:proofErr w:type="spellStart"/>
      <w:r w:rsidRPr="00FE7564">
        <w:rPr>
          <w:szCs w:val="22"/>
        </w:rPr>
        <w:t>t</w:t>
      </w:r>
      <w:r w:rsidR="00832DF8" w:rsidRPr="00FE7564">
        <w:rPr>
          <w:szCs w:val="22"/>
        </w:rPr>
        <w:t>rametinib</w:t>
      </w:r>
      <w:proofErr w:type="spellEnd"/>
      <w:r w:rsidRPr="00FE7564">
        <w:rPr>
          <w:szCs w:val="22"/>
        </w:rPr>
        <w:t xml:space="preserve"> 2</w:t>
      </w:r>
      <w:r w:rsidR="00CF54F0" w:rsidRPr="00FE7564">
        <w:rPr>
          <w:szCs w:val="22"/>
        </w:rPr>
        <w:t> </w:t>
      </w:r>
      <w:r w:rsidRPr="00FE7564">
        <w:rPr>
          <w:szCs w:val="22"/>
        </w:rPr>
        <w:t>mg tablet.</w:t>
      </w:r>
    </w:p>
    <w:p w:rsidR="00832DF8" w:rsidRPr="00FE7564" w:rsidRDefault="00832DF8" w:rsidP="00832DF8">
      <w:pPr>
        <w:pStyle w:val="PBACheading1"/>
        <w:numPr>
          <w:ilvl w:val="0"/>
          <w:numId w:val="0"/>
        </w:numPr>
        <w:ind w:left="720" w:hanging="720"/>
      </w:pPr>
    </w:p>
    <w:p w:rsidR="00B616CB" w:rsidRPr="00FE7564" w:rsidRDefault="00832DF8" w:rsidP="000D2941">
      <w:pPr>
        <w:pStyle w:val="ListParagraph"/>
        <w:widowControl/>
        <w:numPr>
          <w:ilvl w:val="1"/>
          <w:numId w:val="8"/>
        </w:numPr>
        <w:jc w:val="left"/>
        <w:rPr>
          <w:szCs w:val="22"/>
        </w:rPr>
      </w:pPr>
      <w:r w:rsidRPr="00FE7564">
        <w:rPr>
          <w:szCs w:val="22"/>
        </w:rPr>
        <w:lastRenderedPageBreak/>
        <w:t xml:space="preserve">The PSCR (p 3 and 4) provided alternative estimates where the sponsor’s “analysis takes the observed utilisation of any PPACT regimen within the respective monotherapy and combination therapy groups in COMBI-D and assumes that this is all split 90:10 between </w:t>
      </w:r>
      <w:proofErr w:type="spellStart"/>
      <w:r w:rsidRPr="00FE7564">
        <w:rPr>
          <w:szCs w:val="22"/>
        </w:rPr>
        <w:t>pembrolizumab</w:t>
      </w:r>
      <w:proofErr w:type="spellEnd"/>
      <w:r w:rsidRPr="00FE7564">
        <w:rPr>
          <w:szCs w:val="22"/>
        </w:rPr>
        <w:t xml:space="preserve"> and </w:t>
      </w:r>
      <w:proofErr w:type="spellStart"/>
      <w:r w:rsidRPr="00FE7564">
        <w:rPr>
          <w:szCs w:val="22"/>
        </w:rPr>
        <w:t>ipilimumab</w:t>
      </w:r>
      <w:proofErr w:type="spellEnd"/>
      <w:r w:rsidRPr="00FE7564">
        <w:rPr>
          <w:szCs w:val="22"/>
        </w:rPr>
        <w:t xml:space="preserve"> monotherapy in Australia, without affecting patterns of overall survival.</w:t>
      </w:r>
      <w:r w:rsidR="00885C5F" w:rsidRPr="00FE7564">
        <w:rPr>
          <w:szCs w:val="22"/>
        </w:rPr>
        <w:t xml:space="preserve">” The PSCR </w:t>
      </w:r>
      <w:r w:rsidR="00C55075" w:rsidRPr="00FE7564">
        <w:rPr>
          <w:szCs w:val="22"/>
        </w:rPr>
        <w:t>then argued that</w:t>
      </w:r>
      <w:r w:rsidRPr="00FE7564">
        <w:rPr>
          <w:szCs w:val="22"/>
        </w:rPr>
        <w:t xml:space="preserve"> </w:t>
      </w:r>
      <w:r w:rsidR="00885C5F" w:rsidRPr="00FE7564">
        <w:rPr>
          <w:szCs w:val="22"/>
        </w:rPr>
        <w:t>“</w:t>
      </w:r>
      <w:r w:rsidRPr="00FE7564">
        <w:rPr>
          <w:szCs w:val="22"/>
        </w:rPr>
        <w:t xml:space="preserve">Results of the analysis confirm the conservatism of the approach adopted in the submission, suggesting that the </w:t>
      </w:r>
      <w:proofErr w:type="spellStart"/>
      <w:r w:rsidRPr="00FE7564">
        <w:rPr>
          <w:szCs w:val="22"/>
        </w:rPr>
        <w:t>trametinib</w:t>
      </w:r>
      <w:proofErr w:type="spellEnd"/>
      <w:r w:rsidRPr="00FE7564">
        <w:rPr>
          <w:szCs w:val="22"/>
        </w:rPr>
        <w:t xml:space="preserve"> price associated with the requested ICER</w:t>
      </w:r>
      <w:r w:rsidR="00586A1A" w:rsidRPr="00FE7564">
        <w:rPr>
          <w:szCs w:val="22"/>
        </w:rPr>
        <w:t>/QALY</w:t>
      </w:r>
      <w:r w:rsidRPr="00FE7564">
        <w:rPr>
          <w:szCs w:val="22"/>
        </w:rPr>
        <w:t xml:space="preserve"> in this plausible scenario would be </w:t>
      </w:r>
      <w:r w:rsidR="002341FD">
        <w:rPr>
          <w:szCs w:val="22"/>
        </w:rPr>
        <w:t>$</w:t>
      </w:r>
      <w:r w:rsidR="00D30355">
        <w:rPr>
          <w:noProof/>
          <w:color w:val="000000"/>
          <w:szCs w:val="22"/>
          <w:highlight w:val="black"/>
        </w:rPr>
        <w:t>'''''''''''''''</w:t>
      </w:r>
      <w:r w:rsidRPr="00FE7564">
        <w:rPr>
          <w:szCs w:val="22"/>
        </w:rPr>
        <w:t xml:space="preserve"> (based on the revised model) compared to </w:t>
      </w:r>
      <w:r w:rsidR="002341FD">
        <w:rPr>
          <w:szCs w:val="22"/>
        </w:rPr>
        <w:t>$</w:t>
      </w:r>
      <w:r w:rsidR="00D30355">
        <w:rPr>
          <w:noProof/>
          <w:color w:val="000000"/>
          <w:szCs w:val="22"/>
          <w:highlight w:val="black"/>
        </w:rPr>
        <w:t>''''''''''''''''</w:t>
      </w:r>
      <w:r w:rsidRPr="00FE7564">
        <w:rPr>
          <w:szCs w:val="22"/>
        </w:rPr>
        <w:t xml:space="preserve"> in the base case.” The ESC noted that the</w:t>
      </w:r>
      <w:r w:rsidR="00CF54F0" w:rsidRPr="00FE7564">
        <w:rPr>
          <w:szCs w:val="22"/>
        </w:rPr>
        <w:t>se</w:t>
      </w:r>
      <w:r w:rsidRPr="00FE7564">
        <w:rPr>
          <w:szCs w:val="22"/>
        </w:rPr>
        <w:t xml:space="preserve"> recalculations were also based on the sponsor’s assumptions about the duration of PPACT and the published prices of PPACT, neither of which </w:t>
      </w:r>
      <w:r w:rsidR="00CF54F0" w:rsidRPr="00FE7564">
        <w:rPr>
          <w:szCs w:val="22"/>
        </w:rPr>
        <w:t xml:space="preserve">would </w:t>
      </w:r>
      <w:r w:rsidRPr="00FE7564">
        <w:rPr>
          <w:szCs w:val="22"/>
        </w:rPr>
        <w:t xml:space="preserve">necessarily apply (for example, </w:t>
      </w:r>
      <w:proofErr w:type="spellStart"/>
      <w:r w:rsidRPr="00FE7564">
        <w:rPr>
          <w:szCs w:val="22"/>
        </w:rPr>
        <w:t>ipilimumab</w:t>
      </w:r>
      <w:proofErr w:type="spellEnd"/>
      <w:r w:rsidRPr="00FE7564">
        <w:rPr>
          <w:szCs w:val="22"/>
        </w:rPr>
        <w:t xml:space="preserve"> is PBS-listed with a Special Pricing Arrangement).</w:t>
      </w:r>
    </w:p>
    <w:p w:rsidR="00B616CB" w:rsidRPr="00FE7564" w:rsidRDefault="00B616CB" w:rsidP="00B616CB">
      <w:pPr>
        <w:rPr>
          <w:szCs w:val="22"/>
        </w:rPr>
      </w:pPr>
    </w:p>
    <w:p w:rsidR="000D2941" w:rsidRPr="00FE7564" w:rsidRDefault="00832DF8" w:rsidP="000D2941">
      <w:pPr>
        <w:pStyle w:val="ListParagraph"/>
        <w:widowControl/>
        <w:numPr>
          <w:ilvl w:val="1"/>
          <w:numId w:val="8"/>
        </w:numPr>
        <w:jc w:val="left"/>
        <w:rPr>
          <w:szCs w:val="22"/>
        </w:rPr>
      </w:pPr>
      <w:r w:rsidRPr="00FE7564">
        <w:rPr>
          <w:szCs w:val="22"/>
        </w:rPr>
        <w:t xml:space="preserve">The </w:t>
      </w:r>
      <w:r w:rsidR="00B616CB" w:rsidRPr="00FE7564">
        <w:rPr>
          <w:szCs w:val="22"/>
        </w:rPr>
        <w:t xml:space="preserve">ESC therefore requested a </w:t>
      </w:r>
      <w:r w:rsidR="00B97C22" w:rsidRPr="00FE7564">
        <w:rPr>
          <w:szCs w:val="22"/>
        </w:rPr>
        <w:t xml:space="preserve">recalculation of the </w:t>
      </w:r>
      <w:proofErr w:type="spellStart"/>
      <w:r w:rsidR="00B97C22" w:rsidRPr="00FE7564">
        <w:rPr>
          <w:szCs w:val="22"/>
        </w:rPr>
        <w:t>trametinib</w:t>
      </w:r>
      <w:proofErr w:type="spellEnd"/>
      <w:r w:rsidR="00B97C22" w:rsidRPr="00FE7564">
        <w:rPr>
          <w:szCs w:val="22"/>
        </w:rPr>
        <w:t xml:space="preserve"> prices based on the approach in the PSCR</w:t>
      </w:r>
      <w:r w:rsidR="00B616CB" w:rsidRPr="00FE7564">
        <w:rPr>
          <w:szCs w:val="22"/>
        </w:rPr>
        <w:t xml:space="preserve">, but using effective rather than published prices for </w:t>
      </w:r>
      <w:proofErr w:type="spellStart"/>
      <w:r w:rsidR="00B97C22" w:rsidRPr="00FE7564">
        <w:rPr>
          <w:szCs w:val="22"/>
        </w:rPr>
        <w:t>ipilimumab</w:t>
      </w:r>
      <w:proofErr w:type="spellEnd"/>
      <w:r w:rsidR="00B616CB" w:rsidRPr="00FE7564">
        <w:rPr>
          <w:szCs w:val="22"/>
        </w:rPr>
        <w:t xml:space="preserve">. </w:t>
      </w:r>
      <w:r w:rsidR="000D2941" w:rsidRPr="00FE7564">
        <w:rPr>
          <w:szCs w:val="22"/>
        </w:rPr>
        <w:t>Th</w:t>
      </w:r>
      <w:r w:rsidRPr="00FE7564">
        <w:rPr>
          <w:szCs w:val="22"/>
        </w:rPr>
        <w:t>e</w:t>
      </w:r>
      <w:r w:rsidR="000D2941" w:rsidRPr="00FE7564">
        <w:rPr>
          <w:szCs w:val="22"/>
        </w:rPr>
        <w:t xml:space="preserve"> corrected </w:t>
      </w:r>
      <w:proofErr w:type="spellStart"/>
      <w:r w:rsidR="000D2941" w:rsidRPr="00FE7564">
        <w:rPr>
          <w:szCs w:val="22"/>
        </w:rPr>
        <w:t>dabrafenib</w:t>
      </w:r>
      <w:proofErr w:type="spellEnd"/>
      <w:r w:rsidR="000D2941" w:rsidRPr="00FE7564">
        <w:rPr>
          <w:szCs w:val="22"/>
        </w:rPr>
        <w:t xml:space="preserve"> price </w:t>
      </w:r>
      <w:r w:rsidRPr="00FE7564">
        <w:rPr>
          <w:szCs w:val="22"/>
        </w:rPr>
        <w:t>($</w:t>
      </w:r>
      <w:r w:rsidR="00D30355">
        <w:rPr>
          <w:noProof/>
          <w:color w:val="000000"/>
          <w:szCs w:val="22"/>
          <w:highlight w:val="black"/>
        </w:rPr>
        <w:t>'''''''''''''''''''''''</w:t>
      </w:r>
      <w:r w:rsidRPr="00FE7564">
        <w:rPr>
          <w:szCs w:val="22"/>
        </w:rPr>
        <w:t xml:space="preserve">) </w:t>
      </w:r>
      <w:r w:rsidR="000D2941" w:rsidRPr="00FE7564">
        <w:rPr>
          <w:szCs w:val="22"/>
        </w:rPr>
        <w:t xml:space="preserve">was </w:t>
      </w:r>
      <w:r w:rsidR="00B97C22" w:rsidRPr="00FE7564">
        <w:rPr>
          <w:szCs w:val="22"/>
        </w:rPr>
        <w:t xml:space="preserve">therefore </w:t>
      </w:r>
      <w:r w:rsidR="000D2941" w:rsidRPr="00FE7564">
        <w:rPr>
          <w:szCs w:val="22"/>
        </w:rPr>
        <w:t>used to generate the prices</w:t>
      </w:r>
      <w:r w:rsidRPr="00FE7564">
        <w:rPr>
          <w:szCs w:val="22"/>
        </w:rPr>
        <w:t xml:space="preserve"> of </w:t>
      </w:r>
      <w:proofErr w:type="spellStart"/>
      <w:r w:rsidRPr="00FE7564">
        <w:rPr>
          <w:szCs w:val="22"/>
        </w:rPr>
        <w:t>trametinib</w:t>
      </w:r>
      <w:proofErr w:type="spellEnd"/>
      <w:r w:rsidR="000D2941" w:rsidRPr="00FE7564">
        <w:rPr>
          <w:szCs w:val="22"/>
        </w:rPr>
        <w:t xml:space="preserve"> in Table 1</w:t>
      </w:r>
      <w:r w:rsidR="007F0ACC" w:rsidRPr="00FE7564">
        <w:rPr>
          <w:szCs w:val="22"/>
        </w:rPr>
        <w:t>3</w:t>
      </w:r>
      <w:r w:rsidR="000D2941" w:rsidRPr="00FE7564">
        <w:rPr>
          <w:szCs w:val="22"/>
        </w:rPr>
        <w:t xml:space="preserve"> below.</w:t>
      </w:r>
    </w:p>
    <w:p w:rsidR="000D2941" w:rsidRPr="00FE7564" w:rsidRDefault="000D2941" w:rsidP="000D2941">
      <w:pPr>
        <w:widowControl/>
        <w:rPr>
          <w:szCs w:val="22"/>
        </w:rPr>
      </w:pPr>
    </w:p>
    <w:p w:rsidR="00B97C22" w:rsidRPr="00FE7564" w:rsidRDefault="00B97C22" w:rsidP="007F0ACC">
      <w:pPr>
        <w:keepNext/>
        <w:keepLines/>
        <w:widowControl/>
        <w:jc w:val="center"/>
        <w:rPr>
          <w:b/>
          <w:i/>
          <w:u w:val="single"/>
        </w:rPr>
      </w:pPr>
      <w:r w:rsidRPr="00FE7564">
        <w:rPr>
          <w:b/>
          <w:i/>
          <w:u w:val="single"/>
        </w:rPr>
        <w:t>Committee-In-Confidence information</w:t>
      </w:r>
    </w:p>
    <w:p w:rsidR="00B97C22" w:rsidRPr="00FE7564" w:rsidRDefault="00B97C22" w:rsidP="007F0ACC">
      <w:pPr>
        <w:keepNext/>
        <w:keepLines/>
        <w:widowControl/>
        <w:rPr>
          <w:szCs w:val="22"/>
        </w:rPr>
      </w:pPr>
    </w:p>
    <w:p w:rsidR="00A565D2" w:rsidRPr="00FE7564" w:rsidRDefault="00A565D2" w:rsidP="007F0ACC">
      <w:pPr>
        <w:keepNext/>
        <w:keepLines/>
        <w:widowControl/>
        <w:ind w:left="709" w:firstLine="11"/>
        <w:rPr>
          <w:rStyle w:val="CommentReference"/>
        </w:rPr>
      </w:pPr>
      <w:r w:rsidRPr="00FE7564">
        <w:rPr>
          <w:rStyle w:val="CommentReference"/>
        </w:rPr>
        <w:t>Table 1</w:t>
      </w:r>
      <w:r w:rsidR="00314368" w:rsidRPr="00FE7564">
        <w:rPr>
          <w:rStyle w:val="CommentReference"/>
        </w:rPr>
        <w:t>3</w:t>
      </w:r>
      <w:r w:rsidR="00026A2F" w:rsidRPr="00FE7564">
        <w:rPr>
          <w:rStyle w:val="CommentReference"/>
        </w:rPr>
        <w:t xml:space="preserve">: </w:t>
      </w:r>
      <w:r w:rsidR="00026A2F" w:rsidRPr="00FE7564">
        <w:rPr>
          <w:rFonts w:ascii="Arial Narrow" w:hAnsi="Arial Narrow"/>
          <w:b/>
          <w:sz w:val="20"/>
        </w:rPr>
        <w:t xml:space="preserve">Prices calculated using submission’s approach, but using effective rather than published prices for both strengths of </w:t>
      </w:r>
      <w:proofErr w:type="spellStart"/>
      <w:r w:rsidR="00026A2F" w:rsidRPr="00FE7564">
        <w:rPr>
          <w:rFonts w:ascii="Arial Narrow" w:hAnsi="Arial Narrow"/>
          <w:b/>
          <w:sz w:val="20"/>
        </w:rPr>
        <w:t>trametinib</w:t>
      </w:r>
      <w:proofErr w:type="spellEnd"/>
    </w:p>
    <w:tbl>
      <w:tblPr>
        <w:tblW w:w="4520"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8"/>
        <w:gridCol w:w="3281"/>
        <w:gridCol w:w="3401"/>
      </w:tblGrid>
      <w:tr w:rsidR="00A565D2" w:rsidRPr="00FE7564" w:rsidTr="00A565D2">
        <w:tc>
          <w:tcPr>
            <w:tcW w:w="931" w:type="pct"/>
          </w:tcPr>
          <w:p w:rsidR="00A565D2" w:rsidRPr="00FE7564" w:rsidRDefault="00A565D2" w:rsidP="007F0ACC">
            <w:pPr>
              <w:keepNext/>
              <w:keepLines/>
              <w:jc w:val="left"/>
              <w:rPr>
                <w:rFonts w:ascii="Arial Narrow" w:hAnsi="Arial Narrow"/>
                <w:b/>
                <w:sz w:val="20"/>
              </w:rPr>
            </w:pPr>
          </w:p>
        </w:tc>
        <w:tc>
          <w:tcPr>
            <w:tcW w:w="4069" w:type="pct"/>
            <w:gridSpan w:val="2"/>
          </w:tcPr>
          <w:p w:rsidR="00A565D2" w:rsidRPr="00FE7564" w:rsidRDefault="00A565D2" w:rsidP="007F0ACC">
            <w:pPr>
              <w:keepNext/>
              <w:keepLines/>
              <w:jc w:val="center"/>
              <w:rPr>
                <w:rFonts w:ascii="Arial Narrow" w:hAnsi="Arial Narrow"/>
                <w:b/>
                <w:sz w:val="20"/>
              </w:rPr>
            </w:pPr>
            <w:r w:rsidRPr="00FE7564">
              <w:rPr>
                <w:rFonts w:ascii="Arial Narrow" w:hAnsi="Arial Narrow"/>
                <w:b/>
                <w:sz w:val="20"/>
              </w:rPr>
              <w:t>Prices calculated using submission’s approach, but using effective rather than published prices</w:t>
            </w:r>
          </w:p>
        </w:tc>
      </w:tr>
      <w:tr w:rsidR="00A565D2" w:rsidRPr="00FE7564" w:rsidTr="00A565D2">
        <w:tc>
          <w:tcPr>
            <w:tcW w:w="931" w:type="pct"/>
          </w:tcPr>
          <w:p w:rsidR="00A565D2" w:rsidRPr="00FE7564" w:rsidRDefault="00A565D2" w:rsidP="007F0ACC">
            <w:pPr>
              <w:keepNext/>
              <w:keepLines/>
              <w:jc w:val="left"/>
              <w:rPr>
                <w:rFonts w:ascii="Arial Narrow" w:hAnsi="Arial Narrow"/>
                <w:b/>
                <w:sz w:val="20"/>
              </w:rPr>
            </w:pPr>
            <w:r w:rsidRPr="00FE7564">
              <w:rPr>
                <w:rFonts w:ascii="Arial Narrow" w:hAnsi="Arial Narrow"/>
                <w:b/>
                <w:sz w:val="20"/>
              </w:rPr>
              <w:t>Strengths</w:t>
            </w:r>
          </w:p>
        </w:tc>
        <w:tc>
          <w:tcPr>
            <w:tcW w:w="1998" w:type="pct"/>
          </w:tcPr>
          <w:p w:rsidR="00A565D2" w:rsidRPr="00FE7564" w:rsidRDefault="00A565D2" w:rsidP="007F0ACC">
            <w:pPr>
              <w:keepNext/>
              <w:keepLines/>
              <w:jc w:val="center"/>
              <w:rPr>
                <w:rFonts w:ascii="Arial Narrow" w:hAnsi="Arial Narrow"/>
                <w:b/>
                <w:sz w:val="20"/>
              </w:rPr>
            </w:pPr>
            <w:r w:rsidRPr="00FE7564">
              <w:rPr>
                <w:rFonts w:ascii="Arial Narrow" w:hAnsi="Arial Narrow"/>
                <w:b/>
                <w:sz w:val="20"/>
              </w:rPr>
              <w:t>Ex-man</w:t>
            </w:r>
          </w:p>
        </w:tc>
        <w:tc>
          <w:tcPr>
            <w:tcW w:w="2071" w:type="pct"/>
          </w:tcPr>
          <w:p w:rsidR="00A565D2" w:rsidRPr="00FE7564" w:rsidRDefault="00A565D2" w:rsidP="007F0ACC">
            <w:pPr>
              <w:keepNext/>
              <w:keepLines/>
              <w:jc w:val="center"/>
              <w:rPr>
                <w:rFonts w:ascii="Arial Narrow" w:hAnsi="Arial Narrow"/>
                <w:b/>
                <w:sz w:val="20"/>
              </w:rPr>
            </w:pPr>
            <w:r w:rsidRPr="00FE7564">
              <w:rPr>
                <w:rFonts w:ascii="Arial Narrow" w:hAnsi="Arial Narrow"/>
                <w:b/>
                <w:sz w:val="20"/>
              </w:rPr>
              <w:t>DPMQ</w:t>
            </w:r>
          </w:p>
        </w:tc>
      </w:tr>
      <w:tr w:rsidR="00A565D2" w:rsidRPr="00FE7564" w:rsidTr="00A565D2">
        <w:tc>
          <w:tcPr>
            <w:tcW w:w="931" w:type="pct"/>
          </w:tcPr>
          <w:p w:rsidR="00A565D2" w:rsidRPr="00FE7564" w:rsidRDefault="00A565D2" w:rsidP="007F0ACC">
            <w:pPr>
              <w:keepNext/>
              <w:keepLines/>
              <w:jc w:val="left"/>
              <w:rPr>
                <w:rFonts w:ascii="Arial Narrow" w:hAnsi="Arial Narrow"/>
                <w:sz w:val="20"/>
              </w:rPr>
            </w:pPr>
            <w:r w:rsidRPr="00FE7564">
              <w:rPr>
                <w:rFonts w:ascii="Arial Narrow" w:hAnsi="Arial Narrow"/>
                <w:sz w:val="20"/>
              </w:rPr>
              <w:t>0.5 mg (90 tabs)</w:t>
            </w:r>
            <w:r w:rsidR="000D2941" w:rsidRPr="00FE7564">
              <w:rPr>
                <w:rFonts w:ascii="Arial Narrow" w:hAnsi="Arial Narrow"/>
                <w:sz w:val="20"/>
              </w:rPr>
              <w:t>*</w:t>
            </w:r>
          </w:p>
        </w:tc>
        <w:tc>
          <w:tcPr>
            <w:tcW w:w="1998" w:type="pct"/>
          </w:tcPr>
          <w:p w:rsidR="00A565D2" w:rsidRPr="00401986" w:rsidRDefault="000D2941" w:rsidP="007F0ACC">
            <w:pPr>
              <w:keepNext/>
              <w:keepLines/>
              <w:jc w:val="center"/>
              <w:rPr>
                <w:rFonts w:ascii="Arial Narrow" w:hAnsi="Arial Narrow"/>
                <w:sz w:val="20"/>
              </w:rPr>
            </w:pPr>
            <w:r w:rsidRPr="00401986">
              <w:rPr>
                <w:rFonts w:ascii="Arial Narrow" w:hAnsi="Arial Narrow"/>
                <w:sz w:val="20"/>
              </w:rPr>
              <w:t>$</w:t>
            </w:r>
            <w:r w:rsidR="008232B7">
              <w:rPr>
                <w:rFonts w:ascii="Arial Narrow" w:hAnsi="Arial Narrow"/>
                <w:noProof/>
                <w:color w:val="000000"/>
                <w:sz w:val="20"/>
                <w:highlight w:val="black"/>
              </w:rPr>
              <w:t>''''''''''''''''</w:t>
            </w:r>
          </w:p>
        </w:tc>
        <w:tc>
          <w:tcPr>
            <w:tcW w:w="2071" w:type="pct"/>
          </w:tcPr>
          <w:p w:rsidR="00A565D2" w:rsidRPr="00401986" w:rsidRDefault="000D2941" w:rsidP="007F0ACC">
            <w:pPr>
              <w:keepNext/>
              <w:keepLines/>
              <w:jc w:val="center"/>
              <w:rPr>
                <w:rFonts w:ascii="Arial Narrow" w:hAnsi="Arial Narrow"/>
                <w:sz w:val="20"/>
              </w:rPr>
            </w:pPr>
            <w:r w:rsidRPr="00401986">
              <w:rPr>
                <w:rFonts w:ascii="Arial Narrow" w:hAnsi="Arial Narrow"/>
                <w:sz w:val="20"/>
              </w:rPr>
              <w:t>$</w:t>
            </w:r>
            <w:r w:rsidR="008232B7">
              <w:rPr>
                <w:rFonts w:ascii="Arial Narrow" w:hAnsi="Arial Narrow"/>
                <w:noProof/>
                <w:color w:val="000000"/>
                <w:sz w:val="20"/>
                <w:highlight w:val="black"/>
              </w:rPr>
              <w:t>''''''''''''''''</w:t>
            </w:r>
          </w:p>
        </w:tc>
      </w:tr>
      <w:tr w:rsidR="00A565D2" w:rsidRPr="00FE7564" w:rsidTr="00A565D2">
        <w:tc>
          <w:tcPr>
            <w:tcW w:w="931" w:type="pct"/>
          </w:tcPr>
          <w:p w:rsidR="00A565D2" w:rsidRPr="00FE7564" w:rsidRDefault="00A565D2" w:rsidP="007F0ACC">
            <w:pPr>
              <w:keepNext/>
              <w:keepLines/>
              <w:jc w:val="left"/>
              <w:rPr>
                <w:rFonts w:ascii="Arial Narrow" w:hAnsi="Arial Narrow"/>
                <w:sz w:val="20"/>
              </w:rPr>
            </w:pPr>
            <w:r w:rsidRPr="00FE7564">
              <w:rPr>
                <w:rFonts w:ascii="Arial Narrow" w:hAnsi="Arial Narrow"/>
                <w:sz w:val="20"/>
              </w:rPr>
              <w:t>2 mg (30 tabs)</w:t>
            </w:r>
          </w:p>
        </w:tc>
        <w:tc>
          <w:tcPr>
            <w:tcW w:w="1998" w:type="pct"/>
          </w:tcPr>
          <w:p w:rsidR="00A565D2" w:rsidRPr="00401986" w:rsidRDefault="000D2941" w:rsidP="007F0ACC">
            <w:pPr>
              <w:keepNext/>
              <w:keepLines/>
              <w:jc w:val="center"/>
              <w:rPr>
                <w:rFonts w:ascii="Arial Narrow" w:hAnsi="Arial Narrow"/>
                <w:sz w:val="20"/>
              </w:rPr>
            </w:pPr>
            <w:r w:rsidRPr="00401986">
              <w:rPr>
                <w:rFonts w:ascii="Arial Narrow" w:hAnsi="Arial Narrow"/>
                <w:sz w:val="20"/>
              </w:rPr>
              <w:t>$</w:t>
            </w:r>
            <w:r w:rsidR="008232B7">
              <w:rPr>
                <w:rFonts w:ascii="Arial Narrow" w:hAnsi="Arial Narrow"/>
                <w:noProof/>
                <w:color w:val="000000"/>
                <w:sz w:val="20"/>
                <w:highlight w:val="black"/>
              </w:rPr>
              <w:t>'''''''''''''''</w:t>
            </w:r>
          </w:p>
        </w:tc>
        <w:tc>
          <w:tcPr>
            <w:tcW w:w="2071" w:type="pct"/>
          </w:tcPr>
          <w:p w:rsidR="00A565D2" w:rsidRPr="00401986" w:rsidRDefault="000D2941" w:rsidP="007F0ACC">
            <w:pPr>
              <w:keepNext/>
              <w:keepLines/>
              <w:jc w:val="center"/>
              <w:rPr>
                <w:rFonts w:ascii="Arial Narrow" w:hAnsi="Arial Narrow"/>
                <w:sz w:val="20"/>
              </w:rPr>
            </w:pPr>
            <w:r w:rsidRPr="00401986">
              <w:rPr>
                <w:rFonts w:ascii="Arial Narrow" w:hAnsi="Arial Narrow"/>
                <w:sz w:val="20"/>
              </w:rPr>
              <w:t>$</w:t>
            </w:r>
            <w:r w:rsidR="008232B7">
              <w:rPr>
                <w:rFonts w:ascii="Arial Narrow" w:hAnsi="Arial Narrow"/>
                <w:noProof/>
                <w:color w:val="000000"/>
                <w:sz w:val="20"/>
                <w:highlight w:val="black"/>
              </w:rPr>
              <w:t>'''''''''''''''</w:t>
            </w:r>
          </w:p>
        </w:tc>
      </w:tr>
    </w:tbl>
    <w:p w:rsidR="00A565D2" w:rsidRPr="00FE7564" w:rsidRDefault="000D2941" w:rsidP="007F0ACC">
      <w:pPr>
        <w:keepNext/>
        <w:keepLines/>
        <w:widowControl/>
        <w:ind w:left="709" w:firstLine="11"/>
        <w:rPr>
          <w:szCs w:val="22"/>
        </w:rPr>
      </w:pPr>
      <w:r w:rsidRPr="00FE7564">
        <w:rPr>
          <w:szCs w:val="22"/>
        </w:rPr>
        <w:t>*</w:t>
      </w:r>
      <w:r w:rsidRPr="00FE7564">
        <w:rPr>
          <w:sz w:val="20"/>
          <w:szCs w:val="20"/>
        </w:rPr>
        <w:t xml:space="preserve"> </w:t>
      </w:r>
      <w:r w:rsidRPr="00FE7564">
        <w:rPr>
          <w:sz w:val="16"/>
          <w:szCs w:val="16"/>
        </w:rPr>
        <w:t xml:space="preserve">The submission did not include the price for </w:t>
      </w:r>
      <w:proofErr w:type="spellStart"/>
      <w:r w:rsidRPr="00FE7564">
        <w:rPr>
          <w:sz w:val="16"/>
          <w:szCs w:val="16"/>
        </w:rPr>
        <w:t>trametinib</w:t>
      </w:r>
      <w:proofErr w:type="spellEnd"/>
      <w:r w:rsidRPr="00FE7564">
        <w:rPr>
          <w:sz w:val="16"/>
          <w:szCs w:val="16"/>
        </w:rPr>
        <w:t xml:space="preserve"> 0.5</w:t>
      </w:r>
      <w:r w:rsidR="00B97C22" w:rsidRPr="00FE7564">
        <w:rPr>
          <w:sz w:val="16"/>
          <w:szCs w:val="16"/>
        </w:rPr>
        <w:t> </w:t>
      </w:r>
      <w:r w:rsidRPr="00FE7564">
        <w:rPr>
          <w:sz w:val="16"/>
          <w:szCs w:val="16"/>
        </w:rPr>
        <w:t xml:space="preserve">mg in its model; the price for </w:t>
      </w:r>
      <w:proofErr w:type="spellStart"/>
      <w:r w:rsidRPr="00FE7564">
        <w:rPr>
          <w:sz w:val="16"/>
          <w:szCs w:val="16"/>
        </w:rPr>
        <w:t>trametinib</w:t>
      </w:r>
      <w:proofErr w:type="spellEnd"/>
      <w:r w:rsidRPr="00FE7564">
        <w:rPr>
          <w:sz w:val="16"/>
          <w:szCs w:val="16"/>
        </w:rPr>
        <w:t xml:space="preserve"> 0.5</w:t>
      </w:r>
      <w:r w:rsidR="00B97C22" w:rsidRPr="00FE7564">
        <w:rPr>
          <w:sz w:val="16"/>
          <w:szCs w:val="16"/>
        </w:rPr>
        <w:t> </w:t>
      </w:r>
      <w:r w:rsidRPr="00FE7564">
        <w:rPr>
          <w:sz w:val="16"/>
          <w:szCs w:val="16"/>
        </w:rPr>
        <w:t>mg has been calculated following the same methodology used by the submission.</w:t>
      </w:r>
    </w:p>
    <w:p w:rsidR="00C6722F" w:rsidRPr="00FE7564" w:rsidRDefault="00C6722F" w:rsidP="00C6722F">
      <w:pPr>
        <w:keepNext/>
        <w:keepLines/>
      </w:pPr>
    </w:p>
    <w:p w:rsidR="00C6722F" w:rsidRPr="00FE7564" w:rsidRDefault="00C6722F" w:rsidP="00C6722F">
      <w:pPr>
        <w:keepNext/>
        <w:keepLines/>
        <w:ind w:left="709"/>
      </w:pPr>
      <w:r w:rsidRPr="00FE7564">
        <w:t xml:space="preserve">The table below provides results of a sensitivity analysis in the economic evaluation using effective prices and assuming the use of PPACT was restricted to 90% </w:t>
      </w:r>
      <w:proofErr w:type="spellStart"/>
      <w:r w:rsidRPr="00FE7564">
        <w:t>pembrolizumab</w:t>
      </w:r>
      <w:proofErr w:type="spellEnd"/>
      <w:r w:rsidRPr="00FE7564">
        <w:t xml:space="preserve">, 10% </w:t>
      </w:r>
      <w:proofErr w:type="spellStart"/>
      <w:r w:rsidRPr="00FE7564">
        <w:t>ipilimumab</w:t>
      </w:r>
      <w:proofErr w:type="spellEnd"/>
      <w:r w:rsidRPr="00FE7564">
        <w:t xml:space="preserve"> with 0% use of other therapies.</w:t>
      </w:r>
    </w:p>
    <w:p w:rsidR="00C6722F" w:rsidRPr="00FE7564" w:rsidRDefault="00C6722F" w:rsidP="00C6722F">
      <w:pPr>
        <w:keepNext/>
        <w:keepLines/>
      </w:pPr>
    </w:p>
    <w:p w:rsidR="00C6722F" w:rsidRPr="00FE7564" w:rsidRDefault="00C6722F" w:rsidP="00C6722F">
      <w:pPr>
        <w:keepNext/>
        <w:keepLines/>
        <w:ind w:left="709"/>
      </w:pPr>
      <w:r w:rsidRPr="00FE7564">
        <w:rPr>
          <w:rStyle w:val="CommentReference"/>
        </w:rPr>
        <w:t xml:space="preserve">Table 14: Sensitivity analysis </w:t>
      </w:r>
      <w:r w:rsidRPr="00FE7564">
        <w:rPr>
          <w:rFonts w:ascii="Arial Narrow" w:hAnsi="Arial Narrow"/>
          <w:b/>
          <w:sz w:val="20"/>
        </w:rPr>
        <w:t xml:space="preserve">using effective prices for PPACT (assuming 90% use of </w:t>
      </w:r>
      <w:proofErr w:type="spellStart"/>
      <w:r w:rsidRPr="00FE7564">
        <w:rPr>
          <w:rFonts w:ascii="Arial Narrow" w:hAnsi="Arial Narrow"/>
          <w:b/>
          <w:sz w:val="20"/>
        </w:rPr>
        <w:t>pembrolizumab</w:t>
      </w:r>
      <w:proofErr w:type="spellEnd"/>
      <w:r w:rsidRPr="00FE7564">
        <w:rPr>
          <w:rFonts w:ascii="Arial Narrow" w:hAnsi="Arial Narrow"/>
          <w:b/>
          <w:sz w:val="20"/>
        </w:rPr>
        <w:t xml:space="preserve">, 10% use of </w:t>
      </w:r>
      <w:proofErr w:type="spellStart"/>
      <w:r w:rsidRPr="00FE7564">
        <w:rPr>
          <w:rFonts w:ascii="Arial Narrow" w:hAnsi="Arial Narrow"/>
          <w:b/>
          <w:sz w:val="20"/>
        </w:rPr>
        <w:t>ipilimumab</w:t>
      </w:r>
      <w:proofErr w:type="spellEnd"/>
      <w:r w:rsidRPr="00FE7564">
        <w:rPr>
          <w:rFonts w:ascii="Arial Narrow" w:hAnsi="Arial Narrow"/>
          <w:b/>
          <w:sz w:val="20"/>
        </w:rPr>
        <w:t>)</w:t>
      </w:r>
    </w:p>
    <w:tbl>
      <w:tblPr>
        <w:tblW w:w="4527"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36"/>
        <w:gridCol w:w="2126"/>
        <w:gridCol w:w="2126"/>
        <w:gridCol w:w="1135"/>
      </w:tblGrid>
      <w:tr w:rsidR="00C6722F" w:rsidRPr="00FE7564" w:rsidTr="00C6722F">
        <w:tc>
          <w:tcPr>
            <w:tcW w:w="1724" w:type="pct"/>
          </w:tcPr>
          <w:p w:rsidR="00C6722F" w:rsidRPr="00FE7564" w:rsidRDefault="00C6722F" w:rsidP="00C6722F">
            <w:pPr>
              <w:keepNext/>
              <w:keepLines/>
              <w:rPr>
                <w:rFonts w:ascii="Arial Narrow" w:hAnsi="Arial Narrow"/>
                <w:b/>
                <w:i/>
                <w:sz w:val="20"/>
              </w:rPr>
            </w:pPr>
            <w:r w:rsidRPr="00FE7564">
              <w:rPr>
                <w:rFonts w:ascii="Arial Narrow" w:hAnsi="Arial Narrow"/>
                <w:b/>
                <w:i/>
                <w:sz w:val="20"/>
              </w:rPr>
              <w:t>Component</w:t>
            </w:r>
          </w:p>
        </w:tc>
        <w:tc>
          <w:tcPr>
            <w:tcW w:w="1293" w:type="pct"/>
          </w:tcPr>
          <w:p w:rsidR="00C6722F" w:rsidRPr="00FE7564" w:rsidRDefault="00C6722F" w:rsidP="00C6722F">
            <w:pPr>
              <w:keepNext/>
              <w:keepLines/>
              <w:jc w:val="center"/>
              <w:rPr>
                <w:rFonts w:ascii="Arial Narrow" w:hAnsi="Arial Narrow"/>
                <w:b/>
                <w:i/>
                <w:sz w:val="20"/>
              </w:rPr>
            </w:pPr>
            <w:r w:rsidRPr="00FE7564">
              <w:rPr>
                <w:rFonts w:ascii="Arial Narrow" w:hAnsi="Arial Narrow"/>
                <w:b/>
                <w:i/>
                <w:sz w:val="20"/>
              </w:rPr>
              <w:t>Combination</w:t>
            </w:r>
          </w:p>
        </w:tc>
        <w:tc>
          <w:tcPr>
            <w:tcW w:w="1293" w:type="pct"/>
          </w:tcPr>
          <w:p w:rsidR="00C6722F" w:rsidRPr="00FE7564" w:rsidRDefault="00C6722F" w:rsidP="00C6722F">
            <w:pPr>
              <w:keepNext/>
              <w:keepLines/>
              <w:jc w:val="center"/>
              <w:rPr>
                <w:rFonts w:ascii="Arial Narrow" w:hAnsi="Arial Narrow"/>
                <w:b/>
                <w:i/>
                <w:sz w:val="20"/>
              </w:rPr>
            </w:pPr>
            <w:r w:rsidRPr="00FE7564">
              <w:rPr>
                <w:rFonts w:ascii="Arial Narrow" w:hAnsi="Arial Narrow"/>
                <w:b/>
                <w:i/>
                <w:sz w:val="20"/>
              </w:rPr>
              <w:t>Monotherapy</w:t>
            </w:r>
          </w:p>
        </w:tc>
        <w:tc>
          <w:tcPr>
            <w:tcW w:w="690" w:type="pct"/>
          </w:tcPr>
          <w:p w:rsidR="00C6722F" w:rsidRPr="00FE7564" w:rsidRDefault="00C6722F" w:rsidP="00C6722F">
            <w:pPr>
              <w:keepNext/>
              <w:keepLines/>
              <w:jc w:val="center"/>
              <w:rPr>
                <w:rFonts w:ascii="Arial Narrow" w:hAnsi="Arial Narrow"/>
                <w:b/>
                <w:i/>
                <w:sz w:val="20"/>
              </w:rPr>
            </w:pPr>
            <w:r w:rsidRPr="00FE7564">
              <w:rPr>
                <w:rFonts w:ascii="Arial Narrow" w:hAnsi="Arial Narrow"/>
                <w:b/>
                <w:i/>
                <w:sz w:val="20"/>
              </w:rPr>
              <w:t>Increment</w:t>
            </w:r>
          </w:p>
        </w:tc>
      </w:tr>
      <w:tr w:rsidR="00C6722F" w:rsidRPr="00FE7564" w:rsidTr="00C6722F">
        <w:tc>
          <w:tcPr>
            <w:tcW w:w="1724" w:type="pct"/>
          </w:tcPr>
          <w:p w:rsidR="00C6722F" w:rsidRPr="00FE7564" w:rsidRDefault="00C6722F" w:rsidP="00C6722F">
            <w:pPr>
              <w:keepNext/>
              <w:keepLines/>
              <w:rPr>
                <w:rFonts w:ascii="Arial Narrow" w:hAnsi="Arial Narrow"/>
                <w:i/>
                <w:sz w:val="20"/>
              </w:rPr>
            </w:pPr>
            <w:r w:rsidRPr="00FE7564">
              <w:rPr>
                <w:rFonts w:ascii="Arial Narrow" w:hAnsi="Arial Narrow"/>
                <w:i/>
                <w:sz w:val="20"/>
              </w:rPr>
              <w:t>Costs</w:t>
            </w:r>
          </w:p>
        </w:tc>
        <w:tc>
          <w:tcPr>
            <w:tcW w:w="1293" w:type="pct"/>
          </w:tcPr>
          <w:p w:rsidR="00C6722F" w:rsidRPr="00401986" w:rsidRDefault="00C6722F" w:rsidP="00697898">
            <w:pPr>
              <w:keepNext/>
              <w:keepLines/>
              <w:jc w:val="center"/>
              <w:rPr>
                <w:rFonts w:ascii="Arial Narrow" w:hAnsi="Arial Narrow"/>
                <w:i/>
                <w:sz w:val="20"/>
              </w:rPr>
            </w:pPr>
            <w:r w:rsidRPr="00401986">
              <w:rPr>
                <w:rFonts w:ascii="Arial Narrow" w:hAnsi="Arial Narrow"/>
                <w:i/>
                <w:sz w:val="20"/>
              </w:rPr>
              <w:t>$</w:t>
            </w:r>
            <w:r w:rsidR="008232B7">
              <w:rPr>
                <w:rFonts w:ascii="Arial Narrow" w:hAnsi="Arial Narrow"/>
                <w:i/>
                <w:noProof/>
                <w:color w:val="000000"/>
                <w:sz w:val="20"/>
                <w:highlight w:val="black"/>
              </w:rPr>
              <w:t>''''''''''''''''''''</w:t>
            </w:r>
          </w:p>
        </w:tc>
        <w:tc>
          <w:tcPr>
            <w:tcW w:w="1293" w:type="pct"/>
          </w:tcPr>
          <w:p w:rsidR="00C6722F" w:rsidRPr="00401986" w:rsidRDefault="00C6722F" w:rsidP="00697898">
            <w:pPr>
              <w:keepNext/>
              <w:keepLines/>
              <w:jc w:val="center"/>
              <w:rPr>
                <w:rFonts w:ascii="Arial Narrow" w:hAnsi="Arial Narrow"/>
                <w:i/>
                <w:sz w:val="20"/>
              </w:rPr>
            </w:pPr>
            <w:r w:rsidRPr="00401986">
              <w:rPr>
                <w:rFonts w:ascii="Arial Narrow" w:hAnsi="Arial Narrow"/>
                <w:i/>
                <w:sz w:val="20"/>
              </w:rPr>
              <w:t>$</w:t>
            </w:r>
            <w:r w:rsidR="008232B7">
              <w:rPr>
                <w:rFonts w:ascii="Arial Narrow" w:hAnsi="Arial Narrow"/>
                <w:i/>
                <w:noProof/>
                <w:color w:val="000000"/>
                <w:sz w:val="20"/>
                <w:highlight w:val="black"/>
              </w:rPr>
              <w:t>'''''''''''''''''''''</w:t>
            </w:r>
          </w:p>
        </w:tc>
        <w:tc>
          <w:tcPr>
            <w:tcW w:w="690" w:type="pct"/>
          </w:tcPr>
          <w:p w:rsidR="00C6722F" w:rsidRPr="00401986" w:rsidRDefault="00C6722F" w:rsidP="00697898">
            <w:pPr>
              <w:keepNext/>
              <w:keepLines/>
              <w:jc w:val="center"/>
              <w:rPr>
                <w:rFonts w:ascii="Arial Narrow" w:hAnsi="Arial Narrow"/>
                <w:i/>
                <w:sz w:val="20"/>
              </w:rPr>
            </w:pPr>
            <w:r w:rsidRPr="00401986">
              <w:rPr>
                <w:rFonts w:ascii="Arial Narrow" w:hAnsi="Arial Narrow"/>
                <w:i/>
                <w:sz w:val="20"/>
              </w:rPr>
              <w:t>$</w:t>
            </w:r>
            <w:r w:rsidR="008232B7">
              <w:rPr>
                <w:rFonts w:ascii="Arial Narrow" w:hAnsi="Arial Narrow"/>
                <w:i/>
                <w:noProof/>
                <w:color w:val="000000"/>
                <w:sz w:val="20"/>
                <w:highlight w:val="black"/>
              </w:rPr>
              <w:t>''''''''''''''''</w:t>
            </w:r>
          </w:p>
        </w:tc>
      </w:tr>
      <w:tr w:rsidR="00C6722F" w:rsidRPr="00FE7564" w:rsidTr="00C6722F">
        <w:tc>
          <w:tcPr>
            <w:tcW w:w="1724" w:type="pct"/>
          </w:tcPr>
          <w:p w:rsidR="00C6722F" w:rsidRPr="00FE7564" w:rsidRDefault="00C6722F" w:rsidP="00C6722F">
            <w:pPr>
              <w:keepNext/>
              <w:keepLines/>
              <w:rPr>
                <w:rFonts w:ascii="Arial Narrow" w:hAnsi="Arial Narrow"/>
                <w:i/>
                <w:sz w:val="20"/>
              </w:rPr>
            </w:pPr>
            <w:r w:rsidRPr="00FE7564">
              <w:rPr>
                <w:rFonts w:ascii="Arial Narrow" w:hAnsi="Arial Narrow"/>
                <w:i/>
                <w:sz w:val="20"/>
              </w:rPr>
              <w:t>QALYs</w:t>
            </w:r>
          </w:p>
        </w:tc>
        <w:tc>
          <w:tcPr>
            <w:tcW w:w="1293" w:type="pct"/>
          </w:tcPr>
          <w:p w:rsidR="00C6722F" w:rsidRPr="008232B7" w:rsidRDefault="008232B7" w:rsidP="00C6722F">
            <w:pPr>
              <w:keepNext/>
              <w:keepLines/>
              <w:jc w:val="center"/>
              <w:rPr>
                <w:rFonts w:ascii="Arial Narrow" w:hAnsi="Arial Narrow"/>
                <w:i/>
                <w:sz w:val="20"/>
                <w:highlight w:val="black"/>
              </w:rPr>
            </w:pPr>
            <w:r>
              <w:rPr>
                <w:rFonts w:ascii="Arial Narrow" w:hAnsi="Arial Narrow"/>
                <w:noProof/>
                <w:color w:val="000000"/>
                <w:sz w:val="20"/>
                <w:highlight w:val="black"/>
              </w:rPr>
              <w:t>'''''''''''''''</w:t>
            </w:r>
          </w:p>
        </w:tc>
        <w:tc>
          <w:tcPr>
            <w:tcW w:w="1293" w:type="pct"/>
          </w:tcPr>
          <w:p w:rsidR="00C6722F" w:rsidRPr="008232B7" w:rsidRDefault="008232B7" w:rsidP="00C6722F">
            <w:pPr>
              <w:keepNext/>
              <w:keepLines/>
              <w:jc w:val="center"/>
              <w:rPr>
                <w:rFonts w:ascii="Arial Narrow" w:hAnsi="Arial Narrow"/>
                <w:i/>
                <w:sz w:val="20"/>
                <w:highlight w:val="black"/>
              </w:rPr>
            </w:pPr>
            <w:r>
              <w:rPr>
                <w:rFonts w:ascii="Arial Narrow" w:hAnsi="Arial Narrow"/>
                <w:noProof/>
                <w:color w:val="000000"/>
                <w:sz w:val="20"/>
                <w:highlight w:val="black"/>
              </w:rPr>
              <w:t>'''''''''''''</w:t>
            </w:r>
          </w:p>
        </w:tc>
        <w:tc>
          <w:tcPr>
            <w:tcW w:w="690" w:type="pct"/>
          </w:tcPr>
          <w:p w:rsidR="00C6722F" w:rsidRPr="008232B7" w:rsidRDefault="008232B7" w:rsidP="00C6722F">
            <w:pPr>
              <w:keepNext/>
              <w:keepLines/>
              <w:jc w:val="center"/>
              <w:rPr>
                <w:rFonts w:ascii="Arial Narrow" w:hAnsi="Arial Narrow"/>
                <w:i/>
                <w:sz w:val="20"/>
                <w:highlight w:val="black"/>
              </w:rPr>
            </w:pPr>
            <w:r>
              <w:rPr>
                <w:rFonts w:ascii="Arial Narrow" w:hAnsi="Arial Narrow"/>
                <w:noProof/>
                <w:color w:val="000000"/>
                <w:sz w:val="20"/>
                <w:highlight w:val="black"/>
              </w:rPr>
              <w:t>''''''''''''''</w:t>
            </w:r>
          </w:p>
        </w:tc>
      </w:tr>
      <w:tr w:rsidR="00C6722F" w:rsidRPr="00FE7564" w:rsidTr="00C6722F">
        <w:trPr>
          <w:trHeight w:val="143"/>
        </w:trPr>
        <w:tc>
          <w:tcPr>
            <w:tcW w:w="4310" w:type="pct"/>
            <w:gridSpan w:val="3"/>
          </w:tcPr>
          <w:p w:rsidR="00C6722F" w:rsidRPr="00401986" w:rsidRDefault="00C6722F" w:rsidP="00C6722F">
            <w:pPr>
              <w:keepNext/>
              <w:keepLines/>
              <w:rPr>
                <w:rFonts w:ascii="Arial Narrow" w:hAnsi="Arial Narrow"/>
                <w:b/>
                <w:i/>
                <w:sz w:val="20"/>
              </w:rPr>
            </w:pPr>
            <w:r w:rsidRPr="00401986">
              <w:rPr>
                <w:rFonts w:ascii="Arial Narrow" w:hAnsi="Arial Narrow"/>
                <w:b/>
                <w:i/>
                <w:sz w:val="20"/>
              </w:rPr>
              <w:t>Incremental cost/extra QALY gained</w:t>
            </w:r>
          </w:p>
        </w:tc>
        <w:tc>
          <w:tcPr>
            <w:tcW w:w="690" w:type="pct"/>
          </w:tcPr>
          <w:p w:rsidR="00C6722F" w:rsidRPr="00401986" w:rsidRDefault="00C6722F" w:rsidP="00697898">
            <w:pPr>
              <w:keepNext/>
              <w:keepLines/>
              <w:jc w:val="center"/>
              <w:rPr>
                <w:rFonts w:ascii="Arial Narrow" w:hAnsi="Arial Narrow"/>
                <w:b/>
                <w:i/>
                <w:sz w:val="20"/>
              </w:rPr>
            </w:pPr>
            <w:r w:rsidRPr="00401986">
              <w:rPr>
                <w:rFonts w:ascii="Arial Narrow" w:hAnsi="Arial Narrow"/>
                <w:b/>
                <w:i/>
                <w:sz w:val="20"/>
              </w:rPr>
              <w:t>$</w:t>
            </w:r>
            <w:r w:rsidR="008232B7">
              <w:rPr>
                <w:rFonts w:ascii="Arial Narrow" w:hAnsi="Arial Narrow"/>
                <w:b/>
                <w:i/>
                <w:noProof/>
                <w:color w:val="000000"/>
                <w:sz w:val="20"/>
                <w:highlight w:val="black"/>
              </w:rPr>
              <w:t>''''''''''''</w:t>
            </w:r>
          </w:p>
        </w:tc>
      </w:tr>
      <w:tr w:rsidR="00C6722F" w:rsidRPr="00FE7564" w:rsidTr="00C6722F">
        <w:trPr>
          <w:trHeight w:val="143"/>
        </w:trPr>
        <w:tc>
          <w:tcPr>
            <w:tcW w:w="4310" w:type="pct"/>
            <w:gridSpan w:val="3"/>
          </w:tcPr>
          <w:p w:rsidR="00C6722F" w:rsidRPr="00401986" w:rsidRDefault="00C6722F" w:rsidP="00C6722F">
            <w:pPr>
              <w:keepNext/>
              <w:keepLines/>
              <w:rPr>
                <w:rFonts w:ascii="Arial Narrow" w:hAnsi="Arial Narrow"/>
                <w:b/>
                <w:i/>
                <w:sz w:val="20"/>
              </w:rPr>
            </w:pPr>
            <w:proofErr w:type="spellStart"/>
            <w:r w:rsidRPr="00401986">
              <w:rPr>
                <w:rFonts w:ascii="Arial Narrow" w:hAnsi="Arial Narrow"/>
                <w:b/>
                <w:i/>
                <w:sz w:val="20"/>
              </w:rPr>
              <w:t>Trametinib</w:t>
            </w:r>
            <w:proofErr w:type="spellEnd"/>
            <w:r w:rsidRPr="00401986">
              <w:rPr>
                <w:rFonts w:ascii="Arial Narrow" w:hAnsi="Arial Narrow"/>
                <w:b/>
                <w:i/>
                <w:sz w:val="20"/>
              </w:rPr>
              <w:t xml:space="preserve"> 2 mg DPMQ needed to maintain incremental cost/ QALY gained of $57,086</w:t>
            </w:r>
          </w:p>
        </w:tc>
        <w:tc>
          <w:tcPr>
            <w:tcW w:w="690" w:type="pct"/>
          </w:tcPr>
          <w:p w:rsidR="00C6722F" w:rsidRPr="00401986" w:rsidRDefault="00C6722F" w:rsidP="00697898">
            <w:pPr>
              <w:keepNext/>
              <w:keepLines/>
              <w:jc w:val="center"/>
              <w:rPr>
                <w:rFonts w:ascii="Arial Narrow" w:hAnsi="Arial Narrow"/>
                <w:b/>
                <w:i/>
                <w:sz w:val="20"/>
              </w:rPr>
            </w:pPr>
            <w:r w:rsidRPr="00401986">
              <w:rPr>
                <w:rFonts w:ascii="Arial Narrow" w:hAnsi="Arial Narrow"/>
                <w:b/>
                <w:i/>
                <w:sz w:val="20"/>
              </w:rPr>
              <w:t>$</w:t>
            </w:r>
            <w:r w:rsidR="008232B7">
              <w:rPr>
                <w:rFonts w:ascii="Arial Narrow" w:hAnsi="Arial Narrow"/>
                <w:b/>
                <w:i/>
                <w:noProof/>
                <w:color w:val="000000"/>
                <w:sz w:val="20"/>
                <w:highlight w:val="black"/>
              </w:rPr>
              <w:t>'''''''</w:t>
            </w:r>
          </w:p>
        </w:tc>
      </w:tr>
    </w:tbl>
    <w:p w:rsidR="00C6722F" w:rsidRPr="00FE7564" w:rsidRDefault="00C6722F" w:rsidP="00C6722F">
      <w:pPr>
        <w:pStyle w:val="TableFooter"/>
        <w:keepNext/>
        <w:ind w:left="709"/>
        <w:rPr>
          <w:szCs w:val="18"/>
        </w:rPr>
      </w:pPr>
      <w:r w:rsidRPr="00FE7564">
        <w:rPr>
          <w:szCs w:val="18"/>
        </w:rPr>
        <w:t>Source: Section D workbook.</w:t>
      </w:r>
    </w:p>
    <w:p w:rsidR="00C6722F" w:rsidRPr="00FE7564" w:rsidRDefault="00C6722F" w:rsidP="00C6722F">
      <w:pPr>
        <w:pStyle w:val="TableFooter"/>
        <w:keepNext/>
        <w:ind w:left="709"/>
        <w:rPr>
          <w:szCs w:val="18"/>
        </w:rPr>
      </w:pPr>
      <w:r w:rsidRPr="00FE7564">
        <w:rPr>
          <w:szCs w:val="18"/>
        </w:rPr>
        <w:t xml:space="preserve">Abbreviations: QALY=quality adjusted life year. </w:t>
      </w:r>
    </w:p>
    <w:p w:rsidR="00C6722F" w:rsidRPr="00FE7564" w:rsidRDefault="00C6722F" w:rsidP="00C6722F">
      <w:pPr>
        <w:ind w:left="709"/>
      </w:pPr>
      <w:r w:rsidRPr="00FE7564">
        <w:rPr>
          <w:rFonts w:ascii="Arial Narrow" w:hAnsi="Arial Narrow"/>
          <w:sz w:val="18"/>
          <w:szCs w:val="18"/>
        </w:rPr>
        <w:t>Note: costs were calculating by applying average PPACT costs calculated with effective prices as described in Table 12 above.</w:t>
      </w:r>
    </w:p>
    <w:p w:rsidR="00B97C22" w:rsidRPr="00FE7564" w:rsidRDefault="00B97C22" w:rsidP="007F0ACC">
      <w:pPr>
        <w:pStyle w:val="BodyText"/>
        <w:keepNext/>
        <w:keepLines/>
      </w:pPr>
    </w:p>
    <w:p w:rsidR="00B97C22" w:rsidRPr="00FE7564" w:rsidRDefault="00B97C22" w:rsidP="007F0ACC">
      <w:pPr>
        <w:keepNext/>
        <w:keepLines/>
        <w:widowControl/>
        <w:jc w:val="center"/>
        <w:rPr>
          <w:i/>
          <w:szCs w:val="22"/>
        </w:rPr>
      </w:pPr>
      <w:r w:rsidRPr="00FE7564">
        <w:rPr>
          <w:b/>
          <w:i/>
          <w:u w:val="single"/>
        </w:rPr>
        <w:t>End Committee-In-Confidence information</w:t>
      </w:r>
    </w:p>
    <w:p w:rsidR="009D555B" w:rsidRPr="00FE7564" w:rsidRDefault="009D555B" w:rsidP="00447F56">
      <w:pPr>
        <w:widowControl/>
        <w:rPr>
          <w:szCs w:val="22"/>
        </w:rPr>
      </w:pPr>
    </w:p>
    <w:p w:rsidR="00956A01" w:rsidRDefault="00956A01">
      <w:pPr>
        <w:widowControl/>
        <w:jc w:val="left"/>
      </w:pPr>
      <w:bookmarkStart w:id="14" w:name="_Toc451265348"/>
      <w:r>
        <w:br w:type="page"/>
      </w:r>
    </w:p>
    <w:p w:rsidR="00FD2BA9" w:rsidRPr="00FE7564" w:rsidRDefault="007F0ACC" w:rsidP="0031771D">
      <w:pPr>
        <w:pStyle w:val="Heading2"/>
      </w:pPr>
      <w:r w:rsidRPr="0031771D">
        <w:lastRenderedPageBreak/>
        <w:t xml:space="preserve">Drug </w:t>
      </w:r>
      <w:r w:rsidR="00FD2BA9" w:rsidRPr="0031771D">
        <w:t>cost/patient/course:</w:t>
      </w:r>
      <w:r w:rsidR="00FD2BA9" w:rsidRPr="00FE7564">
        <w:t xml:space="preserve"> $</w:t>
      </w:r>
      <w:r w:rsidR="00D30355">
        <w:rPr>
          <w:noProof/>
          <w:color w:val="000000"/>
          <w:highlight w:val="black"/>
        </w:rPr>
        <w:t>'''''''''''''''''''''''</w:t>
      </w:r>
      <w:r w:rsidR="00FD2BA9" w:rsidRPr="00FE7564">
        <w:t xml:space="preserve"> for </w:t>
      </w:r>
      <w:proofErr w:type="spellStart"/>
      <w:r w:rsidR="00592FDF" w:rsidRPr="00FE7564">
        <w:t>trametinib</w:t>
      </w:r>
      <w:proofErr w:type="spellEnd"/>
      <w:r w:rsidR="00FD2BA9" w:rsidRPr="00FE7564">
        <w:t>; $</w:t>
      </w:r>
      <w:r w:rsidR="00D30355">
        <w:rPr>
          <w:noProof/>
          <w:color w:val="000000"/>
          <w:highlight w:val="black"/>
        </w:rPr>
        <w:t>''''''''''''''''''''''''''</w:t>
      </w:r>
      <w:r w:rsidR="00FD2BA9" w:rsidRPr="00FE7564">
        <w:t xml:space="preserve"> for </w:t>
      </w:r>
      <w:proofErr w:type="spellStart"/>
      <w:r w:rsidR="00592FDF" w:rsidRPr="00FE7564">
        <w:t>trametinib</w:t>
      </w:r>
      <w:proofErr w:type="spellEnd"/>
      <w:r w:rsidR="00592FDF" w:rsidRPr="00FE7564">
        <w:t xml:space="preserve"> and </w:t>
      </w:r>
      <w:proofErr w:type="spellStart"/>
      <w:r w:rsidR="00592FDF" w:rsidRPr="00FE7564">
        <w:t>dabrafenib</w:t>
      </w:r>
      <w:proofErr w:type="spellEnd"/>
      <w:r w:rsidR="00592FDF" w:rsidRPr="00FE7564">
        <w:t xml:space="preserve"> combined</w:t>
      </w:r>
      <w:r w:rsidR="007F0D2D" w:rsidRPr="00FE7564">
        <w:t>.</w:t>
      </w:r>
      <w:bookmarkEnd w:id="14"/>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snapToGrid w:val="0"/>
        <w:rPr>
          <w:szCs w:val="22"/>
        </w:rPr>
      </w:pPr>
      <w:r w:rsidRPr="00FE7564">
        <w:rPr>
          <w:szCs w:val="22"/>
        </w:rPr>
        <w:t>Cost per course per patient was</w:t>
      </w:r>
      <w:r w:rsidR="00834578" w:rsidRPr="00FE7564">
        <w:rPr>
          <w:szCs w:val="22"/>
        </w:rPr>
        <w:t xml:space="preserve"> calculated using the effective DPMQ of </w:t>
      </w:r>
      <w:proofErr w:type="spellStart"/>
      <w:r w:rsidR="00834578" w:rsidRPr="00FE7564">
        <w:rPr>
          <w:szCs w:val="22"/>
        </w:rPr>
        <w:t>trametinib</w:t>
      </w:r>
      <w:proofErr w:type="spellEnd"/>
      <w:r w:rsidR="00834578" w:rsidRPr="00FE7564">
        <w:rPr>
          <w:szCs w:val="22"/>
        </w:rPr>
        <w:t xml:space="preserve"> (and </w:t>
      </w:r>
      <w:proofErr w:type="spellStart"/>
      <w:r w:rsidR="00834578" w:rsidRPr="00FE7564">
        <w:rPr>
          <w:szCs w:val="22"/>
        </w:rPr>
        <w:t>dabrafenib</w:t>
      </w:r>
      <w:proofErr w:type="spellEnd"/>
      <w:r w:rsidR="00834578" w:rsidRPr="00FE7564">
        <w:rPr>
          <w:szCs w:val="22"/>
        </w:rPr>
        <w:t xml:space="preserve">) assuming </w:t>
      </w:r>
      <w:r w:rsidR="00D30355">
        <w:rPr>
          <w:noProof/>
          <w:color w:val="000000"/>
          <w:szCs w:val="22"/>
          <w:highlight w:val="black"/>
        </w:rPr>
        <w:t>'''''''''''''''</w:t>
      </w:r>
      <w:r w:rsidR="00834578" w:rsidRPr="00FE7564">
        <w:rPr>
          <w:szCs w:val="22"/>
        </w:rPr>
        <w:t xml:space="preserve"> packs per month </w:t>
      </w:r>
      <w:r w:rsidR="00592FDF" w:rsidRPr="00FE7564">
        <w:rPr>
          <w:szCs w:val="22"/>
        </w:rPr>
        <w:t>multiplied by</w:t>
      </w:r>
      <w:r w:rsidR="00834578" w:rsidRPr="00FE7564">
        <w:rPr>
          <w:szCs w:val="22"/>
        </w:rPr>
        <w:t xml:space="preserve"> </w:t>
      </w:r>
      <w:r w:rsidR="00D30355">
        <w:rPr>
          <w:noProof/>
          <w:color w:val="000000"/>
          <w:szCs w:val="22"/>
          <w:highlight w:val="black"/>
        </w:rPr>
        <w:t>''''''''''''''</w:t>
      </w:r>
      <w:r w:rsidR="00834578" w:rsidRPr="00FE7564">
        <w:rPr>
          <w:szCs w:val="22"/>
        </w:rPr>
        <w:t xml:space="preserve"> months of combination therapy.</w:t>
      </w:r>
      <w:r w:rsidRPr="00FE7564">
        <w:rPr>
          <w:szCs w:val="22"/>
        </w:rPr>
        <w:t xml:space="preserve"> </w:t>
      </w:r>
      <w:r w:rsidR="00592FDF" w:rsidRPr="00FE7564">
        <w:rPr>
          <w:szCs w:val="22"/>
        </w:rPr>
        <w:t xml:space="preserve">The </w:t>
      </w:r>
      <w:r w:rsidR="00D30355">
        <w:rPr>
          <w:noProof/>
          <w:color w:val="000000"/>
          <w:szCs w:val="22"/>
          <w:highlight w:val="black"/>
        </w:rPr>
        <w:t>'''''''''''''</w:t>
      </w:r>
      <w:r w:rsidR="00592FDF" w:rsidRPr="00FE7564">
        <w:rPr>
          <w:szCs w:val="22"/>
        </w:rPr>
        <w:t xml:space="preserve"> months of therapy was generated by the economic model and </w:t>
      </w:r>
      <w:r w:rsidR="002001FA" w:rsidRPr="00FE7564">
        <w:rPr>
          <w:szCs w:val="22"/>
        </w:rPr>
        <w:t>was</w:t>
      </w:r>
      <w:r w:rsidR="00592FDF" w:rsidRPr="00FE7564">
        <w:rPr>
          <w:szCs w:val="22"/>
        </w:rPr>
        <w:t xml:space="preserve"> used</w:t>
      </w:r>
      <w:r w:rsidR="002001FA" w:rsidRPr="00FE7564">
        <w:rPr>
          <w:szCs w:val="22"/>
        </w:rPr>
        <w:t xml:space="preserve"> </w:t>
      </w:r>
      <w:r w:rsidR="00592FDF" w:rsidRPr="00FE7564">
        <w:rPr>
          <w:szCs w:val="22"/>
        </w:rPr>
        <w:t>in the submission’s financial esti</w:t>
      </w:r>
      <w:r w:rsidR="002001FA" w:rsidRPr="00FE7564">
        <w:rPr>
          <w:szCs w:val="22"/>
        </w:rPr>
        <w:t>ma</w:t>
      </w:r>
      <w:r w:rsidR="00592FDF" w:rsidRPr="00FE7564">
        <w:rPr>
          <w:szCs w:val="22"/>
        </w:rPr>
        <w:t>tes.</w:t>
      </w:r>
    </w:p>
    <w:p w:rsidR="00FD2BA9" w:rsidRPr="00FE7564" w:rsidRDefault="00FD2BA9" w:rsidP="00FD2BA9">
      <w:pPr>
        <w:pStyle w:val="PBACheading1"/>
        <w:numPr>
          <w:ilvl w:val="0"/>
          <w:numId w:val="0"/>
        </w:numPr>
        <w:snapToGrid w:val="0"/>
      </w:pPr>
    </w:p>
    <w:p w:rsidR="00FD2BA9" w:rsidRPr="00FE7564" w:rsidRDefault="00FD2BA9" w:rsidP="0031771D">
      <w:pPr>
        <w:pStyle w:val="Heading2"/>
      </w:pPr>
      <w:bookmarkStart w:id="15" w:name="_Toc451265349"/>
      <w:r w:rsidRPr="00FE7564">
        <w:t>Estimated PBS usage &amp; financial implications</w:t>
      </w:r>
      <w:bookmarkEnd w:id="15"/>
    </w:p>
    <w:p w:rsidR="00FD2BA9" w:rsidRPr="00FE7564" w:rsidRDefault="00FD2BA9" w:rsidP="00FD2BA9"/>
    <w:p w:rsidR="00FD2BA9" w:rsidRPr="00FE7564" w:rsidRDefault="000B6A24" w:rsidP="00FD2BA9">
      <w:pPr>
        <w:pStyle w:val="ListParagraph"/>
        <w:widowControl/>
        <w:numPr>
          <w:ilvl w:val="1"/>
          <w:numId w:val="8"/>
        </w:numPr>
        <w:rPr>
          <w:szCs w:val="22"/>
        </w:rPr>
      </w:pPr>
      <w:r w:rsidRPr="00FE7564">
        <w:t>This submission wa</w:t>
      </w:r>
      <w:r w:rsidR="00FD2BA9" w:rsidRPr="00FE7564">
        <w:t>s not considered by DUSC. The submission maintained the same epidemiological approach to estimating PBS usage and financial implications. The submission maintained most of the same inputs as well, except for the following changes, consistent with those made in the economic evaluation:</w:t>
      </w:r>
    </w:p>
    <w:p w:rsidR="00FD2BA9" w:rsidRPr="00FE7564" w:rsidRDefault="00FD2BA9" w:rsidP="00FD2BA9">
      <w:pPr>
        <w:pStyle w:val="ListParagraph"/>
        <w:numPr>
          <w:ilvl w:val="0"/>
          <w:numId w:val="28"/>
        </w:numPr>
        <w:ind w:left="1080"/>
      </w:pPr>
      <w:r w:rsidRPr="00FE7564">
        <w:t>Updated AE rates and costs: the hospitalisation rates were higher than in the previous submission</w:t>
      </w:r>
      <w:r w:rsidR="00B14F14" w:rsidRPr="00FE7564">
        <w:t>.</w:t>
      </w:r>
    </w:p>
    <w:p w:rsidR="0010168C" w:rsidRDefault="00FD2BA9" w:rsidP="00FD2BA9">
      <w:pPr>
        <w:pStyle w:val="ListParagraph"/>
        <w:numPr>
          <w:ilvl w:val="0"/>
          <w:numId w:val="28"/>
        </w:numPr>
        <w:ind w:left="1080"/>
      </w:pPr>
      <w:r w:rsidRPr="00FE7564">
        <w:t>The monitoring costs associated with combination treatment were reduce</w:t>
      </w:r>
      <w:r w:rsidR="00EF6FB2" w:rsidRPr="00FE7564">
        <w:t xml:space="preserve">d from </w:t>
      </w:r>
    </w:p>
    <w:p w:rsidR="0010168C" w:rsidRDefault="0010168C" w:rsidP="0010168C">
      <w:pPr>
        <w:pStyle w:val="ListParagraph"/>
        <w:ind w:left="1080"/>
      </w:pPr>
    </w:p>
    <w:p w:rsidR="00FD2BA9" w:rsidRPr="00FE7564" w:rsidRDefault="00EF6FB2" w:rsidP="0010168C">
      <w:pPr>
        <w:pStyle w:val="ListParagraph"/>
        <w:ind w:left="1080"/>
      </w:pPr>
      <w:proofErr w:type="gramStart"/>
      <w:r w:rsidRPr="00FE7564">
        <w:t>the</w:t>
      </w:r>
      <w:proofErr w:type="gramEnd"/>
      <w:r w:rsidRPr="00FE7564">
        <w:t xml:space="preserve"> previous submission.</w:t>
      </w:r>
    </w:p>
    <w:p w:rsidR="00FD2BA9" w:rsidRPr="00FE7564" w:rsidRDefault="00FD2BA9" w:rsidP="00FD2BA9">
      <w:pPr>
        <w:pStyle w:val="ListParagraph"/>
        <w:numPr>
          <w:ilvl w:val="0"/>
          <w:numId w:val="28"/>
        </w:numPr>
        <w:ind w:left="1080"/>
      </w:pPr>
      <w:r w:rsidRPr="00FE7564">
        <w:t>PPACT costs were included, which were not requested by the PBAC. The PPACT costs did not likely reflect current practice in the Australian setting, and they unrealistically drove down the cost of listing combination therapy.</w:t>
      </w:r>
    </w:p>
    <w:p w:rsidR="00FD2BA9" w:rsidRPr="00FE7564" w:rsidRDefault="00FD2BA9" w:rsidP="00B14F14">
      <w:pPr>
        <w:widowControl/>
        <w:rPr>
          <w:szCs w:val="22"/>
        </w:rPr>
      </w:pPr>
    </w:p>
    <w:p w:rsidR="00B14F14" w:rsidRPr="00FE7564" w:rsidRDefault="00B14F14" w:rsidP="00FD2BA9">
      <w:pPr>
        <w:pStyle w:val="ListParagraph"/>
        <w:widowControl/>
        <w:numPr>
          <w:ilvl w:val="1"/>
          <w:numId w:val="8"/>
        </w:numPr>
        <w:rPr>
          <w:szCs w:val="22"/>
        </w:rPr>
      </w:pPr>
      <w:r w:rsidRPr="00FE7564">
        <w:rPr>
          <w:szCs w:val="22"/>
        </w:rPr>
        <w:t xml:space="preserve">The table below provides a summary of estimated usage and financial implications for the PBS listing of </w:t>
      </w:r>
      <w:proofErr w:type="spellStart"/>
      <w:r w:rsidRPr="00FE7564">
        <w:rPr>
          <w:szCs w:val="22"/>
        </w:rPr>
        <w:t>trametinib</w:t>
      </w:r>
      <w:proofErr w:type="spellEnd"/>
      <w:r w:rsidRPr="00FE7564">
        <w:rPr>
          <w:szCs w:val="22"/>
        </w:rPr>
        <w:t xml:space="preserve"> based on the reduced effective price as wel</w:t>
      </w:r>
      <w:r w:rsidR="00EF6FB2" w:rsidRPr="00FE7564">
        <w:rPr>
          <w:szCs w:val="22"/>
        </w:rPr>
        <w:t xml:space="preserve">l as the changes listed above. </w:t>
      </w:r>
      <w:r w:rsidRPr="00FE7564">
        <w:rPr>
          <w:szCs w:val="22"/>
        </w:rPr>
        <w:t>Estimates from the previous submissions are included for comparison.</w:t>
      </w:r>
    </w:p>
    <w:p w:rsidR="00E22E40" w:rsidRPr="00FE7564" w:rsidRDefault="00E22E40" w:rsidP="00B14F14">
      <w:pPr>
        <w:widowControl/>
        <w:rPr>
          <w:szCs w:val="22"/>
        </w:rPr>
      </w:pPr>
    </w:p>
    <w:p w:rsidR="00FD2BA9" w:rsidRPr="00FE7564" w:rsidRDefault="00FD2BA9" w:rsidP="00FD2BA9">
      <w:pPr>
        <w:ind w:firstLine="709"/>
        <w:rPr>
          <w:rStyle w:val="CommentReference"/>
        </w:rPr>
      </w:pPr>
      <w:r w:rsidRPr="00FE7564">
        <w:rPr>
          <w:rStyle w:val="CommentReference"/>
        </w:rPr>
        <w:t>Table 1</w:t>
      </w:r>
      <w:r w:rsidR="00C6722F" w:rsidRPr="00FE7564">
        <w:rPr>
          <w:rStyle w:val="CommentReference"/>
        </w:rPr>
        <w:t>5</w:t>
      </w:r>
      <w:r w:rsidRPr="00FE7564">
        <w:rPr>
          <w:rStyle w:val="CommentReference"/>
        </w:rPr>
        <w:t>: Estimated use and financial implications</w:t>
      </w:r>
    </w:p>
    <w:tbl>
      <w:tblPr>
        <w:tblW w:w="8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155"/>
        <w:gridCol w:w="1134"/>
        <w:gridCol w:w="1134"/>
        <w:gridCol w:w="1134"/>
        <w:gridCol w:w="1134"/>
      </w:tblGrid>
      <w:tr w:rsidR="00FD2BA9" w:rsidRPr="00FE7564" w:rsidTr="001A4E5C">
        <w:trPr>
          <w:tblHeader/>
        </w:trPr>
        <w:tc>
          <w:tcPr>
            <w:tcW w:w="2693" w:type="dxa"/>
            <w:shd w:val="clear" w:color="auto" w:fill="auto"/>
          </w:tcPr>
          <w:p w:rsidR="00FD2BA9" w:rsidRPr="00FE7564" w:rsidRDefault="00FD2BA9" w:rsidP="00C26563">
            <w:pPr>
              <w:keepNext/>
              <w:tabs>
                <w:tab w:val="left" w:pos="0"/>
              </w:tabs>
              <w:jc w:val="left"/>
              <w:rPr>
                <w:rFonts w:ascii="Arial Narrow" w:hAnsi="Arial Narrow"/>
                <w:b/>
                <w:sz w:val="20"/>
              </w:rPr>
            </w:pPr>
          </w:p>
        </w:tc>
        <w:tc>
          <w:tcPr>
            <w:tcW w:w="1155" w:type="dxa"/>
            <w:shd w:val="clear" w:color="auto" w:fill="auto"/>
          </w:tcPr>
          <w:p w:rsidR="00FD2BA9" w:rsidRPr="00FE7564" w:rsidRDefault="00FD2BA9" w:rsidP="00C26563">
            <w:pPr>
              <w:keepNext/>
              <w:tabs>
                <w:tab w:val="left" w:pos="0"/>
              </w:tabs>
              <w:jc w:val="center"/>
              <w:rPr>
                <w:rFonts w:ascii="Arial Narrow" w:hAnsi="Arial Narrow"/>
                <w:b/>
                <w:sz w:val="20"/>
              </w:rPr>
            </w:pPr>
            <w:r w:rsidRPr="00FE7564">
              <w:rPr>
                <w:rFonts w:ascii="Arial Narrow" w:hAnsi="Arial Narrow"/>
                <w:b/>
                <w:sz w:val="20"/>
              </w:rPr>
              <w:t>Year 1</w:t>
            </w:r>
          </w:p>
        </w:tc>
        <w:tc>
          <w:tcPr>
            <w:tcW w:w="1134" w:type="dxa"/>
            <w:shd w:val="clear" w:color="auto" w:fill="auto"/>
          </w:tcPr>
          <w:p w:rsidR="00FD2BA9" w:rsidRPr="00FE7564" w:rsidRDefault="00FD2BA9" w:rsidP="00C26563">
            <w:pPr>
              <w:keepNext/>
              <w:tabs>
                <w:tab w:val="left" w:pos="0"/>
              </w:tabs>
              <w:jc w:val="center"/>
              <w:rPr>
                <w:rFonts w:ascii="Arial Narrow" w:hAnsi="Arial Narrow"/>
                <w:b/>
                <w:sz w:val="20"/>
              </w:rPr>
            </w:pPr>
            <w:r w:rsidRPr="00FE7564">
              <w:rPr>
                <w:rFonts w:ascii="Arial Narrow" w:hAnsi="Arial Narrow"/>
                <w:b/>
                <w:sz w:val="20"/>
              </w:rPr>
              <w:t>Year 2</w:t>
            </w:r>
          </w:p>
        </w:tc>
        <w:tc>
          <w:tcPr>
            <w:tcW w:w="1134" w:type="dxa"/>
            <w:shd w:val="clear" w:color="auto" w:fill="auto"/>
          </w:tcPr>
          <w:p w:rsidR="00FD2BA9" w:rsidRPr="00FE7564" w:rsidRDefault="00FD2BA9" w:rsidP="00C26563">
            <w:pPr>
              <w:keepNext/>
              <w:tabs>
                <w:tab w:val="left" w:pos="0"/>
              </w:tabs>
              <w:jc w:val="center"/>
              <w:rPr>
                <w:rFonts w:ascii="Arial Narrow" w:hAnsi="Arial Narrow"/>
                <w:b/>
                <w:sz w:val="20"/>
              </w:rPr>
            </w:pPr>
            <w:r w:rsidRPr="00FE7564">
              <w:rPr>
                <w:rFonts w:ascii="Arial Narrow" w:hAnsi="Arial Narrow"/>
                <w:b/>
                <w:sz w:val="20"/>
              </w:rPr>
              <w:t>Year 3</w:t>
            </w:r>
          </w:p>
        </w:tc>
        <w:tc>
          <w:tcPr>
            <w:tcW w:w="1134" w:type="dxa"/>
            <w:shd w:val="clear" w:color="auto" w:fill="auto"/>
          </w:tcPr>
          <w:p w:rsidR="00FD2BA9" w:rsidRPr="00FE7564" w:rsidRDefault="00FD2BA9" w:rsidP="00C26563">
            <w:pPr>
              <w:keepNext/>
              <w:tabs>
                <w:tab w:val="left" w:pos="0"/>
              </w:tabs>
              <w:jc w:val="center"/>
              <w:rPr>
                <w:rFonts w:ascii="Arial Narrow" w:hAnsi="Arial Narrow"/>
                <w:b/>
                <w:sz w:val="20"/>
              </w:rPr>
            </w:pPr>
            <w:r w:rsidRPr="00FE7564">
              <w:rPr>
                <w:rFonts w:ascii="Arial Narrow" w:hAnsi="Arial Narrow"/>
                <w:b/>
                <w:sz w:val="20"/>
              </w:rPr>
              <w:t>Year 4</w:t>
            </w:r>
          </w:p>
        </w:tc>
        <w:tc>
          <w:tcPr>
            <w:tcW w:w="1134" w:type="dxa"/>
            <w:shd w:val="clear" w:color="auto" w:fill="auto"/>
          </w:tcPr>
          <w:p w:rsidR="00FD2BA9" w:rsidRPr="00FE7564" w:rsidRDefault="00FD2BA9" w:rsidP="00C26563">
            <w:pPr>
              <w:keepNext/>
              <w:tabs>
                <w:tab w:val="left" w:pos="0"/>
              </w:tabs>
              <w:jc w:val="center"/>
              <w:rPr>
                <w:rFonts w:ascii="Arial Narrow" w:hAnsi="Arial Narrow"/>
                <w:b/>
                <w:sz w:val="20"/>
              </w:rPr>
            </w:pPr>
            <w:r w:rsidRPr="00FE7564">
              <w:rPr>
                <w:rFonts w:ascii="Arial Narrow" w:hAnsi="Arial Narrow"/>
                <w:b/>
                <w:sz w:val="20"/>
              </w:rPr>
              <w:t>Year 5</w:t>
            </w:r>
          </w:p>
        </w:tc>
      </w:tr>
      <w:tr w:rsidR="00FD2BA9" w:rsidRPr="00FE7564" w:rsidTr="001A4E5C">
        <w:tc>
          <w:tcPr>
            <w:tcW w:w="8384" w:type="dxa"/>
            <w:gridSpan w:val="6"/>
            <w:shd w:val="clear" w:color="auto" w:fill="auto"/>
          </w:tcPr>
          <w:p w:rsidR="00FD2BA9" w:rsidRPr="00FE7564" w:rsidRDefault="00FD2BA9" w:rsidP="00C26563">
            <w:pPr>
              <w:tabs>
                <w:tab w:val="left" w:pos="0"/>
              </w:tabs>
              <w:jc w:val="left"/>
              <w:rPr>
                <w:rFonts w:ascii="Arial Narrow" w:hAnsi="Arial Narrow"/>
                <w:b/>
                <w:bCs/>
                <w:color w:val="000000"/>
                <w:sz w:val="20"/>
              </w:rPr>
            </w:pPr>
            <w:r w:rsidRPr="00FE7564">
              <w:rPr>
                <w:rFonts w:ascii="Arial Narrow" w:hAnsi="Arial Narrow"/>
                <w:b/>
                <w:bCs/>
                <w:color w:val="000000"/>
                <w:sz w:val="20"/>
              </w:rPr>
              <w:t>Estimated extent of use</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Number treated</w:t>
            </w:r>
          </w:p>
        </w:tc>
        <w:tc>
          <w:tcPr>
            <w:tcW w:w="1155" w:type="dxa"/>
            <w:shd w:val="clear" w:color="auto" w:fill="auto"/>
            <w:vAlign w:val="center"/>
          </w:tcPr>
          <w:p w:rsidR="00FD2BA9" w:rsidRPr="00D30355" w:rsidRDefault="00D30355" w:rsidP="00C26563">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134" w:type="dxa"/>
            <w:shd w:val="clear" w:color="auto" w:fill="auto"/>
            <w:vAlign w:val="center"/>
          </w:tcPr>
          <w:p w:rsidR="00FD2BA9" w:rsidRPr="00D30355" w:rsidRDefault="00D30355" w:rsidP="00C26563">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134" w:type="dxa"/>
            <w:shd w:val="clear" w:color="auto" w:fill="auto"/>
            <w:vAlign w:val="center"/>
          </w:tcPr>
          <w:p w:rsidR="00FD2BA9" w:rsidRPr="00D30355" w:rsidRDefault="00D30355" w:rsidP="00C26563">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134" w:type="dxa"/>
            <w:shd w:val="clear" w:color="auto" w:fill="auto"/>
            <w:vAlign w:val="center"/>
          </w:tcPr>
          <w:p w:rsidR="00FD2BA9" w:rsidRPr="00D30355" w:rsidRDefault="00D30355" w:rsidP="00C26563">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134" w:type="dxa"/>
            <w:shd w:val="clear" w:color="auto" w:fill="auto"/>
            <w:vAlign w:val="center"/>
          </w:tcPr>
          <w:p w:rsidR="00FD2BA9" w:rsidRPr="00D30355" w:rsidRDefault="00D30355" w:rsidP="00C26563">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vertAlign w:val="superscript"/>
              </w:rPr>
            </w:pPr>
            <w:proofErr w:type="spellStart"/>
            <w:r w:rsidRPr="00FE7564">
              <w:rPr>
                <w:rFonts w:ascii="Arial Narrow" w:hAnsi="Arial Narrow"/>
                <w:sz w:val="20"/>
              </w:rPr>
              <w:t>Scripts</w:t>
            </w:r>
            <w:r w:rsidR="00330C69" w:rsidRPr="00FE7564">
              <w:rPr>
                <w:rFonts w:ascii="Arial Narrow" w:hAnsi="Arial Narrow"/>
                <w:sz w:val="20"/>
                <w:vertAlign w:val="superscript"/>
              </w:rPr>
              <w:t>a</w:t>
            </w:r>
            <w:proofErr w:type="spellEnd"/>
          </w:p>
        </w:tc>
        <w:tc>
          <w:tcPr>
            <w:tcW w:w="1155" w:type="dxa"/>
            <w:shd w:val="clear" w:color="auto" w:fill="auto"/>
            <w:vAlign w:val="bottom"/>
          </w:tcPr>
          <w:p w:rsidR="00FD2BA9" w:rsidRPr="00D30355" w:rsidRDefault="00D30355" w:rsidP="00C26563">
            <w:pPr>
              <w:tabs>
                <w:tab w:val="left" w:pos="0"/>
              </w:tabs>
              <w:jc w:val="center"/>
              <w:rPr>
                <w:rFonts w:ascii="Arial Narrow" w:hAnsi="Arial Narrow"/>
                <w:b/>
                <w:sz w:val="20"/>
                <w:highlight w:val="black"/>
              </w:rPr>
            </w:pPr>
            <w:r>
              <w:rPr>
                <w:rStyle w:val="TableBold"/>
                <w:b w:val="0"/>
                <w:noProof/>
                <w:color w:val="000000"/>
                <w:szCs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
                <w:sz w:val="20"/>
                <w:highlight w:val="black"/>
              </w:rPr>
            </w:pPr>
            <w:r>
              <w:rPr>
                <w:rStyle w:val="TableBold"/>
                <w:b w:val="0"/>
                <w:noProof/>
                <w:color w:val="000000"/>
                <w:szCs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
                <w:sz w:val="20"/>
                <w:highlight w:val="black"/>
              </w:rPr>
            </w:pPr>
            <w:r>
              <w:rPr>
                <w:rStyle w:val="TableBold"/>
                <w:b w:val="0"/>
                <w:noProof/>
                <w:color w:val="000000"/>
                <w:szCs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
                <w:sz w:val="20"/>
                <w:highlight w:val="black"/>
              </w:rPr>
            </w:pPr>
            <w:r>
              <w:rPr>
                <w:rStyle w:val="TableBold"/>
                <w:b w:val="0"/>
                <w:noProof/>
                <w:color w:val="000000"/>
                <w:szCs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
                <w:sz w:val="20"/>
                <w:highlight w:val="black"/>
              </w:rPr>
            </w:pPr>
            <w:r>
              <w:rPr>
                <w:rStyle w:val="TableBold"/>
                <w:b w:val="0"/>
                <w:noProof/>
                <w:color w:val="000000"/>
                <w:szCs w:val="20"/>
                <w:highlight w:val="black"/>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vertAlign w:val="superscript"/>
              </w:rPr>
            </w:pPr>
            <w:r w:rsidRPr="00FE7564">
              <w:rPr>
                <w:rFonts w:ascii="Arial Narrow" w:hAnsi="Arial Narrow"/>
                <w:sz w:val="20"/>
              </w:rPr>
              <w:t>Scripts Nov 2014</w:t>
            </w:r>
            <w:r w:rsidR="00330C69" w:rsidRPr="00FE7564">
              <w:rPr>
                <w:rFonts w:ascii="Arial Narrow" w:hAnsi="Arial Narrow"/>
                <w:sz w:val="20"/>
                <w:vertAlign w:val="superscript"/>
              </w:rPr>
              <w:t>a</w:t>
            </w:r>
          </w:p>
        </w:tc>
        <w:tc>
          <w:tcPr>
            <w:tcW w:w="1155" w:type="dxa"/>
            <w:shd w:val="clear" w:color="auto" w:fill="auto"/>
            <w:vAlign w:val="bottom"/>
          </w:tcPr>
          <w:p w:rsidR="00FD2BA9" w:rsidRPr="00D30355" w:rsidRDefault="00D30355" w:rsidP="00C26563">
            <w:pPr>
              <w:tabs>
                <w:tab w:val="left" w:pos="0"/>
              </w:tab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FD2BA9" w:rsidRPr="00FE7564" w:rsidTr="001A4E5C">
        <w:tc>
          <w:tcPr>
            <w:tcW w:w="2693" w:type="dxa"/>
            <w:shd w:val="clear" w:color="auto" w:fill="auto"/>
          </w:tcPr>
          <w:p w:rsidR="00FD2BA9" w:rsidRPr="00FE7564" w:rsidRDefault="00FD2BA9" w:rsidP="006A22D0">
            <w:pPr>
              <w:tabs>
                <w:tab w:val="left" w:pos="0"/>
              </w:tabs>
              <w:jc w:val="left"/>
              <w:rPr>
                <w:rFonts w:ascii="Arial Narrow" w:hAnsi="Arial Narrow"/>
                <w:sz w:val="20"/>
                <w:vertAlign w:val="superscript"/>
              </w:rPr>
            </w:pPr>
            <w:r w:rsidRPr="00FE7564">
              <w:rPr>
                <w:rFonts w:ascii="Arial Narrow" w:hAnsi="Arial Narrow"/>
                <w:sz w:val="20"/>
              </w:rPr>
              <w:t xml:space="preserve">Scripts March </w:t>
            </w:r>
            <w:r w:rsidR="006A22D0" w:rsidRPr="00FE7564">
              <w:rPr>
                <w:rFonts w:ascii="Arial Narrow" w:hAnsi="Arial Narrow"/>
                <w:sz w:val="20"/>
              </w:rPr>
              <w:t>2014</w:t>
            </w:r>
            <w:r w:rsidR="006A22D0" w:rsidRPr="00FE7564">
              <w:rPr>
                <w:rFonts w:ascii="Arial Narrow" w:hAnsi="Arial Narrow"/>
                <w:sz w:val="20"/>
                <w:vertAlign w:val="superscript"/>
              </w:rPr>
              <w:t>a</w:t>
            </w:r>
          </w:p>
        </w:tc>
        <w:tc>
          <w:tcPr>
            <w:tcW w:w="1155" w:type="dxa"/>
            <w:shd w:val="clear" w:color="auto" w:fill="auto"/>
            <w:vAlign w:val="bottom"/>
          </w:tcPr>
          <w:p w:rsidR="00FD2BA9" w:rsidRPr="00D30355" w:rsidRDefault="00D30355" w:rsidP="00C26563">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134" w:type="dxa"/>
            <w:shd w:val="clear" w:color="auto" w:fill="auto"/>
            <w:vAlign w:val="bottom"/>
          </w:tcPr>
          <w:p w:rsidR="00FD2BA9" w:rsidRPr="00D30355" w:rsidRDefault="00D30355" w:rsidP="00C26563">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r>
      <w:tr w:rsidR="00FD2BA9" w:rsidRPr="00FE7564" w:rsidTr="001A4E5C">
        <w:tc>
          <w:tcPr>
            <w:tcW w:w="8384" w:type="dxa"/>
            <w:gridSpan w:val="6"/>
            <w:shd w:val="clear" w:color="auto" w:fill="auto"/>
          </w:tcPr>
          <w:p w:rsidR="00FD2BA9" w:rsidRPr="00FE7564" w:rsidRDefault="00FD2BA9" w:rsidP="001A4E5C">
            <w:pPr>
              <w:tabs>
                <w:tab w:val="left" w:pos="0"/>
              </w:tabs>
              <w:jc w:val="left"/>
              <w:rPr>
                <w:rFonts w:ascii="Arial Narrow" w:hAnsi="Arial Narrow"/>
                <w:b/>
                <w:bCs/>
                <w:color w:val="000000"/>
                <w:sz w:val="20"/>
              </w:rPr>
            </w:pPr>
            <w:r w:rsidRPr="00FE7564">
              <w:rPr>
                <w:rFonts w:ascii="Arial Narrow" w:hAnsi="Arial Narrow"/>
                <w:b/>
                <w:bCs/>
                <w:color w:val="000000"/>
                <w:sz w:val="20"/>
              </w:rPr>
              <w:t>Estimated net cost to PBS/RPBS</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to PBS/RPBS</w:t>
            </w:r>
          </w:p>
        </w:tc>
        <w:tc>
          <w:tcPr>
            <w:tcW w:w="1155" w:type="dxa"/>
            <w:shd w:val="clear" w:color="auto" w:fill="auto"/>
            <w:vAlign w:val="bottom"/>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to PBS/RPBS</w:t>
            </w:r>
            <w:r w:rsidR="005B2B32" w:rsidRPr="00FE7564">
              <w:rPr>
                <w:rFonts w:ascii="Arial Narrow" w:hAnsi="Arial Narrow"/>
                <w:sz w:val="20"/>
              </w:rPr>
              <w:t xml:space="preserve"> </w:t>
            </w:r>
            <w:r w:rsidRPr="00FE7564">
              <w:rPr>
                <w:rFonts w:ascii="Arial Narrow" w:hAnsi="Arial Narrow"/>
                <w:sz w:val="20"/>
              </w:rPr>
              <w:t>Nov 2014</w:t>
            </w:r>
          </w:p>
        </w:tc>
        <w:tc>
          <w:tcPr>
            <w:tcW w:w="1155" w:type="dxa"/>
            <w:shd w:val="clear" w:color="auto" w:fill="auto"/>
            <w:vAlign w:val="center"/>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contextualSpacing/>
              <w:jc w:val="center"/>
              <w:rPr>
                <w:rFonts w:ascii="Arial Narrow" w:hAnsi="Arial Narrow"/>
                <w:bCs/>
                <w:color w:val="000000"/>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PBS/RPBS March 2014</w:t>
            </w:r>
          </w:p>
        </w:tc>
        <w:tc>
          <w:tcPr>
            <w:tcW w:w="1155"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color w:val="000000"/>
                <w:sz w:val="20"/>
              </w:rPr>
              <w:t>$</w:t>
            </w:r>
            <w:r w:rsidR="00D30355">
              <w:rPr>
                <w:rFonts w:ascii="Arial Narrow" w:hAnsi="Arial Narrow"/>
                <w:bCs/>
                <w:noProof/>
                <w:color w:val="000000"/>
                <w:sz w:val="20"/>
                <w:highlight w:val="black"/>
              </w:rPr>
              <w:t>''''''''''''''''''''''''</w:t>
            </w:r>
          </w:p>
        </w:tc>
      </w:tr>
      <w:tr w:rsidR="001A4E5C" w:rsidRPr="00FE7564" w:rsidTr="001A4E5C">
        <w:tc>
          <w:tcPr>
            <w:tcW w:w="8384" w:type="dxa"/>
            <w:gridSpan w:val="6"/>
            <w:shd w:val="clear" w:color="auto" w:fill="auto"/>
          </w:tcPr>
          <w:p w:rsidR="001A4E5C" w:rsidRPr="00FE7564" w:rsidRDefault="001A4E5C" w:rsidP="001A4E5C">
            <w:pPr>
              <w:tabs>
                <w:tab w:val="left" w:pos="0"/>
              </w:tabs>
              <w:jc w:val="left"/>
              <w:rPr>
                <w:rFonts w:ascii="Arial Narrow" w:hAnsi="Arial Narrow" w:cs="Times New Roman"/>
                <w:snapToGrid/>
                <w:color w:val="000000"/>
                <w:sz w:val="20"/>
                <w:szCs w:val="20"/>
              </w:rPr>
            </w:pPr>
            <w:r w:rsidRPr="00FE7564">
              <w:rPr>
                <w:rFonts w:ascii="Arial Narrow" w:hAnsi="Arial Narrow"/>
                <w:b/>
                <w:bCs/>
                <w:color w:val="000000"/>
                <w:sz w:val="20"/>
              </w:rPr>
              <w:t>Estimated net cost to the MBS</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MBS</w:t>
            </w:r>
          </w:p>
        </w:tc>
        <w:tc>
          <w:tcPr>
            <w:tcW w:w="1155"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MBS Nov 2014</w:t>
            </w:r>
          </w:p>
        </w:tc>
        <w:tc>
          <w:tcPr>
            <w:tcW w:w="1155"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MBS March 2014</w:t>
            </w:r>
          </w:p>
        </w:tc>
        <w:tc>
          <w:tcPr>
            <w:tcW w:w="1155"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r>
      <w:tr w:rsidR="001A4E5C" w:rsidRPr="00FE7564" w:rsidTr="001A4E5C">
        <w:tc>
          <w:tcPr>
            <w:tcW w:w="8384" w:type="dxa"/>
            <w:gridSpan w:val="6"/>
            <w:shd w:val="clear" w:color="auto" w:fill="auto"/>
          </w:tcPr>
          <w:p w:rsidR="001A4E5C" w:rsidRPr="00FE7564" w:rsidRDefault="001A4E5C" w:rsidP="001A4E5C">
            <w:pPr>
              <w:tabs>
                <w:tab w:val="left" w:pos="0"/>
              </w:tabs>
              <w:jc w:val="left"/>
              <w:rPr>
                <w:rFonts w:ascii="Arial Narrow" w:hAnsi="Arial Narrow" w:cs="Times New Roman"/>
                <w:snapToGrid/>
                <w:color w:val="000000"/>
                <w:sz w:val="20"/>
                <w:szCs w:val="20"/>
              </w:rPr>
            </w:pPr>
            <w:r w:rsidRPr="00FE7564">
              <w:rPr>
                <w:rFonts w:ascii="Arial Narrow" w:hAnsi="Arial Narrow"/>
                <w:b/>
                <w:bCs/>
                <w:color w:val="000000"/>
                <w:sz w:val="20"/>
              </w:rPr>
              <w:t>Estimated net cost to state governments</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state/ territory gov’t</w:t>
            </w:r>
          </w:p>
        </w:tc>
        <w:tc>
          <w:tcPr>
            <w:tcW w:w="1155"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sz w:val="20"/>
              </w:rPr>
            </w:pPr>
            <w:r w:rsidRPr="00FE7564">
              <w:rPr>
                <w:rFonts w:ascii="Arial Narrow" w:hAnsi="Arial Narrow" w:cs="Times New Roman"/>
                <w:snapToGrid/>
                <w:color w:val="000000"/>
                <w:sz w:val="20"/>
                <w:szCs w:val="20"/>
              </w:rPr>
              <w:t>$</w:t>
            </w:r>
            <w:r w:rsidR="00D30355">
              <w:rPr>
                <w:rFonts w:ascii="Arial Narrow" w:hAnsi="Arial Narrow" w:cs="Times New Roman"/>
                <w:noProof/>
                <w:snapToGrid/>
                <w:color w:val="000000"/>
                <w:sz w:val="20"/>
                <w:szCs w:val="20"/>
                <w:highlight w:val="black"/>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Net cost state/ territory gov’t</w:t>
            </w:r>
          </w:p>
          <w:p w:rsidR="00FD2BA9" w:rsidRPr="00FE7564" w:rsidRDefault="002F13B0" w:rsidP="00C26563">
            <w:pPr>
              <w:tabs>
                <w:tab w:val="left" w:pos="0"/>
              </w:tabs>
              <w:jc w:val="left"/>
              <w:rPr>
                <w:rFonts w:ascii="Arial Narrow" w:hAnsi="Arial Narrow"/>
                <w:sz w:val="20"/>
              </w:rPr>
            </w:pPr>
            <w:r w:rsidRPr="00FE7564">
              <w:rPr>
                <w:rFonts w:ascii="Arial Narrow" w:hAnsi="Arial Narrow"/>
                <w:sz w:val="20"/>
              </w:rPr>
              <w:t xml:space="preserve">March 2014 and </w:t>
            </w:r>
            <w:r w:rsidR="00FD2BA9" w:rsidRPr="00FE7564">
              <w:rPr>
                <w:rFonts w:ascii="Arial Narrow" w:hAnsi="Arial Narrow"/>
                <w:sz w:val="20"/>
              </w:rPr>
              <w:t>Nov 2014</w:t>
            </w:r>
          </w:p>
        </w:tc>
        <w:tc>
          <w:tcPr>
            <w:tcW w:w="1155"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r>
      <w:tr w:rsidR="00FD2BA9" w:rsidRPr="00FE7564" w:rsidTr="001A4E5C">
        <w:tc>
          <w:tcPr>
            <w:tcW w:w="8384" w:type="dxa"/>
            <w:gridSpan w:val="6"/>
            <w:shd w:val="clear" w:color="auto" w:fill="auto"/>
          </w:tcPr>
          <w:p w:rsidR="00FD2BA9" w:rsidRPr="00FE7564" w:rsidRDefault="00FD2BA9" w:rsidP="00C26563">
            <w:pPr>
              <w:tabs>
                <w:tab w:val="left" w:pos="0"/>
              </w:tabs>
              <w:jc w:val="left"/>
              <w:rPr>
                <w:rFonts w:ascii="Arial Narrow" w:hAnsi="Arial Narrow"/>
                <w:b/>
                <w:color w:val="000000"/>
                <w:sz w:val="20"/>
              </w:rPr>
            </w:pPr>
            <w:r w:rsidRPr="00FE7564">
              <w:rPr>
                <w:rFonts w:ascii="Arial Narrow" w:hAnsi="Arial Narrow"/>
                <w:b/>
                <w:color w:val="000000"/>
                <w:sz w:val="20"/>
              </w:rPr>
              <w:t>Estimated total net cost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b/>
                <w:sz w:val="20"/>
              </w:rPr>
            </w:pPr>
            <w:r w:rsidRPr="00FE7564">
              <w:rPr>
                <w:rFonts w:ascii="Arial Narrow" w:hAnsi="Arial Narrow"/>
                <w:b/>
                <w:sz w:val="20"/>
              </w:rPr>
              <w:t>Net cost to government</w:t>
            </w:r>
          </w:p>
        </w:tc>
        <w:tc>
          <w:tcPr>
            <w:tcW w:w="1155" w:type="dxa"/>
            <w:shd w:val="clear" w:color="auto" w:fill="auto"/>
            <w:vAlign w:val="bottom"/>
          </w:tcPr>
          <w:p w:rsidR="00FD2BA9" w:rsidRPr="00FE7564" w:rsidRDefault="00FD2BA9" w:rsidP="00C26563">
            <w:pPr>
              <w:tabs>
                <w:tab w:val="left" w:pos="0"/>
              </w:tabs>
              <w:jc w:val="center"/>
              <w:rPr>
                <w:rFonts w:ascii="Arial Narrow" w:hAnsi="Arial Narrow"/>
                <w:b/>
                <w:sz w:val="20"/>
              </w:rPr>
            </w:pPr>
            <w:r w:rsidRPr="00FE7564">
              <w:rPr>
                <w:rFonts w:ascii="Arial Narrow" w:hAnsi="Arial Narrow" w:cs="Times New Roman"/>
                <w:b/>
                <w:snapToGrid/>
                <w:color w:val="000000"/>
                <w:sz w:val="20"/>
                <w:szCs w:val="20"/>
              </w:rPr>
              <w:t>$</w:t>
            </w:r>
            <w:r w:rsidR="00D30355">
              <w:rPr>
                <w:rFonts w:ascii="Arial Narrow" w:hAnsi="Arial Narrow" w:cs="Times New Roman"/>
                <w:b/>
                <w:noProof/>
                <w:snapToGrid/>
                <w:color w:val="000000"/>
                <w:sz w:val="20"/>
                <w:szCs w:val="20"/>
                <w:highlight w:val="black"/>
              </w:rPr>
              <w:t>'''''''''''''''''''''</w:t>
            </w:r>
            <w:r w:rsidR="00D30355">
              <w:rPr>
                <w:rFonts w:ascii="Arial Narrow" w:hAnsi="Arial Narrow" w:cs="Times New Roman"/>
                <w:b/>
                <w:noProof/>
                <w:snapToGrid/>
                <w:color w:val="000000"/>
                <w:sz w:val="20"/>
                <w:szCs w:val="20"/>
                <w:highlight w:val="black"/>
              </w:rPr>
              <w:lastRenderedPageBreak/>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b/>
                <w:sz w:val="20"/>
              </w:rPr>
            </w:pPr>
            <w:r w:rsidRPr="00FE7564">
              <w:rPr>
                <w:rFonts w:ascii="Arial Narrow" w:hAnsi="Arial Narrow" w:cs="Times New Roman"/>
                <w:b/>
                <w:snapToGrid/>
                <w:color w:val="000000"/>
                <w:sz w:val="20"/>
                <w:szCs w:val="20"/>
              </w:rPr>
              <w:lastRenderedPageBreak/>
              <w:t>$</w:t>
            </w:r>
            <w:r w:rsidR="00D30355">
              <w:rPr>
                <w:rFonts w:ascii="Arial Narrow" w:hAnsi="Arial Narrow" w:cs="Times New Roman"/>
                <w:b/>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b/>
                <w:sz w:val="20"/>
              </w:rPr>
            </w:pPr>
            <w:r w:rsidRPr="00FE7564">
              <w:rPr>
                <w:rFonts w:ascii="Arial Narrow" w:hAnsi="Arial Narrow" w:cs="Times New Roman"/>
                <w:b/>
                <w:snapToGrid/>
                <w:color w:val="000000"/>
                <w:sz w:val="20"/>
                <w:szCs w:val="20"/>
              </w:rPr>
              <w:t>$</w:t>
            </w:r>
            <w:r w:rsidR="00D30355">
              <w:rPr>
                <w:rFonts w:ascii="Arial Narrow" w:hAnsi="Arial Narrow" w:cs="Times New Roman"/>
                <w:b/>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b/>
                <w:sz w:val="20"/>
              </w:rPr>
            </w:pPr>
            <w:r w:rsidRPr="00FE7564">
              <w:rPr>
                <w:rFonts w:ascii="Arial Narrow" w:hAnsi="Arial Narrow" w:cs="Times New Roman"/>
                <w:b/>
                <w:snapToGrid/>
                <w:color w:val="000000"/>
                <w:sz w:val="20"/>
                <w:szCs w:val="20"/>
              </w:rPr>
              <w:t>$</w:t>
            </w:r>
            <w:r w:rsidR="00D30355">
              <w:rPr>
                <w:rFonts w:ascii="Arial Narrow" w:hAnsi="Arial Narrow" w:cs="Times New Roman"/>
                <w:b/>
                <w:noProof/>
                <w:snapToGrid/>
                <w:color w:val="000000"/>
                <w:sz w:val="20"/>
                <w:szCs w:val="20"/>
                <w:highlight w:val="black"/>
              </w:rPr>
              <w:t>'''''''''''''''''''''</w:t>
            </w:r>
          </w:p>
        </w:tc>
        <w:tc>
          <w:tcPr>
            <w:tcW w:w="1134" w:type="dxa"/>
            <w:shd w:val="clear" w:color="auto" w:fill="auto"/>
            <w:vAlign w:val="bottom"/>
          </w:tcPr>
          <w:p w:rsidR="00FD2BA9" w:rsidRPr="00FE7564" w:rsidRDefault="00FD2BA9" w:rsidP="00C26563">
            <w:pPr>
              <w:tabs>
                <w:tab w:val="left" w:pos="0"/>
              </w:tabs>
              <w:jc w:val="center"/>
              <w:rPr>
                <w:rFonts w:ascii="Arial Narrow" w:hAnsi="Arial Narrow"/>
                <w:b/>
                <w:sz w:val="20"/>
              </w:rPr>
            </w:pPr>
            <w:r w:rsidRPr="00FE7564">
              <w:rPr>
                <w:rFonts w:ascii="Arial Narrow" w:hAnsi="Arial Narrow" w:cs="Times New Roman"/>
                <w:b/>
                <w:snapToGrid/>
                <w:color w:val="000000"/>
                <w:sz w:val="20"/>
                <w:szCs w:val="20"/>
              </w:rPr>
              <w:t>$</w:t>
            </w:r>
            <w:r w:rsidR="00D30355">
              <w:rPr>
                <w:rFonts w:ascii="Arial Narrow" w:hAnsi="Arial Narrow" w:cs="Times New Roman"/>
                <w:b/>
                <w:noProof/>
                <w:snapToGrid/>
                <w:color w:val="000000"/>
                <w:sz w:val="20"/>
                <w:szCs w:val="20"/>
                <w:highlight w:val="black"/>
              </w:rPr>
              <w:t>'''''''''''''''''''''</w:t>
            </w:r>
            <w:r w:rsidR="00D30355">
              <w:rPr>
                <w:rFonts w:ascii="Arial Narrow" w:hAnsi="Arial Narrow" w:cs="Times New Roman"/>
                <w:b/>
                <w:noProof/>
                <w:snapToGrid/>
                <w:color w:val="000000"/>
                <w:sz w:val="20"/>
                <w:szCs w:val="20"/>
                <w:highlight w:val="black"/>
              </w:rPr>
              <w:lastRenderedPageBreak/>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lastRenderedPageBreak/>
              <w:t xml:space="preserve">Net cost to </w:t>
            </w:r>
            <w:r w:rsidR="000E237A" w:rsidRPr="00FE7564">
              <w:rPr>
                <w:rFonts w:ascii="Arial Narrow" w:hAnsi="Arial Narrow"/>
                <w:sz w:val="20"/>
              </w:rPr>
              <w:t xml:space="preserve">gov’t </w:t>
            </w:r>
            <w:r w:rsidRPr="00FE7564">
              <w:rPr>
                <w:rFonts w:ascii="Arial Narrow" w:hAnsi="Arial Narrow"/>
                <w:sz w:val="20"/>
              </w:rPr>
              <w:t>Nov 2014</w:t>
            </w:r>
          </w:p>
        </w:tc>
        <w:tc>
          <w:tcPr>
            <w:tcW w:w="1155"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sz w:val="20"/>
              </w:rPr>
              <w:t>$</w:t>
            </w:r>
            <w:r w:rsidR="00D30355">
              <w:rPr>
                <w:rFonts w:ascii="Arial Narrow" w:hAnsi="Arial Narrow"/>
                <w:noProof/>
                <w:color w:val="000000"/>
                <w:sz w:val="20"/>
                <w:highlight w:val="black"/>
              </w:rPr>
              <w:t>''''''''''''''''''''''''''</w:t>
            </w:r>
          </w:p>
        </w:tc>
      </w:tr>
      <w:tr w:rsidR="00FD2BA9" w:rsidRPr="00FE7564" w:rsidTr="001A4E5C">
        <w:tc>
          <w:tcPr>
            <w:tcW w:w="2693" w:type="dxa"/>
            <w:shd w:val="clear" w:color="auto" w:fill="auto"/>
          </w:tcPr>
          <w:p w:rsidR="00FD2BA9" w:rsidRPr="00FE7564" w:rsidRDefault="00FD2BA9" w:rsidP="00C26563">
            <w:pPr>
              <w:tabs>
                <w:tab w:val="left" w:pos="0"/>
              </w:tabs>
              <w:jc w:val="left"/>
              <w:rPr>
                <w:rFonts w:ascii="Arial Narrow" w:hAnsi="Arial Narrow"/>
                <w:sz w:val="20"/>
              </w:rPr>
            </w:pPr>
            <w:r w:rsidRPr="00FE7564">
              <w:rPr>
                <w:rFonts w:ascii="Arial Narrow" w:hAnsi="Arial Narrow"/>
                <w:sz w:val="20"/>
              </w:rPr>
              <w:t xml:space="preserve">Net cost </w:t>
            </w:r>
            <w:r w:rsidR="000E237A" w:rsidRPr="00FE7564">
              <w:rPr>
                <w:rFonts w:ascii="Arial Narrow" w:hAnsi="Arial Narrow"/>
                <w:sz w:val="20"/>
              </w:rPr>
              <w:t>gov’t</w:t>
            </w:r>
            <w:r w:rsidR="000E237A" w:rsidRPr="00FE7564" w:rsidDel="000E237A">
              <w:rPr>
                <w:rFonts w:ascii="Arial Narrow" w:hAnsi="Arial Narrow"/>
                <w:sz w:val="20"/>
              </w:rPr>
              <w:t xml:space="preserve"> </w:t>
            </w:r>
            <w:r w:rsidR="00EF6FB2" w:rsidRPr="00FE7564">
              <w:rPr>
                <w:rFonts w:ascii="Arial Narrow" w:hAnsi="Arial Narrow"/>
                <w:sz w:val="20"/>
              </w:rPr>
              <w:t>March 2014</w:t>
            </w:r>
          </w:p>
        </w:tc>
        <w:tc>
          <w:tcPr>
            <w:tcW w:w="1155"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sz w:val="20"/>
              </w:rPr>
              <w:t>$</w:t>
            </w:r>
            <w:r w:rsidR="00D30355">
              <w:rPr>
                <w:rFonts w:ascii="Arial Narrow" w:hAnsi="Arial Narrow"/>
                <w:bCs/>
                <w:noProof/>
                <w:color w:val="000000"/>
                <w:sz w:val="20"/>
                <w:highlight w:val="black"/>
              </w:rPr>
              <w:t>'''''''''''''''''''''''''''''</w:t>
            </w:r>
          </w:p>
        </w:tc>
        <w:tc>
          <w:tcPr>
            <w:tcW w:w="1134" w:type="dxa"/>
            <w:shd w:val="clear" w:color="auto" w:fill="auto"/>
            <w:vAlign w:val="center"/>
          </w:tcPr>
          <w:p w:rsidR="00FD2BA9" w:rsidRPr="00FE7564" w:rsidRDefault="00FD2BA9" w:rsidP="00C26563">
            <w:pPr>
              <w:tabs>
                <w:tab w:val="left" w:pos="0"/>
              </w:tabs>
              <w:jc w:val="center"/>
              <w:rPr>
                <w:rFonts w:ascii="Arial Narrow" w:hAnsi="Arial Narrow"/>
                <w:sz w:val="20"/>
              </w:rPr>
            </w:pPr>
            <w:r w:rsidRPr="00FE7564">
              <w:rPr>
                <w:rFonts w:ascii="Arial Narrow" w:hAnsi="Arial Narrow"/>
                <w:bCs/>
                <w:sz w:val="20"/>
              </w:rPr>
              <w:t>$</w:t>
            </w:r>
            <w:r w:rsidR="00D30355">
              <w:rPr>
                <w:rFonts w:ascii="Arial Narrow" w:hAnsi="Arial Narrow"/>
                <w:bCs/>
                <w:noProof/>
                <w:color w:val="000000"/>
                <w:sz w:val="20"/>
                <w:highlight w:val="black"/>
              </w:rPr>
              <w:t>''''''''''''''''''''''''''</w:t>
            </w:r>
          </w:p>
        </w:tc>
      </w:tr>
    </w:tbl>
    <w:p w:rsidR="00FD2BA9" w:rsidRPr="00FE7564" w:rsidRDefault="00FD2BA9" w:rsidP="000B6691">
      <w:pPr>
        <w:pStyle w:val="TableFooter"/>
        <w:ind w:left="709"/>
      </w:pPr>
      <w:r w:rsidRPr="00FE7564">
        <w:t>Source: Compiled during the evaluation</w:t>
      </w:r>
      <w:r w:rsidR="000B6691" w:rsidRPr="00FE7564">
        <w:t>.</w:t>
      </w:r>
    </w:p>
    <w:p w:rsidR="00330C69" w:rsidRPr="00FE7564" w:rsidRDefault="006A22D0" w:rsidP="000B6691">
      <w:pPr>
        <w:pStyle w:val="TableFooter"/>
        <w:ind w:left="709"/>
        <w:rPr>
          <w:szCs w:val="22"/>
        </w:rPr>
      </w:pPr>
      <w:proofErr w:type="gramStart"/>
      <w:r w:rsidRPr="00FE7564">
        <w:rPr>
          <w:vertAlign w:val="superscript"/>
        </w:rPr>
        <w:t>a</w:t>
      </w:r>
      <w:proofErr w:type="gramEnd"/>
      <w:r w:rsidRPr="00FE7564">
        <w:t xml:space="preserve"> </w:t>
      </w:r>
      <w:r w:rsidR="00330C69" w:rsidRPr="00FE7564">
        <w:t xml:space="preserve">Combined </w:t>
      </w:r>
      <w:proofErr w:type="spellStart"/>
      <w:r w:rsidR="00330C69" w:rsidRPr="00FE7564">
        <w:t>dabrafenib</w:t>
      </w:r>
      <w:proofErr w:type="spellEnd"/>
      <w:r w:rsidR="00330C69" w:rsidRPr="00FE7564">
        <w:t xml:space="preserve"> and </w:t>
      </w:r>
      <w:proofErr w:type="spellStart"/>
      <w:r w:rsidR="00330C69" w:rsidRPr="00FE7564">
        <w:t>trametinib</w:t>
      </w:r>
      <w:proofErr w:type="spellEnd"/>
      <w:r w:rsidR="00330C69" w:rsidRPr="00FE7564">
        <w:t xml:space="preserve"> scripts</w:t>
      </w:r>
    </w:p>
    <w:p w:rsidR="00EF58F8" w:rsidRDefault="00EF58F8" w:rsidP="00EF58F8">
      <w:pPr>
        <w:pStyle w:val="ListParagraph"/>
        <w:widowControl/>
        <w:rPr>
          <w:szCs w:val="22"/>
        </w:rPr>
      </w:pPr>
    </w:p>
    <w:p w:rsidR="00EF58F8" w:rsidRPr="00EF58F8" w:rsidRDefault="00EF58F8" w:rsidP="00EF58F8">
      <w:pPr>
        <w:pStyle w:val="ListParagraph"/>
        <w:widowControl/>
        <w:rPr>
          <w:szCs w:val="22"/>
        </w:rPr>
      </w:pPr>
      <w:r w:rsidRPr="00EF58F8">
        <w:rPr>
          <w:szCs w:val="22"/>
        </w:rPr>
        <w:t>The redacted table shows that at year 5, the es</w:t>
      </w:r>
      <w:r>
        <w:rPr>
          <w:szCs w:val="22"/>
        </w:rPr>
        <w:t>timated number of patients was less than 10,000</w:t>
      </w:r>
      <w:r w:rsidRPr="00EF58F8">
        <w:rPr>
          <w:szCs w:val="22"/>
        </w:rPr>
        <w:t xml:space="preserve"> and the net c</w:t>
      </w:r>
      <w:r>
        <w:rPr>
          <w:szCs w:val="22"/>
        </w:rPr>
        <w:t>ost to the PBS would be $20 - $30 million per year.</w:t>
      </w:r>
    </w:p>
    <w:p w:rsidR="00FD2BA9" w:rsidRPr="00FE7564" w:rsidRDefault="00FD2BA9" w:rsidP="00FD2BA9">
      <w:pPr>
        <w:widowControl/>
        <w:rPr>
          <w:szCs w:val="22"/>
        </w:rPr>
      </w:pPr>
    </w:p>
    <w:p w:rsidR="00FD2BA9" w:rsidRPr="00FE7564" w:rsidRDefault="00754283" w:rsidP="005C35F3">
      <w:pPr>
        <w:pStyle w:val="ListParagraph"/>
        <w:widowControl/>
        <w:numPr>
          <w:ilvl w:val="1"/>
          <w:numId w:val="8"/>
        </w:numPr>
        <w:rPr>
          <w:szCs w:val="22"/>
        </w:rPr>
      </w:pPr>
      <w:r w:rsidRPr="00FE7564">
        <w:rPr>
          <w:szCs w:val="22"/>
        </w:rPr>
        <w:t>While the number o</w:t>
      </w:r>
      <w:r w:rsidR="005C35F3" w:rsidRPr="00FE7564">
        <w:rPr>
          <w:szCs w:val="22"/>
        </w:rPr>
        <w:t>f treated pa</w:t>
      </w:r>
      <w:r w:rsidR="00EF6FB2" w:rsidRPr="00FE7564">
        <w:rPr>
          <w:szCs w:val="22"/>
        </w:rPr>
        <w:t>tients had</w:t>
      </w:r>
      <w:r w:rsidRPr="00FE7564">
        <w:rPr>
          <w:szCs w:val="22"/>
        </w:rPr>
        <w:t xml:space="preserve"> not changed since the November 2014 submission</w:t>
      </w:r>
      <w:r w:rsidR="00EF6FB2" w:rsidRPr="00FE7564">
        <w:rPr>
          <w:szCs w:val="22"/>
        </w:rPr>
        <w:t>,</w:t>
      </w:r>
      <w:r w:rsidRPr="00FE7564">
        <w:rPr>
          <w:szCs w:val="22"/>
        </w:rPr>
        <w:t xml:space="preserve"> the</w:t>
      </w:r>
      <w:r w:rsidR="00EF6FB2" w:rsidRPr="00FE7564">
        <w:rPr>
          <w:szCs w:val="22"/>
        </w:rPr>
        <w:t xml:space="preserve"> estimated number of scripts had</w:t>
      </w:r>
      <w:r w:rsidRPr="00FE7564">
        <w:rPr>
          <w:szCs w:val="22"/>
        </w:rPr>
        <w:t xml:space="preserve"> increased given the anticipated increase in treatment duration (</w:t>
      </w:r>
      <w:r w:rsidR="00D30355">
        <w:rPr>
          <w:noProof/>
          <w:color w:val="000000"/>
          <w:szCs w:val="22"/>
          <w:highlight w:val="black"/>
        </w:rPr>
        <w:t>''''''''''''''</w:t>
      </w:r>
      <w:r w:rsidRPr="00FE7564">
        <w:rPr>
          <w:szCs w:val="22"/>
        </w:rPr>
        <w:t xml:space="preserve"> months compared to </w:t>
      </w:r>
      <w:r w:rsidR="00D30355">
        <w:rPr>
          <w:noProof/>
          <w:color w:val="000000"/>
          <w:szCs w:val="22"/>
          <w:highlight w:val="black"/>
        </w:rPr>
        <w:t>'''''''''''''</w:t>
      </w:r>
      <w:r w:rsidRPr="00FE7564">
        <w:rPr>
          <w:szCs w:val="22"/>
        </w:rPr>
        <w:t xml:space="preserve"> months in the November 2014 </w:t>
      </w:r>
      <w:r w:rsidR="005C35F3" w:rsidRPr="00FE7564">
        <w:rPr>
          <w:szCs w:val="22"/>
        </w:rPr>
        <w:t xml:space="preserve">submission). </w:t>
      </w:r>
      <w:r w:rsidR="00FD2BA9" w:rsidRPr="00FE7564">
        <w:rPr>
          <w:szCs w:val="22"/>
        </w:rPr>
        <w:t>This would have had a larger impact on costs to the PBS had the submission not included PPACT co</w:t>
      </w:r>
      <w:r w:rsidR="00EF6FB2" w:rsidRPr="00FE7564">
        <w:rPr>
          <w:szCs w:val="22"/>
        </w:rPr>
        <w:t>sts in the financial estimates</w:t>
      </w:r>
      <w:r w:rsidR="00924419" w:rsidRPr="00FE7564">
        <w:rPr>
          <w:szCs w:val="22"/>
        </w:rPr>
        <w:t xml:space="preserve"> which led to a significant underestimate of the costs to the PBS</w:t>
      </w:r>
      <w:r w:rsidR="00EF6FB2" w:rsidRPr="00FE7564">
        <w:rPr>
          <w:szCs w:val="22"/>
        </w:rPr>
        <w:t>.</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 xml:space="preserve">If PPACT costs </w:t>
      </w:r>
      <w:r w:rsidR="00330C69" w:rsidRPr="00FE7564">
        <w:rPr>
          <w:szCs w:val="22"/>
        </w:rPr>
        <w:t>were</w:t>
      </w:r>
      <w:r w:rsidR="00CF2D3A" w:rsidRPr="00FE7564">
        <w:rPr>
          <w:szCs w:val="22"/>
        </w:rPr>
        <w:t xml:space="preserve"> excluded </w:t>
      </w:r>
      <w:r w:rsidRPr="00FE7564">
        <w:rPr>
          <w:szCs w:val="22"/>
        </w:rPr>
        <w:t xml:space="preserve">from the financial estimates, total costs to government would increase </w:t>
      </w:r>
      <w:proofErr w:type="gramStart"/>
      <w:r w:rsidR="00CF2D3A" w:rsidRPr="00FE7564">
        <w:rPr>
          <w:szCs w:val="22"/>
        </w:rPr>
        <w:t xml:space="preserve">to </w:t>
      </w:r>
      <w:r w:rsidRPr="00FE7564">
        <w:t xml:space="preserve"> </w:t>
      </w:r>
      <w:r w:rsidR="00EF58F8">
        <w:t>$</w:t>
      </w:r>
      <w:proofErr w:type="gramEnd"/>
      <w:r w:rsidR="00EF58F8">
        <w:t xml:space="preserve">20 - $30 million </w:t>
      </w:r>
      <w:r w:rsidRPr="00FE7564">
        <w:t xml:space="preserve">in Year 1 to </w:t>
      </w:r>
      <w:r w:rsidR="00EF58F8">
        <w:t xml:space="preserve"> $30 - $60 million</w:t>
      </w:r>
      <w:r w:rsidRPr="00FE7564">
        <w:t xml:space="preserve"> in Year 5 for a total of </w:t>
      </w:r>
      <w:r w:rsidR="00EF58F8">
        <w:t xml:space="preserve"> more than $100 </w:t>
      </w:r>
      <w:r w:rsidR="00F110A2">
        <w:t>million</w:t>
      </w:r>
      <w:r w:rsidRPr="00FE7564">
        <w:t xml:space="preserve"> during the first 5 years of listing</w:t>
      </w:r>
      <w:r w:rsidR="005C35F3" w:rsidRPr="00FE7564">
        <w:t xml:space="preserve"> compared to the 5 year total of  </w:t>
      </w:r>
      <w:r w:rsidR="00F110A2">
        <w:t xml:space="preserve">more than $100 million </w:t>
      </w:r>
      <w:r w:rsidR="005C35F3" w:rsidRPr="00FE7564">
        <w:t>estimated by the submission</w:t>
      </w:r>
      <w:r w:rsidRPr="00FE7564">
        <w:t>.</w:t>
      </w:r>
    </w:p>
    <w:p w:rsidR="00FD2BA9" w:rsidRPr="00FE7564" w:rsidRDefault="00FD2BA9" w:rsidP="00FD2BA9">
      <w:pPr>
        <w:widowControl/>
        <w:rPr>
          <w:szCs w:val="22"/>
        </w:rPr>
      </w:pPr>
    </w:p>
    <w:p w:rsidR="00FD2BA9" w:rsidRPr="00FE7564" w:rsidRDefault="00FD2BA9" w:rsidP="0031771D">
      <w:pPr>
        <w:pStyle w:val="Heading2"/>
      </w:pPr>
      <w:bookmarkStart w:id="16" w:name="_Toc451265350"/>
      <w:r w:rsidRPr="00FE7564">
        <w:t>Quality Use of Medicines</w:t>
      </w:r>
      <w:bookmarkEnd w:id="16"/>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t xml:space="preserve">The submission acknowledged that the treatment landscape for BRAF positive metastatic melanoma in Australia had undergone a rapid and marked transition recently from a landscape with few treatment options to </w:t>
      </w:r>
      <w:r w:rsidR="009F082E" w:rsidRPr="00FE7564">
        <w:t xml:space="preserve">a landscape </w:t>
      </w:r>
      <w:r w:rsidRPr="00FE7564">
        <w:t>with many</w:t>
      </w:r>
      <w:r w:rsidR="009F082E" w:rsidRPr="00FE7564">
        <w:t xml:space="preserve"> treatment options</w:t>
      </w:r>
      <w:r w:rsidRPr="00FE7564">
        <w:t>.</w:t>
      </w:r>
    </w:p>
    <w:p w:rsidR="00FD2BA9" w:rsidRPr="00FE7564" w:rsidRDefault="00FD2BA9" w:rsidP="00FD2BA9">
      <w:pPr>
        <w:widowControl/>
        <w:rPr>
          <w:szCs w:val="22"/>
        </w:rPr>
      </w:pPr>
    </w:p>
    <w:p w:rsidR="00FD2BA9" w:rsidRPr="00FE7564" w:rsidRDefault="00FD2BA9" w:rsidP="0031771D">
      <w:pPr>
        <w:pStyle w:val="Heading2"/>
      </w:pPr>
      <w:bookmarkStart w:id="17" w:name="_Toc451265351"/>
      <w:r w:rsidRPr="00FE7564">
        <w:t>Financial Management – Risk Sharing Arrangements</w:t>
      </w:r>
      <w:bookmarkEnd w:id="17"/>
    </w:p>
    <w:p w:rsidR="00FD2BA9" w:rsidRPr="00FE7564" w:rsidRDefault="00FD2BA9" w:rsidP="00FD2BA9">
      <w:pPr>
        <w:widowControl/>
        <w:rPr>
          <w:szCs w:val="22"/>
        </w:rPr>
      </w:pPr>
    </w:p>
    <w:p w:rsidR="00FD2BA9" w:rsidRPr="00D30355" w:rsidRDefault="00D30355" w:rsidP="00D30355">
      <w:pPr>
        <w:widowControl/>
        <w:ind w:left="720" w:hanging="720"/>
        <w:rPr>
          <w:szCs w:val="22"/>
          <w:highlight w:val="black"/>
        </w:rPr>
      </w:pPr>
      <w:r>
        <w:rPr>
          <w:noProof/>
          <w:color w:val="000000"/>
          <w:szCs w:val="22"/>
          <w:highlight w:val="black"/>
        </w:rPr>
        <w:t>'''''''''''''''''''''' ''''''''''''''''' ''''''''''''''' ''''''''' ''''''' ''''''''''''''''''''''''''''''' ''''''''''' ''''''''' ''''''''''''''''''' '''''''''''''''' ''''' '''' '''''''''''''' '''''''''''' ''''''''' ''' '''''''''' ''''''' '''''''''''''''''''' ''''''''''''''''''''' '''' '''''''''''''''''' '''''''' '''''''''''''''''''''''''''''''' '''''' ''''''''''''''''''''''''' '''''''''''''''''''' '''' ''''''''''''''' '''''''''''''''''''''''''''''''''''' ''''' '''' '''''''''''''''''' '''''''''''''''''''''' ''''''''''''</w:t>
      </w:r>
    </w:p>
    <w:p w:rsidR="00FD2BA9" w:rsidRPr="00FE7564" w:rsidRDefault="00FD2BA9" w:rsidP="00FD2BA9">
      <w:pPr>
        <w:widowControl/>
        <w:rPr>
          <w:szCs w:val="22"/>
        </w:rPr>
      </w:pPr>
    </w:p>
    <w:p w:rsidR="00FD2BA9" w:rsidRPr="00FE7564" w:rsidRDefault="00FD2BA9" w:rsidP="00FD2BA9">
      <w:pPr>
        <w:pStyle w:val="ListParagraph"/>
        <w:widowControl/>
        <w:numPr>
          <w:ilvl w:val="1"/>
          <w:numId w:val="8"/>
        </w:numPr>
        <w:rPr>
          <w:szCs w:val="22"/>
        </w:rPr>
      </w:pPr>
      <w:r w:rsidRPr="00FE7564">
        <w:rPr>
          <w:szCs w:val="22"/>
        </w:rPr>
        <w:t xml:space="preserve">The sponsor also acknowledged that the existing risk-sharing arrangements for </w:t>
      </w:r>
      <w:proofErr w:type="spellStart"/>
      <w:r w:rsidRPr="00FE7564">
        <w:rPr>
          <w:szCs w:val="22"/>
        </w:rPr>
        <w:t>trametinib</w:t>
      </w:r>
      <w:proofErr w:type="spellEnd"/>
      <w:r w:rsidRPr="00FE7564">
        <w:rPr>
          <w:szCs w:val="22"/>
        </w:rPr>
        <w:t xml:space="preserve"> and </w:t>
      </w:r>
      <w:proofErr w:type="spellStart"/>
      <w:r w:rsidRPr="00FE7564">
        <w:rPr>
          <w:szCs w:val="22"/>
        </w:rPr>
        <w:t>dabrafenib</w:t>
      </w:r>
      <w:proofErr w:type="spellEnd"/>
      <w:r w:rsidRPr="00FE7564">
        <w:rPr>
          <w:szCs w:val="22"/>
        </w:rPr>
        <w:t xml:space="preserve"> would likely need to be updated as a re</w:t>
      </w:r>
      <w:r w:rsidR="00EF6FB2" w:rsidRPr="00FE7564">
        <w:rPr>
          <w:szCs w:val="22"/>
        </w:rPr>
        <w:t>sult of the current submission.</w:t>
      </w:r>
    </w:p>
    <w:p w:rsidR="00207FD6" w:rsidRPr="00FE7564" w:rsidRDefault="00207FD6" w:rsidP="004E3141">
      <w:pPr>
        <w:pStyle w:val="PBACheading1"/>
        <w:numPr>
          <w:ilvl w:val="0"/>
          <w:numId w:val="0"/>
        </w:numPr>
      </w:pPr>
    </w:p>
    <w:p w:rsidR="0064400F" w:rsidRPr="00FE7564" w:rsidRDefault="0064400F" w:rsidP="007D6795">
      <w:pPr>
        <w:pStyle w:val="PBACheading1"/>
        <w:numPr>
          <w:ilvl w:val="0"/>
          <w:numId w:val="0"/>
        </w:numPr>
        <w:ind w:left="720"/>
        <w:rPr>
          <w:bCs/>
          <w:i/>
        </w:rPr>
      </w:pPr>
      <w:r w:rsidRPr="00FE7564">
        <w:rPr>
          <w:bCs/>
          <w:i/>
        </w:rPr>
        <w:t>For more detail on PBAC’s view, see section 7 “PBAC outcome”</w:t>
      </w:r>
      <w:r w:rsidR="007D6795" w:rsidRPr="00FE7564">
        <w:rPr>
          <w:bCs/>
          <w:i/>
        </w:rPr>
        <w:t>.</w:t>
      </w:r>
    </w:p>
    <w:p w:rsidR="00037476" w:rsidRDefault="00037476" w:rsidP="0064400F">
      <w:pPr>
        <w:pStyle w:val="PBACheading1"/>
        <w:numPr>
          <w:ilvl w:val="0"/>
          <w:numId w:val="0"/>
        </w:numPr>
        <w:ind w:left="720" w:hanging="720"/>
        <w:rPr>
          <w:bCs/>
        </w:rPr>
      </w:pPr>
    </w:p>
    <w:p w:rsidR="00401986" w:rsidRPr="00FE7564" w:rsidRDefault="00401986" w:rsidP="0064400F">
      <w:pPr>
        <w:pStyle w:val="PBACheading1"/>
        <w:numPr>
          <w:ilvl w:val="0"/>
          <w:numId w:val="0"/>
        </w:numPr>
        <w:ind w:left="720" w:hanging="720"/>
        <w:rPr>
          <w:bCs/>
        </w:rPr>
      </w:pPr>
    </w:p>
    <w:p w:rsidR="00CB074A" w:rsidRPr="00FE7564" w:rsidRDefault="00CB074A" w:rsidP="0031771D">
      <w:pPr>
        <w:pStyle w:val="Heading1"/>
      </w:pPr>
      <w:r w:rsidRPr="00FE7564">
        <w:t>PBAC Outcome</w:t>
      </w:r>
    </w:p>
    <w:p w:rsidR="00CB074A" w:rsidRPr="00FE7564" w:rsidRDefault="00CB074A" w:rsidP="00CB074A">
      <w:pPr>
        <w:rPr>
          <w:bCs/>
          <w:szCs w:val="20"/>
          <w:lang w:val="en-GB"/>
        </w:rPr>
      </w:pPr>
    </w:p>
    <w:p w:rsidR="008F5E01" w:rsidRPr="00FE7564" w:rsidRDefault="00397DAF" w:rsidP="008F5E01">
      <w:pPr>
        <w:numPr>
          <w:ilvl w:val="1"/>
          <w:numId w:val="8"/>
        </w:numPr>
        <w:rPr>
          <w:bCs/>
          <w:szCs w:val="20"/>
          <w:lang w:val="en-GB"/>
        </w:rPr>
      </w:pPr>
      <w:r w:rsidRPr="00FE7564">
        <w:rPr>
          <w:bCs/>
          <w:szCs w:val="20"/>
          <w:lang w:val="en-GB"/>
        </w:rPr>
        <w:t xml:space="preserve">The PBAC recommended </w:t>
      </w:r>
      <w:r w:rsidR="00E436FC" w:rsidRPr="00FE7564">
        <w:rPr>
          <w:bCs/>
          <w:szCs w:val="20"/>
          <w:lang w:val="en-GB"/>
        </w:rPr>
        <w:t>continuation of the</w:t>
      </w:r>
      <w:r w:rsidRPr="00FE7564">
        <w:rPr>
          <w:bCs/>
          <w:szCs w:val="20"/>
          <w:lang w:val="en-GB"/>
        </w:rPr>
        <w:t xml:space="preserve"> Authority required listing of </w:t>
      </w:r>
      <w:proofErr w:type="spellStart"/>
      <w:r w:rsidRPr="00FE7564">
        <w:rPr>
          <w:bCs/>
          <w:szCs w:val="20"/>
          <w:lang w:val="en-GB"/>
        </w:rPr>
        <w:t>trametinib</w:t>
      </w:r>
      <w:proofErr w:type="spellEnd"/>
      <w:r w:rsidRPr="00FE7564">
        <w:rPr>
          <w:bCs/>
          <w:szCs w:val="20"/>
          <w:lang w:val="en-GB"/>
        </w:rPr>
        <w:t xml:space="preserve">, for use in combination with </w:t>
      </w:r>
      <w:proofErr w:type="spellStart"/>
      <w:r w:rsidRPr="00FE7564">
        <w:rPr>
          <w:bCs/>
          <w:szCs w:val="20"/>
          <w:lang w:val="en-GB"/>
        </w:rPr>
        <w:t>dabrafenib</w:t>
      </w:r>
      <w:proofErr w:type="spellEnd"/>
      <w:r w:rsidRPr="00FE7564">
        <w:rPr>
          <w:bCs/>
          <w:szCs w:val="20"/>
          <w:lang w:val="en-GB"/>
        </w:rPr>
        <w:t xml:space="preserve">, for the treatment of patients with BRAF V600 mutation positive </w:t>
      </w:r>
      <w:proofErr w:type="spellStart"/>
      <w:r w:rsidRPr="00FE7564">
        <w:rPr>
          <w:bCs/>
          <w:szCs w:val="20"/>
          <w:lang w:val="en-GB"/>
        </w:rPr>
        <w:t>unresectable</w:t>
      </w:r>
      <w:proofErr w:type="spellEnd"/>
      <w:r w:rsidRPr="00FE7564">
        <w:rPr>
          <w:bCs/>
          <w:szCs w:val="20"/>
          <w:lang w:val="en-GB"/>
        </w:rPr>
        <w:t xml:space="preserve"> stage III or metastatic (stage IV) malignant melanoma.</w:t>
      </w:r>
    </w:p>
    <w:p w:rsidR="00077560" w:rsidRPr="00FE7564" w:rsidRDefault="00077560" w:rsidP="00077560">
      <w:pPr>
        <w:rPr>
          <w:bCs/>
          <w:szCs w:val="20"/>
          <w:lang w:val="en-GB"/>
        </w:rPr>
      </w:pPr>
    </w:p>
    <w:p w:rsidR="00E26E6C" w:rsidRPr="00FE7564" w:rsidRDefault="00E30BCE" w:rsidP="008F5E01">
      <w:pPr>
        <w:numPr>
          <w:ilvl w:val="1"/>
          <w:numId w:val="8"/>
        </w:numPr>
        <w:rPr>
          <w:bCs/>
          <w:szCs w:val="20"/>
          <w:lang w:val="en-GB"/>
        </w:rPr>
      </w:pPr>
      <w:r w:rsidRPr="00FE7564">
        <w:rPr>
          <w:bCs/>
          <w:szCs w:val="20"/>
          <w:lang w:val="en-GB"/>
        </w:rPr>
        <w:lastRenderedPageBreak/>
        <w:t>The PBAC recalled that, in recommend</w:t>
      </w:r>
      <w:r w:rsidR="00E436FC" w:rsidRPr="00FE7564">
        <w:rPr>
          <w:bCs/>
          <w:szCs w:val="20"/>
          <w:lang w:val="en-GB"/>
        </w:rPr>
        <w:t xml:space="preserve">ing the listing of </w:t>
      </w:r>
      <w:proofErr w:type="spellStart"/>
      <w:r w:rsidR="00E436FC" w:rsidRPr="00FE7564">
        <w:rPr>
          <w:bCs/>
          <w:szCs w:val="20"/>
          <w:lang w:val="en-GB"/>
        </w:rPr>
        <w:t>trametinib</w:t>
      </w:r>
      <w:proofErr w:type="spellEnd"/>
      <w:r w:rsidR="00E436FC" w:rsidRPr="00FE7564">
        <w:rPr>
          <w:bCs/>
          <w:szCs w:val="20"/>
          <w:lang w:val="en-GB"/>
        </w:rPr>
        <w:t xml:space="preserve"> </w:t>
      </w:r>
      <w:r w:rsidRPr="00FE7564">
        <w:rPr>
          <w:bCs/>
          <w:szCs w:val="20"/>
          <w:lang w:val="en-GB"/>
        </w:rPr>
        <w:t xml:space="preserve">in November 2014, it had proposed to review the </w:t>
      </w:r>
      <w:r w:rsidR="00336329" w:rsidRPr="00FE7564">
        <w:rPr>
          <w:bCs/>
          <w:szCs w:val="20"/>
          <w:lang w:val="en-GB"/>
        </w:rPr>
        <w:t xml:space="preserve">finalised results of COMBI-D and COMBI-V trials, to make sure patients receiving medicines on the PBS are being treated according to the best available evidence and that the cost of the combination therapy remains </w:t>
      </w:r>
      <w:r w:rsidR="00E26E6C" w:rsidRPr="00FE7564">
        <w:rPr>
          <w:bCs/>
          <w:szCs w:val="20"/>
          <w:lang w:val="en-GB"/>
        </w:rPr>
        <w:t>justified in terms of acceptable cost-effectiveness.</w:t>
      </w:r>
    </w:p>
    <w:p w:rsidR="00E26E6C" w:rsidRPr="00FE7564" w:rsidRDefault="00E26E6C" w:rsidP="00E26E6C">
      <w:pPr>
        <w:rPr>
          <w:bCs/>
          <w:szCs w:val="20"/>
          <w:lang w:val="en-GB"/>
        </w:rPr>
      </w:pPr>
    </w:p>
    <w:p w:rsidR="00397DAF" w:rsidRDefault="00E26E6C" w:rsidP="00F110A2">
      <w:pPr>
        <w:numPr>
          <w:ilvl w:val="1"/>
          <w:numId w:val="8"/>
        </w:numPr>
        <w:rPr>
          <w:bCs/>
          <w:szCs w:val="20"/>
          <w:lang w:val="en-GB"/>
        </w:rPr>
      </w:pPr>
      <w:r w:rsidRPr="00FE7564">
        <w:rPr>
          <w:bCs/>
          <w:szCs w:val="20"/>
          <w:lang w:val="en-GB"/>
        </w:rPr>
        <w:t xml:space="preserve">The PBAC also recalled that, in the terms of the MES for </w:t>
      </w:r>
      <w:proofErr w:type="spellStart"/>
      <w:r w:rsidRPr="00FE7564">
        <w:rPr>
          <w:bCs/>
          <w:szCs w:val="20"/>
          <w:lang w:val="en-GB"/>
        </w:rPr>
        <w:t>trametinib</w:t>
      </w:r>
      <w:proofErr w:type="spellEnd"/>
      <w:r w:rsidRPr="00FE7564">
        <w:rPr>
          <w:bCs/>
          <w:szCs w:val="20"/>
          <w:lang w:val="en-GB"/>
        </w:rPr>
        <w:t xml:space="preserve">, </w:t>
      </w:r>
      <w:r w:rsidR="001E3BB9" w:rsidRPr="00FE7564">
        <w:rPr>
          <w:bCs/>
          <w:szCs w:val="20"/>
          <w:lang w:val="en-GB"/>
        </w:rPr>
        <w:t xml:space="preserve">should the extent of benefit of </w:t>
      </w:r>
      <w:proofErr w:type="spellStart"/>
      <w:r w:rsidR="001E3BB9" w:rsidRPr="00FE7564">
        <w:rPr>
          <w:bCs/>
          <w:szCs w:val="20"/>
          <w:lang w:val="en-GB"/>
        </w:rPr>
        <w:t>trametinib</w:t>
      </w:r>
      <w:proofErr w:type="spellEnd"/>
      <w:r w:rsidR="001E3BB9" w:rsidRPr="00FE7564">
        <w:rPr>
          <w:bCs/>
          <w:szCs w:val="20"/>
          <w:lang w:val="en-GB"/>
        </w:rPr>
        <w:t xml:space="preserve"> modelled from BRF113220 fail to be realised in the final COMBI-D and COMBI-V results, then the sponsor would rebate the Commonwealth taking account of:</w:t>
      </w:r>
      <w:r w:rsidRPr="00FE7564">
        <w:rPr>
          <w:bCs/>
          <w:szCs w:val="20"/>
          <w:lang w:val="en-GB"/>
        </w:rPr>
        <w:t xml:space="preserve"> </w:t>
      </w:r>
    </w:p>
    <w:p w:rsidR="00F110A2" w:rsidRPr="00F110A2" w:rsidRDefault="00F110A2" w:rsidP="00F110A2">
      <w:pPr>
        <w:rPr>
          <w:bCs/>
          <w:szCs w:val="20"/>
          <w:lang w:val="en-GB"/>
        </w:rPr>
      </w:pPr>
    </w:p>
    <w:p w:rsidR="001E3BB9" w:rsidRPr="00FE7564" w:rsidRDefault="001E3BB9" w:rsidP="00E436FC">
      <w:pPr>
        <w:pStyle w:val="ListParagraph"/>
        <w:numPr>
          <w:ilvl w:val="0"/>
          <w:numId w:val="39"/>
        </w:numPr>
        <w:ind w:left="1134"/>
        <w:rPr>
          <w:bCs/>
          <w:szCs w:val="20"/>
          <w:lang w:val="en-GB"/>
        </w:rPr>
      </w:pPr>
      <w:r w:rsidRPr="00FE7564">
        <w:rPr>
          <w:bCs/>
          <w:szCs w:val="20"/>
          <w:lang w:val="en-GB"/>
        </w:rPr>
        <w:t xml:space="preserve">The price reduction of </w:t>
      </w:r>
      <w:proofErr w:type="spellStart"/>
      <w:r w:rsidRPr="00FE7564">
        <w:rPr>
          <w:bCs/>
          <w:szCs w:val="20"/>
          <w:lang w:val="en-GB"/>
        </w:rPr>
        <w:t>trametinib</w:t>
      </w:r>
      <w:proofErr w:type="spellEnd"/>
      <w:r w:rsidRPr="00FE7564">
        <w:rPr>
          <w:bCs/>
          <w:szCs w:val="20"/>
          <w:lang w:val="en-GB"/>
        </w:rPr>
        <w:t xml:space="preserve"> would be calculated to maintain the current ICER</w:t>
      </w:r>
      <w:r w:rsidR="00586A1A" w:rsidRPr="00FE7564">
        <w:rPr>
          <w:szCs w:val="22"/>
        </w:rPr>
        <w:t>/QALY</w:t>
      </w:r>
      <w:r w:rsidRPr="00FE7564">
        <w:rPr>
          <w:bCs/>
          <w:szCs w:val="20"/>
          <w:lang w:val="en-GB"/>
        </w:rPr>
        <w:t xml:space="preserve"> </w:t>
      </w:r>
      <w:proofErr w:type="gramStart"/>
      <w:r w:rsidRPr="00FE7564">
        <w:rPr>
          <w:bCs/>
          <w:szCs w:val="20"/>
          <w:lang w:val="en-GB"/>
        </w:rPr>
        <w:t xml:space="preserve">of </w:t>
      </w:r>
      <w:r w:rsidR="00F110A2">
        <w:rPr>
          <w:bCs/>
          <w:szCs w:val="20"/>
          <w:lang w:val="en-GB"/>
        </w:rPr>
        <w:t xml:space="preserve"> $</w:t>
      </w:r>
      <w:proofErr w:type="gramEnd"/>
      <w:r w:rsidR="00F110A2">
        <w:rPr>
          <w:bCs/>
          <w:szCs w:val="20"/>
          <w:lang w:val="en-GB"/>
        </w:rPr>
        <w:t>45,000/QALY - $75,000/QALY</w:t>
      </w:r>
      <w:r w:rsidRPr="00FE7564">
        <w:rPr>
          <w:bCs/>
          <w:szCs w:val="20"/>
          <w:lang w:val="en-GB"/>
        </w:rPr>
        <w:t xml:space="preserve"> with reduced clinical benefits.</w:t>
      </w:r>
    </w:p>
    <w:p w:rsidR="001E3BB9" w:rsidRPr="00FE7564" w:rsidRDefault="001E3BB9" w:rsidP="00E436FC">
      <w:pPr>
        <w:pStyle w:val="ListParagraph"/>
        <w:numPr>
          <w:ilvl w:val="0"/>
          <w:numId w:val="39"/>
        </w:numPr>
        <w:ind w:left="1134"/>
        <w:rPr>
          <w:bCs/>
          <w:szCs w:val="20"/>
          <w:lang w:val="en-GB"/>
        </w:rPr>
      </w:pPr>
      <w:r w:rsidRPr="00FE7564">
        <w:rPr>
          <w:bCs/>
          <w:szCs w:val="20"/>
          <w:lang w:val="en-GB"/>
        </w:rPr>
        <w:t>The rebate would be based on the price reduction multiplied by script numbers between the date of listing and date of the price reduction after applying an interest rate deemed appropriate to the Commonwealth.</w:t>
      </w:r>
    </w:p>
    <w:p w:rsidR="001E3BB9" w:rsidRPr="00FE7564" w:rsidRDefault="001E3BB9" w:rsidP="001E3BB9">
      <w:pPr>
        <w:pStyle w:val="ListParagraph"/>
        <w:rPr>
          <w:bCs/>
          <w:szCs w:val="20"/>
          <w:lang w:val="en-GB"/>
        </w:rPr>
      </w:pPr>
      <w:r w:rsidRPr="00FE7564">
        <w:rPr>
          <w:bCs/>
          <w:szCs w:val="20"/>
          <w:lang w:val="en-GB"/>
        </w:rPr>
        <w:t xml:space="preserve">The repayment would apply to </w:t>
      </w:r>
      <w:proofErr w:type="spellStart"/>
      <w:r w:rsidRPr="00FE7564">
        <w:rPr>
          <w:bCs/>
          <w:szCs w:val="20"/>
          <w:lang w:val="en-GB"/>
        </w:rPr>
        <w:t>dabrafenib</w:t>
      </w:r>
      <w:proofErr w:type="spellEnd"/>
      <w:r w:rsidRPr="00FE7564">
        <w:rPr>
          <w:bCs/>
          <w:szCs w:val="20"/>
          <w:lang w:val="en-GB"/>
        </w:rPr>
        <w:t xml:space="preserve"> and </w:t>
      </w:r>
      <w:proofErr w:type="spellStart"/>
      <w:r w:rsidRPr="00FE7564">
        <w:rPr>
          <w:bCs/>
          <w:szCs w:val="20"/>
          <w:lang w:val="en-GB"/>
        </w:rPr>
        <w:t>trametinib</w:t>
      </w:r>
      <w:proofErr w:type="spellEnd"/>
      <w:r w:rsidRPr="00FE7564">
        <w:rPr>
          <w:bCs/>
          <w:szCs w:val="20"/>
          <w:lang w:val="en-GB"/>
        </w:rPr>
        <w:t>.</w:t>
      </w:r>
    </w:p>
    <w:p w:rsidR="0026278E" w:rsidRPr="00FE7564" w:rsidRDefault="0026278E" w:rsidP="0026278E">
      <w:pPr>
        <w:rPr>
          <w:bCs/>
          <w:szCs w:val="20"/>
          <w:lang w:val="en-GB"/>
        </w:rPr>
      </w:pPr>
    </w:p>
    <w:p w:rsidR="000B6C15" w:rsidRPr="00FE7564" w:rsidRDefault="000B6C15" w:rsidP="000B6C15">
      <w:pPr>
        <w:pStyle w:val="ListParagraph"/>
        <w:widowControl/>
        <w:numPr>
          <w:ilvl w:val="1"/>
          <w:numId w:val="8"/>
        </w:numPr>
        <w:rPr>
          <w:bCs/>
        </w:rPr>
      </w:pPr>
      <w:r w:rsidRPr="00FE7564">
        <w:rPr>
          <w:szCs w:val="22"/>
        </w:rPr>
        <w:t xml:space="preserve">The PBAC agreed with the ESC that most of the requirements of the MES for </w:t>
      </w:r>
      <w:proofErr w:type="spellStart"/>
      <w:r w:rsidRPr="00FE7564">
        <w:rPr>
          <w:szCs w:val="22"/>
        </w:rPr>
        <w:t>trametinib</w:t>
      </w:r>
      <w:proofErr w:type="spellEnd"/>
      <w:r w:rsidRPr="00FE7564">
        <w:rPr>
          <w:szCs w:val="22"/>
        </w:rPr>
        <w:t xml:space="preserve"> were met to the extent possible for the sponsor given the need for the revised model to rely on prices of other medicines which are confidential.</w:t>
      </w:r>
    </w:p>
    <w:p w:rsidR="000B6C15" w:rsidRPr="00FE7564" w:rsidRDefault="000B6C15" w:rsidP="000B6C15">
      <w:pPr>
        <w:rPr>
          <w:bCs/>
          <w:szCs w:val="22"/>
        </w:rPr>
      </w:pPr>
    </w:p>
    <w:p w:rsidR="0026278E" w:rsidRPr="00401986" w:rsidRDefault="0026278E" w:rsidP="00401986">
      <w:pPr>
        <w:numPr>
          <w:ilvl w:val="1"/>
          <w:numId w:val="8"/>
        </w:numPr>
        <w:rPr>
          <w:bCs/>
          <w:szCs w:val="20"/>
          <w:lang w:val="en-GB"/>
        </w:rPr>
      </w:pPr>
      <w:r w:rsidRPr="00FE7564">
        <w:rPr>
          <w:bCs/>
          <w:szCs w:val="20"/>
          <w:lang w:val="en-GB"/>
        </w:rPr>
        <w:t xml:space="preserve">The PBAC accepted the inclusion of the PBS-relevant PPACT costs in the model. The PBAC recalled that it has accepted the inclusion of PPACT costs in its </w:t>
      </w:r>
      <w:r w:rsidRPr="00401986">
        <w:rPr>
          <w:bCs/>
          <w:szCs w:val="20"/>
          <w:lang w:val="en-GB"/>
        </w:rPr>
        <w:t xml:space="preserve">consideration </w:t>
      </w:r>
      <w:r w:rsidR="00D7264A" w:rsidRPr="00401986">
        <w:rPr>
          <w:bCs/>
          <w:szCs w:val="20"/>
          <w:lang w:val="en-GB"/>
        </w:rPr>
        <w:t>of</w:t>
      </w:r>
      <w:r w:rsidRPr="00401986">
        <w:rPr>
          <w:bCs/>
          <w:szCs w:val="20"/>
          <w:lang w:val="en-GB"/>
        </w:rPr>
        <w:t xml:space="preserve"> other </w:t>
      </w:r>
      <w:r w:rsidR="00D7264A" w:rsidRPr="00401986">
        <w:rPr>
          <w:bCs/>
          <w:szCs w:val="20"/>
          <w:lang w:val="en-GB"/>
        </w:rPr>
        <w:t>medicines</w:t>
      </w:r>
      <w:r w:rsidRPr="00401986">
        <w:rPr>
          <w:bCs/>
          <w:szCs w:val="20"/>
          <w:lang w:val="en-GB"/>
        </w:rPr>
        <w:t xml:space="preserve"> previously.</w:t>
      </w:r>
    </w:p>
    <w:p w:rsidR="001E3BB9" w:rsidRPr="00FE7564" w:rsidRDefault="001E3BB9" w:rsidP="00E436FC">
      <w:pPr>
        <w:rPr>
          <w:bCs/>
          <w:szCs w:val="20"/>
          <w:lang w:val="en-GB"/>
        </w:rPr>
      </w:pPr>
    </w:p>
    <w:p w:rsidR="00440C98" w:rsidRPr="00FE7564" w:rsidRDefault="00440C98" w:rsidP="008F5E01">
      <w:pPr>
        <w:numPr>
          <w:ilvl w:val="1"/>
          <w:numId w:val="8"/>
        </w:numPr>
        <w:rPr>
          <w:bCs/>
          <w:szCs w:val="20"/>
          <w:lang w:val="en-GB"/>
        </w:rPr>
      </w:pPr>
      <w:r w:rsidRPr="00FE7564">
        <w:rPr>
          <w:bCs/>
          <w:szCs w:val="20"/>
          <w:lang w:val="en-GB"/>
        </w:rPr>
        <w:t xml:space="preserve">The PBAC noted the sponsor’s acceptance that </w:t>
      </w:r>
      <w:r w:rsidR="00311A26" w:rsidRPr="00FE7564">
        <w:rPr>
          <w:bCs/>
          <w:szCs w:val="20"/>
          <w:lang w:val="en-GB"/>
        </w:rPr>
        <w:t xml:space="preserve">the calculation of PPACT costs is highly uncertain in terms of the duration of treatment, </w:t>
      </w:r>
      <w:r w:rsidR="007A250C" w:rsidRPr="00FE7564">
        <w:rPr>
          <w:bCs/>
          <w:szCs w:val="20"/>
          <w:lang w:val="en-GB"/>
        </w:rPr>
        <w:t xml:space="preserve">the </w:t>
      </w:r>
      <w:r w:rsidR="006379CA" w:rsidRPr="00FE7564">
        <w:rPr>
          <w:bCs/>
          <w:szCs w:val="20"/>
          <w:lang w:val="en-GB"/>
        </w:rPr>
        <w:t xml:space="preserve">current practice with treatment, </w:t>
      </w:r>
      <w:r w:rsidR="007A250C" w:rsidRPr="00FE7564">
        <w:rPr>
          <w:bCs/>
          <w:szCs w:val="20"/>
          <w:lang w:val="en-GB"/>
        </w:rPr>
        <w:t xml:space="preserve">the </w:t>
      </w:r>
      <w:r w:rsidR="00311A26" w:rsidRPr="00FE7564">
        <w:rPr>
          <w:bCs/>
          <w:szCs w:val="20"/>
          <w:lang w:val="en-GB"/>
        </w:rPr>
        <w:t>number of drugs used</w:t>
      </w:r>
      <w:r w:rsidR="006379CA" w:rsidRPr="00FE7564">
        <w:rPr>
          <w:bCs/>
          <w:szCs w:val="20"/>
          <w:lang w:val="en-GB"/>
        </w:rPr>
        <w:t xml:space="preserve"> for treatment</w:t>
      </w:r>
      <w:r w:rsidR="007A250C" w:rsidRPr="00FE7564">
        <w:rPr>
          <w:bCs/>
          <w:szCs w:val="20"/>
          <w:lang w:val="en-GB"/>
        </w:rPr>
        <w:t>,</w:t>
      </w:r>
      <w:r w:rsidR="00311A26" w:rsidRPr="00FE7564">
        <w:rPr>
          <w:bCs/>
          <w:szCs w:val="20"/>
          <w:lang w:val="en-GB"/>
        </w:rPr>
        <w:t xml:space="preserve"> and the choice of drug</w:t>
      </w:r>
      <w:r w:rsidR="007A250C" w:rsidRPr="00FE7564">
        <w:rPr>
          <w:bCs/>
          <w:szCs w:val="20"/>
          <w:lang w:val="en-GB"/>
        </w:rPr>
        <w:t>s</w:t>
      </w:r>
      <w:r w:rsidR="00311A26" w:rsidRPr="00FE7564">
        <w:rPr>
          <w:bCs/>
          <w:szCs w:val="20"/>
          <w:lang w:val="en-GB"/>
        </w:rPr>
        <w:t>.</w:t>
      </w:r>
    </w:p>
    <w:p w:rsidR="00440C98" w:rsidRPr="00FE7564" w:rsidRDefault="00440C98" w:rsidP="00E436FC">
      <w:pPr>
        <w:rPr>
          <w:bCs/>
          <w:szCs w:val="20"/>
          <w:lang w:val="en-GB"/>
        </w:rPr>
      </w:pPr>
    </w:p>
    <w:p w:rsidR="008F5E01" w:rsidRPr="00FE7564" w:rsidRDefault="00E436FC" w:rsidP="008F5E01">
      <w:pPr>
        <w:numPr>
          <w:ilvl w:val="1"/>
          <w:numId w:val="8"/>
        </w:numPr>
        <w:rPr>
          <w:bCs/>
          <w:szCs w:val="20"/>
          <w:lang w:val="en-GB"/>
        </w:rPr>
      </w:pPr>
      <w:r w:rsidRPr="00FE7564">
        <w:rPr>
          <w:bCs/>
          <w:szCs w:val="20"/>
          <w:lang w:val="en-GB"/>
        </w:rPr>
        <w:t>Therefore, in deciding</w:t>
      </w:r>
      <w:r w:rsidR="00A21432" w:rsidRPr="00FE7564">
        <w:rPr>
          <w:bCs/>
          <w:szCs w:val="20"/>
          <w:lang w:val="en-GB"/>
        </w:rPr>
        <w:t xml:space="preserve"> in principle</w:t>
      </w:r>
      <w:r w:rsidR="002A5FD4" w:rsidRPr="00FE7564">
        <w:rPr>
          <w:bCs/>
          <w:szCs w:val="20"/>
          <w:lang w:val="en-GB"/>
        </w:rPr>
        <w:t xml:space="preserve"> to accept the inclusion of PPACT costs in the model, the PBAC </w:t>
      </w:r>
      <w:r w:rsidR="006379CA" w:rsidRPr="00FE7564">
        <w:rPr>
          <w:bCs/>
          <w:szCs w:val="20"/>
          <w:lang w:val="en-GB"/>
        </w:rPr>
        <w:t xml:space="preserve">did not accept </w:t>
      </w:r>
      <w:r w:rsidR="00A21432" w:rsidRPr="00FE7564">
        <w:rPr>
          <w:bCs/>
          <w:szCs w:val="20"/>
          <w:lang w:val="en-GB"/>
        </w:rPr>
        <w:t xml:space="preserve">that </w:t>
      </w:r>
      <w:r w:rsidR="00E43464" w:rsidRPr="00FE7564">
        <w:rPr>
          <w:bCs/>
          <w:szCs w:val="20"/>
          <w:lang w:val="en-GB"/>
        </w:rPr>
        <w:t xml:space="preserve">the inclusion of </w:t>
      </w:r>
      <w:proofErr w:type="spellStart"/>
      <w:r w:rsidR="008F5E01" w:rsidRPr="00FE7564">
        <w:rPr>
          <w:bCs/>
          <w:szCs w:val="20"/>
          <w:lang w:val="en-GB"/>
        </w:rPr>
        <w:t>bevacizumab</w:t>
      </w:r>
      <w:proofErr w:type="spellEnd"/>
      <w:r w:rsidR="008F5E01" w:rsidRPr="00FE7564">
        <w:rPr>
          <w:bCs/>
          <w:szCs w:val="20"/>
          <w:lang w:val="en-GB"/>
        </w:rPr>
        <w:t xml:space="preserve">, DTIC, </w:t>
      </w:r>
      <w:proofErr w:type="spellStart"/>
      <w:r w:rsidR="008F5E01" w:rsidRPr="00FE7564">
        <w:rPr>
          <w:bCs/>
          <w:szCs w:val="20"/>
          <w:lang w:val="en-GB"/>
        </w:rPr>
        <w:t>vemurafenib</w:t>
      </w:r>
      <w:proofErr w:type="spellEnd"/>
      <w:r w:rsidR="008F5E01" w:rsidRPr="00FE7564">
        <w:rPr>
          <w:bCs/>
          <w:szCs w:val="20"/>
          <w:lang w:val="en-GB"/>
        </w:rPr>
        <w:t xml:space="preserve"> and paclitaxel </w:t>
      </w:r>
      <w:r w:rsidR="00E43464" w:rsidRPr="00FE7564">
        <w:rPr>
          <w:bCs/>
          <w:szCs w:val="20"/>
          <w:lang w:val="en-GB"/>
        </w:rPr>
        <w:t xml:space="preserve">in the PPACT costs was appropriate. The PBAC advised that </w:t>
      </w:r>
      <w:proofErr w:type="spellStart"/>
      <w:r w:rsidR="00E43464" w:rsidRPr="00FE7564">
        <w:rPr>
          <w:bCs/>
          <w:szCs w:val="20"/>
          <w:lang w:val="en-GB"/>
        </w:rPr>
        <w:t>bevacizumab</w:t>
      </w:r>
      <w:proofErr w:type="spellEnd"/>
      <w:r w:rsidR="00E43464" w:rsidRPr="00FE7564">
        <w:rPr>
          <w:bCs/>
          <w:szCs w:val="20"/>
          <w:lang w:val="en-GB"/>
        </w:rPr>
        <w:t xml:space="preserve">, DTIC, </w:t>
      </w:r>
      <w:proofErr w:type="spellStart"/>
      <w:r w:rsidR="00E43464" w:rsidRPr="00FE7564">
        <w:rPr>
          <w:bCs/>
          <w:szCs w:val="20"/>
          <w:lang w:val="en-GB"/>
        </w:rPr>
        <w:t>vemurafenib</w:t>
      </w:r>
      <w:proofErr w:type="spellEnd"/>
      <w:r w:rsidR="00E43464" w:rsidRPr="00FE7564">
        <w:rPr>
          <w:bCs/>
          <w:szCs w:val="20"/>
          <w:lang w:val="en-GB"/>
        </w:rPr>
        <w:t xml:space="preserve"> and paclitaxel </w:t>
      </w:r>
      <w:r w:rsidR="008F5E01" w:rsidRPr="00FE7564">
        <w:rPr>
          <w:bCs/>
          <w:szCs w:val="20"/>
          <w:lang w:val="en-GB"/>
        </w:rPr>
        <w:t>be removed</w:t>
      </w:r>
      <w:r w:rsidR="00E43464" w:rsidRPr="00FE7564">
        <w:rPr>
          <w:bCs/>
          <w:szCs w:val="20"/>
          <w:lang w:val="en-GB"/>
        </w:rPr>
        <w:t xml:space="preserve"> from the model as</w:t>
      </w:r>
      <w:r w:rsidR="008F5E01" w:rsidRPr="00FE7564">
        <w:rPr>
          <w:bCs/>
          <w:szCs w:val="20"/>
          <w:lang w:val="en-GB"/>
        </w:rPr>
        <w:t xml:space="preserve"> these drugs are not listed </w:t>
      </w:r>
      <w:r w:rsidR="00E43464" w:rsidRPr="00FE7564">
        <w:rPr>
          <w:bCs/>
          <w:szCs w:val="20"/>
          <w:lang w:val="en-GB"/>
        </w:rPr>
        <w:t xml:space="preserve">on the PBS </w:t>
      </w:r>
      <w:r w:rsidR="008F5E01" w:rsidRPr="00FE7564">
        <w:rPr>
          <w:bCs/>
          <w:szCs w:val="20"/>
          <w:lang w:val="en-GB"/>
        </w:rPr>
        <w:t xml:space="preserve">for </w:t>
      </w:r>
      <w:r w:rsidR="00E43464" w:rsidRPr="00FE7564">
        <w:rPr>
          <w:bCs/>
          <w:szCs w:val="20"/>
          <w:lang w:val="en-GB"/>
        </w:rPr>
        <w:t xml:space="preserve">the </w:t>
      </w:r>
      <w:r w:rsidR="00A21432" w:rsidRPr="00FE7564">
        <w:rPr>
          <w:bCs/>
          <w:szCs w:val="20"/>
          <w:lang w:val="en-GB"/>
        </w:rPr>
        <w:t xml:space="preserve">second-line </w:t>
      </w:r>
      <w:r w:rsidR="00E43464" w:rsidRPr="00FE7564">
        <w:rPr>
          <w:bCs/>
          <w:szCs w:val="20"/>
          <w:lang w:val="en-GB"/>
        </w:rPr>
        <w:t xml:space="preserve">treatment of </w:t>
      </w:r>
      <w:r w:rsidR="008F5E01" w:rsidRPr="00FE7564">
        <w:rPr>
          <w:bCs/>
          <w:szCs w:val="20"/>
          <w:lang w:val="en-GB"/>
        </w:rPr>
        <w:t>melanoma</w:t>
      </w:r>
      <w:r w:rsidR="00A21432" w:rsidRPr="00FE7564">
        <w:rPr>
          <w:bCs/>
          <w:szCs w:val="20"/>
          <w:lang w:val="en-GB"/>
        </w:rPr>
        <w:t xml:space="preserve"> as they </w:t>
      </w:r>
      <w:r w:rsidR="0026278E" w:rsidRPr="00FE7564">
        <w:rPr>
          <w:bCs/>
          <w:szCs w:val="20"/>
          <w:lang w:val="en-GB"/>
        </w:rPr>
        <w:t xml:space="preserve">have not been shown to be effective </w:t>
      </w:r>
      <w:r w:rsidR="00A21432" w:rsidRPr="00FE7564">
        <w:rPr>
          <w:bCs/>
          <w:szCs w:val="20"/>
          <w:lang w:val="en-GB"/>
        </w:rPr>
        <w:t>in this setting</w:t>
      </w:r>
      <w:r w:rsidR="00C655AD" w:rsidRPr="00FE7564">
        <w:rPr>
          <w:bCs/>
          <w:szCs w:val="20"/>
          <w:lang w:val="en-GB"/>
        </w:rPr>
        <w:t>.</w:t>
      </w:r>
    </w:p>
    <w:p w:rsidR="00C655AD" w:rsidRPr="00FE7564" w:rsidRDefault="00C655AD" w:rsidP="00C655AD">
      <w:pPr>
        <w:rPr>
          <w:bCs/>
          <w:szCs w:val="20"/>
          <w:lang w:val="en-GB"/>
        </w:rPr>
      </w:pPr>
    </w:p>
    <w:p w:rsidR="00A21432" w:rsidRPr="00FE7564" w:rsidRDefault="00A21432" w:rsidP="008F5E01">
      <w:pPr>
        <w:numPr>
          <w:ilvl w:val="1"/>
          <w:numId w:val="8"/>
        </w:numPr>
        <w:rPr>
          <w:bCs/>
          <w:szCs w:val="20"/>
          <w:lang w:val="en-GB"/>
        </w:rPr>
      </w:pPr>
      <w:r w:rsidRPr="00FE7564">
        <w:rPr>
          <w:bCs/>
          <w:szCs w:val="20"/>
          <w:lang w:val="en-GB"/>
        </w:rPr>
        <w:t>Accordingly, t</w:t>
      </w:r>
      <w:r w:rsidR="00C655AD" w:rsidRPr="00FE7564">
        <w:rPr>
          <w:bCs/>
          <w:szCs w:val="20"/>
          <w:lang w:val="en-GB"/>
        </w:rPr>
        <w:t xml:space="preserve">he PBAC also advised that the </w:t>
      </w:r>
      <w:r w:rsidR="008071C0" w:rsidRPr="00FE7564">
        <w:rPr>
          <w:bCs/>
          <w:szCs w:val="20"/>
          <w:lang w:val="en-GB"/>
        </w:rPr>
        <w:t xml:space="preserve">estimates of health outcomes </w:t>
      </w:r>
      <w:r w:rsidRPr="00FE7564">
        <w:rPr>
          <w:bCs/>
          <w:szCs w:val="20"/>
          <w:lang w:val="en-GB"/>
        </w:rPr>
        <w:t>in the model need not be adjusted</w:t>
      </w:r>
      <w:r w:rsidR="008071C0" w:rsidRPr="00FE7564">
        <w:rPr>
          <w:bCs/>
          <w:szCs w:val="20"/>
          <w:lang w:val="en-GB"/>
        </w:rPr>
        <w:t>.</w:t>
      </w:r>
    </w:p>
    <w:p w:rsidR="00A21432" w:rsidRPr="00FE7564" w:rsidRDefault="00A21432" w:rsidP="00A21432">
      <w:pPr>
        <w:rPr>
          <w:bCs/>
          <w:szCs w:val="20"/>
          <w:lang w:val="en-GB"/>
        </w:rPr>
      </w:pPr>
    </w:p>
    <w:p w:rsidR="00C655AD" w:rsidRPr="00FE7564" w:rsidRDefault="008071C0" w:rsidP="008F5E01">
      <w:pPr>
        <w:numPr>
          <w:ilvl w:val="1"/>
          <w:numId w:val="8"/>
        </w:numPr>
        <w:rPr>
          <w:bCs/>
          <w:szCs w:val="20"/>
          <w:lang w:val="en-GB"/>
        </w:rPr>
      </w:pPr>
      <w:r w:rsidRPr="00FE7564">
        <w:rPr>
          <w:bCs/>
          <w:szCs w:val="20"/>
          <w:lang w:val="en-GB"/>
        </w:rPr>
        <w:t xml:space="preserve">The </w:t>
      </w:r>
      <w:r w:rsidR="00A21432" w:rsidRPr="00FE7564">
        <w:rPr>
          <w:bCs/>
          <w:szCs w:val="20"/>
          <w:lang w:val="en-GB"/>
        </w:rPr>
        <w:t xml:space="preserve">PBAC further advised that the estimates of PBS-listed PPACT </w:t>
      </w:r>
      <w:r w:rsidRPr="00FE7564">
        <w:rPr>
          <w:bCs/>
          <w:szCs w:val="20"/>
          <w:lang w:val="en-GB"/>
        </w:rPr>
        <w:t xml:space="preserve">should be </w:t>
      </w:r>
      <w:r w:rsidR="00A21432" w:rsidRPr="00FE7564">
        <w:rPr>
          <w:bCs/>
          <w:szCs w:val="20"/>
          <w:lang w:val="en-GB"/>
        </w:rPr>
        <w:t xml:space="preserve">adjusted </w:t>
      </w:r>
      <w:r w:rsidRPr="00FE7564">
        <w:rPr>
          <w:bCs/>
          <w:szCs w:val="20"/>
          <w:lang w:val="en-GB"/>
        </w:rPr>
        <w:t xml:space="preserve">to 90% </w:t>
      </w:r>
      <w:proofErr w:type="spellStart"/>
      <w:r w:rsidRPr="00FE7564">
        <w:rPr>
          <w:bCs/>
          <w:szCs w:val="20"/>
          <w:lang w:val="en-GB"/>
        </w:rPr>
        <w:t>pembrolizumab</w:t>
      </w:r>
      <w:proofErr w:type="spellEnd"/>
      <w:r w:rsidR="00A21432" w:rsidRPr="00FE7564">
        <w:rPr>
          <w:bCs/>
          <w:szCs w:val="20"/>
          <w:lang w:val="en-GB"/>
        </w:rPr>
        <w:t xml:space="preserve"> and</w:t>
      </w:r>
      <w:r w:rsidRPr="00FE7564">
        <w:rPr>
          <w:bCs/>
          <w:szCs w:val="20"/>
          <w:lang w:val="en-GB"/>
        </w:rPr>
        <w:t xml:space="preserve"> 10% </w:t>
      </w:r>
      <w:proofErr w:type="spellStart"/>
      <w:r w:rsidRPr="00FE7564">
        <w:rPr>
          <w:bCs/>
          <w:szCs w:val="20"/>
          <w:lang w:val="en-GB"/>
        </w:rPr>
        <w:t>ipi</w:t>
      </w:r>
      <w:r w:rsidR="00692559" w:rsidRPr="00FE7564">
        <w:rPr>
          <w:bCs/>
          <w:szCs w:val="20"/>
          <w:lang w:val="en-GB"/>
        </w:rPr>
        <w:t>limumab</w:t>
      </w:r>
      <w:proofErr w:type="spellEnd"/>
      <w:r w:rsidR="00692559" w:rsidRPr="00FE7564">
        <w:rPr>
          <w:bCs/>
          <w:szCs w:val="20"/>
          <w:lang w:val="en-GB"/>
        </w:rPr>
        <w:t xml:space="preserve"> </w:t>
      </w:r>
      <w:r w:rsidR="00A21432" w:rsidRPr="00FE7564">
        <w:rPr>
          <w:bCs/>
          <w:szCs w:val="20"/>
          <w:lang w:val="en-GB"/>
        </w:rPr>
        <w:t xml:space="preserve">because this </w:t>
      </w:r>
      <w:r w:rsidRPr="00FE7564">
        <w:rPr>
          <w:bCs/>
          <w:szCs w:val="20"/>
          <w:lang w:val="en-GB"/>
        </w:rPr>
        <w:t>reflects the current status of the melanoma treatment algorithm</w:t>
      </w:r>
      <w:r w:rsidR="00692559" w:rsidRPr="00FE7564">
        <w:rPr>
          <w:bCs/>
          <w:szCs w:val="20"/>
          <w:lang w:val="en-GB"/>
        </w:rPr>
        <w:t xml:space="preserve"> and</w:t>
      </w:r>
      <w:r w:rsidRPr="00FE7564">
        <w:rPr>
          <w:bCs/>
          <w:szCs w:val="20"/>
          <w:lang w:val="en-GB"/>
        </w:rPr>
        <w:t xml:space="preserve"> the</w:t>
      </w:r>
      <w:r w:rsidR="00A21432" w:rsidRPr="00FE7564">
        <w:rPr>
          <w:bCs/>
          <w:szCs w:val="20"/>
          <w:lang w:val="en-GB"/>
        </w:rPr>
        <w:t>ir</w:t>
      </w:r>
      <w:r w:rsidRPr="00FE7564">
        <w:rPr>
          <w:bCs/>
          <w:szCs w:val="20"/>
          <w:lang w:val="en-GB"/>
        </w:rPr>
        <w:t xml:space="preserve"> PBS </w:t>
      </w:r>
      <w:r w:rsidR="00A21432" w:rsidRPr="00FE7564">
        <w:rPr>
          <w:bCs/>
          <w:szCs w:val="20"/>
          <w:lang w:val="en-GB"/>
        </w:rPr>
        <w:t>usage</w:t>
      </w:r>
      <w:r w:rsidRPr="00FE7564">
        <w:rPr>
          <w:bCs/>
          <w:szCs w:val="20"/>
          <w:lang w:val="en-GB"/>
        </w:rPr>
        <w:t xml:space="preserve"> </w:t>
      </w:r>
      <w:r w:rsidR="00692559" w:rsidRPr="00FE7564">
        <w:rPr>
          <w:bCs/>
          <w:szCs w:val="20"/>
          <w:lang w:val="en-GB"/>
        </w:rPr>
        <w:t>for the treatment of melanoma</w:t>
      </w:r>
      <w:r w:rsidR="007A250C" w:rsidRPr="00FE7564">
        <w:rPr>
          <w:bCs/>
          <w:szCs w:val="20"/>
          <w:lang w:val="en-GB"/>
        </w:rPr>
        <w:t xml:space="preserve"> as acknowledged in the PSCR and in the pre-PBAC response</w:t>
      </w:r>
      <w:r w:rsidRPr="00FE7564">
        <w:rPr>
          <w:bCs/>
          <w:szCs w:val="20"/>
          <w:lang w:val="en-GB"/>
        </w:rPr>
        <w:t>.</w:t>
      </w:r>
    </w:p>
    <w:p w:rsidR="008F5E01" w:rsidRPr="00FE7564" w:rsidRDefault="008F5E01" w:rsidP="00BD4D2E">
      <w:pPr>
        <w:rPr>
          <w:bCs/>
          <w:szCs w:val="20"/>
          <w:lang w:val="en-GB"/>
        </w:rPr>
      </w:pPr>
    </w:p>
    <w:p w:rsidR="008F5E01" w:rsidRPr="00FE7564" w:rsidRDefault="008071C0" w:rsidP="008F5E01">
      <w:pPr>
        <w:numPr>
          <w:ilvl w:val="1"/>
          <w:numId w:val="8"/>
        </w:numPr>
        <w:rPr>
          <w:bCs/>
          <w:szCs w:val="20"/>
          <w:lang w:val="en-GB"/>
        </w:rPr>
      </w:pPr>
      <w:r w:rsidRPr="00FE7564">
        <w:rPr>
          <w:bCs/>
          <w:szCs w:val="20"/>
          <w:lang w:val="en-GB"/>
        </w:rPr>
        <w:t>The PBAC noted that s</w:t>
      </w:r>
      <w:r w:rsidR="008F5E01" w:rsidRPr="00FE7564">
        <w:rPr>
          <w:bCs/>
          <w:szCs w:val="20"/>
          <w:lang w:val="en-GB"/>
        </w:rPr>
        <w:t xml:space="preserve">pecial pricing arrangements </w:t>
      </w:r>
      <w:r w:rsidR="00A21432" w:rsidRPr="00FE7564">
        <w:rPr>
          <w:bCs/>
          <w:szCs w:val="20"/>
          <w:lang w:val="en-GB"/>
        </w:rPr>
        <w:t xml:space="preserve">applying to </w:t>
      </w:r>
      <w:proofErr w:type="spellStart"/>
      <w:r w:rsidR="00A21432" w:rsidRPr="00FE7564">
        <w:rPr>
          <w:bCs/>
          <w:szCs w:val="20"/>
          <w:lang w:val="en-GB"/>
        </w:rPr>
        <w:t>ipilimumab</w:t>
      </w:r>
      <w:proofErr w:type="spellEnd"/>
      <w:r w:rsidR="00A21432" w:rsidRPr="00FE7564">
        <w:rPr>
          <w:bCs/>
          <w:szCs w:val="20"/>
          <w:lang w:val="en-GB"/>
        </w:rPr>
        <w:t xml:space="preserve"> and </w:t>
      </w:r>
      <w:proofErr w:type="spellStart"/>
      <w:r w:rsidR="00A21432" w:rsidRPr="00FE7564">
        <w:rPr>
          <w:bCs/>
          <w:szCs w:val="20"/>
          <w:lang w:val="en-GB"/>
        </w:rPr>
        <w:t>pembrolizumab</w:t>
      </w:r>
      <w:proofErr w:type="spellEnd"/>
      <w:r w:rsidR="00A21432" w:rsidRPr="00FE7564">
        <w:rPr>
          <w:bCs/>
          <w:szCs w:val="20"/>
          <w:lang w:val="en-GB"/>
        </w:rPr>
        <w:t xml:space="preserve"> </w:t>
      </w:r>
      <w:r w:rsidR="008F5E01" w:rsidRPr="00FE7564">
        <w:rPr>
          <w:bCs/>
          <w:szCs w:val="20"/>
          <w:lang w:val="en-GB"/>
        </w:rPr>
        <w:t>w</w:t>
      </w:r>
      <w:r w:rsidR="00A83EAB" w:rsidRPr="00FE7564">
        <w:rPr>
          <w:bCs/>
          <w:szCs w:val="20"/>
          <w:lang w:val="en-GB"/>
        </w:rPr>
        <w:t>ould</w:t>
      </w:r>
      <w:r w:rsidR="008F5E01" w:rsidRPr="00FE7564">
        <w:rPr>
          <w:bCs/>
          <w:szCs w:val="20"/>
          <w:lang w:val="en-GB"/>
        </w:rPr>
        <w:t xml:space="preserve"> </w:t>
      </w:r>
      <w:r w:rsidRPr="00FE7564">
        <w:rPr>
          <w:bCs/>
          <w:szCs w:val="20"/>
          <w:lang w:val="en-GB"/>
        </w:rPr>
        <w:t xml:space="preserve">need to </w:t>
      </w:r>
      <w:r w:rsidR="008F5E01" w:rsidRPr="00FE7564">
        <w:rPr>
          <w:bCs/>
          <w:szCs w:val="20"/>
          <w:lang w:val="en-GB"/>
        </w:rPr>
        <w:t xml:space="preserve">be revealed </w:t>
      </w:r>
      <w:r w:rsidRPr="00FE7564">
        <w:rPr>
          <w:bCs/>
          <w:szCs w:val="20"/>
          <w:lang w:val="en-GB"/>
        </w:rPr>
        <w:t xml:space="preserve">to the sponsor </w:t>
      </w:r>
      <w:r w:rsidR="008F5E01" w:rsidRPr="00FE7564">
        <w:rPr>
          <w:bCs/>
          <w:szCs w:val="20"/>
          <w:lang w:val="en-GB"/>
        </w:rPr>
        <w:t xml:space="preserve">for </w:t>
      </w:r>
      <w:proofErr w:type="spellStart"/>
      <w:r w:rsidR="00A21432" w:rsidRPr="00FE7564">
        <w:rPr>
          <w:bCs/>
          <w:szCs w:val="20"/>
          <w:lang w:val="en-GB"/>
        </w:rPr>
        <w:t>trametinib</w:t>
      </w:r>
      <w:proofErr w:type="spellEnd"/>
      <w:r w:rsidR="00A21432" w:rsidRPr="00FE7564">
        <w:rPr>
          <w:bCs/>
          <w:szCs w:val="20"/>
          <w:lang w:val="en-GB"/>
        </w:rPr>
        <w:t xml:space="preserve"> </w:t>
      </w:r>
      <w:r w:rsidRPr="00FE7564">
        <w:rPr>
          <w:bCs/>
          <w:szCs w:val="20"/>
          <w:lang w:val="en-GB"/>
        </w:rPr>
        <w:t xml:space="preserve">as </w:t>
      </w:r>
      <w:r w:rsidR="00A21432" w:rsidRPr="00FE7564">
        <w:rPr>
          <w:bCs/>
          <w:szCs w:val="20"/>
          <w:lang w:val="en-GB"/>
        </w:rPr>
        <w:t>its</w:t>
      </w:r>
      <w:r w:rsidR="008F5E01" w:rsidRPr="00FE7564">
        <w:rPr>
          <w:bCs/>
          <w:szCs w:val="20"/>
          <w:lang w:val="en-GB"/>
        </w:rPr>
        <w:t xml:space="preserve"> current assum</w:t>
      </w:r>
      <w:r w:rsidRPr="00FE7564">
        <w:rPr>
          <w:bCs/>
          <w:szCs w:val="20"/>
          <w:lang w:val="en-GB"/>
        </w:rPr>
        <w:t>ption</w:t>
      </w:r>
      <w:r w:rsidR="00A21432" w:rsidRPr="00FE7564">
        <w:rPr>
          <w:bCs/>
          <w:szCs w:val="20"/>
          <w:lang w:val="en-GB"/>
        </w:rPr>
        <w:t>s</w:t>
      </w:r>
      <w:r w:rsidRPr="00FE7564">
        <w:rPr>
          <w:bCs/>
          <w:szCs w:val="20"/>
          <w:lang w:val="en-GB"/>
        </w:rPr>
        <w:t xml:space="preserve"> of</w:t>
      </w:r>
      <w:r w:rsidR="008F5E01" w:rsidRPr="00FE7564">
        <w:rPr>
          <w:bCs/>
          <w:szCs w:val="20"/>
          <w:lang w:val="en-GB"/>
        </w:rPr>
        <w:t xml:space="preserve"> </w:t>
      </w:r>
      <w:r w:rsidR="008F5E01" w:rsidRPr="00F110A2">
        <w:rPr>
          <w:bCs/>
          <w:szCs w:val="20"/>
          <w:lang w:val="en-GB"/>
        </w:rPr>
        <w:t>50</w:t>
      </w:r>
      <w:r w:rsidR="008F5E01" w:rsidRPr="00FE7564">
        <w:rPr>
          <w:bCs/>
          <w:szCs w:val="20"/>
          <w:lang w:val="en-GB"/>
        </w:rPr>
        <w:t xml:space="preserve">% of </w:t>
      </w:r>
      <w:r w:rsidRPr="00FE7564">
        <w:rPr>
          <w:bCs/>
          <w:szCs w:val="20"/>
          <w:lang w:val="en-GB"/>
        </w:rPr>
        <w:t xml:space="preserve">the </w:t>
      </w:r>
      <w:r w:rsidR="008F5E01" w:rsidRPr="00FE7564">
        <w:rPr>
          <w:bCs/>
          <w:szCs w:val="20"/>
          <w:lang w:val="en-GB"/>
        </w:rPr>
        <w:t>list price</w:t>
      </w:r>
      <w:r w:rsidRPr="00FE7564">
        <w:rPr>
          <w:bCs/>
          <w:szCs w:val="20"/>
          <w:lang w:val="en-GB"/>
        </w:rPr>
        <w:t xml:space="preserve"> for </w:t>
      </w:r>
      <w:proofErr w:type="spellStart"/>
      <w:r w:rsidRPr="00FE7564">
        <w:rPr>
          <w:bCs/>
          <w:szCs w:val="20"/>
          <w:lang w:val="en-GB"/>
        </w:rPr>
        <w:t>ipilimumab</w:t>
      </w:r>
      <w:proofErr w:type="spellEnd"/>
      <w:r w:rsidRPr="00FE7564">
        <w:rPr>
          <w:bCs/>
          <w:szCs w:val="20"/>
          <w:lang w:val="en-GB"/>
        </w:rPr>
        <w:t xml:space="preserve"> and </w:t>
      </w:r>
      <w:proofErr w:type="spellStart"/>
      <w:r w:rsidRPr="00FE7564">
        <w:rPr>
          <w:bCs/>
          <w:szCs w:val="20"/>
          <w:lang w:val="en-GB"/>
        </w:rPr>
        <w:t>pembrolizumab</w:t>
      </w:r>
      <w:proofErr w:type="spellEnd"/>
      <w:r w:rsidRPr="00FE7564">
        <w:rPr>
          <w:bCs/>
          <w:szCs w:val="20"/>
          <w:lang w:val="en-GB"/>
        </w:rPr>
        <w:t xml:space="preserve"> in the model are not correct</w:t>
      </w:r>
      <w:r w:rsidR="008F5E01" w:rsidRPr="00FE7564">
        <w:rPr>
          <w:bCs/>
          <w:szCs w:val="20"/>
          <w:lang w:val="en-GB"/>
        </w:rPr>
        <w:t xml:space="preserve">. </w:t>
      </w:r>
      <w:r w:rsidR="00692559" w:rsidRPr="00FE7564">
        <w:rPr>
          <w:bCs/>
          <w:szCs w:val="20"/>
          <w:lang w:val="en-GB"/>
        </w:rPr>
        <w:t xml:space="preserve">The PBAC </w:t>
      </w:r>
      <w:r w:rsidR="00A21432" w:rsidRPr="00FE7564">
        <w:rPr>
          <w:bCs/>
          <w:szCs w:val="20"/>
          <w:lang w:val="en-GB"/>
        </w:rPr>
        <w:t xml:space="preserve">noted </w:t>
      </w:r>
      <w:r w:rsidR="00001B0E" w:rsidRPr="00FE7564">
        <w:rPr>
          <w:bCs/>
          <w:szCs w:val="20"/>
          <w:lang w:val="en-GB"/>
        </w:rPr>
        <w:t xml:space="preserve">that the sponsor </w:t>
      </w:r>
      <w:r w:rsidR="00A21432" w:rsidRPr="00FE7564">
        <w:rPr>
          <w:bCs/>
          <w:szCs w:val="20"/>
          <w:lang w:val="en-GB"/>
        </w:rPr>
        <w:t xml:space="preserve">had </w:t>
      </w:r>
      <w:r w:rsidR="00001B0E" w:rsidRPr="00FE7564">
        <w:rPr>
          <w:bCs/>
          <w:szCs w:val="20"/>
          <w:lang w:val="en-GB"/>
        </w:rPr>
        <w:t>accept</w:t>
      </w:r>
      <w:r w:rsidR="00A21432" w:rsidRPr="00FE7564">
        <w:rPr>
          <w:bCs/>
          <w:szCs w:val="20"/>
          <w:lang w:val="en-GB"/>
        </w:rPr>
        <w:t>ed that</w:t>
      </w:r>
      <w:r w:rsidR="00001B0E" w:rsidRPr="00FE7564">
        <w:rPr>
          <w:bCs/>
          <w:szCs w:val="20"/>
          <w:lang w:val="en-GB"/>
        </w:rPr>
        <w:t xml:space="preserve"> the effective prices of </w:t>
      </w:r>
      <w:proofErr w:type="spellStart"/>
      <w:r w:rsidR="00001B0E" w:rsidRPr="00FE7564">
        <w:rPr>
          <w:bCs/>
          <w:szCs w:val="20"/>
          <w:lang w:val="en-GB"/>
        </w:rPr>
        <w:t>ipil</w:t>
      </w:r>
      <w:r w:rsidR="00A21432" w:rsidRPr="00FE7564">
        <w:rPr>
          <w:bCs/>
          <w:szCs w:val="20"/>
          <w:lang w:val="en-GB"/>
        </w:rPr>
        <w:t>i</w:t>
      </w:r>
      <w:r w:rsidR="00001B0E" w:rsidRPr="00FE7564">
        <w:rPr>
          <w:bCs/>
          <w:szCs w:val="20"/>
          <w:lang w:val="en-GB"/>
        </w:rPr>
        <w:t>mumab</w:t>
      </w:r>
      <w:proofErr w:type="spellEnd"/>
      <w:r w:rsidR="00001B0E" w:rsidRPr="00FE7564">
        <w:rPr>
          <w:bCs/>
          <w:szCs w:val="20"/>
          <w:lang w:val="en-GB"/>
        </w:rPr>
        <w:t xml:space="preserve"> and </w:t>
      </w:r>
      <w:proofErr w:type="spellStart"/>
      <w:r w:rsidR="00001B0E" w:rsidRPr="00FE7564">
        <w:rPr>
          <w:bCs/>
          <w:szCs w:val="20"/>
          <w:lang w:val="en-GB"/>
        </w:rPr>
        <w:t>pembrolizumab</w:t>
      </w:r>
      <w:proofErr w:type="spellEnd"/>
      <w:r w:rsidR="00001B0E" w:rsidRPr="00FE7564">
        <w:rPr>
          <w:bCs/>
          <w:szCs w:val="20"/>
          <w:lang w:val="en-GB"/>
        </w:rPr>
        <w:t xml:space="preserve"> </w:t>
      </w:r>
      <w:r w:rsidR="00A21432" w:rsidRPr="00FE7564">
        <w:rPr>
          <w:bCs/>
          <w:szCs w:val="20"/>
          <w:lang w:val="en-GB"/>
        </w:rPr>
        <w:t xml:space="preserve">would need </w:t>
      </w:r>
      <w:r w:rsidR="00001B0E" w:rsidRPr="00FE7564">
        <w:rPr>
          <w:bCs/>
          <w:szCs w:val="20"/>
          <w:lang w:val="en-GB"/>
        </w:rPr>
        <w:t xml:space="preserve">to be used in the adjusted </w:t>
      </w:r>
      <w:r w:rsidR="00001B0E" w:rsidRPr="00FE7564">
        <w:rPr>
          <w:bCs/>
          <w:szCs w:val="20"/>
          <w:lang w:val="en-GB"/>
        </w:rPr>
        <w:lastRenderedPageBreak/>
        <w:t>model of the PPACT costs.</w:t>
      </w:r>
    </w:p>
    <w:p w:rsidR="008F5E01" w:rsidRPr="00FE7564" w:rsidRDefault="008F5E01" w:rsidP="00BD4D2E">
      <w:pPr>
        <w:rPr>
          <w:bCs/>
          <w:szCs w:val="20"/>
          <w:lang w:val="en-GB"/>
        </w:rPr>
      </w:pPr>
    </w:p>
    <w:p w:rsidR="004F29BC" w:rsidRPr="00D30355" w:rsidRDefault="00D30355" w:rsidP="00D30355">
      <w:pPr>
        <w:ind w:left="720" w:hanging="720"/>
        <w:rPr>
          <w:bCs/>
          <w:szCs w:val="20"/>
          <w:highlight w:val="black"/>
          <w:lang w:val="en-GB"/>
        </w:rPr>
      </w:pPr>
      <w:r>
        <w:rPr>
          <w:bCs/>
          <w:noProof/>
          <w:color w:val="000000"/>
          <w:szCs w:val="20"/>
          <w:highlight w:val="black"/>
          <w:lang w:val="en-GB"/>
        </w:rPr>
        <w:t>''''''''''''''''''''' '''''''''''''' ''''''''''''' ''''''' ''''''''''''''''''''''' '''''''''''''''''''' ''''' '''''''''''''''''''''' ''''' '''''''''''' '''''''''' '''' '''''''' ''''''''''''''''''''''''''' '''''''''''' '''''''''''''' '''''''''''''''''''''''''' ''''''''' '''''''''''''''''''''''''''' '''''''''' ''''''''''''''''''''''' '''''''' ''''''''' ''''''''' '''''''''' '''' '''''''''''''' ''''''' '''''''' ''''''''''''''''''''' '''''' '''''''''''' '''''' ''''''' '''''''''''' '''''''''''''''' ''''''' ''''''''''''''''''''''''''''' '''''''''' ''''''''''''''''''' '''''''''''''''' ''''''''''''''''''''' ''''' ''''''' ''''''''''''''''''''''''''''''''''''''''' '''''''''''''''''</w:t>
      </w:r>
    </w:p>
    <w:p w:rsidR="004F29BC" w:rsidRPr="00FE7564" w:rsidRDefault="004F29BC" w:rsidP="004F29BC">
      <w:pPr>
        <w:rPr>
          <w:bCs/>
          <w:szCs w:val="20"/>
          <w:lang w:val="en-GB"/>
        </w:rPr>
      </w:pPr>
    </w:p>
    <w:p w:rsidR="008F5E01" w:rsidRPr="00FE7564" w:rsidRDefault="006B3280" w:rsidP="008F5E01">
      <w:pPr>
        <w:numPr>
          <w:ilvl w:val="1"/>
          <w:numId w:val="8"/>
        </w:numPr>
        <w:rPr>
          <w:bCs/>
          <w:szCs w:val="20"/>
          <w:lang w:val="en-GB"/>
        </w:rPr>
      </w:pPr>
      <w:r w:rsidRPr="00FE7564">
        <w:rPr>
          <w:bCs/>
          <w:szCs w:val="22"/>
          <w:lang w:val="en-GB"/>
        </w:rPr>
        <w:t xml:space="preserve">The PBAC noted that the submission estimated net overall expenditure to the PBS of approximately </w:t>
      </w:r>
      <w:r w:rsidR="00F110A2">
        <w:rPr>
          <w:bCs/>
          <w:szCs w:val="22"/>
          <w:lang w:val="en-GB"/>
        </w:rPr>
        <w:t>more than $100</w:t>
      </w:r>
      <w:r w:rsidRPr="00FE7564">
        <w:rPr>
          <w:bCs/>
          <w:szCs w:val="22"/>
          <w:lang w:val="en-GB"/>
        </w:rPr>
        <w:t xml:space="preserve"> million over the first five years of listing. </w:t>
      </w:r>
      <w:r w:rsidRPr="00FE7564">
        <w:t xml:space="preserve">Noting the significant cost of </w:t>
      </w:r>
      <w:r w:rsidR="00A83EAB" w:rsidRPr="00FE7564">
        <w:t xml:space="preserve">the </w:t>
      </w:r>
      <w:r w:rsidRPr="00FE7564">
        <w:t xml:space="preserve">trametinib and dabrafenib </w:t>
      </w:r>
      <w:r w:rsidR="00A83EAB" w:rsidRPr="00FE7564">
        <w:t xml:space="preserve">combination </w:t>
      </w:r>
      <w:r w:rsidRPr="00FE7564">
        <w:t>in the financial estimates ($30 - $60 million per annum), the PBAC considered it appropriate to continu</w:t>
      </w:r>
      <w:r w:rsidR="001804F7" w:rsidRPr="00FE7564">
        <w:t>e the</w:t>
      </w:r>
      <w:r w:rsidRPr="00FE7564">
        <w:t xml:space="preserve"> risk sharing arrangement</w:t>
      </w:r>
      <w:r w:rsidR="00CF653C" w:rsidRPr="00FE7564">
        <w:t xml:space="preserve">. However, the PBAC advised that the existing risk-sharing arrangement for trametinib and dabrafenib </w:t>
      </w:r>
      <w:r w:rsidR="00352696" w:rsidRPr="00FE7564">
        <w:t>would need to be updated, based on the recommendations</w:t>
      </w:r>
      <w:r w:rsidR="00BD4D2E" w:rsidRPr="00FE7564">
        <w:t xml:space="preserve"> above for reducing the price of the combination</w:t>
      </w:r>
      <w:r w:rsidRPr="00FE7564">
        <w:t>.</w:t>
      </w:r>
    </w:p>
    <w:p w:rsidR="008F5E01" w:rsidRPr="00FE7564" w:rsidRDefault="008F5E01" w:rsidP="008F5E01">
      <w:pPr>
        <w:rPr>
          <w:bCs/>
          <w:szCs w:val="20"/>
          <w:lang w:val="en-GB"/>
        </w:rPr>
      </w:pPr>
    </w:p>
    <w:p w:rsidR="008F5E01" w:rsidRPr="00FE7564" w:rsidRDefault="002654DF" w:rsidP="008F5E01">
      <w:pPr>
        <w:numPr>
          <w:ilvl w:val="1"/>
          <w:numId w:val="8"/>
        </w:numPr>
        <w:rPr>
          <w:bCs/>
          <w:szCs w:val="20"/>
          <w:lang w:val="en-GB"/>
        </w:rPr>
      </w:pPr>
      <w:r w:rsidRPr="00FE7564">
        <w:rPr>
          <w:szCs w:val="22"/>
        </w:rPr>
        <w:t xml:space="preserve">The PBAC </w:t>
      </w:r>
      <w:r w:rsidR="00BD4D2E" w:rsidRPr="00FE7564">
        <w:rPr>
          <w:szCs w:val="22"/>
        </w:rPr>
        <w:t xml:space="preserve">advised </w:t>
      </w:r>
      <w:r w:rsidRPr="00FE7564">
        <w:rPr>
          <w:szCs w:val="22"/>
        </w:rPr>
        <w:t xml:space="preserve">that, </w:t>
      </w:r>
      <w:r w:rsidR="008F5E01" w:rsidRPr="00FE7564">
        <w:rPr>
          <w:bCs/>
          <w:szCs w:val="20"/>
          <w:lang w:val="en-GB"/>
        </w:rPr>
        <w:t xml:space="preserve">upon the sponsor’s </w:t>
      </w:r>
      <w:r w:rsidR="00BD4D2E" w:rsidRPr="00FE7564">
        <w:rPr>
          <w:bCs/>
          <w:szCs w:val="20"/>
          <w:lang w:val="en-GB"/>
        </w:rPr>
        <w:t>implementation of the reduc</w:t>
      </w:r>
      <w:r w:rsidR="00D7264A" w:rsidRPr="00FE7564">
        <w:rPr>
          <w:bCs/>
          <w:szCs w:val="20"/>
          <w:lang w:val="en-GB"/>
        </w:rPr>
        <w:t>tion in</w:t>
      </w:r>
      <w:r w:rsidR="00BD4D2E" w:rsidRPr="00FE7564">
        <w:rPr>
          <w:bCs/>
          <w:szCs w:val="20"/>
          <w:lang w:val="en-GB"/>
        </w:rPr>
        <w:t xml:space="preserve"> price and </w:t>
      </w:r>
      <w:r w:rsidR="00D7264A" w:rsidRPr="00FE7564">
        <w:rPr>
          <w:bCs/>
          <w:szCs w:val="20"/>
          <w:lang w:val="en-GB"/>
        </w:rPr>
        <w:t xml:space="preserve">other </w:t>
      </w:r>
      <w:r w:rsidR="00BD4D2E" w:rsidRPr="00FE7564">
        <w:rPr>
          <w:bCs/>
          <w:szCs w:val="20"/>
          <w:lang w:val="en-GB"/>
        </w:rPr>
        <w:t>consequential changes,</w:t>
      </w:r>
      <w:r w:rsidR="007C28C4" w:rsidRPr="00FE7564">
        <w:rPr>
          <w:bCs/>
          <w:szCs w:val="20"/>
          <w:lang w:val="en-GB"/>
        </w:rPr>
        <w:t xml:space="preserve"> the MES information contained in the note of the </w:t>
      </w:r>
      <w:r w:rsidR="007C28C4" w:rsidRPr="00FE7564">
        <w:rPr>
          <w:bCs/>
          <w:i/>
          <w:szCs w:val="20"/>
          <w:lang w:val="en-GB"/>
        </w:rPr>
        <w:t>P</w:t>
      </w:r>
      <w:r w:rsidR="00BD4D2E" w:rsidRPr="00FE7564">
        <w:rPr>
          <w:bCs/>
          <w:i/>
          <w:szCs w:val="20"/>
          <w:lang w:val="en-GB"/>
        </w:rPr>
        <w:t xml:space="preserve">harmaceutical </w:t>
      </w:r>
      <w:r w:rsidR="007C28C4" w:rsidRPr="00FE7564">
        <w:rPr>
          <w:bCs/>
          <w:i/>
          <w:szCs w:val="20"/>
          <w:lang w:val="en-GB"/>
        </w:rPr>
        <w:t>B</w:t>
      </w:r>
      <w:r w:rsidR="00BD4D2E" w:rsidRPr="00FE7564">
        <w:rPr>
          <w:bCs/>
          <w:i/>
          <w:szCs w:val="20"/>
          <w:lang w:val="en-GB"/>
        </w:rPr>
        <w:t xml:space="preserve">enefits </w:t>
      </w:r>
      <w:r w:rsidR="007C28C4" w:rsidRPr="00FE7564">
        <w:rPr>
          <w:bCs/>
          <w:i/>
          <w:szCs w:val="20"/>
          <w:lang w:val="en-GB"/>
        </w:rPr>
        <w:t>Schedule</w:t>
      </w:r>
      <w:r w:rsidR="007C28C4" w:rsidRPr="00FE7564">
        <w:rPr>
          <w:bCs/>
          <w:szCs w:val="20"/>
          <w:lang w:val="en-GB"/>
        </w:rPr>
        <w:t xml:space="preserve"> for the listing of trametinib c</w:t>
      </w:r>
      <w:r w:rsidR="00BD4D2E" w:rsidRPr="00FE7564">
        <w:rPr>
          <w:bCs/>
          <w:szCs w:val="20"/>
          <w:lang w:val="en-GB"/>
        </w:rPr>
        <w:t>ould</w:t>
      </w:r>
      <w:r w:rsidR="007C28C4" w:rsidRPr="00FE7564">
        <w:rPr>
          <w:bCs/>
          <w:szCs w:val="20"/>
          <w:lang w:val="en-GB"/>
        </w:rPr>
        <w:t xml:space="preserve"> be removed</w:t>
      </w:r>
      <w:r w:rsidR="008F5E01" w:rsidRPr="00FE7564">
        <w:rPr>
          <w:bCs/>
          <w:szCs w:val="20"/>
          <w:lang w:val="en-GB"/>
        </w:rPr>
        <w:t>.</w:t>
      </w:r>
    </w:p>
    <w:p w:rsidR="00965D31" w:rsidRDefault="00965D31" w:rsidP="00965D31">
      <w:pPr>
        <w:rPr>
          <w:bCs/>
          <w:szCs w:val="20"/>
          <w:lang w:val="en-GB"/>
        </w:rPr>
      </w:pPr>
    </w:p>
    <w:p w:rsidR="00A5207E" w:rsidRPr="00965D31" w:rsidRDefault="00965D31" w:rsidP="00965D31">
      <w:pPr>
        <w:numPr>
          <w:ilvl w:val="1"/>
          <w:numId w:val="8"/>
        </w:numPr>
        <w:rPr>
          <w:bCs/>
          <w:szCs w:val="20"/>
          <w:lang w:val="en-GB"/>
        </w:rPr>
      </w:pPr>
      <w:r w:rsidRPr="00965D31">
        <w:rPr>
          <w:bCs/>
          <w:szCs w:val="20"/>
          <w:lang w:val="en-GB"/>
        </w:rPr>
        <w:t>The PBAC recommended that the outcome of this MES be communicated to consumers and the medical profession particularly noting the overestimate of clinical benefit in the original submission.</w:t>
      </w:r>
    </w:p>
    <w:p w:rsidR="0010168C" w:rsidRPr="00965D31" w:rsidRDefault="0010168C" w:rsidP="00965D31">
      <w:pPr>
        <w:rPr>
          <w:bCs/>
          <w:szCs w:val="20"/>
          <w:lang w:val="en-GB"/>
        </w:rPr>
      </w:pPr>
    </w:p>
    <w:p w:rsidR="00965D31" w:rsidRDefault="007C28C4" w:rsidP="00965D31">
      <w:pPr>
        <w:numPr>
          <w:ilvl w:val="1"/>
          <w:numId w:val="8"/>
        </w:numPr>
        <w:rPr>
          <w:bCs/>
          <w:szCs w:val="20"/>
          <w:lang w:val="en-GB"/>
        </w:rPr>
      </w:pPr>
      <w:r w:rsidRPr="00FE7564">
        <w:rPr>
          <w:bCs/>
          <w:szCs w:val="22"/>
          <w:lang w:val="en-GB"/>
        </w:rPr>
        <w:t>The submission is not eligible for an Independent Review, because the PBAC has recommend</w:t>
      </w:r>
      <w:r w:rsidR="00A83EAB" w:rsidRPr="00FE7564">
        <w:rPr>
          <w:bCs/>
          <w:szCs w:val="22"/>
          <w:lang w:val="en-GB"/>
        </w:rPr>
        <w:t>ed that the listing be continued</w:t>
      </w:r>
      <w:r w:rsidRPr="00FE7564">
        <w:rPr>
          <w:bCs/>
          <w:szCs w:val="22"/>
          <w:lang w:val="en-GB"/>
        </w:rPr>
        <w:t>.</w:t>
      </w:r>
    </w:p>
    <w:p w:rsidR="008F5E01" w:rsidRPr="00FE7564" w:rsidRDefault="008F5E01" w:rsidP="00BD4D2E">
      <w:pPr>
        <w:pStyle w:val="PBACheading1"/>
        <w:numPr>
          <w:ilvl w:val="0"/>
          <w:numId w:val="0"/>
        </w:numPr>
        <w:rPr>
          <w:lang w:val="en-GB"/>
        </w:rPr>
      </w:pPr>
    </w:p>
    <w:p w:rsidR="003C29CE" w:rsidRDefault="003C29CE" w:rsidP="00CB074A">
      <w:pPr>
        <w:rPr>
          <w:b/>
          <w:bCs/>
          <w:szCs w:val="20"/>
          <w:lang w:val="en-GB"/>
        </w:rPr>
      </w:pPr>
    </w:p>
    <w:p w:rsidR="00CB074A" w:rsidRPr="00FE7564" w:rsidRDefault="00CB074A" w:rsidP="00CB074A">
      <w:pPr>
        <w:rPr>
          <w:b/>
          <w:bCs/>
          <w:szCs w:val="20"/>
          <w:lang w:val="en-GB"/>
        </w:rPr>
      </w:pPr>
      <w:r w:rsidRPr="00FE7564">
        <w:rPr>
          <w:b/>
          <w:bCs/>
          <w:szCs w:val="20"/>
          <w:lang w:val="en-GB"/>
        </w:rPr>
        <w:t>Outcome:</w:t>
      </w:r>
    </w:p>
    <w:p w:rsidR="003C29CE" w:rsidRPr="00FE7564" w:rsidRDefault="003C29CE" w:rsidP="00CB074A">
      <w:pPr>
        <w:rPr>
          <w:bCs/>
          <w:szCs w:val="20"/>
          <w:lang w:val="en-GB"/>
        </w:rPr>
      </w:pPr>
      <w:r>
        <w:rPr>
          <w:bCs/>
          <w:szCs w:val="20"/>
          <w:lang w:val="en-GB"/>
        </w:rPr>
        <w:t>Recommended</w:t>
      </w:r>
    </w:p>
    <w:p w:rsidR="00CB074A" w:rsidRPr="009A75AB" w:rsidRDefault="00CB074A" w:rsidP="00CB074A">
      <w:pPr>
        <w:rPr>
          <w:b/>
          <w:bCs/>
          <w:szCs w:val="20"/>
        </w:rPr>
      </w:pPr>
    </w:p>
    <w:p w:rsidR="00CB074A" w:rsidRPr="00FE7564" w:rsidRDefault="00CB074A" w:rsidP="0031771D">
      <w:pPr>
        <w:pStyle w:val="Heading1"/>
        <w:rPr>
          <w:i/>
          <w:lang w:val="en-GB"/>
        </w:rPr>
      </w:pPr>
      <w:r w:rsidRPr="00FE7564">
        <w:rPr>
          <w:lang w:val="en-GB"/>
        </w:rPr>
        <w:t>Recommended listing</w:t>
      </w:r>
    </w:p>
    <w:p w:rsidR="00CB074A" w:rsidRPr="00FE7564" w:rsidRDefault="00CB074A" w:rsidP="00CB074A">
      <w:pPr>
        <w:rPr>
          <w:bCs/>
          <w:szCs w:val="20"/>
          <w:lang w:val="en-GB"/>
        </w:rPr>
      </w:pPr>
    </w:p>
    <w:p w:rsidR="00CB074A" w:rsidRPr="00FE7564" w:rsidRDefault="007162BB" w:rsidP="00912B83">
      <w:pPr>
        <w:numPr>
          <w:ilvl w:val="1"/>
          <w:numId w:val="8"/>
        </w:numPr>
        <w:rPr>
          <w:bCs/>
          <w:szCs w:val="20"/>
        </w:rPr>
      </w:pPr>
      <w:r>
        <w:rPr>
          <w:bCs/>
          <w:szCs w:val="20"/>
        </w:rPr>
        <w:t xml:space="preserve">No change to the existing restriction.  However, </w:t>
      </w:r>
      <w:r>
        <w:rPr>
          <w:bCs/>
          <w:szCs w:val="20"/>
          <w:lang w:val="en-GB"/>
        </w:rPr>
        <w:t xml:space="preserve">upon the sponsor’s implementation of the PBAC recommendation (reduction in price and other consequential changes), the MES information contained in the note of the </w:t>
      </w:r>
      <w:r>
        <w:rPr>
          <w:bCs/>
          <w:i/>
          <w:szCs w:val="20"/>
          <w:lang w:val="en-GB"/>
        </w:rPr>
        <w:t>Pharmaceutical Benefits Schedule</w:t>
      </w:r>
      <w:r>
        <w:rPr>
          <w:bCs/>
          <w:szCs w:val="20"/>
          <w:lang w:val="en-GB"/>
        </w:rPr>
        <w:t xml:space="preserve"> for the listing of trametinib could be removed.</w:t>
      </w:r>
    </w:p>
    <w:p w:rsidR="00CB074A" w:rsidRDefault="00CB074A" w:rsidP="00CB074A">
      <w:pPr>
        <w:rPr>
          <w:b/>
          <w:bCs/>
          <w:szCs w:val="20"/>
        </w:rPr>
      </w:pPr>
    </w:p>
    <w:p w:rsidR="006D62FD" w:rsidRPr="006D62FD" w:rsidRDefault="006D62FD" w:rsidP="0031771D">
      <w:pPr>
        <w:pStyle w:val="Heading1"/>
      </w:pPr>
      <w:r w:rsidRPr="006D62FD">
        <w:t>Context for Decision</w:t>
      </w:r>
    </w:p>
    <w:p w:rsidR="006D62FD" w:rsidRPr="006D62FD" w:rsidRDefault="006D62FD" w:rsidP="006D62FD">
      <w:pPr>
        <w:ind w:left="720"/>
        <w:rPr>
          <w:bCs/>
          <w:szCs w:val="20"/>
        </w:rPr>
      </w:pPr>
    </w:p>
    <w:p w:rsidR="006D62FD" w:rsidRPr="006D62FD" w:rsidRDefault="006D62FD" w:rsidP="006D62FD">
      <w:pPr>
        <w:ind w:left="720"/>
        <w:rPr>
          <w:bCs/>
          <w:szCs w:val="20"/>
        </w:rPr>
      </w:pPr>
      <w:r w:rsidRPr="006D62FD">
        <w:rPr>
          <w:bCs/>
          <w:szCs w:val="2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D62FD" w:rsidRPr="006D62FD" w:rsidRDefault="006D62FD" w:rsidP="006D62FD">
      <w:pPr>
        <w:ind w:left="720"/>
        <w:rPr>
          <w:bCs/>
          <w:szCs w:val="20"/>
        </w:rPr>
      </w:pPr>
    </w:p>
    <w:p w:rsidR="006D62FD" w:rsidRPr="006D62FD" w:rsidRDefault="006D62FD" w:rsidP="0031771D">
      <w:pPr>
        <w:pStyle w:val="Heading1"/>
      </w:pPr>
      <w:r w:rsidRPr="006D62FD">
        <w:t>Sponsor’s Comment</w:t>
      </w:r>
      <w:r w:rsidRPr="006D62FD">
        <w:tab/>
      </w:r>
    </w:p>
    <w:p w:rsidR="006D62FD" w:rsidRPr="006D62FD" w:rsidRDefault="006D62FD" w:rsidP="006D62FD">
      <w:pPr>
        <w:ind w:left="720"/>
        <w:rPr>
          <w:bCs/>
          <w:szCs w:val="20"/>
          <w:highlight w:val="yellow"/>
        </w:rPr>
      </w:pPr>
    </w:p>
    <w:p w:rsidR="006D62FD" w:rsidRPr="006D62FD" w:rsidRDefault="006D62FD" w:rsidP="006D62FD">
      <w:pPr>
        <w:ind w:left="720"/>
        <w:rPr>
          <w:bCs/>
          <w:szCs w:val="20"/>
        </w:rPr>
      </w:pPr>
      <w:r w:rsidRPr="006D62FD">
        <w:rPr>
          <w:bCs/>
          <w:szCs w:val="20"/>
        </w:rPr>
        <w:t>The sponsor had no comment.</w:t>
      </w:r>
    </w:p>
    <w:p w:rsidR="006D62FD" w:rsidRPr="00FE7564" w:rsidRDefault="006D62FD" w:rsidP="00CB074A">
      <w:pPr>
        <w:rPr>
          <w:b/>
          <w:bCs/>
          <w:szCs w:val="20"/>
        </w:rPr>
      </w:pPr>
    </w:p>
    <w:sectPr w:rsidR="006D62FD" w:rsidRPr="00FE7564" w:rsidSect="002524B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9C5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1D" w:rsidRDefault="0031771D" w:rsidP="00124A51">
      <w:r>
        <w:separator/>
      </w:r>
    </w:p>
  </w:endnote>
  <w:endnote w:type="continuationSeparator" w:id="0">
    <w:p w:rsidR="0031771D" w:rsidRDefault="0031771D"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1D" w:rsidRDefault="00317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1D" w:rsidRDefault="0031771D">
    <w:pPr>
      <w:pStyle w:val="Footer"/>
      <w:jc w:val="center"/>
    </w:pPr>
  </w:p>
  <w:p w:rsidR="0031771D" w:rsidRPr="00547D3A" w:rsidRDefault="00113F67" w:rsidP="00547D3A">
    <w:pPr>
      <w:pStyle w:val="Footer"/>
      <w:jc w:val="center"/>
    </w:pPr>
    <w:sdt>
      <w:sdtPr>
        <w:id w:val="724561169"/>
        <w:docPartObj>
          <w:docPartGallery w:val="Page Numbers (Bottom of Page)"/>
          <w:docPartUnique/>
        </w:docPartObj>
      </w:sdtPr>
      <w:sdtEndPr>
        <w:rPr>
          <w:noProof/>
        </w:rPr>
      </w:sdtEndPr>
      <w:sdtContent>
        <w:r w:rsidR="0031771D">
          <w:fldChar w:fldCharType="begin"/>
        </w:r>
        <w:r w:rsidR="0031771D">
          <w:instrText xml:space="preserve"> PAGE   \* MERGEFORMAT </w:instrText>
        </w:r>
        <w:r w:rsidR="0031771D">
          <w:fldChar w:fldCharType="separate"/>
        </w:r>
        <w:r>
          <w:rPr>
            <w:noProof/>
          </w:rPr>
          <w:t>8</w:t>
        </w:r>
        <w:r w:rsidR="0031771D">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1D" w:rsidRDefault="00317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1D" w:rsidRDefault="0031771D" w:rsidP="00124A51">
      <w:r>
        <w:separator/>
      </w:r>
    </w:p>
  </w:footnote>
  <w:footnote w:type="continuationSeparator" w:id="0">
    <w:p w:rsidR="0031771D" w:rsidRDefault="0031771D"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1D" w:rsidRDefault="00317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1D" w:rsidRPr="00DF217D" w:rsidRDefault="0031771D" w:rsidP="003314AA">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31771D" w:rsidRPr="003314AA" w:rsidRDefault="0031771D" w:rsidP="003314A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1D" w:rsidRDefault="00317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DE750E"/>
    <w:multiLevelType w:val="hybridMultilevel"/>
    <w:tmpl w:val="B28C1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D15553"/>
    <w:multiLevelType w:val="hybridMultilevel"/>
    <w:tmpl w:val="1990196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B6EC1"/>
    <w:multiLevelType w:val="hybridMultilevel"/>
    <w:tmpl w:val="0E14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8E6F34"/>
    <w:multiLevelType w:val="hybridMultilevel"/>
    <w:tmpl w:val="25800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746EC"/>
    <w:multiLevelType w:val="hybridMultilevel"/>
    <w:tmpl w:val="31D4E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830189"/>
    <w:multiLevelType w:val="hybridMultilevel"/>
    <w:tmpl w:val="B8F2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729E7"/>
    <w:multiLevelType w:val="hybridMultilevel"/>
    <w:tmpl w:val="187CC97E"/>
    <w:lvl w:ilvl="0" w:tplc="7660C020">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BA2494"/>
    <w:multiLevelType w:val="hybridMultilevel"/>
    <w:tmpl w:val="E098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F5729"/>
    <w:multiLevelType w:val="hybridMultilevel"/>
    <w:tmpl w:val="EEF6EEE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698492F"/>
    <w:multiLevelType w:val="hybridMultilevel"/>
    <w:tmpl w:val="52863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4C6F4A"/>
    <w:multiLevelType w:val="hybridMultilevel"/>
    <w:tmpl w:val="759E9C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6A2AB6"/>
    <w:multiLevelType w:val="hybridMultilevel"/>
    <w:tmpl w:val="9E70C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B02C10"/>
    <w:multiLevelType w:val="hybridMultilevel"/>
    <w:tmpl w:val="1B48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562AD"/>
    <w:multiLevelType w:val="hybridMultilevel"/>
    <w:tmpl w:val="85E6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5E006C1"/>
    <w:multiLevelType w:val="hybridMultilevel"/>
    <w:tmpl w:val="8ADCAF52"/>
    <w:lvl w:ilvl="0" w:tplc="1E44919A">
      <w:start w:val="1"/>
      <w:numFmt w:val="bullet"/>
      <w:lvlText w:val=""/>
      <w:lvlJc w:val="left"/>
      <w:pPr>
        <w:tabs>
          <w:tab w:val="num" w:pos="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B44565"/>
    <w:multiLevelType w:val="hybridMultilevel"/>
    <w:tmpl w:val="022C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F0668E"/>
    <w:multiLevelType w:val="hybridMultilevel"/>
    <w:tmpl w:val="2230F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7200FBA"/>
    <w:multiLevelType w:val="hybridMultilevel"/>
    <w:tmpl w:val="0284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97E08"/>
    <w:multiLevelType w:val="hybridMultilevel"/>
    <w:tmpl w:val="77C09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C6E18E5"/>
    <w:multiLevelType w:val="hybridMultilevel"/>
    <w:tmpl w:val="6EE4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39264D"/>
    <w:multiLevelType w:val="hybridMultilevel"/>
    <w:tmpl w:val="0A84E07A"/>
    <w:lvl w:ilvl="0" w:tplc="6F6E4D4A">
      <w:start w:val="1"/>
      <w:numFmt w:val="bullet"/>
      <w:lvlText w:val="o"/>
      <w:lvlJc w:val="left"/>
      <w:pPr>
        <w:tabs>
          <w:tab w:val="num" w:pos="911"/>
        </w:tabs>
        <w:ind w:left="911" w:hanging="360"/>
      </w:pPr>
      <w:rPr>
        <w:rFonts w:ascii="Courier New" w:hAnsi="Courier New" w:hint="default"/>
        <w:color w:val="auto"/>
      </w:rPr>
    </w:lvl>
    <w:lvl w:ilvl="1" w:tplc="04090003" w:tentative="1">
      <w:start w:val="1"/>
      <w:numFmt w:val="bullet"/>
      <w:lvlText w:val="o"/>
      <w:lvlJc w:val="left"/>
      <w:pPr>
        <w:ind w:left="1631" w:hanging="360"/>
      </w:pPr>
      <w:rPr>
        <w:rFonts w:ascii="Courier New" w:hAnsi="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6">
    <w:nsid w:val="40315503"/>
    <w:multiLevelType w:val="hybridMultilevel"/>
    <w:tmpl w:val="5B94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A43F08"/>
    <w:multiLevelType w:val="hybridMultilevel"/>
    <w:tmpl w:val="8D7C6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8DE34BA"/>
    <w:multiLevelType w:val="hybridMultilevel"/>
    <w:tmpl w:val="12A2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0A5E8A"/>
    <w:multiLevelType w:val="hybridMultilevel"/>
    <w:tmpl w:val="4C7A4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EBE16D2"/>
    <w:multiLevelType w:val="hybridMultilevel"/>
    <w:tmpl w:val="6E4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6C2BBD"/>
    <w:multiLevelType w:val="hybridMultilevel"/>
    <w:tmpl w:val="546A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79774AA"/>
    <w:multiLevelType w:val="hybridMultilevel"/>
    <w:tmpl w:val="C60C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5219CE"/>
    <w:multiLevelType w:val="hybridMultilevel"/>
    <w:tmpl w:val="469E9190"/>
    <w:lvl w:ilvl="0" w:tplc="04090001">
      <w:start w:val="1"/>
      <w:numFmt w:val="bullet"/>
      <w:lvlText w:val=""/>
      <w:lvlJc w:val="left"/>
      <w:pPr>
        <w:ind w:left="2209" w:hanging="360"/>
      </w:pPr>
      <w:rPr>
        <w:rFonts w:ascii="Symbol" w:hAnsi="Symbol" w:hint="default"/>
      </w:rPr>
    </w:lvl>
    <w:lvl w:ilvl="1" w:tplc="04090003" w:tentative="1">
      <w:start w:val="1"/>
      <w:numFmt w:val="bullet"/>
      <w:lvlText w:val="o"/>
      <w:lvlJc w:val="left"/>
      <w:pPr>
        <w:ind w:left="2929" w:hanging="360"/>
      </w:pPr>
      <w:rPr>
        <w:rFonts w:ascii="Courier New" w:hAnsi="Courier New" w:cs="Courier New" w:hint="default"/>
      </w:rPr>
    </w:lvl>
    <w:lvl w:ilvl="2" w:tplc="04090005" w:tentative="1">
      <w:start w:val="1"/>
      <w:numFmt w:val="bullet"/>
      <w:lvlText w:val=""/>
      <w:lvlJc w:val="left"/>
      <w:pPr>
        <w:ind w:left="3649" w:hanging="360"/>
      </w:pPr>
      <w:rPr>
        <w:rFonts w:ascii="Wingdings" w:hAnsi="Wingdings" w:hint="default"/>
      </w:rPr>
    </w:lvl>
    <w:lvl w:ilvl="3" w:tplc="04090001" w:tentative="1">
      <w:start w:val="1"/>
      <w:numFmt w:val="bullet"/>
      <w:lvlText w:val=""/>
      <w:lvlJc w:val="left"/>
      <w:pPr>
        <w:ind w:left="4369" w:hanging="360"/>
      </w:pPr>
      <w:rPr>
        <w:rFonts w:ascii="Symbol" w:hAnsi="Symbol" w:hint="default"/>
      </w:rPr>
    </w:lvl>
    <w:lvl w:ilvl="4" w:tplc="04090003" w:tentative="1">
      <w:start w:val="1"/>
      <w:numFmt w:val="bullet"/>
      <w:lvlText w:val="o"/>
      <w:lvlJc w:val="left"/>
      <w:pPr>
        <w:ind w:left="5089" w:hanging="360"/>
      </w:pPr>
      <w:rPr>
        <w:rFonts w:ascii="Courier New" w:hAnsi="Courier New" w:cs="Courier New" w:hint="default"/>
      </w:rPr>
    </w:lvl>
    <w:lvl w:ilvl="5" w:tplc="04090005" w:tentative="1">
      <w:start w:val="1"/>
      <w:numFmt w:val="bullet"/>
      <w:lvlText w:val=""/>
      <w:lvlJc w:val="left"/>
      <w:pPr>
        <w:ind w:left="5809" w:hanging="360"/>
      </w:pPr>
      <w:rPr>
        <w:rFonts w:ascii="Wingdings" w:hAnsi="Wingdings" w:hint="default"/>
      </w:rPr>
    </w:lvl>
    <w:lvl w:ilvl="6" w:tplc="04090001" w:tentative="1">
      <w:start w:val="1"/>
      <w:numFmt w:val="bullet"/>
      <w:lvlText w:val=""/>
      <w:lvlJc w:val="left"/>
      <w:pPr>
        <w:ind w:left="6529" w:hanging="360"/>
      </w:pPr>
      <w:rPr>
        <w:rFonts w:ascii="Symbol" w:hAnsi="Symbol" w:hint="default"/>
      </w:rPr>
    </w:lvl>
    <w:lvl w:ilvl="7" w:tplc="04090003" w:tentative="1">
      <w:start w:val="1"/>
      <w:numFmt w:val="bullet"/>
      <w:lvlText w:val="o"/>
      <w:lvlJc w:val="left"/>
      <w:pPr>
        <w:ind w:left="7249" w:hanging="360"/>
      </w:pPr>
      <w:rPr>
        <w:rFonts w:ascii="Courier New" w:hAnsi="Courier New" w:cs="Courier New" w:hint="default"/>
      </w:rPr>
    </w:lvl>
    <w:lvl w:ilvl="8" w:tplc="04090005" w:tentative="1">
      <w:start w:val="1"/>
      <w:numFmt w:val="bullet"/>
      <w:lvlText w:val=""/>
      <w:lvlJc w:val="left"/>
      <w:pPr>
        <w:ind w:left="7969" w:hanging="360"/>
      </w:pPr>
      <w:rPr>
        <w:rFonts w:ascii="Wingdings" w:hAnsi="Wingdings" w:hint="default"/>
      </w:rPr>
    </w:lvl>
  </w:abstractNum>
  <w:abstractNum w:abstractNumId="36">
    <w:nsid w:val="59915C97"/>
    <w:multiLevelType w:val="hybridMultilevel"/>
    <w:tmpl w:val="9B885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E4660B6"/>
    <w:multiLevelType w:val="hybridMultilevel"/>
    <w:tmpl w:val="F65CA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0322DF4"/>
    <w:multiLevelType w:val="hybridMultilevel"/>
    <w:tmpl w:val="426E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3867E6"/>
    <w:multiLevelType w:val="hybridMultilevel"/>
    <w:tmpl w:val="3AA893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44986"/>
    <w:multiLevelType w:val="hybridMultilevel"/>
    <w:tmpl w:val="D4A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4D033C"/>
    <w:multiLevelType w:val="multilevel"/>
    <w:tmpl w:val="8F4E1ED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A1970A5"/>
    <w:multiLevelType w:val="hybridMultilevel"/>
    <w:tmpl w:val="98E62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9D17AD"/>
    <w:multiLevelType w:val="multilevel"/>
    <w:tmpl w:val="25800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EF55792"/>
    <w:multiLevelType w:val="hybridMultilevel"/>
    <w:tmpl w:val="70A6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F3328A7"/>
    <w:multiLevelType w:val="hybridMultilevel"/>
    <w:tmpl w:val="C43A6A00"/>
    <w:lvl w:ilvl="0" w:tplc="6F6E4D4A">
      <w:start w:val="1"/>
      <w:numFmt w:val="bullet"/>
      <w:lvlText w:val="o"/>
      <w:lvlJc w:val="left"/>
      <w:pPr>
        <w:tabs>
          <w:tab w:val="num" w:pos="720"/>
        </w:tabs>
        <w:ind w:left="720" w:hanging="360"/>
      </w:pPr>
      <w:rPr>
        <w:rFonts w:ascii="Courier New" w:hAnsi="Courier New"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DAAED4DA">
      <w:numFmt w:val="bullet"/>
      <w:lvlText w:val="-"/>
      <w:lvlJc w:val="left"/>
      <w:pPr>
        <w:ind w:left="2160" w:hanging="360"/>
      </w:pPr>
      <w:rPr>
        <w:rFonts w:ascii="Arial Narrow" w:eastAsia="Times New Roman" w:hAnsi="Arial Narrow"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8"/>
  </w:num>
  <w:num w:numId="3">
    <w:abstractNumId w:val="18"/>
  </w:num>
  <w:num w:numId="4">
    <w:abstractNumId w:val="46"/>
  </w:num>
  <w:num w:numId="5">
    <w:abstractNumId w:val="45"/>
  </w:num>
  <w:num w:numId="6">
    <w:abstractNumId w:val="23"/>
  </w:num>
  <w:num w:numId="7">
    <w:abstractNumId w:val="3"/>
  </w:num>
  <w:num w:numId="8">
    <w:abstractNumId w:val="42"/>
  </w:num>
  <w:num w:numId="9">
    <w:abstractNumId w:val="37"/>
  </w:num>
  <w:num w:numId="10">
    <w:abstractNumId w:val="39"/>
  </w:num>
  <w:num w:numId="11">
    <w:abstractNumId w:val="21"/>
  </w:num>
  <w:num w:numId="12">
    <w:abstractNumId w:val="24"/>
  </w:num>
  <w:num w:numId="13">
    <w:abstractNumId w:val="6"/>
  </w:num>
  <w:num w:numId="14">
    <w:abstractNumId w:val="22"/>
  </w:num>
  <w:num w:numId="15">
    <w:abstractNumId w:val="19"/>
  </w:num>
  <w:num w:numId="16">
    <w:abstractNumId w:val="35"/>
  </w:num>
  <w:num w:numId="17">
    <w:abstractNumId w:val="31"/>
  </w:num>
  <w:num w:numId="18">
    <w:abstractNumId w:val="12"/>
  </w:num>
  <w:num w:numId="19">
    <w:abstractNumId w:val="34"/>
  </w:num>
  <w:num w:numId="20">
    <w:abstractNumId w:val="32"/>
  </w:num>
  <w:num w:numId="21">
    <w:abstractNumId w:val="10"/>
  </w:num>
  <w:num w:numId="22">
    <w:abstractNumId w:val="43"/>
  </w:num>
  <w:num w:numId="23">
    <w:abstractNumId w:val="25"/>
  </w:num>
  <w:num w:numId="24">
    <w:abstractNumId w:val="29"/>
  </w:num>
  <w:num w:numId="25">
    <w:abstractNumId w:val="7"/>
  </w:num>
  <w:num w:numId="26">
    <w:abstractNumId w:val="14"/>
  </w:num>
  <w:num w:numId="27">
    <w:abstractNumId w:val="15"/>
  </w:num>
  <w:num w:numId="28">
    <w:abstractNumId w:val="41"/>
  </w:num>
  <w:num w:numId="29">
    <w:abstractNumId w:val="17"/>
  </w:num>
  <w:num w:numId="30">
    <w:abstractNumId w:val="13"/>
  </w:num>
  <w:num w:numId="31">
    <w:abstractNumId w:val="5"/>
  </w:num>
  <w:num w:numId="32">
    <w:abstractNumId w:val="9"/>
  </w:num>
  <w:num w:numId="33">
    <w:abstractNumId w:val="20"/>
  </w:num>
  <w:num w:numId="34">
    <w:abstractNumId w:val="36"/>
  </w:num>
  <w:num w:numId="35">
    <w:abstractNumId w:val="1"/>
  </w:num>
  <w:num w:numId="36">
    <w:abstractNumId w:val="30"/>
  </w:num>
  <w:num w:numId="37">
    <w:abstractNumId w:val="16"/>
  </w:num>
  <w:num w:numId="38">
    <w:abstractNumId w:val="40"/>
  </w:num>
  <w:num w:numId="39">
    <w:abstractNumId w:val="8"/>
  </w:num>
  <w:num w:numId="40">
    <w:abstractNumId w:val="44"/>
  </w:num>
  <w:num w:numId="41">
    <w:abstractNumId w:val="2"/>
  </w:num>
  <w:num w:numId="42">
    <w:abstractNumId w:val="26"/>
  </w:num>
  <w:num w:numId="43">
    <w:abstractNumId w:val="27"/>
  </w:num>
  <w:num w:numId="44">
    <w:abstractNumId w:val="33"/>
  </w:num>
  <w:num w:numId="45">
    <w:abstractNumId w:val="4"/>
  </w:num>
  <w:num w:numId="46">
    <w:abstractNumId w:val="0"/>
  </w:num>
  <w:num w:numId="47">
    <w:abstractNumId w:val="11"/>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870"/>
    <w:rsid w:val="00001B0E"/>
    <w:rsid w:val="00002A42"/>
    <w:rsid w:val="00003E32"/>
    <w:rsid w:val="00004C5A"/>
    <w:rsid w:val="00005177"/>
    <w:rsid w:val="00010923"/>
    <w:rsid w:val="00010C97"/>
    <w:rsid w:val="0001305D"/>
    <w:rsid w:val="00013247"/>
    <w:rsid w:val="000148B2"/>
    <w:rsid w:val="00015886"/>
    <w:rsid w:val="00015A40"/>
    <w:rsid w:val="00015CBC"/>
    <w:rsid w:val="000162EF"/>
    <w:rsid w:val="000164FF"/>
    <w:rsid w:val="00021791"/>
    <w:rsid w:val="00021EE3"/>
    <w:rsid w:val="000221CF"/>
    <w:rsid w:val="0002225F"/>
    <w:rsid w:val="0002243E"/>
    <w:rsid w:val="0002292C"/>
    <w:rsid w:val="00023763"/>
    <w:rsid w:val="000242A4"/>
    <w:rsid w:val="0002595B"/>
    <w:rsid w:val="00026A2F"/>
    <w:rsid w:val="00027973"/>
    <w:rsid w:val="00031301"/>
    <w:rsid w:val="00032002"/>
    <w:rsid w:val="00037476"/>
    <w:rsid w:val="00040895"/>
    <w:rsid w:val="0004114D"/>
    <w:rsid w:val="00041FC2"/>
    <w:rsid w:val="000420FB"/>
    <w:rsid w:val="0004231D"/>
    <w:rsid w:val="00043C37"/>
    <w:rsid w:val="00043FC4"/>
    <w:rsid w:val="0004501E"/>
    <w:rsid w:val="000456B4"/>
    <w:rsid w:val="00045DCE"/>
    <w:rsid w:val="000513FB"/>
    <w:rsid w:val="00051F88"/>
    <w:rsid w:val="000546D7"/>
    <w:rsid w:val="00056B75"/>
    <w:rsid w:val="000574EA"/>
    <w:rsid w:val="0006040C"/>
    <w:rsid w:val="00060533"/>
    <w:rsid w:val="00061EA4"/>
    <w:rsid w:val="00066B5E"/>
    <w:rsid w:val="00067910"/>
    <w:rsid w:val="000700B2"/>
    <w:rsid w:val="000703F2"/>
    <w:rsid w:val="00071248"/>
    <w:rsid w:val="000720B9"/>
    <w:rsid w:val="0007317A"/>
    <w:rsid w:val="00073C82"/>
    <w:rsid w:val="00074BCC"/>
    <w:rsid w:val="00077560"/>
    <w:rsid w:val="000775C6"/>
    <w:rsid w:val="00077842"/>
    <w:rsid w:val="000812CA"/>
    <w:rsid w:val="00081405"/>
    <w:rsid w:val="00081B1D"/>
    <w:rsid w:val="000830E5"/>
    <w:rsid w:val="00083727"/>
    <w:rsid w:val="00084AE6"/>
    <w:rsid w:val="00084D8E"/>
    <w:rsid w:val="00087B3C"/>
    <w:rsid w:val="00090C7E"/>
    <w:rsid w:val="000910E5"/>
    <w:rsid w:val="00091432"/>
    <w:rsid w:val="00095B72"/>
    <w:rsid w:val="00095CB8"/>
    <w:rsid w:val="000A0E63"/>
    <w:rsid w:val="000A417E"/>
    <w:rsid w:val="000A451E"/>
    <w:rsid w:val="000A4B03"/>
    <w:rsid w:val="000A55F3"/>
    <w:rsid w:val="000B0A22"/>
    <w:rsid w:val="000B29C8"/>
    <w:rsid w:val="000B3913"/>
    <w:rsid w:val="000B5079"/>
    <w:rsid w:val="000B5641"/>
    <w:rsid w:val="000B6691"/>
    <w:rsid w:val="000B6A24"/>
    <w:rsid w:val="000B6C15"/>
    <w:rsid w:val="000C03CE"/>
    <w:rsid w:val="000C0911"/>
    <w:rsid w:val="000C1E1E"/>
    <w:rsid w:val="000C2630"/>
    <w:rsid w:val="000C3259"/>
    <w:rsid w:val="000D1BFC"/>
    <w:rsid w:val="000D2941"/>
    <w:rsid w:val="000D30A9"/>
    <w:rsid w:val="000D6702"/>
    <w:rsid w:val="000D6E9F"/>
    <w:rsid w:val="000E01E8"/>
    <w:rsid w:val="000E0D03"/>
    <w:rsid w:val="000E13A1"/>
    <w:rsid w:val="000E237A"/>
    <w:rsid w:val="000E2D22"/>
    <w:rsid w:val="000E4595"/>
    <w:rsid w:val="000E7436"/>
    <w:rsid w:val="000F2ED3"/>
    <w:rsid w:val="000F4531"/>
    <w:rsid w:val="000F5BDF"/>
    <w:rsid w:val="00100A4D"/>
    <w:rsid w:val="00100F8A"/>
    <w:rsid w:val="0010168C"/>
    <w:rsid w:val="001026AD"/>
    <w:rsid w:val="001044E1"/>
    <w:rsid w:val="0010604E"/>
    <w:rsid w:val="0011032E"/>
    <w:rsid w:val="00110CD8"/>
    <w:rsid w:val="00111B57"/>
    <w:rsid w:val="00113F67"/>
    <w:rsid w:val="00114F29"/>
    <w:rsid w:val="00121799"/>
    <w:rsid w:val="00121C69"/>
    <w:rsid w:val="001222FC"/>
    <w:rsid w:val="0012323D"/>
    <w:rsid w:val="00123958"/>
    <w:rsid w:val="00124231"/>
    <w:rsid w:val="00124A51"/>
    <w:rsid w:val="00126621"/>
    <w:rsid w:val="00126D9D"/>
    <w:rsid w:val="00127338"/>
    <w:rsid w:val="001301E9"/>
    <w:rsid w:val="00131B82"/>
    <w:rsid w:val="001329DC"/>
    <w:rsid w:val="00132B20"/>
    <w:rsid w:val="00135122"/>
    <w:rsid w:val="00136E73"/>
    <w:rsid w:val="00137645"/>
    <w:rsid w:val="0014015A"/>
    <w:rsid w:val="00140E99"/>
    <w:rsid w:val="00141B45"/>
    <w:rsid w:val="001454FD"/>
    <w:rsid w:val="001456B0"/>
    <w:rsid w:val="001459CA"/>
    <w:rsid w:val="00147CA7"/>
    <w:rsid w:val="00150F9E"/>
    <w:rsid w:val="00152F61"/>
    <w:rsid w:val="00154BF7"/>
    <w:rsid w:val="00157130"/>
    <w:rsid w:val="0015731D"/>
    <w:rsid w:val="00157BA1"/>
    <w:rsid w:val="00162913"/>
    <w:rsid w:val="00163EFF"/>
    <w:rsid w:val="001661FB"/>
    <w:rsid w:val="00167019"/>
    <w:rsid w:val="00170814"/>
    <w:rsid w:val="00175715"/>
    <w:rsid w:val="0017652F"/>
    <w:rsid w:val="00177D0D"/>
    <w:rsid w:val="001804F7"/>
    <w:rsid w:val="00180EF2"/>
    <w:rsid w:val="001813E1"/>
    <w:rsid w:val="001822E3"/>
    <w:rsid w:val="00182D49"/>
    <w:rsid w:val="001857B4"/>
    <w:rsid w:val="001903B0"/>
    <w:rsid w:val="0019279D"/>
    <w:rsid w:val="00195222"/>
    <w:rsid w:val="0019598D"/>
    <w:rsid w:val="0019694A"/>
    <w:rsid w:val="00196B6C"/>
    <w:rsid w:val="001971A6"/>
    <w:rsid w:val="001975D8"/>
    <w:rsid w:val="001A0A92"/>
    <w:rsid w:val="001A0C69"/>
    <w:rsid w:val="001A0DF2"/>
    <w:rsid w:val="001A2B43"/>
    <w:rsid w:val="001A3739"/>
    <w:rsid w:val="001A4E5C"/>
    <w:rsid w:val="001B0A11"/>
    <w:rsid w:val="001B1B89"/>
    <w:rsid w:val="001B281C"/>
    <w:rsid w:val="001B2D68"/>
    <w:rsid w:val="001B3443"/>
    <w:rsid w:val="001B4A3E"/>
    <w:rsid w:val="001B6188"/>
    <w:rsid w:val="001B7955"/>
    <w:rsid w:val="001B7A1A"/>
    <w:rsid w:val="001B7AAA"/>
    <w:rsid w:val="001B7C0C"/>
    <w:rsid w:val="001C1030"/>
    <w:rsid w:val="001C16AA"/>
    <w:rsid w:val="001C2ED7"/>
    <w:rsid w:val="001C366D"/>
    <w:rsid w:val="001C5A2F"/>
    <w:rsid w:val="001C6880"/>
    <w:rsid w:val="001C6E66"/>
    <w:rsid w:val="001C74B7"/>
    <w:rsid w:val="001C79A4"/>
    <w:rsid w:val="001D112E"/>
    <w:rsid w:val="001D7F16"/>
    <w:rsid w:val="001E134D"/>
    <w:rsid w:val="001E1814"/>
    <w:rsid w:val="001E1ACD"/>
    <w:rsid w:val="001E20E0"/>
    <w:rsid w:val="001E238E"/>
    <w:rsid w:val="001E3BB9"/>
    <w:rsid w:val="001E4540"/>
    <w:rsid w:val="001E52EB"/>
    <w:rsid w:val="001E740C"/>
    <w:rsid w:val="001F027C"/>
    <w:rsid w:val="001F0EB3"/>
    <w:rsid w:val="001F1235"/>
    <w:rsid w:val="001F1B63"/>
    <w:rsid w:val="001F1CB3"/>
    <w:rsid w:val="001F4ABC"/>
    <w:rsid w:val="001F7361"/>
    <w:rsid w:val="001F7786"/>
    <w:rsid w:val="002001FA"/>
    <w:rsid w:val="002025FE"/>
    <w:rsid w:val="00202808"/>
    <w:rsid w:val="002077C8"/>
    <w:rsid w:val="00207FD6"/>
    <w:rsid w:val="002105C1"/>
    <w:rsid w:val="0021118C"/>
    <w:rsid w:val="00211722"/>
    <w:rsid w:val="00212BD4"/>
    <w:rsid w:val="002133F6"/>
    <w:rsid w:val="00216D24"/>
    <w:rsid w:val="0022065D"/>
    <w:rsid w:val="00220D01"/>
    <w:rsid w:val="00222F9E"/>
    <w:rsid w:val="00223B49"/>
    <w:rsid w:val="00224DD4"/>
    <w:rsid w:val="00227053"/>
    <w:rsid w:val="002278E7"/>
    <w:rsid w:val="002309CC"/>
    <w:rsid w:val="00232DA7"/>
    <w:rsid w:val="00233D2B"/>
    <w:rsid w:val="002341FD"/>
    <w:rsid w:val="002412B3"/>
    <w:rsid w:val="002424AD"/>
    <w:rsid w:val="0024336F"/>
    <w:rsid w:val="002441EC"/>
    <w:rsid w:val="002478A0"/>
    <w:rsid w:val="00251224"/>
    <w:rsid w:val="002524BE"/>
    <w:rsid w:val="00252ED0"/>
    <w:rsid w:val="002548DB"/>
    <w:rsid w:val="002551B2"/>
    <w:rsid w:val="0025534B"/>
    <w:rsid w:val="00255BB7"/>
    <w:rsid w:val="002570C5"/>
    <w:rsid w:val="0026278E"/>
    <w:rsid w:val="00262A87"/>
    <w:rsid w:val="00263F00"/>
    <w:rsid w:val="002650FF"/>
    <w:rsid w:val="002654DF"/>
    <w:rsid w:val="00266041"/>
    <w:rsid w:val="002710B7"/>
    <w:rsid w:val="00271B86"/>
    <w:rsid w:val="00274AC8"/>
    <w:rsid w:val="00274B0F"/>
    <w:rsid w:val="002756A4"/>
    <w:rsid w:val="00275C5A"/>
    <w:rsid w:val="0028230C"/>
    <w:rsid w:val="00282C58"/>
    <w:rsid w:val="00285F38"/>
    <w:rsid w:val="002878A5"/>
    <w:rsid w:val="002908E8"/>
    <w:rsid w:val="00291A40"/>
    <w:rsid w:val="00291A9D"/>
    <w:rsid w:val="002934E3"/>
    <w:rsid w:val="00295399"/>
    <w:rsid w:val="002953F4"/>
    <w:rsid w:val="00295F83"/>
    <w:rsid w:val="0029740C"/>
    <w:rsid w:val="002A14AB"/>
    <w:rsid w:val="002A5FD4"/>
    <w:rsid w:val="002B1071"/>
    <w:rsid w:val="002B1725"/>
    <w:rsid w:val="002B18E7"/>
    <w:rsid w:val="002B1C1F"/>
    <w:rsid w:val="002B1C9A"/>
    <w:rsid w:val="002B2F0D"/>
    <w:rsid w:val="002B432F"/>
    <w:rsid w:val="002B5EAE"/>
    <w:rsid w:val="002B6CCE"/>
    <w:rsid w:val="002B7D1C"/>
    <w:rsid w:val="002C0882"/>
    <w:rsid w:val="002C1498"/>
    <w:rsid w:val="002C2689"/>
    <w:rsid w:val="002C27C1"/>
    <w:rsid w:val="002C5582"/>
    <w:rsid w:val="002C57A1"/>
    <w:rsid w:val="002C5B10"/>
    <w:rsid w:val="002C75B7"/>
    <w:rsid w:val="002D7A69"/>
    <w:rsid w:val="002E14F6"/>
    <w:rsid w:val="002E18C6"/>
    <w:rsid w:val="002E28ED"/>
    <w:rsid w:val="002E32BF"/>
    <w:rsid w:val="002E33ED"/>
    <w:rsid w:val="002E39DC"/>
    <w:rsid w:val="002E498A"/>
    <w:rsid w:val="002E5191"/>
    <w:rsid w:val="002E63D5"/>
    <w:rsid w:val="002E6A23"/>
    <w:rsid w:val="002F13B0"/>
    <w:rsid w:val="002F1585"/>
    <w:rsid w:val="00301017"/>
    <w:rsid w:val="00301D91"/>
    <w:rsid w:val="00305D9F"/>
    <w:rsid w:val="0030603B"/>
    <w:rsid w:val="0030786C"/>
    <w:rsid w:val="00307F30"/>
    <w:rsid w:val="00310208"/>
    <w:rsid w:val="0031031A"/>
    <w:rsid w:val="00311A26"/>
    <w:rsid w:val="00314368"/>
    <w:rsid w:val="00314D7A"/>
    <w:rsid w:val="00315498"/>
    <w:rsid w:val="0031771D"/>
    <w:rsid w:val="0031783B"/>
    <w:rsid w:val="00317F78"/>
    <w:rsid w:val="00321472"/>
    <w:rsid w:val="003215A8"/>
    <w:rsid w:val="00322BC6"/>
    <w:rsid w:val="003247A8"/>
    <w:rsid w:val="003252A6"/>
    <w:rsid w:val="00330C69"/>
    <w:rsid w:val="003314AA"/>
    <w:rsid w:val="00331CB6"/>
    <w:rsid w:val="00335662"/>
    <w:rsid w:val="00336329"/>
    <w:rsid w:val="003364BD"/>
    <w:rsid w:val="003366C9"/>
    <w:rsid w:val="003376D6"/>
    <w:rsid w:val="00337C2F"/>
    <w:rsid w:val="003439D2"/>
    <w:rsid w:val="0034445B"/>
    <w:rsid w:val="00345551"/>
    <w:rsid w:val="00345A47"/>
    <w:rsid w:val="003470AA"/>
    <w:rsid w:val="003472F6"/>
    <w:rsid w:val="00352696"/>
    <w:rsid w:val="00352736"/>
    <w:rsid w:val="0035274C"/>
    <w:rsid w:val="00352E0F"/>
    <w:rsid w:val="00352F41"/>
    <w:rsid w:val="003532D8"/>
    <w:rsid w:val="0035405B"/>
    <w:rsid w:val="00354F77"/>
    <w:rsid w:val="0035620E"/>
    <w:rsid w:val="0035724F"/>
    <w:rsid w:val="00363D36"/>
    <w:rsid w:val="00365666"/>
    <w:rsid w:val="00366AA6"/>
    <w:rsid w:val="00370838"/>
    <w:rsid w:val="00370C7B"/>
    <w:rsid w:val="0037217B"/>
    <w:rsid w:val="00372827"/>
    <w:rsid w:val="003742C1"/>
    <w:rsid w:val="00374D38"/>
    <w:rsid w:val="003763F0"/>
    <w:rsid w:val="0037764F"/>
    <w:rsid w:val="00381042"/>
    <w:rsid w:val="00381EAC"/>
    <w:rsid w:val="0038365C"/>
    <w:rsid w:val="0038449B"/>
    <w:rsid w:val="0038784D"/>
    <w:rsid w:val="00390D9D"/>
    <w:rsid w:val="00393187"/>
    <w:rsid w:val="00393F75"/>
    <w:rsid w:val="00395526"/>
    <w:rsid w:val="003955EF"/>
    <w:rsid w:val="00396FD0"/>
    <w:rsid w:val="00397459"/>
    <w:rsid w:val="00397BCF"/>
    <w:rsid w:val="00397DAF"/>
    <w:rsid w:val="003A0D6C"/>
    <w:rsid w:val="003A1A7A"/>
    <w:rsid w:val="003A1CC3"/>
    <w:rsid w:val="003A2075"/>
    <w:rsid w:val="003A2C74"/>
    <w:rsid w:val="003A3D3C"/>
    <w:rsid w:val="003A6965"/>
    <w:rsid w:val="003A6A5A"/>
    <w:rsid w:val="003B068E"/>
    <w:rsid w:val="003B1E15"/>
    <w:rsid w:val="003B30AF"/>
    <w:rsid w:val="003B35F0"/>
    <w:rsid w:val="003B4926"/>
    <w:rsid w:val="003B5826"/>
    <w:rsid w:val="003C0E29"/>
    <w:rsid w:val="003C14C9"/>
    <w:rsid w:val="003C29CE"/>
    <w:rsid w:val="003C41EC"/>
    <w:rsid w:val="003C639A"/>
    <w:rsid w:val="003C6901"/>
    <w:rsid w:val="003D1828"/>
    <w:rsid w:val="003D1EBB"/>
    <w:rsid w:val="003D2422"/>
    <w:rsid w:val="003D304D"/>
    <w:rsid w:val="003D34D8"/>
    <w:rsid w:val="003D5497"/>
    <w:rsid w:val="003D5783"/>
    <w:rsid w:val="003D6174"/>
    <w:rsid w:val="003E06F8"/>
    <w:rsid w:val="003E4114"/>
    <w:rsid w:val="003E5F06"/>
    <w:rsid w:val="003E7254"/>
    <w:rsid w:val="003E7F39"/>
    <w:rsid w:val="003F4156"/>
    <w:rsid w:val="003F627C"/>
    <w:rsid w:val="003F66C2"/>
    <w:rsid w:val="003F6965"/>
    <w:rsid w:val="00400FB2"/>
    <w:rsid w:val="00401986"/>
    <w:rsid w:val="004021E1"/>
    <w:rsid w:val="004022BA"/>
    <w:rsid w:val="00402967"/>
    <w:rsid w:val="0040329C"/>
    <w:rsid w:val="00404911"/>
    <w:rsid w:val="0041026E"/>
    <w:rsid w:val="004102AF"/>
    <w:rsid w:val="00410EC7"/>
    <w:rsid w:val="00411772"/>
    <w:rsid w:val="00414476"/>
    <w:rsid w:val="00414B41"/>
    <w:rsid w:val="00415EC9"/>
    <w:rsid w:val="00416D43"/>
    <w:rsid w:val="00416D87"/>
    <w:rsid w:val="00420B9F"/>
    <w:rsid w:val="00423114"/>
    <w:rsid w:val="00425432"/>
    <w:rsid w:val="00425CB2"/>
    <w:rsid w:val="0042620D"/>
    <w:rsid w:val="0043063E"/>
    <w:rsid w:val="004308D2"/>
    <w:rsid w:val="00430B73"/>
    <w:rsid w:val="004319F8"/>
    <w:rsid w:val="00435589"/>
    <w:rsid w:val="00437D70"/>
    <w:rsid w:val="004402B3"/>
    <w:rsid w:val="004405BD"/>
    <w:rsid w:val="00440C98"/>
    <w:rsid w:val="0044204E"/>
    <w:rsid w:val="00442CCC"/>
    <w:rsid w:val="004443A7"/>
    <w:rsid w:val="00444F6B"/>
    <w:rsid w:val="004464EB"/>
    <w:rsid w:val="00446DD7"/>
    <w:rsid w:val="00447F56"/>
    <w:rsid w:val="00450175"/>
    <w:rsid w:val="00451833"/>
    <w:rsid w:val="004540F9"/>
    <w:rsid w:val="00455358"/>
    <w:rsid w:val="00455D45"/>
    <w:rsid w:val="00457AB4"/>
    <w:rsid w:val="00457AC6"/>
    <w:rsid w:val="0046088F"/>
    <w:rsid w:val="004609BD"/>
    <w:rsid w:val="00462B7A"/>
    <w:rsid w:val="0046340F"/>
    <w:rsid w:val="0046444F"/>
    <w:rsid w:val="00464595"/>
    <w:rsid w:val="00464CAE"/>
    <w:rsid w:val="00467E73"/>
    <w:rsid w:val="00471023"/>
    <w:rsid w:val="00472359"/>
    <w:rsid w:val="00473307"/>
    <w:rsid w:val="004743AE"/>
    <w:rsid w:val="0047456A"/>
    <w:rsid w:val="004750DB"/>
    <w:rsid w:val="00475548"/>
    <w:rsid w:val="00475694"/>
    <w:rsid w:val="004766A6"/>
    <w:rsid w:val="004770B9"/>
    <w:rsid w:val="004775BC"/>
    <w:rsid w:val="004833A7"/>
    <w:rsid w:val="00485FCA"/>
    <w:rsid w:val="004867E2"/>
    <w:rsid w:val="00487B22"/>
    <w:rsid w:val="00491B3A"/>
    <w:rsid w:val="004977FB"/>
    <w:rsid w:val="00497F10"/>
    <w:rsid w:val="004A0578"/>
    <w:rsid w:val="004A0DA1"/>
    <w:rsid w:val="004A25A1"/>
    <w:rsid w:val="004A2DCF"/>
    <w:rsid w:val="004A47DE"/>
    <w:rsid w:val="004A4991"/>
    <w:rsid w:val="004A5D8C"/>
    <w:rsid w:val="004A6597"/>
    <w:rsid w:val="004A729A"/>
    <w:rsid w:val="004A7338"/>
    <w:rsid w:val="004B0828"/>
    <w:rsid w:val="004B0FE8"/>
    <w:rsid w:val="004B1538"/>
    <w:rsid w:val="004B23B8"/>
    <w:rsid w:val="004B2F18"/>
    <w:rsid w:val="004B3DDB"/>
    <w:rsid w:val="004B44FD"/>
    <w:rsid w:val="004B5CFC"/>
    <w:rsid w:val="004B6DAE"/>
    <w:rsid w:val="004B7847"/>
    <w:rsid w:val="004B7A1B"/>
    <w:rsid w:val="004C0B84"/>
    <w:rsid w:val="004C0D14"/>
    <w:rsid w:val="004C10B4"/>
    <w:rsid w:val="004C1130"/>
    <w:rsid w:val="004C1AED"/>
    <w:rsid w:val="004C1D03"/>
    <w:rsid w:val="004C1FA1"/>
    <w:rsid w:val="004C480A"/>
    <w:rsid w:val="004C4AED"/>
    <w:rsid w:val="004C62C3"/>
    <w:rsid w:val="004D0111"/>
    <w:rsid w:val="004D15D7"/>
    <w:rsid w:val="004D221B"/>
    <w:rsid w:val="004D6A74"/>
    <w:rsid w:val="004D7726"/>
    <w:rsid w:val="004E03E3"/>
    <w:rsid w:val="004E0EB8"/>
    <w:rsid w:val="004E2145"/>
    <w:rsid w:val="004E2ADC"/>
    <w:rsid w:val="004E3141"/>
    <w:rsid w:val="004E6D6D"/>
    <w:rsid w:val="004F1D02"/>
    <w:rsid w:val="004F2679"/>
    <w:rsid w:val="004F29BC"/>
    <w:rsid w:val="004F2D2C"/>
    <w:rsid w:val="0050257A"/>
    <w:rsid w:val="00502B98"/>
    <w:rsid w:val="00503132"/>
    <w:rsid w:val="005036FE"/>
    <w:rsid w:val="00504C60"/>
    <w:rsid w:val="0050637B"/>
    <w:rsid w:val="00506E16"/>
    <w:rsid w:val="005077D6"/>
    <w:rsid w:val="005116CB"/>
    <w:rsid w:val="00513418"/>
    <w:rsid w:val="005146FC"/>
    <w:rsid w:val="005152B5"/>
    <w:rsid w:val="0051598D"/>
    <w:rsid w:val="00515F0F"/>
    <w:rsid w:val="00521319"/>
    <w:rsid w:val="00523231"/>
    <w:rsid w:val="00523C28"/>
    <w:rsid w:val="00523DD8"/>
    <w:rsid w:val="00525819"/>
    <w:rsid w:val="00526436"/>
    <w:rsid w:val="005271E1"/>
    <w:rsid w:val="00531988"/>
    <w:rsid w:val="00532ADF"/>
    <w:rsid w:val="00535150"/>
    <w:rsid w:val="0054387F"/>
    <w:rsid w:val="00543C8D"/>
    <w:rsid w:val="00544A08"/>
    <w:rsid w:val="00547D3A"/>
    <w:rsid w:val="00550358"/>
    <w:rsid w:val="005510BA"/>
    <w:rsid w:val="00553C29"/>
    <w:rsid w:val="00555109"/>
    <w:rsid w:val="00557237"/>
    <w:rsid w:val="00560D85"/>
    <w:rsid w:val="0056276A"/>
    <w:rsid w:val="00565E13"/>
    <w:rsid w:val="0056696F"/>
    <w:rsid w:val="00570FC6"/>
    <w:rsid w:val="005728E3"/>
    <w:rsid w:val="00575580"/>
    <w:rsid w:val="005756AF"/>
    <w:rsid w:val="00575A1F"/>
    <w:rsid w:val="00576972"/>
    <w:rsid w:val="00577717"/>
    <w:rsid w:val="005801E9"/>
    <w:rsid w:val="00581307"/>
    <w:rsid w:val="00583699"/>
    <w:rsid w:val="005836D9"/>
    <w:rsid w:val="005854E5"/>
    <w:rsid w:val="00585801"/>
    <w:rsid w:val="00586A1A"/>
    <w:rsid w:val="005878A9"/>
    <w:rsid w:val="00591D2B"/>
    <w:rsid w:val="00592C59"/>
    <w:rsid w:val="00592FDF"/>
    <w:rsid w:val="005932DA"/>
    <w:rsid w:val="00596DF5"/>
    <w:rsid w:val="005A1EF2"/>
    <w:rsid w:val="005A2C6D"/>
    <w:rsid w:val="005A662C"/>
    <w:rsid w:val="005B00D7"/>
    <w:rsid w:val="005B2B32"/>
    <w:rsid w:val="005B389D"/>
    <w:rsid w:val="005B5857"/>
    <w:rsid w:val="005B5D4C"/>
    <w:rsid w:val="005B7DBA"/>
    <w:rsid w:val="005C14E3"/>
    <w:rsid w:val="005C1B83"/>
    <w:rsid w:val="005C346B"/>
    <w:rsid w:val="005C35F3"/>
    <w:rsid w:val="005C618B"/>
    <w:rsid w:val="005C64FD"/>
    <w:rsid w:val="005D18AD"/>
    <w:rsid w:val="005D68AD"/>
    <w:rsid w:val="005D6E5C"/>
    <w:rsid w:val="005D7E06"/>
    <w:rsid w:val="005D7E3E"/>
    <w:rsid w:val="005E1051"/>
    <w:rsid w:val="005E10FF"/>
    <w:rsid w:val="005E13FC"/>
    <w:rsid w:val="005F136B"/>
    <w:rsid w:val="005F2286"/>
    <w:rsid w:val="005F2706"/>
    <w:rsid w:val="005F3184"/>
    <w:rsid w:val="005F5365"/>
    <w:rsid w:val="005F5C8E"/>
    <w:rsid w:val="005F6A8F"/>
    <w:rsid w:val="005F6ECE"/>
    <w:rsid w:val="00600AA2"/>
    <w:rsid w:val="00604696"/>
    <w:rsid w:val="00606A4C"/>
    <w:rsid w:val="006072C0"/>
    <w:rsid w:val="00607669"/>
    <w:rsid w:val="00612F97"/>
    <w:rsid w:val="00615FE3"/>
    <w:rsid w:val="00616802"/>
    <w:rsid w:val="00617E12"/>
    <w:rsid w:val="00621477"/>
    <w:rsid w:val="00621B8C"/>
    <w:rsid w:val="006228E2"/>
    <w:rsid w:val="00622C7B"/>
    <w:rsid w:val="0062431C"/>
    <w:rsid w:val="006249DF"/>
    <w:rsid w:val="00625BC8"/>
    <w:rsid w:val="00627FEC"/>
    <w:rsid w:val="00630FCF"/>
    <w:rsid w:val="00631D6B"/>
    <w:rsid w:val="006328D0"/>
    <w:rsid w:val="00632B15"/>
    <w:rsid w:val="0063479F"/>
    <w:rsid w:val="0063649A"/>
    <w:rsid w:val="006364A1"/>
    <w:rsid w:val="00636E2D"/>
    <w:rsid w:val="006379CA"/>
    <w:rsid w:val="00637BFD"/>
    <w:rsid w:val="0064171F"/>
    <w:rsid w:val="006426D6"/>
    <w:rsid w:val="0064400F"/>
    <w:rsid w:val="006441FD"/>
    <w:rsid w:val="006453D9"/>
    <w:rsid w:val="00645EF2"/>
    <w:rsid w:val="00646374"/>
    <w:rsid w:val="00646526"/>
    <w:rsid w:val="006471CC"/>
    <w:rsid w:val="006476C4"/>
    <w:rsid w:val="00647815"/>
    <w:rsid w:val="0065079F"/>
    <w:rsid w:val="00652AFF"/>
    <w:rsid w:val="00654B06"/>
    <w:rsid w:val="00655B08"/>
    <w:rsid w:val="006602BA"/>
    <w:rsid w:val="006603B1"/>
    <w:rsid w:val="006619E1"/>
    <w:rsid w:val="00661ED9"/>
    <w:rsid w:val="00662E24"/>
    <w:rsid w:val="006637FA"/>
    <w:rsid w:val="00663F34"/>
    <w:rsid w:val="00666A91"/>
    <w:rsid w:val="0067108E"/>
    <w:rsid w:val="00674C65"/>
    <w:rsid w:val="00674E42"/>
    <w:rsid w:val="0067540B"/>
    <w:rsid w:val="00676612"/>
    <w:rsid w:val="00681953"/>
    <w:rsid w:val="00682112"/>
    <w:rsid w:val="00685F38"/>
    <w:rsid w:val="006861AA"/>
    <w:rsid w:val="006874C1"/>
    <w:rsid w:val="00691AD2"/>
    <w:rsid w:val="00692559"/>
    <w:rsid w:val="00692D32"/>
    <w:rsid w:val="00693151"/>
    <w:rsid w:val="00694449"/>
    <w:rsid w:val="00694F44"/>
    <w:rsid w:val="0069552D"/>
    <w:rsid w:val="00697898"/>
    <w:rsid w:val="006A22D0"/>
    <w:rsid w:val="006A330B"/>
    <w:rsid w:val="006A3AD5"/>
    <w:rsid w:val="006A4CC6"/>
    <w:rsid w:val="006A5542"/>
    <w:rsid w:val="006A6143"/>
    <w:rsid w:val="006A6C95"/>
    <w:rsid w:val="006A6DFD"/>
    <w:rsid w:val="006A7CB6"/>
    <w:rsid w:val="006B14CB"/>
    <w:rsid w:val="006B1BAE"/>
    <w:rsid w:val="006B242D"/>
    <w:rsid w:val="006B3230"/>
    <w:rsid w:val="006B3280"/>
    <w:rsid w:val="006B57E3"/>
    <w:rsid w:val="006C1D65"/>
    <w:rsid w:val="006C2408"/>
    <w:rsid w:val="006C2A8E"/>
    <w:rsid w:val="006C3528"/>
    <w:rsid w:val="006C5412"/>
    <w:rsid w:val="006C57DD"/>
    <w:rsid w:val="006D0C5B"/>
    <w:rsid w:val="006D0D86"/>
    <w:rsid w:val="006D1BA8"/>
    <w:rsid w:val="006D3C7D"/>
    <w:rsid w:val="006D3E8E"/>
    <w:rsid w:val="006D4D43"/>
    <w:rsid w:val="006D5D99"/>
    <w:rsid w:val="006D62FD"/>
    <w:rsid w:val="006D67AD"/>
    <w:rsid w:val="006D6CF8"/>
    <w:rsid w:val="006D736C"/>
    <w:rsid w:val="006D7C2C"/>
    <w:rsid w:val="006D7C91"/>
    <w:rsid w:val="006D7E96"/>
    <w:rsid w:val="006E05CB"/>
    <w:rsid w:val="006E1F43"/>
    <w:rsid w:val="006E3DF5"/>
    <w:rsid w:val="006E3FCD"/>
    <w:rsid w:val="006E45F3"/>
    <w:rsid w:val="006F0033"/>
    <w:rsid w:val="006F0074"/>
    <w:rsid w:val="006F11BC"/>
    <w:rsid w:val="006F17A2"/>
    <w:rsid w:val="006F244C"/>
    <w:rsid w:val="006F2CD5"/>
    <w:rsid w:val="006F5E47"/>
    <w:rsid w:val="006F63A5"/>
    <w:rsid w:val="006F69F6"/>
    <w:rsid w:val="006F6C0E"/>
    <w:rsid w:val="006F76B3"/>
    <w:rsid w:val="006F77A4"/>
    <w:rsid w:val="007020C5"/>
    <w:rsid w:val="0070276E"/>
    <w:rsid w:val="0070503B"/>
    <w:rsid w:val="00705771"/>
    <w:rsid w:val="007062BC"/>
    <w:rsid w:val="00706AD6"/>
    <w:rsid w:val="00711A36"/>
    <w:rsid w:val="00711FAE"/>
    <w:rsid w:val="007129E1"/>
    <w:rsid w:val="0071401E"/>
    <w:rsid w:val="00715046"/>
    <w:rsid w:val="007162BB"/>
    <w:rsid w:val="00716C84"/>
    <w:rsid w:val="007172AD"/>
    <w:rsid w:val="00717FE8"/>
    <w:rsid w:val="00720307"/>
    <w:rsid w:val="0072104D"/>
    <w:rsid w:val="00722089"/>
    <w:rsid w:val="0072402B"/>
    <w:rsid w:val="0072536B"/>
    <w:rsid w:val="00725BEA"/>
    <w:rsid w:val="007265FB"/>
    <w:rsid w:val="00735328"/>
    <w:rsid w:val="00735BD9"/>
    <w:rsid w:val="00735C5F"/>
    <w:rsid w:val="0073685B"/>
    <w:rsid w:val="00737B30"/>
    <w:rsid w:val="00737EE6"/>
    <w:rsid w:val="00745683"/>
    <w:rsid w:val="00746ABA"/>
    <w:rsid w:val="00746C53"/>
    <w:rsid w:val="00746D09"/>
    <w:rsid w:val="00746DAF"/>
    <w:rsid w:val="00746EA3"/>
    <w:rsid w:val="007474AD"/>
    <w:rsid w:val="00750933"/>
    <w:rsid w:val="007534DC"/>
    <w:rsid w:val="00754283"/>
    <w:rsid w:val="00754677"/>
    <w:rsid w:val="00757221"/>
    <w:rsid w:val="00765A92"/>
    <w:rsid w:val="00767006"/>
    <w:rsid w:val="007673AA"/>
    <w:rsid w:val="00770703"/>
    <w:rsid w:val="007715C4"/>
    <w:rsid w:val="0077358C"/>
    <w:rsid w:val="00773F85"/>
    <w:rsid w:val="00774934"/>
    <w:rsid w:val="007749B7"/>
    <w:rsid w:val="007762EC"/>
    <w:rsid w:val="00776424"/>
    <w:rsid w:val="00776772"/>
    <w:rsid w:val="00776C11"/>
    <w:rsid w:val="0078052D"/>
    <w:rsid w:val="007821F4"/>
    <w:rsid w:val="00782883"/>
    <w:rsid w:val="007839EB"/>
    <w:rsid w:val="007847B5"/>
    <w:rsid w:val="00784B16"/>
    <w:rsid w:val="00785254"/>
    <w:rsid w:val="007852FD"/>
    <w:rsid w:val="007878E2"/>
    <w:rsid w:val="00790F81"/>
    <w:rsid w:val="00791085"/>
    <w:rsid w:val="007914C5"/>
    <w:rsid w:val="00794CA4"/>
    <w:rsid w:val="007A23CD"/>
    <w:rsid w:val="007A250C"/>
    <w:rsid w:val="007A30D5"/>
    <w:rsid w:val="007A35B7"/>
    <w:rsid w:val="007A5B00"/>
    <w:rsid w:val="007A627D"/>
    <w:rsid w:val="007B251D"/>
    <w:rsid w:val="007B346C"/>
    <w:rsid w:val="007B4755"/>
    <w:rsid w:val="007B5D15"/>
    <w:rsid w:val="007B5E72"/>
    <w:rsid w:val="007B64CC"/>
    <w:rsid w:val="007B6FD6"/>
    <w:rsid w:val="007B7514"/>
    <w:rsid w:val="007B77D1"/>
    <w:rsid w:val="007C28C4"/>
    <w:rsid w:val="007C6243"/>
    <w:rsid w:val="007C753C"/>
    <w:rsid w:val="007D0B38"/>
    <w:rsid w:val="007D1219"/>
    <w:rsid w:val="007D3150"/>
    <w:rsid w:val="007D5FD1"/>
    <w:rsid w:val="007D666F"/>
    <w:rsid w:val="007D6795"/>
    <w:rsid w:val="007E0ADA"/>
    <w:rsid w:val="007E2ECA"/>
    <w:rsid w:val="007E37B7"/>
    <w:rsid w:val="007E4AA8"/>
    <w:rsid w:val="007E4FD2"/>
    <w:rsid w:val="007E578B"/>
    <w:rsid w:val="007E594D"/>
    <w:rsid w:val="007E5CBB"/>
    <w:rsid w:val="007E63E2"/>
    <w:rsid w:val="007E795A"/>
    <w:rsid w:val="007F0130"/>
    <w:rsid w:val="007F0ACC"/>
    <w:rsid w:val="007F0D2D"/>
    <w:rsid w:val="007F1017"/>
    <w:rsid w:val="007F2156"/>
    <w:rsid w:val="007F3A2F"/>
    <w:rsid w:val="007F4A3F"/>
    <w:rsid w:val="007F6D3D"/>
    <w:rsid w:val="007F72E2"/>
    <w:rsid w:val="00800DB6"/>
    <w:rsid w:val="00801BAA"/>
    <w:rsid w:val="00802210"/>
    <w:rsid w:val="008029BF"/>
    <w:rsid w:val="0080324F"/>
    <w:rsid w:val="00804E13"/>
    <w:rsid w:val="00804F51"/>
    <w:rsid w:val="00805142"/>
    <w:rsid w:val="00806EB9"/>
    <w:rsid w:val="008071C0"/>
    <w:rsid w:val="00807A8B"/>
    <w:rsid w:val="00807F07"/>
    <w:rsid w:val="00812149"/>
    <w:rsid w:val="00813B29"/>
    <w:rsid w:val="00814563"/>
    <w:rsid w:val="00814D5C"/>
    <w:rsid w:val="008166EF"/>
    <w:rsid w:val="00816C71"/>
    <w:rsid w:val="00817C00"/>
    <w:rsid w:val="00820AEB"/>
    <w:rsid w:val="008232B7"/>
    <w:rsid w:val="00824D73"/>
    <w:rsid w:val="008256BB"/>
    <w:rsid w:val="0082632F"/>
    <w:rsid w:val="00826344"/>
    <w:rsid w:val="008264EB"/>
    <w:rsid w:val="00826ADF"/>
    <w:rsid w:val="00827B7C"/>
    <w:rsid w:val="008314BA"/>
    <w:rsid w:val="00832DF8"/>
    <w:rsid w:val="00834075"/>
    <w:rsid w:val="00834578"/>
    <w:rsid w:val="00840CA2"/>
    <w:rsid w:val="00840E4D"/>
    <w:rsid w:val="00841AA4"/>
    <w:rsid w:val="00841E61"/>
    <w:rsid w:val="0084262B"/>
    <w:rsid w:val="008431C2"/>
    <w:rsid w:val="00846EC8"/>
    <w:rsid w:val="0084783F"/>
    <w:rsid w:val="008507E5"/>
    <w:rsid w:val="00851CB0"/>
    <w:rsid w:val="00856E6F"/>
    <w:rsid w:val="00856E9A"/>
    <w:rsid w:val="008631B0"/>
    <w:rsid w:val="00863707"/>
    <w:rsid w:val="00864D88"/>
    <w:rsid w:val="008653B7"/>
    <w:rsid w:val="00865D08"/>
    <w:rsid w:val="00867C4C"/>
    <w:rsid w:val="00870DA7"/>
    <w:rsid w:val="00871403"/>
    <w:rsid w:val="00873CD1"/>
    <w:rsid w:val="008753EB"/>
    <w:rsid w:val="0087604F"/>
    <w:rsid w:val="008777C6"/>
    <w:rsid w:val="00882874"/>
    <w:rsid w:val="00882F1E"/>
    <w:rsid w:val="00883787"/>
    <w:rsid w:val="00885BE5"/>
    <w:rsid w:val="00885C5F"/>
    <w:rsid w:val="00886509"/>
    <w:rsid w:val="0089037F"/>
    <w:rsid w:val="00890699"/>
    <w:rsid w:val="00891B2E"/>
    <w:rsid w:val="0089457D"/>
    <w:rsid w:val="008945CA"/>
    <w:rsid w:val="008963A5"/>
    <w:rsid w:val="008972B8"/>
    <w:rsid w:val="00897CAF"/>
    <w:rsid w:val="008A12FE"/>
    <w:rsid w:val="008A1E7A"/>
    <w:rsid w:val="008A1F34"/>
    <w:rsid w:val="008A3C3E"/>
    <w:rsid w:val="008A3DC5"/>
    <w:rsid w:val="008A429B"/>
    <w:rsid w:val="008A5E56"/>
    <w:rsid w:val="008A6565"/>
    <w:rsid w:val="008A79DE"/>
    <w:rsid w:val="008B23CA"/>
    <w:rsid w:val="008B2649"/>
    <w:rsid w:val="008B2CDB"/>
    <w:rsid w:val="008B4068"/>
    <w:rsid w:val="008B567C"/>
    <w:rsid w:val="008B7D7E"/>
    <w:rsid w:val="008C1258"/>
    <w:rsid w:val="008C2FB9"/>
    <w:rsid w:val="008C436A"/>
    <w:rsid w:val="008C4D71"/>
    <w:rsid w:val="008C66A9"/>
    <w:rsid w:val="008C7ECB"/>
    <w:rsid w:val="008D3114"/>
    <w:rsid w:val="008D3378"/>
    <w:rsid w:val="008D5201"/>
    <w:rsid w:val="008D74D1"/>
    <w:rsid w:val="008E1B9E"/>
    <w:rsid w:val="008E1DB3"/>
    <w:rsid w:val="008E73C4"/>
    <w:rsid w:val="008F0AD4"/>
    <w:rsid w:val="008F12A2"/>
    <w:rsid w:val="008F2A12"/>
    <w:rsid w:val="008F48EB"/>
    <w:rsid w:val="008F4F0B"/>
    <w:rsid w:val="008F51A4"/>
    <w:rsid w:val="008F5E01"/>
    <w:rsid w:val="008F5E9E"/>
    <w:rsid w:val="008F6D23"/>
    <w:rsid w:val="00901974"/>
    <w:rsid w:val="00902603"/>
    <w:rsid w:val="00902837"/>
    <w:rsid w:val="009035B2"/>
    <w:rsid w:val="00904020"/>
    <w:rsid w:val="009062A5"/>
    <w:rsid w:val="0090640E"/>
    <w:rsid w:val="009104BE"/>
    <w:rsid w:val="00911272"/>
    <w:rsid w:val="00911CEB"/>
    <w:rsid w:val="0091201C"/>
    <w:rsid w:val="00912B83"/>
    <w:rsid w:val="0091335A"/>
    <w:rsid w:val="00913ED3"/>
    <w:rsid w:val="00913FE6"/>
    <w:rsid w:val="0091584F"/>
    <w:rsid w:val="009168EB"/>
    <w:rsid w:val="00916F53"/>
    <w:rsid w:val="00917D01"/>
    <w:rsid w:val="0092024F"/>
    <w:rsid w:val="00924419"/>
    <w:rsid w:val="009260C8"/>
    <w:rsid w:val="00926C7B"/>
    <w:rsid w:val="00926C94"/>
    <w:rsid w:val="00927818"/>
    <w:rsid w:val="00931F09"/>
    <w:rsid w:val="00932396"/>
    <w:rsid w:val="00932F7A"/>
    <w:rsid w:val="00936BC4"/>
    <w:rsid w:val="009420C8"/>
    <w:rsid w:val="00942F65"/>
    <w:rsid w:val="009441AA"/>
    <w:rsid w:val="00945348"/>
    <w:rsid w:val="009473BC"/>
    <w:rsid w:val="00947E26"/>
    <w:rsid w:val="0095151B"/>
    <w:rsid w:val="00953EF8"/>
    <w:rsid w:val="00956131"/>
    <w:rsid w:val="00956A01"/>
    <w:rsid w:val="0096046A"/>
    <w:rsid w:val="00960869"/>
    <w:rsid w:val="00960BDB"/>
    <w:rsid w:val="00961846"/>
    <w:rsid w:val="00961AF9"/>
    <w:rsid w:val="00962CB9"/>
    <w:rsid w:val="009639E3"/>
    <w:rsid w:val="00964312"/>
    <w:rsid w:val="009657C7"/>
    <w:rsid w:val="00965D31"/>
    <w:rsid w:val="00965FBE"/>
    <w:rsid w:val="009671EA"/>
    <w:rsid w:val="00967E08"/>
    <w:rsid w:val="00970EB6"/>
    <w:rsid w:val="00970F17"/>
    <w:rsid w:val="00971BFC"/>
    <w:rsid w:val="00973272"/>
    <w:rsid w:val="00974A62"/>
    <w:rsid w:val="00976957"/>
    <w:rsid w:val="00977027"/>
    <w:rsid w:val="009770DA"/>
    <w:rsid w:val="0098002F"/>
    <w:rsid w:val="00980DFC"/>
    <w:rsid w:val="00982DAC"/>
    <w:rsid w:val="0098362C"/>
    <w:rsid w:val="00983E57"/>
    <w:rsid w:val="00984151"/>
    <w:rsid w:val="009850C0"/>
    <w:rsid w:val="00986735"/>
    <w:rsid w:val="00991218"/>
    <w:rsid w:val="009921DE"/>
    <w:rsid w:val="00995AEE"/>
    <w:rsid w:val="00995B11"/>
    <w:rsid w:val="00996220"/>
    <w:rsid w:val="00996226"/>
    <w:rsid w:val="00996B1A"/>
    <w:rsid w:val="00996FE1"/>
    <w:rsid w:val="0099758B"/>
    <w:rsid w:val="009A2B26"/>
    <w:rsid w:val="009A4C14"/>
    <w:rsid w:val="009A59F4"/>
    <w:rsid w:val="009A75AB"/>
    <w:rsid w:val="009B297A"/>
    <w:rsid w:val="009B350E"/>
    <w:rsid w:val="009B3E26"/>
    <w:rsid w:val="009B5996"/>
    <w:rsid w:val="009B60C6"/>
    <w:rsid w:val="009B74F1"/>
    <w:rsid w:val="009B7923"/>
    <w:rsid w:val="009C11BF"/>
    <w:rsid w:val="009C19C4"/>
    <w:rsid w:val="009C3931"/>
    <w:rsid w:val="009C4AB8"/>
    <w:rsid w:val="009C5203"/>
    <w:rsid w:val="009C717D"/>
    <w:rsid w:val="009D06C6"/>
    <w:rsid w:val="009D1D71"/>
    <w:rsid w:val="009D2AAB"/>
    <w:rsid w:val="009D52D0"/>
    <w:rsid w:val="009D555B"/>
    <w:rsid w:val="009D5B91"/>
    <w:rsid w:val="009E2E3E"/>
    <w:rsid w:val="009E4C07"/>
    <w:rsid w:val="009E7A1F"/>
    <w:rsid w:val="009F082E"/>
    <w:rsid w:val="009F359C"/>
    <w:rsid w:val="009F581E"/>
    <w:rsid w:val="009F58A2"/>
    <w:rsid w:val="009F7558"/>
    <w:rsid w:val="00A034A7"/>
    <w:rsid w:val="00A03D43"/>
    <w:rsid w:val="00A04380"/>
    <w:rsid w:val="00A11F11"/>
    <w:rsid w:val="00A13948"/>
    <w:rsid w:val="00A13CE6"/>
    <w:rsid w:val="00A1518F"/>
    <w:rsid w:val="00A155BB"/>
    <w:rsid w:val="00A16E58"/>
    <w:rsid w:val="00A17270"/>
    <w:rsid w:val="00A17A3D"/>
    <w:rsid w:val="00A21432"/>
    <w:rsid w:val="00A21B64"/>
    <w:rsid w:val="00A2289A"/>
    <w:rsid w:val="00A25966"/>
    <w:rsid w:val="00A26F7C"/>
    <w:rsid w:val="00A272BD"/>
    <w:rsid w:val="00A27AEC"/>
    <w:rsid w:val="00A27EE4"/>
    <w:rsid w:val="00A32522"/>
    <w:rsid w:val="00A33003"/>
    <w:rsid w:val="00A34482"/>
    <w:rsid w:val="00A35CEC"/>
    <w:rsid w:val="00A35D16"/>
    <w:rsid w:val="00A362E9"/>
    <w:rsid w:val="00A3658E"/>
    <w:rsid w:val="00A36FBD"/>
    <w:rsid w:val="00A37671"/>
    <w:rsid w:val="00A377B1"/>
    <w:rsid w:val="00A40574"/>
    <w:rsid w:val="00A41157"/>
    <w:rsid w:val="00A43C02"/>
    <w:rsid w:val="00A43C59"/>
    <w:rsid w:val="00A44540"/>
    <w:rsid w:val="00A4477A"/>
    <w:rsid w:val="00A44B2D"/>
    <w:rsid w:val="00A45496"/>
    <w:rsid w:val="00A4550E"/>
    <w:rsid w:val="00A50ECD"/>
    <w:rsid w:val="00A51013"/>
    <w:rsid w:val="00A5207E"/>
    <w:rsid w:val="00A5230F"/>
    <w:rsid w:val="00A52729"/>
    <w:rsid w:val="00A52CFD"/>
    <w:rsid w:val="00A53242"/>
    <w:rsid w:val="00A53424"/>
    <w:rsid w:val="00A53675"/>
    <w:rsid w:val="00A53EB7"/>
    <w:rsid w:val="00A547FB"/>
    <w:rsid w:val="00A54EF8"/>
    <w:rsid w:val="00A565D2"/>
    <w:rsid w:val="00A56B6A"/>
    <w:rsid w:val="00A578DC"/>
    <w:rsid w:val="00A602DD"/>
    <w:rsid w:val="00A603D7"/>
    <w:rsid w:val="00A63756"/>
    <w:rsid w:val="00A6476F"/>
    <w:rsid w:val="00A6725B"/>
    <w:rsid w:val="00A67FC7"/>
    <w:rsid w:val="00A703BD"/>
    <w:rsid w:val="00A70FF5"/>
    <w:rsid w:val="00A72410"/>
    <w:rsid w:val="00A72450"/>
    <w:rsid w:val="00A7454B"/>
    <w:rsid w:val="00A7645A"/>
    <w:rsid w:val="00A81237"/>
    <w:rsid w:val="00A82233"/>
    <w:rsid w:val="00A83A80"/>
    <w:rsid w:val="00A83EAB"/>
    <w:rsid w:val="00A849EE"/>
    <w:rsid w:val="00A86E8B"/>
    <w:rsid w:val="00A91987"/>
    <w:rsid w:val="00A92C91"/>
    <w:rsid w:val="00A93072"/>
    <w:rsid w:val="00A96B67"/>
    <w:rsid w:val="00A9715B"/>
    <w:rsid w:val="00AA0A07"/>
    <w:rsid w:val="00AA1F6A"/>
    <w:rsid w:val="00AA23FA"/>
    <w:rsid w:val="00AA3EC2"/>
    <w:rsid w:val="00AB042A"/>
    <w:rsid w:val="00AB0DDC"/>
    <w:rsid w:val="00AB23D6"/>
    <w:rsid w:val="00AB2947"/>
    <w:rsid w:val="00AB3430"/>
    <w:rsid w:val="00AB64F4"/>
    <w:rsid w:val="00AB7CFA"/>
    <w:rsid w:val="00AC262D"/>
    <w:rsid w:val="00AD07B7"/>
    <w:rsid w:val="00AD1509"/>
    <w:rsid w:val="00AD23A7"/>
    <w:rsid w:val="00AD2ECE"/>
    <w:rsid w:val="00AD34B3"/>
    <w:rsid w:val="00AD5678"/>
    <w:rsid w:val="00AD56C3"/>
    <w:rsid w:val="00AD5C63"/>
    <w:rsid w:val="00AD6907"/>
    <w:rsid w:val="00AD7A25"/>
    <w:rsid w:val="00AE0E9D"/>
    <w:rsid w:val="00AE2235"/>
    <w:rsid w:val="00AE2E61"/>
    <w:rsid w:val="00AE4549"/>
    <w:rsid w:val="00AE7E2B"/>
    <w:rsid w:val="00AF0F33"/>
    <w:rsid w:val="00AF1463"/>
    <w:rsid w:val="00AF358C"/>
    <w:rsid w:val="00AF37C6"/>
    <w:rsid w:val="00AF3D44"/>
    <w:rsid w:val="00AF41B3"/>
    <w:rsid w:val="00AF4382"/>
    <w:rsid w:val="00B02630"/>
    <w:rsid w:val="00B02678"/>
    <w:rsid w:val="00B04D2A"/>
    <w:rsid w:val="00B054D8"/>
    <w:rsid w:val="00B06131"/>
    <w:rsid w:val="00B0648C"/>
    <w:rsid w:val="00B06954"/>
    <w:rsid w:val="00B0712A"/>
    <w:rsid w:val="00B11922"/>
    <w:rsid w:val="00B126A3"/>
    <w:rsid w:val="00B14AEE"/>
    <w:rsid w:val="00B14F14"/>
    <w:rsid w:val="00B167BD"/>
    <w:rsid w:val="00B16F92"/>
    <w:rsid w:val="00B21625"/>
    <w:rsid w:val="00B22588"/>
    <w:rsid w:val="00B22D6C"/>
    <w:rsid w:val="00B234A8"/>
    <w:rsid w:val="00B25E4D"/>
    <w:rsid w:val="00B26608"/>
    <w:rsid w:val="00B33E3C"/>
    <w:rsid w:val="00B34DFA"/>
    <w:rsid w:val="00B37D49"/>
    <w:rsid w:val="00B40241"/>
    <w:rsid w:val="00B4220A"/>
    <w:rsid w:val="00B42356"/>
    <w:rsid w:val="00B42851"/>
    <w:rsid w:val="00B4737C"/>
    <w:rsid w:val="00B51018"/>
    <w:rsid w:val="00B54B5B"/>
    <w:rsid w:val="00B5562E"/>
    <w:rsid w:val="00B57000"/>
    <w:rsid w:val="00B608CF"/>
    <w:rsid w:val="00B60939"/>
    <w:rsid w:val="00B60AFD"/>
    <w:rsid w:val="00B612A1"/>
    <w:rsid w:val="00B616CB"/>
    <w:rsid w:val="00B62715"/>
    <w:rsid w:val="00B63123"/>
    <w:rsid w:val="00B674EA"/>
    <w:rsid w:val="00B67C7F"/>
    <w:rsid w:val="00B7260B"/>
    <w:rsid w:val="00B73C67"/>
    <w:rsid w:val="00B75A35"/>
    <w:rsid w:val="00B77A3A"/>
    <w:rsid w:val="00B80C39"/>
    <w:rsid w:val="00B818A4"/>
    <w:rsid w:val="00B83EA4"/>
    <w:rsid w:val="00B84533"/>
    <w:rsid w:val="00B8519A"/>
    <w:rsid w:val="00B855BD"/>
    <w:rsid w:val="00B8649C"/>
    <w:rsid w:val="00B8651C"/>
    <w:rsid w:val="00B87F85"/>
    <w:rsid w:val="00B90D30"/>
    <w:rsid w:val="00B912F5"/>
    <w:rsid w:val="00B91939"/>
    <w:rsid w:val="00B92D0B"/>
    <w:rsid w:val="00B94032"/>
    <w:rsid w:val="00B944C0"/>
    <w:rsid w:val="00B94945"/>
    <w:rsid w:val="00B956A9"/>
    <w:rsid w:val="00B975F2"/>
    <w:rsid w:val="00B97C22"/>
    <w:rsid w:val="00BA1DD7"/>
    <w:rsid w:val="00BA359C"/>
    <w:rsid w:val="00BA3BE2"/>
    <w:rsid w:val="00BA4C11"/>
    <w:rsid w:val="00BA7D77"/>
    <w:rsid w:val="00BB0110"/>
    <w:rsid w:val="00BB424C"/>
    <w:rsid w:val="00BB4512"/>
    <w:rsid w:val="00BB5809"/>
    <w:rsid w:val="00BB58C2"/>
    <w:rsid w:val="00BB5B08"/>
    <w:rsid w:val="00BC0438"/>
    <w:rsid w:val="00BC1AC5"/>
    <w:rsid w:val="00BC247A"/>
    <w:rsid w:val="00BC3592"/>
    <w:rsid w:val="00BC38F8"/>
    <w:rsid w:val="00BC4AD2"/>
    <w:rsid w:val="00BC5A62"/>
    <w:rsid w:val="00BC684A"/>
    <w:rsid w:val="00BD408B"/>
    <w:rsid w:val="00BD4D2E"/>
    <w:rsid w:val="00BD6930"/>
    <w:rsid w:val="00BE00A1"/>
    <w:rsid w:val="00BE1BA0"/>
    <w:rsid w:val="00BE1F81"/>
    <w:rsid w:val="00BE2180"/>
    <w:rsid w:val="00BE2287"/>
    <w:rsid w:val="00BE4275"/>
    <w:rsid w:val="00BF1636"/>
    <w:rsid w:val="00BF1A6C"/>
    <w:rsid w:val="00BF223F"/>
    <w:rsid w:val="00BF23ED"/>
    <w:rsid w:val="00BF2433"/>
    <w:rsid w:val="00BF2602"/>
    <w:rsid w:val="00BF5408"/>
    <w:rsid w:val="00BF61C9"/>
    <w:rsid w:val="00BF7473"/>
    <w:rsid w:val="00C000D9"/>
    <w:rsid w:val="00C004BA"/>
    <w:rsid w:val="00C00A06"/>
    <w:rsid w:val="00C00EF4"/>
    <w:rsid w:val="00C045FE"/>
    <w:rsid w:val="00C04DA6"/>
    <w:rsid w:val="00C06083"/>
    <w:rsid w:val="00C06F68"/>
    <w:rsid w:val="00C07075"/>
    <w:rsid w:val="00C07C4B"/>
    <w:rsid w:val="00C14BE3"/>
    <w:rsid w:val="00C15D02"/>
    <w:rsid w:val="00C15F53"/>
    <w:rsid w:val="00C17017"/>
    <w:rsid w:val="00C17FBD"/>
    <w:rsid w:val="00C20177"/>
    <w:rsid w:val="00C21284"/>
    <w:rsid w:val="00C2394D"/>
    <w:rsid w:val="00C25418"/>
    <w:rsid w:val="00C25D9C"/>
    <w:rsid w:val="00C26563"/>
    <w:rsid w:val="00C2792C"/>
    <w:rsid w:val="00C27E9D"/>
    <w:rsid w:val="00C31649"/>
    <w:rsid w:val="00C3172C"/>
    <w:rsid w:val="00C369D0"/>
    <w:rsid w:val="00C37756"/>
    <w:rsid w:val="00C40385"/>
    <w:rsid w:val="00C40387"/>
    <w:rsid w:val="00C453B9"/>
    <w:rsid w:val="00C456B4"/>
    <w:rsid w:val="00C45A72"/>
    <w:rsid w:val="00C45C51"/>
    <w:rsid w:val="00C4747A"/>
    <w:rsid w:val="00C47AE5"/>
    <w:rsid w:val="00C47B1F"/>
    <w:rsid w:val="00C52C69"/>
    <w:rsid w:val="00C55075"/>
    <w:rsid w:val="00C556C8"/>
    <w:rsid w:val="00C56824"/>
    <w:rsid w:val="00C56DFF"/>
    <w:rsid w:val="00C56E90"/>
    <w:rsid w:val="00C600B0"/>
    <w:rsid w:val="00C608AF"/>
    <w:rsid w:val="00C617CE"/>
    <w:rsid w:val="00C61AF8"/>
    <w:rsid w:val="00C62800"/>
    <w:rsid w:val="00C62F1B"/>
    <w:rsid w:val="00C65576"/>
    <w:rsid w:val="00C655AD"/>
    <w:rsid w:val="00C65AA4"/>
    <w:rsid w:val="00C66165"/>
    <w:rsid w:val="00C6722F"/>
    <w:rsid w:val="00C67EDA"/>
    <w:rsid w:val="00C722EC"/>
    <w:rsid w:val="00C7305F"/>
    <w:rsid w:val="00C73953"/>
    <w:rsid w:val="00C7464C"/>
    <w:rsid w:val="00C76A1C"/>
    <w:rsid w:val="00C76A7E"/>
    <w:rsid w:val="00C76B70"/>
    <w:rsid w:val="00C778B4"/>
    <w:rsid w:val="00C8213F"/>
    <w:rsid w:val="00C82AEF"/>
    <w:rsid w:val="00C8797A"/>
    <w:rsid w:val="00C87FDC"/>
    <w:rsid w:val="00C9049D"/>
    <w:rsid w:val="00C917F6"/>
    <w:rsid w:val="00C938CF"/>
    <w:rsid w:val="00C96285"/>
    <w:rsid w:val="00CA0585"/>
    <w:rsid w:val="00CA1064"/>
    <w:rsid w:val="00CA1452"/>
    <w:rsid w:val="00CA1F03"/>
    <w:rsid w:val="00CA25D5"/>
    <w:rsid w:val="00CA339B"/>
    <w:rsid w:val="00CA4F42"/>
    <w:rsid w:val="00CA5245"/>
    <w:rsid w:val="00CA769F"/>
    <w:rsid w:val="00CA7B09"/>
    <w:rsid w:val="00CB074A"/>
    <w:rsid w:val="00CB1B4F"/>
    <w:rsid w:val="00CB2C97"/>
    <w:rsid w:val="00CB3EF9"/>
    <w:rsid w:val="00CB55DD"/>
    <w:rsid w:val="00CB5B1A"/>
    <w:rsid w:val="00CB696B"/>
    <w:rsid w:val="00CB6E3D"/>
    <w:rsid w:val="00CC20B3"/>
    <w:rsid w:val="00CC238E"/>
    <w:rsid w:val="00CC3D0B"/>
    <w:rsid w:val="00CC4A4B"/>
    <w:rsid w:val="00CC5782"/>
    <w:rsid w:val="00CC5BB0"/>
    <w:rsid w:val="00CC5C94"/>
    <w:rsid w:val="00CD10DB"/>
    <w:rsid w:val="00CD1569"/>
    <w:rsid w:val="00CD26EC"/>
    <w:rsid w:val="00CD2C68"/>
    <w:rsid w:val="00CD48DD"/>
    <w:rsid w:val="00CD5E4B"/>
    <w:rsid w:val="00CD6ADC"/>
    <w:rsid w:val="00CD7987"/>
    <w:rsid w:val="00CE1467"/>
    <w:rsid w:val="00CE169D"/>
    <w:rsid w:val="00CE4C9D"/>
    <w:rsid w:val="00CE5AF7"/>
    <w:rsid w:val="00CE6274"/>
    <w:rsid w:val="00CE66A1"/>
    <w:rsid w:val="00CE7AE6"/>
    <w:rsid w:val="00CF1FB3"/>
    <w:rsid w:val="00CF2D3A"/>
    <w:rsid w:val="00CF456B"/>
    <w:rsid w:val="00CF54F0"/>
    <w:rsid w:val="00CF5A22"/>
    <w:rsid w:val="00CF653C"/>
    <w:rsid w:val="00CF71F7"/>
    <w:rsid w:val="00D00659"/>
    <w:rsid w:val="00D0112D"/>
    <w:rsid w:val="00D0262E"/>
    <w:rsid w:val="00D02DA8"/>
    <w:rsid w:val="00D03063"/>
    <w:rsid w:val="00D04C42"/>
    <w:rsid w:val="00D06602"/>
    <w:rsid w:val="00D06FD4"/>
    <w:rsid w:val="00D110BD"/>
    <w:rsid w:val="00D125E7"/>
    <w:rsid w:val="00D12AF5"/>
    <w:rsid w:val="00D12C6C"/>
    <w:rsid w:val="00D12EF6"/>
    <w:rsid w:val="00D16BFB"/>
    <w:rsid w:val="00D174BD"/>
    <w:rsid w:val="00D17D6C"/>
    <w:rsid w:val="00D204B4"/>
    <w:rsid w:val="00D21F28"/>
    <w:rsid w:val="00D22A27"/>
    <w:rsid w:val="00D23EAC"/>
    <w:rsid w:val="00D24AEA"/>
    <w:rsid w:val="00D2589A"/>
    <w:rsid w:val="00D30355"/>
    <w:rsid w:val="00D35047"/>
    <w:rsid w:val="00D35052"/>
    <w:rsid w:val="00D36213"/>
    <w:rsid w:val="00D36AF2"/>
    <w:rsid w:val="00D371E8"/>
    <w:rsid w:val="00D37253"/>
    <w:rsid w:val="00D400A8"/>
    <w:rsid w:val="00D41951"/>
    <w:rsid w:val="00D42AC2"/>
    <w:rsid w:val="00D45C8E"/>
    <w:rsid w:val="00D4680A"/>
    <w:rsid w:val="00D51276"/>
    <w:rsid w:val="00D56148"/>
    <w:rsid w:val="00D57C6F"/>
    <w:rsid w:val="00D60739"/>
    <w:rsid w:val="00D62636"/>
    <w:rsid w:val="00D63049"/>
    <w:rsid w:val="00D63CEF"/>
    <w:rsid w:val="00D64425"/>
    <w:rsid w:val="00D675DA"/>
    <w:rsid w:val="00D67A0D"/>
    <w:rsid w:val="00D70691"/>
    <w:rsid w:val="00D7253D"/>
    <w:rsid w:val="00D7264A"/>
    <w:rsid w:val="00D738B8"/>
    <w:rsid w:val="00D74C23"/>
    <w:rsid w:val="00D75DBD"/>
    <w:rsid w:val="00D76A44"/>
    <w:rsid w:val="00D774CF"/>
    <w:rsid w:val="00D8158E"/>
    <w:rsid w:val="00D84533"/>
    <w:rsid w:val="00D84C47"/>
    <w:rsid w:val="00D85F97"/>
    <w:rsid w:val="00D86B81"/>
    <w:rsid w:val="00D8718A"/>
    <w:rsid w:val="00D873CC"/>
    <w:rsid w:val="00D9048D"/>
    <w:rsid w:val="00D90EB1"/>
    <w:rsid w:val="00D93753"/>
    <w:rsid w:val="00D94574"/>
    <w:rsid w:val="00D95452"/>
    <w:rsid w:val="00D95FF5"/>
    <w:rsid w:val="00D960E9"/>
    <w:rsid w:val="00D96C82"/>
    <w:rsid w:val="00DA07F9"/>
    <w:rsid w:val="00DA1C1F"/>
    <w:rsid w:val="00DA2CAA"/>
    <w:rsid w:val="00DA3156"/>
    <w:rsid w:val="00DA5328"/>
    <w:rsid w:val="00DA77A5"/>
    <w:rsid w:val="00DB3D7A"/>
    <w:rsid w:val="00DB49BF"/>
    <w:rsid w:val="00DB5B20"/>
    <w:rsid w:val="00DB602F"/>
    <w:rsid w:val="00DB648B"/>
    <w:rsid w:val="00DB7044"/>
    <w:rsid w:val="00DC1F7C"/>
    <w:rsid w:val="00DC3294"/>
    <w:rsid w:val="00DC38E5"/>
    <w:rsid w:val="00DC44D6"/>
    <w:rsid w:val="00DC5501"/>
    <w:rsid w:val="00DC7049"/>
    <w:rsid w:val="00DD12FC"/>
    <w:rsid w:val="00DD2072"/>
    <w:rsid w:val="00DD3F28"/>
    <w:rsid w:val="00DD4537"/>
    <w:rsid w:val="00DD4E15"/>
    <w:rsid w:val="00DE2498"/>
    <w:rsid w:val="00DE3370"/>
    <w:rsid w:val="00DE390D"/>
    <w:rsid w:val="00DE4FCB"/>
    <w:rsid w:val="00DE5160"/>
    <w:rsid w:val="00DE68D8"/>
    <w:rsid w:val="00DF2AC6"/>
    <w:rsid w:val="00DF2C92"/>
    <w:rsid w:val="00DF385E"/>
    <w:rsid w:val="00DF5349"/>
    <w:rsid w:val="00DF5BA4"/>
    <w:rsid w:val="00DF7CE5"/>
    <w:rsid w:val="00E002B3"/>
    <w:rsid w:val="00E00439"/>
    <w:rsid w:val="00E00C57"/>
    <w:rsid w:val="00E02872"/>
    <w:rsid w:val="00E035D7"/>
    <w:rsid w:val="00E037CC"/>
    <w:rsid w:val="00E037D0"/>
    <w:rsid w:val="00E044B8"/>
    <w:rsid w:val="00E06A3B"/>
    <w:rsid w:val="00E074A6"/>
    <w:rsid w:val="00E07CFC"/>
    <w:rsid w:val="00E10149"/>
    <w:rsid w:val="00E1191F"/>
    <w:rsid w:val="00E15993"/>
    <w:rsid w:val="00E16372"/>
    <w:rsid w:val="00E167DB"/>
    <w:rsid w:val="00E172B0"/>
    <w:rsid w:val="00E206F2"/>
    <w:rsid w:val="00E20D1A"/>
    <w:rsid w:val="00E20ED6"/>
    <w:rsid w:val="00E21358"/>
    <w:rsid w:val="00E21BD5"/>
    <w:rsid w:val="00E220CA"/>
    <w:rsid w:val="00E2249B"/>
    <w:rsid w:val="00E22E40"/>
    <w:rsid w:val="00E2558A"/>
    <w:rsid w:val="00E25C66"/>
    <w:rsid w:val="00E26E6C"/>
    <w:rsid w:val="00E2771E"/>
    <w:rsid w:val="00E27DC5"/>
    <w:rsid w:val="00E30BCE"/>
    <w:rsid w:val="00E32B97"/>
    <w:rsid w:val="00E32DFB"/>
    <w:rsid w:val="00E35FE6"/>
    <w:rsid w:val="00E36D72"/>
    <w:rsid w:val="00E37569"/>
    <w:rsid w:val="00E41E30"/>
    <w:rsid w:val="00E422B4"/>
    <w:rsid w:val="00E43464"/>
    <w:rsid w:val="00E436FC"/>
    <w:rsid w:val="00E44C96"/>
    <w:rsid w:val="00E45EE0"/>
    <w:rsid w:val="00E469F4"/>
    <w:rsid w:val="00E46CDD"/>
    <w:rsid w:val="00E47B2C"/>
    <w:rsid w:val="00E55424"/>
    <w:rsid w:val="00E55F14"/>
    <w:rsid w:val="00E565B5"/>
    <w:rsid w:val="00E60904"/>
    <w:rsid w:val="00E60C9D"/>
    <w:rsid w:val="00E6163B"/>
    <w:rsid w:val="00E62966"/>
    <w:rsid w:val="00E62EFF"/>
    <w:rsid w:val="00E659B3"/>
    <w:rsid w:val="00E65E79"/>
    <w:rsid w:val="00E660CB"/>
    <w:rsid w:val="00E67416"/>
    <w:rsid w:val="00E70B09"/>
    <w:rsid w:val="00E718B6"/>
    <w:rsid w:val="00E73581"/>
    <w:rsid w:val="00E74A93"/>
    <w:rsid w:val="00E75F5B"/>
    <w:rsid w:val="00E77C37"/>
    <w:rsid w:val="00E82154"/>
    <w:rsid w:val="00E83BDF"/>
    <w:rsid w:val="00E84BD4"/>
    <w:rsid w:val="00E91E03"/>
    <w:rsid w:val="00E96248"/>
    <w:rsid w:val="00E96C1D"/>
    <w:rsid w:val="00E97AFA"/>
    <w:rsid w:val="00E97C7C"/>
    <w:rsid w:val="00EA0DB0"/>
    <w:rsid w:val="00EA11E3"/>
    <w:rsid w:val="00EA1B9D"/>
    <w:rsid w:val="00EA1E75"/>
    <w:rsid w:val="00EA2B4B"/>
    <w:rsid w:val="00EA3864"/>
    <w:rsid w:val="00EA4E24"/>
    <w:rsid w:val="00EA5B69"/>
    <w:rsid w:val="00EA64BA"/>
    <w:rsid w:val="00EA6E9E"/>
    <w:rsid w:val="00EA74B5"/>
    <w:rsid w:val="00EB039B"/>
    <w:rsid w:val="00EB13BD"/>
    <w:rsid w:val="00EB2685"/>
    <w:rsid w:val="00EB2A66"/>
    <w:rsid w:val="00EB43B2"/>
    <w:rsid w:val="00EB53EF"/>
    <w:rsid w:val="00EC00C9"/>
    <w:rsid w:val="00EC2100"/>
    <w:rsid w:val="00EC380A"/>
    <w:rsid w:val="00EC494C"/>
    <w:rsid w:val="00ED0395"/>
    <w:rsid w:val="00ED1B16"/>
    <w:rsid w:val="00ED4D68"/>
    <w:rsid w:val="00ED4D70"/>
    <w:rsid w:val="00ED4F58"/>
    <w:rsid w:val="00ED75DE"/>
    <w:rsid w:val="00EE07D3"/>
    <w:rsid w:val="00EE230C"/>
    <w:rsid w:val="00EE346E"/>
    <w:rsid w:val="00EE43A3"/>
    <w:rsid w:val="00EF08F5"/>
    <w:rsid w:val="00EF2852"/>
    <w:rsid w:val="00EF285B"/>
    <w:rsid w:val="00EF58F8"/>
    <w:rsid w:val="00EF65D9"/>
    <w:rsid w:val="00EF6FB2"/>
    <w:rsid w:val="00F044A2"/>
    <w:rsid w:val="00F058C9"/>
    <w:rsid w:val="00F067A2"/>
    <w:rsid w:val="00F06B24"/>
    <w:rsid w:val="00F06B3A"/>
    <w:rsid w:val="00F07746"/>
    <w:rsid w:val="00F10383"/>
    <w:rsid w:val="00F110A2"/>
    <w:rsid w:val="00F11362"/>
    <w:rsid w:val="00F1350A"/>
    <w:rsid w:val="00F14D67"/>
    <w:rsid w:val="00F15147"/>
    <w:rsid w:val="00F1683F"/>
    <w:rsid w:val="00F20F56"/>
    <w:rsid w:val="00F2322D"/>
    <w:rsid w:val="00F23D24"/>
    <w:rsid w:val="00F24156"/>
    <w:rsid w:val="00F24837"/>
    <w:rsid w:val="00F2575F"/>
    <w:rsid w:val="00F30B8E"/>
    <w:rsid w:val="00F338FF"/>
    <w:rsid w:val="00F33DE9"/>
    <w:rsid w:val="00F35B93"/>
    <w:rsid w:val="00F3619A"/>
    <w:rsid w:val="00F378FA"/>
    <w:rsid w:val="00F40198"/>
    <w:rsid w:val="00F42778"/>
    <w:rsid w:val="00F42C00"/>
    <w:rsid w:val="00F42D80"/>
    <w:rsid w:val="00F44493"/>
    <w:rsid w:val="00F44902"/>
    <w:rsid w:val="00F4616C"/>
    <w:rsid w:val="00F46CB6"/>
    <w:rsid w:val="00F51A1B"/>
    <w:rsid w:val="00F53AA0"/>
    <w:rsid w:val="00F540FA"/>
    <w:rsid w:val="00F5411C"/>
    <w:rsid w:val="00F55E73"/>
    <w:rsid w:val="00F57569"/>
    <w:rsid w:val="00F62111"/>
    <w:rsid w:val="00F63395"/>
    <w:rsid w:val="00F65367"/>
    <w:rsid w:val="00F656FB"/>
    <w:rsid w:val="00F66A92"/>
    <w:rsid w:val="00F677BA"/>
    <w:rsid w:val="00F71733"/>
    <w:rsid w:val="00F75CF3"/>
    <w:rsid w:val="00F80E5D"/>
    <w:rsid w:val="00F83845"/>
    <w:rsid w:val="00F8448F"/>
    <w:rsid w:val="00F851CE"/>
    <w:rsid w:val="00F85B6E"/>
    <w:rsid w:val="00F861E6"/>
    <w:rsid w:val="00F86890"/>
    <w:rsid w:val="00F8717B"/>
    <w:rsid w:val="00F90464"/>
    <w:rsid w:val="00F90E39"/>
    <w:rsid w:val="00F91B73"/>
    <w:rsid w:val="00F93C35"/>
    <w:rsid w:val="00F94315"/>
    <w:rsid w:val="00F947F8"/>
    <w:rsid w:val="00F95C4B"/>
    <w:rsid w:val="00F96CCA"/>
    <w:rsid w:val="00F97A78"/>
    <w:rsid w:val="00FA0C60"/>
    <w:rsid w:val="00FA1B20"/>
    <w:rsid w:val="00FA332C"/>
    <w:rsid w:val="00FA65EC"/>
    <w:rsid w:val="00FA6E95"/>
    <w:rsid w:val="00FA7DF4"/>
    <w:rsid w:val="00FB2FCB"/>
    <w:rsid w:val="00FB58FC"/>
    <w:rsid w:val="00FB6ED9"/>
    <w:rsid w:val="00FB7862"/>
    <w:rsid w:val="00FB787A"/>
    <w:rsid w:val="00FC09BC"/>
    <w:rsid w:val="00FC1074"/>
    <w:rsid w:val="00FC1884"/>
    <w:rsid w:val="00FC230C"/>
    <w:rsid w:val="00FC2A9E"/>
    <w:rsid w:val="00FC4A60"/>
    <w:rsid w:val="00FD2100"/>
    <w:rsid w:val="00FD2BA9"/>
    <w:rsid w:val="00FD31EE"/>
    <w:rsid w:val="00FD446D"/>
    <w:rsid w:val="00FD7B81"/>
    <w:rsid w:val="00FE021D"/>
    <w:rsid w:val="00FE1256"/>
    <w:rsid w:val="00FE4460"/>
    <w:rsid w:val="00FE4D9F"/>
    <w:rsid w:val="00FE6E8C"/>
    <w:rsid w:val="00FE70B2"/>
    <w:rsid w:val="00FE7564"/>
    <w:rsid w:val="00FE7E35"/>
    <w:rsid w:val="00FF1DDE"/>
    <w:rsid w:val="00FF2165"/>
    <w:rsid w:val="00FF28DE"/>
    <w:rsid w:val="00FF3DCF"/>
    <w:rsid w:val="00FF472D"/>
    <w:rsid w:val="00FF5AA3"/>
    <w:rsid w:val="00FF5C85"/>
    <w:rsid w:val="00FF6489"/>
    <w:rsid w:val="00FF6A6D"/>
    <w:rsid w:val="00FF7846"/>
    <w:rsid w:val="00FF7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0198"/>
    <w:pPr>
      <w:widowControl w:val="0"/>
      <w:jc w:val="both"/>
    </w:pPr>
    <w:rPr>
      <w:rFonts w:ascii="Arial" w:hAnsi="Arial" w:cs="Arial"/>
      <w:snapToGrid w:val="0"/>
      <w:sz w:val="22"/>
      <w:lang w:eastAsia="en-US"/>
    </w:rPr>
  </w:style>
  <w:style w:type="paragraph" w:styleId="Heading1">
    <w:name w:val="heading 1"/>
    <w:basedOn w:val="PBACheading1"/>
    <w:next w:val="Normal"/>
    <w:qFormat/>
    <w:rsid w:val="0031771D"/>
    <w:pPr>
      <w:outlineLvl w:val="0"/>
    </w:pPr>
    <w:rPr>
      <w:b/>
    </w:rPr>
  </w:style>
  <w:style w:type="paragraph" w:styleId="Heading2">
    <w:name w:val="heading 2"/>
    <w:basedOn w:val="Normal"/>
    <w:next w:val="Normal"/>
    <w:link w:val="Heading2Char"/>
    <w:qFormat/>
    <w:rsid w:val="0031771D"/>
    <w:pPr>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1771D"/>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IB Caption Char,Medical Caption Char1,Medical Caption Char Char,Caption Char1 Char Char Char,Caption Char Char Char Char Char1,Caption Char1 Char Char1,Caption Char Char Char Char Char Char,c Char"/>
    <w:link w:val="Caption"/>
    <w:rsid w:val="00124A51"/>
    <w:rPr>
      <w:b/>
      <w:bCs/>
      <w:snapToGrid w:val="0"/>
      <w:color w:val="4F81BD" w:themeColor="accent1"/>
      <w:sz w:val="18"/>
      <w:szCs w:val="18"/>
      <w:lang w:eastAsia="en-US"/>
    </w:rPr>
  </w:style>
  <w:style w:type="paragraph" w:styleId="Title">
    <w:name w:val="Title"/>
    <w:next w:val="Normal"/>
    <w:link w:val="TitleChar"/>
    <w:qFormat/>
    <w:rsid w:val="0031771D"/>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31771D"/>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8"/>
      </w:numPr>
    </w:pPr>
    <w:rPr>
      <w:rFonts w:ascii="Arial" w:hAnsi="Arial" w:cs="Arial"/>
      <w:snapToGrid w:val="0"/>
      <w:sz w:val="22"/>
      <w:szCs w:val="22"/>
      <w:lang w:eastAsia="en-US"/>
    </w:rPr>
  </w:style>
  <w:style w:type="paragraph" w:styleId="DocumentMap">
    <w:name w:val="Document Map"/>
    <w:basedOn w:val="Normal"/>
    <w:link w:val="DocumentMapChar"/>
    <w:semiHidden/>
    <w:unhideWhenUsed/>
    <w:rsid w:val="00932F7A"/>
    <w:rPr>
      <w:rFonts w:ascii="Lucida Grande" w:hAnsi="Lucida Grande" w:cs="Lucida Grande"/>
      <w:sz w:val="24"/>
    </w:rPr>
  </w:style>
  <w:style w:type="character" w:customStyle="1" w:styleId="DocumentMapChar">
    <w:name w:val="Document Map Char"/>
    <w:basedOn w:val="DefaultParagraphFont"/>
    <w:link w:val="DocumentMap"/>
    <w:semiHidden/>
    <w:rsid w:val="00932F7A"/>
    <w:rPr>
      <w:rFonts w:ascii="Lucida Grande" w:hAnsi="Lucida Grande" w:cs="Lucida Grande"/>
      <w:snapToGrid w:val="0"/>
      <w:sz w:val="24"/>
      <w:szCs w:val="24"/>
      <w:lang w:eastAsia="en-US"/>
    </w:rPr>
  </w:style>
  <w:style w:type="character" w:customStyle="1" w:styleId="TableBold">
    <w:name w:val="Table Bold"/>
    <w:uiPriority w:val="4"/>
    <w:qFormat/>
    <w:rsid w:val="004C1130"/>
    <w:rPr>
      <w:rFonts w:ascii="Arial Narrow" w:eastAsia="Times New Roman" w:hAnsi="Arial Narrow" w:cs="Times New Roman"/>
      <w:b/>
      <w:sz w:val="20"/>
      <w:szCs w:val="24"/>
      <w:lang w:val="en-AU" w:bidi="ar-SA"/>
    </w:rPr>
  </w:style>
  <w:style w:type="character" w:customStyle="1" w:styleId="Normalfont">
    <w:name w:val="Normal font"/>
    <w:uiPriority w:val="1"/>
    <w:qFormat/>
    <w:rsid w:val="00606A4C"/>
    <w:rPr>
      <w:rFonts w:ascii="Candara" w:hAnsi="Candara"/>
      <w:sz w:val="24"/>
    </w:rPr>
  </w:style>
  <w:style w:type="paragraph" w:customStyle="1" w:styleId="PBACHeading10">
    <w:name w:val="PBAC Heading 1"/>
    <w:qFormat/>
    <w:rsid w:val="001C74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34"/>
    <w:rsid w:val="003314AA"/>
    <w:rPr>
      <w:rFonts w:ascii="Arial" w:hAnsi="Arial" w:cs="Arial"/>
      <w:snapToGrid w:val="0"/>
      <w:sz w:val="22"/>
      <w:lang w:eastAsia="en-US"/>
    </w:rPr>
  </w:style>
  <w:style w:type="paragraph" w:styleId="Subtitle">
    <w:name w:val="Subtitle"/>
    <w:aliases w:val="PBAC Paragraph"/>
    <w:basedOn w:val="ListParagraph"/>
    <w:next w:val="Normal"/>
    <w:link w:val="SubtitleChar"/>
    <w:uiPriority w:val="11"/>
    <w:qFormat/>
    <w:rsid w:val="00E44C96"/>
    <w:pPr>
      <w:widowControl/>
      <w:spacing w:before="240" w:after="120"/>
      <w:ind w:hanging="720"/>
      <w:contextualSpacing w:val="0"/>
    </w:pPr>
    <w:rPr>
      <w:rFonts w:ascii="Times New Roman" w:eastAsiaTheme="majorEastAsia" w:hAnsi="Times New Roman"/>
      <w:sz w:val="24"/>
    </w:rPr>
  </w:style>
  <w:style w:type="character" w:customStyle="1" w:styleId="SubtitleChar">
    <w:name w:val="Subtitle Char"/>
    <w:aliases w:val="PBAC Paragraph Char"/>
    <w:basedOn w:val="DefaultParagraphFont"/>
    <w:link w:val="Subtitle"/>
    <w:uiPriority w:val="11"/>
    <w:rsid w:val="00E44C96"/>
    <w:rPr>
      <w:rFonts w:eastAsiaTheme="majorEastAsia" w:cs="Arial"/>
      <w:snapToGrid w:val="0"/>
      <w:lang w:eastAsia="en-US"/>
    </w:rPr>
  </w:style>
  <w:style w:type="character" w:styleId="IntenseReference">
    <w:name w:val="Intense Reference"/>
    <w:basedOn w:val="DefaultParagraphFont"/>
    <w:uiPriority w:val="32"/>
    <w:rsid w:val="00CB074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0198"/>
    <w:pPr>
      <w:widowControl w:val="0"/>
      <w:jc w:val="both"/>
    </w:pPr>
    <w:rPr>
      <w:rFonts w:ascii="Arial" w:hAnsi="Arial" w:cs="Arial"/>
      <w:snapToGrid w:val="0"/>
      <w:sz w:val="22"/>
      <w:lang w:eastAsia="en-US"/>
    </w:rPr>
  </w:style>
  <w:style w:type="paragraph" w:styleId="Heading1">
    <w:name w:val="heading 1"/>
    <w:basedOn w:val="PBACheading1"/>
    <w:next w:val="Normal"/>
    <w:qFormat/>
    <w:rsid w:val="0031771D"/>
    <w:pPr>
      <w:outlineLvl w:val="0"/>
    </w:pPr>
    <w:rPr>
      <w:b/>
    </w:rPr>
  </w:style>
  <w:style w:type="paragraph" w:styleId="Heading2">
    <w:name w:val="heading 2"/>
    <w:basedOn w:val="Normal"/>
    <w:next w:val="Normal"/>
    <w:link w:val="Heading2Char"/>
    <w:qFormat/>
    <w:rsid w:val="0031771D"/>
    <w:pPr>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1771D"/>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c"/>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IB Caption Char,Medical Caption Char1,Medical Caption Char Char,Caption Char1 Char Char Char,Caption Char Char Char Char Char1,Caption Char1 Char Char1,Caption Char Char Char Char Char Char,c Char"/>
    <w:link w:val="Caption"/>
    <w:rsid w:val="00124A51"/>
    <w:rPr>
      <w:b/>
      <w:bCs/>
      <w:snapToGrid w:val="0"/>
      <w:color w:val="4F81BD" w:themeColor="accent1"/>
      <w:sz w:val="18"/>
      <w:szCs w:val="18"/>
      <w:lang w:eastAsia="en-US"/>
    </w:rPr>
  </w:style>
  <w:style w:type="paragraph" w:styleId="Title">
    <w:name w:val="Title"/>
    <w:next w:val="Normal"/>
    <w:link w:val="TitleChar"/>
    <w:qFormat/>
    <w:rsid w:val="0031771D"/>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31771D"/>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8"/>
      </w:numPr>
    </w:pPr>
    <w:rPr>
      <w:rFonts w:ascii="Arial" w:hAnsi="Arial" w:cs="Arial"/>
      <w:snapToGrid w:val="0"/>
      <w:sz w:val="22"/>
      <w:szCs w:val="22"/>
      <w:lang w:eastAsia="en-US"/>
    </w:rPr>
  </w:style>
  <w:style w:type="paragraph" w:styleId="DocumentMap">
    <w:name w:val="Document Map"/>
    <w:basedOn w:val="Normal"/>
    <w:link w:val="DocumentMapChar"/>
    <w:semiHidden/>
    <w:unhideWhenUsed/>
    <w:rsid w:val="00932F7A"/>
    <w:rPr>
      <w:rFonts w:ascii="Lucida Grande" w:hAnsi="Lucida Grande" w:cs="Lucida Grande"/>
      <w:sz w:val="24"/>
    </w:rPr>
  </w:style>
  <w:style w:type="character" w:customStyle="1" w:styleId="DocumentMapChar">
    <w:name w:val="Document Map Char"/>
    <w:basedOn w:val="DefaultParagraphFont"/>
    <w:link w:val="DocumentMap"/>
    <w:semiHidden/>
    <w:rsid w:val="00932F7A"/>
    <w:rPr>
      <w:rFonts w:ascii="Lucida Grande" w:hAnsi="Lucida Grande" w:cs="Lucida Grande"/>
      <w:snapToGrid w:val="0"/>
      <w:sz w:val="24"/>
      <w:szCs w:val="24"/>
      <w:lang w:eastAsia="en-US"/>
    </w:rPr>
  </w:style>
  <w:style w:type="character" w:customStyle="1" w:styleId="TableBold">
    <w:name w:val="Table Bold"/>
    <w:uiPriority w:val="4"/>
    <w:qFormat/>
    <w:rsid w:val="004C1130"/>
    <w:rPr>
      <w:rFonts w:ascii="Arial Narrow" w:eastAsia="Times New Roman" w:hAnsi="Arial Narrow" w:cs="Times New Roman"/>
      <w:b/>
      <w:sz w:val="20"/>
      <w:szCs w:val="24"/>
      <w:lang w:val="en-AU" w:bidi="ar-SA"/>
    </w:rPr>
  </w:style>
  <w:style w:type="character" w:customStyle="1" w:styleId="Normalfont">
    <w:name w:val="Normal font"/>
    <w:uiPriority w:val="1"/>
    <w:qFormat/>
    <w:rsid w:val="00606A4C"/>
    <w:rPr>
      <w:rFonts w:ascii="Candara" w:hAnsi="Candara"/>
      <w:sz w:val="24"/>
    </w:rPr>
  </w:style>
  <w:style w:type="paragraph" w:customStyle="1" w:styleId="PBACHeading10">
    <w:name w:val="PBAC Heading 1"/>
    <w:qFormat/>
    <w:rsid w:val="001C74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34"/>
    <w:rsid w:val="003314AA"/>
    <w:rPr>
      <w:rFonts w:ascii="Arial" w:hAnsi="Arial" w:cs="Arial"/>
      <w:snapToGrid w:val="0"/>
      <w:sz w:val="22"/>
      <w:lang w:eastAsia="en-US"/>
    </w:rPr>
  </w:style>
  <w:style w:type="paragraph" w:styleId="Subtitle">
    <w:name w:val="Subtitle"/>
    <w:aliases w:val="PBAC Paragraph"/>
    <w:basedOn w:val="ListParagraph"/>
    <w:next w:val="Normal"/>
    <w:link w:val="SubtitleChar"/>
    <w:uiPriority w:val="11"/>
    <w:qFormat/>
    <w:rsid w:val="00E44C96"/>
    <w:pPr>
      <w:widowControl/>
      <w:spacing w:before="240" w:after="120"/>
      <w:ind w:hanging="720"/>
      <w:contextualSpacing w:val="0"/>
    </w:pPr>
    <w:rPr>
      <w:rFonts w:ascii="Times New Roman" w:eastAsiaTheme="majorEastAsia" w:hAnsi="Times New Roman"/>
      <w:sz w:val="24"/>
    </w:rPr>
  </w:style>
  <w:style w:type="character" w:customStyle="1" w:styleId="SubtitleChar">
    <w:name w:val="Subtitle Char"/>
    <w:aliases w:val="PBAC Paragraph Char"/>
    <w:basedOn w:val="DefaultParagraphFont"/>
    <w:link w:val="Subtitle"/>
    <w:uiPriority w:val="11"/>
    <w:rsid w:val="00E44C96"/>
    <w:rPr>
      <w:rFonts w:eastAsiaTheme="majorEastAsia" w:cs="Arial"/>
      <w:snapToGrid w:val="0"/>
      <w:lang w:eastAsia="en-US"/>
    </w:rPr>
  </w:style>
  <w:style w:type="character" w:styleId="IntenseReference">
    <w:name w:val="Intense Reference"/>
    <w:basedOn w:val="DefaultParagraphFont"/>
    <w:uiPriority w:val="32"/>
    <w:rsid w:val="00CB074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1160">
      <w:bodyDiv w:val="1"/>
      <w:marLeft w:val="0"/>
      <w:marRight w:val="0"/>
      <w:marTop w:val="0"/>
      <w:marBottom w:val="0"/>
      <w:divBdr>
        <w:top w:val="none" w:sz="0" w:space="0" w:color="auto"/>
        <w:left w:val="none" w:sz="0" w:space="0" w:color="auto"/>
        <w:bottom w:val="none" w:sz="0" w:space="0" w:color="auto"/>
        <w:right w:val="none" w:sz="0" w:space="0" w:color="auto"/>
      </w:divBdr>
    </w:div>
    <w:div w:id="43915931">
      <w:bodyDiv w:val="1"/>
      <w:marLeft w:val="0"/>
      <w:marRight w:val="0"/>
      <w:marTop w:val="0"/>
      <w:marBottom w:val="0"/>
      <w:divBdr>
        <w:top w:val="none" w:sz="0" w:space="0" w:color="auto"/>
        <w:left w:val="none" w:sz="0" w:space="0" w:color="auto"/>
        <w:bottom w:val="none" w:sz="0" w:space="0" w:color="auto"/>
        <w:right w:val="none" w:sz="0" w:space="0" w:color="auto"/>
      </w:divBdr>
    </w:div>
    <w:div w:id="44333426">
      <w:bodyDiv w:val="1"/>
      <w:marLeft w:val="0"/>
      <w:marRight w:val="0"/>
      <w:marTop w:val="0"/>
      <w:marBottom w:val="0"/>
      <w:divBdr>
        <w:top w:val="none" w:sz="0" w:space="0" w:color="auto"/>
        <w:left w:val="none" w:sz="0" w:space="0" w:color="auto"/>
        <w:bottom w:val="none" w:sz="0" w:space="0" w:color="auto"/>
        <w:right w:val="none" w:sz="0" w:space="0" w:color="auto"/>
      </w:divBdr>
    </w:div>
    <w:div w:id="76051825">
      <w:bodyDiv w:val="1"/>
      <w:marLeft w:val="0"/>
      <w:marRight w:val="0"/>
      <w:marTop w:val="0"/>
      <w:marBottom w:val="0"/>
      <w:divBdr>
        <w:top w:val="none" w:sz="0" w:space="0" w:color="auto"/>
        <w:left w:val="none" w:sz="0" w:space="0" w:color="auto"/>
        <w:bottom w:val="none" w:sz="0" w:space="0" w:color="auto"/>
        <w:right w:val="none" w:sz="0" w:space="0" w:color="auto"/>
      </w:divBdr>
    </w:div>
    <w:div w:id="83956972">
      <w:bodyDiv w:val="1"/>
      <w:marLeft w:val="0"/>
      <w:marRight w:val="0"/>
      <w:marTop w:val="0"/>
      <w:marBottom w:val="0"/>
      <w:divBdr>
        <w:top w:val="none" w:sz="0" w:space="0" w:color="auto"/>
        <w:left w:val="none" w:sz="0" w:space="0" w:color="auto"/>
        <w:bottom w:val="none" w:sz="0" w:space="0" w:color="auto"/>
        <w:right w:val="none" w:sz="0" w:space="0" w:color="auto"/>
      </w:divBdr>
    </w:div>
    <w:div w:id="100340780">
      <w:bodyDiv w:val="1"/>
      <w:marLeft w:val="0"/>
      <w:marRight w:val="0"/>
      <w:marTop w:val="0"/>
      <w:marBottom w:val="0"/>
      <w:divBdr>
        <w:top w:val="none" w:sz="0" w:space="0" w:color="auto"/>
        <w:left w:val="none" w:sz="0" w:space="0" w:color="auto"/>
        <w:bottom w:val="none" w:sz="0" w:space="0" w:color="auto"/>
        <w:right w:val="none" w:sz="0" w:space="0" w:color="auto"/>
      </w:divBdr>
    </w:div>
    <w:div w:id="180359893">
      <w:bodyDiv w:val="1"/>
      <w:marLeft w:val="0"/>
      <w:marRight w:val="0"/>
      <w:marTop w:val="0"/>
      <w:marBottom w:val="0"/>
      <w:divBdr>
        <w:top w:val="none" w:sz="0" w:space="0" w:color="auto"/>
        <w:left w:val="none" w:sz="0" w:space="0" w:color="auto"/>
        <w:bottom w:val="none" w:sz="0" w:space="0" w:color="auto"/>
        <w:right w:val="none" w:sz="0" w:space="0" w:color="auto"/>
      </w:divBdr>
    </w:div>
    <w:div w:id="284047241">
      <w:bodyDiv w:val="1"/>
      <w:marLeft w:val="0"/>
      <w:marRight w:val="0"/>
      <w:marTop w:val="0"/>
      <w:marBottom w:val="0"/>
      <w:divBdr>
        <w:top w:val="none" w:sz="0" w:space="0" w:color="auto"/>
        <w:left w:val="none" w:sz="0" w:space="0" w:color="auto"/>
        <w:bottom w:val="none" w:sz="0" w:space="0" w:color="auto"/>
        <w:right w:val="none" w:sz="0" w:space="0" w:color="auto"/>
      </w:divBdr>
    </w:div>
    <w:div w:id="296306440">
      <w:bodyDiv w:val="1"/>
      <w:marLeft w:val="0"/>
      <w:marRight w:val="0"/>
      <w:marTop w:val="0"/>
      <w:marBottom w:val="0"/>
      <w:divBdr>
        <w:top w:val="none" w:sz="0" w:space="0" w:color="auto"/>
        <w:left w:val="none" w:sz="0" w:space="0" w:color="auto"/>
        <w:bottom w:val="none" w:sz="0" w:space="0" w:color="auto"/>
        <w:right w:val="none" w:sz="0" w:space="0" w:color="auto"/>
      </w:divBdr>
    </w:div>
    <w:div w:id="302346204">
      <w:bodyDiv w:val="1"/>
      <w:marLeft w:val="0"/>
      <w:marRight w:val="0"/>
      <w:marTop w:val="0"/>
      <w:marBottom w:val="0"/>
      <w:divBdr>
        <w:top w:val="none" w:sz="0" w:space="0" w:color="auto"/>
        <w:left w:val="none" w:sz="0" w:space="0" w:color="auto"/>
        <w:bottom w:val="none" w:sz="0" w:space="0" w:color="auto"/>
        <w:right w:val="none" w:sz="0" w:space="0" w:color="auto"/>
      </w:divBdr>
    </w:div>
    <w:div w:id="310600739">
      <w:bodyDiv w:val="1"/>
      <w:marLeft w:val="0"/>
      <w:marRight w:val="0"/>
      <w:marTop w:val="0"/>
      <w:marBottom w:val="0"/>
      <w:divBdr>
        <w:top w:val="none" w:sz="0" w:space="0" w:color="auto"/>
        <w:left w:val="none" w:sz="0" w:space="0" w:color="auto"/>
        <w:bottom w:val="none" w:sz="0" w:space="0" w:color="auto"/>
        <w:right w:val="none" w:sz="0" w:space="0" w:color="auto"/>
      </w:divBdr>
    </w:div>
    <w:div w:id="401224530">
      <w:bodyDiv w:val="1"/>
      <w:marLeft w:val="0"/>
      <w:marRight w:val="0"/>
      <w:marTop w:val="0"/>
      <w:marBottom w:val="0"/>
      <w:divBdr>
        <w:top w:val="none" w:sz="0" w:space="0" w:color="auto"/>
        <w:left w:val="none" w:sz="0" w:space="0" w:color="auto"/>
        <w:bottom w:val="none" w:sz="0" w:space="0" w:color="auto"/>
        <w:right w:val="none" w:sz="0" w:space="0" w:color="auto"/>
      </w:divBdr>
    </w:div>
    <w:div w:id="451093704">
      <w:bodyDiv w:val="1"/>
      <w:marLeft w:val="0"/>
      <w:marRight w:val="0"/>
      <w:marTop w:val="0"/>
      <w:marBottom w:val="0"/>
      <w:divBdr>
        <w:top w:val="none" w:sz="0" w:space="0" w:color="auto"/>
        <w:left w:val="none" w:sz="0" w:space="0" w:color="auto"/>
        <w:bottom w:val="none" w:sz="0" w:space="0" w:color="auto"/>
        <w:right w:val="none" w:sz="0" w:space="0" w:color="auto"/>
      </w:divBdr>
    </w:div>
    <w:div w:id="562257448">
      <w:bodyDiv w:val="1"/>
      <w:marLeft w:val="0"/>
      <w:marRight w:val="0"/>
      <w:marTop w:val="0"/>
      <w:marBottom w:val="0"/>
      <w:divBdr>
        <w:top w:val="none" w:sz="0" w:space="0" w:color="auto"/>
        <w:left w:val="none" w:sz="0" w:space="0" w:color="auto"/>
        <w:bottom w:val="none" w:sz="0" w:space="0" w:color="auto"/>
        <w:right w:val="none" w:sz="0" w:space="0" w:color="auto"/>
      </w:divBdr>
    </w:div>
    <w:div w:id="616254997">
      <w:bodyDiv w:val="1"/>
      <w:marLeft w:val="0"/>
      <w:marRight w:val="0"/>
      <w:marTop w:val="0"/>
      <w:marBottom w:val="0"/>
      <w:divBdr>
        <w:top w:val="none" w:sz="0" w:space="0" w:color="auto"/>
        <w:left w:val="none" w:sz="0" w:space="0" w:color="auto"/>
        <w:bottom w:val="none" w:sz="0" w:space="0" w:color="auto"/>
        <w:right w:val="none" w:sz="0" w:space="0" w:color="auto"/>
      </w:divBdr>
    </w:div>
    <w:div w:id="628441497">
      <w:bodyDiv w:val="1"/>
      <w:marLeft w:val="0"/>
      <w:marRight w:val="0"/>
      <w:marTop w:val="0"/>
      <w:marBottom w:val="0"/>
      <w:divBdr>
        <w:top w:val="none" w:sz="0" w:space="0" w:color="auto"/>
        <w:left w:val="none" w:sz="0" w:space="0" w:color="auto"/>
        <w:bottom w:val="none" w:sz="0" w:space="0" w:color="auto"/>
        <w:right w:val="none" w:sz="0" w:space="0" w:color="auto"/>
      </w:divBdr>
    </w:div>
    <w:div w:id="642467458">
      <w:bodyDiv w:val="1"/>
      <w:marLeft w:val="0"/>
      <w:marRight w:val="0"/>
      <w:marTop w:val="0"/>
      <w:marBottom w:val="0"/>
      <w:divBdr>
        <w:top w:val="none" w:sz="0" w:space="0" w:color="auto"/>
        <w:left w:val="none" w:sz="0" w:space="0" w:color="auto"/>
        <w:bottom w:val="none" w:sz="0" w:space="0" w:color="auto"/>
        <w:right w:val="none" w:sz="0" w:space="0" w:color="auto"/>
      </w:divBdr>
    </w:div>
    <w:div w:id="702705736">
      <w:bodyDiv w:val="1"/>
      <w:marLeft w:val="0"/>
      <w:marRight w:val="0"/>
      <w:marTop w:val="0"/>
      <w:marBottom w:val="0"/>
      <w:divBdr>
        <w:top w:val="none" w:sz="0" w:space="0" w:color="auto"/>
        <w:left w:val="none" w:sz="0" w:space="0" w:color="auto"/>
        <w:bottom w:val="none" w:sz="0" w:space="0" w:color="auto"/>
        <w:right w:val="none" w:sz="0" w:space="0" w:color="auto"/>
      </w:divBdr>
    </w:div>
    <w:div w:id="730809755">
      <w:bodyDiv w:val="1"/>
      <w:marLeft w:val="0"/>
      <w:marRight w:val="0"/>
      <w:marTop w:val="0"/>
      <w:marBottom w:val="0"/>
      <w:divBdr>
        <w:top w:val="none" w:sz="0" w:space="0" w:color="auto"/>
        <w:left w:val="none" w:sz="0" w:space="0" w:color="auto"/>
        <w:bottom w:val="none" w:sz="0" w:space="0" w:color="auto"/>
        <w:right w:val="none" w:sz="0" w:space="0" w:color="auto"/>
      </w:divBdr>
    </w:div>
    <w:div w:id="744571199">
      <w:bodyDiv w:val="1"/>
      <w:marLeft w:val="0"/>
      <w:marRight w:val="0"/>
      <w:marTop w:val="0"/>
      <w:marBottom w:val="0"/>
      <w:divBdr>
        <w:top w:val="none" w:sz="0" w:space="0" w:color="auto"/>
        <w:left w:val="none" w:sz="0" w:space="0" w:color="auto"/>
        <w:bottom w:val="none" w:sz="0" w:space="0" w:color="auto"/>
        <w:right w:val="none" w:sz="0" w:space="0" w:color="auto"/>
      </w:divBdr>
    </w:div>
    <w:div w:id="762384908">
      <w:bodyDiv w:val="1"/>
      <w:marLeft w:val="0"/>
      <w:marRight w:val="0"/>
      <w:marTop w:val="0"/>
      <w:marBottom w:val="0"/>
      <w:divBdr>
        <w:top w:val="none" w:sz="0" w:space="0" w:color="auto"/>
        <w:left w:val="none" w:sz="0" w:space="0" w:color="auto"/>
        <w:bottom w:val="none" w:sz="0" w:space="0" w:color="auto"/>
        <w:right w:val="none" w:sz="0" w:space="0" w:color="auto"/>
      </w:divBdr>
    </w:div>
    <w:div w:id="925303320">
      <w:bodyDiv w:val="1"/>
      <w:marLeft w:val="0"/>
      <w:marRight w:val="0"/>
      <w:marTop w:val="0"/>
      <w:marBottom w:val="0"/>
      <w:divBdr>
        <w:top w:val="none" w:sz="0" w:space="0" w:color="auto"/>
        <w:left w:val="none" w:sz="0" w:space="0" w:color="auto"/>
        <w:bottom w:val="none" w:sz="0" w:space="0" w:color="auto"/>
        <w:right w:val="none" w:sz="0" w:space="0" w:color="auto"/>
      </w:divBdr>
    </w:div>
    <w:div w:id="993145193">
      <w:bodyDiv w:val="1"/>
      <w:marLeft w:val="0"/>
      <w:marRight w:val="0"/>
      <w:marTop w:val="0"/>
      <w:marBottom w:val="0"/>
      <w:divBdr>
        <w:top w:val="none" w:sz="0" w:space="0" w:color="auto"/>
        <w:left w:val="none" w:sz="0" w:space="0" w:color="auto"/>
        <w:bottom w:val="none" w:sz="0" w:space="0" w:color="auto"/>
        <w:right w:val="none" w:sz="0" w:space="0" w:color="auto"/>
      </w:divBdr>
    </w:div>
    <w:div w:id="1072311628">
      <w:bodyDiv w:val="1"/>
      <w:marLeft w:val="0"/>
      <w:marRight w:val="0"/>
      <w:marTop w:val="0"/>
      <w:marBottom w:val="0"/>
      <w:divBdr>
        <w:top w:val="none" w:sz="0" w:space="0" w:color="auto"/>
        <w:left w:val="none" w:sz="0" w:space="0" w:color="auto"/>
        <w:bottom w:val="none" w:sz="0" w:space="0" w:color="auto"/>
        <w:right w:val="none" w:sz="0" w:space="0" w:color="auto"/>
      </w:divBdr>
    </w:div>
    <w:div w:id="1101946900">
      <w:bodyDiv w:val="1"/>
      <w:marLeft w:val="0"/>
      <w:marRight w:val="0"/>
      <w:marTop w:val="0"/>
      <w:marBottom w:val="0"/>
      <w:divBdr>
        <w:top w:val="none" w:sz="0" w:space="0" w:color="auto"/>
        <w:left w:val="none" w:sz="0" w:space="0" w:color="auto"/>
        <w:bottom w:val="none" w:sz="0" w:space="0" w:color="auto"/>
        <w:right w:val="none" w:sz="0" w:space="0" w:color="auto"/>
      </w:divBdr>
    </w:div>
    <w:div w:id="1109663682">
      <w:bodyDiv w:val="1"/>
      <w:marLeft w:val="0"/>
      <w:marRight w:val="0"/>
      <w:marTop w:val="0"/>
      <w:marBottom w:val="0"/>
      <w:divBdr>
        <w:top w:val="none" w:sz="0" w:space="0" w:color="auto"/>
        <w:left w:val="none" w:sz="0" w:space="0" w:color="auto"/>
        <w:bottom w:val="none" w:sz="0" w:space="0" w:color="auto"/>
        <w:right w:val="none" w:sz="0" w:space="0" w:color="auto"/>
      </w:divBdr>
    </w:div>
    <w:div w:id="1216116390">
      <w:bodyDiv w:val="1"/>
      <w:marLeft w:val="0"/>
      <w:marRight w:val="0"/>
      <w:marTop w:val="0"/>
      <w:marBottom w:val="0"/>
      <w:divBdr>
        <w:top w:val="none" w:sz="0" w:space="0" w:color="auto"/>
        <w:left w:val="none" w:sz="0" w:space="0" w:color="auto"/>
        <w:bottom w:val="none" w:sz="0" w:space="0" w:color="auto"/>
        <w:right w:val="none" w:sz="0" w:space="0" w:color="auto"/>
      </w:divBdr>
    </w:div>
    <w:div w:id="1363628965">
      <w:bodyDiv w:val="1"/>
      <w:marLeft w:val="0"/>
      <w:marRight w:val="0"/>
      <w:marTop w:val="0"/>
      <w:marBottom w:val="0"/>
      <w:divBdr>
        <w:top w:val="none" w:sz="0" w:space="0" w:color="auto"/>
        <w:left w:val="none" w:sz="0" w:space="0" w:color="auto"/>
        <w:bottom w:val="none" w:sz="0" w:space="0" w:color="auto"/>
        <w:right w:val="none" w:sz="0" w:space="0" w:color="auto"/>
      </w:divBdr>
    </w:div>
    <w:div w:id="1393381699">
      <w:bodyDiv w:val="1"/>
      <w:marLeft w:val="0"/>
      <w:marRight w:val="0"/>
      <w:marTop w:val="0"/>
      <w:marBottom w:val="0"/>
      <w:divBdr>
        <w:top w:val="none" w:sz="0" w:space="0" w:color="auto"/>
        <w:left w:val="none" w:sz="0" w:space="0" w:color="auto"/>
        <w:bottom w:val="none" w:sz="0" w:space="0" w:color="auto"/>
        <w:right w:val="none" w:sz="0" w:space="0" w:color="auto"/>
      </w:divBdr>
    </w:div>
    <w:div w:id="1582522522">
      <w:bodyDiv w:val="1"/>
      <w:marLeft w:val="0"/>
      <w:marRight w:val="0"/>
      <w:marTop w:val="0"/>
      <w:marBottom w:val="0"/>
      <w:divBdr>
        <w:top w:val="none" w:sz="0" w:space="0" w:color="auto"/>
        <w:left w:val="none" w:sz="0" w:space="0" w:color="auto"/>
        <w:bottom w:val="none" w:sz="0" w:space="0" w:color="auto"/>
        <w:right w:val="none" w:sz="0" w:space="0" w:color="auto"/>
      </w:divBdr>
    </w:div>
    <w:div w:id="1613510295">
      <w:bodyDiv w:val="1"/>
      <w:marLeft w:val="0"/>
      <w:marRight w:val="0"/>
      <w:marTop w:val="0"/>
      <w:marBottom w:val="0"/>
      <w:divBdr>
        <w:top w:val="none" w:sz="0" w:space="0" w:color="auto"/>
        <w:left w:val="none" w:sz="0" w:space="0" w:color="auto"/>
        <w:bottom w:val="none" w:sz="0" w:space="0" w:color="auto"/>
        <w:right w:val="none" w:sz="0" w:space="0" w:color="auto"/>
      </w:divBdr>
    </w:div>
    <w:div w:id="1629047618">
      <w:bodyDiv w:val="1"/>
      <w:marLeft w:val="0"/>
      <w:marRight w:val="0"/>
      <w:marTop w:val="0"/>
      <w:marBottom w:val="0"/>
      <w:divBdr>
        <w:top w:val="none" w:sz="0" w:space="0" w:color="auto"/>
        <w:left w:val="none" w:sz="0" w:space="0" w:color="auto"/>
        <w:bottom w:val="none" w:sz="0" w:space="0" w:color="auto"/>
        <w:right w:val="none" w:sz="0" w:space="0" w:color="auto"/>
      </w:divBdr>
    </w:div>
    <w:div w:id="1641567910">
      <w:bodyDiv w:val="1"/>
      <w:marLeft w:val="0"/>
      <w:marRight w:val="0"/>
      <w:marTop w:val="0"/>
      <w:marBottom w:val="0"/>
      <w:divBdr>
        <w:top w:val="none" w:sz="0" w:space="0" w:color="auto"/>
        <w:left w:val="none" w:sz="0" w:space="0" w:color="auto"/>
        <w:bottom w:val="none" w:sz="0" w:space="0" w:color="auto"/>
        <w:right w:val="none" w:sz="0" w:space="0" w:color="auto"/>
      </w:divBdr>
    </w:div>
    <w:div w:id="1648049133">
      <w:bodyDiv w:val="1"/>
      <w:marLeft w:val="0"/>
      <w:marRight w:val="0"/>
      <w:marTop w:val="0"/>
      <w:marBottom w:val="0"/>
      <w:divBdr>
        <w:top w:val="none" w:sz="0" w:space="0" w:color="auto"/>
        <w:left w:val="none" w:sz="0" w:space="0" w:color="auto"/>
        <w:bottom w:val="none" w:sz="0" w:space="0" w:color="auto"/>
        <w:right w:val="none" w:sz="0" w:space="0" w:color="auto"/>
      </w:divBdr>
    </w:div>
    <w:div w:id="1678189110">
      <w:bodyDiv w:val="1"/>
      <w:marLeft w:val="0"/>
      <w:marRight w:val="0"/>
      <w:marTop w:val="0"/>
      <w:marBottom w:val="0"/>
      <w:divBdr>
        <w:top w:val="none" w:sz="0" w:space="0" w:color="auto"/>
        <w:left w:val="none" w:sz="0" w:space="0" w:color="auto"/>
        <w:bottom w:val="none" w:sz="0" w:space="0" w:color="auto"/>
        <w:right w:val="none" w:sz="0" w:space="0" w:color="auto"/>
      </w:divBdr>
    </w:div>
    <w:div w:id="1711758006">
      <w:bodyDiv w:val="1"/>
      <w:marLeft w:val="0"/>
      <w:marRight w:val="0"/>
      <w:marTop w:val="0"/>
      <w:marBottom w:val="0"/>
      <w:divBdr>
        <w:top w:val="none" w:sz="0" w:space="0" w:color="auto"/>
        <w:left w:val="none" w:sz="0" w:space="0" w:color="auto"/>
        <w:bottom w:val="none" w:sz="0" w:space="0" w:color="auto"/>
        <w:right w:val="none" w:sz="0" w:space="0" w:color="auto"/>
      </w:divBdr>
    </w:div>
    <w:div w:id="1771927878">
      <w:bodyDiv w:val="1"/>
      <w:marLeft w:val="0"/>
      <w:marRight w:val="0"/>
      <w:marTop w:val="0"/>
      <w:marBottom w:val="0"/>
      <w:divBdr>
        <w:top w:val="none" w:sz="0" w:space="0" w:color="auto"/>
        <w:left w:val="none" w:sz="0" w:space="0" w:color="auto"/>
        <w:bottom w:val="none" w:sz="0" w:space="0" w:color="auto"/>
        <w:right w:val="none" w:sz="0" w:space="0" w:color="auto"/>
      </w:divBdr>
    </w:div>
    <w:div w:id="1773743488">
      <w:bodyDiv w:val="1"/>
      <w:marLeft w:val="0"/>
      <w:marRight w:val="0"/>
      <w:marTop w:val="0"/>
      <w:marBottom w:val="0"/>
      <w:divBdr>
        <w:top w:val="none" w:sz="0" w:space="0" w:color="auto"/>
        <w:left w:val="none" w:sz="0" w:space="0" w:color="auto"/>
        <w:bottom w:val="none" w:sz="0" w:space="0" w:color="auto"/>
        <w:right w:val="none" w:sz="0" w:space="0" w:color="auto"/>
      </w:divBdr>
    </w:div>
    <w:div w:id="1778522302">
      <w:bodyDiv w:val="1"/>
      <w:marLeft w:val="0"/>
      <w:marRight w:val="0"/>
      <w:marTop w:val="0"/>
      <w:marBottom w:val="0"/>
      <w:divBdr>
        <w:top w:val="none" w:sz="0" w:space="0" w:color="auto"/>
        <w:left w:val="none" w:sz="0" w:space="0" w:color="auto"/>
        <w:bottom w:val="none" w:sz="0" w:space="0" w:color="auto"/>
        <w:right w:val="none" w:sz="0" w:space="0" w:color="auto"/>
      </w:divBdr>
    </w:div>
    <w:div w:id="1802531437">
      <w:bodyDiv w:val="1"/>
      <w:marLeft w:val="0"/>
      <w:marRight w:val="0"/>
      <w:marTop w:val="0"/>
      <w:marBottom w:val="0"/>
      <w:divBdr>
        <w:top w:val="none" w:sz="0" w:space="0" w:color="auto"/>
        <w:left w:val="none" w:sz="0" w:space="0" w:color="auto"/>
        <w:bottom w:val="none" w:sz="0" w:space="0" w:color="auto"/>
        <w:right w:val="none" w:sz="0" w:space="0" w:color="auto"/>
      </w:divBdr>
    </w:div>
    <w:div w:id="1847816820">
      <w:bodyDiv w:val="1"/>
      <w:marLeft w:val="0"/>
      <w:marRight w:val="0"/>
      <w:marTop w:val="0"/>
      <w:marBottom w:val="0"/>
      <w:divBdr>
        <w:top w:val="none" w:sz="0" w:space="0" w:color="auto"/>
        <w:left w:val="none" w:sz="0" w:space="0" w:color="auto"/>
        <w:bottom w:val="none" w:sz="0" w:space="0" w:color="auto"/>
        <w:right w:val="none" w:sz="0" w:space="0" w:color="auto"/>
      </w:divBdr>
    </w:div>
    <w:div w:id="1880773803">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AC915-9D1B-45E6-9AA1-70EC48B98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8791</Words>
  <Characters>50950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2016-10-09T22:23:00Z</dcterms:created>
  <dcterms:modified xsi:type="dcterms:W3CDTF">2016-10-10T22:53:00Z</dcterms:modified>
</cp:coreProperties>
</file>