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D8" w:rsidRPr="003C53F6" w:rsidRDefault="008278E0" w:rsidP="004C1E7E">
      <w:pPr>
        <w:pStyle w:val="Heading1"/>
        <w:rPr>
          <w:caps w:val="0"/>
          <w:sz w:val="28"/>
        </w:rPr>
      </w:pPr>
      <w:bookmarkStart w:id="0" w:name="_Toc451353152"/>
      <w:r w:rsidRPr="003C53F6">
        <w:rPr>
          <w:sz w:val="28"/>
        </w:rPr>
        <w:t>6</w:t>
      </w:r>
      <w:r w:rsidR="00433044" w:rsidRPr="003C53F6">
        <w:rPr>
          <w:sz w:val="28"/>
        </w:rPr>
        <w:t>.</w:t>
      </w:r>
      <w:r w:rsidR="00153D60" w:rsidRPr="003C53F6">
        <w:rPr>
          <w:sz w:val="28"/>
        </w:rPr>
        <w:t>0</w:t>
      </w:r>
      <w:r w:rsidRPr="003C53F6">
        <w:rPr>
          <w:sz w:val="28"/>
        </w:rPr>
        <w:t>6</w:t>
      </w:r>
      <w:r w:rsidR="00B60939" w:rsidRPr="003C53F6">
        <w:rPr>
          <w:sz w:val="28"/>
        </w:rPr>
        <w:tab/>
      </w:r>
      <w:r w:rsidR="002601D8" w:rsidRPr="003C53F6">
        <w:rPr>
          <w:caps w:val="0"/>
          <w:sz w:val="28"/>
        </w:rPr>
        <w:t>TRUVADA</w:t>
      </w:r>
      <w:r w:rsidR="002601D8" w:rsidRPr="003C53F6">
        <w:rPr>
          <w:sz w:val="28"/>
          <w:vertAlign w:val="superscript"/>
        </w:rPr>
        <w:t>®</w:t>
      </w:r>
      <w:r w:rsidR="002601D8" w:rsidRPr="003C53F6">
        <w:rPr>
          <w:caps w:val="0"/>
          <w:sz w:val="28"/>
        </w:rPr>
        <w:t xml:space="preserve">, tablets, </w:t>
      </w:r>
      <w:proofErr w:type="spellStart"/>
      <w:r w:rsidR="002601D8" w:rsidRPr="003C53F6">
        <w:rPr>
          <w:caps w:val="0"/>
          <w:sz w:val="28"/>
        </w:rPr>
        <w:t>emtricitabine</w:t>
      </w:r>
      <w:proofErr w:type="spellEnd"/>
      <w:r w:rsidR="002601D8" w:rsidRPr="003C53F6">
        <w:rPr>
          <w:caps w:val="0"/>
          <w:sz w:val="28"/>
        </w:rPr>
        <w:t xml:space="preserve"> 200 mg/</w:t>
      </w:r>
      <w:proofErr w:type="spellStart"/>
      <w:r w:rsidR="002601D8" w:rsidRPr="003C53F6">
        <w:rPr>
          <w:caps w:val="0"/>
          <w:sz w:val="28"/>
        </w:rPr>
        <w:t>tenofovir</w:t>
      </w:r>
      <w:proofErr w:type="spellEnd"/>
      <w:r w:rsidR="002601D8" w:rsidRPr="003C53F6">
        <w:rPr>
          <w:caps w:val="0"/>
          <w:sz w:val="28"/>
        </w:rPr>
        <w:t xml:space="preserve"> </w:t>
      </w:r>
      <w:proofErr w:type="spellStart"/>
      <w:r w:rsidR="002601D8" w:rsidRPr="003C53F6">
        <w:rPr>
          <w:caps w:val="0"/>
          <w:sz w:val="28"/>
        </w:rPr>
        <w:t>disoproxil</w:t>
      </w:r>
      <w:proofErr w:type="spellEnd"/>
      <w:r w:rsidR="002601D8" w:rsidRPr="003C53F6">
        <w:rPr>
          <w:caps w:val="0"/>
          <w:sz w:val="28"/>
        </w:rPr>
        <w:t xml:space="preserve"> </w:t>
      </w:r>
      <w:proofErr w:type="spellStart"/>
      <w:r w:rsidR="002601D8" w:rsidRPr="003C53F6">
        <w:rPr>
          <w:caps w:val="0"/>
          <w:sz w:val="28"/>
        </w:rPr>
        <w:t>fumarate</w:t>
      </w:r>
      <w:proofErr w:type="spellEnd"/>
      <w:r w:rsidR="002601D8" w:rsidRPr="003C53F6">
        <w:rPr>
          <w:caps w:val="0"/>
          <w:sz w:val="28"/>
        </w:rPr>
        <w:t xml:space="preserve"> 300 mg, Gilead Sciences Pty Ltd.</w:t>
      </w:r>
      <w:bookmarkEnd w:id="0"/>
    </w:p>
    <w:p w:rsidR="00976C62" w:rsidRPr="003C53F6" w:rsidRDefault="00976C62" w:rsidP="00976C62"/>
    <w:p w:rsidR="004109F3" w:rsidRPr="003C53F6" w:rsidRDefault="004109F3" w:rsidP="00FA572A">
      <w:pPr>
        <w:pStyle w:val="BodyText"/>
        <w:jc w:val="both"/>
      </w:pPr>
      <w:r w:rsidRPr="003C53F6">
        <w:t xml:space="preserve">To improve the readability of this </w:t>
      </w:r>
      <w:r w:rsidR="00B559F3" w:rsidRPr="003C53F6">
        <w:t>document</w:t>
      </w:r>
      <w:r w:rsidRPr="003C53F6">
        <w:t xml:space="preserve">, </w:t>
      </w:r>
      <w:proofErr w:type="spellStart"/>
      <w:r w:rsidRPr="003C53F6">
        <w:t>Truvada</w:t>
      </w:r>
      <w:proofErr w:type="spellEnd"/>
      <w:r w:rsidRPr="003C53F6">
        <w:t xml:space="preserve"> is generally identified by its brand name. </w:t>
      </w:r>
      <w:r w:rsidR="00333C09" w:rsidRPr="003C53F6">
        <w:t xml:space="preserve">Where the </w:t>
      </w:r>
      <w:r w:rsidR="00310070" w:rsidRPr="003C53F6">
        <w:t xml:space="preserve">form of the drug within </w:t>
      </w:r>
      <w:proofErr w:type="spellStart"/>
      <w:r w:rsidR="00310070" w:rsidRPr="003C53F6">
        <w:t>Truvada</w:t>
      </w:r>
      <w:proofErr w:type="spellEnd"/>
      <w:r w:rsidR="00333C09" w:rsidRPr="003C53F6">
        <w:t xml:space="preserve"> is described, the Australian Medicines Terminology medicinal product unit of use (MPUU)</w:t>
      </w:r>
      <w:r w:rsidR="00B57D4D" w:rsidRPr="003C53F6">
        <w:t xml:space="preserve"> </w:t>
      </w:r>
      <w:r w:rsidR="00310070" w:rsidRPr="003C53F6">
        <w:t>is used</w:t>
      </w:r>
      <w:r w:rsidR="00333C09" w:rsidRPr="003C53F6">
        <w:t>.</w:t>
      </w:r>
    </w:p>
    <w:p w:rsidR="00433044" w:rsidRPr="003C53F6" w:rsidRDefault="00433044" w:rsidP="00281014">
      <w:pPr>
        <w:pStyle w:val="BodyText"/>
      </w:pPr>
    </w:p>
    <w:p w:rsidR="00B50DB8" w:rsidRPr="00924E0A" w:rsidRDefault="00B50DB8" w:rsidP="00924E0A">
      <w:pPr>
        <w:pStyle w:val="Heading2"/>
      </w:pPr>
      <w:bookmarkStart w:id="1" w:name="_Toc451353154"/>
      <w:r w:rsidRPr="00924E0A">
        <w:t>Purpose of Application</w:t>
      </w:r>
      <w:bookmarkEnd w:id="1"/>
    </w:p>
    <w:p w:rsidR="00B60939" w:rsidRPr="003C53F6" w:rsidRDefault="00B60939" w:rsidP="00B60939">
      <w:pPr>
        <w:rPr>
          <w:szCs w:val="22"/>
        </w:rPr>
      </w:pPr>
    </w:p>
    <w:p w:rsidR="004E43B2" w:rsidRPr="003C53F6" w:rsidRDefault="00FC15B7" w:rsidP="004B1CB4">
      <w:pPr>
        <w:pStyle w:val="ListParagraph"/>
        <w:widowControl/>
        <w:numPr>
          <w:ilvl w:val="1"/>
          <w:numId w:val="2"/>
        </w:numPr>
      </w:pPr>
      <w:r w:rsidRPr="003C53F6">
        <w:t>Section 100 Highly Specialised Drugs Program Authority Required</w:t>
      </w:r>
      <w:r w:rsidR="001E238E" w:rsidRPr="003C53F6">
        <w:t xml:space="preserve"> listing for </w:t>
      </w:r>
      <w:proofErr w:type="spellStart"/>
      <w:r w:rsidRPr="003C53F6">
        <w:t>emtricitabine</w:t>
      </w:r>
      <w:proofErr w:type="spellEnd"/>
      <w:r w:rsidRPr="003C53F6">
        <w:t xml:space="preserve"> 200 mg + </w:t>
      </w:r>
      <w:proofErr w:type="spellStart"/>
      <w:r w:rsidRPr="003C53F6">
        <w:t>tenofovir</w:t>
      </w:r>
      <w:proofErr w:type="spellEnd"/>
      <w:r w:rsidRPr="003C53F6">
        <w:t xml:space="preserve"> </w:t>
      </w:r>
      <w:proofErr w:type="spellStart"/>
      <w:r w:rsidRPr="003C53F6">
        <w:t>disoproxil</w:t>
      </w:r>
      <w:proofErr w:type="spellEnd"/>
      <w:r w:rsidRPr="003C53F6">
        <w:t xml:space="preserve"> </w:t>
      </w:r>
      <w:proofErr w:type="spellStart"/>
      <w:r w:rsidRPr="003C53F6">
        <w:t>fumarate</w:t>
      </w:r>
      <w:proofErr w:type="spellEnd"/>
      <w:r w:rsidRPr="003C53F6">
        <w:t xml:space="preserve"> 300 mg tablet (</w:t>
      </w:r>
      <w:proofErr w:type="spellStart"/>
      <w:r w:rsidRPr="003C53F6">
        <w:t>T</w:t>
      </w:r>
      <w:r w:rsidR="00515D32" w:rsidRPr="003C53F6">
        <w:t>ruvada</w:t>
      </w:r>
      <w:proofErr w:type="spellEnd"/>
      <w:r w:rsidRPr="003C53F6">
        <w:t>) as an oral pre-exposure prophylaxis (</w:t>
      </w:r>
      <w:proofErr w:type="spellStart"/>
      <w:r w:rsidRPr="003C53F6">
        <w:t>PrEP</w:t>
      </w:r>
      <w:proofErr w:type="spellEnd"/>
      <w:r w:rsidRPr="003C53F6">
        <w:t>) to reduce the risk of sexually acquired HIV-1 in adults at substantial risk</w:t>
      </w:r>
      <w:r w:rsidR="004C1E7E" w:rsidRPr="003C53F6">
        <w:t>.</w:t>
      </w:r>
      <w:r w:rsidRPr="003C53F6">
        <w:t xml:space="preserve"> </w:t>
      </w:r>
    </w:p>
    <w:p w:rsidR="00FC15B7" w:rsidRPr="003C53F6" w:rsidRDefault="00FC15B7" w:rsidP="004B1CB4"/>
    <w:p w:rsidR="00B50DB8" w:rsidRPr="003C53F6" w:rsidRDefault="00B50DB8" w:rsidP="00924E0A">
      <w:pPr>
        <w:pStyle w:val="Heading2"/>
      </w:pPr>
      <w:bookmarkStart w:id="2" w:name="_Toc451353155"/>
      <w:r w:rsidRPr="003C53F6">
        <w:t>Requested listing</w:t>
      </w:r>
      <w:bookmarkEnd w:id="2"/>
    </w:p>
    <w:p w:rsidR="00B60939" w:rsidRPr="003C53F6" w:rsidRDefault="00B60939" w:rsidP="004B1CB4"/>
    <w:p w:rsidR="00617E12" w:rsidRPr="003C53F6" w:rsidRDefault="004C1E7E" w:rsidP="002431F7">
      <w:pPr>
        <w:pStyle w:val="ListParagraph"/>
        <w:widowControl/>
        <w:numPr>
          <w:ilvl w:val="1"/>
          <w:numId w:val="2"/>
        </w:numPr>
      </w:pPr>
      <w:r w:rsidRPr="003C53F6">
        <w:t>The proposed listing is presented below.</w:t>
      </w:r>
    </w:p>
    <w:p w:rsidR="004C1E7E" w:rsidRPr="003C53F6" w:rsidRDefault="004C1E7E" w:rsidP="004C1E7E">
      <w:pPr>
        <w:pStyle w:val="PBACHeading1"/>
        <w:numPr>
          <w:ilvl w:val="0"/>
          <w:numId w:val="0"/>
        </w:numPr>
        <w:ind w:left="720"/>
        <w:rPr>
          <w:highlight w:val="green"/>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4C1E7E" w:rsidRPr="003C53F6" w:rsidTr="009676AF">
        <w:trPr>
          <w:cantSplit/>
          <w:trHeight w:val="471"/>
        </w:trPr>
        <w:tc>
          <w:tcPr>
            <w:tcW w:w="3261" w:type="dxa"/>
            <w:gridSpan w:val="2"/>
            <w:tcBorders>
              <w:bottom w:val="single" w:sz="4" w:space="0" w:color="auto"/>
            </w:tcBorders>
          </w:tcPr>
          <w:p w:rsidR="004C1E7E" w:rsidRPr="003C53F6" w:rsidRDefault="004C1E7E" w:rsidP="009676AF">
            <w:pPr>
              <w:keepNext/>
              <w:ind w:left="-108"/>
              <w:rPr>
                <w:rFonts w:ascii="Arial Narrow" w:hAnsi="Arial Narrow"/>
                <w:sz w:val="20"/>
              </w:rPr>
            </w:pPr>
            <w:r w:rsidRPr="003C53F6">
              <w:rPr>
                <w:rFonts w:ascii="Arial Narrow" w:hAnsi="Arial Narrow"/>
                <w:sz w:val="20"/>
              </w:rPr>
              <w:t>Name, Restriction,</w:t>
            </w:r>
          </w:p>
          <w:p w:rsidR="004C1E7E" w:rsidRPr="003C53F6" w:rsidRDefault="004C1E7E" w:rsidP="009676AF">
            <w:pPr>
              <w:keepNext/>
              <w:ind w:left="-108"/>
              <w:rPr>
                <w:rFonts w:ascii="Arial Narrow" w:hAnsi="Arial Narrow"/>
                <w:sz w:val="20"/>
              </w:rPr>
            </w:pPr>
            <w:r w:rsidRPr="003C53F6">
              <w:rPr>
                <w:rFonts w:ascii="Arial Narrow" w:hAnsi="Arial Narrow"/>
                <w:sz w:val="20"/>
              </w:rPr>
              <w:t>Manner of administration and form</w:t>
            </w:r>
          </w:p>
        </w:tc>
        <w:tc>
          <w:tcPr>
            <w:tcW w:w="567" w:type="dxa"/>
            <w:tcBorders>
              <w:bottom w:val="single" w:sz="4" w:space="0" w:color="auto"/>
            </w:tcBorders>
          </w:tcPr>
          <w:p w:rsidR="004C1E7E" w:rsidRPr="003C53F6" w:rsidRDefault="004C1E7E" w:rsidP="009676AF">
            <w:pPr>
              <w:keepNext/>
              <w:ind w:left="-108"/>
              <w:rPr>
                <w:rFonts w:ascii="Arial Narrow" w:hAnsi="Arial Narrow"/>
                <w:sz w:val="20"/>
              </w:rPr>
            </w:pPr>
            <w:r w:rsidRPr="003C53F6">
              <w:rPr>
                <w:rFonts w:ascii="Arial Narrow" w:hAnsi="Arial Narrow"/>
                <w:sz w:val="20"/>
              </w:rPr>
              <w:t>Max.</w:t>
            </w:r>
          </w:p>
          <w:p w:rsidR="004C1E7E" w:rsidRPr="003C53F6" w:rsidRDefault="004C1E7E" w:rsidP="009676AF">
            <w:pPr>
              <w:keepNext/>
              <w:ind w:left="-108"/>
              <w:rPr>
                <w:rFonts w:ascii="Arial Narrow" w:hAnsi="Arial Narrow"/>
                <w:sz w:val="20"/>
              </w:rPr>
            </w:pPr>
            <w:proofErr w:type="spellStart"/>
            <w:r w:rsidRPr="003C53F6">
              <w:rPr>
                <w:rFonts w:ascii="Arial Narrow" w:hAnsi="Arial Narrow"/>
                <w:sz w:val="20"/>
              </w:rPr>
              <w:t>Qty</w:t>
            </w:r>
            <w:proofErr w:type="spellEnd"/>
          </w:p>
        </w:tc>
        <w:tc>
          <w:tcPr>
            <w:tcW w:w="850" w:type="dxa"/>
            <w:tcBorders>
              <w:bottom w:val="single" w:sz="4" w:space="0" w:color="auto"/>
            </w:tcBorders>
          </w:tcPr>
          <w:p w:rsidR="004C1E7E" w:rsidRPr="003C53F6" w:rsidRDefault="004C1E7E" w:rsidP="009676AF">
            <w:pPr>
              <w:keepNext/>
              <w:ind w:left="-108"/>
              <w:rPr>
                <w:rFonts w:ascii="Arial Narrow" w:hAnsi="Arial Narrow"/>
                <w:sz w:val="20"/>
              </w:rPr>
            </w:pPr>
            <w:r w:rsidRPr="003C53F6">
              <w:rPr>
                <w:rFonts w:ascii="Arial Narrow" w:hAnsi="Arial Narrow"/>
                <w:sz w:val="20"/>
              </w:rPr>
              <w:t>№.of</w:t>
            </w:r>
          </w:p>
          <w:p w:rsidR="004C1E7E" w:rsidRPr="003C53F6" w:rsidRDefault="004C1E7E" w:rsidP="009676AF">
            <w:pPr>
              <w:keepNext/>
              <w:ind w:left="-108"/>
              <w:rPr>
                <w:rFonts w:ascii="Arial Narrow" w:hAnsi="Arial Narrow"/>
                <w:sz w:val="20"/>
              </w:rPr>
            </w:pPr>
            <w:proofErr w:type="spellStart"/>
            <w:r w:rsidRPr="003C53F6">
              <w:rPr>
                <w:rFonts w:ascii="Arial Narrow" w:hAnsi="Arial Narrow"/>
                <w:sz w:val="20"/>
              </w:rPr>
              <w:t>Rpts</w:t>
            </w:r>
            <w:proofErr w:type="spellEnd"/>
          </w:p>
        </w:tc>
        <w:tc>
          <w:tcPr>
            <w:tcW w:w="1701" w:type="dxa"/>
            <w:tcBorders>
              <w:bottom w:val="single" w:sz="4" w:space="0" w:color="auto"/>
            </w:tcBorders>
          </w:tcPr>
          <w:p w:rsidR="004C1E7E" w:rsidRPr="003C53F6" w:rsidRDefault="004C1E7E" w:rsidP="009676AF">
            <w:pPr>
              <w:keepNext/>
              <w:ind w:left="-108"/>
              <w:rPr>
                <w:rFonts w:ascii="Arial Narrow" w:hAnsi="Arial Narrow"/>
                <w:sz w:val="20"/>
              </w:rPr>
            </w:pPr>
            <w:r w:rsidRPr="003C53F6">
              <w:rPr>
                <w:rFonts w:ascii="Arial Narrow" w:hAnsi="Arial Narrow"/>
                <w:sz w:val="20"/>
              </w:rPr>
              <w:t xml:space="preserve">Dispensed Price for Max. </w:t>
            </w:r>
            <w:proofErr w:type="spellStart"/>
            <w:r w:rsidRPr="003C53F6">
              <w:rPr>
                <w:rFonts w:ascii="Arial Narrow" w:hAnsi="Arial Narrow"/>
                <w:sz w:val="20"/>
              </w:rPr>
              <w:t>Qty</w:t>
            </w:r>
            <w:proofErr w:type="spellEnd"/>
          </w:p>
        </w:tc>
        <w:tc>
          <w:tcPr>
            <w:tcW w:w="2835" w:type="dxa"/>
            <w:gridSpan w:val="2"/>
            <w:tcBorders>
              <w:bottom w:val="single" w:sz="4" w:space="0" w:color="auto"/>
            </w:tcBorders>
          </w:tcPr>
          <w:p w:rsidR="004C1E7E" w:rsidRPr="003C53F6" w:rsidRDefault="004C1E7E" w:rsidP="009676AF">
            <w:pPr>
              <w:keepNext/>
              <w:rPr>
                <w:rFonts w:ascii="Arial Narrow" w:hAnsi="Arial Narrow"/>
                <w:sz w:val="20"/>
              </w:rPr>
            </w:pPr>
            <w:r w:rsidRPr="003C53F6">
              <w:rPr>
                <w:rFonts w:ascii="Arial Narrow" w:hAnsi="Arial Narrow"/>
                <w:sz w:val="20"/>
              </w:rPr>
              <w:t>Proprietary Name and Manufacturer</w:t>
            </w:r>
          </w:p>
        </w:tc>
      </w:tr>
      <w:tr w:rsidR="004C1E7E" w:rsidRPr="003C53F6" w:rsidTr="009676AF">
        <w:trPr>
          <w:cantSplit/>
          <w:trHeight w:val="577"/>
        </w:trPr>
        <w:tc>
          <w:tcPr>
            <w:tcW w:w="3261" w:type="dxa"/>
            <w:gridSpan w:val="2"/>
          </w:tcPr>
          <w:p w:rsidR="004C1E7E" w:rsidRPr="003C53F6" w:rsidRDefault="004C1E7E" w:rsidP="009676AF">
            <w:pPr>
              <w:keepNext/>
              <w:ind w:left="-108"/>
              <w:rPr>
                <w:rFonts w:ascii="Arial Narrow" w:hAnsi="Arial Narrow"/>
                <w:sz w:val="20"/>
              </w:rPr>
            </w:pPr>
            <w:r w:rsidRPr="003C53F6">
              <w:rPr>
                <w:rFonts w:ascii="Arial Narrow" w:hAnsi="Arial Narrow"/>
                <w:smallCaps/>
                <w:sz w:val="20"/>
              </w:rPr>
              <w:t xml:space="preserve">TENOFOVIR DISOPROXIL FUMARATE 300 MG + EMTRICITABINE 200 MG </w:t>
            </w:r>
          </w:p>
          <w:p w:rsidR="004C1E7E" w:rsidRPr="003C53F6" w:rsidRDefault="004C1E7E" w:rsidP="009676AF">
            <w:pPr>
              <w:keepNext/>
              <w:ind w:left="-108"/>
              <w:rPr>
                <w:rFonts w:ascii="Arial Narrow" w:hAnsi="Arial Narrow"/>
                <w:sz w:val="20"/>
              </w:rPr>
            </w:pPr>
            <w:r w:rsidRPr="003C53F6">
              <w:rPr>
                <w:rFonts w:ascii="Arial Narrow" w:hAnsi="Arial Narrow"/>
                <w:sz w:val="20"/>
              </w:rPr>
              <w:t>ORAL TABLET, 30</w:t>
            </w:r>
          </w:p>
        </w:tc>
        <w:tc>
          <w:tcPr>
            <w:tcW w:w="567" w:type="dxa"/>
          </w:tcPr>
          <w:p w:rsidR="004C1E7E" w:rsidRPr="003C53F6" w:rsidRDefault="004C1E7E" w:rsidP="009676AF">
            <w:pPr>
              <w:keepNext/>
              <w:ind w:left="-108"/>
              <w:rPr>
                <w:rFonts w:ascii="Arial Narrow" w:hAnsi="Arial Narrow"/>
                <w:sz w:val="20"/>
              </w:rPr>
            </w:pPr>
          </w:p>
          <w:p w:rsidR="004C1E7E" w:rsidRPr="003C53F6" w:rsidRDefault="004C1E7E" w:rsidP="009676AF">
            <w:pPr>
              <w:keepNext/>
              <w:ind w:left="-108"/>
              <w:rPr>
                <w:rFonts w:ascii="Arial Narrow" w:hAnsi="Arial Narrow"/>
                <w:sz w:val="20"/>
              </w:rPr>
            </w:pPr>
            <w:r w:rsidRPr="003C53F6">
              <w:rPr>
                <w:rFonts w:ascii="Arial Narrow" w:hAnsi="Arial Narrow"/>
                <w:sz w:val="20"/>
              </w:rPr>
              <w:t>1</w:t>
            </w:r>
          </w:p>
        </w:tc>
        <w:tc>
          <w:tcPr>
            <w:tcW w:w="850" w:type="dxa"/>
          </w:tcPr>
          <w:p w:rsidR="004C1E7E" w:rsidRPr="003C53F6" w:rsidRDefault="004C1E7E" w:rsidP="009676AF">
            <w:pPr>
              <w:keepNext/>
              <w:ind w:left="-108"/>
              <w:rPr>
                <w:rFonts w:ascii="Arial Narrow" w:hAnsi="Arial Narrow"/>
                <w:sz w:val="20"/>
              </w:rPr>
            </w:pPr>
          </w:p>
          <w:p w:rsidR="004C1E7E" w:rsidRPr="003C53F6" w:rsidRDefault="004C1E7E" w:rsidP="009676AF">
            <w:pPr>
              <w:keepNext/>
              <w:ind w:left="-108"/>
              <w:rPr>
                <w:rFonts w:ascii="Arial Narrow" w:hAnsi="Arial Narrow"/>
                <w:sz w:val="20"/>
              </w:rPr>
            </w:pPr>
            <w:r w:rsidRPr="003C53F6">
              <w:rPr>
                <w:rFonts w:ascii="Arial Narrow" w:hAnsi="Arial Narrow"/>
                <w:sz w:val="20"/>
              </w:rPr>
              <w:t>2</w:t>
            </w:r>
          </w:p>
        </w:tc>
        <w:tc>
          <w:tcPr>
            <w:tcW w:w="1701" w:type="dxa"/>
          </w:tcPr>
          <w:p w:rsidR="004C1E7E" w:rsidRPr="003C53F6" w:rsidRDefault="004C1E7E" w:rsidP="009676AF">
            <w:pPr>
              <w:keepNext/>
              <w:ind w:left="-108"/>
              <w:rPr>
                <w:rFonts w:ascii="Arial Narrow" w:hAnsi="Arial Narrow"/>
                <w:sz w:val="20"/>
              </w:rPr>
            </w:pPr>
          </w:p>
          <w:p w:rsidR="004C1E7E" w:rsidRPr="003C53F6" w:rsidRDefault="004C1E7E" w:rsidP="009676AF">
            <w:pPr>
              <w:keepNext/>
              <w:ind w:left="-108"/>
              <w:rPr>
                <w:rFonts w:ascii="Arial Narrow" w:hAnsi="Arial Narrow"/>
                <w:i/>
                <w:sz w:val="20"/>
              </w:rPr>
            </w:pPr>
            <w:r w:rsidRPr="003C53F6">
              <w:rPr>
                <w:rFonts w:ascii="Arial Narrow" w:hAnsi="Arial Narrow"/>
                <w:i/>
                <w:sz w:val="20"/>
              </w:rPr>
              <w:t>$</w:t>
            </w:r>
            <w:r w:rsidR="00632ACB">
              <w:rPr>
                <w:rFonts w:ascii="Arial Narrow" w:hAnsi="Arial Narrow"/>
                <w:i/>
                <w:noProof/>
                <w:color w:val="000000"/>
                <w:sz w:val="20"/>
                <w:highlight w:val="black"/>
              </w:rPr>
              <w:t>''''''''''''''''</w:t>
            </w:r>
          </w:p>
        </w:tc>
        <w:tc>
          <w:tcPr>
            <w:tcW w:w="1559" w:type="dxa"/>
          </w:tcPr>
          <w:p w:rsidR="004C1E7E" w:rsidRPr="003C53F6" w:rsidRDefault="004C1E7E" w:rsidP="009676AF">
            <w:pPr>
              <w:keepNext/>
              <w:rPr>
                <w:rFonts w:ascii="Arial Narrow" w:hAnsi="Arial Narrow"/>
                <w:sz w:val="20"/>
              </w:rPr>
            </w:pPr>
          </w:p>
          <w:p w:rsidR="004C1E7E" w:rsidRPr="003C53F6" w:rsidRDefault="004C1E7E" w:rsidP="009676AF">
            <w:pPr>
              <w:keepNext/>
              <w:rPr>
                <w:rFonts w:ascii="Arial Narrow" w:hAnsi="Arial Narrow"/>
                <w:sz w:val="20"/>
              </w:rPr>
            </w:pPr>
            <w:r w:rsidRPr="003C53F6">
              <w:rPr>
                <w:rFonts w:ascii="Arial Narrow" w:hAnsi="Arial Narrow"/>
                <w:sz w:val="20"/>
              </w:rPr>
              <w:t>TRUVADA</w:t>
            </w:r>
          </w:p>
        </w:tc>
        <w:tc>
          <w:tcPr>
            <w:tcW w:w="1276" w:type="dxa"/>
          </w:tcPr>
          <w:p w:rsidR="004C1E7E" w:rsidRPr="003C53F6" w:rsidRDefault="004C1E7E" w:rsidP="009676AF">
            <w:pPr>
              <w:keepNext/>
              <w:rPr>
                <w:rFonts w:ascii="Arial Narrow" w:hAnsi="Arial Narrow"/>
                <w:sz w:val="20"/>
              </w:rPr>
            </w:pPr>
            <w:r w:rsidRPr="003C53F6">
              <w:rPr>
                <w:rFonts w:ascii="Arial Narrow" w:hAnsi="Arial Narrow"/>
                <w:sz w:val="20"/>
              </w:rPr>
              <w:t>GILEAD SCIENCES PTY LTD</w:t>
            </w:r>
          </w:p>
        </w:tc>
      </w:tr>
      <w:tr w:rsidR="004C1E7E" w:rsidRPr="003C53F6" w:rsidTr="009676AF">
        <w:trPr>
          <w:cantSplit/>
          <w:trHeight w:val="360"/>
        </w:trPr>
        <w:tc>
          <w:tcPr>
            <w:tcW w:w="9214" w:type="dxa"/>
            <w:gridSpan w:val="7"/>
            <w:tcBorders>
              <w:bottom w:val="single" w:sz="4" w:space="0" w:color="auto"/>
            </w:tcBorders>
          </w:tcPr>
          <w:p w:rsidR="004C1E7E" w:rsidRPr="003C53F6" w:rsidRDefault="004C1E7E" w:rsidP="009676AF">
            <w:pPr>
              <w:rPr>
                <w:rFonts w:ascii="Arial Narrow" w:hAnsi="Arial Narrow"/>
                <w:b/>
                <w:i/>
                <w:sz w:val="20"/>
              </w:rPr>
            </w:pPr>
            <w:r w:rsidRPr="003C53F6">
              <w:rPr>
                <w:b/>
                <w:i/>
                <w:sz w:val="20"/>
                <w:u w:val="single"/>
              </w:rPr>
              <w:t>Section 100 Highly Specialised Drugs Program (Community Access)</w:t>
            </w:r>
            <w:r w:rsidRPr="003C53F6">
              <w:rPr>
                <w:rFonts w:ascii="Arial Narrow" w:hAnsi="Arial Narrow"/>
                <w:b/>
                <w:i/>
                <w:sz w:val="20"/>
              </w:rPr>
              <w:t xml:space="preserve"> </w:t>
            </w:r>
            <w:r w:rsidRPr="003C53F6">
              <w:rPr>
                <w:b/>
                <w:i/>
                <w:sz w:val="20"/>
                <w:u w:val="single"/>
              </w:rPr>
              <w:t>Authority Required</w:t>
            </w: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 xml:space="preserve">Category / </w:t>
            </w:r>
          </w:p>
          <w:p w:rsidR="004C1E7E" w:rsidRPr="003C53F6" w:rsidRDefault="004C1E7E" w:rsidP="009676AF">
            <w:pPr>
              <w:rPr>
                <w:rFonts w:ascii="Arial Narrow" w:hAnsi="Arial Narrow"/>
                <w:b/>
                <w:sz w:val="20"/>
              </w:rPr>
            </w:pPr>
            <w:r w:rsidRPr="003C53F6">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r w:rsidRPr="003C53F6">
              <w:rPr>
                <w:rFonts w:ascii="Arial Narrow" w:hAnsi="Arial Narrow"/>
                <w:sz w:val="20"/>
              </w:rPr>
              <w:t>Section 100 – Highly Specialised Drugs Program (Community Access)</w:t>
            </w:r>
          </w:p>
          <w:p w:rsidR="004C1E7E" w:rsidRPr="003C53F6" w:rsidRDefault="004C1E7E" w:rsidP="009676AF">
            <w:pPr>
              <w:rPr>
                <w:rFonts w:ascii="Arial Narrow" w:hAnsi="Arial Narrow"/>
                <w:sz w:val="20"/>
              </w:rPr>
            </w:pP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Prescriber type:</w:t>
            </w:r>
          </w:p>
          <w:p w:rsidR="004C1E7E" w:rsidRPr="003C53F6" w:rsidRDefault="004C1E7E" w:rsidP="009676AF">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Check1"/>
                  <w:enabled/>
                  <w:calcOnExit w:val="0"/>
                  <w:checkBox>
                    <w:sizeAuto/>
                    <w:default w:val="0"/>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 xml:space="preserve">Dental  </w:t>
            </w:r>
            <w:r w:rsidRPr="003C53F6">
              <w:rPr>
                <w:rFonts w:ascii="Arial Narrow" w:hAnsi="Arial Narrow"/>
                <w:sz w:val="20"/>
              </w:rPr>
              <w:fldChar w:fldCharType="begin">
                <w:ffData>
                  <w:name w:val=""/>
                  <w:enabled/>
                  <w:calcOnExit w:val="0"/>
                  <w:checkBox>
                    <w:sizeAuto/>
                    <w:default w:val="1"/>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 xml:space="preserve">Medical Practitioners  </w:t>
            </w:r>
            <w:r w:rsidRPr="003C53F6">
              <w:rPr>
                <w:rFonts w:ascii="Arial Narrow" w:hAnsi="Arial Narrow"/>
                <w:sz w:val="20"/>
              </w:rPr>
              <w:fldChar w:fldCharType="begin">
                <w:ffData>
                  <w:name w:val="Check3"/>
                  <w:enabled/>
                  <w:calcOnExit w:val="0"/>
                  <w:checkBox>
                    <w:sizeAuto/>
                    <w:default w:val="0"/>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 xml:space="preserve">Nurse practitioners  </w:t>
            </w:r>
            <w:r w:rsidRPr="003C53F6">
              <w:rPr>
                <w:rFonts w:ascii="Arial Narrow" w:hAnsi="Arial Narrow"/>
                <w:sz w:val="20"/>
              </w:rPr>
              <w:fldChar w:fldCharType="begin">
                <w:ffData>
                  <w:name w:val=""/>
                  <w:enabled/>
                  <w:calcOnExit w:val="0"/>
                  <w:checkBox>
                    <w:sizeAuto/>
                    <w:default w:val="0"/>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Optometrists</w:t>
            </w:r>
          </w:p>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Check5"/>
                  <w:enabled/>
                  <w:calcOnExit w:val="0"/>
                  <w:checkBox>
                    <w:sizeAuto/>
                    <w:default w:val="0"/>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Midwives</w:t>
            </w: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proofErr w:type="spellStart"/>
            <w:r w:rsidRPr="003C53F6">
              <w:rPr>
                <w:rFonts w:ascii="Arial Narrow" w:hAnsi="Arial Narrow"/>
                <w:b/>
                <w:sz w:val="20"/>
              </w:rPr>
              <w:t>Episodicity</w:t>
            </w:r>
            <w:proofErr w:type="spellEnd"/>
            <w:r w:rsidRPr="003C53F6">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trike/>
                <w:sz w:val="20"/>
              </w:rPr>
            </w:pP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r w:rsidRPr="003C53F6">
              <w:rPr>
                <w:rFonts w:ascii="Arial Narrow" w:hAnsi="Arial Narrow"/>
                <w:sz w:val="20"/>
              </w:rPr>
              <w:t>Chemoprophylaxis of HIV-1 infection</w:t>
            </w: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PBS Indication:</w:t>
            </w:r>
          </w:p>
          <w:p w:rsidR="004C1E7E" w:rsidRPr="003C53F6" w:rsidRDefault="004C1E7E" w:rsidP="009676AF">
            <w:pPr>
              <w:rPr>
                <w:rFonts w:ascii="Arial Narrow" w:hAnsi="Arial Narrow"/>
                <w:b/>
                <w:sz w:val="20"/>
              </w:rPr>
            </w:pPr>
          </w:p>
          <w:p w:rsidR="004C1E7E" w:rsidRPr="003C53F6" w:rsidRDefault="004C1E7E" w:rsidP="009676AF">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r w:rsidRPr="003C53F6">
              <w:rPr>
                <w:rFonts w:ascii="Arial Narrow" w:hAnsi="Arial Narrow"/>
                <w:sz w:val="20"/>
              </w:rPr>
              <w:t>To reduce the risk of sexually acquired HIV infection in adults at substantial risk of HIV infection.</w:t>
            </w: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Treatment phase:</w:t>
            </w:r>
          </w:p>
          <w:p w:rsidR="004C1E7E" w:rsidRPr="003C53F6" w:rsidRDefault="004C1E7E" w:rsidP="009676AF">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Restriction Level / Method:</w:t>
            </w:r>
          </w:p>
          <w:p w:rsidR="004C1E7E" w:rsidRPr="003C53F6" w:rsidRDefault="004C1E7E" w:rsidP="009676AF">
            <w:pPr>
              <w:rPr>
                <w:rFonts w:ascii="Arial Narrow" w:hAnsi="Arial Narrow"/>
                <w:i/>
                <w:sz w:val="20"/>
                <w:highlight w:val="yellow"/>
              </w:rPr>
            </w:pPr>
          </w:p>
          <w:p w:rsidR="004C1E7E" w:rsidRPr="003C53F6" w:rsidRDefault="004C1E7E" w:rsidP="009676AF">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Check1"/>
                  <w:enabled/>
                  <w:calcOnExit w:val="0"/>
                  <w:checkBox>
                    <w:sizeAuto/>
                    <w:default w:val="0"/>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Restricted benefit</w:t>
            </w:r>
          </w:p>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
                  <w:enabled/>
                  <w:calcOnExit w:val="0"/>
                  <w:checkBox>
                    <w:sizeAuto/>
                    <w:default w:val="1"/>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Authority Required - In Writing</w:t>
            </w:r>
          </w:p>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Check3"/>
                  <w:enabled/>
                  <w:calcOnExit w:val="0"/>
                  <w:checkBox>
                    <w:sizeAuto/>
                    <w:default w:val="1"/>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Authority Required - Telephone</w:t>
            </w:r>
          </w:p>
          <w:p w:rsidR="004C1E7E" w:rsidRPr="003C53F6" w:rsidRDefault="004C1E7E" w:rsidP="009676AF">
            <w:pPr>
              <w:rPr>
                <w:rFonts w:ascii="Arial Narrow" w:hAnsi="Arial Narrow"/>
                <w:i/>
                <w:sz w:val="20"/>
              </w:rPr>
            </w:pPr>
            <w:r w:rsidRPr="003C53F6">
              <w:rPr>
                <w:rFonts w:ascii="Arial Narrow" w:hAnsi="Arial Narrow"/>
                <w:i/>
                <w:sz w:val="20"/>
              </w:rPr>
              <w:fldChar w:fldCharType="begin">
                <w:ffData>
                  <w:name w:val=""/>
                  <w:enabled/>
                  <w:calcOnExit w:val="0"/>
                  <w:checkBox>
                    <w:sizeAuto/>
                    <w:default w:val="1"/>
                  </w:checkBox>
                </w:ffData>
              </w:fldChar>
            </w:r>
            <w:r w:rsidRPr="003C53F6">
              <w:rPr>
                <w:rFonts w:ascii="Arial Narrow" w:hAnsi="Arial Narrow"/>
                <w:i/>
                <w:sz w:val="20"/>
              </w:rPr>
              <w:instrText xml:space="preserve"> FORMCHECKBOX </w:instrText>
            </w:r>
            <w:r w:rsidR="006B7196">
              <w:rPr>
                <w:rFonts w:ascii="Arial Narrow" w:hAnsi="Arial Narrow"/>
                <w:i/>
                <w:sz w:val="20"/>
              </w:rPr>
            </w:r>
            <w:r w:rsidR="006B7196">
              <w:rPr>
                <w:rFonts w:ascii="Arial Narrow" w:hAnsi="Arial Narrow"/>
                <w:i/>
                <w:sz w:val="20"/>
              </w:rPr>
              <w:fldChar w:fldCharType="separate"/>
            </w:r>
            <w:r w:rsidRPr="003C53F6">
              <w:rPr>
                <w:rFonts w:ascii="Arial Narrow" w:hAnsi="Arial Narrow"/>
                <w:i/>
                <w:sz w:val="20"/>
              </w:rPr>
              <w:fldChar w:fldCharType="end"/>
            </w:r>
            <w:r w:rsidRPr="003C53F6">
              <w:rPr>
                <w:rFonts w:ascii="Arial Narrow" w:hAnsi="Arial Narrow"/>
                <w:i/>
                <w:sz w:val="20"/>
              </w:rPr>
              <w:t>Authority Required - Emergency</w:t>
            </w:r>
          </w:p>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Check5"/>
                  <w:enabled/>
                  <w:calcOnExit w:val="0"/>
                  <w:checkBox>
                    <w:sizeAuto/>
                    <w:default w:val="1"/>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Authority Required - Electronic</w:t>
            </w:r>
          </w:p>
          <w:p w:rsidR="004C1E7E" w:rsidRPr="003C53F6" w:rsidRDefault="004C1E7E" w:rsidP="009676AF">
            <w:pPr>
              <w:rPr>
                <w:rFonts w:ascii="Arial Narrow" w:hAnsi="Arial Narrow"/>
                <w:sz w:val="20"/>
              </w:rPr>
            </w:pPr>
            <w:r w:rsidRPr="003C53F6">
              <w:rPr>
                <w:rFonts w:ascii="Arial Narrow" w:hAnsi="Arial Narrow"/>
                <w:sz w:val="20"/>
              </w:rPr>
              <w:fldChar w:fldCharType="begin">
                <w:ffData>
                  <w:name w:val="Check5"/>
                  <w:enabled/>
                  <w:calcOnExit w:val="0"/>
                  <w:checkBox>
                    <w:sizeAuto/>
                    <w:default w:val="0"/>
                  </w:checkBox>
                </w:ffData>
              </w:fldChar>
            </w:r>
            <w:r w:rsidRPr="003C53F6">
              <w:rPr>
                <w:rFonts w:ascii="Arial Narrow" w:hAnsi="Arial Narrow"/>
                <w:sz w:val="20"/>
              </w:rPr>
              <w:instrText xml:space="preserve"> FORMCHECKBOX </w:instrText>
            </w:r>
            <w:r w:rsidR="006B7196">
              <w:rPr>
                <w:rFonts w:ascii="Arial Narrow" w:hAnsi="Arial Narrow"/>
                <w:sz w:val="20"/>
              </w:rPr>
            </w:r>
            <w:r w:rsidR="006B7196">
              <w:rPr>
                <w:rFonts w:ascii="Arial Narrow" w:hAnsi="Arial Narrow"/>
                <w:sz w:val="20"/>
              </w:rPr>
              <w:fldChar w:fldCharType="separate"/>
            </w:r>
            <w:r w:rsidRPr="003C53F6">
              <w:rPr>
                <w:rFonts w:ascii="Arial Narrow" w:hAnsi="Arial Narrow"/>
                <w:sz w:val="20"/>
              </w:rPr>
              <w:fldChar w:fldCharType="end"/>
            </w:r>
            <w:r w:rsidRPr="003C53F6">
              <w:rPr>
                <w:rFonts w:ascii="Arial Narrow" w:hAnsi="Arial Narrow"/>
                <w:sz w:val="20"/>
              </w:rPr>
              <w:t>Streamlined</w:t>
            </w:r>
          </w:p>
        </w:tc>
      </w:tr>
      <w:tr w:rsidR="004C1E7E" w:rsidRPr="003C53F6" w:rsidTr="009676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Treatment criteria:</w:t>
            </w:r>
          </w:p>
          <w:p w:rsidR="004C1E7E" w:rsidRPr="003C53F6" w:rsidRDefault="004C1E7E" w:rsidP="009676AF">
            <w:pPr>
              <w:rPr>
                <w:rFonts w:ascii="Arial Narrow" w:hAnsi="Arial Narrow"/>
                <w:i/>
                <w:sz w:val="20"/>
              </w:rPr>
            </w:pPr>
          </w:p>
          <w:p w:rsidR="004C1E7E" w:rsidRPr="003C53F6" w:rsidRDefault="004C1E7E" w:rsidP="009676AF">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p>
          <w:p w:rsidR="004C1E7E" w:rsidRPr="003C53F6" w:rsidRDefault="004C1E7E" w:rsidP="009676AF">
            <w:pPr>
              <w:rPr>
                <w:rFonts w:ascii="Arial Narrow" w:hAnsi="Arial Narrow"/>
                <w:sz w:val="20"/>
              </w:rPr>
            </w:pPr>
            <w:r w:rsidRPr="003C53F6">
              <w:rPr>
                <w:rFonts w:ascii="Arial Narrow" w:hAnsi="Arial Narrow"/>
                <w:sz w:val="20"/>
              </w:rPr>
              <w:t>Patient must be involved in an approved pre-exposure prophylaxis service</w:t>
            </w:r>
          </w:p>
          <w:p w:rsidR="004C1E7E" w:rsidRPr="003C53F6" w:rsidRDefault="004C1E7E" w:rsidP="009676AF">
            <w:pPr>
              <w:rPr>
                <w:rFonts w:ascii="Arial Narrow" w:hAnsi="Arial Narrow"/>
                <w:sz w:val="20"/>
              </w:rPr>
            </w:pPr>
          </w:p>
          <w:p w:rsidR="004C1E7E" w:rsidRPr="003C53F6" w:rsidRDefault="004C1E7E" w:rsidP="009676AF">
            <w:pPr>
              <w:rPr>
                <w:rFonts w:ascii="Arial Narrow" w:hAnsi="Arial Narrow"/>
                <w:i/>
                <w:sz w:val="20"/>
              </w:rPr>
            </w:pPr>
            <w:r w:rsidRPr="003C53F6">
              <w:rPr>
                <w:rFonts w:ascii="Arial Narrow" w:hAnsi="Arial Narrow"/>
                <w:i/>
                <w:sz w:val="20"/>
              </w:rPr>
              <w:t>AND</w:t>
            </w:r>
          </w:p>
          <w:p w:rsidR="004C1E7E" w:rsidRPr="003C53F6" w:rsidRDefault="004C1E7E" w:rsidP="009676AF">
            <w:pPr>
              <w:rPr>
                <w:rFonts w:ascii="Arial Narrow" w:hAnsi="Arial Narrow"/>
                <w:sz w:val="20"/>
              </w:rPr>
            </w:pPr>
          </w:p>
          <w:p w:rsidR="004C1E7E" w:rsidRPr="003C53F6" w:rsidRDefault="004C1E7E" w:rsidP="009676AF">
            <w:pPr>
              <w:rPr>
                <w:rFonts w:ascii="Arial Narrow" w:hAnsi="Arial Narrow"/>
                <w:sz w:val="20"/>
              </w:rPr>
            </w:pPr>
            <w:r w:rsidRPr="003C53F6">
              <w:rPr>
                <w:rFonts w:ascii="Arial Narrow" w:hAnsi="Arial Narrow"/>
                <w:sz w:val="20"/>
              </w:rPr>
              <w:t>Must be treated by an anti-retroviral therapy approved prescriber</w:t>
            </w:r>
          </w:p>
          <w:p w:rsidR="004C1E7E" w:rsidRPr="003C53F6" w:rsidRDefault="004C1E7E" w:rsidP="009676AF">
            <w:pPr>
              <w:rPr>
                <w:rFonts w:ascii="Arial Narrow" w:hAnsi="Arial Narrow"/>
                <w:sz w:val="20"/>
              </w:rPr>
            </w:pPr>
          </w:p>
        </w:tc>
      </w:tr>
      <w:tr w:rsidR="004C1E7E" w:rsidRPr="003C53F6" w:rsidTr="009676AF">
        <w:trPr>
          <w:trHeight w:val="360"/>
        </w:trPr>
        <w:tc>
          <w:tcPr>
            <w:tcW w:w="2835" w:type="dxa"/>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b/>
                <w:sz w:val="20"/>
              </w:rPr>
            </w:pPr>
            <w:r w:rsidRPr="003C53F6">
              <w:rPr>
                <w:rFonts w:ascii="Arial Narrow" w:hAnsi="Arial Narrow"/>
                <w:b/>
                <w:sz w:val="20"/>
              </w:rPr>
              <w:t>Clinical criteria:</w:t>
            </w:r>
          </w:p>
          <w:p w:rsidR="004C1E7E" w:rsidRPr="003C53F6" w:rsidRDefault="004C1E7E" w:rsidP="009676AF">
            <w:pPr>
              <w:rPr>
                <w:rFonts w:ascii="Arial Narrow" w:hAnsi="Arial Narrow"/>
                <w:i/>
                <w:sz w:val="20"/>
              </w:rPr>
            </w:pPr>
          </w:p>
          <w:p w:rsidR="004C1E7E" w:rsidRPr="003C53F6" w:rsidRDefault="004C1E7E" w:rsidP="009676AF">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C1E7E" w:rsidRPr="003C53F6" w:rsidRDefault="004C1E7E" w:rsidP="009676AF">
            <w:pPr>
              <w:rPr>
                <w:rFonts w:ascii="Arial Narrow" w:hAnsi="Arial Narrow"/>
                <w:sz w:val="20"/>
              </w:rPr>
            </w:pPr>
          </w:p>
          <w:p w:rsidR="004C1E7E" w:rsidRPr="003C53F6" w:rsidRDefault="004C1E7E" w:rsidP="009676AF">
            <w:pPr>
              <w:rPr>
                <w:rFonts w:ascii="Arial Narrow" w:hAnsi="Arial Narrow"/>
                <w:sz w:val="20"/>
              </w:rPr>
            </w:pPr>
            <w:r w:rsidRPr="003C53F6">
              <w:rPr>
                <w:rFonts w:ascii="Arial Narrow" w:hAnsi="Arial Narrow"/>
                <w:sz w:val="20"/>
              </w:rPr>
              <w:t xml:space="preserve">Patient must be considered at substantial risk of sexually acquired HIV-infection, </w:t>
            </w:r>
            <w:r w:rsidRPr="003C53F6">
              <w:rPr>
                <w:rFonts w:ascii="Arial Narrow" w:hAnsi="Arial Narrow"/>
                <w:i/>
                <w:sz w:val="20"/>
              </w:rPr>
              <w:lastRenderedPageBreak/>
              <w:t>where</w:t>
            </w:r>
            <w:r w:rsidRPr="003C53F6">
              <w:rPr>
                <w:rFonts w:ascii="Arial Narrow" w:hAnsi="Arial Narrow"/>
                <w:sz w:val="20"/>
              </w:rPr>
              <w:t xml:space="preserve"> substantial risk is defined as an annual incidence of HIV infection in the absence of pre-exposure prophylaxis of 3%</w:t>
            </w:r>
          </w:p>
          <w:p w:rsidR="004C1E7E" w:rsidRPr="003C53F6" w:rsidRDefault="004C1E7E" w:rsidP="009676AF">
            <w:pPr>
              <w:rPr>
                <w:rFonts w:ascii="Arial Narrow" w:hAnsi="Arial Narrow"/>
                <w:sz w:val="20"/>
              </w:rPr>
            </w:pPr>
          </w:p>
          <w:p w:rsidR="00A229AE" w:rsidRDefault="004C1E7E" w:rsidP="009676AF">
            <w:pPr>
              <w:rPr>
                <w:rFonts w:ascii="Arial Narrow" w:hAnsi="Arial Narrow"/>
                <w:sz w:val="20"/>
              </w:rPr>
            </w:pPr>
            <w:r w:rsidRPr="003C53F6">
              <w:rPr>
                <w:rFonts w:ascii="Arial Narrow" w:hAnsi="Arial Narrow"/>
                <w:i/>
                <w:sz w:val="20"/>
              </w:rPr>
              <w:t>AND</w:t>
            </w:r>
            <w:r w:rsidRPr="003C53F6">
              <w:rPr>
                <w:rFonts w:ascii="Arial Narrow" w:hAnsi="Arial Narrow"/>
                <w:sz w:val="20"/>
              </w:rPr>
              <w:t xml:space="preserve"> </w:t>
            </w:r>
          </w:p>
          <w:p w:rsidR="00A229AE" w:rsidRDefault="00A229AE" w:rsidP="009676AF">
            <w:pPr>
              <w:rPr>
                <w:rFonts w:ascii="Arial Narrow" w:hAnsi="Arial Narrow"/>
                <w:sz w:val="20"/>
              </w:rPr>
            </w:pPr>
          </w:p>
          <w:p w:rsidR="004C1E7E" w:rsidRPr="003C53F6" w:rsidRDefault="004C1E7E" w:rsidP="009676AF">
            <w:pPr>
              <w:rPr>
                <w:rFonts w:ascii="Arial Narrow" w:hAnsi="Arial Narrow"/>
                <w:strike/>
                <w:sz w:val="20"/>
              </w:rPr>
            </w:pPr>
            <w:r w:rsidRPr="003C53F6">
              <w:rPr>
                <w:rFonts w:ascii="Arial Narrow" w:hAnsi="Arial Narrow"/>
                <w:sz w:val="20"/>
              </w:rPr>
              <w:t>Patient must return a negative HIV-1 test prior to initiating treatment</w:t>
            </w:r>
          </w:p>
          <w:p w:rsidR="004C1E7E" w:rsidRPr="003C53F6" w:rsidRDefault="004C1E7E" w:rsidP="009676AF">
            <w:pPr>
              <w:rPr>
                <w:rFonts w:ascii="Arial Narrow" w:hAnsi="Arial Narrow"/>
                <w:strike/>
                <w:sz w:val="20"/>
              </w:rPr>
            </w:pPr>
          </w:p>
          <w:p w:rsidR="004C1E7E" w:rsidRPr="003C53F6" w:rsidRDefault="004C1E7E" w:rsidP="009676AF">
            <w:pPr>
              <w:rPr>
                <w:rFonts w:ascii="Arial Narrow" w:hAnsi="Arial Narrow"/>
                <w:i/>
                <w:sz w:val="20"/>
              </w:rPr>
            </w:pPr>
            <w:r w:rsidRPr="003C53F6">
              <w:rPr>
                <w:rFonts w:ascii="Arial Narrow" w:hAnsi="Arial Narrow"/>
                <w:i/>
                <w:sz w:val="20"/>
              </w:rPr>
              <w:t>AND</w:t>
            </w:r>
          </w:p>
          <w:p w:rsidR="004C1E7E" w:rsidRPr="003C53F6" w:rsidRDefault="004C1E7E" w:rsidP="009676AF">
            <w:pPr>
              <w:rPr>
                <w:rFonts w:ascii="Arial Narrow" w:hAnsi="Arial Narrow"/>
                <w:i/>
                <w:sz w:val="20"/>
              </w:rPr>
            </w:pPr>
          </w:p>
          <w:p w:rsidR="004C1E7E" w:rsidRPr="003C53F6" w:rsidRDefault="004C1E7E" w:rsidP="009676AF">
            <w:pPr>
              <w:rPr>
                <w:rFonts w:ascii="Arial Narrow" w:hAnsi="Arial Narrow"/>
                <w:sz w:val="20"/>
              </w:rPr>
            </w:pPr>
            <w:r w:rsidRPr="003C53F6">
              <w:rPr>
                <w:rFonts w:ascii="Arial Narrow" w:hAnsi="Arial Narrow"/>
                <w:sz w:val="20"/>
              </w:rPr>
              <w:t>Patient must return a negative HIV-1 test within 7 days of initiating treatment</w:t>
            </w:r>
          </w:p>
          <w:p w:rsidR="004C1E7E" w:rsidRPr="003C53F6" w:rsidRDefault="004C1E7E" w:rsidP="009676AF">
            <w:pPr>
              <w:rPr>
                <w:rFonts w:ascii="Arial Narrow" w:hAnsi="Arial Narrow"/>
                <w:sz w:val="20"/>
              </w:rPr>
            </w:pPr>
          </w:p>
          <w:p w:rsidR="004C1E7E" w:rsidRPr="003C53F6" w:rsidRDefault="004C1E7E" w:rsidP="009676AF">
            <w:pPr>
              <w:rPr>
                <w:rFonts w:ascii="Arial Narrow" w:hAnsi="Arial Narrow"/>
                <w:i/>
                <w:sz w:val="20"/>
              </w:rPr>
            </w:pPr>
            <w:r w:rsidRPr="003C53F6">
              <w:rPr>
                <w:rFonts w:ascii="Arial Narrow" w:hAnsi="Arial Narrow"/>
                <w:i/>
                <w:sz w:val="20"/>
              </w:rPr>
              <w:t>AND</w:t>
            </w:r>
          </w:p>
          <w:p w:rsidR="004C1E7E" w:rsidRPr="003C53F6" w:rsidRDefault="004C1E7E" w:rsidP="009676AF">
            <w:pPr>
              <w:rPr>
                <w:rFonts w:ascii="Arial Narrow" w:hAnsi="Arial Narrow"/>
                <w:sz w:val="20"/>
              </w:rPr>
            </w:pPr>
          </w:p>
          <w:p w:rsidR="004C1E7E" w:rsidRPr="003C53F6" w:rsidRDefault="004C1E7E" w:rsidP="009676AF">
            <w:pPr>
              <w:rPr>
                <w:rFonts w:ascii="Arial Narrow" w:hAnsi="Arial Narrow"/>
                <w:sz w:val="20"/>
              </w:rPr>
            </w:pPr>
            <w:r w:rsidRPr="003C53F6">
              <w:rPr>
                <w:rFonts w:ascii="Arial Narrow" w:hAnsi="Arial Narrow"/>
                <w:sz w:val="20"/>
              </w:rPr>
              <w:t>Patient must continue to return negative HIV-1 tests at 3 monthly intervals throughout treatment</w:t>
            </w:r>
          </w:p>
          <w:p w:rsidR="004C1E7E" w:rsidRPr="003C53F6" w:rsidRDefault="004C1E7E" w:rsidP="009676AF">
            <w:pPr>
              <w:rPr>
                <w:rFonts w:ascii="Arial Narrow" w:hAnsi="Arial Narrow"/>
                <w:sz w:val="20"/>
              </w:rPr>
            </w:pPr>
          </w:p>
        </w:tc>
      </w:tr>
      <w:tr w:rsidR="004C1E7E" w:rsidRPr="003C53F6" w:rsidTr="004C1E7E">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4C1E7E" w:rsidRPr="003C53F6" w:rsidRDefault="004C1E7E" w:rsidP="004C1E7E">
            <w:pPr>
              <w:jc w:val="left"/>
              <w:rPr>
                <w:rFonts w:ascii="Arial Narrow" w:hAnsi="Arial Narrow"/>
                <w:sz w:val="20"/>
              </w:rPr>
            </w:pPr>
            <w:r w:rsidRPr="003C53F6">
              <w:rPr>
                <w:rFonts w:ascii="Arial Narrow" w:hAnsi="Arial Narrow"/>
                <w:b/>
                <w:sz w:val="20"/>
              </w:rPr>
              <w:lastRenderedPageBreak/>
              <w:t>Population criteria:</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4C1E7E" w:rsidRPr="003C53F6" w:rsidRDefault="004C1E7E" w:rsidP="004C1E7E">
            <w:pPr>
              <w:jc w:val="left"/>
              <w:rPr>
                <w:rFonts w:ascii="Arial Narrow" w:hAnsi="Arial Narrow"/>
                <w:sz w:val="20"/>
              </w:rPr>
            </w:pPr>
            <w:r w:rsidRPr="003C53F6">
              <w:rPr>
                <w:rFonts w:ascii="Arial Narrow" w:hAnsi="Arial Narrow"/>
                <w:sz w:val="20"/>
              </w:rPr>
              <w:t>Patient must be 18 years or older</w:t>
            </w:r>
          </w:p>
        </w:tc>
      </w:tr>
    </w:tbl>
    <w:p w:rsidR="006D48AA" w:rsidRPr="003C53F6" w:rsidRDefault="006D48AA" w:rsidP="006D48AA">
      <w:pPr>
        <w:pStyle w:val="ListParagraph"/>
        <w:widowControl/>
        <w:rPr>
          <w:szCs w:val="22"/>
        </w:rPr>
      </w:pPr>
    </w:p>
    <w:p w:rsidR="00EB0120" w:rsidRPr="003C53F6" w:rsidRDefault="00EB0120" w:rsidP="002431F7">
      <w:pPr>
        <w:pStyle w:val="ListParagraph"/>
        <w:widowControl/>
        <w:numPr>
          <w:ilvl w:val="1"/>
          <w:numId w:val="2"/>
        </w:numPr>
        <w:rPr>
          <w:szCs w:val="22"/>
        </w:rPr>
      </w:pPr>
      <w:r w:rsidRPr="003C53F6">
        <w:rPr>
          <w:szCs w:val="22"/>
        </w:rPr>
        <w:t xml:space="preserve">The PBAC noted that the proposed price for </w:t>
      </w:r>
      <w:proofErr w:type="spellStart"/>
      <w:r w:rsidRPr="003C53F6">
        <w:rPr>
          <w:szCs w:val="22"/>
        </w:rPr>
        <w:t>Truvada</w:t>
      </w:r>
      <w:proofErr w:type="spellEnd"/>
      <w:r w:rsidRPr="003C53F6">
        <w:rPr>
          <w:szCs w:val="22"/>
        </w:rPr>
        <w:t xml:space="preserve"> when used in the </w:t>
      </w:r>
      <w:proofErr w:type="spellStart"/>
      <w:r w:rsidRPr="003C53F6">
        <w:rPr>
          <w:szCs w:val="22"/>
        </w:rPr>
        <w:t>PrEP</w:t>
      </w:r>
      <w:proofErr w:type="spellEnd"/>
      <w:r w:rsidRPr="003C53F6">
        <w:rPr>
          <w:szCs w:val="22"/>
        </w:rPr>
        <w:t xml:space="preserve"> setting is </w:t>
      </w:r>
      <w:r w:rsidR="00632ACB">
        <w:rPr>
          <w:noProof/>
          <w:color w:val="000000"/>
          <w:szCs w:val="22"/>
          <w:highlight w:val="black"/>
        </w:rPr>
        <w:t>''''''' ''''''''''''' '''''' '''''''' ''''''''''''''''' ''''''''''''</w:t>
      </w:r>
      <w:r w:rsidRPr="003C53F6">
        <w:rPr>
          <w:szCs w:val="22"/>
        </w:rPr>
        <w:t xml:space="preserve"> for its use as treatment for patients with HIV.</w:t>
      </w:r>
    </w:p>
    <w:p w:rsidR="00EB0120" w:rsidRPr="003C53F6" w:rsidRDefault="00EB0120" w:rsidP="00EB0120">
      <w:pPr>
        <w:pStyle w:val="ListParagraph"/>
        <w:widowControl/>
        <w:rPr>
          <w:szCs w:val="22"/>
        </w:rPr>
      </w:pPr>
    </w:p>
    <w:p w:rsidR="00F158C6" w:rsidRPr="003C53F6" w:rsidRDefault="007F211A" w:rsidP="002431F7">
      <w:pPr>
        <w:pStyle w:val="ListParagraph"/>
        <w:widowControl/>
        <w:numPr>
          <w:ilvl w:val="1"/>
          <w:numId w:val="2"/>
        </w:numPr>
        <w:rPr>
          <w:szCs w:val="22"/>
        </w:rPr>
      </w:pPr>
      <w:r>
        <w:rPr>
          <w:szCs w:val="22"/>
        </w:rPr>
        <w:t xml:space="preserve">The PBAC noted that </w:t>
      </w:r>
      <w:r w:rsidR="000768A0">
        <w:rPr>
          <w:szCs w:val="22"/>
        </w:rPr>
        <w:t>the submission proposed that, i</w:t>
      </w:r>
      <w:r w:rsidR="00F158C6" w:rsidRPr="003C53F6">
        <w:rPr>
          <w:szCs w:val="22"/>
        </w:rPr>
        <w:t xml:space="preserve">n order to receive </w:t>
      </w:r>
      <w:proofErr w:type="spellStart"/>
      <w:r w:rsidR="00F158C6" w:rsidRPr="003C53F6">
        <w:rPr>
          <w:szCs w:val="22"/>
        </w:rPr>
        <w:t>Truvada</w:t>
      </w:r>
      <w:proofErr w:type="spellEnd"/>
      <w:r w:rsidR="00F158C6" w:rsidRPr="003C53F6">
        <w:rPr>
          <w:szCs w:val="22"/>
        </w:rPr>
        <w:t xml:space="preserve"> as </w:t>
      </w:r>
      <w:proofErr w:type="spellStart"/>
      <w:r w:rsidR="00F158C6" w:rsidRPr="003C53F6">
        <w:rPr>
          <w:szCs w:val="22"/>
        </w:rPr>
        <w:t>PrEP</w:t>
      </w:r>
      <w:proofErr w:type="spellEnd"/>
      <w:r w:rsidR="00F158C6" w:rsidRPr="003C53F6">
        <w:rPr>
          <w:szCs w:val="22"/>
        </w:rPr>
        <w:t xml:space="preserve">, subjects must be enrolled in an approved </w:t>
      </w:r>
      <w:proofErr w:type="spellStart"/>
      <w:r w:rsidR="00F158C6" w:rsidRPr="003C53F6">
        <w:rPr>
          <w:szCs w:val="22"/>
        </w:rPr>
        <w:t>PrEP</w:t>
      </w:r>
      <w:proofErr w:type="spellEnd"/>
      <w:r w:rsidR="00F158C6" w:rsidRPr="003C53F6">
        <w:rPr>
          <w:szCs w:val="22"/>
        </w:rPr>
        <w:t xml:space="preserve"> service and treated by an ART approved prescriber. </w:t>
      </w:r>
      <w:r w:rsidR="00F158C6" w:rsidRPr="003C53F6">
        <w:t xml:space="preserve">The submission did not clarify how the “approved </w:t>
      </w:r>
      <w:proofErr w:type="spellStart"/>
      <w:r w:rsidR="00F158C6" w:rsidRPr="003C53F6">
        <w:t>PrEP</w:t>
      </w:r>
      <w:proofErr w:type="spellEnd"/>
      <w:r w:rsidR="00F158C6" w:rsidRPr="003C53F6">
        <w:t xml:space="preserve"> services” will be financed and organised. </w:t>
      </w:r>
    </w:p>
    <w:p w:rsidR="00F158C6" w:rsidRPr="003C53F6" w:rsidRDefault="00F158C6" w:rsidP="00F158C6">
      <w:pPr>
        <w:pStyle w:val="ListParagraph"/>
        <w:widowControl/>
        <w:rPr>
          <w:szCs w:val="22"/>
        </w:rPr>
      </w:pPr>
    </w:p>
    <w:p w:rsidR="00F158C6" w:rsidRPr="003C53F6" w:rsidRDefault="00F158C6" w:rsidP="00A1431D">
      <w:pPr>
        <w:pStyle w:val="ListParagraph"/>
        <w:numPr>
          <w:ilvl w:val="1"/>
          <w:numId w:val="2"/>
        </w:numPr>
        <w:rPr>
          <w:szCs w:val="22"/>
        </w:rPr>
      </w:pPr>
      <w:r w:rsidRPr="003C53F6">
        <w:rPr>
          <w:szCs w:val="22"/>
        </w:rPr>
        <w:t xml:space="preserve">In order to receive </w:t>
      </w:r>
      <w:proofErr w:type="spellStart"/>
      <w:r w:rsidRPr="003C53F6">
        <w:rPr>
          <w:szCs w:val="22"/>
        </w:rPr>
        <w:t>Truvada</w:t>
      </w:r>
      <w:proofErr w:type="spellEnd"/>
      <w:r w:rsidRPr="003C53F6">
        <w:rPr>
          <w:szCs w:val="22"/>
        </w:rPr>
        <w:t xml:space="preserve"> as </w:t>
      </w:r>
      <w:proofErr w:type="spellStart"/>
      <w:r w:rsidRPr="003C53F6">
        <w:rPr>
          <w:szCs w:val="22"/>
        </w:rPr>
        <w:t>PrEP</w:t>
      </w:r>
      <w:proofErr w:type="spellEnd"/>
      <w:r w:rsidRPr="003C53F6">
        <w:rPr>
          <w:szCs w:val="22"/>
        </w:rPr>
        <w:t xml:space="preserve">, </w:t>
      </w:r>
      <w:r w:rsidR="006D48AA" w:rsidRPr="003C53F6">
        <w:rPr>
          <w:szCs w:val="22"/>
        </w:rPr>
        <w:t xml:space="preserve">the submission proposed that </w:t>
      </w:r>
      <w:r w:rsidRPr="003C53F6">
        <w:rPr>
          <w:szCs w:val="22"/>
        </w:rPr>
        <w:t xml:space="preserve">subjects must be considered at substantial risk of sexually acquired HIV-infection. Substantial risk was defined </w:t>
      </w:r>
      <w:r w:rsidR="009615F0" w:rsidRPr="003C53F6">
        <w:rPr>
          <w:szCs w:val="22"/>
        </w:rPr>
        <w:t xml:space="preserve">in the submission </w:t>
      </w:r>
      <w:r w:rsidRPr="003C53F6">
        <w:rPr>
          <w:szCs w:val="22"/>
        </w:rPr>
        <w:t xml:space="preserve">as an annual incidence of HIV infection </w:t>
      </w:r>
      <w:r w:rsidR="004C1E7E" w:rsidRPr="003C53F6">
        <w:rPr>
          <w:szCs w:val="22"/>
        </w:rPr>
        <w:t>(</w:t>
      </w:r>
      <w:r w:rsidRPr="003C53F6">
        <w:rPr>
          <w:szCs w:val="22"/>
        </w:rPr>
        <w:t xml:space="preserve">in the absence of </w:t>
      </w:r>
      <w:proofErr w:type="spellStart"/>
      <w:r w:rsidRPr="003C53F6">
        <w:rPr>
          <w:szCs w:val="22"/>
        </w:rPr>
        <w:t>PrEP</w:t>
      </w:r>
      <w:proofErr w:type="spellEnd"/>
      <w:r w:rsidR="004C1E7E" w:rsidRPr="003C53F6">
        <w:rPr>
          <w:szCs w:val="22"/>
        </w:rPr>
        <w:t>)</w:t>
      </w:r>
      <w:r w:rsidRPr="003C53F6">
        <w:rPr>
          <w:szCs w:val="22"/>
        </w:rPr>
        <w:t xml:space="preserve"> of 3%. The submission proposed the use of Australian data to de</w:t>
      </w:r>
      <w:r w:rsidR="004D7257" w:rsidRPr="003C53F6">
        <w:rPr>
          <w:szCs w:val="22"/>
        </w:rPr>
        <w:t>velop</w:t>
      </w:r>
      <w:r w:rsidRPr="003C53F6">
        <w:rPr>
          <w:szCs w:val="22"/>
        </w:rPr>
        <w:t xml:space="preserve"> a simple risk calculator for use in a clinical setting to establish whether an individual is at 3% or greater annual risk of acquiring HIV</w:t>
      </w:r>
      <w:r w:rsidR="004D7257" w:rsidRPr="003C53F6">
        <w:rPr>
          <w:szCs w:val="22"/>
        </w:rPr>
        <w:t xml:space="preserve"> and therefore eligible for the proposed PBS listing</w:t>
      </w:r>
      <w:r w:rsidRPr="003C53F6">
        <w:rPr>
          <w:szCs w:val="22"/>
        </w:rPr>
        <w:t xml:space="preserve">. </w:t>
      </w:r>
      <w:r w:rsidR="004D7257" w:rsidRPr="003C53F6">
        <w:rPr>
          <w:szCs w:val="22"/>
        </w:rPr>
        <w:t>S</w:t>
      </w:r>
      <w:r w:rsidRPr="003C53F6">
        <w:rPr>
          <w:szCs w:val="22"/>
        </w:rPr>
        <w:t>uch a risk calculator does not yet exist for the Australian populatio</w:t>
      </w:r>
      <w:r w:rsidR="004D7257" w:rsidRPr="003C53F6">
        <w:rPr>
          <w:szCs w:val="22"/>
        </w:rPr>
        <w:t xml:space="preserve">n and </w:t>
      </w:r>
      <w:r w:rsidRPr="003C53F6">
        <w:rPr>
          <w:szCs w:val="22"/>
        </w:rPr>
        <w:t>the criteria for defining risk will</w:t>
      </w:r>
      <w:r w:rsidR="004D7257" w:rsidRPr="003C53F6">
        <w:rPr>
          <w:szCs w:val="22"/>
        </w:rPr>
        <w:t xml:space="preserve"> primar</w:t>
      </w:r>
      <w:r w:rsidR="008836EB" w:rsidRPr="003C53F6">
        <w:rPr>
          <w:szCs w:val="22"/>
        </w:rPr>
        <w:t>i</w:t>
      </w:r>
      <w:r w:rsidR="004D7257" w:rsidRPr="003C53F6">
        <w:rPr>
          <w:szCs w:val="22"/>
        </w:rPr>
        <w:t>ly</w:t>
      </w:r>
      <w:r w:rsidRPr="003C53F6">
        <w:rPr>
          <w:szCs w:val="22"/>
        </w:rPr>
        <w:t xml:space="preserve"> be based on </w:t>
      </w:r>
      <w:r w:rsidR="00D86A65" w:rsidRPr="003C53F6">
        <w:rPr>
          <w:szCs w:val="22"/>
        </w:rPr>
        <w:t>self-</w:t>
      </w:r>
      <w:r w:rsidRPr="003C53F6">
        <w:rPr>
          <w:szCs w:val="22"/>
        </w:rPr>
        <w:t>reported behaviour.</w:t>
      </w:r>
      <w:r w:rsidR="00E31E70" w:rsidRPr="003C53F6">
        <w:rPr>
          <w:szCs w:val="22"/>
        </w:rPr>
        <w:t xml:space="preserve"> </w:t>
      </w:r>
      <w:r w:rsidR="00A1431D" w:rsidRPr="003C53F6">
        <w:rPr>
          <w:szCs w:val="22"/>
        </w:rPr>
        <w:t xml:space="preserve">The ESC considered restricting use to the population with substantial risk was not well justified, especially given the patient population is difficult to define. </w:t>
      </w:r>
    </w:p>
    <w:p w:rsidR="009615F0" w:rsidRPr="003C53F6" w:rsidRDefault="009615F0" w:rsidP="009615F0">
      <w:pPr>
        <w:pStyle w:val="ListParagraph"/>
        <w:rPr>
          <w:szCs w:val="22"/>
        </w:rPr>
      </w:pPr>
    </w:p>
    <w:p w:rsidR="009615F0" w:rsidRPr="003C53F6" w:rsidRDefault="009615F0" w:rsidP="002431F7">
      <w:pPr>
        <w:pStyle w:val="ListParagraph"/>
        <w:widowControl/>
        <w:numPr>
          <w:ilvl w:val="1"/>
          <w:numId w:val="2"/>
        </w:numPr>
      </w:pPr>
      <w:r w:rsidRPr="003C53F6">
        <w:t xml:space="preserve">The Pre-Sub-Committee Response (PSCR, p1) noted that risk-based eligibility assessment was </w:t>
      </w:r>
      <w:r w:rsidRPr="003C53F6">
        <w:rPr>
          <w:szCs w:val="22"/>
        </w:rPr>
        <w:t>currently</w:t>
      </w:r>
      <w:r w:rsidRPr="003C53F6">
        <w:t xml:space="preserve"> in place in the </w:t>
      </w:r>
      <w:proofErr w:type="spellStart"/>
      <w:r w:rsidRPr="003C53F6">
        <w:t>PrEP</w:t>
      </w:r>
      <w:proofErr w:type="spellEnd"/>
      <w:r w:rsidRPr="003C53F6">
        <w:t xml:space="preserve"> demonstration projects operating across Australia. The PSCR suggested that the frameworks currently in use could be adapted to produce a risk calculator similar to the sample identified in the submission. The ESC agreed that the methods being used to determine eligibi</w:t>
      </w:r>
      <w:r w:rsidR="00E42641" w:rsidRPr="003C53F6">
        <w:t>li</w:t>
      </w:r>
      <w:r w:rsidRPr="003C53F6">
        <w:t xml:space="preserve">ty for the demonstration projects might provide an appropriate starting point for the development of a risk calculator. </w:t>
      </w:r>
    </w:p>
    <w:p w:rsidR="006D48AA" w:rsidRPr="003C53F6" w:rsidRDefault="006D48AA" w:rsidP="006D48AA"/>
    <w:p w:rsidR="006D48AA" w:rsidRPr="003C53F6" w:rsidRDefault="006D48AA" w:rsidP="006D48AA">
      <w:pPr>
        <w:pStyle w:val="ListParagraph"/>
        <w:widowControl/>
        <w:numPr>
          <w:ilvl w:val="1"/>
          <w:numId w:val="2"/>
        </w:numPr>
        <w:rPr>
          <w:szCs w:val="22"/>
        </w:rPr>
      </w:pPr>
      <w:r w:rsidRPr="003C53F6">
        <w:rPr>
          <w:szCs w:val="22"/>
        </w:rPr>
        <w:t>The PBAC noted that the submission had tried to limit the population that would be eligible for treatment to those at highest risk in order to improve the cost effectiveness</w:t>
      </w:r>
      <w:proofErr w:type="gramStart"/>
      <w:r w:rsidRPr="003C53F6">
        <w:rPr>
          <w:szCs w:val="22"/>
        </w:rPr>
        <w:t xml:space="preserve">.  </w:t>
      </w:r>
      <w:proofErr w:type="gramEnd"/>
      <w:r w:rsidR="00261A2A" w:rsidRPr="003C53F6">
        <w:rPr>
          <w:szCs w:val="22"/>
        </w:rPr>
        <w:t>However, the PBAC considered that the cost-effectiveness estimates were unreliable and that attempts to limit the eligible population</w:t>
      </w:r>
      <w:r w:rsidR="000768A0">
        <w:rPr>
          <w:szCs w:val="22"/>
        </w:rPr>
        <w:t xml:space="preserve"> in the ways proposed by the submission</w:t>
      </w:r>
      <w:r w:rsidR="00261A2A" w:rsidRPr="003C53F6">
        <w:rPr>
          <w:szCs w:val="22"/>
        </w:rPr>
        <w:t xml:space="preserve"> would not be practical or appropriate.</w:t>
      </w:r>
      <w:r w:rsidR="00AA5474">
        <w:rPr>
          <w:szCs w:val="22"/>
        </w:rPr>
        <w:t xml:space="preserve"> The </w:t>
      </w:r>
      <w:r w:rsidR="006F355F">
        <w:rPr>
          <w:szCs w:val="22"/>
        </w:rPr>
        <w:t xml:space="preserve">PBAC noted that each individual’s risk would need to be determined based on their self-reported </w:t>
      </w:r>
      <w:r w:rsidR="004A41A6">
        <w:rPr>
          <w:szCs w:val="22"/>
        </w:rPr>
        <w:t>potential</w:t>
      </w:r>
      <w:r w:rsidR="006F355F">
        <w:rPr>
          <w:szCs w:val="22"/>
        </w:rPr>
        <w:t xml:space="preserve"> future behaviour, and that the proposed 3% annual incidence was arbitrary. It is </w:t>
      </w:r>
      <w:r w:rsidR="006F355F">
        <w:rPr>
          <w:szCs w:val="22"/>
        </w:rPr>
        <w:lastRenderedPageBreak/>
        <w:t>unlikely that a risk calculator would be able to accurately estimate future risk, and the proposed cut-off was not justified.</w:t>
      </w:r>
    </w:p>
    <w:p w:rsidR="00E42641" w:rsidRPr="003C53F6" w:rsidRDefault="00E42641" w:rsidP="00F158C6">
      <w:pPr>
        <w:pStyle w:val="ListParagraph"/>
        <w:widowControl/>
        <w:rPr>
          <w:szCs w:val="22"/>
        </w:rPr>
      </w:pPr>
    </w:p>
    <w:p w:rsidR="00F158C6" w:rsidRPr="003C53F6" w:rsidRDefault="00FC15B7" w:rsidP="002431F7">
      <w:pPr>
        <w:pStyle w:val="ListParagraph"/>
        <w:widowControl/>
        <w:numPr>
          <w:ilvl w:val="1"/>
          <w:numId w:val="2"/>
        </w:numPr>
        <w:rPr>
          <w:szCs w:val="22"/>
        </w:rPr>
      </w:pPr>
      <w:r w:rsidRPr="003C53F6">
        <w:rPr>
          <w:szCs w:val="22"/>
        </w:rPr>
        <w:t>The submission provided a cost-utility analysis comparing “</w:t>
      </w:r>
      <w:proofErr w:type="spellStart"/>
      <w:r w:rsidRPr="003C53F6">
        <w:rPr>
          <w:szCs w:val="22"/>
        </w:rPr>
        <w:t>Truvada</w:t>
      </w:r>
      <w:proofErr w:type="spellEnd"/>
      <w:r w:rsidRPr="003C53F6">
        <w:rPr>
          <w:szCs w:val="22"/>
        </w:rPr>
        <w:t xml:space="preserve"> + standard of care” with “standard of care”. </w:t>
      </w:r>
    </w:p>
    <w:p w:rsidR="004E43B2" w:rsidRPr="003C53F6" w:rsidRDefault="004E43B2" w:rsidP="004B1CB4"/>
    <w:p w:rsidR="00DC7410" w:rsidRPr="003C53F6" w:rsidRDefault="00DC7410" w:rsidP="00166DBE">
      <w:pPr>
        <w:rPr>
          <w:bCs/>
          <w:szCs w:val="22"/>
        </w:rPr>
      </w:pPr>
      <w:r w:rsidRPr="003C53F6">
        <w:rPr>
          <w:bCs/>
          <w:i/>
          <w:szCs w:val="22"/>
        </w:rPr>
        <w:t>For more detail on PBAC’s view, see section 7 “PBAC outcome”</w:t>
      </w:r>
    </w:p>
    <w:p w:rsidR="00DC7410" w:rsidRPr="003C53F6" w:rsidRDefault="00DC7410" w:rsidP="004B1CB4"/>
    <w:p w:rsidR="00DC7410" w:rsidRPr="003C53F6" w:rsidRDefault="00DC7410" w:rsidP="004B1CB4"/>
    <w:p w:rsidR="00B50DB8" w:rsidRPr="003C53F6" w:rsidRDefault="00B50DB8" w:rsidP="00924E0A">
      <w:pPr>
        <w:pStyle w:val="Heading2"/>
      </w:pPr>
      <w:bookmarkStart w:id="3" w:name="_Toc451353156"/>
      <w:r w:rsidRPr="003C53F6">
        <w:t>Background</w:t>
      </w:r>
      <w:bookmarkEnd w:id="3"/>
    </w:p>
    <w:p w:rsidR="00B60939" w:rsidRPr="003C53F6" w:rsidRDefault="00B60939" w:rsidP="00B60939">
      <w:pPr>
        <w:rPr>
          <w:szCs w:val="22"/>
        </w:rPr>
      </w:pPr>
    </w:p>
    <w:p w:rsidR="00A12C17" w:rsidRPr="003C53F6" w:rsidRDefault="00765A6E" w:rsidP="00375590">
      <w:pPr>
        <w:pStyle w:val="ListParagraph"/>
        <w:widowControl/>
        <w:numPr>
          <w:ilvl w:val="1"/>
          <w:numId w:val="2"/>
        </w:numPr>
      </w:pPr>
      <w:proofErr w:type="spellStart"/>
      <w:r w:rsidRPr="003C53F6">
        <w:rPr>
          <w:szCs w:val="22"/>
        </w:rPr>
        <w:t>Truvada</w:t>
      </w:r>
      <w:proofErr w:type="spellEnd"/>
      <w:r w:rsidRPr="003C53F6">
        <w:rPr>
          <w:szCs w:val="22"/>
        </w:rPr>
        <w:t xml:space="preserve"> was TGA registered for </w:t>
      </w:r>
      <w:proofErr w:type="spellStart"/>
      <w:r w:rsidRPr="003C53F6">
        <w:rPr>
          <w:szCs w:val="22"/>
        </w:rPr>
        <w:t>PrEP</w:t>
      </w:r>
      <w:proofErr w:type="spellEnd"/>
      <w:r w:rsidR="007805B4" w:rsidRPr="003C53F6">
        <w:rPr>
          <w:szCs w:val="22"/>
        </w:rPr>
        <w:t xml:space="preserve"> on 6 May 2016. </w:t>
      </w:r>
    </w:p>
    <w:p w:rsidR="009615F0" w:rsidRPr="003C53F6" w:rsidRDefault="009615F0" w:rsidP="00375590">
      <w:pPr>
        <w:pStyle w:val="ListParagraph"/>
        <w:widowControl/>
        <w:rPr>
          <w:szCs w:val="22"/>
        </w:rPr>
      </w:pPr>
      <w:r w:rsidRPr="003C53F6">
        <w:rPr>
          <w:szCs w:val="22"/>
        </w:rPr>
        <w:t>The registered indication is: Pre-Exposure Prophylaxis: in combination with safer sex practices for pre-exposure prophylaxis (</w:t>
      </w:r>
      <w:proofErr w:type="spellStart"/>
      <w:r w:rsidRPr="003C53F6">
        <w:rPr>
          <w:szCs w:val="22"/>
        </w:rPr>
        <w:t>PrEP</w:t>
      </w:r>
      <w:proofErr w:type="spellEnd"/>
      <w:r w:rsidRPr="003C53F6">
        <w:rPr>
          <w:szCs w:val="22"/>
        </w:rPr>
        <w:t>) to reduce the risk of sexually acquired HIV-1 in adults at high risk.</w:t>
      </w:r>
    </w:p>
    <w:p w:rsidR="00375590" w:rsidRPr="003C53F6" w:rsidRDefault="00375590" w:rsidP="00375590">
      <w:pPr>
        <w:pStyle w:val="ListParagraph"/>
        <w:widowControl/>
        <w:rPr>
          <w:szCs w:val="22"/>
        </w:rPr>
      </w:pPr>
    </w:p>
    <w:p w:rsidR="00375590" w:rsidRPr="003C53F6" w:rsidRDefault="00375590" w:rsidP="00375590">
      <w:pPr>
        <w:pStyle w:val="ListParagraph"/>
        <w:widowControl/>
      </w:pPr>
      <w:proofErr w:type="spellStart"/>
      <w:r w:rsidRPr="003C53F6">
        <w:rPr>
          <w:szCs w:val="22"/>
        </w:rPr>
        <w:t>Truvada</w:t>
      </w:r>
      <w:proofErr w:type="spellEnd"/>
      <w:r w:rsidRPr="003C53F6">
        <w:rPr>
          <w:szCs w:val="22"/>
        </w:rPr>
        <w:t xml:space="preserve"> was TGA registered on 22 September 2005 for the treatment of HIV infected adults, in combination with other antiretroviral agents.</w:t>
      </w:r>
    </w:p>
    <w:p w:rsidR="00B60939" w:rsidRPr="003C53F6" w:rsidRDefault="00B60939" w:rsidP="00B60939">
      <w:pPr>
        <w:pStyle w:val="ListParagraph"/>
        <w:rPr>
          <w:szCs w:val="22"/>
        </w:rPr>
      </w:pPr>
    </w:p>
    <w:p w:rsidR="00A12C17" w:rsidRPr="003C53F6" w:rsidRDefault="00A12C17" w:rsidP="002431F7">
      <w:pPr>
        <w:pStyle w:val="ListParagraph"/>
        <w:widowControl/>
        <w:numPr>
          <w:ilvl w:val="1"/>
          <w:numId w:val="2"/>
        </w:numPr>
        <w:rPr>
          <w:szCs w:val="22"/>
        </w:rPr>
      </w:pPr>
      <w:proofErr w:type="spellStart"/>
      <w:r w:rsidRPr="003C53F6">
        <w:rPr>
          <w:szCs w:val="22"/>
        </w:rPr>
        <w:t>Truvada</w:t>
      </w:r>
      <w:proofErr w:type="spellEnd"/>
      <w:r w:rsidRPr="003C53F6">
        <w:rPr>
          <w:szCs w:val="22"/>
        </w:rPr>
        <w:t xml:space="preserve"> is currently available on the PBS for the treatment of HIV.</w:t>
      </w:r>
    </w:p>
    <w:p w:rsidR="00DC7410" w:rsidRPr="003C53F6" w:rsidRDefault="00DC7410" w:rsidP="00DC7410">
      <w:pPr>
        <w:pStyle w:val="PBACHeading1"/>
        <w:numPr>
          <w:ilvl w:val="0"/>
          <w:numId w:val="0"/>
        </w:numPr>
      </w:pPr>
    </w:p>
    <w:p w:rsidR="00420382" w:rsidRPr="003C53F6" w:rsidRDefault="00420382" w:rsidP="00420382">
      <w:pPr>
        <w:pStyle w:val="ListParagraph"/>
        <w:widowControl/>
        <w:rPr>
          <w:szCs w:val="22"/>
        </w:rPr>
      </w:pPr>
    </w:p>
    <w:p w:rsidR="00B50DB8" w:rsidRPr="003C53F6" w:rsidRDefault="00B50DB8" w:rsidP="00924E0A">
      <w:pPr>
        <w:pStyle w:val="Heading2"/>
      </w:pPr>
      <w:bookmarkStart w:id="4" w:name="_Toc451353157"/>
      <w:r w:rsidRPr="003C53F6">
        <w:t>Clinical place for the proposed therapy</w:t>
      </w:r>
      <w:bookmarkEnd w:id="4"/>
    </w:p>
    <w:p w:rsidR="00B60939" w:rsidRPr="003C53F6" w:rsidRDefault="00B60939" w:rsidP="00B60939">
      <w:pPr>
        <w:rPr>
          <w:szCs w:val="22"/>
        </w:rPr>
      </w:pPr>
    </w:p>
    <w:p w:rsidR="0021221F" w:rsidRPr="003C53F6" w:rsidRDefault="0021221F" w:rsidP="002431F7">
      <w:pPr>
        <w:pStyle w:val="ListParagraph"/>
        <w:widowControl/>
        <w:numPr>
          <w:ilvl w:val="1"/>
          <w:numId w:val="2"/>
        </w:numPr>
        <w:rPr>
          <w:szCs w:val="22"/>
        </w:rPr>
      </w:pPr>
      <w:r w:rsidRPr="003C53F6">
        <w:t xml:space="preserve">The submission proposed PBS listing for </w:t>
      </w:r>
      <w:proofErr w:type="spellStart"/>
      <w:r w:rsidRPr="003C53F6">
        <w:t>Truvada</w:t>
      </w:r>
      <w:proofErr w:type="spellEnd"/>
      <w:r w:rsidRPr="003C53F6">
        <w:t xml:space="preserve"> to reduce the risk of sexually acquired HIV infection in adults at substantial risk of HIV infection. Substantial risk was defined as an annual incidence of HIV infection in the absence of pre-exposure prophylaxis of 3%. </w:t>
      </w:r>
    </w:p>
    <w:p w:rsidR="00A1431D" w:rsidRPr="003C53F6" w:rsidRDefault="00A1431D" w:rsidP="00A1431D">
      <w:pPr>
        <w:pStyle w:val="ListParagraph"/>
        <w:widowControl/>
        <w:rPr>
          <w:szCs w:val="22"/>
        </w:rPr>
      </w:pPr>
    </w:p>
    <w:p w:rsidR="00A1431D" w:rsidRPr="003C53F6" w:rsidRDefault="00A1431D" w:rsidP="00A1431D">
      <w:pPr>
        <w:pStyle w:val="ListParagraph"/>
        <w:widowControl/>
        <w:numPr>
          <w:ilvl w:val="1"/>
          <w:numId w:val="2"/>
        </w:numPr>
        <w:rPr>
          <w:szCs w:val="22"/>
        </w:rPr>
      </w:pPr>
      <w:r w:rsidRPr="003C53F6">
        <w:rPr>
          <w:szCs w:val="22"/>
        </w:rPr>
        <w:t xml:space="preserve">The proposed place of </w:t>
      </w:r>
      <w:proofErr w:type="spellStart"/>
      <w:r w:rsidRPr="003C53F6">
        <w:rPr>
          <w:szCs w:val="22"/>
        </w:rPr>
        <w:t>Truvada</w:t>
      </w:r>
      <w:proofErr w:type="spellEnd"/>
      <w:r w:rsidRPr="003C53F6">
        <w:rPr>
          <w:szCs w:val="22"/>
        </w:rPr>
        <w:t xml:space="preserve"> is in the reduction of risk of HIV infection.</w:t>
      </w:r>
    </w:p>
    <w:p w:rsidR="00EB0120" w:rsidRPr="003C53F6" w:rsidRDefault="00EB0120" w:rsidP="00EB0120">
      <w:pPr>
        <w:pStyle w:val="ListParagraph"/>
        <w:widowControl/>
        <w:rPr>
          <w:szCs w:val="22"/>
        </w:rPr>
      </w:pPr>
    </w:p>
    <w:p w:rsidR="0021221F" w:rsidRPr="003C53F6" w:rsidRDefault="0021221F" w:rsidP="0021221F">
      <w:pPr>
        <w:pStyle w:val="ListParagraph"/>
        <w:widowControl/>
        <w:rPr>
          <w:szCs w:val="22"/>
        </w:rPr>
      </w:pPr>
    </w:p>
    <w:p w:rsidR="00DC7410" w:rsidRPr="003C53F6" w:rsidRDefault="00DC7410" w:rsidP="00DC7410">
      <w:pPr>
        <w:rPr>
          <w:bCs/>
          <w:szCs w:val="22"/>
        </w:rPr>
      </w:pPr>
      <w:r w:rsidRPr="003C53F6">
        <w:rPr>
          <w:bCs/>
          <w:i/>
          <w:szCs w:val="22"/>
        </w:rPr>
        <w:t>For more detail on PBAC’s view, see section 7 “PBAC outcome”</w:t>
      </w:r>
    </w:p>
    <w:p w:rsidR="00DC7410" w:rsidRPr="003C53F6" w:rsidRDefault="00DC7410" w:rsidP="002C2775">
      <w:pPr>
        <w:widowControl/>
        <w:rPr>
          <w:szCs w:val="22"/>
        </w:rPr>
      </w:pPr>
    </w:p>
    <w:p w:rsidR="00DC7410" w:rsidRPr="003C53F6" w:rsidRDefault="00DC7410" w:rsidP="002C2775">
      <w:pPr>
        <w:widowControl/>
        <w:rPr>
          <w:szCs w:val="22"/>
        </w:rPr>
      </w:pPr>
    </w:p>
    <w:p w:rsidR="00B50DB8" w:rsidRPr="003C53F6" w:rsidRDefault="00B50DB8" w:rsidP="00924E0A">
      <w:pPr>
        <w:pStyle w:val="Heading2"/>
      </w:pPr>
      <w:r w:rsidRPr="003C53F6">
        <w:t>Comparator</w:t>
      </w:r>
    </w:p>
    <w:p w:rsidR="00B60939" w:rsidRPr="003C53F6" w:rsidRDefault="00B60939" w:rsidP="004B1CB4"/>
    <w:p w:rsidR="002D0AA3" w:rsidRPr="00C3651F" w:rsidRDefault="00D64432" w:rsidP="00A11D0A">
      <w:pPr>
        <w:pStyle w:val="ListParagraph"/>
        <w:widowControl/>
        <w:numPr>
          <w:ilvl w:val="1"/>
          <w:numId w:val="2"/>
        </w:numPr>
      </w:pPr>
      <w:r w:rsidRPr="00417E0E">
        <w:t>The submission nominated “standard of care” (SOC) as the main comparator.</w:t>
      </w:r>
      <w:r w:rsidR="00C3651F" w:rsidRPr="00A11D0A">
        <w:t xml:space="preserve"> </w:t>
      </w:r>
      <w:r w:rsidR="00A11D0A" w:rsidRPr="00A11D0A">
        <w:t>SOC</w:t>
      </w:r>
      <w:r w:rsidR="0005402E" w:rsidRPr="00C3651F">
        <w:t xml:space="preserve"> for HIV prevention in Australia comprises public health initiatives aimed at encouraging safer sex practices and regular HIV testing in high risk groups (primarily, but not limited to men </w:t>
      </w:r>
      <w:r w:rsidR="0088149B">
        <w:t>who</w:t>
      </w:r>
      <w:r w:rsidR="0088149B" w:rsidRPr="00C3651F">
        <w:t xml:space="preserve"> </w:t>
      </w:r>
      <w:r w:rsidR="0005402E" w:rsidRPr="00C3651F">
        <w:t xml:space="preserve">have sex with men (MSM)). </w:t>
      </w:r>
    </w:p>
    <w:p w:rsidR="002D0AA3" w:rsidRPr="00C3651F" w:rsidRDefault="002D0AA3" w:rsidP="00C3651F">
      <w:pPr>
        <w:pStyle w:val="ListParagraph"/>
        <w:widowControl/>
      </w:pPr>
    </w:p>
    <w:p w:rsidR="002D0AA3" w:rsidRDefault="00886719" w:rsidP="002D0AA3">
      <w:pPr>
        <w:pStyle w:val="ListParagraph"/>
        <w:widowControl/>
        <w:numPr>
          <w:ilvl w:val="1"/>
          <w:numId w:val="2"/>
        </w:numPr>
      </w:pPr>
      <w:r w:rsidRPr="00417E0E">
        <w:t>Th</w:t>
      </w:r>
      <w:r w:rsidR="002D0AA3">
        <w:t>e PBAC agreed this</w:t>
      </w:r>
      <w:r w:rsidRPr="00417E0E">
        <w:t xml:space="preserve"> wa</w:t>
      </w:r>
      <w:r w:rsidR="00D64432" w:rsidRPr="00417E0E">
        <w:t>s</w:t>
      </w:r>
      <w:r w:rsidR="00F067A2" w:rsidRPr="00417E0E">
        <w:t xml:space="preserve"> the appropriate comparator</w:t>
      </w:r>
      <w:r w:rsidR="002D0AA3">
        <w:t>, noting however that as</w:t>
      </w:r>
      <w:r w:rsidR="002D0AA3" w:rsidRPr="002D0AA3">
        <w:t xml:space="preserve"> </w:t>
      </w:r>
      <w:proofErr w:type="spellStart"/>
      <w:r w:rsidR="002D0AA3" w:rsidRPr="002D0AA3">
        <w:t>Truvada</w:t>
      </w:r>
      <w:proofErr w:type="spellEnd"/>
      <w:r w:rsidR="002D0AA3" w:rsidRPr="002D0AA3">
        <w:t xml:space="preserve"> is intended to be used in combination with, and not as a substitute for other methods to reduce the risk of HIV transmission</w:t>
      </w:r>
      <w:r w:rsidR="002D0AA3">
        <w:t>, t</w:t>
      </w:r>
      <w:r w:rsidR="002D0AA3" w:rsidRPr="002D0AA3">
        <w:t xml:space="preserve">he </w:t>
      </w:r>
      <w:r w:rsidR="002D0AA3">
        <w:t xml:space="preserve">appropriate </w:t>
      </w:r>
      <w:r w:rsidR="002D0AA3" w:rsidRPr="002D0AA3">
        <w:t>comparison is therefore: “</w:t>
      </w:r>
      <w:proofErr w:type="spellStart"/>
      <w:r w:rsidR="002D0AA3" w:rsidRPr="002D0AA3">
        <w:t>Truvada</w:t>
      </w:r>
      <w:proofErr w:type="spellEnd"/>
      <w:r w:rsidR="002D0AA3" w:rsidRPr="002D0AA3">
        <w:t xml:space="preserve"> + SOC” versus “SOC”.</w:t>
      </w:r>
      <w:r w:rsidR="00F63FB5" w:rsidRPr="00417E0E">
        <w:t xml:space="preserve">, </w:t>
      </w:r>
    </w:p>
    <w:p w:rsidR="002D0AA3" w:rsidRDefault="002D0AA3" w:rsidP="002D0AA3">
      <w:pPr>
        <w:pStyle w:val="ListParagraph"/>
        <w:widowControl/>
      </w:pPr>
    </w:p>
    <w:p w:rsidR="00F63FB5" w:rsidRPr="00417E0E" w:rsidRDefault="002D0AA3" w:rsidP="002D0AA3">
      <w:pPr>
        <w:pStyle w:val="ListParagraph"/>
        <w:widowControl/>
        <w:numPr>
          <w:ilvl w:val="1"/>
          <w:numId w:val="2"/>
        </w:numPr>
      </w:pPr>
      <w:r>
        <w:t>T</w:t>
      </w:r>
      <w:r w:rsidR="00F63FB5" w:rsidRPr="00417E0E">
        <w:t xml:space="preserve">he PBAC </w:t>
      </w:r>
      <w:r>
        <w:t>noted</w:t>
      </w:r>
      <w:r w:rsidRPr="00417E0E">
        <w:t xml:space="preserve"> </w:t>
      </w:r>
      <w:r w:rsidR="00F63FB5" w:rsidRPr="00417E0E">
        <w:t xml:space="preserve">that safe sex practices (as a consequence of the SOC measures) may be different in subjects using </w:t>
      </w:r>
      <w:proofErr w:type="spellStart"/>
      <w:r w:rsidR="00F63FB5" w:rsidRPr="00417E0E">
        <w:t>Truvada</w:t>
      </w:r>
      <w:proofErr w:type="spellEnd"/>
      <w:r w:rsidR="00F63FB5" w:rsidRPr="00417E0E">
        <w:t xml:space="preserve"> compared to </w:t>
      </w:r>
      <w:r w:rsidR="001948F8" w:rsidRPr="00417E0E">
        <w:t xml:space="preserve">subjects who do not use </w:t>
      </w:r>
      <w:proofErr w:type="spellStart"/>
      <w:r w:rsidR="001948F8" w:rsidRPr="00417E0E">
        <w:t>Truvada</w:t>
      </w:r>
      <w:proofErr w:type="spellEnd"/>
      <w:r w:rsidR="001948F8" w:rsidRPr="00417E0E">
        <w:t>.</w:t>
      </w:r>
      <w:r w:rsidR="008A4282" w:rsidRPr="00417E0E">
        <w:t xml:space="preserve"> The implications of that change in safe sex practices associated with </w:t>
      </w:r>
      <w:proofErr w:type="spellStart"/>
      <w:r w:rsidR="008A4282" w:rsidRPr="00417E0E">
        <w:lastRenderedPageBreak/>
        <w:t>Truvada</w:t>
      </w:r>
      <w:proofErr w:type="spellEnd"/>
      <w:r w:rsidR="008A4282" w:rsidRPr="00417E0E">
        <w:t xml:space="preserve"> use for HIV transmission and the incidence of other sexually acquired infections is </w:t>
      </w:r>
      <w:r w:rsidR="00E629F8" w:rsidRPr="00417E0E">
        <w:t>unknown</w:t>
      </w:r>
      <w:r w:rsidR="008A4282" w:rsidRPr="00417E0E">
        <w:t>.</w:t>
      </w:r>
    </w:p>
    <w:p w:rsidR="00985F55" w:rsidRDefault="00985F55" w:rsidP="0021374E">
      <w:pPr>
        <w:pStyle w:val="PBACHeading1"/>
        <w:numPr>
          <w:ilvl w:val="0"/>
          <w:numId w:val="0"/>
        </w:numPr>
      </w:pPr>
    </w:p>
    <w:p w:rsidR="002D0AA3" w:rsidRPr="002D0AA3" w:rsidRDefault="002D0AA3" w:rsidP="0021374E">
      <w:pPr>
        <w:pStyle w:val="PBACHeading1"/>
        <w:numPr>
          <w:ilvl w:val="0"/>
          <w:numId w:val="0"/>
        </w:numPr>
        <w:rPr>
          <w:b w:val="0"/>
          <w:i/>
        </w:rPr>
      </w:pPr>
      <w:r w:rsidRPr="002D0AA3">
        <w:rPr>
          <w:b w:val="0"/>
          <w:i/>
        </w:rPr>
        <w:t>For more detail on PBAC’s view, see section 7 “PBAC outcome”</w:t>
      </w:r>
    </w:p>
    <w:p w:rsidR="00F63FB5" w:rsidRDefault="00F63FB5" w:rsidP="00F63FB5">
      <w:pPr>
        <w:pStyle w:val="ListParagraph"/>
        <w:widowControl/>
      </w:pPr>
    </w:p>
    <w:p w:rsidR="004D4BF4" w:rsidRPr="003C53F6" w:rsidRDefault="004D4BF4" w:rsidP="00F63FB5">
      <w:pPr>
        <w:pStyle w:val="ListParagraph"/>
        <w:widowControl/>
      </w:pPr>
    </w:p>
    <w:p w:rsidR="00B50DB8" w:rsidRPr="003C53F6" w:rsidRDefault="00BD6CF3" w:rsidP="00924E0A">
      <w:pPr>
        <w:pStyle w:val="Heading2"/>
      </w:pPr>
      <w:bookmarkStart w:id="5" w:name="_Toc451353158"/>
      <w:r w:rsidRPr="003C53F6">
        <w:t>C</w:t>
      </w:r>
      <w:r w:rsidR="00B50DB8" w:rsidRPr="003C53F6">
        <w:t>onsideration of the evidence</w:t>
      </w:r>
      <w:bookmarkEnd w:id="5"/>
    </w:p>
    <w:p w:rsidR="00B60939" w:rsidRPr="003C53F6" w:rsidRDefault="00B60939" w:rsidP="0078498A">
      <w:pPr>
        <w:keepNext/>
        <w:keepLines/>
      </w:pPr>
    </w:p>
    <w:p w:rsidR="007B6089" w:rsidRPr="00924E0A" w:rsidRDefault="007B6089" w:rsidP="00924E0A">
      <w:pPr>
        <w:pStyle w:val="Heading3"/>
      </w:pPr>
      <w:r w:rsidRPr="00924E0A">
        <w:t>Sponsor hearing</w:t>
      </w:r>
    </w:p>
    <w:p w:rsidR="007B6089" w:rsidRPr="003C53F6" w:rsidRDefault="007B6089" w:rsidP="007B6089">
      <w:pPr>
        <w:rPr>
          <w:bCs/>
          <w:szCs w:val="22"/>
        </w:rPr>
      </w:pPr>
    </w:p>
    <w:p w:rsidR="007B6089" w:rsidRPr="003C53F6" w:rsidRDefault="007B6089" w:rsidP="008856F6">
      <w:pPr>
        <w:widowControl/>
        <w:numPr>
          <w:ilvl w:val="1"/>
          <w:numId w:val="2"/>
        </w:numPr>
        <w:jc w:val="left"/>
        <w:rPr>
          <w:bCs/>
          <w:szCs w:val="22"/>
        </w:rPr>
      </w:pPr>
      <w:r w:rsidRPr="003C53F6">
        <w:rPr>
          <w:bCs/>
          <w:szCs w:val="22"/>
        </w:rPr>
        <w:t>The</w:t>
      </w:r>
      <w:r w:rsidR="00985EC2" w:rsidRPr="003C53F6">
        <w:rPr>
          <w:bCs/>
          <w:szCs w:val="22"/>
        </w:rPr>
        <w:t>re was no hearing for this item</w:t>
      </w:r>
      <w:r w:rsidRPr="003C53F6">
        <w:rPr>
          <w:bCs/>
          <w:szCs w:val="22"/>
        </w:rPr>
        <w:t>.</w:t>
      </w:r>
    </w:p>
    <w:p w:rsidR="007B6089" w:rsidRPr="003C53F6" w:rsidRDefault="007B6089" w:rsidP="007B6089">
      <w:pPr>
        <w:rPr>
          <w:bCs/>
          <w:szCs w:val="22"/>
          <w:highlight w:val="yellow"/>
        </w:rPr>
      </w:pPr>
    </w:p>
    <w:p w:rsidR="007B6089" w:rsidRPr="003C53F6" w:rsidRDefault="007B6089" w:rsidP="00924E0A">
      <w:pPr>
        <w:pStyle w:val="Heading3"/>
      </w:pPr>
      <w:r w:rsidRPr="003C53F6">
        <w:t>Consumer comments</w:t>
      </w:r>
    </w:p>
    <w:p w:rsidR="00985EC2" w:rsidRPr="003C53F6" w:rsidRDefault="00985EC2" w:rsidP="007B6089">
      <w:pPr>
        <w:rPr>
          <w:b/>
          <w:bCs/>
          <w:szCs w:val="22"/>
        </w:rPr>
      </w:pPr>
    </w:p>
    <w:p w:rsidR="000E54D5" w:rsidRPr="003C53F6" w:rsidRDefault="007B6089" w:rsidP="008856F6">
      <w:pPr>
        <w:widowControl/>
        <w:numPr>
          <w:ilvl w:val="1"/>
          <w:numId w:val="2"/>
        </w:numPr>
        <w:rPr>
          <w:bCs/>
          <w:szCs w:val="22"/>
        </w:rPr>
      </w:pPr>
      <w:r w:rsidRPr="003C53F6">
        <w:rPr>
          <w:bCs/>
          <w:szCs w:val="22"/>
        </w:rPr>
        <w:t>The PBAC noted and welcomed the input from individuals (</w:t>
      </w:r>
      <w:r w:rsidR="00A1431D" w:rsidRPr="003C53F6">
        <w:rPr>
          <w:bCs/>
          <w:szCs w:val="22"/>
        </w:rPr>
        <w:t>92</w:t>
      </w:r>
      <w:r w:rsidRPr="003C53F6">
        <w:rPr>
          <w:bCs/>
          <w:szCs w:val="22"/>
        </w:rPr>
        <w:t>), health care professionals (</w:t>
      </w:r>
      <w:r w:rsidR="00A1431D" w:rsidRPr="003C53F6">
        <w:rPr>
          <w:bCs/>
          <w:szCs w:val="22"/>
        </w:rPr>
        <w:t>2</w:t>
      </w:r>
      <w:r w:rsidRPr="003C53F6">
        <w:rPr>
          <w:bCs/>
          <w:szCs w:val="22"/>
        </w:rPr>
        <w:t>) and organisations (1</w:t>
      </w:r>
      <w:r w:rsidR="00A1431D" w:rsidRPr="003C53F6">
        <w:rPr>
          <w:bCs/>
          <w:szCs w:val="22"/>
        </w:rPr>
        <w:t>9</w:t>
      </w:r>
      <w:r w:rsidRPr="003C53F6">
        <w:rPr>
          <w:bCs/>
          <w:szCs w:val="22"/>
        </w:rPr>
        <w:t>) via the Consumer Comments facility on the PBS website</w:t>
      </w:r>
      <w:proofErr w:type="gramStart"/>
      <w:r w:rsidRPr="003C53F6">
        <w:rPr>
          <w:bCs/>
          <w:szCs w:val="22"/>
        </w:rPr>
        <w:t xml:space="preserve">.  </w:t>
      </w:r>
      <w:proofErr w:type="gramEnd"/>
      <w:r w:rsidRPr="003C53F6">
        <w:rPr>
          <w:bCs/>
          <w:szCs w:val="22"/>
        </w:rPr>
        <w:t xml:space="preserve">The comments described a range of benefits of </w:t>
      </w:r>
      <w:r w:rsidR="000E54D5" w:rsidRPr="003C53F6">
        <w:rPr>
          <w:bCs/>
          <w:szCs w:val="22"/>
        </w:rPr>
        <w:t xml:space="preserve">use of </w:t>
      </w:r>
      <w:proofErr w:type="spellStart"/>
      <w:r w:rsidR="000E54D5" w:rsidRPr="003C53F6">
        <w:rPr>
          <w:bCs/>
          <w:szCs w:val="22"/>
        </w:rPr>
        <w:t>Truvada</w:t>
      </w:r>
      <w:proofErr w:type="spellEnd"/>
      <w:r w:rsidR="000E54D5" w:rsidRPr="003C53F6">
        <w:rPr>
          <w:bCs/>
          <w:szCs w:val="22"/>
        </w:rPr>
        <w:t xml:space="preserve"> for </w:t>
      </w:r>
      <w:proofErr w:type="spellStart"/>
      <w:r w:rsidR="000E54D5" w:rsidRPr="003C53F6">
        <w:rPr>
          <w:bCs/>
          <w:szCs w:val="22"/>
        </w:rPr>
        <w:t>PrEP</w:t>
      </w:r>
      <w:proofErr w:type="spellEnd"/>
      <w:r w:rsidR="000E54D5" w:rsidRPr="003C53F6">
        <w:rPr>
          <w:bCs/>
          <w:szCs w:val="22"/>
        </w:rPr>
        <w:t>,</w:t>
      </w:r>
      <w:r w:rsidRPr="003C53F6">
        <w:rPr>
          <w:bCs/>
          <w:szCs w:val="22"/>
        </w:rPr>
        <w:t xml:space="preserve"> including </w:t>
      </w:r>
      <w:r w:rsidR="00CD5691" w:rsidRPr="003C53F6">
        <w:rPr>
          <w:bCs/>
          <w:szCs w:val="22"/>
        </w:rPr>
        <w:t xml:space="preserve">reduction of risk of transmission of HIV, </w:t>
      </w:r>
      <w:r w:rsidR="00FC1211" w:rsidRPr="003C53F6">
        <w:rPr>
          <w:bCs/>
          <w:szCs w:val="22"/>
        </w:rPr>
        <w:t>increased screening for HIV and other STIs</w:t>
      </w:r>
      <w:r w:rsidR="003A56D1" w:rsidRPr="003C53F6">
        <w:rPr>
          <w:bCs/>
          <w:szCs w:val="22"/>
        </w:rPr>
        <w:t>, and reduced anxiety of contraction of HIV for people at risk.</w:t>
      </w:r>
      <w:r w:rsidR="00FC1211" w:rsidRPr="003C53F6">
        <w:rPr>
          <w:bCs/>
          <w:szCs w:val="22"/>
        </w:rPr>
        <w:t xml:space="preserve"> The comments also provided some insight to the way </w:t>
      </w:r>
      <w:proofErr w:type="spellStart"/>
      <w:r w:rsidR="00FC1211" w:rsidRPr="003C53F6">
        <w:rPr>
          <w:bCs/>
          <w:szCs w:val="22"/>
        </w:rPr>
        <w:t>Truvada</w:t>
      </w:r>
      <w:proofErr w:type="spellEnd"/>
      <w:r w:rsidR="00FC1211" w:rsidRPr="003C53F6">
        <w:rPr>
          <w:bCs/>
          <w:szCs w:val="22"/>
        </w:rPr>
        <w:t xml:space="preserve"> might be used for </w:t>
      </w:r>
      <w:proofErr w:type="spellStart"/>
      <w:r w:rsidR="00FC1211" w:rsidRPr="003C53F6">
        <w:rPr>
          <w:bCs/>
          <w:szCs w:val="22"/>
        </w:rPr>
        <w:t>PrEP</w:t>
      </w:r>
      <w:proofErr w:type="spellEnd"/>
      <w:r w:rsidR="00FC1211" w:rsidRPr="003C53F6">
        <w:rPr>
          <w:bCs/>
          <w:szCs w:val="22"/>
        </w:rPr>
        <w:t xml:space="preserve"> in clinical practi</w:t>
      </w:r>
      <w:r w:rsidR="000E54D5" w:rsidRPr="003C53F6">
        <w:rPr>
          <w:bCs/>
          <w:szCs w:val="22"/>
        </w:rPr>
        <w:t>c</w:t>
      </w:r>
      <w:r w:rsidR="00FC1211" w:rsidRPr="003C53F6">
        <w:rPr>
          <w:bCs/>
          <w:szCs w:val="22"/>
        </w:rPr>
        <w:t xml:space="preserve">e, </w:t>
      </w:r>
      <w:r w:rsidR="000E54D5" w:rsidRPr="003C53F6">
        <w:rPr>
          <w:bCs/>
          <w:szCs w:val="22"/>
        </w:rPr>
        <w:t>including</w:t>
      </w:r>
      <w:r w:rsidR="00FC1211" w:rsidRPr="003C53F6">
        <w:rPr>
          <w:bCs/>
          <w:szCs w:val="22"/>
        </w:rPr>
        <w:t xml:space="preserve"> of reasons individuals might seek to initiate </w:t>
      </w:r>
      <w:proofErr w:type="spellStart"/>
      <w:r w:rsidR="00FC1211" w:rsidRPr="003C53F6">
        <w:rPr>
          <w:bCs/>
          <w:szCs w:val="22"/>
        </w:rPr>
        <w:t>Tr</w:t>
      </w:r>
      <w:r w:rsidR="000E54D5" w:rsidRPr="003C53F6">
        <w:rPr>
          <w:bCs/>
          <w:szCs w:val="22"/>
        </w:rPr>
        <w:t>uvada</w:t>
      </w:r>
      <w:proofErr w:type="spellEnd"/>
      <w:r w:rsidR="000E54D5" w:rsidRPr="003C53F6">
        <w:rPr>
          <w:bCs/>
          <w:szCs w:val="22"/>
        </w:rPr>
        <w:t xml:space="preserve"> for </w:t>
      </w:r>
      <w:proofErr w:type="spellStart"/>
      <w:r w:rsidR="000E54D5" w:rsidRPr="003C53F6">
        <w:rPr>
          <w:bCs/>
          <w:szCs w:val="22"/>
        </w:rPr>
        <w:t>PrEP</w:t>
      </w:r>
      <w:proofErr w:type="spellEnd"/>
      <w:r w:rsidR="000E54D5" w:rsidRPr="003C53F6">
        <w:rPr>
          <w:bCs/>
          <w:szCs w:val="22"/>
        </w:rPr>
        <w:t xml:space="preserve"> and likely patterns of use (</w:t>
      </w:r>
      <w:proofErr w:type="spellStart"/>
      <w:r w:rsidR="000E54D5" w:rsidRPr="003C53F6">
        <w:rPr>
          <w:bCs/>
          <w:szCs w:val="22"/>
        </w:rPr>
        <w:t>eg</w:t>
      </w:r>
      <w:proofErr w:type="spellEnd"/>
      <w:r w:rsidR="000E54D5" w:rsidRPr="003C53F6">
        <w:rPr>
          <w:bCs/>
          <w:szCs w:val="22"/>
        </w:rPr>
        <w:t xml:space="preserve"> duration, continuous vs intermittent use, likely triggers for stopping etc).</w:t>
      </w:r>
    </w:p>
    <w:p w:rsidR="007B6089" w:rsidRPr="003C53F6" w:rsidRDefault="007B6089" w:rsidP="0078498A">
      <w:pPr>
        <w:keepNext/>
        <w:keepLines/>
      </w:pPr>
    </w:p>
    <w:p w:rsidR="00B60939" w:rsidRPr="003C53F6" w:rsidRDefault="00B60939" w:rsidP="00924E0A">
      <w:pPr>
        <w:pStyle w:val="Heading3"/>
      </w:pPr>
      <w:bookmarkStart w:id="6" w:name="_Toc451353159"/>
      <w:r w:rsidRPr="003C53F6">
        <w:t>Clinical trials</w:t>
      </w:r>
      <w:bookmarkEnd w:id="6"/>
    </w:p>
    <w:p w:rsidR="00B60939" w:rsidRPr="003C53F6" w:rsidRDefault="00B60939" w:rsidP="0078498A">
      <w:pPr>
        <w:keepNext/>
        <w:keepLines/>
        <w:rPr>
          <w:szCs w:val="22"/>
        </w:rPr>
      </w:pPr>
    </w:p>
    <w:p w:rsidR="00DA7086" w:rsidRPr="003C53F6" w:rsidRDefault="00DA7086" w:rsidP="002431F7">
      <w:pPr>
        <w:pStyle w:val="ListParagraph"/>
        <w:keepNext/>
        <w:keepLines/>
        <w:widowControl/>
        <w:numPr>
          <w:ilvl w:val="1"/>
          <w:numId w:val="2"/>
        </w:numPr>
        <w:rPr>
          <w:szCs w:val="22"/>
        </w:rPr>
      </w:pPr>
      <w:r w:rsidRPr="003C53F6">
        <w:t xml:space="preserve">The submission included 6 head-to-head randomised trials comparing </w:t>
      </w:r>
      <w:proofErr w:type="spellStart"/>
      <w:r w:rsidRPr="003C53F6">
        <w:t>Truvada</w:t>
      </w:r>
      <w:proofErr w:type="spellEnd"/>
      <w:r w:rsidRPr="003C53F6">
        <w:t xml:space="preserve"> + SOC to SOC. In the submission, the 6 included randomised trials (</w:t>
      </w:r>
      <w:proofErr w:type="spellStart"/>
      <w:r w:rsidRPr="003C53F6">
        <w:t>iPrEx</w:t>
      </w:r>
      <w:proofErr w:type="spellEnd"/>
      <w:r w:rsidRPr="003C53F6">
        <w:t xml:space="preserve">, Partners </w:t>
      </w:r>
      <w:proofErr w:type="spellStart"/>
      <w:r w:rsidRPr="003C53F6">
        <w:t>PrEP</w:t>
      </w:r>
      <w:proofErr w:type="spellEnd"/>
      <w:r w:rsidRPr="003C53F6">
        <w:t>, TDF2, PROUD, FEM-</w:t>
      </w:r>
      <w:proofErr w:type="spellStart"/>
      <w:r w:rsidRPr="003C53F6">
        <w:t>PrEP</w:t>
      </w:r>
      <w:proofErr w:type="spellEnd"/>
      <w:r w:rsidRPr="003C53F6">
        <w:t xml:space="preserve"> and VOICE) were meta-analysed. </w:t>
      </w:r>
    </w:p>
    <w:p w:rsidR="00862502" w:rsidRPr="003C53F6" w:rsidRDefault="00862502" w:rsidP="00862502">
      <w:pPr>
        <w:widowControl/>
        <w:rPr>
          <w:szCs w:val="22"/>
        </w:rPr>
      </w:pPr>
    </w:p>
    <w:p w:rsidR="00886719" w:rsidRPr="003C53F6" w:rsidRDefault="00886719" w:rsidP="00886719">
      <w:pPr>
        <w:pStyle w:val="ListParagraph"/>
        <w:widowControl/>
        <w:numPr>
          <w:ilvl w:val="1"/>
          <w:numId w:val="2"/>
        </w:numPr>
        <w:rPr>
          <w:szCs w:val="22"/>
        </w:rPr>
      </w:pPr>
      <w:r w:rsidRPr="003C53F6">
        <w:rPr>
          <w:szCs w:val="22"/>
        </w:rPr>
        <w:t xml:space="preserve">Details of the trial publications are provided in the table below. </w:t>
      </w:r>
    </w:p>
    <w:p w:rsidR="00886719" w:rsidRPr="003C53F6" w:rsidRDefault="00886719" w:rsidP="00886719">
      <w:pPr>
        <w:widowControl/>
        <w:rPr>
          <w:szCs w:val="22"/>
        </w:rPr>
      </w:pPr>
    </w:p>
    <w:p w:rsidR="00886719" w:rsidRPr="003C53F6" w:rsidRDefault="00886719" w:rsidP="00886719">
      <w:pPr>
        <w:rPr>
          <w:rStyle w:val="CommentReference"/>
        </w:rPr>
      </w:pPr>
      <w:r w:rsidRPr="003C53F6">
        <w:rPr>
          <w:rStyle w:val="CommentReference"/>
        </w:rPr>
        <w:t>Table 1: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3851"/>
        <w:gridCol w:w="3785"/>
      </w:tblGrid>
      <w:tr w:rsidR="00886719" w:rsidRPr="003C53F6" w:rsidTr="000E54D5">
        <w:trPr>
          <w:tblHeader/>
        </w:trPr>
        <w:tc>
          <w:tcPr>
            <w:tcW w:w="796" w:type="pct"/>
          </w:tcPr>
          <w:p w:rsidR="00886719" w:rsidRPr="003C53F6" w:rsidRDefault="00886719" w:rsidP="009676AF">
            <w:pPr>
              <w:jc w:val="left"/>
              <w:rPr>
                <w:rFonts w:ascii="Arial Narrow" w:hAnsi="Arial Narrow"/>
                <w:b/>
                <w:sz w:val="20"/>
              </w:rPr>
            </w:pPr>
            <w:r w:rsidRPr="003C53F6">
              <w:rPr>
                <w:rFonts w:ascii="Arial Narrow" w:hAnsi="Arial Narrow"/>
                <w:b/>
                <w:sz w:val="20"/>
              </w:rPr>
              <w:t>Trial ID</w:t>
            </w:r>
          </w:p>
        </w:tc>
        <w:tc>
          <w:tcPr>
            <w:tcW w:w="2120" w:type="pct"/>
          </w:tcPr>
          <w:p w:rsidR="00886719" w:rsidRPr="003C53F6" w:rsidRDefault="00886719" w:rsidP="009676AF">
            <w:pPr>
              <w:jc w:val="center"/>
              <w:rPr>
                <w:rFonts w:ascii="Arial Narrow" w:hAnsi="Arial Narrow"/>
                <w:b/>
                <w:sz w:val="20"/>
              </w:rPr>
            </w:pPr>
            <w:r w:rsidRPr="003C53F6">
              <w:rPr>
                <w:rFonts w:ascii="Arial Narrow" w:hAnsi="Arial Narrow"/>
                <w:b/>
                <w:sz w:val="20"/>
              </w:rPr>
              <w:t>Protocol title/ Publication title</w:t>
            </w:r>
          </w:p>
        </w:tc>
        <w:tc>
          <w:tcPr>
            <w:tcW w:w="2084" w:type="pct"/>
          </w:tcPr>
          <w:p w:rsidR="00886719" w:rsidRPr="003C53F6" w:rsidRDefault="00886719" w:rsidP="009676AF">
            <w:pPr>
              <w:jc w:val="center"/>
              <w:rPr>
                <w:rFonts w:ascii="Arial Narrow" w:hAnsi="Arial Narrow"/>
                <w:b/>
                <w:sz w:val="20"/>
              </w:rPr>
            </w:pPr>
            <w:r w:rsidRPr="003C53F6">
              <w:rPr>
                <w:rFonts w:ascii="Arial Narrow" w:hAnsi="Arial Narrow"/>
                <w:b/>
                <w:sz w:val="20"/>
              </w:rPr>
              <w:t>Publication citation</w:t>
            </w:r>
          </w:p>
        </w:tc>
      </w:tr>
      <w:tr w:rsidR="00886719" w:rsidRPr="003C53F6" w:rsidTr="009676AF">
        <w:tc>
          <w:tcPr>
            <w:tcW w:w="5000" w:type="pct"/>
            <w:gridSpan w:val="3"/>
          </w:tcPr>
          <w:p w:rsidR="00886719" w:rsidRPr="003C53F6" w:rsidRDefault="00886719" w:rsidP="009676AF">
            <w:pPr>
              <w:jc w:val="left"/>
              <w:rPr>
                <w:rFonts w:ascii="Arial Narrow" w:hAnsi="Arial Narrow"/>
                <w:b/>
                <w:sz w:val="20"/>
              </w:rPr>
            </w:pPr>
            <w:r w:rsidRPr="003C53F6">
              <w:rPr>
                <w:rFonts w:ascii="Arial Narrow" w:hAnsi="Arial Narrow"/>
                <w:b/>
                <w:sz w:val="20"/>
              </w:rPr>
              <w:t>Direct randomised trials</w:t>
            </w:r>
          </w:p>
        </w:tc>
      </w:tr>
      <w:tr w:rsidR="00886719" w:rsidRPr="003C53F6" w:rsidTr="000E54D5">
        <w:tc>
          <w:tcPr>
            <w:tcW w:w="796" w:type="pct"/>
          </w:tcPr>
          <w:p w:rsidR="00886719" w:rsidRPr="003C53F6" w:rsidRDefault="00886719" w:rsidP="009676AF">
            <w:pPr>
              <w:jc w:val="left"/>
              <w:rPr>
                <w:rFonts w:ascii="Arial Narrow" w:hAnsi="Arial Narrow"/>
                <w:sz w:val="20"/>
              </w:rPr>
            </w:pPr>
            <w:proofErr w:type="spellStart"/>
            <w:r w:rsidRPr="003C53F6">
              <w:rPr>
                <w:rFonts w:ascii="Arial Narrow" w:hAnsi="Arial Narrow"/>
                <w:sz w:val="20"/>
              </w:rPr>
              <w:t>iPrEx</w:t>
            </w:r>
            <w:proofErr w:type="spellEnd"/>
          </w:p>
          <w:p w:rsidR="00886719" w:rsidRPr="003C53F6" w:rsidRDefault="00886719" w:rsidP="009676AF">
            <w:pPr>
              <w:jc w:val="left"/>
              <w:rPr>
                <w:rFonts w:ascii="Arial Narrow" w:hAnsi="Arial Narrow"/>
                <w:sz w:val="20"/>
              </w:rPr>
            </w:pPr>
            <w:r w:rsidRPr="003C53F6">
              <w:rPr>
                <w:rFonts w:ascii="Arial Narrow" w:hAnsi="Arial Narrow"/>
                <w:sz w:val="20"/>
              </w:rPr>
              <w:t>NCT: 00458393</w:t>
            </w:r>
          </w:p>
        </w:tc>
        <w:tc>
          <w:tcPr>
            <w:tcW w:w="2120" w:type="pct"/>
          </w:tcPr>
          <w:p w:rsidR="00886719" w:rsidRPr="003C53F6" w:rsidRDefault="00886719" w:rsidP="009676AF">
            <w:pPr>
              <w:jc w:val="left"/>
              <w:rPr>
                <w:rFonts w:ascii="Arial Narrow" w:hAnsi="Arial Narrow"/>
                <w:sz w:val="20"/>
              </w:rPr>
            </w:pPr>
            <w:r w:rsidRPr="003C53F6">
              <w:rPr>
                <w:rFonts w:ascii="Arial Narrow" w:hAnsi="Arial Narrow"/>
                <w:sz w:val="20"/>
              </w:rPr>
              <w:t>Chemoprophylaxis for HIV Prevention in Men.</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Grant RM, Lama JR, Anderson PL, McMahon BS, et al. </w:t>
            </w:r>
            <w:proofErr w:type="spellStart"/>
            <w:r w:rsidRPr="003C53F6">
              <w:rPr>
                <w:rFonts w:ascii="Arial Narrow" w:hAnsi="Arial Narrow"/>
                <w:sz w:val="20"/>
              </w:rPr>
              <w:t>Preexposure</w:t>
            </w:r>
            <w:proofErr w:type="spellEnd"/>
            <w:r w:rsidRPr="003C53F6">
              <w:rPr>
                <w:rFonts w:ascii="Arial Narrow" w:hAnsi="Arial Narrow"/>
                <w:sz w:val="20"/>
              </w:rPr>
              <w:t xml:space="preserve"> Chemoprophylaxis for HIV Prevention in Men Who Have Sex with 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Amico</w:t>
            </w:r>
            <w:proofErr w:type="spellEnd"/>
            <w:r w:rsidRPr="003C53F6">
              <w:rPr>
                <w:rFonts w:ascii="Arial Narrow" w:hAnsi="Arial Narrow"/>
                <w:sz w:val="20"/>
              </w:rPr>
              <w:t xml:space="preserve"> K, McMahan V, </w:t>
            </w:r>
            <w:proofErr w:type="spellStart"/>
            <w:r w:rsidRPr="003C53F6">
              <w:rPr>
                <w:rFonts w:ascii="Arial Narrow" w:hAnsi="Arial Narrow"/>
                <w:sz w:val="20"/>
              </w:rPr>
              <w:t>Goicochea</w:t>
            </w:r>
            <w:proofErr w:type="spellEnd"/>
            <w:r w:rsidRPr="003C53F6">
              <w:rPr>
                <w:rFonts w:ascii="Arial Narrow" w:hAnsi="Arial Narrow"/>
                <w:sz w:val="20"/>
              </w:rPr>
              <w:t xml:space="preserve"> P, Vargas L, et al. Supporting study product use and accuracy in self-report in the </w:t>
            </w:r>
            <w:proofErr w:type="spellStart"/>
            <w:r w:rsidRPr="003C53F6">
              <w:rPr>
                <w:rFonts w:ascii="Arial Narrow" w:hAnsi="Arial Narrow"/>
                <w:sz w:val="20"/>
              </w:rPr>
              <w:t>iPrEx</w:t>
            </w:r>
            <w:proofErr w:type="spellEnd"/>
            <w:r w:rsidRPr="003C53F6">
              <w:rPr>
                <w:rFonts w:ascii="Arial Narrow" w:hAnsi="Arial Narrow"/>
                <w:sz w:val="20"/>
              </w:rPr>
              <w:t xml:space="preserve"> study: next step </w:t>
            </w:r>
            <w:proofErr w:type="spellStart"/>
            <w:r w:rsidRPr="003C53F6">
              <w:rPr>
                <w:rFonts w:ascii="Arial Narrow" w:hAnsi="Arial Narrow"/>
                <w:sz w:val="20"/>
              </w:rPr>
              <w:t>counseling</w:t>
            </w:r>
            <w:proofErr w:type="spellEnd"/>
            <w:r w:rsidRPr="003C53F6">
              <w:rPr>
                <w:rFonts w:ascii="Arial Narrow" w:hAnsi="Arial Narrow"/>
                <w:sz w:val="20"/>
              </w:rPr>
              <w:t xml:space="preserve"> and neutral assessment.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Amico</w:t>
            </w:r>
            <w:proofErr w:type="spellEnd"/>
            <w:r w:rsidRPr="003C53F6">
              <w:rPr>
                <w:rFonts w:ascii="Arial Narrow" w:hAnsi="Arial Narrow"/>
                <w:sz w:val="20"/>
              </w:rPr>
              <w:t xml:space="preserve"> KR, Marcus JL, McMahan V, Liu A, et al. Study product adherence measurement in the </w:t>
            </w:r>
            <w:proofErr w:type="spellStart"/>
            <w:r w:rsidRPr="003C53F6">
              <w:rPr>
                <w:rFonts w:ascii="Arial Narrow" w:hAnsi="Arial Narrow"/>
                <w:sz w:val="20"/>
              </w:rPr>
              <w:t>iPrEx</w:t>
            </w:r>
            <w:proofErr w:type="spellEnd"/>
            <w:r w:rsidRPr="003C53F6">
              <w:rPr>
                <w:rFonts w:ascii="Arial Narrow" w:hAnsi="Arial Narrow"/>
                <w:sz w:val="20"/>
              </w:rPr>
              <w:t xml:space="preserve"> placebo-controlled trial: concordance with drug detection.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Anderson PL, Glidden DV, Liu A, </w:t>
            </w:r>
            <w:proofErr w:type="spellStart"/>
            <w:r w:rsidRPr="003C53F6">
              <w:rPr>
                <w:rFonts w:ascii="Arial Narrow" w:hAnsi="Arial Narrow"/>
                <w:sz w:val="20"/>
              </w:rPr>
              <w:t>Buchbinder</w:t>
            </w:r>
            <w:proofErr w:type="spellEnd"/>
            <w:r w:rsidRPr="003C53F6">
              <w:rPr>
                <w:rFonts w:ascii="Arial Narrow" w:hAnsi="Arial Narrow"/>
                <w:sz w:val="20"/>
              </w:rPr>
              <w:t xml:space="preserve"> S, et </w:t>
            </w:r>
            <w:r w:rsidRPr="003C53F6">
              <w:rPr>
                <w:rFonts w:ascii="Arial Narrow" w:hAnsi="Arial Narrow"/>
                <w:sz w:val="20"/>
              </w:rPr>
              <w:lastRenderedPageBreak/>
              <w:t xml:space="preserve">al. </w:t>
            </w:r>
            <w:proofErr w:type="spellStart"/>
            <w:r w:rsidRPr="003C53F6">
              <w:rPr>
                <w:rFonts w:ascii="Arial Narrow" w:hAnsi="Arial Narrow"/>
                <w:sz w:val="20"/>
              </w:rPr>
              <w:t>Emtricitabine-tenofovir</w:t>
            </w:r>
            <w:proofErr w:type="spellEnd"/>
            <w:r w:rsidRPr="003C53F6">
              <w:rPr>
                <w:rFonts w:ascii="Arial Narrow" w:hAnsi="Arial Narrow"/>
                <w:sz w:val="20"/>
              </w:rPr>
              <w:t xml:space="preserve"> concentrations and pre-exposure prophylaxis efficacy in men who have sex with 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Buchbinder</w:t>
            </w:r>
            <w:proofErr w:type="spellEnd"/>
            <w:r w:rsidRPr="003C53F6">
              <w:rPr>
                <w:rFonts w:ascii="Arial Narrow" w:hAnsi="Arial Narrow"/>
                <w:sz w:val="20"/>
              </w:rPr>
              <w:t xml:space="preserve"> SP, Glidden DV, Liu AY, McMahan V, et al. HIV pre-exposure prophylaxis in men who have sex with men and transgender women: A secondary analysis of a phase 3 randomised controlled efficacy trial.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Gilmore HJ, Liu A, Koester KA, </w:t>
            </w:r>
            <w:proofErr w:type="spellStart"/>
            <w:r w:rsidRPr="003C53F6">
              <w:rPr>
                <w:rFonts w:ascii="Arial Narrow" w:hAnsi="Arial Narrow"/>
                <w:sz w:val="20"/>
              </w:rPr>
              <w:t>Amico</w:t>
            </w:r>
            <w:proofErr w:type="spellEnd"/>
            <w:r w:rsidRPr="003C53F6">
              <w:rPr>
                <w:rFonts w:ascii="Arial Narrow" w:hAnsi="Arial Narrow"/>
                <w:sz w:val="20"/>
              </w:rPr>
              <w:t xml:space="preserve"> KR, et al. Participant experiences and facilitators and barriers to pill use among men who have sex with men in the </w:t>
            </w:r>
            <w:proofErr w:type="spellStart"/>
            <w:r w:rsidRPr="003C53F6">
              <w:rPr>
                <w:rFonts w:ascii="Arial Narrow" w:hAnsi="Arial Narrow"/>
                <w:sz w:val="20"/>
              </w:rPr>
              <w:t>iPrEx</w:t>
            </w:r>
            <w:proofErr w:type="spellEnd"/>
            <w:r w:rsidRPr="003C53F6">
              <w:rPr>
                <w:rFonts w:ascii="Arial Narrow" w:hAnsi="Arial Narrow"/>
                <w:sz w:val="20"/>
              </w:rPr>
              <w:t xml:space="preserve"> pre-exposure prophylaxis trial in San Francisco.</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Guanira</w:t>
            </w:r>
            <w:proofErr w:type="spellEnd"/>
            <w:r w:rsidRPr="003C53F6">
              <w:rPr>
                <w:rFonts w:ascii="Arial Narrow" w:hAnsi="Arial Narrow"/>
                <w:sz w:val="20"/>
              </w:rPr>
              <w:t xml:space="preserve"> JV, </w:t>
            </w:r>
            <w:proofErr w:type="spellStart"/>
            <w:r w:rsidRPr="003C53F6">
              <w:rPr>
                <w:rFonts w:ascii="Arial Narrow" w:hAnsi="Arial Narrow"/>
                <w:sz w:val="20"/>
              </w:rPr>
              <w:t>Leigler</w:t>
            </w:r>
            <w:proofErr w:type="spellEnd"/>
            <w:r w:rsidRPr="003C53F6">
              <w:rPr>
                <w:rFonts w:ascii="Arial Narrow" w:hAnsi="Arial Narrow"/>
                <w:sz w:val="20"/>
              </w:rPr>
              <w:t xml:space="preserve"> T, </w:t>
            </w:r>
            <w:proofErr w:type="spellStart"/>
            <w:r w:rsidRPr="003C53F6">
              <w:rPr>
                <w:rFonts w:ascii="Arial Narrow" w:hAnsi="Arial Narrow"/>
                <w:sz w:val="20"/>
              </w:rPr>
              <w:t>Kallas</w:t>
            </w:r>
            <w:proofErr w:type="spellEnd"/>
            <w:r w:rsidRPr="003C53F6">
              <w:rPr>
                <w:rFonts w:ascii="Arial Narrow" w:hAnsi="Arial Narrow"/>
                <w:sz w:val="20"/>
              </w:rPr>
              <w:t xml:space="preserve"> E, Schechter M, et al. Streamlining HIV Testing for HIV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Kuebler</w:t>
            </w:r>
            <w:proofErr w:type="spellEnd"/>
            <w:r w:rsidRPr="003C53F6">
              <w:rPr>
                <w:rFonts w:ascii="Arial Narrow" w:hAnsi="Arial Narrow"/>
                <w:sz w:val="20"/>
              </w:rPr>
              <w:t xml:space="preserve"> PJ, </w:t>
            </w:r>
            <w:proofErr w:type="spellStart"/>
            <w:r w:rsidRPr="003C53F6">
              <w:rPr>
                <w:rFonts w:ascii="Arial Narrow" w:hAnsi="Arial Narrow"/>
                <w:sz w:val="20"/>
              </w:rPr>
              <w:t>Mehrotra</w:t>
            </w:r>
            <w:proofErr w:type="spellEnd"/>
            <w:r w:rsidRPr="003C53F6">
              <w:rPr>
                <w:rFonts w:ascii="Arial Narrow" w:hAnsi="Arial Narrow"/>
                <w:sz w:val="20"/>
              </w:rPr>
              <w:t xml:space="preserve"> ML, McConnell JJ, </w:t>
            </w:r>
            <w:proofErr w:type="spellStart"/>
            <w:r w:rsidRPr="003C53F6">
              <w:rPr>
                <w:rFonts w:ascii="Arial Narrow" w:hAnsi="Arial Narrow"/>
                <w:sz w:val="20"/>
              </w:rPr>
              <w:t>Holditch</w:t>
            </w:r>
            <w:proofErr w:type="spellEnd"/>
            <w:r w:rsidRPr="003C53F6">
              <w:rPr>
                <w:rFonts w:ascii="Arial Narrow" w:hAnsi="Arial Narrow"/>
                <w:sz w:val="20"/>
              </w:rPr>
              <w:t xml:space="preserve"> SJ, et al. Cellular immune correlates analysis of an HIV-1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Liegler</w:t>
            </w:r>
            <w:proofErr w:type="spellEnd"/>
            <w:r w:rsidRPr="003C53F6">
              <w:rPr>
                <w:rFonts w:ascii="Arial Narrow" w:hAnsi="Arial Narrow"/>
                <w:sz w:val="20"/>
              </w:rPr>
              <w:t xml:space="preserve"> T, Abdel-Mohsen M, Bentley LG, Atchison R, et al. HIV-1 drug resistance in the </w:t>
            </w:r>
            <w:proofErr w:type="spellStart"/>
            <w:r w:rsidRPr="003C53F6">
              <w:rPr>
                <w:rFonts w:ascii="Arial Narrow" w:hAnsi="Arial Narrow"/>
                <w:sz w:val="20"/>
              </w:rPr>
              <w:t>iPrEx</w:t>
            </w:r>
            <w:proofErr w:type="spellEnd"/>
            <w:r w:rsidRPr="003C53F6">
              <w:rPr>
                <w:rFonts w:ascii="Arial Narrow" w:hAnsi="Arial Narrow"/>
                <w:sz w:val="20"/>
              </w:rPr>
              <w:t xml:space="preserve">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trial.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Liu A, Glidden DV, Anderson PL, </w:t>
            </w:r>
            <w:proofErr w:type="spellStart"/>
            <w:r w:rsidRPr="003C53F6">
              <w:rPr>
                <w:rFonts w:ascii="Arial Narrow" w:hAnsi="Arial Narrow"/>
                <w:sz w:val="20"/>
              </w:rPr>
              <w:t>Amico</w:t>
            </w:r>
            <w:proofErr w:type="spellEnd"/>
            <w:r w:rsidRPr="003C53F6">
              <w:rPr>
                <w:rFonts w:ascii="Arial Narrow" w:hAnsi="Arial Narrow"/>
                <w:sz w:val="20"/>
              </w:rPr>
              <w:t xml:space="preserve"> KR, et al. Patterns and correlates of </w:t>
            </w:r>
            <w:proofErr w:type="spellStart"/>
            <w:r w:rsidRPr="003C53F6">
              <w:rPr>
                <w:rFonts w:ascii="Arial Narrow" w:hAnsi="Arial Narrow"/>
                <w:sz w:val="20"/>
              </w:rPr>
              <w:t>PrEP</w:t>
            </w:r>
            <w:proofErr w:type="spellEnd"/>
            <w:r w:rsidRPr="003C53F6">
              <w:rPr>
                <w:rFonts w:ascii="Arial Narrow" w:hAnsi="Arial Narrow"/>
                <w:sz w:val="20"/>
              </w:rPr>
              <w:t xml:space="preserve"> drug detection among MSM and transgender women in the Global </w:t>
            </w:r>
            <w:proofErr w:type="spellStart"/>
            <w:r w:rsidRPr="003C53F6">
              <w:rPr>
                <w:rFonts w:ascii="Arial Narrow" w:hAnsi="Arial Narrow"/>
                <w:sz w:val="20"/>
              </w:rPr>
              <w:t>iPrEx</w:t>
            </w:r>
            <w:proofErr w:type="spellEnd"/>
            <w:r w:rsidRPr="003C53F6">
              <w:rPr>
                <w:rFonts w:ascii="Arial Narrow" w:hAnsi="Arial Narrow"/>
                <w:sz w:val="20"/>
              </w:rPr>
              <w:t xml:space="preserve"> Study.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Marcus JL, Glidden DV, Mayer KH, Liu AY, et al. No evidence of sexual risk compensation in the </w:t>
            </w:r>
            <w:proofErr w:type="spellStart"/>
            <w:r w:rsidRPr="003C53F6">
              <w:rPr>
                <w:rFonts w:ascii="Arial Narrow" w:hAnsi="Arial Narrow"/>
                <w:sz w:val="20"/>
              </w:rPr>
              <w:t>iPrEx</w:t>
            </w:r>
            <w:proofErr w:type="spellEnd"/>
            <w:r w:rsidRPr="003C53F6">
              <w:rPr>
                <w:rFonts w:ascii="Arial Narrow" w:hAnsi="Arial Narrow"/>
                <w:sz w:val="20"/>
              </w:rPr>
              <w:t xml:space="preserve"> trial of daily oral HIV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Marcus JL, Glidden DV, McMahan V, Lama JR, et al. Daily oral </w:t>
            </w:r>
            <w:proofErr w:type="spellStart"/>
            <w:r w:rsidRPr="003C53F6">
              <w:rPr>
                <w:rFonts w:ascii="Arial Narrow" w:hAnsi="Arial Narrow"/>
                <w:sz w:val="20"/>
              </w:rPr>
              <w:t>emtricitabine</w:t>
            </w:r>
            <w:proofErr w:type="spellEnd"/>
            <w:r w:rsidRPr="003C53F6">
              <w:rPr>
                <w:rFonts w:ascii="Arial Narrow" w:hAnsi="Arial Narrow"/>
                <w:sz w:val="20"/>
              </w:rPr>
              <w:t>/</w:t>
            </w:r>
            <w:proofErr w:type="spellStart"/>
            <w:r w:rsidRPr="003C53F6">
              <w:rPr>
                <w:rFonts w:ascii="Arial Narrow" w:hAnsi="Arial Narrow"/>
                <w:sz w:val="20"/>
              </w:rPr>
              <w:t>tenofovir</w:t>
            </w:r>
            <w:proofErr w:type="spellEnd"/>
            <w:r w:rsidRPr="003C53F6">
              <w:rPr>
                <w:rFonts w:ascii="Arial Narrow" w:hAnsi="Arial Narrow"/>
                <w:sz w:val="20"/>
              </w:rPr>
              <w:t xml:space="preserve">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and herpes simplex virus type 2 among men who have sex with 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Mulligan K, Glidden DV, Anderson PL, Liu A, et al. Effects of </w:t>
            </w:r>
            <w:proofErr w:type="spellStart"/>
            <w:r w:rsidRPr="003C53F6">
              <w:rPr>
                <w:rFonts w:ascii="Arial Narrow" w:hAnsi="Arial Narrow"/>
                <w:sz w:val="20"/>
              </w:rPr>
              <w:t>emtricitabine</w:t>
            </w:r>
            <w:proofErr w:type="spellEnd"/>
            <w:r w:rsidRPr="003C53F6">
              <w:rPr>
                <w:rFonts w:ascii="Arial Narrow" w:hAnsi="Arial Narrow"/>
                <w:sz w:val="20"/>
              </w:rPr>
              <w:t>/</w:t>
            </w:r>
            <w:proofErr w:type="spellStart"/>
            <w:r w:rsidRPr="003C53F6">
              <w:rPr>
                <w:rFonts w:ascii="Arial Narrow" w:hAnsi="Arial Narrow"/>
                <w:sz w:val="20"/>
              </w:rPr>
              <w:t>tenofovir</w:t>
            </w:r>
            <w:proofErr w:type="spellEnd"/>
            <w:r w:rsidRPr="003C53F6">
              <w:rPr>
                <w:rFonts w:ascii="Arial Narrow" w:hAnsi="Arial Narrow"/>
                <w:sz w:val="20"/>
              </w:rPr>
              <w:t xml:space="preserve"> on bone mineral density in HIV-negative persons in a randomised, double-blind, placebo-controlled trial.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Mulligan K, Glidden DV, Anderson PL, McMahan V, </w:t>
            </w:r>
            <w:proofErr w:type="spellStart"/>
            <w:r w:rsidRPr="003C53F6">
              <w:rPr>
                <w:rFonts w:ascii="Arial Narrow" w:hAnsi="Arial Narrow"/>
                <w:sz w:val="20"/>
              </w:rPr>
              <w:t>Guanira</w:t>
            </w:r>
            <w:proofErr w:type="spellEnd"/>
            <w:r w:rsidRPr="003C53F6">
              <w:rPr>
                <w:rFonts w:ascii="Arial Narrow" w:hAnsi="Arial Narrow"/>
                <w:sz w:val="20"/>
              </w:rPr>
              <w:t xml:space="preserve"> JV, </w:t>
            </w:r>
            <w:proofErr w:type="gramStart"/>
            <w:r w:rsidRPr="003C53F6">
              <w:rPr>
                <w:rFonts w:ascii="Arial Narrow" w:hAnsi="Arial Narrow"/>
                <w:sz w:val="20"/>
              </w:rPr>
              <w:t>Lama</w:t>
            </w:r>
            <w:proofErr w:type="gramEnd"/>
            <w:r w:rsidRPr="003C53F6">
              <w:rPr>
                <w:rFonts w:ascii="Arial Narrow" w:hAnsi="Arial Narrow"/>
                <w:sz w:val="20"/>
              </w:rPr>
              <w:t xml:space="preserve"> JR. Decreases in cholesterol in HIV-seronegative men using </w:t>
            </w:r>
            <w:proofErr w:type="spellStart"/>
            <w:r w:rsidRPr="003C53F6">
              <w:rPr>
                <w:rFonts w:ascii="Arial Narrow" w:hAnsi="Arial Narrow"/>
                <w:sz w:val="20"/>
              </w:rPr>
              <w:t>emtricitabine</w:t>
            </w:r>
            <w:proofErr w:type="spellEnd"/>
            <w:r w:rsidRPr="003C53F6">
              <w:rPr>
                <w:rFonts w:ascii="Arial Narrow" w:hAnsi="Arial Narrow"/>
                <w:sz w:val="20"/>
              </w:rPr>
              <w:t>/</w:t>
            </w:r>
            <w:proofErr w:type="spellStart"/>
            <w:r w:rsidRPr="003C53F6">
              <w:rPr>
                <w:rFonts w:ascii="Arial Narrow" w:hAnsi="Arial Narrow"/>
                <w:sz w:val="20"/>
              </w:rPr>
              <w:t>tenofovir</w:t>
            </w:r>
            <w:proofErr w:type="spellEnd"/>
            <w:r w:rsidRPr="003C53F6">
              <w:rPr>
                <w:rFonts w:ascii="Arial Narrow" w:hAnsi="Arial Narrow"/>
                <w:sz w:val="20"/>
              </w:rPr>
              <w:t xml:space="preserve"> pre-exposure prophylaxis: Lipid results of </w:t>
            </w:r>
            <w:proofErr w:type="spellStart"/>
            <w:r w:rsidRPr="003C53F6">
              <w:rPr>
                <w:rFonts w:ascii="Arial Narrow" w:hAnsi="Arial Narrow"/>
                <w:sz w:val="20"/>
              </w:rPr>
              <w:t>iPrEx</w:t>
            </w:r>
            <w:proofErr w:type="spellEnd"/>
            <w:r w:rsidRPr="003C53F6">
              <w:rPr>
                <w:rFonts w:ascii="Arial Narrow" w:hAnsi="Arial Narrow"/>
                <w:sz w:val="20"/>
              </w:rPr>
              <w:t>.</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Solomon MM, Lama JR, Glidden DV, Mulligan K, et al. Changes in renal function associated with oral </w:t>
            </w:r>
            <w:proofErr w:type="spellStart"/>
            <w:r w:rsidRPr="003C53F6">
              <w:rPr>
                <w:rFonts w:ascii="Arial Narrow" w:hAnsi="Arial Narrow"/>
                <w:sz w:val="20"/>
              </w:rPr>
              <w:t>emtricitabine</w:t>
            </w:r>
            <w:proofErr w:type="spellEnd"/>
            <w:r w:rsidRPr="003C53F6">
              <w:rPr>
                <w:rFonts w:ascii="Arial Narrow" w:hAnsi="Arial Narrow"/>
                <w:sz w:val="20"/>
              </w:rPr>
              <w:t>/</w:t>
            </w:r>
            <w:proofErr w:type="spellStart"/>
            <w:r w:rsidRPr="003C53F6">
              <w:rPr>
                <w:rFonts w:ascii="Arial Narrow" w:hAnsi="Arial Narrow"/>
                <w:sz w:val="20"/>
              </w:rPr>
              <w:t>tenofovir</w:t>
            </w:r>
            <w:proofErr w:type="spellEnd"/>
            <w:r w:rsidRPr="003C53F6">
              <w:rPr>
                <w:rFonts w:ascii="Arial Narrow" w:hAnsi="Arial Narrow"/>
                <w:sz w:val="20"/>
              </w:rPr>
              <w:t xml:space="preserve"> </w:t>
            </w:r>
            <w:proofErr w:type="spellStart"/>
            <w:r w:rsidRPr="003C53F6">
              <w:rPr>
                <w:rFonts w:ascii="Arial Narrow" w:hAnsi="Arial Narrow"/>
                <w:sz w:val="20"/>
              </w:rPr>
              <w:t>disoproxil</w:t>
            </w:r>
            <w:proofErr w:type="spellEnd"/>
            <w:r w:rsidRPr="003C53F6">
              <w:rPr>
                <w:rFonts w:ascii="Arial Narrow" w:hAnsi="Arial Narrow"/>
                <w:sz w:val="20"/>
              </w:rPr>
              <w:t xml:space="preserve"> </w:t>
            </w:r>
            <w:proofErr w:type="spellStart"/>
            <w:r w:rsidRPr="003C53F6">
              <w:rPr>
                <w:rFonts w:ascii="Arial Narrow" w:hAnsi="Arial Narrow"/>
                <w:sz w:val="20"/>
              </w:rPr>
              <w:t>fumarate</w:t>
            </w:r>
            <w:proofErr w:type="spellEnd"/>
            <w:r w:rsidRPr="003C53F6">
              <w:rPr>
                <w:rFonts w:ascii="Arial Narrow" w:hAnsi="Arial Narrow"/>
                <w:sz w:val="20"/>
              </w:rPr>
              <w:t xml:space="preserve"> use for </w:t>
            </w:r>
            <w:r w:rsidRPr="003C53F6">
              <w:rPr>
                <w:rFonts w:ascii="Arial Narrow" w:hAnsi="Arial Narrow"/>
                <w:sz w:val="20"/>
              </w:rPr>
              <w:lastRenderedPageBreak/>
              <w:t xml:space="preserve">HIV pre-exposure prophylaxis.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Tangmunkongvorakul</w:t>
            </w:r>
            <w:proofErr w:type="spellEnd"/>
            <w:r w:rsidRPr="003C53F6">
              <w:rPr>
                <w:rFonts w:ascii="Arial Narrow" w:hAnsi="Arial Narrow"/>
                <w:sz w:val="20"/>
              </w:rPr>
              <w:t xml:space="preserve"> A, </w:t>
            </w:r>
            <w:proofErr w:type="spellStart"/>
            <w:r w:rsidRPr="003C53F6">
              <w:rPr>
                <w:rFonts w:ascii="Arial Narrow" w:hAnsi="Arial Narrow"/>
                <w:sz w:val="20"/>
              </w:rPr>
              <w:t>Chariyalertsak</w:t>
            </w:r>
            <w:proofErr w:type="spellEnd"/>
            <w:r w:rsidRPr="003C53F6">
              <w:rPr>
                <w:rFonts w:ascii="Arial Narrow" w:hAnsi="Arial Narrow"/>
                <w:sz w:val="20"/>
              </w:rPr>
              <w:t xml:space="preserve"> S, </w:t>
            </w:r>
            <w:proofErr w:type="spellStart"/>
            <w:r w:rsidRPr="003C53F6">
              <w:rPr>
                <w:rFonts w:ascii="Arial Narrow" w:hAnsi="Arial Narrow"/>
                <w:sz w:val="20"/>
              </w:rPr>
              <w:t>Amico</w:t>
            </w:r>
            <w:proofErr w:type="spellEnd"/>
            <w:r w:rsidRPr="003C53F6">
              <w:rPr>
                <w:rFonts w:ascii="Arial Narrow" w:hAnsi="Arial Narrow"/>
                <w:sz w:val="20"/>
              </w:rPr>
              <w:t xml:space="preserve"> KR, </w:t>
            </w:r>
            <w:proofErr w:type="spellStart"/>
            <w:r w:rsidRPr="003C53F6">
              <w:rPr>
                <w:rFonts w:ascii="Arial Narrow" w:hAnsi="Arial Narrow"/>
                <w:sz w:val="20"/>
              </w:rPr>
              <w:t>Saokhieo</w:t>
            </w:r>
            <w:proofErr w:type="spellEnd"/>
            <w:r w:rsidRPr="003C53F6">
              <w:rPr>
                <w:rFonts w:ascii="Arial Narrow" w:hAnsi="Arial Narrow"/>
                <w:sz w:val="20"/>
              </w:rPr>
              <w:t xml:space="preserve"> P, et al. Facilitators and barriers to medication adherence in an HIV prevention study among men who have sex with men in the </w:t>
            </w:r>
            <w:proofErr w:type="spellStart"/>
            <w:r w:rsidRPr="003C53F6">
              <w:rPr>
                <w:rFonts w:ascii="Arial Narrow" w:hAnsi="Arial Narrow"/>
                <w:sz w:val="20"/>
              </w:rPr>
              <w:t>iPrEx</w:t>
            </w:r>
            <w:proofErr w:type="spellEnd"/>
            <w:r w:rsidRPr="003C53F6">
              <w:rPr>
                <w:rFonts w:ascii="Arial Narrow" w:hAnsi="Arial Narrow"/>
                <w:sz w:val="20"/>
              </w:rPr>
              <w:t xml:space="preserve"> study in Chiang Mai, Thailand.</w:t>
            </w:r>
          </w:p>
        </w:tc>
        <w:tc>
          <w:tcPr>
            <w:tcW w:w="2084" w:type="pct"/>
          </w:tcPr>
          <w:p w:rsidR="00886719" w:rsidRPr="003C53F6" w:rsidRDefault="00886719" w:rsidP="009676AF">
            <w:pPr>
              <w:pStyle w:val="Table"/>
            </w:pPr>
            <w:r w:rsidRPr="003C53F6">
              <w:rPr>
                <w:rFonts w:ascii="Arial Narrow" w:hAnsi="Arial Narrow"/>
              </w:rPr>
              <w:lastRenderedPageBreak/>
              <w:t>24 March 2011</w:t>
            </w:r>
            <w:r w:rsidRPr="003C53F6">
              <w:t xml:space="preserve">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New </w:t>
            </w:r>
            <w:proofErr w:type="spellStart"/>
            <w:r w:rsidRPr="003C53F6">
              <w:rPr>
                <w:rFonts w:ascii="Arial Narrow" w:hAnsi="Arial Narrow"/>
                <w:i/>
                <w:sz w:val="20"/>
              </w:rPr>
              <w:t>Engl</w:t>
            </w:r>
            <w:proofErr w:type="spellEnd"/>
            <w:r w:rsidRPr="003C53F6">
              <w:rPr>
                <w:rFonts w:ascii="Arial Narrow" w:hAnsi="Arial Narrow"/>
                <w:i/>
                <w:sz w:val="20"/>
              </w:rPr>
              <w:t xml:space="preserve"> J Med </w:t>
            </w:r>
            <w:r w:rsidRPr="003C53F6">
              <w:rPr>
                <w:rFonts w:ascii="Arial Narrow" w:hAnsi="Arial Narrow"/>
                <w:sz w:val="20"/>
              </w:rPr>
              <w:t>2010; 363:2587-2599.</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6B7196" w:rsidRDefault="006B7196"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AIDS &amp; </w:t>
            </w:r>
            <w:proofErr w:type="spellStart"/>
            <w:r w:rsidRPr="003C53F6">
              <w:rPr>
                <w:rFonts w:ascii="Arial Narrow" w:hAnsi="Arial Narrow"/>
                <w:i/>
                <w:sz w:val="20"/>
              </w:rPr>
              <w:t>Behavior</w:t>
            </w:r>
            <w:proofErr w:type="spellEnd"/>
            <w:r w:rsidRPr="003C53F6">
              <w:rPr>
                <w:rFonts w:ascii="Arial Narrow" w:hAnsi="Arial Narrow"/>
                <w:sz w:val="20"/>
              </w:rPr>
              <w:t xml:space="preserve"> 2012; 16 (5):1243-1259.</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6B7196" w:rsidRDefault="006B7196" w:rsidP="009676AF">
            <w:pPr>
              <w:jc w:val="left"/>
              <w:rPr>
                <w:rFonts w:ascii="Arial Narrow" w:hAnsi="Arial Narrow"/>
                <w:i/>
                <w:sz w:val="20"/>
              </w:rPr>
            </w:pPr>
          </w:p>
          <w:p w:rsidR="006B7196" w:rsidRDefault="006B7196"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Journal of Acquired Immune Deficiency Syndromes </w:t>
            </w:r>
            <w:r w:rsidRPr="003C53F6">
              <w:rPr>
                <w:rFonts w:ascii="Arial Narrow" w:hAnsi="Arial Narrow"/>
                <w:sz w:val="20"/>
              </w:rPr>
              <w:t>2014; 66 (5):530-537.</w:t>
            </w:r>
          </w:p>
          <w:p w:rsidR="00886719" w:rsidRPr="003C53F6" w:rsidRDefault="00886719" w:rsidP="009676AF">
            <w:pPr>
              <w:jc w:val="left"/>
              <w:rPr>
                <w:rFonts w:ascii="Arial Narrow" w:hAnsi="Arial Narrow"/>
                <w:sz w:val="20"/>
              </w:rPr>
            </w:pPr>
            <w:bookmarkStart w:id="7" w:name="_GoBack"/>
            <w:bookmarkEnd w:id="7"/>
          </w:p>
          <w:p w:rsidR="00886719" w:rsidRPr="003C53F6" w:rsidRDefault="00886719" w:rsidP="009676AF">
            <w:pPr>
              <w:spacing w:before="240"/>
              <w:jc w:val="left"/>
              <w:rPr>
                <w:rFonts w:ascii="Arial Narrow" w:hAnsi="Arial Narrow"/>
                <w:sz w:val="20"/>
              </w:rPr>
            </w:pPr>
            <w:r w:rsidRPr="003C53F6">
              <w:rPr>
                <w:rFonts w:ascii="Arial Narrow" w:hAnsi="Arial Narrow"/>
                <w:i/>
                <w:sz w:val="20"/>
              </w:rPr>
              <w:t>Science Translational Medicine</w:t>
            </w:r>
            <w:r w:rsidRPr="003C53F6">
              <w:rPr>
                <w:rFonts w:ascii="Arial Narrow" w:hAnsi="Arial Narrow"/>
                <w:sz w:val="20"/>
              </w:rPr>
              <w:t xml:space="preserve"> 2012; 4 (151):151ra125.</w:t>
            </w:r>
          </w:p>
          <w:p w:rsidR="00886719" w:rsidRPr="003C53F6" w:rsidRDefault="00886719" w:rsidP="009676AF">
            <w:pPr>
              <w:spacing w:before="240"/>
              <w:jc w:val="left"/>
              <w:rPr>
                <w:rFonts w:ascii="Arial Narrow" w:hAnsi="Arial Narrow"/>
                <w:sz w:val="20"/>
              </w:rPr>
            </w:pPr>
          </w:p>
          <w:p w:rsidR="006B7196" w:rsidRDefault="006B7196" w:rsidP="009676AF">
            <w:pPr>
              <w:spacing w:before="240"/>
              <w:jc w:val="left"/>
              <w:rPr>
                <w:rFonts w:ascii="Arial Narrow" w:hAnsi="Arial Narrow"/>
                <w:i/>
                <w:sz w:val="20"/>
              </w:rPr>
            </w:pPr>
          </w:p>
          <w:p w:rsidR="00886719" w:rsidRPr="003C53F6" w:rsidRDefault="00886719" w:rsidP="009676AF">
            <w:pPr>
              <w:spacing w:before="240"/>
              <w:jc w:val="left"/>
              <w:rPr>
                <w:rFonts w:ascii="Arial Narrow" w:hAnsi="Arial Narrow"/>
                <w:sz w:val="20"/>
              </w:rPr>
            </w:pPr>
            <w:r w:rsidRPr="003C53F6">
              <w:rPr>
                <w:rFonts w:ascii="Arial Narrow" w:hAnsi="Arial Narrow"/>
                <w:i/>
                <w:sz w:val="20"/>
              </w:rPr>
              <w:t>The Lancet Infectious Diseases</w:t>
            </w:r>
            <w:r w:rsidRPr="003C53F6">
              <w:rPr>
                <w:rFonts w:ascii="Arial Narrow" w:hAnsi="Arial Narrow"/>
                <w:sz w:val="20"/>
              </w:rPr>
              <w:t xml:space="preserve"> 2014; 14 (6):468-475.</w:t>
            </w:r>
          </w:p>
          <w:p w:rsidR="00886719" w:rsidRPr="003C53F6" w:rsidRDefault="00886719" w:rsidP="009676AF">
            <w:pPr>
              <w:spacing w:before="240"/>
              <w:jc w:val="left"/>
              <w:rPr>
                <w:rFonts w:ascii="Arial Narrow" w:hAnsi="Arial Narrow"/>
                <w:sz w:val="20"/>
              </w:rPr>
            </w:pPr>
          </w:p>
          <w:p w:rsidR="006B7196" w:rsidRDefault="006B7196"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AIDS Patient Care &amp; STDs</w:t>
            </w:r>
            <w:r w:rsidRPr="003C53F6">
              <w:rPr>
                <w:rFonts w:ascii="Arial Narrow" w:hAnsi="Arial Narrow"/>
                <w:sz w:val="20"/>
              </w:rPr>
              <w:t xml:space="preserve"> 2013; 27 (10):560-566.</w:t>
            </w:r>
          </w:p>
          <w:p w:rsidR="00886719" w:rsidRPr="003C53F6" w:rsidRDefault="00886719" w:rsidP="009676AF">
            <w:pPr>
              <w:jc w:val="left"/>
              <w:rPr>
                <w:rFonts w:ascii="Arial Narrow" w:hAnsi="Arial Narrow"/>
                <w:sz w:val="20"/>
              </w:rPr>
            </w:pPr>
          </w:p>
          <w:p w:rsidR="006B7196" w:rsidRDefault="006B7196" w:rsidP="009676AF">
            <w:pPr>
              <w:jc w:val="left"/>
              <w:rPr>
                <w:rFonts w:ascii="Arial Narrow" w:hAnsi="Arial Narrow"/>
                <w:sz w:val="20"/>
              </w:rPr>
            </w:pPr>
          </w:p>
          <w:p w:rsidR="006B7196" w:rsidRDefault="006B7196" w:rsidP="009676AF">
            <w:pPr>
              <w:jc w:val="left"/>
              <w:rPr>
                <w:rFonts w:ascii="Arial Narrow" w:hAnsi="Arial Narrow"/>
                <w:sz w:val="20"/>
              </w:rPr>
            </w:pPr>
          </w:p>
          <w:p w:rsidR="006B7196" w:rsidRDefault="006B7196" w:rsidP="009676AF">
            <w:pPr>
              <w:jc w:val="left"/>
              <w:rPr>
                <w:rFonts w:ascii="Arial Narrow" w:hAnsi="Arial Narrow"/>
                <w:sz w:val="20"/>
              </w:rPr>
            </w:pPr>
          </w:p>
          <w:p w:rsidR="006B7196" w:rsidRDefault="006B7196"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Clinical Microbiology</w:t>
            </w:r>
            <w:r w:rsidRPr="003C53F6">
              <w:rPr>
                <w:rFonts w:ascii="Arial Narrow" w:hAnsi="Arial Narrow"/>
                <w:sz w:val="20"/>
              </w:rPr>
              <w:t xml:space="preserve"> 2015; 53 (1):179-183.</w:t>
            </w:r>
          </w:p>
          <w:p w:rsidR="00886719" w:rsidRPr="003C53F6" w:rsidRDefault="00886719" w:rsidP="009676AF">
            <w:pPr>
              <w:jc w:val="left"/>
              <w:rPr>
                <w:rFonts w:ascii="Arial Narrow" w:hAnsi="Arial Narrow"/>
                <w:sz w:val="20"/>
              </w:rPr>
            </w:pPr>
          </w:p>
          <w:p w:rsidR="000E54D5" w:rsidRPr="003C53F6" w:rsidRDefault="000E54D5"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Proceedings of the National Academy of Sciences of the Unites States of America</w:t>
            </w:r>
            <w:r w:rsidRPr="003C53F6">
              <w:rPr>
                <w:rFonts w:ascii="Arial Narrow" w:hAnsi="Arial Narrow"/>
                <w:sz w:val="20"/>
              </w:rPr>
              <w:t xml:space="preserve"> 2015; 112 (27):8379-8384.</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Infectious Diseases</w:t>
            </w:r>
            <w:r w:rsidRPr="003C53F6">
              <w:rPr>
                <w:rFonts w:ascii="Arial Narrow" w:hAnsi="Arial Narrow"/>
                <w:sz w:val="20"/>
              </w:rPr>
              <w:t xml:space="preserve"> 2014; 210 (8):1217-1227.</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2014; 67 (5):528-537.</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t>PLoS</w:t>
            </w:r>
            <w:proofErr w:type="spellEnd"/>
            <w:r w:rsidRPr="003C53F6">
              <w:rPr>
                <w:rFonts w:ascii="Arial Narrow" w:hAnsi="Arial Narrow"/>
                <w:i/>
                <w:sz w:val="20"/>
              </w:rPr>
              <w:t xml:space="preserve"> ONE</w:t>
            </w:r>
            <w:r w:rsidRPr="003C53F6">
              <w:rPr>
                <w:rFonts w:ascii="Arial Narrow" w:hAnsi="Arial Narrow"/>
                <w:sz w:val="20"/>
              </w:rPr>
              <w:t xml:space="preserve"> 2013; 8 (12):e81997.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t>PLos</w:t>
            </w:r>
            <w:proofErr w:type="spellEnd"/>
            <w:r w:rsidRPr="003C53F6">
              <w:rPr>
                <w:rFonts w:ascii="Arial Narrow" w:hAnsi="Arial Narrow"/>
                <w:i/>
                <w:sz w:val="20"/>
              </w:rPr>
              <w:t xml:space="preserve"> ONE</w:t>
            </w:r>
            <w:r w:rsidRPr="003C53F6">
              <w:rPr>
                <w:rFonts w:ascii="Arial Narrow" w:hAnsi="Arial Narrow"/>
                <w:sz w:val="20"/>
              </w:rPr>
              <w:t xml:space="preserve"> 2014; 9 (3):e91513.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Clinical Infectious Diseases</w:t>
            </w:r>
            <w:r w:rsidRPr="003C53F6">
              <w:rPr>
                <w:rFonts w:ascii="Arial Narrow" w:hAnsi="Arial Narrow"/>
                <w:sz w:val="20"/>
              </w:rPr>
              <w:t xml:space="preserve"> 2015; 61 (4):752-580.</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15th International Workshop on Co-morbidities and Adverse Drug Reactions in HIV</w:t>
            </w:r>
            <w:r w:rsidRPr="003C53F6">
              <w:rPr>
                <w:rFonts w:ascii="Arial Narrow" w:hAnsi="Arial Narrow"/>
                <w:sz w:val="20"/>
              </w:rPr>
              <w:t xml:space="preserve"> 2013.</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AIDS</w:t>
            </w:r>
            <w:r w:rsidRPr="003C53F6">
              <w:rPr>
                <w:rFonts w:ascii="Arial Narrow" w:hAnsi="Arial Narrow"/>
                <w:sz w:val="20"/>
              </w:rPr>
              <w:t xml:space="preserve"> 2014; 28 (6):851-859.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b/>
                <w:sz w:val="20"/>
              </w:rPr>
            </w:pPr>
            <w:r w:rsidRPr="003C53F6">
              <w:rPr>
                <w:rFonts w:ascii="Arial Narrow" w:hAnsi="Arial Narrow"/>
                <w:i/>
                <w:sz w:val="20"/>
              </w:rPr>
              <w:lastRenderedPageBreak/>
              <w:t xml:space="preserve">AIDS Care </w:t>
            </w:r>
            <w:r w:rsidRPr="003C53F6">
              <w:rPr>
                <w:rFonts w:ascii="Arial Narrow" w:hAnsi="Arial Narrow"/>
                <w:sz w:val="20"/>
              </w:rPr>
              <w:t>2013; 25 (8):961-967.</w:t>
            </w:r>
          </w:p>
        </w:tc>
      </w:tr>
      <w:tr w:rsidR="00886719" w:rsidRPr="003C53F6" w:rsidTr="000E54D5">
        <w:tc>
          <w:tcPr>
            <w:tcW w:w="796" w:type="pct"/>
          </w:tcPr>
          <w:p w:rsidR="00886719" w:rsidRPr="003C53F6" w:rsidRDefault="00886719" w:rsidP="009676AF">
            <w:pPr>
              <w:jc w:val="left"/>
              <w:rPr>
                <w:rFonts w:ascii="Arial Narrow" w:hAnsi="Arial Narrow"/>
                <w:sz w:val="20"/>
              </w:rPr>
            </w:pPr>
            <w:r w:rsidRPr="003C53F6">
              <w:rPr>
                <w:rFonts w:ascii="Arial Narrow" w:hAnsi="Arial Narrow"/>
                <w:sz w:val="20"/>
              </w:rPr>
              <w:lastRenderedPageBreak/>
              <w:t xml:space="preserve">Partners </w:t>
            </w:r>
            <w:proofErr w:type="spellStart"/>
            <w:r w:rsidRPr="003C53F6">
              <w:rPr>
                <w:rFonts w:ascii="Arial Narrow" w:hAnsi="Arial Narrow"/>
                <w:sz w:val="20"/>
              </w:rPr>
              <w:t>PrEP</w:t>
            </w:r>
            <w:proofErr w:type="spellEnd"/>
          </w:p>
          <w:p w:rsidR="00886719" w:rsidRPr="003C53F6" w:rsidRDefault="00886719" w:rsidP="009676AF">
            <w:pPr>
              <w:jc w:val="left"/>
              <w:rPr>
                <w:rFonts w:ascii="Arial Narrow" w:hAnsi="Arial Narrow"/>
                <w:sz w:val="20"/>
              </w:rPr>
            </w:pPr>
            <w:r w:rsidRPr="003C53F6">
              <w:rPr>
                <w:rFonts w:ascii="Arial Narrow" w:hAnsi="Arial Narrow"/>
                <w:sz w:val="20"/>
              </w:rPr>
              <w:t>NCT: 00557245</w:t>
            </w:r>
          </w:p>
        </w:tc>
        <w:tc>
          <w:tcPr>
            <w:tcW w:w="2120" w:type="pct"/>
          </w:tcPr>
          <w:p w:rsidR="00886719" w:rsidRPr="003C53F6" w:rsidRDefault="00886719" w:rsidP="009676AF">
            <w:pPr>
              <w:jc w:val="left"/>
              <w:rPr>
                <w:rFonts w:ascii="Arial Narrow" w:hAnsi="Arial Narrow"/>
                <w:sz w:val="20"/>
              </w:rPr>
            </w:pPr>
            <w:r w:rsidRPr="003C53F6">
              <w:rPr>
                <w:rFonts w:ascii="Arial Narrow" w:hAnsi="Arial Narrow"/>
                <w:sz w:val="20"/>
              </w:rPr>
              <w:t xml:space="preserve">Parallel Comparison of </w:t>
            </w:r>
            <w:proofErr w:type="spellStart"/>
            <w:r w:rsidRPr="003C53F6">
              <w:rPr>
                <w:rFonts w:ascii="Arial Narrow" w:hAnsi="Arial Narrow"/>
                <w:sz w:val="20"/>
              </w:rPr>
              <w:t>Tenofovir</w:t>
            </w:r>
            <w:proofErr w:type="spellEnd"/>
            <w:r w:rsidRPr="003C53F6">
              <w:rPr>
                <w:rFonts w:ascii="Arial Narrow" w:hAnsi="Arial Narrow"/>
                <w:sz w:val="20"/>
              </w:rPr>
              <w:t xml:space="preserve"> and </w:t>
            </w:r>
            <w:proofErr w:type="spellStart"/>
            <w:r w:rsidRPr="003C53F6">
              <w:rPr>
                <w:rFonts w:ascii="Arial Narrow" w:hAnsi="Arial Narrow"/>
                <w:sz w:val="20"/>
              </w:rPr>
              <w:t>Emtricitabine</w:t>
            </w:r>
            <w:proofErr w:type="spellEnd"/>
            <w:r w:rsidRPr="003C53F6">
              <w:rPr>
                <w:rFonts w:ascii="Arial Narrow" w:hAnsi="Arial Narrow"/>
                <w:sz w:val="20"/>
              </w:rPr>
              <w:t>/</w:t>
            </w:r>
            <w:proofErr w:type="spellStart"/>
            <w:r w:rsidRPr="003C53F6">
              <w:rPr>
                <w:rFonts w:ascii="Arial Narrow" w:hAnsi="Arial Narrow"/>
                <w:sz w:val="20"/>
              </w:rPr>
              <w:t>tenofovir</w:t>
            </w:r>
            <w:proofErr w:type="spellEnd"/>
            <w:r w:rsidRPr="003C53F6">
              <w:rPr>
                <w:rFonts w:ascii="Arial Narrow" w:hAnsi="Arial Narrow"/>
                <w:sz w:val="20"/>
              </w:rPr>
              <w:t xml:space="preserve"> Pre-Exposure Prophylaxis to Prevent HIV-1 Acquisition within HIV-1 Discordant Couples.</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Baeten</w:t>
            </w:r>
            <w:proofErr w:type="spellEnd"/>
            <w:r w:rsidRPr="003C53F6">
              <w:rPr>
                <w:rFonts w:ascii="Arial Narrow" w:hAnsi="Arial Narrow"/>
                <w:sz w:val="20"/>
              </w:rPr>
              <w:t xml:space="preserve">, JM, Donnell, D, </w:t>
            </w:r>
            <w:proofErr w:type="spellStart"/>
            <w:r w:rsidRPr="003C53F6">
              <w:rPr>
                <w:rFonts w:ascii="Arial Narrow" w:hAnsi="Arial Narrow"/>
                <w:sz w:val="20"/>
              </w:rPr>
              <w:t>Ndase</w:t>
            </w:r>
            <w:proofErr w:type="spellEnd"/>
            <w:r w:rsidRPr="003C53F6">
              <w:rPr>
                <w:rFonts w:ascii="Arial Narrow" w:hAnsi="Arial Narrow"/>
                <w:sz w:val="20"/>
              </w:rPr>
              <w:t xml:space="preserve">, P, </w:t>
            </w:r>
            <w:proofErr w:type="spellStart"/>
            <w:r w:rsidRPr="003C53F6">
              <w:rPr>
                <w:rFonts w:ascii="Arial Narrow" w:hAnsi="Arial Narrow"/>
                <w:sz w:val="20"/>
              </w:rPr>
              <w:t>Mugo</w:t>
            </w:r>
            <w:proofErr w:type="spellEnd"/>
            <w:r w:rsidRPr="003C53F6">
              <w:rPr>
                <w:rFonts w:ascii="Arial Narrow" w:hAnsi="Arial Narrow"/>
                <w:sz w:val="20"/>
              </w:rPr>
              <w:t xml:space="preserve">, NR, Campbell, JD, </w:t>
            </w:r>
            <w:proofErr w:type="spellStart"/>
            <w:r w:rsidRPr="003C53F6">
              <w:rPr>
                <w:rFonts w:ascii="Arial Narrow" w:hAnsi="Arial Narrow"/>
                <w:sz w:val="20"/>
              </w:rPr>
              <w:t>Wangisi</w:t>
            </w:r>
            <w:proofErr w:type="spellEnd"/>
            <w:r w:rsidRPr="003C53F6">
              <w:rPr>
                <w:rFonts w:ascii="Arial Narrow" w:hAnsi="Arial Narrow"/>
                <w:sz w:val="20"/>
              </w:rPr>
              <w:t xml:space="preserve">, J, et al. Antiretroviral Prophylaxis for HIV Prevention in Heterosexual Men and Women.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Baeten</w:t>
            </w:r>
            <w:proofErr w:type="spellEnd"/>
            <w:r w:rsidRPr="003C53F6">
              <w:rPr>
                <w:rFonts w:ascii="Arial Narrow" w:hAnsi="Arial Narrow"/>
                <w:sz w:val="20"/>
              </w:rPr>
              <w:t xml:space="preserve"> JM, Donnell D, </w:t>
            </w:r>
            <w:proofErr w:type="spellStart"/>
            <w:r w:rsidRPr="003C53F6">
              <w:rPr>
                <w:rFonts w:ascii="Arial Narrow" w:hAnsi="Arial Narrow"/>
                <w:sz w:val="20"/>
              </w:rPr>
              <w:t>Mugo</w:t>
            </w:r>
            <w:proofErr w:type="spellEnd"/>
            <w:r w:rsidRPr="003C53F6">
              <w:rPr>
                <w:rFonts w:ascii="Arial Narrow" w:hAnsi="Arial Narrow"/>
                <w:sz w:val="20"/>
              </w:rPr>
              <w:t xml:space="preserve"> NR, </w:t>
            </w:r>
            <w:proofErr w:type="spellStart"/>
            <w:r w:rsidRPr="003C53F6">
              <w:rPr>
                <w:rFonts w:ascii="Arial Narrow" w:hAnsi="Arial Narrow"/>
                <w:sz w:val="20"/>
              </w:rPr>
              <w:t>Ndase</w:t>
            </w:r>
            <w:proofErr w:type="spellEnd"/>
            <w:r w:rsidRPr="003C53F6">
              <w:rPr>
                <w:rFonts w:ascii="Arial Narrow" w:hAnsi="Arial Narrow"/>
                <w:sz w:val="20"/>
              </w:rPr>
              <w:t xml:space="preserve"> P, et al. Single-agent </w:t>
            </w:r>
            <w:proofErr w:type="spellStart"/>
            <w:r w:rsidRPr="003C53F6">
              <w:rPr>
                <w:rFonts w:ascii="Arial Narrow" w:hAnsi="Arial Narrow"/>
                <w:sz w:val="20"/>
              </w:rPr>
              <w:t>tenofovir</w:t>
            </w:r>
            <w:proofErr w:type="spellEnd"/>
            <w:r w:rsidRPr="003C53F6">
              <w:rPr>
                <w:rFonts w:ascii="Arial Narrow" w:hAnsi="Arial Narrow"/>
                <w:sz w:val="20"/>
              </w:rPr>
              <w:t xml:space="preserve"> versus combination </w:t>
            </w:r>
            <w:proofErr w:type="spellStart"/>
            <w:r w:rsidRPr="003C53F6">
              <w:rPr>
                <w:rFonts w:ascii="Arial Narrow" w:hAnsi="Arial Narrow"/>
                <w:sz w:val="20"/>
              </w:rPr>
              <w:t>emtricitabine</w:t>
            </w:r>
            <w:proofErr w:type="spellEnd"/>
            <w:r w:rsidRPr="003C53F6">
              <w:rPr>
                <w:rFonts w:ascii="Arial Narrow" w:hAnsi="Arial Narrow"/>
                <w:sz w:val="20"/>
              </w:rPr>
              <w:t xml:space="preserve"> plus </w:t>
            </w:r>
            <w:proofErr w:type="spellStart"/>
            <w:r w:rsidRPr="003C53F6">
              <w:rPr>
                <w:rFonts w:ascii="Arial Narrow" w:hAnsi="Arial Narrow"/>
                <w:sz w:val="20"/>
              </w:rPr>
              <w:t>tenofovir</w:t>
            </w:r>
            <w:proofErr w:type="spellEnd"/>
            <w:r w:rsidRPr="003C53F6">
              <w:rPr>
                <w:rFonts w:ascii="Arial Narrow" w:hAnsi="Arial Narrow"/>
                <w:sz w:val="20"/>
              </w:rPr>
              <w:t xml:space="preserve"> for pre-exposure prophylaxis for HIV-1 acquisition: an update of data from a randomised, double-blind, phase 3 </w:t>
            </w:r>
            <w:proofErr w:type="gramStart"/>
            <w:r w:rsidRPr="003C53F6">
              <w:rPr>
                <w:rFonts w:ascii="Arial Narrow" w:hAnsi="Arial Narrow"/>
                <w:sz w:val="20"/>
              </w:rPr>
              <w:t>trial</w:t>
            </w:r>
            <w:proofErr w:type="gramEnd"/>
            <w:r w:rsidRPr="003C53F6">
              <w:rPr>
                <w:rFonts w:ascii="Arial Narrow" w:hAnsi="Arial Narrow"/>
                <w:sz w:val="20"/>
              </w:rPr>
              <w:t xml:space="preserve">.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Celum</w:t>
            </w:r>
            <w:proofErr w:type="spellEnd"/>
            <w:r w:rsidRPr="003C53F6">
              <w:rPr>
                <w:rFonts w:ascii="Arial Narrow" w:hAnsi="Arial Narrow"/>
                <w:sz w:val="20"/>
              </w:rPr>
              <w:t xml:space="preserve"> C, Morrow R, Donnell D, Hong T, et al. Daily Oral </w:t>
            </w:r>
            <w:proofErr w:type="spellStart"/>
            <w:r w:rsidRPr="003C53F6">
              <w:rPr>
                <w:rFonts w:ascii="Arial Narrow" w:hAnsi="Arial Narrow"/>
                <w:sz w:val="20"/>
              </w:rPr>
              <w:t>Emtricitabine</w:t>
            </w:r>
            <w:proofErr w:type="spellEnd"/>
            <w:r w:rsidRPr="003C53F6">
              <w:rPr>
                <w:rFonts w:ascii="Arial Narrow" w:hAnsi="Arial Narrow"/>
                <w:sz w:val="20"/>
              </w:rPr>
              <w:t>/</w:t>
            </w:r>
            <w:proofErr w:type="spellStart"/>
            <w:r w:rsidRPr="003C53F6">
              <w:rPr>
                <w:rFonts w:ascii="Arial Narrow" w:hAnsi="Arial Narrow"/>
                <w:sz w:val="20"/>
              </w:rPr>
              <w:t>Tenofovir</w:t>
            </w:r>
            <w:proofErr w:type="spellEnd"/>
            <w:r w:rsidRPr="003C53F6">
              <w:rPr>
                <w:rFonts w:ascii="Arial Narrow" w:hAnsi="Arial Narrow"/>
                <w:sz w:val="20"/>
              </w:rPr>
              <w:t xml:space="preserve"> Pre-Exposure Prophylaxis and Prevention of HSV-2 Acquisition Among Heterosexual Men and Women.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Donnell D, </w:t>
            </w:r>
            <w:proofErr w:type="spellStart"/>
            <w:r w:rsidRPr="003C53F6">
              <w:rPr>
                <w:rFonts w:ascii="Arial Narrow" w:hAnsi="Arial Narrow"/>
                <w:sz w:val="20"/>
              </w:rPr>
              <w:t>Baeten</w:t>
            </w:r>
            <w:proofErr w:type="spellEnd"/>
            <w:r w:rsidRPr="003C53F6">
              <w:rPr>
                <w:rFonts w:ascii="Arial Narrow" w:hAnsi="Arial Narrow"/>
                <w:sz w:val="20"/>
              </w:rPr>
              <w:t xml:space="preserve"> JM, </w:t>
            </w:r>
            <w:proofErr w:type="spellStart"/>
            <w:r w:rsidRPr="003C53F6">
              <w:rPr>
                <w:rFonts w:ascii="Arial Narrow" w:hAnsi="Arial Narrow"/>
                <w:sz w:val="20"/>
              </w:rPr>
              <w:t>Bumpus</w:t>
            </w:r>
            <w:proofErr w:type="spellEnd"/>
            <w:r w:rsidRPr="003C53F6">
              <w:rPr>
                <w:rFonts w:ascii="Arial Narrow" w:hAnsi="Arial Narrow"/>
                <w:sz w:val="20"/>
              </w:rPr>
              <w:t xml:space="preserve"> NN, Brantley J, et al. HIV protective efficacy and correlates of </w:t>
            </w:r>
            <w:proofErr w:type="spellStart"/>
            <w:r w:rsidRPr="003C53F6">
              <w:rPr>
                <w:rFonts w:ascii="Arial Narrow" w:hAnsi="Arial Narrow"/>
                <w:sz w:val="20"/>
              </w:rPr>
              <w:t>tenofovir</w:t>
            </w:r>
            <w:proofErr w:type="spellEnd"/>
            <w:r w:rsidRPr="003C53F6">
              <w:rPr>
                <w:rFonts w:ascii="Arial Narrow" w:hAnsi="Arial Narrow"/>
                <w:sz w:val="20"/>
              </w:rPr>
              <w:t xml:space="preserve"> blood concentrations in a clinical trial of </w:t>
            </w:r>
            <w:proofErr w:type="spellStart"/>
            <w:r w:rsidRPr="003C53F6">
              <w:rPr>
                <w:rFonts w:ascii="Arial Narrow" w:hAnsi="Arial Narrow"/>
                <w:sz w:val="20"/>
              </w:rPr>
              <w:t>PrEP</w:t>
            </w:r>
            <w:proofErr w:type="spellEnd"/>
            <w:r w:rsidRPr="003C53F6">
              <w:rPr>
                <w:rFonts w:ascii="Arial Narrow" w:hAnsi="Arial Narrow"/>
                <w:sz w:val="20"/>
              </w:rPr>
              <w:t xml:space="preserve"> for HIV prevention.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Haberer</w:t>
            </w:r>
            <w:proofErr w:type="spellEnd"/>
            <w:r w:rsidRPr="003C53F6">
              <w:rPr>
                <w:rFonts w:ascii="Arial Narrow" w:hAnsi="Arial Narrow"/>
                <w:sz w:val="20"/>
              </w:rPr>
              <w:t xml:space="preserve"> JE, </w:t>
            </w:r>
            <w:proofErr w:type="spellStart"/>
            <w:r w:rsidRPr="003C53F6">
              <w:rPr>
                <w:rFonts w:ascii="Arial Narrow" w:hAnsi="Arial Narrow"/>
                <w:sz w:val="20"/>
              </w:rPr>
              <w:t>Baeten</w:t>
            </w:r>
            <w:proofErr w:type="spellEnd"/>
            <w:r w:rsidRPr="003C53F6">
              <w:rPr>
                <w:rFonts w:ascii="Arial Narrow" w:hAnsi="Arial Narrow"/>
                <w:sz w:val="20"/>
              </w:rPr>
              <w:t xml:space="preserve"> JM, Campbell J, </w:t>
            </w:r>
            <w:proofErr w:type="spellStart"/>
            <w:proofErr w:type="gramStart"/>
            <w:r w:rsidRPr="003C53F6">
              <w:rPr>
                <w:rFonts w:ascii="Arial Narrow" w:hAnsi="Arial Narrow"/>
                <w:sz w:val="20"/>
              </w:rPr>
              <w:t>Wangisi</w:t>
            </w:r>
            <w:proofErr w:type="spellEnd"/>
            <w:proofErr w:type="gramEnd"/>
            <w:r w:rsidRPr="003C53F6">
              <w:rPr>
                <w:rFonts w:ascii="Arial Narrow" w:hAnsi="Arial Narrow"/>
                <w:sz w:val="20"/>
              </w:rPr>
              <w:t xml:space="preserve"> J, et al. Adherence to antiretroviral prophylaxis for HIV prevention: a </w:t>
            </w:r>
            <w:proofErr w:type="spellStart"/>
            <w:r w:rsidRPr="003C53F6">
              <w:rPr>
                <w:rFonts w:ascii="Arial Narrow" w:hAnsi="Arial Narrow"/>
                <w:sz w:val="20"/>
              </w:rPr>
              <w:t>substudy</w:t>
            </w:r>
            <w:proofErr w:type="spellEnd"/>
            <w:r w:rsidRPr="003C53F6">
              <w:rPr>
                <w:rFonts w:ascii="Arial Narrow" w:hAnsi="Arial Narrow"/>
                <w:sz w:val="20"/>
              </w:rPr>
              <w:t xml:space="preserve"> cohort within a clinical trial of </w:t>
            </w:r>
            <w:proofErr w:type="spellStart"/>
            <w:r w:rsidRPr="003C53F6">
              <w:rPr>
                <w:rFonts w:ascii="Arial Narrow" w:hAnsi="Arial Narrow"/>
                <w:sz w:val="20"/>
              </w:rPr>
              <w:t>serodiscordant</w:t>
            </w:r>
            <w:proofErr w:type="spellEnd"/>
            <w:r w:rsidRPr="003C53F6">
              <w:rPr>
                <w:rFonts w:ascii="Arial Narrow" w:hAnsi="Arial Narrow"/>
                <w:sz w:val="20"/>
              </w:rPr>
              <w:t xml:space="preserve"> couples in East Africa.</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Haberer</w:t>
            </w:r>
            <w:proofErr w:type="spellEnd"/>
            <w:r w:rsidRPr="003C53F6">
              <w:rPr>
                <w:rFonts w:ascii="Arial Narrow" w:hAnsi="Arial Narrow"/>
                <w:sz w:val="20"/>
              </w:rPr>
              <w:t xml:space="preserve"> J, </w:t>
            </w:r>
            <w:proofErr w:type="spellStart"/>
            <w:r w:rsidRPr="003C53F6">
              <w:rPr>
                <w:rFonts w:ascii="Arial Narrow" w:hAnsi="Arial Narrow"/>
                <w:sz w:val="20"/>
              </w:rPr>
              <w:t>Baeten</w:t>
            </w:r>
            <w:proofErr w:type="spellEnd"/>
            <w:r w:rsidRPr="003C53F6">
              <w:rPr>
                <w:rFonts w:ascii="Arial Narrow" w:hAnsi="Arial Narrow"/>
                <w:sz w:val="20"/>
              </w:rPr>
              <w:t xml:space="preserve"> J, </w:t>
            </w:r>
            <w:proofErr w:type="spellStart"/>
            <w:r w:rsidRPr="003C53F6">
              <w:rPr>
                <w:rFonts w:ascii="Arial Narrow" w:hAnsi="Arial Narrow"/>
                <w:sz w:val="20"/>
              </w:rPr>
              <w:t>Celum</w:t>
            </w:r>
            <w:proofErr w:type="spellEnd"/>
            <w:r w:rsidRPr="003C53F6">
              <w:rPr>
                <w:rFonts w:ascii="Arial Narrow" w:hAnsi="Arial Narrow"/>
                <w:sz w:val="20"/>
              </w:rPr>
              <w:t xml:space="preserve"> C, </w:t>
            </w:r>
            <w:proofErr w:type="spellStart"/>
            <w:r w:rsidRPr="003C53F6">
              <w:rPr>
                <w:rFonts w:ascii="Arial Narrow" w:hAnsi="Arial Narrow"/>
                <w:sz w:val="20"/>
              </w:rPr>
              <w:t>Katibira</w:t>
            </w:r>
            <w:proofErr w:type="spellEnd"/>
            <w:r w:rsidRPr="003C53F6">
              <w:rPr>
                <w:rFonts w:ascii="Arial Narrow" w:hAnsi="Arial Narrow"/>
                <w:sz w:val="20"/>
              </w:rPr>
              <w:t xml:space="preserve"> E, et al. High adherence among HIV-1 </w:t>
            </w:r>
            <w:proofErr w:type="spellStart"/>
            <w:r w:rsidRPr="003C53F6">
              <w:rPr>
                <w:rFonts w:ascii="Arial Narrow" w:hAnsi="Arial Narrow"/>
                <w:sz w:val="20"/>
              </w:rPr>
              <w:t>serodiscordant</w:t>
            </w:r>
            <w:proofErr w:type="spellEnd"/>
            <w:r w:rsidRPr="003C53F6">
              <w:rPr>
                <w:rFonts w:ascii="Arial Narrow" w:hAnsi="Arial Narrow"/>
                <w:sz w:val="20"/>
              </w:rPr>
              <w:t xml:space="preserve"> couples in the partners </w:t>
            </w:r>
            <w:proofErr w:type="spellStart"/>
            <w:r w:rsidRPr="003C53F6">
              <w:rPr>
                <w:rFonts w:ascii="Arial Narrow" w:hAnsi="Arial Narrow"/>
                <w:sz w:val="20"/>
              </w:rPr>
              <w:t>PrEP</w:t>
            </w:r>
            <w:proofErr w:type="spellEnd"/>
            <w:r w:rsidRPr="003C53F6">
              <w:rPr>
                <w:rFonts w:ascii="Arial Narrow" w:hAnsi="Arial Narrow"/>
                <w:sz w:val="20"/>
              </w:rPr>
              <w:t xml:space="preserve"> ancillary adherence study.</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Heffron</w:t>
            </w:r>
            <w:proofErr w:type="spellEnd"/>
            <w:r w:rsidRPr="003C53F6">
              <w:rPr>
                <w:rFonts w:ascii="Arial Narrow" w:hAnsi="Arial Narrow"/>
                <w:sz w:val="20"/>
              </w:rPr>
              <w:t xml:space="preserve"> R, </w:t>
            </w:r>
            <w:proofErr w:type="spellStart"/>
            <w:r w:rsidRPr="003C53F6">
              <w:rPr>
                <w:rFonts w:ascii="Arial Narrow" w:hAnsi="Arial Narrow"/>
                <w:sz w:val="20"/>
              </w:rPr>
              <w:t>Mugo</w:t>
            </w:r>
            <w:proofErr w:type="spellEnd"/>
            <w:r w:rsidRPr="003C53F6">
              <w:rPr>
                <w:rFonts w:ascii="Arial Narrow" w:hAnsi="Arial Narrow"/>
                <w:sz w:val="20"/>
              </w:rPr>
              <w:t xml:space="preserve"> N, Were E, </w:t>
            </w:r>
            <w:proofErr w:type="spellStart"/>
            <w:r w:rsidRPr="003C53F6">
              <w:rPr>
                <w:rFonts w:ascii="Arial Narrow" w:hAnsi="Arial Narrow"/>
                <w:sz w:val="20"/>
              </w:rPr>
              <w:t>Kiarie</w:t>
            </w:r>
            <w:proofErr w:type="spellEnd"/>
            <w:r w:rsidRPr="003C53F6">
              <w:rPr>
                <w:rFonts w:ascii="Arial Narrow" w:hAnsi="Arial Narrow"/>
                <w:sz w:val="20"/>
              </w:rPr>
              <w:t xml:space="preserve"> J, et al.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is efficacious for HIV-1 prevention among women using depot </w:t>
            </w:r>
            <w:proofErr w:type="spellStart"/>
            <w:r w:rsidRPr="003C53F6">
              <w:rPr>
                <w:rFonts w:ascii="Arial Narrow" w:hAnsi="Arial Narrow"/>
                <w:sz w:val="20"/>
              </w:rPr>
              <w:t>medroxyprogesterone</w:t>
            </w:r>
            <w:proofErr w:type="spellEnd"/>
            <w:r w:rsidRPr="003C53F6">
              <w:rPr>
                <w:rFonts w:ascii="Arial Narrow" w:hAnsi="Arial Narrow"/>
                <w:sz w:val="20"/>
              </w:rPr>
              <w:t xml:space="preserve"> acetate for contraception.</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Kintu</w:t>
            </w:r>
            <w:proofErr w:type="spellEnd"/>
            <w:r w:rsidRPr="003C53F6">
              <w:rPr>
                <w:rFonts w:ascii="Arial Narrow" w:hAnsi="Arial Narrow"/>
                <w:sz w:val="20"/>
              </w:rPr>
              <w:t xml:space="preserve"> A, Hankinson SE, </w:t>
            </w:r>
            <w:proofErr w:type="spellStart"/>
            <w:r w:rsidRPr="003C53F6">
              <w:rPr>
                <w:rFonts w:ascii="Arial Narrow" w:hAnsi="Arial Narrow"/>
                <w:sz w:val="20"/>
              </w:rPr>
              <w:t>Balasubramanian</w:t>
            </w:r>
            <w:proofErr w:type="spellEnd"/>
            <w:r w:rsidRPr="003C53F6">
              <w:rPr>
                <w:rFonts w:ascii="Arial Narrow" w:hAnsi="Arial Narrow"/>
                <w:sz w:val="20"/>
              </w:rPr>
              <w:t xml:space="preserve"> R, </w:t>
            </w:r>
            <w:proofErr w:type="spellStart"/>
            <w:r w:rsidRPr="003C53F6">
              <w:rPr>
                <w:rFonts w:ascii="Arial Narrow" w:hAnsi="Arial Narrow"/>
                <w:sz w:val="20"/>
              </w:rPr>
              <w:t>Ertel</w:t>
            </w:r>
            <w:proofErr w:type="spellEnd"/>
            <w:r w:rsidRPr="003C53F6">
              <w:rPr>
                <w:rFonts w:ascii="Arial Narrow" w:hAnsi="Arial Narrow"/>
                <w:sz w:val="20"/>
              </w:rPr>
              <w:t xml:space="preserve"> K, et al. Sexual Relationships Outside Primary Partnerships and Abstinence Are Associated With Lower Adherence and Adherence Gaps: Data From the Partners </w:t>
            </w:r>
            <w:proofErr w:type="spellStart"/>
            <w:r w:rsidRPr="003C53F6">
              <w:rPr>
                <w:rFonts w:ascii="Arial Narrow" w:hAnsi="Arial Narrow"/>
                <w:sz w:val="20"/>
              </w:rPr>
              <w:t>PrEP</w:t>
            </w:r>
            <w:proofErr w:type="spellEnd"/>
            <w:r w:rsidRPr="003C53F6">
              <w:rPr>
                <w:rFonts w:ascii="Arial Narrow" w:hAnsi="Arial Narrow"/>
                <w:sz w:val="20"/>
              </w:rPr>
              <w:t xml:space="preserve"> Ancillary Adherence Study.</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Lehman D, </w:t>
            </w:r>
            <w:proofErr w:type="spellStart"/>
            <w:r w:rsidRPr="003C53F6">
              <w:rPr>
                <w:rFonts w:ascii="Arial Narrow" w:hAnsi="Arial Narrow"/>
                <w:sz w:val="20"/>
              </w:rPr>
              <w:t>Baeten</w:t>
            </w:r>
            <w:proofErr w:type="spellEnd"/>
            <w:r w:rsidRPr="003C53F6">
              <w:rPr>
                <w:rFonts w:ascii="Arial Narrow" w:hAnsi="Arial Narrow"/>
                <w:sz w:val="20"/>
              </w:rPr>
              <w:t xml:space="preserve"> J, McCoy c, Weis J, et al. </w:t>
            </w:r>
            <w:proofErr w:type="spellStart"/>
            <w:r w:rsidRPr="003C53F6">
              <w:rPr>
                <w:rFonts w:ascii="Arial Narrow" w:hAnsi="Arial Narrow"/>
                <w:sz w:val="20"/>
              </w:rPr>
              <w:t>PrEP</w:t>
            </w:r>
            <w:proofErr w:type="spellEnd"/>
            <w:r w:rsidRPr="003C53F6">
              <w:rPr>
                <w:rFonts w:ascii="Arial Narrow" w:hAnsi="Arial Narrow"/>
                <w:sz w:val="20"/>
              </w:rPr>
              <w:t xml:space="preserve"> </w:t>
            </w:r>
            <w:r w:rsidRPr="003C53F6">
              <w:rPr>
                <w:rFonts w:ascii="Arial Narrow" w:hAnsi="Arial Narrow"/>
                <w:sz w:val="20"/>
              </w:rPr>
              <w:lastRenderedPageBreak/>
              <w:t xml:space="preserve">Exposure and the Risk of Low-frequency Drug Resistance.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Matthews LT, </w:t>
            </w:r>
            <w:proofErr w:type="spellStart"/>
            <w:r w:rsidRPr="003C53F6">
              <w:rPr>
                <w:rFonts w:ascii="Arial Narrow" w:hAnsi="Arial Narrow"/>
                <w:sz w:val="20"/>
              </w:rPr>
              <w:t>Heffron</w:t>
            </w:r>
            <w:proofErr w:type="spellEnd"/>
            <w:r w:rsidRPr="003C53F6">
              <w:rPr>
                <w:rFonts w:ascii="Arial Narrow" w:hAnsi="Arial Narrow"/>
                <w:sz w:val="20"/>
              </w:rPr>
              <w:t xml:space="preserve"> R, </w:t>
            </w:r>
            <w:proofErr w:type="spellStart"/>
            <w:r w:rsidRPr="003C53F6">
              <w:rPr>
                <w:rFonts w:ascii="Arial Narrow" w:hAnsi="Arial Narrow"/>
                <w:sz w:val="20"/>
              </w:rPr>
              <w:t>Mugo</w:t>
            </w:r>
            <w:proofErr w:type="spellEnd"/>
            <w:r w:rsidRPr="003C53F6">
              <w:rPr>
                <w:rFonts w:ascii="Arial Narrow" w:hAnsi="Arial Narrow"/>
                <w:sz w:val="20"/>
              </w:rPr>
              <w:t xml:space="preserve"> NR, Cohen CR, et al. High medication adherence during </w:t>
            </w:r>
            <w:proofErr w:type="spellStart"/>
            <w:r w:rsidRPr="003C53F6">
              <w:rPr>
                <w:rFonts w:ascii="Arial Narrow" w:hAnsi="Arial Narrow"/>
                <w:sz w:val="20"/>
              </w:rPr>
              <w:t>periconception</w:t>
            </w:r>
            <w:proofErr w:type="spellEnd"/>
            <w:r w:rsidRPr="003C53F6">
              <w:rPr>
                <w:rFonts w:ascii="Arial Narrow" w:hAnsi="Arial Narrow"/>
                <w:sz w:val="20"/>
              </w:rPr>
              <w:t xml:space="preserve"> periods among HIV-1-uninfected women participating in a clinical trial of antiretroviral pre-exposure prophylaxis.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Mugo</w:t>
            </w:r>
            <w:proofErr w:type="spellEnd"/>
            <w:r w:rsidRPr="003C53F6">
              <w:rPr>
                <w:rFonts w:ascii="Arial Narrow" w:hAnsi="Arial Narrow"/>
                <w:sz w:val="20"/>
              </w:rPr>
              <w:t xml:space="preserve"> NR, Hong T, </w:t>
            </w:r>
            <w:proofErr w:type="spellStart"/>
            <w:r w:rsidRPr="003C53F6">
              <w:rPr>
                <w:rFonts w:ascii="Arial Narrow" w:hAnsi="Arial Narrow"/>
                <w:sz w:val="20"/>
              </w:rPr>
              <w:t>Celum</w:t>
            </w:r>
            <w:proofErr w:type="spellEnd"/>
            <w:r w:rsidRPr="003C53F6">
              <w:rPr>
                <w:rFonts w:ascii="Arial Narrow" w:hAnsi="Arial Narrow"/>
                <w:sz w:val="20"/>
              </w:rPr>
              <w:t xml:space="preserve"> C, Donnell D, et al. Pregnancy incidence and outcomes among women receiving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for HIV prevention: a randomised clinical trial.</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Mugwanya</w:t>
            </w:r>
            <w:proofErr w:type="spellEnd"/>
            <w:r w:rsidRPr="003C53F6">
              <w:rPr>
                <w:rFonts w:ascii="Arial Narrow" w:hAnsi="Arial Narrow"/>
                <w:sz w:val="20"/>
              </w:rPr>
              <w:t xml:space="preserve"> KK, Donnell D, </w:t>
            </w:r>
            <w:proofErr w:type="spellStart"/>
            <w:r w:rsidRPr="003C53F6">
              <w:rPr>
                <w:rFonts w:ascii="Arial Narrow" w:hAnsi="Arial Narrow"/>
                <w:sz w:val="20"/>
              </w:rPr>
              <w:t>Celum</w:t>
            </w:r>
            <w:proofErr w:type="spellEnd"/>
            <w:r w:rsidRPr="003C53F6">
              <w:rPr>
                <w:rFonts w:ascii="Arial Narrow" w:hAnsi="Arial Narrow"/>
                <w:sz w:val="20"/>
              </w:rPr>
              <w:t xml:space="preserve"> C, Thomas KK, et al. Sexual behaviour of heterosexual men and women receiving antiretroviral pre-exposure prophylaxis for HIV prevention: a longitudinal analysis.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Mugwanya</w:t>
            </w:r>
            <w:proofErr w:type="spellEnd"/>
            <w:r w:rsidRPr="003C53F6">
              <w:rPr>
                <w:rFonts w:ascii="Arial Narrow" w:hAnsi="Arial Narrow"/>
                <w:sz w:val="20"/>
              </w:rPr>
              <w:t xml:space="preserve"> KK, Wyatt C, </w:t>
            </w:r>
            <w:proofErr w:type="spellStart"/>
            <w:r w:rsidRPr="003C53F6">
              <w:rPr>
                <w:rFonts w:ascii="Arial Narrow" w:hAnsi="Arial Narrow"/>
                <w:sz w:val="20"/>
              </w:rPr>
              <w:t>Celum</w:t>
            </w:r>
            <w:proofErr w:type="spellEnd"/>
            <w:r w:rsidRPr="003C53F6">
              <w:rPr>
                <w:rFonts w:ascii="Arial Narrow" w:hAnsi="Arial Narrow"/>
                <w:sz w:val="20"/>
              </w:rPr>
              <w:t xml:space="preserve"> C, Donnell D, et al. Changes in glomerular kidney function among HIV-1-uninfected men and women receiving </w:t>
            </w:r>
            <w:proofErr w:type="spellStart"/>
            <w:r w:rsidRPr="003C53F6">
              <w:rPr>
                <w:rFonts w:ascii="Arial Narrow" w:hAnsi="Arial Narrow"/>
                <w:sz w:val="20"/>
              </w:rPr>
              <w:t>emtricitabine-tenofovir</w:t>
            </w:r>
            <w:proofErr w:type="spellEnd"/>
            <w:r w:rsidRPr="003C53F6">
              <w:rPr>
                <w:rFonts w:ascii="Arial Narrow" w:hAnsi="Arial Narrow"/>
                <w:sz w:val="20"/>
              </w:rPr>
              <w:t xml:space="preserve"> </w:t>
            </w:r>
            <w:proofErr w:type="spellStart"/>
            <w:r w:rsidRPr="003C53F6">
              <w:rPr>
                <w:rFonts w:ascii="Arial Narrow" w:hAnsi="Arial Narrow"/>
                <w:sz w:val="20"/>
              </w:rPr>
              <w:t>disoproxil</w:t>
            </w:r>
            <w:proofErr w:type="spellEnd"/>
            <w:r w:rsidRPr="003C53F6">
              <w:rPr>
                <w:rFonts w:ascii="Arial Narrow" w:hAnsi="Arial Narrow"/>
                <w:sz w:val="20"/>
              </w:rPr>
              <w:t xml:space="preserve"> </w:t>
            </w:r>
            <w:proofErr w:type="spellStart"/>
            <w:r w:rsidRPr="003C53F6">
              <w:rPr>
                <w:rFonts w:ascii="Arial Narrow" w:hAnsi="Arial Narrow"/>
                <w:sz w:val="20"/>
              </w:rPr>
              <w:t>fumarate</w:t>
            </w:r>
            <w:proofErr w:type="spellEnd"/>
            <w:r w:rsidRPr="003C53F6">
              <w:rPr>
                <w:rFonts w:ascii="Arial Narrow" w:hAnsi="Arial Narrow"/>
                <w:sz w:val="20"/>
              </w:rPr>
              <w:t xml:space="preserve">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a randomized clinical trial.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Mujugira</w:t>
            </w:r>
            <w:proofErr w:type="spellEnd"/>
            <w:r w:rsidRPr="003C53F6">
              <w:rPr>
                <w:rFonts w:ascii="Arial Narrow" w:hAnsi="Arial Narrow"/>
                <w:sz w:val="20"/>
              </w:rPr>
              <w:t xml:space="preserve"> A, </w:t>
            </w:r>
            <w:proofErr w:type="spellStart"/>
            <w:r w:rsidRPr="003C53F6">
              <w:rPr>
                <w:rFonts w:ascii="Arial Narrow" w:hAnsi="Arial Narrow"/>
                <w:sz w:val="20"/>
              </w:rPr>
              <w:t>Baeten</w:t>
            </w:r>
            <w:proofErr w:type="spellEnd"/>
            <w:r w:rsidRPr="003C53F6">
              <w:rPr>
                <w:rFonts w:ascii="Arial Narrow" w:hAnsi="Arial Narrow"/>
                <w:sz w:val="20"/>
              </w:rPr>
              <w:t xml:space="preserve"> JM, Donnell D, </w:t>
            </w:r>
            <w:proofErr w:type="spellStart"/>
            <w:r w:rsidRPr="003C53F6">
              <w:rPr>
                <w:rFonts w:ascii="Arial Narrow" w:hAnsi="Arial Narrow"/>
                <w:sz w:val="20"/>
              </w:rPr>
              <w:t>Ndase</w:t>
            </w:r>
            <w:proofErr w:type="spellEnd"/>
            <w:r w:rsidRPr="003C53F6">
              <w:rPr>
                <w:rFonts w:ascii="Arial Narrow" w:hAnsi="Arial Narrow"/>
                <w:sz w:val="20"/>
              </w:rPr>
              <w:t xml:space="preserve"> P, </w:t>
            </w:r>
            <w:proofErr w:type="spellStart"/>
            <w:r w:rsidRPr="003C53F6">
              <w:rPr>
                <w:rFonts w:ascii="Arial Narrow" w:hAnsi="Arial Narrow"/>
                <w:sz w:val="20"/>
              </w:rPr>
              <w:t>Mugo</w:t>
            </w:r>
            <w:proofErr w:type="spellEnd"/>
            <w:r w:rsidRPr="003C53F6">
              <w:rPr>
                <w:rFonts w:ascii="Arial Narrow" w:hAnsi="Arial Narrow"/>
                <w:sz w:val="20"/>
              </w:rPr>
              <w:t xml:space="preserve"> NR, Barnes L, et al. Characteristics of HIV-1 </w:t>
            </w:r>
            <w:proofErr w:type="spellStart"/>
            <w:r w:rsidRPr="003C53F6">
              <w:rPr>
                <w:rFonts w:ascii="Arial Narrow" w:hAnsi="Arial Narrow"/>
                <w:sz w:val="20"/>
              </w:rPr>
              <w:t>serodiscordant</w:t>
            </w:r>
            <w:proofErr w:type="spellEnd"/>
            <w:r w:rsidRPr="003C53F6">
              <w:rPr>
                <w:rFonts w:ascii="Arial Narrow" w:hAnsi="Arial Narrow"/>
                <w:sz w:val="20"/>
              </w:rPr>
              <w:t xml:space="preserve"> couples enrolled in a clinical trial of antiretroviral pre-exposure prophylaxis for HIV-1 prevention: the Partners </w:t>
            </w:r>
            <w:proofErr w:type="spellStart"/>
            <w:r w:rsidRPr="003C53F6">
              <w:rPr>
                <w:rFonts w:ascii="Arial Narrow" w:hAnsi="Arial Narrow"/>
                <w:sz w:val="20"/>
              </w:rPr>
              <w:t>PrEP</w:t>
            </w:r>
            <w:proofErr w:type="spellEnd"/>
            <w:r w:rsidRPr="003C53F6">
              <w:rPr>
                <w:rFonts w:ascii="Arial Narrow" w:hAnsi="Arial Narrow"/>
                <w:sz w:val="20"/>
              </w:rPr>
              <w:t xml:space="preserve"> Study.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Murnane</w:t>
            </w:r>
            <w:proofErr w:type="spellEnd"/>
            <w:r w:rsidRPr="003C53F6">
              <w:rPr>
                <w:rFonts w:ascii="Arial Narrow" w:hAnsi="Arial Narrow"/>
                <w:sz w:val="20"/>
              </w:rPr>
              <w:t xml:space="preserve"> PM, </w:t>
            </w:r>
            <w:proofErr w:type="spellStart"/>
            <w:r w:rsidRPr="003C53F6">
              <w:rPr>
                <w:rFonts w:ascii="Arial Narrow" w:hAnsi="Arial Narrow"/>
                <w:sz w:val="20"/>
              </w:rPr>
              <w:t>Celum</w:t>
            </w:r>
            <w:proofErr w:type="spellEnd"/>
            <w:r w:rsidRPr="003C53F6">
              <w:rPr>
                <w:rFonts w:ascii="Arial Narrow" w:hAnsi="Arial Narrow"/>
                <w:sz w:val="20"/>
              </w:rPr>
              <w:t xml:space="preserve"> C, </w:t>
            </w:r>
            <w:proofErr w:type="spellStart"/>
            <w:r w:rsidRPr="003C53F6">
              <w:rPr>
                <w:rFonts w:ascii="Arial Narrow" w:hAnsi="Arial Narrow"/>
                <w:sz w:val="20"/>
              </w:rPr>
              <w:t>Mugo</w:t>
            </w:r>
            <w:proofErr w:type="spellEnd"/>
            <w:r w:rsidRPr="003C53F6">
              <w:rPr>
                <w:rFonts w:ascii="Arial Narrow" w:hAnsi="Arial Narrow"/>
                <w:sz w:val="20"/>
              </w:rPr>
              <w:t xml:space="preserve"> N, </w:t>
            </w:r>
            <w:proofErr w:type="gramStart"/>
            <w:r w:rsidRPr="003C53F6">
              <w:rPr>
                <w:rFonts w:ascii="Arial Narrow" w:hAnsi="Arial Narrow"/>
                <w:sz w:val="20"/>
              </w:rPr>
              <w:t>Campbell</w:t>
            </w:r>
            <w:proofErr w:type="gramEnd"/>
            <w:r w:rsidRPr="003C53F6">
              <w:rPr>
                <w:rFonts w:ascii="Arial Narrow" w:hAnsi="Arial Narrow"/>
                <w:sz w:val="20"/>
              </w:rPr>
              <w:t xml:space="preserve"> JD, et al. Efficacy of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for HIV-1 prevention among high-risk heterosexuals: subgroup analyses from the Partners </w:t>
            </w:r>
            <w:proofErr w:type="spellStart"/>
            <w:r w:rsidRPr="003C53F6">
              <w:rPr>
                <w:rFonts w:ascii="Arial Narrow" w:hAnsi="Arial Narrow"/>
                <w:sz w:val="20"/>
              </w:rPr>
              <w:t>PrEP</w:t>
            </w:r>
            <w:proofErr w:type="spellEnd"/>
            <w:r w:rsidRPr="003C53F6">
              <w:rPr>
                <w:rFonts w:ascii="Arial Narrow" w:hAnsi="Arial Narrow"/>
                <w:sz w:val="20"/>
              </w:rPr>
              <w:t xml:space="preserve"> Study.</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Murnane</w:t>
            </w:r>
            <w:proofErr w:type="spellEnd"/>
            <w:r w:rsidRPr="003C53F6">
              <w:rPr>
                <w:rFonts w:ascii="Arial Narrow" w:hAnsi="Arial Narrow"/>
                <w:sz w:val="20"/>
              </w:rPr>
              <w:t xml:space="preserve"> PM, </w:t>
            </w:r>
            <w:proofErr w:type="spellStart"/>
            <w:r w:rsidRPr="003C53F6">
              <w:rPr>
                <w:rFonts w:ascii="Arial Narrow" w:hAnsi="Arial Narrow"/>
                <w:sz w:val="20"/>
              </w:rPr>
              <w:t>Heffron</w:t>
            </w:r>
            <w:proofErr w:type="spellEnd"/>
            <w:r w:rsidRPr="003C53F6">
              <w:rPr>
                <w:rFonts w:ascii="Arial Narrow" w:hAnsi="Arial Narrow"/>
                <w:sz w:val="20"/>
              </w:rPr>
              <w:t xml:space="preserve"> R, Ronald A, </w:t>
            </w:r>
            <w:proofErr w:type="spellStart"/>
            <w:r w:rsidRPr="003C53F6">
              <w:rPr>
                <w:rFonts w:ascii="Arial Narrow" w:hAnsi="Arial Narrow"/>
                <w:sz w:val="20"/>
              </w:rPr>
              <w:t>Bukusi</w:t>
            </w:r>
            <w:proofErr w:type="spellEnd"/>
            <w:r w:rsidRPr="003C53F6">
              <w:rPr>
                <w:rFonts w:ascii="Arial Narrow" w:hAnsi="Arial Narrow"/>
                <w:sz w:val="20"/>
              </w:rPr>
              <w:t xml:space="preserve"> EA, et al. Pre-exposure prophylaxis for HIV-1 prevention does not diminish the pregnancy prevention effectiveness of hormonal contraception.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Ndase</w:t>
            </w:r>
            <w:proofErr w:type="spellEnd"/>
            <w:r w:rsidRPr="003C53F6">
              <w:rPr>
                <w:rFonts w:ascii="Arial Narrow" w:hAnsi="Arial Narrow"/>
                <w:sz w:val="20"/>
              </w:rPr>
              <w:t xml:space="preserve"> P, </w:t>
            </w:r>
            <w:proofErr w:type="spellStart"/>
            <w:r w:rsidRPr="003C53F6">
              <w:rPr>
                <w:rFonts w:ascii="Arial Narrow" w:hAnsi="Arial Narrow"/>
                <w:sz w:val="20"/>
              </w:rPr>
              <w:t>Celum</w:t>
            </w:r>
            <w:proofErr w:type="spellEnd"/>
            <w:r w:rsidRPr="003C53F6">
              <w:rPr>
                <w:rFonts w:ascii="Arial Narrow" w:hAnsi="Arial Narrow"/>
                <w:sz w:val="20"/>
              </w:rPr>
              <w:t xml:space="preserve"> C, Campbell J, </w:t>
            </w:r>
            <w:proofErr w:type="spellStart"/>
            <w:proofErr w:type="gramStart"/>
            <w:r w:rsidRPr="003C53F6">
              <w:rPr>
                <w:rFonts w:ascii="Arial Narrow" w:hAnsi="Arial Narrow"/>
                <w:sz w:val="20"/>
              </w:rPr>
              <w:t>Bukusi</w:t>
            </w:r>
            <w:proofErr w:type="spellEnd"/>
            <w:proofErr w:type="gramEnd"/>
            <w:r w:rsidRPr="003C53F6">
              <w:rPr>
                <w:rFonts w:ascii="Arial Narrow" w:hAnsi="Arial Narrow"/>
                <w:sz w:val="20"/>
              </w:rPr>
              <w:t xml:space="preserve"> E, et al. Successful discontinuation of the placebo arm and provision of an effective HIV prevention product after a positive interim efficacy result: the partners </w:t>
            </w:r>
            <w:proofErr w:type="spellStart"/>
            <w:r w:rsidRPr="003C53F6">
              <w:rPr>
                <w:rFonts w:ascii="Arial Narrow" w:hAnsi="Arial Narrow"/>
                <w:sz w:val="20"/>
              </w:rPr>
              <w:t>PrEP</w:t>
            </w:r>
            <w:proofErr w:type="spellEnd"/>
            <w:r w:rsidRPr="003C53F6">
              <w:rPr>
                <w:rFonts w:ascii="Arial Narrow" w:hAnsi="Arial Narrow"/>
                <w:sz w:val="20"/>
              </w:rPr>
              <w:t xml:space="preserve"> study experience.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Ndase</w:t>
            </w:r>
            <w:proofErr w:type="spellEnd"/>
            <w:r w:rsidRPr="003C53F6">
              <w:rPr>
                <w:rFonts w:ascii="Arial Narrow" w:hAnsi="Arial Narrow"/>
                <w:sz w:val="20"/>
              </w:rPr>
              <w:t xml:space="preserve"> P, </w:t>
            </w:r>
            <w:proofErr w:type="spellStart"/>
            <w:r w:rsidRPr="003C53F6">
              <w:rPr>
                <w:rFonts w:ascii="Arial Narrow" w:hAnsi="Arial Narrow"/>
                <w:sz w:val="20"/>
              </w:rPr>
              <w:t>Celum</w:t>
            </w:r>
            <w:proofErr w:type="spellEnd"/>
            <w:r w:rsidRPr="003C53F6">
              <w:rPr>
                <w:rFonts w:ascii="Arial Narrow" w:hAnsi="Arial Narrow"/>
                <w:sz w:val="20"/>
              </w:rPr>
              <w:t xml:space="preserve"> C, </w:t>
            </w:r>
            <w:proofErr w:type="spellStart"/>
            <w:r w:rsidRPr="003C53F6">
              <w:rPr>
                <w:rFonts w:ascii="Arial Narrow" w:hAnsi="Arial Narrow"/>
                <w:sz w:val="20"/>
              </w:rPr>
              <w:t>Kidoguchi</w:t>
            </w:r>
            <w:proofErr w:type="spellEnd"/>
            <w:r w:rsidRPr="003C53F6">
              <w:rPr>
                <w:rFonts w:ascii="Arial Narrow" w:hAnsi="Arial Narrow"/>
                <w:sz w:val="20"/>
              </w:rPr>
              <w:t xml:space="preserve"> L, Ronald A, et al. Frequency of false positive rapid HIV serologic tests in African men and women receiving </w:t>
            </w:r>
            <w:proofErr w:type="spellStart"/>
            <w:r w:rsidRPr="003C53F6">
              <w:rPr>
                <w:rFonts w:ascii="Arial Narrow" w:hAnsi="Arial Narrow"/>
                <w:sz w:val="20"/>
              </w:rPr>
              <w:t>PrEP</w:t>
            </w:r>
            <w:proofErr w:type="spellEnd"/>
            <w:r w:rsidRPr="003C53F6">
              <w:rPr>
                <w:rFonts w:ascii="Arial Narrow" w:hAnsi="Arial Narrow"/>
                <w:sz w:val="20"/>
              </w:rPr>
              <w:t xml:space="preserve"> for HIV prevention: implications for programmatic roll-out of biomedical interventions.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Pattacini</w:t>
            </w:r>
            <w:proofErr w:type="spellEnd"/>
            <w:r w:rsidRPr="003C53F6">
              <w:rPr>
                <w:rFonts w:ascii="Arial Narrow" w:hAnsi="Arial Narrow"/>
                <w:sz w:val="20"/>
              </w:rPr>
              <w:t xml:space="preserve"> L, </w:t>
            </w:r>
            <w:proofErr w:type="spellStart"/>
            <w:r w:rsidRPr="003C53F6">
              <w:rPr>
                <w:rFonts w:ascii="Arial Narrow" w:hAnsi="Arial Narrow"/>
                <w:sz w:val="20"/>
              </w:rPr>
              <w:t>Murnane</w:t>
            </w:r>
            <w:proofErr w:type="spellEnd"/>
            <w:r w:rsidRPr="003C53F6">
              <w:rPr>
                <w:rFonts w:ascii="Arial Narrow" w:hAnsi="Arial Narrow"/>
                <w:sz w:val="20"/>
              </w:rPr>
              <w:t xml:space="preserve"> PM, </w:t>
            </w:r>
            <w:proofErr w:type="spellStart"/>
            <w:r w:rsidRPr="003C53F6">
              <w:rPr>
                <w:rFonts w:ascii="Arial Narrow" w:hAnsi="Arial Narrow"/>
                <w:sz w:val="20"/>
              </w:rPr>
              <w:t>Baeten</w:t>
            </w:r>
            <w:proofErr w:type="spellEnd"/>
            <w:r w:rsidRPr="003C53F6">
              <w:rPr>
                <w:rFonts w:ascii="Arial Narrow" w:hAnsi="Arial Narrow"/>
                <w:sz w:val="20"/>
              </w:rPr>
              <w:t xml:space="preserve"> JM, </w:t>
            </w:r>
            <w:proofErr w:type="spellStart"/>
            <w:r w:rsidRPr="003C53F6">
              <w:rPr>
                <w:rFonts w:ascii="Arial Narrow" w:hAnsi="Arial Narrow"/>
                <w:sz w:val="20"/>
              </w:rPr>
              <w:t>Fluharty</w:t>
            </w:r>
            <w:proofErr w:type="spellEnd"/>
            <w:r w:rsidRPr="003C53F6">
              <w:rPr>
                <w:rFonts w:ascii="Arial Narrow" w:hAnsi="Arial Narrow"/>
                <w:sz w:val="20"/>
              </w:rPr>
              <w:t xml:space="preserve"> TR, </w:t>
            </w:r>
            <w:r w:rsidRPr="003C53F6">
              <w:rPr>
                <w:rFonts w:ascii="Arial Narrow" w:hAnsi="Arial Narrow"/>
                <w:sz w:val="20"/>
              </w:rPr>
              <w:lastRenderedPageBreak/>
              <w:t xml:space="preserve">et al. Antiretroviral Pre-Exposure Prophylaxis Does Not Enhance Immune Responses to HIV in Exposed but Uninfected Persons.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Psaros</w:t>
            </w:r>
            <w:proofErr w:type="spellEnd"/>
            <w:r w:rsidRPr="003C53F6">
              <w:rPr>
                <w:rFonts w:ascii="Arial Narrow" w:hAnsi="Arial Narrow"/>
                <w:sz w:val="20"/>
              </w:rPr>
              <w:t xml:space="preserve"> C, </w:t>
            </w:r>
            <w:proofErr w:type="spellStart"/>
            <w:r w:rsidRPr="003C53F6">
              <w:rPr>
                <w:rFonts w:ascii="Arial Narrow" w:hAnsi="Arial Narrow"/>
                <w:sz w:val="20"/>
              </w:rPr>
              <w:t>Haberer</w:t>
            </w:r>
            <w:proofErr w:type="spellEnd"/>
            <w:r w:rsidRPr="003C53F6">
              <w:rPr>
                <w:rFonts w:ascii="Arial Narrow" w:hAnsi="Arial Narrow"/>
                <w:sz w:val="20"/>
              </w:rPr>
              <w:t xml:space="preserve"> JE, </w:t>
            </w:r>
            <w:proofErr w:type="spellStart"/>
            <w:r w:rsidRPr="003C53F6">
              <w:rPr>
                <w:rFonts w:ascii="Arial Narrow" w:hAnsi="Arial Narrow"/>
                <w:sz w:val="20"/>
              </w:rPr>
              <w:t>Katabira</w:t>
            </w:r>
            <w:proofErr w:type="spellEnd"/>
            <w:r w:rsidRPr="003C53F6">
              <w:rPr>
                <w:rFonts w:ascii="Arial Narrow" w:hAnsi="Arial Narrow"/>
                <w:sz w:val="20"/>
              </w:rPr>
              <w:t xml:space="preserve"> E, Ronald A, et al. An intervention to support HIV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adherence in HIV-</w:t>
            </w:r>
            <w:proofErr w:type="spellStart"/>
            <w:r w:rsidRPr="003C53F6">
              <w:rPr>
                <w:rFonts w:ascii="Arial Narrow" w:hAnsi="Arial Narrow"/>
                <w:sz w:val="20"/>
              </w:rPr>
              <w:t>serodiscordant</w:t>
            </w:r>
            <w:proofErr w:type="spellEnd"/>
            <w:r w:rsidRPr="003C53F6">
              <w:rPr>
                <w:rFonts w:ascii="Arial Narrow" w:hAnsi="Arial Narrow"/>
                <w:sz w:val="20"/>
              </w:rPr>
              <w:t xml:space="preserve"> couples in Uganda.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Were EO, </w:t>
            </w:r>
            <w:proofErr w:type="spellStart"/>
            <w:r w:rsidRPr="003C53F6">
              <w:rPr>
                <w:rFonts w:ascii="Arial Narrow" w:hAnsi="Arial Narrow"/>
                <w:sz w:val="20"/>
              </w:rPr>
              <w:t>Heffron</w:t>
            </w:r>
            <w:proofErr w:type="spellEnd"/>
            <w:r w:rsidRPr="003C53F6">
              <w:rPr>
                <w:rFonts w:ascii="Arial Narrow" w:hAnsi="Arial Narrow"/>
                <w:sz w:val="20"/>
              </w:rPr>
              <w:t xml:space="preserve"> R, </w:t>
            </w:r>
            <w:proofErr w:type="spellStart"/>
            <w:r w:rsidRPr="003C53F6">
              <w:rPr>
                <w:rFonts w:ascii="Arial Narrow" w:hAnsi="Arial Narrow"/>
                <w:sz w:val="20"/>
              </w:rPr>
              <w:t>Mugo</w:t>
            </w:r>
            <w:proofErr w:type="spellEnd"/>
            <w:r w:rsidRPr="003C53F6">
              <w:rPr>
                <w:rFonts w:ascii="Arial Narrow" w:hAnsi="Arial Narrow"/>
                <w:sz w:val="20"/>
              </w:rPr>
              <w:t xml:space="preserve"> NR, </w:t>
            </w:r>
            <w:proofErr w:type="spellStart"/>
            <w:r w:rsidRPr="003C53F6">
              <w:rPr>
                <w:rFonts w:ascii="Arial Narrow" w:hAnsi="Arial Narrow"/>
                <w:sz w:val="20"/>
              </w:rPr>
              <w:t>Celum</w:t>
            </w:r>
            <w:proofErr w:type="spellEnd"/>
            <w:r w:rsidRPr="003C53F6">
              <w:rPr>
                <w:rFonts w:ascii="Arial Narrow" w:hAnsi="Arial Narrow"/>
                <w:sz w:val="20"/>
              </w:rPr>
              <w:t xml:space="preserve"> C, et al. Pre-exposure prophylaxis does not affect the fertility of HIV-1-uninfected men. </w:t>
            </w:r>
          </w:p>
        </w:tc>
        <w:tc>
          <w:tcPr>
            <w:tcW w:w="2084" w:type="pct"/>
          </w:tcPr>
          <w:p w:rsidR="00886719" w:rsidRPr="003C53F6" w:rsidRDefault="00886719" w:rsidP="009676AF">
            <w:pPr>
              <w:jc w:val="left"/>
              <w:rPr>
                <w:rFonts w:ascii="Arial Narrow" w:hAnsi="Arial Narrow"/>
                <w:sz w:val="20"/>
              </w:rPr>
            </w:pPr>
            <w:r w:rsidRPr="003C53F6">
              <w:rPr>
                <w:rFonts w:ascii="Arial Narrow" w:hAnsi="Arial Narrow"/>
                <w:sz w:val="20"/>
              </w:rPr>
              <w:lastRenderedPageBreak/>
              <w:t xml:space="preserve">14 November 2011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New </w:t>
            </w:r>
            <w:proofErr w:type="spellStart"/>
            <w:r w:rsidRPr="003C53F6">
              <w:rPr>
                <w:rFonts w:ascii="Arial Narrow" w:hAnsi="Arial Narrow"/>
                <w:i/>
                <w:sz w:val="20"/>
              </w:rPr>
              <w:t>Engl</w:t>
            </w:r>
            <w:proofErr w:type="spellEnd"/>
            <w:r w:rsidRPr="003C53F6">
              <w:rPr>
                <w:rFonts w:ascii="Arial Narrow" w:hAnsi="Arial Narrow"/>
                <w:i/>
                <w:sz w:val="20"/>
              </w:rPr>
              <w:t xml:space="preserve"> J Med </w:t>
            </w:r>
            <w:r w:rsidRPr="003C53F6">
              <w:rPr>
                <w:rFonts w:ascii="Arial Narrow" w:hAnsi="Arial Narrow"/>
                <w:sz w:val="20"/>
              </w:rPr>
              <w:t>2012; 367 (5):399-410.</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The Lancet Infectious Diseases</w:t>
            </w:r>
            <w:r w:rsidRPr="003C53F6">
              <w:rPr>
                <w:rFonts w:ascii="Arial Narrow" w:hAnsi="Arial Narrow"/>
                <w:sz w:val="20"/>
              </w:rPr>
              <w:t xml:space="preserve"> 2014; 14 (11):1055-1064.</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Sexually Transmitted Infections</w:t>
            </w:r>
            <w:r w:rsidRPr="003C53F6">
              <w:rPr>
                <w:rFonts w:ascii="Arial Narrow" w:hAnsi="Arial Narrow"/>
                <w:sz w:val="20"/>
              </w:rPr>
              <w:t xml:space="preserve"> 2013; 89:A265.</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2014; 66 (3):340-348.</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t>PLoS</w:t>
            </w:r>
            <w:proofErr w:type="spellEnd"/>
            <w:r w:rsidRPr="003C53F6">
              <w:rPr>
                <w:rFonts w:ascii="Arial Narrow" w:hAnsi="Arial Narrow"/>
                <w:i/>
                <w:sz w:val="20"/>
              </w:rPr>
              <w:t xml:space="preserve"> Medicine</w:t>
            </w:r>
            <w:r w:rsidRPr="003C53F6">
              <w:rPr>
                <w:rFonts w:ascii="Arial Narrow" w:hAnsi="Arial Narrow"/>
                <w:sz w:val="20"/>
              </w:rPr>
              <w:t xml:space="preserve"> 2013; 10 (9):e1001511.</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7th International Conference on HIV Treatment and Prevention Adherence</w:t>
            </w:r>
            <w:r w:rsidRPr="003C53F6">
              <w:rPr>
                <w:rFonts w:ascii="Arial Narrow" w:hAnsi="Arial Narrow"/>
                <w:sz w:val="20"/>
              </w:rPr>
              <w:t xml:space="preserve"> 2012.</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AIDS</w:t>
            </w:r>
            <w:r w:rsidRPr="003C53F6">
              <w:rPr>
                <w:rFonts w:ascii="Arial Narrow" w:hAnsi="Arial Narrow"/>
                <w:sz w:val="20"/>
              </w:rPr>
              <w:t xml:space="preserve"> 2014; 28 (18):2771-2776.</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2015; 69 (1):36-43.</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21st Conference on Retroviruses and Opportunistic </w:t>
            </w:r>
            <w:r w:rsidRPr="003C53F6">
              <w:rPr>
                <w:rFonts w:ascii="Arial Narrow" w:hAnsi="Arial Narrow"/>
                <w:i/>
                <w:sz w:val="20"/>
              </w:rPr>
              <w:lastRenderedPageBreak/>
              <w:t>Infections</w:t>
            </w:r>
            <w:r w:rsidRPr="003C53F6">
              <w:rPr>
                <w:rFonts w:ascii="Arial Narrow" w:hAnsi="Arial Narrow"/>
                <w:sz w:val="20"/>
              </w:rPr>
              <w:t xml:space="preserve"> 2014.</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Journal of Acquired Immune Deficiency Syndromes </w:t>
            </w:r>
            <w:r w:rsidRPr="003C53F6">
              <w:rPr>
                <w:rFonts w:ascii="Arial Narrow" w:hAnsi="Arial Narrow"/>
                <w:sz w:val="20"/>
              </w:rPr>
              <w:t>2014; 67 (1):91-97.</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JAMA</w:t>
            </w:r>
            <w:r w:rsidRPr="003C53F6">
              <w:rPr>
                <w:rFonts w:ascii="Arial Narrow" w:hAnsi="Arial Narrow"/>
                <w:sz w:val="20"/>
              </w:rPr>
              <w:t xml:space="preserve"> 2014; 312 (4):362-371.</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The Lancet Infectious Diseases </w:t>
            </w:r>
            <w:r w:rsidRPr="003C53F6">
              <w:rPr>
                <w:rFonts w:ascii="Arial Narrow" w:hAnsi="Arial Narrow"/>
                <w:sz w:val="20"/>
              </w:rPr>
              <w:t>2013; 13 (12):1021-1028.</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JAMA Internal Medicine</w:t>
            </w:r>
            <w:r w:rsidRPr="003C53F6">
              <w:rPr>
                <w:rFonts w:ascii="Arial Narrow" w:hAnsi="Arial Narrow"/>
                <w:sz w:val="20"/>
              </w:rPr>
              <w:t xml:space="preserve"> 2015; 175 (2):246-254.</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t>PLoS</w:t>
            </w:r>
            <w:proofErr w:type="spellEnd"/>
            <w:r w:rsidRPr="003C53F6">
              <w:rPr>
                <w:rFonts w:ascii="Arial Narrow" w:hAnsi="Arial Narrow"/>
                <w:i/>
                <w:sz w:val="20"/>
              </w:rPr>
              <w:t xml:space="preserve"> One</w:t>
            </w:r>
            <w:r w:rsidRPr="003C53F6">
              <w:rPr>
                <w:rFonts w:ascii="Arial Narrow" w:hAnsi="Arial Narrow"/>
                <w:sz w:val="20"/>
              </w:rPr>
              <w:t xml:space="preserve"> 2011; 6 (10):e25828.</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AIDS</w:t>
            </w:r>
            <w:r w:rsidRPr="003C53F6">
              <w:rPr>
                <w:rFonts w:ascii="Arial Narrow" w:hAnsi="Arial Narrow"/>
                <w:sz w:val="20"/>
              </w:rPr>
              <w:t xml:space="preserve"> 2013; 27 (13).</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AIDS </w:t>
            </w:r>
            <w:r w:rsidRPr="003C53F6">
              <w:rPr>
                <w:rFonts w:ascii="Arial Narrow" w:hAnsi="Arial Narrow"/>
                <w:sz w:val="20"/>
              </w:rPr>
              <w:t>2014; 28 (12):1825-1830.</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r w:rsidRPr="003C53F6">
              <w:rPr>
                <w:rFonts w:ascii="Arial Narrow" w:hAnsi="Arial Narrow"/>
                <w:i/>
                <w:sz w:val="20"/>
              </w:rPr>
              <w:t>Journal of Acquired Immune Deficiency Syndromes</w:t>
            </w:r>
            <w:r w:rsidRPr="003C53F6">
              <w:rPr>
                <w:rFonts w:ascii="Arial Narrow" w:hAnsi="Arial Narrow"/>
                <w:sz w:val="20"/>
              </w:rPr>
              <w:t xml:space="preserve"> 2014; 66 (2):206-212.</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t>PLoS</w:t>
            </w:r>
            <w:proofErr w:type="spellEnd"/>
            <w:r w:rsidRPr="003C53F6">
              <w:rPr>
                <w:rFonts w:ascii="Arial Narrow" w:hAnsi="Arial Narrow"/>
                <w:i/>
                <w:sz w:val="20"/>
              </w:rPr>
              <w:t xml:space="preserve"> ONE</w:t>
            </w:r>
            <w:r w:rsidRPr="003C53F6">
              <w:rPr>
                <w:rFonts w:ascii="Arial Narrow" w:hAnsi="Arial Narrow"/>
                <w:sz w:val="20"/>
              </w:rPr>
              <w:t xml:space="preserve"> 2015; 10 (4):e0123005.</w:t>
            </w:r>
            <w:r w:rsidRPr="003C53F6">
              <w:rPr>
                <w:rFonts w:ascii="Arial Narrow" w:hAnsi="Arial Narrow"/>
              </w:rPr>
              <w:t>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Infectious Diseases</w:t>
            </w:r>
            <w:r w:rsidRPr="003C53F6">
              <w:rPr>
                <w:rFonts w:ascii="Arial Narrow" w:hAnsi="Arial Narrow"/>
                <w:sz w:val="20"/>
              </w:rPr>
              <w:t xml:space="preserve"> 2015; 211 </w:t>
            </w:r>
            <w:r w:rsidRPr="003C53F6">
              <w:rPr>
                <w:rFonts w:ascii="Arial Narrow" w:hAnsi="Arial Narrow"/>
                <w:sz w:val="20"/>
              </w:rPr>
              <w:lastRenderedPageBreak/>
              <w:t>(12):1943-1952.</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2014; 66 (5):522-529.</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b/>
                <w:sz w:val="20"/>
              </w:rPr>
            </w:pPr>
            <w:r w:rsidRPr="003C53F6">
              <w:rPr>
                <w:rFonts w:ascii="Arial Narrow" w:hAnsi="Arial Narrow"/>
                <w:i/>
                <w:sz w:val="20"/>
              </w:rPr>
              <w:t>AIDS</w:t>
            </w:r>
            <w:r w:rsidRPr="003C53F6">
              <w:rPr>
                <w:rFonts w:ascii="Arial Narrow" w:hAnsi="Arial Narrow"/>
                <w:sz w:val="20"/>
              </w:rPr>
              <w:t xml:space="preserve"> 2014; 28 (13):1977-1982.</w:t>
            </w:r>
          </w:p>
        </w:tc>
      </w:tr>
      <w:tr w:rsidR="00886719" w:rsidRPr="003C53F6" w:rsidTr="000E54D5">
        <w:trPr>
          <w:trHeight w:val="206"/>
        </w:trPr>
        <w:tc>
          <w:tcPr>
            <w:tcW w:w="796" w:type="pct"/>
          </w:tcPr>
          <w:p w:rsidR="00886719" w:rsidRPr="003C53F6" w:rsidRDefault="00886719" w:rsidP="009676AF">
            <w:pPr>
              <w:jc w:val="left"/>
              <w:rPr>
                <w:rFonts w:ascii="Arial Narrow" w:hAnsi="Arial Narrow"/>
                <w:sz w:val="20"/>
              </w:rPr>
            </w:pPr>
            <w:r w:rsidRPr="003C53F6">
              <w:rPr>
                <w:rFonts w:ascii="Arial Narrow" w:hAnsi="Arial Narrow"/>
                <w:sz w:val="20"/>
              </w:rPr>
              <w:lastRenderedPageBreak/>
              <w:t>TDF2</w:t>
            </w:r>
          </w:p>
          <w:p w:rsidR="00886719" w:rsidRPr="003C53F6" w:rsidRDefault="00886719" w:rsidP="009676AF">
            <w:pPr>
              <w:jc w:val="left"/>
              <w:rPr>
                <w:rFonts w:ascii="Arial Narrow" w:hAnsi="Arial Narrow"/>
                <w:sz w:val="20"/>
              </w:rPr>
            </w:pPr>
            <w:r w:rsidRPr="003C53F6">
              <w:rPr>
                <w:rFonts w:ascii="Arial Narrow" w:hAnsi="Arial Narrow"/>
                <w:sz w:val="20"/>
              </w:rPr>
              <w:t>NCT:00448669</w:t>
            </w:r>
          </w:p>
        </w:tc>
        <w:tc>
          <w:tcPr>
            <w:tcW w:w="2120" w:type="pct"/>
          </w:tcPr>
          <w:p w:rsidR="00886719" w:rsidRPr="003C53F6" w:rsidRDefault="00886719" w:rsidP="009676AF">
            <w:pPr>
              <w:jc w:val="left"/>
              <w:rPr>
                <w:rFonts w:ascii="Arial Narrow" w:hAnsi="Arial Narrow"/>
                <w:sz w:val="20"/>
              </w:rPr>
            </w:pPr>
            <w:r w:rsidRPr="003C53F6">
              <w:rPr>
                <w:rFonts w:ascii="Arial Narrow" w:hAnsi="Arial Narrow"/>
                <w:sz w:val="20"/>
              </w:rPr>
              <w:t xml:space="preserve">Thigpen MC, </w:t>
            </w:r>
            <w:proofErr w:type="spellStart"/>
            <w:r w:rsidRPr="003C53F6">
              <w:rPr>
                <w:rFonts w:ascii="Arial Narrow" w:hAnsi="Arial Narrow"/>
                <w:sz w:val="20"/>
              </w:rPr>
              <w:t>Kebaabetswe</w:t>
            </w:r>
            <w:proofErr w:type="spellEnd"/>
            <w:r w:rsidRPr="003C53F6">
              <w:rPr>
                <w:rFonts w:ascii="Arial Narrow" w:hAnsi="Arial Narrow"/>
                <w:sz w:val="20"/>
              </w:rPr>
              <w:t xml:space="preserve"> PM, Paxton LA, Smith DK, et al. Antiretroviral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for Heterosexual HIV Transmission in Botswana. </w:t>
            </w:r>
          </w:p>
          <w:p w:rsidR="00886719" w:rsidRPr="003C53F6" w:rsidRDefault="00886719" w:rsidP="009676AF">
            <w:pPr>
              <w:jc w:val="left"/>
              <w:rPr>
                <w:rFonts w:ascii="Arial Narrow" w:hAnsi="Arial Narrow"/>
                <w:sz w:val="20"/>
              </w:rPr>
            </w:pPr>
          </w:p>
          <w:p w:rsidR="00886719" w:rsidRPr="003C53F6" w:rsidRDefault="00886719" w:rsidP="009676AF">
            <w:pPr>
              <w:pStyle w:val="Table"/>
              <w:rPr>
                <w:rFonts w:ascii="Arial Narrow" w:eastAsia="Times New Roman" w:hAnsi="Arial Narrow" w:cs="Arial"/>
                <w:snapToGrid w:val="0"/>
                <w:szCs w:val="20"/>
                <w:lang w:bidi="ar-SA"/>
              </w:rPr>
            </w:pPr>
            <w:proofErr w:type="spellStart"/>
            <w:r w:rsidRPr="003C53F6">
              <w:rPr>
                <w:rFonts w:ascii="Arial Narrow" w:eastAsia="Times New Roman" w:hAnsi="Arial Narrow" w:cs="Arial"/>
                <w:snapToGrid w:val="0"/>
                <w:szCs w:val="20"/>
                <w:lang w:bidi="ar-SA"/>
              </w:rPr>
              <w:t>Chirwa</w:t>
            </w:r>
            <w:proofErr w:type="spellEnd"/>
            <w:r w:rsidRPr="003C53F6">
              <w:rPr>
                <w:rFonts w:ascii="Arial Narrow" w:eastAsia="Times New Roman" w:hAnsi="Arial Narrow" w:cs="Arial"/>
                <w:snapToGrid w:val="0"/>
                <w:szCs w:val="20"/>
                <w:lang w:bidi="ar-SA"/>
              </w:rPr>
              <w:t xml:space="preserve"> LI, Johnson JA, </w:t>
            </w:r>
            <w:proofErr w:type="spellStart"/>
            <w:r w:rsidRPr="003C53F6">
              <w:rPr>
                <w:rFonts w:ascii="Arial Narrow" w:eastAsia="Times New Roman" w:hAnsi="Arial Narrow" w:cs="Arial"/>
                <w:snapToGrid w:val="0"/>
                <w:szCs w:val="20"/>
                <w:lang w:bidi="ar-SA"/>
              </w:rPr>
              <w:t>Niska</w:t>
            </w:r>
            <w:proofErr w:type="spellEnd"/>
            <w:r w:rsidRPr="003C53F6">
              <w:rPr>
                <w:rFonts w:ascii="Arial Narrow" w:eastAsia="Times New Roman" w:hAnsi="Arial Narrow" w:cs="Arial"/>
                <w:snapToGrid w:val="0"/>
                <w:szCs w:val="20"/>
                <w:lang w:bidi="ar-SA"/>
              </w:rPr>
              <w:t xml:space="preserve"> RW, </w:t>
            </w:r>
            <w:proofErr w:type="spellStart"/>
            <w:r w:rsidRPr="003C53F6">
              <w:rPr>
                <w:rFonts w:ascii="Arial Narrow" w:eastAsia="Times New Roman" w:hAnsi="Arial Narrow" w:cs="Arial"/>
                <w:snapToGrid w:val="0"/>
                <w:szCs w:val="20"/>
                <w:lang w:bidi="ar-SA"/>
              </w:rPr>
              <w:t>Segolodi</w:t>
            </w:r>
            <w:proofErr w:type="spellEnd"/>
            <w:r w:rsidRPr="003C53F6">
              <w:rPr>
                <w:rFonts w:ascii="Arial Narrow" w:eastAsia="Times New Roman" w:hAnsi="Arial Narrow" w:cs="Arial"/>
                <w:snapToGrid w:val="0"/>
                <w:szCs w:val="20"/>
                <w:lang w:bidi="ar-SA"/>
              </w:rPr>
              <w:t xml:space="preserve"> TM, et al. CD4+ cell count, viral load, and drug resistance patterns among heterosexual breakthrough HIV infections in a study of oral </w:t>
            </w:r>
            <w:proofErr w:type="spellStart"/>
            <w:r w:rsidRPr="003C53F6">
              <w:rPr>
                <w:rFonts w:ascii="Arial Narrow" w:eastAsia="Times New Roman" w:hAnsi="Arial Narrow" w:cs="Arial"/>
                <w:snapToGrid w:val="0"/>
                <w:szCs w:val="20"/>
                <w:lang w:bidi="ar-SA"/>
              </w:rPr>
              <w:t>preexposure</w:t>
            </w:r>
            <w:proofErr w:type="spellEnd"/>
            <w:r w:rsidRPr="003C53F6">
              <w:rPr>
                <w:rFonts w:ascii="Arial Narrow" w:eastAsia="Times New Roman" w:hAnsi="Arial Narrow" w:cs="Arial"/>
                <w:snapToGrid w:val="0"/>
                <w:szCs w:val="20"/>
                <w:lang w:bidi="ar-SA"/>
              </w:rPr>
              <w:t xml:space="preserve"> prophylaxis. </w:t>
            </w:r>
          </w:p>
          <w:p w:rsidR="00886719" w:rsidRPr="003C53F6" w:rsidRDefault="00886719" w:rsidP="009676AF">
            <w:pPr>
              <w:pStyle w:val="Table"/>
              <w:rPr>
                <w:rFonts w:ascii="Arial Narrow" w:eastAsia="Times New Roman" w:hAnsi="Arial Narrow" w:cs="Arial"/>
                <w:snapToGrid w:val="0"/>
                <w:szCs w:val="20"/>
                <w:lang w:bidi="ar-SA"/>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Kasonde</w:t>
            </w:r>
            <w:proofErr w:type="spellEnd"/>
            <w:r w:rsidRPr="003C53F6">
              <w:rPr>
                <w:rFonts w:ascii="Arial Narrow" w:hAnsi="Arial Narrow"/>
                <w:sz w:val="20"/>
              </w:rPr>
              <w:t xml:space="preserve"> M, </w:t>
            </w:r>
            <w:proofErr w:type="spellStart"/>
            <w:r w:rsidRPr="003C53F6">
              <w:rPr>
                <w:rFonts w:ascii="Arial Narrow" w:hAnsi="Arial Narrow"/>
                <w:sz w:val="20"/>
              </w:rPr>
              <w:t>Niska</w:t>
            </w:r>
            <w:proofErr w:type="spellEnd"/>
            <w:r w:rsidRPr="003C53F6">
              <w:rPr>
                <w:rFonts w:ascii="Arial Narrow" w:hAnsi="Arial Narrow"/>
                <w:sz w:val="20"/>
              </w:rPr>
              <w:t xml:space="preserve"> RW, Rose C, Henderson FL, et al. Bone Mineral Density Changes among HIV-Uninfected Young Adults in a Randomised Trial of Pre-Exposure Prophylaxis with </w:t>
            </w:r>
            <w:proofErr w:type="spellStart"/>
            <w:r w:rsidRPr="003C53F6">
              <w:rPr>
                <w:rFonts w:ascii="Arial Narrow" w:hAnsi="Arial Narrow"/>
                <w:sz w:val="20"/>
              </w:rPr>
              <w:t>Tenofovir-Emtricitabine</w:t>
            </w:r>
            <w:proofErr w:type="spellEnd"/>
            <w:r w:rsidRPr="003C53F6">
              <w:rPr>
                <w:rFonts w:ascii="Arial Narrow" w:hAnsi="Arial Narrow"/>
                <w:sz w:val="20"/>
              </w:rPr>
              <w:t xml:space="preserve"> or Placebo in Botswana. </w:t>
            </w:r>
          </w:p>
        </w:tc>
        <w:tc>
          <w:tcPr>
            <w:tcW w:w="2084" w:type="pct"/>
          </w:tcPr>
          <w:p w:rsidR="00886719" w:rsidRPr="003C53F6" w:rsidRDefault="00886719" w:rsidP="009676AF">
            <w:pPr>
              <w:jc w:val="left"/>
              <w:rPr>
                <w:rFonts w:ascii="Arial Narrow" w:hAnsi="Arial Narrow"/>
                <w:sz w:val="20"/>
                <w:vertAlign w:val="superscript"/>
              </w:rPr>
            </w:pPr>
            <w:r w:rsidRPr="003C53F6">
              <w:rPr>
                <w:rFonts w:ascii="Arial Narrow" w:hAnsi="Arial Narrow"/>
                <w:i/>
                <w:sz w:val="20"/>
              </w:rPr>
              <w:t xml:space="preserve">New </w:t>
            </w:r>
            <w:proofErr w:type="spellStart"/>
            <w:r w:rsidRPr="003C53F6">
              <w:rPr>
                <w:rFonts w:ascii="Arial Narrow" w:hAnsi="Arial Narrow"/>
                <w:i/>
                <w:sz w:val="20"/>
              </w:rPr>
              <w:t>Engl</w:t>
            </w:r>
            <w:proofErr w:type="spellEnd"/>
            <w:r w:rsidRPr="003C53F6">
              <w:rPr>
                <w:rFonts w:ascii="Arial Narrow" w:hAnsi="Arial Narrow"/>
                <w:i/>
                <w:sz w:val="20"/>
              </w:rPr>
              <w:t xml:space="preserve"> J Med</w:t>
            </w:r>
            <w:r w:rsidRPr="003C53F6">
              <w:rPr>
                <w:rFonts w:ascii="Arial Narrow" w:hAnsi="Arial Narrow"/>
                <w:sz w:val="20"/>
              </w:rPr>
              <w:t xml:space="preserve"> 2015; 367:423-434.</w:t>
            </w:r>
            <w:r w:rsidRPr="003C53F6">
              <w:rPr>
                <w:rFonts w:ascii="Arial Narrow" w:hAnsi="Arial Narrow"/>
                <w:sz w:val="20"/>
                <w:vertAlign w:val="superscript"/>
              </w:rPr>
              <w:t>1</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AIDS</w:t>
            </w:r>
            <w:r w:rsidRPr="003C53F6">
              <w:rPr>
                <w:rFonts w:ascii="Arial Narrow" w:hAnsi="Arial Narrow"/>
                <w:sz w:val="20"/>
              </w:rPr>
              <w:t xml:space="preserve"> 2014; 28 (2):223-226.</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t>PLoS</w:t>
            </w:r>
            <w:proofErr w:type="spellEnd"/>
            <w:r w:rsidRPr="003C53F6">
              <w:rPr>
                <w:rFonts w:ascii="Arial Narrow" w:hAnsi="Arial Narrow"/>
                <w:i/>
                <w:sz w:val="20"/>
              </w:rPr>
              <w:t xml:space="preserve"> ONE</w:t>
            </w:r>
            <w:r w:rsidRPr="003C53F6">
              <w:rPr>
                <w:rFonts w:ascii="Arial Narrow" w:hAnsi="Arial Narrow"/>
                <w:sz w:val="20"/>
              </w:rPr>
              <w:t xml:space="preserve"> 2014; 9 (3):e90111.</w:t>
            </w:r>
          </w:p>
        </w:tc>
      </w:tr>
      <w:tr w:rsidR="00886719" w:rsidRPr="003C53F6" w:rsidTr="000E54D5">
        <w:tc>
          <w:tcPr>
            <w:tcW w:w="796" w:type="pct"/>
          </w:tcPr>
          <w:p w:rsidR="00886719" w:rsidRPr="003C53F6" w:rsidRDefault="00886719" w:rsidP="009676AF">
            <w:pPr>
              <w:jc w:val="left"/>
              <w:rPr>
                <w:rFonts w:ascii="Arial Narrow" w:hAnsi="Arial Narrow"/>
                <w:sz w:val="20"/>
              </w:rPr>
            </w:pPr>
            <w:r w:rsidRPr="003C53F6">
              <w:rPr>
                <w:rFonts w:ascii="Arial Narrow" w:hAnsi="Arial Narrow"/>
                <w:sz w:val="20"/>
              </w:rPr>
              <w:t>PROUD</w:t>
            </w:r>
          </w:p>
          <w:p w:rsidR="00886719" w:rsidRPr="003C53F6" w:rsidRDefault="00886719" w:rsidP="009676AF">
            <w:pPr>
              <w:jc w:val="left"/>
              <w:rPr>
                <w:rFonts w:ascii="Arial Narrow" w:hAnsi="Arial Narrow"/>
                <w:sz w:val="20"/>
              </w:rPr>
            </w:pPr>
            <w:r w:rsidRPr="003C53F6">
              <w:rPr>
                <w:rFonts w:ascii="Arial Narrow" w:hAnsi="Arial Narrow"/>
                <w:sz w:val="20"/>
              </w:rPr>
              <w:t>NCT:02065986</w:t>
            </w:r>
          </w:p>
        </w:tc>
        <w:tc>
          <w:tcPr>
            <w:tcW w:w="2120" w:type="pct"/>
          </w:tcPr>
          <w:p w:rsidR="00886719" w:rsidRPr="003C53F6" w:rsidRDefault="00886719" w:rsidP="009676AF">
            <w:pPr>
              <w:jc w:val="left"/>
              <w:rPr>
                <w:rFonts w:ascii="Arial Narrow" w:hAnsi="Arial Narrow"/>
                <w:sz w:val="20"/>
              </w:rPr>
            </w:pPr>
            <w:r w:rsidRPr="003C53F6">
              <w:rPr>
                <w:rFonts w:ascii="Arial Narrow" w:hAnsi="Arial Narrow"/>
                <w:sz w:val="20"/>
              </w:rPr>
              <w:t>McCormack S, Dunn DT, Desai M, Dolling DI, et al. Pre-exposure prophylaxis to prevent the acquisition of HIV-1 infection (PROUD): effectiveness results from the pilot phase of a pragmatic open-label randomised trial.</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Roche M, Youssef E, </w:t>
            </w:r>
            <w:proofErr w:type="spellStart"/>
            <w:r w:rsidRPr="003C53F6">
              <w:rPr>
                <w:rFonts w:ascii="Arial Narrow" w:hAnsi="Arial Narrow"/>
                <w:sz w:val="20"/>
              </w:rPr>
              <w:t>Gilleece</w:t>
            </w:r>
            <w:proofErr w:type="spellEnd"/>
            <w:r w:rsidRPr="003C53F6">
              <w:rPr>
                <w:rFonts w:ascii="Arial Narrow" w:hAnsi="Arial Narrow"/>
                <w:sz w:val="20"/>
              </w:rPr>
              <w:t xml:space="preserve"> Y, McCormack S, et al. Do patients adherent on PREP exposed to HIV have </w:t>
            </w:r>
            <w:proofErr w:type="spellStart"/>
            <w:r w:rsidRPr="003C53F6">
              <w:rPr>
                <w:rFonts w:ascii="Arial Narrow" w:hAnsi="Arial Narrow"/>
                <w:sz w:val="20"/>
              </w:rPr>
              <w:t>seroconversion</w:t>
            </w:r>
            <w:proofErr w:type="spellEnd"/>
            <w:r w:rsidRPr="003C53F6">
              <w:rPr>
                <w:rFonts w:ascii="Arial Narrow" w:hAnsi="Arial Narrow"/>
                <w:sz w:val="20"/>
              </w:rPr>
              <w:t xml:space="preserve"> symptoms and falsely reactive HIV tests?</w:t>
            </w:r>
          </w:p>
        </w:tc>
        <w:tc>
          <w:tcPr>
            <w:tcW w:w="2084" w:type="pct"/>
          </w:tcPr>
          <w:p w:rsidR="00886719" w:rsidRPr="003C53F6" w:rsidRDefault="00886719" w:rsidP="009676AF">
            <w:pPr>
              <w:jc w:val="left"/>
              <w:rPr>
                <w:rFonts w:ascii="Arial Narrow" w:hAnsi="Arial Narrow"/>
                <w:sz w:val="20"/>
              </w:rPr>
            </w:pPr>
            <w:r w:rsidRPr="003C53F6">
              <w:rPr>
                <w:rFonts w:ascii="Arial Narrow" w:hAnsi="Arial Narrow"/>
                <w:i/>
                <w:sz w:val="20"/>
              </w:rPr>
              <w:t>The Lancet</w:t>
            </w:r>
            <w:r w:rsidRPr="003C53F6">
              <w:rPr>
                <w:rFonts w:ascii="Arial Narrow" w:hAnsi="Arial Narrow"/>
                <w:sz w:val="20"/>
              </w:rPr>
              <w:t xml:space="preserve"> 2016; 387 (10013):53-60.</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2014</w:t>
            </w:r>
          </w:p>
        </w:tc>
      </w:tr>
      <w:tr w:rsidR="00886719" w:rsidRPr="003C53F6" w:rsidTr="000E54D5">
        <w:tc>
          <w:tcPr>
            <w:tcW w:w="796" w:type="pct"/>
          </w:tcPr>
          <w:p w:rsidR="00886719" w:rsidRPr="003C53F6" w:rsidRDefault="00886719" w:rsidP="009676AF">
            <w:pPr>
              <w:jc w:val="left"/>
              <w:rPr>
                <w:rFonts w:ascii="Arial Narrow" w:hAnsi="Arial Narrow"/>
                <w:sz w:val="20"/>
              </w:rPr>
            </w:pPr>
            <w:r w:rsidRPr="003C53F6">
              <w:rPr>
                <w:rFonts w:ascii="Arial Narrow" w:hAnsi="Arial Narrow"/>
                <w:sz w:val="20"/>
              </w:rPr>
              <w:t>FEM-</w:t>
            </w:r>
            <w:proofErr w:type="spellStart"/>
            <w:r w:rsidRPr="003C53F6">
              <w:rPr>
                <w:rFonts w:ascii="Arial Narrow" w:hAnsi="Arial Narrow"/>
                <w:sz w:val="20"/>
              </w:rPr>
              <w:t>PrEP</w:t>
            </w:r>
            <w:proofErr w:type="spellEnd"/>
          </w:p>
          <w:p w:rsidR="00886719" w:rsidRPr="003C53F6" w:rsidRDefault="00886719" w:rsidP="009676AF">
            <w:pPr>
              <w:jc w:val="left"/>
              <w:rPr>
                <w:rFonts w:ascii="Arial Narrow" w:hAnsi="Arial Narrow"/>
                <w:sz w:val="20"/>
              </w:rPr>
            </w:pPr>
            <w:r w:rsidRPr="003C53F6">
              <w:rPr>
                <w:rFonts w:ascii="Arial Narrow" w:hAnsi="Arial Narrow"/>
                <w:sz w:val="20"/>
              </w:rPr>
              <w:t>NCT:00625404</w:t>
            </w:r>
          </w:p>
        </w:tc>
        <w:tc>
          <w:tcPr>
            <w:tcW w:w="2120" w:type="pct"/>
          </w:tcPr>
          <w:p w:rsidR="00886719" w:rsidRPr="003C53F6" w:rsidRDefault="00886719" w:rsidP="009676AF">
            <w:pPr>
              <w:jc w:val="left"/>
              <w:rPr>
                <w:rFonts w:ascii="Arial Narrow" w:hAnsi="Arial Narrow"/>
                <w:sz w:val="20"/>
              </w:rPr>
            </w:pPr>
            <w:r w:rsidRPr="003C53F6">
              <w:rPr>
                <w:rFonts w:ascii="Arial Narrow" w:hAnsi="Arial Narrow"/>
                <w:sz w:val="20"/>
              </w:rPr>
              <w:t xml:space="preserve">Van </w:t>
            </w:r>
            <w:proofErr w:type="spellStart"/>
            <w:r w:rsidRPr="003C53F6">
              <w:rPr>
                <w:rFonts w:ascii="Arial Narrow" w:hAnsi="Arial Narrow"/>
                <w:sz w:val="20"/>
              </w:rPr>
              <w:t>Damme</w:t>
            </w:r>
            <w:proofErr w:type="spellEnd"/>
            <w:r w:rsidRPr="003C53F6">
              <w:rPr>
                <w:rFonts w:ascii="Arial Narrow" w:hAnsi="Arial Narrow"/>
                <w:sz w:val="20"/>
              </w:rPr>
              <w:t xml:space="preserve"> L, </w:t>
            </w:r>
            <w:proofErr w:type="spellStart"/>
            <w:r w:rsidRPr="003C53F6">
              <w:rPr>
                <w:rFonts w:ascii="Arial Narrow" w:hAnsi="Arial Narrow"/>
                <w:sz w:val="20"/>
              </w:rPr>
              <w:t>Corneli</w:t>
            </w:r>
            <w:proofErr w:type="spellEnd"/>
            <w:r w:rsidRPr="003C53F6">
              <w:rPr>
                <w:rFonts w:ascii="Arial Narrow" w:hAnsi="Arial Narrow"/>
                <w:sz w:val="20"/>
              </w:rPr>
              <w:t xml:space="preserve"> A, Ahmed K, </w:t>
            </w:r>
            <w:proofErr w:type="spellStart"/>
            <w:r w:rsidRPr="003C53F6">
              <w:rPr>
                <w:rFonts w:ascii="Arial Narrow" w:hAnsi="Arial Narrow"/>
                <w:sz w:val="20"/>
              </w:rPr>
              <w:t>Agot</w:t>
            </w:r>
            <w:proofErr w:type="spellEnd"/>
            <w:r w:rsidRPr="003C53F6">
              <w:rPr>
                <w:rFonts w:ascii="Arial Narrow" w:hAnsi="Arial Narrow"/>
                <w:sz w:val="20"/>
              </w:rPr>
              <w:t xml:space="preserve"> K, et al.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for HIV infection among African Women.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Corneli</w:t>
            </w:r>
            <w:proofErr w:type="spellEnd"/>
            <w:r w:rsidRPr="003C53F6">
              <w:rPr>
                <w:rFonts w:ascii="Arial Narrow" w:hAnsi="Arial Narrow"/>
                <w:sz w:val="20"/>
              </w:rPr>
              <w:t xml:space="preserve"> AL, </w:t>
            </w:r>
            <w:proofErr w:type="spellStart"/>
            <w:r w:rsidRPr="003C53F6">
              <w:rPr>
                <w:rFonts w:ascii="Arial Narrow" w:hAnsi="Arial Narrow"/>
                <w:sz w:val="20"/>
              </w:rPr>
              <w:t>Deese</w:t>
            </w:r>
            <w:proofErr w:type="spellEnd"/>
            <w:r w:rsidRPr="003C53F6">
              <w:rPr>
                <w:rFonts w:ascii="Arial Narrow" w:hAnsi="Arial Narrow"/>
                <w:sz w:val="20"/>
              </w:rPr>
              <w:t xml:space="preserve"> J, Wang M, </w:t>
            </w:r>
            <w:proofErr w:type="gramStart"/>
            <w:r w:rsidRPr="003C53F6">
              <w:rPr>
                <w:rFonts w:ascii="Arial Narrow" w:hAnsi="Arial Narrow"/>
                <w:sz w:val="20"/>
              </w:rPr>
              <w:t>Taylor</w:t>
            </w:r>
            <w:proofErr w:type="gramEnd"/>
            <w:r w:rsidRPr="003C53F6">
              <w:rPr>
                <w:rFonts w:ascii="Arial Narrow" w:hAnsi="Arial Narrow"/>
                <w:sz w:val="20"/>
              </w:rPr>
              <w:t xml:space="preserve"> D, et al. FEM-</w:t>
            </w:r>
            <w:proofErr w:type="spellStart"/>
            <w:r w:rsidRPr="003C53F6">
              <w:rPr>
                <w:rFonts w:ascii="Arial Narrow" w:hAnsi="Arial Narrow"/>
                <w:sz w:val="20"/>
              </w:rPr>
              <w:t>PrEP</w:t>
            </w:r>
            <w:proofErr w:type="spellEnd"/>
            <w:r w:rsidRPr="003C53F6">
              <w:rPr>
                <w:rFonts w:ascii="Arial Narrow" w:hAnsi="Arial Narrow"/>
                <w:sz w:val="20"/>
              </w:rPr>
              <w:t xml:space="preserve">: adherence patterns and factors associated with adherence to a daily oral study product for pre-exposure prophylaxis.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Corneli</w:t>
            </w:r>
            <w:proofErr w:type="spellEnd"/>
            <w:r w:rsidRPr="003C53F6">
              <w:rPr>
                <w:rFonts w:ascii="Arial Narrow" w:hAnsi="Arial Narrow"/>
                <w:sz w:val="20"/>
              </w:rPr>
              <w:t xml:space="preserve"> A, Wang M, </w:t>
            </w:r>
            <w:proofErr w:type="spellStart"/>
            <w:r w:rsidRPr="003C53F6">
              <w:rPr>
                <w:rFonts w:ascii="Arial Narrow" w:hAnsi="Arial Narrow"/>
                <w:sz w:val="20"/>
              </w:rPr>
              <w:t>Agot</w:t>
            </w:r>
            <w:proofErr w:type="spellEnd"/>
            <w:r w:rsidRPr="003C53F6">
              <w:rPr>
                <w:rFonts w:ascii="Arial Narrow" w:hAnsi="Arial Narrow"/>
                <w:sz w:val="20"/>
              </w:rPr>
              <w:t xml:space="preserve"> K, Ahmed K, et al. Perception of HIV risk and adherence to a daily, investigational pill for HIV prevention in FEM-</w:t>
            </w:r>
            <w:proofErr w:type="spellStart"/>
            <w:r w:rsidRPr="003C53F6">
              <w:rPr>
                <w:rFonts w:ascii="Arial Narrow" w:hAnsi="Arial Narrow"/>
                <w:sz w:val="20"/>
              </w:rPr>
              <w:t>PrEP.</w:t>
            </w:r>
            <w:proofErr w:type="spellEnd"/>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Grant RM, </w:t>
            </w:r>
            <w:proofErr w:type="spellStart"/>
            <w:r w:rsidRPr="003C53F6">
              <w:rPr>
                <w:rFonts w:ascii="Arial Narrow" w:hAnsi="Arial Narrow"/>
                <w:sz w:val="20"/>
              </w:rPr>
              <w:t>Liegler</w:t>
            </w:r>
            <w:proofErr w:type="spellEnd"/>
            <w:r w:rsidRPr="003C53F6">
              <w:rPr>
                <w:rFonts w:ascii="Arial Narrow" w:hAnsi="Arial Narrow"/>
                <w:sz w:val="20"/>
              </w:rPr>
              <w:t xml:space="preserve"> T, </w:t>
            </w:r>
            <w:proofErr w:type="spellStart"/>
            <w:r w:rsidRPr="003C53F6">
              <w:rPr>
                <w:rFonts w:ascii="Arial Narrow" w:hAnsi="Arial Narrow"/>
                <w:sz w:val="20"/>
              </w:rPr>
              <w:t>Defechereux</w:t>
            </w:r>
            <w:proofErr w:type="spellEnd"/>
            <w:r w:rsidRPr="003C53F6">
              <w:rPr>
                <w:rFonts w:ascii="Arial Narrow" w:hAnsi="Arial Narrow"/>
                <w:sz w:val="20"/>
              </w:rPr>
              <w:t xml:space="preserve"> P, </w:t>
            </w:r>
            <w:proofErr w:type="spellStart"/>
            <w:r w:rsidRPr="003C53F6">
              <w:rPr>
                <w:rFonts w:ascii="Arial Narrow" w:hAnsi="Arial Narrow"/>
                <w:sz w:val="20"/>
              </w:rPr>
              <w:t>Kashuba</w:t>
            </w:r>
            <w:proofErr w:type="spellEnd"/>
            <w:r w:rsidRPr="003C53F6">
              <w:rPr>
                <w:rFonts w:ascii="Arial Narrow" w:hAnsi="Arial Narrow"/>
                <w:sz w:val="20"/>
              </w:rPr>
              <w:t xml:space="preserve"> AD, et al. Drug resistance and plasma viral RNA level after ineffective use of oral pre-exposure prophylaxis in women.</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lastRenderedPageBreak/>
              <w:t xml:space="preserve">Headley J, Lemons A, </w:t>
            </w:r>
            <w:proofErr w:type="spellStart"/>
            <w:r w:rsidRPr="003C53F6">
              <w:rPr>
                <w:rFonts w:ascii="Arial Narrow" w:hAnsi="Arial Narrow"/>
                <w:sz w:val="20"/>
              </w:rPr>
              <w:t>Corneli</w:t>
            </w:r>
            <w:proofErr w:type="spellEnd"/>
            <w:r w:rsidRPr="003C53F6">
              <w:rPr>
                <w:rFonts w:ascii="Arial Narrow" w:hAnsi="Arial Narrow"/>
                <w:sz w:val="20"/>
              </w:rPr>
              <w:t xml:space="preserve"> A, </w:t>
            </w:r>
            <w:proofErr w:type="spellStart"/>
            <w:r w:rsidRPr="003C53F6">
              <w:rPr>
                <w:rFonts w:ascii="Arial Narrow" w:hAnsi="Arial Narrow"/>
                <w:sz w:val="20"/>
              </w:rPr>
              <w:t>Agot</w:t>
            </w:r>
            <w:proofErr w:type="spellEnd"/>
            <w:r w:rsidRPr="003C53F6">
              <w:rPr>
                <w:rFonts w:ascii="Arial Narrow" w:hAnsi="Arial Narrow"/>
                <w:sz w:val="20"/>
              </w:rPr>
              <w:t xml:space="preserve"> K, et al. The sexual risk context among the FEM-</w:t>
            </w:r>
            <w:proofErr w:type="spellStart"/>
            <w:r w:rsidRPr="003C53F6">
              <w:rPr>
                <w:rFonts w:ascii="Arial Narrow" w:hAnsi="Arial Narrow"/>
                <w:sz w:val="20"/>
              </w:rPr>
              <w:t>PrEP</w:t>
            </w:r>
            <w:proofErr w:type="spellEnd"/>
            <w:r w:rsidRPr="003C53F6">
              <w:rPr>
                <w:rFonts w:ascii="Arial Narrow" w:hAnsi="Arial Narrow"/>
                <w:sz w:val="20"/>
              </w:rPr>
              <w:t xml:space="preserve"> study population in </w:t>
            </w:r>
            <w:proofErr w:type="spellStart"/>
            <w:r w:rsidRPr="003C53F6">
              <w:rPr>
                <w:rFonts w:ascii="Arial Narrow" w:hAnsi="Arial Narrow"/>
                <w:sz w:val="20"/>
              </w:rPr>
              <w:t>Bondo</w:t>
            </w:r>
            <w:proofErr w:type="spellEnd"/>
            <w:r w:rsidRPr="003C53F6">
              <w:rPr>
                <w:rFonts w:ascii="Arial Narrow" w:hAnsi="Arial Narrow"/>
                <w:sz w:val="20"/>
              </w:rPr>
              <w:t xml:space="preserve">, Kenya and Pretoria, South Africa.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Mandala J, Nanda K, Wang M, De </w:t>
            </w:r>
            <w:proofErr w:type="spellStart"/>
            <w:r w:rsidRPr="003C53F6">
              <w:rPr>
                <w:rFonts w:ascii="Arial Narrow" w:hAnsi="Arial Narrow"/>
                <w:sz w:val="20"/>
              </w:rPr>
              <w:t>Baetselier</w:t>
            </w:r>
            <w:proofErr w:type="spellEnd"/>
            <w:r w:rsidRPr="003C53F6">
              <w:rPr>
                <w:rFonts w:ascii="Arial Narrow" w:hAnsi="Arial Narrow"/>
                <w:sz w:val="20"/>
              </w:rPr>
              <w:t xml:space="preserve"> I, et al. Liver and renal safety of </w:t>
            </w:r>
            <w:proofErr w:type="spellStart"/>
            <w:r w:rsidRPr="003C53F6">
              <w:rPr>
                <w:rFonts w:ascii="Arial Narrow" w:hAnsi="Arial Narrow"/>
                <w:sz w:val="20"/>
              </w:rPr>
              <w:t>tenofovir</w:t>
            </w:r>
            <w:proofErr w:type="spellEnd"/>
            <w:r w:rsidRPr="003C53F6">
              <w:rPr>
                <w:rFonts w:ascii="Arial Narrow" w:hAnsi="Arial Narrow"/>
                <w:sz w:val="20"/>
              </w:rPr>
              <w:t xml:space="preserve"> </w:t>
            </w:r>
            <w:proofErr w:type="spellStart"/>
            <w:r w:rsidRPr="003C53F6">
              <w:rPr>
                <w:rFonts w:ascii="Arial Narrow" w:hAnsi="Arial Narrow"/>
                <w:sz w:val="20"/>
              </w:rPr>
              <w:t>disoproxil</w:t>
            </w:r>
            <w:proofErr w:type="spellEnd"/>
            <w:r w:rsidRPr="003C53F6">
              <w:rPr>
                <w:rFonts w:ascii="Arial Narrow" w:hAnsi="Arial Narrow"/>
                <w:sz w:val="20"/>
              </w:rPr>
              <w:t xml:space="preserve"> </w:t>
            </w:r>
            <w:proofErr w:type="spellStart"/>
            <w:r w:rsidRPr="003C53F6">
              <w:rPr>
                <w:rFonts w:ascii="Arial Narrow" w:hAnsi="Arial Narrow"/>
                <w:sz w:val="20"/>
              </w:rPr>
              <w:t>fumarate</w:t>
            </w:r>
            <w:proofErr w:type="spellEnd"/>
            <w:r w:rsidRPr="003C53F6">
              <w:rPr>
                <w:rFonts w:ascii="Arial Narrow" w:hAnsi="Arial Narrow"/>
                <w:sz w:val="20"/>
              </w:rPr>
              <w:t xml:space="preserve"> in combination with </w:t>
            </w:r>
            <w:proofErr w:type="spellStart"/>
            <w:r w:rsidRPr="003C53F6">
              <w:rPr>
                <w:rFonts w:ascii="Arial Narrow" w:hAnsi="Arial Narrow"/>
                <w:sz w:val="20"/>
              </w:rPr>
              <w:t>emtricitabine</w:t>
            </w:r>
            <w:proofErr w:type="spellEnd"/>
            <w:r w:rsidRPr="003C53F6">
              <w:rPr>
                <w:rFonts w:ascii="Arial Narrow" w:hAnsi="Arial Narrow"/>
                <w:sz w:val="20"/>
              </w:rPr>
              <w:t xml:space="preserve"> among African women in a pre-exposure prophylaxis trial.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Owino</w:t>
            </w:r>
            <w:proofErr w:type="spellEnd"/>
            <w:r w:rsidRPr="003C53F6">
              <w:rPr>
                <w:rFonts w:ascii="Arial Narrow" w:hAnsi="Arial Narrow"/>
                <w:sz w:val="20"/>
              </w:rPr>
              <w:t xml:space="preserve"> F, Mandala J, </w:t>
            </w:r>
            <w:proofErr w:type="spellStart"/>
            <w:r w:rsidRPr="003C53F6">
              <w:rPr>
                <w:rFonts w:ascii="Arial Narrow" w:hAnsi="Arial Narrow"/>
                <w:sz w:val="20"/>
              </w:rPr>
              <w:t>Ambia</w:t>
            </w:r>
            <w:proofErr w:type="spellEnd"/>
            <w:r w:rsidRPr="003C53F6">
              <w:rPr>
                <w:rFonts w:ascii="Arial Narrow" w:hAnsi="Arial Narrow"/>
                <w:sz w:val="20"/>
              </w:rPr>
              <w:t xml:space="preserve"> J, </w:t>
            </w:r>
            <w:proofErr w:type="spellStart"/>
            <w:r w:rsidRPr="003C53F6">
              <w:rPr>
                <w:rFonts w:ascii="Arial Narrow" w:hAnsi="Arial Narrow"/>
                <w:sz w:val="20"/>
              </w:rPr>
              <w:t>Agot</w:t>
            </w:r>
            <w:proofErr w:type="spellEnd"/>
            <w:r w:rsidRPr="003C53F6">
              <w:rPr>
                <w:rFonts w:ascii="Arial Narrow" w:hAnsi="Arial Narrow"/>
                <w:sz w:val="20"/>
              </w:rPr>
              <w:t xml:space="preserve"> K, Van </w:t>
            </w:r>
            <w:proofErr w:type="spellStart"/>
            <w:r w:rsidRPr="003C53F6">
              <w:rPr>
                <w:rFonts w:ascii="Arial Narrow" w:hAnsi="Arial Narrow"/>
                <w:sz w:val="20"/>
              </w:rPr>
              <w:t>Damme</w:t>
            </w:r>
            <w:proofErr w:type="spellEnd"/>
            <w:r w:rsidRPr="003C53F6">
              <w:rPr>
                <w:rFonts w:ascii="Arial Narrow" w:hAnsi="Arial Narrow"/>
                <w:sz w:val="20"/>
              </w:rPr>
              <w:t xml:space="preserve"> L. Neurological syndrome in an HIV-prevention trial participant randomized to daily </w:t>
            </w:r>
            <w:proofErr w:type="spellStart"/>
            <w:r w:rsidRPr="003C53F6">
              <w:rPr>
                <w:rFonts w:ascii="Arial Narrow" w:hAnsi="Arial Narrow"/>
                <w:sz w:val="20"/>
              </w:rPr>
              <w:t>tenofovir</w:t>
            </w:r>
            <w:proofErr w:type="spellEnd"/>
            <w:r w:rsidRPr="003C53F6">
              <w:rPr>
                <w:rFonts w:ascii="Arial Narrow" w:hAnsi="Arial Narrow"/>
                <w:sz w:val="20"/>
              </w:rPr>
              <w:t xml:space="preserve"> </w:t>
            </w:r>
            <w:proofErr w:type="spellStart"/>
            <w:r w:rsidRPr="003C53F6">
              <w:rPr>
                <w:rFonts w:ascii="Arial Narrow" w:hAnsi="Arial Narrow"/>
                <w:sz w:val="20"/>
              </w:rPr>
              <w:t>disoproxil</w:t>
            </w:r>
            <w:proofErr w:type="spellEnd"/>
            <w:r w:rsidRPr="003C53F6">
              <w:rPr>
                <w:rFonts w:ascii="Arial Narrow" w:hAnsi="Arial Narrow"/>
                <w:sz w:val="20"/>
              </w:rPr>
              <w:t xml:space="preserve"> </w:t>
            </w:r>
            <w:proofErr w:type="spellStart"/>
            <w:r w:rsidRPr="003C53F6">
              <w:rPr>
                <w:rFonts w:ascii="Arial Narrow" w:hAnsi="Arial Narrow"/>
                <w:sz w:val="20"/>
              </w:rPr>
              <w:t>fumarate</w:t>
            </w:r>
            <w:proofErr w:type="spellEnd"/>
            <w:r w:rsidRPr="003C53F6">
              <w:rPr>
                <w:rFonts w:ascii="Arial Narrow" w:hAnsi="Arial Narrow"/>
                <w:sz w:val="20"/>
              </w:rPr>
              <w:t xml:space="preserve"> (300 mg) and </w:t>
            </w:r>
            <w:proofErr w:type="spellStart"/>
            <w:r w:rsidRPr="003C53F6">
              <w:rPr>
                <w:rFonts w:ascii="Arial Narrow" w:hAnsi="Arial Narrow"/>
                <w:sz w:val="20"/>
              </w:rPr>
              <w:t>emtricitabine</w:t>
            </w:r>
            <w:proofErr w:type="spellEnd"/>
            <w:r w:rsidRPr="003C53F6">
              <w:rPr>
                <w:rFonts w:ascii="Arial Narrow" w:hAnsi="Arial Narrow"/>
                <w:sz w:val="20"/>
              </w:rPr>
              <w:t xml:space="preserve"> (200 mg) in </w:t>
            </w:r>
            <w:proofErr w:type="spellStart"/>
            <w:r w:rsidRPr="003C53F6">
              <w:rPr>
                <w:rFonts w:ascii="Arial Narrow" w:hAnsi="Arial Narrow"/>
                <w:sz w:val="20"/>
              </w:rPr>
              <w:t>Bondo</w:t>
            </w:r>
            <w:proofErr w:type="spellEnd"/>
            <w:r w:rsidRPr="003C53F6">
              <w:rPr>
                <w:rFonts w:ascii="Arial Narrow" w:hAnsi="Arial Narrow"/>
                <w:sz w:val="20"/>
              </w:rPr>
              <w:t xml:space="preserve">, Kenya.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Todd CS, </w:t>
            </w:r>
            <w:proofErr w:type="spellStart"/>
            <w:r w:rsidRPr="003C53F6">
              <w:rPr>
                <w:rFonts w:ascii="Arial Narrow" w:hAnsi="Arial Narrow"/>
                <w:sz w:val="20"/>
              </w:rPr>
              <w:t>Deese</w:t>
            </w:r>
            <w:proofErr w:type="spellEnd"/>
            <w:r w:rsidRPr="003C53F6">
              <w:rPr>
                <w:rFonts w:ascii="Arial Narrow" w:hAnsi="Arial Narrow"/>
                <w:sz w:val="20"/>
              </w:rPr>
              <w:t xml:space="preserve"> J, Wang M, </w:t>
            </w:r>
            <w:proofErr w:type="spellStart"/>
            <w:r w:rsidRPr="003C53F6">
              <w:rPr>
                <w:rFonts w:ascii="Arial Narrow" w:hAnsi="Arial Narrow"/>
                <w:sz w:val="20"/>
              </w:rPr>
              <w:t>Hubacher</w:t>
            </w:r>
            <w:proofErr w:type="spellEnd"/>
            <w:r w:rsidRPr="003C53F6">
              <w:rPr>
                <w:rFonts w:ascii="Arial Narrow" w:hAnsi="Arial Narrow"/>
                <w:sz w:val="20"/>
              </w:rPr>
              <w:t xml:space="preserve"> D, et al. Sino-implant (II)® continuation and effect of concomitant </w:t>
            </w:r>
            <w:proofErr w:type="spellStart"/>
            <w:r w:rsidRPr="003C53F6">
              <w:rPr>
                <w:rFonts w:ascii="Arial Narrow" w:hAnsi="Arial Narrow"/>
                <w:sz w:val="20"/>
              </w:rPr>
              <w:t>tenofovir</w:t>
            </w:r>
            <w:proofErr w:type="spellEnd"/>
            <w:r w:rsidRPr="003C53F6">
              <w:rPr>
                <w:rFonts w:ascii="Arial Narrow" w:hAnsi="Arial Narrow"/>
                <w:sz w:val="20"/>
              </w:rPr>
              <w:t xml:space="preserve"> </w:t>
            </w:r>
            <w:proofErr w:type="spellStart"/>
            <w:r w:rsidRPr="003C53F6">
              <w:rPr>
                <w:rFonts w:ascii="Arial Narrow" w:hAnsi="Arial Narrow"/>
                <w:sz w:val="20"/>
              </w:rPr>
              <w:t>disoproxil</w:t>
            </w:r>
            <w:proofErr w:type="spellEnd"/>
            <w:r w:rsidRPr="003C53F6">
              <w:rPr>
                <w:rFonts w:ascii="Arial Narrow" w:hAnsi="Arial Narrow"/>
                <w:sz w:val="20"/>
              </w:rPr>
              <w:t xml:space="preserve"> </w:t>
            </w:r>
            <w:proofErr w:type="spellStart"/>
            <w:r w:rsidRPr="003C53F6">
              <w:rPr>
                <w:rFonts w:ascii="Arial Narrow" w:hAnsi="Arial Narrow"/>
                <w:sz w:val="20"/>
              </w:rPr>
              <w:t>fumarate-emtricitabine</w:t>
            </w:r>
            <w:proofErr w:type="spellEnd"/>
            <w:r w:rsidRPr="003C53F6">
              <w:rPr>
                <w:rFonts w:ascii="Arial Narrow" w:hAnsi="Arial Narrow"/>
                <w:sz w:val="20"/>
              </w:rPr>
              <w:t xml:space="preserve"> use on plasma </w:t>
            </w:r>
            <w:proofErr w:type="spellStart"/>
            <w:r w:rsidRPr="003C53F6">
              <w:rPr>
                <w:rFonts w:ascii="Arial Narrow" w:hAnsi="Arial Narrow"/>
                <w:sz w:val="20"/>
              </w:rPr>
              <w:t>levonorgestrel</w:t>
            </w:r>
            <w:proofErr w:type="spellEnd"/>
            <w:r w:rsidRPr="003C53F6">
              <w:rPr>
                <w:rFonts w:ascii="Arial Narrow" w:hAnsi="Arial Narrow"/>
                <w:sz w:val="20"/>
              </w:rPr>
              <w:t xml:space="preserve"> concentrations among women in </w:t>
            </w:r>
            <w:proofErr w:type="spellStart"/>
            <w:r w:rsidRPr="003C53F6">
              <w:rPr>
                <w:rFonts w:ascii="Arial Narrow" w:hAnsi="Arial Narrow"/>
                <w:sz w:val="20"/>
              </w:rPr>
              <w:t>Bondo</w:t>
            </w:r>
            <w:proofErr w:type="spellEnd"/>
            <w:r w:rsidRPr="003C53F6">
              <w:rPr>
                <w:rFonts w:ascii="Arial Narrow" w:hAnsi="Arial Narrow"/>
                <w:sz w:val="20"/>
              </w:rPr>
              <w:t>, Kenya.</w:t>
            </w:r>
          </w:p>
        </w:tc>
        <w:tc>
          <w:tcPr>
            <w:tcW w:w="2084" w:type="pct"/>
          </w:tcPr>
          <w:p w:rsidR="00886719" w:rsidRPr="003C53F6" w:rsidRDefault="00886719" w:rsidP="009676AF">
            <w:pPr>
              <w:jc w:val="left"/>
              <w:rPr>
                <w:rFonts w:ascii="Arial Narrow" w:hAnsi="Arial Narrow"/>
                <w:sz w:val="20"/>
              </w:rPr>
            </w:pPr>
            <w:r w:rsidRPr="003C53F6">
              <w:rPr>
                <w:rFonts w:ascii="Arial Narrow" w:hAnsi="Arial Narrow"/>
                <w:i/>
                <w:sz w:val="20"/>
              </w:rPr>
              <w:lastRenderedPageBreak/>
              <w:t xml:space="preserve">New </w:t>
            </w:r>
            <w:proofErr w:type="spellStart"/>
            <w:r w:rsidRPr="003C53F6">
              <w:rPr>
                <w:rFonts w:ascii="Arial Narrow" w:hAnsi="Arial Narrow"/>
                <w:i/>
                <w:sz w:val="20"/>
              </w:rPr>
              <w:t>Engl</w:t>
            </w:r>
            <w:proofErr w:type="spellEnd"/>
            <w:r w:rsidRPr="003C53F6">
              <w:rPr>
                <w:rFonts w:ascii="Arial Narrow" w:hAnsi="Arial Narrow"/>
                <w:i/>
                <w:sz w:val="20"/>
              </w:rPr>
              <w:t xml:space="preserve"> J Med</w:t>
            </w:r>
            <w:r w:rsidRPr="003C53F6">
              <w:rPr>
                <w:rFonts w:ascii="Arial Narrow" w:hAnsi="Arial Narrow"/>
                <w:sz w:val="20"/>
              </w:rPr>
              <w:t xml:space="preserve"> 2012; 367:411-422.</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2014; 66 (3):324-331.</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2014; 67:555-563.</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AIDS</w:t>
            </w:r>
            <w:r w:rsidRPr="003C53F6">
              <w:rPr>
                <w:rFonts w:ascii="Arial Narrow" w:hAnsi="Arial Narrow"/>
                <w:sz w:val="20"/>
              </w:rPr>
              <w:t xml:space="preserve"> 2015; 29 (3):331-337.</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i/>
                <w:sz w:val="20"/>
              </w:rPr>
              <w:lastRenderedPageBreak/>
              <w:t>PLoS</w:t>
            </w:r>
            <w:proofErr w:type="spellEnd"/>
            <w:r w:rsidRPr="003C53F6">
              <w:rPr>
                <w:rFonts w:ascii="Arial Narrow" w:hAnsi="Arial Narrow"/>
                <w:i/>
                <w:sz w:val="20"/>
              </w:rPr>
              <w:t xml:space="preserve"> ONE</w:t>
            </w:r>
            <w:r w:rsidRPr="003C53F6">
              <w:rPr>
                <w:rFonts w:ascii="Arial Narrow" w:hAnsi="Arial Narrow"/>
                <w:sz w:val="20"/>
              </w:rPr>
              <w:t xml:space="preserve"> 2014; 9 (9):e106410.</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BMC Pharmacology and Toxicology </w:t>
            </w:r>
            <w:r w:rsidRPr="003C53F6">
              <w:rPr>
                <w:rFonts w:ascii="Arial Narrow" w:hAnsi="Arial Narrow"/>
                <w:sz w:val="20"/>
              </w:rPr>
              <w:t>2014; 15:77.</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International Medical Case Reports Journal</w:t>
            </w:r>
            <w:r w:rsidRPr="003C53F6">
              <w:rPr>
                <w:rFonts w:ascii="Arial Narrow" w:hAnsi="Arial Narrow"/>
                <w:sz w:val="20"/>
              </w:rPr>
              <w:t xml:space="preserve"> 2013; 6:91-93.</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Contraception</w:t>
            </w:r>
            <w:r w:rsidRPr="003C53F6">
              <w:rPr>
                <w:rFonts w:ascii="Arial Narrow" w:hAnsi="Arial Narrow"/>
                <w:sz w:val="20"/>
              </w:rPr>
              <w:t xml:space="preserve"> 2015; 91 (3):248-252.</w:t>
            </w:r>
          </w:p>
          <w:p w:rsidR="00886719" w:rsidRPr="003C53F6" w:rsidRDefault="00886719" w:rsidP="009676AF">
            <w:pPr>
              <w:jc w:val="left"/>
              <w:rPr>
                <w:rFonts w:ascii="Arial Narrow" w:hAnsi="Arial Narrow"/>
                <w:sz w:val="20"/>
              </w:rPr>
            </w:pPr>
          </w:p>
        </w:tc>
      </w:tr>
      <w:tr w:rsidR="00886719" w:rsidRPr="003C53F6" w:rsidTr="000E54D5">
        <w:tc>
          <w:tcPr>
            <w:tcW w:w="796" w:type="pct"/>
          </w:tcPr>
          <w:p w:rsidR="00886719" w:rsidRPr="003C53F6" w:rsidRDefault="00886719" w:rsidP="009676AF">
            <w:pPr>
              <w:jc w:val="left"/>
              <w:rPr>
                <w:rFonts w:ascii="Arial Narrow" w:hAnsi="Arial Narrow"/>
                <w:sz w:val="20"/>
              </w:rPr>
            </w:pPr>
            <w:r w:rsidRPr="003C53F6">
              <w:rPr>
                <w:rFonts w:ascii="Arial Narrow" w:hAnsi="Arial Narrow"/>
                <w:sz w:val="20"/>
              </w:rPr>
              <w:lastRenderedPageBreak/>
              <w:t>VOICE</w:t>
            </w:r>
          </w:p>
          <w:p w:rsidR="00886719" w:rsidRPr="003C53F6" w:rsidRDefault="00886719" w:rsidP="009676AF">
            <w:pPr>
              <w:jc w:val="left"/>
              <w:rPr>
                <w:rFonts w:ascii="Arial Narrow" w:hAnsi="Arial Narrow"/>
                <w:sz w:val="20"/>
              </w:rPr>
            </w:pPr>
            <w:r w:rsidRPr="003C53F6">
              <w:rPr>
                <w:rFonts w:ascii="Arial Narrow" w:hAnsi="Arial Narrow"/>
                <w:sz w:val="20"/>
              </w:rPr>
              <w:t>NCT:00705679</w:t>
            </w:r>
          </w:p>
          <w:p w:rsidR="00886719" w:rsidRPr="003C53F6" w:rsidRDefault="00886719" w:rsidP="009676AF">
            <w:pPr>
              <w:jc w:val="left"/>
              <w:rPr>
                <w:rFonts w:ascii="Arial Narrow" w:hAnsi="Arial Narrow"/>
                <w:sz w:val="20"/>
              </w:rPr>
            </w:pPr>
          </w:p>
        </w:tc>
        <w:tc>
          <w:tcPr>
            <w:tcW w:w="2120" w:type="pct"/>
          </w:tcPr>
          <w:p w:rsidR="00886719" w:rsidRPr="003C53F6" w:rsidRDefault="00886719" w:rsidP="009676AF">
            <w:pPr>
              <w:jc w:val="left"/>
              <w:rPr>
                <w:rFonts w:ascii="Arial Narrow" w:hAnsi="Arial Narrow"/>
                <w:sz w:val="20"/>
              </w:rPr>
            </w:pPr>
            <w:proofErr w:type="spellStart"/>
            <w:r w:rsidRPr="003C53F6">
              <w:rPr>
                <w:rFonts w:ascii="Arial Narrow" w:hAnsi="Arial Narrow"/>
                <w:sz w:val="20"/>
              </w:rPr>
              <w:t>Marrazzo</w:t>
            </w:r>
            <w:proofErr w:type="spellEnd"/>
            <w:r w:rsidRPr="003C53F6">
              <w:rPr>
                <w:rFonts w:ascii="Arial Narrow" w:hAnsi="Arial Narrow"/>
                <w:sz w:val="20"/>
              </w:rPr>
              <w:t xml:space="preserve"> JM, </w:t>
            </w:r>
            <w:proofErr w:type="spellStart"/>
            <w:r w:rsidRPr="003C53F6">
              <w:rPr>
                <w:rFonts w:ascii="Arial Narrow" w:hAnsi="Arial Narrow"/>
                <w:sz w:val="20"/>
              </w:rPr>
              <w:t>Ramjee</w:t>
            </w:r>
            <w:proofErr w:type="spellEnd"/>
            <w:r w:rsidRPr="003C53F6">
              <w:rPr>
                <w:rFonts w:ascii="Arial Narrow" w:hAnsi="Arial Narrow"/>
                <w:sz w:val="20"/>
              </w:rPr>
              <w:t xml:space="preserve"> G, Richardson BA, Gomez K, et al. </w:t>
            </w:r>
            <w:proofErr w:type="spellStart"/>
            <w:r w:rsidRPr="003C53F6">
              <w:rPr>
                <w:rFonts w:ascii="Arial Narrow" w:hAnsi="Arial Narrow"/>
                <w:sz w:val="20"/>
              </w:rPr>
              <w:t>Tenofovir</w:t>
            </w:r>
            <w:proofErr w:type="spellEnd"/>
            <w:r w:rsidRPr="003C53F6">
              <w:rPr>
                <w:rFonts w:ascii="Arial Narrow" w:hAnsi="Arial Narrow"/>
                <w:sz w:val="20"/>
              </w:rPr>
              <w:t xml:space="preserve">-based </w:t>
            </w:r>
            <w:proofErr w:type="spellStart"/>
            <w:r w:rsidRPr="003C53F6">
              <w:rPr>
                <w:rFonts w:ascii="Arial Narrow" w:hAnsi="Arial Narrow"/>
                <w:sz w:val="20"/>
              </w:rPr>
              <w:t>preexposure</w:t>
            </w:r>
            <w:proofErr w:type="spellEnd"/>
            <w:r w:rsidRPr="003C53F6">
              <w:rPr>
                <w:rFonts w:ascii="Arial Narrow" w:hAnsi="Arial Narrow"/>
                <w:sz w:val="20"/>
              </w:rPr>
              <w:t xml:space="preserve"> prophylaxis for HIV infection among African women.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Balkus</w:t>
            </w:r>
            <w:proofErr w:type="spellEnd"/>
            <w:r w:rsidRPr="003C53F6">
              <w:rPr>
                <w:rFonts w:ascii="Arial Narrow" w:hAnsi="Arial Narrow"/>
                <w:sz w:val="20"/>
              </w:rPr>
              <w:t xml:space="preserve"> JE, Nair G, Montgomery ET, Mishra A, et al. Age-disparate partnerships and risk of HIV-1 acquisition among South African women participating in the VOICE trial.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Nair G, </w:t>
            </w:r>
            <w:proofErr w:type="spellStart"/>
            <w:r w:rsidRPr="003C53F6">
              <w:rPr>
                <w:rFonts w:ascii="Arial Narrow" w:hAnsi="Arial Narrow"/>
                <w:sz w:val="20"/>
              </w:rPr>
              <w:t>Balkus</w:t>
            </w:r>
            <w:proofErr w:type="spellEnd"/>
            <w:r w:rsidRPr="003C53F6">
              <w:rPr>
                <w:rFonts w:ascii="Arial Narrow" w:hAnsi="Arial Narrow"/>
                <w:sz w:val="20"/>
              </w:rPr>
              <w:t xml:space="preserve"> JE, </w:t>
            </w:r>
            <w:proofErr w:type="spellStart"/>
            <w:r w:rsidRPr="003C53F6">
              <w:rPr>
                <w:rFonts w:ascii="Arial Narrow" w:hAnsi="Arial Narrow"/>
                <w:sz w:val="20"/>
              </w:rPr>
              <w:t>Marrazzo</w:t>
            </w:r>
            <w:proofErr w:type="spellEnd"/>
            <w:r w:rsidRPr="003C53F6">
              <w:rPr>
                <w:rFonts w:ascii="Arial Narrow" w:hAnsi="Arial Narrow"/>
                <w:sz w:val="20"/>
              </w:rPr>
              <w:t xml:space="preserve"> JM, </w:t>
            </w:r>
            <w:proofErr w:type="spellStart"/>
            <w:r w:rsidRPr="003C53F6">
              <w:rPr>
                <w:rFonts w:ascii="Arial Narrow" w:hAnsi="Arial Narrow"/>
                <w:sz w:val="20"/>
              </w:rPr>
              <w:t>Ramjee</w:t>
            </w:r>
            <w:proofErr w:type="spellEnd"/>
            <w:r w:rsidRPr="003C53F6">
              <w:rPr>
                <w:rFonts w:ascii="Arial Narrow" w:hAnsi="Arial Narrow"/>
                <w:sz w:val="20"/>
              </w:rPr>
              <w:t xml:space="preserve"> G, et al. Baseline Predictors of HIV-1 Acquisition Among Women Participating in MTN-003 (VOICE). </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sz w:val="20"/>
              </w:rPr>
              <w:t xml:space="preserve">Parikh UM, </w:t>
            </w:r>
            <w:proofErr w:type="spellStart"/>
            <w:r w:rsidRPr="003C53F6">
              <w:rPr>
                <w:rFonts w:ascii="Arial Narrow" w:hAnsi="Arial Narrow"/>
                <w:sz w:val="20"/>
              </w:rPr>
              <w:t>Eskay</w:t>
            </w:r>
            <w:proofErr w:type="spellEnd"/>
            <w:r w:rsidRPr="003C53F6">
              <w:rPr>
                <w:rFonts w:ascii="Arial Narrow" w:hAnsi="Arial Narrow"/>
                <w:sz w:val="20"/>
              </w:rPr>
              <w:t xml:space="preserve"> KA, Hardesty RL, Kelly C, et al. HIV-1 Resistance Outcomes in </w:t>
            </w:r>
            <w:proofErr w:type="spellStart"/>
            <w:r w:rsidRPr="003C53F6">
              <w:rPr>
                <w:rFonts w:ascii="Arial Narrow" w:hAnsi="Arial Narrow"/>
                <w:sz w:val="20"/>
              </w:rPr>
              <w:t>Seroconverters</w:t>
            </w:r>
            <w:proofErr w:type="spellEnd"/>
            <w:r w:rsidRPr="003C53F6">
              <w:rPr>
                <w:rFonts w:ascii="Arial Narrow" w:hAnsi="Arial Narrow"/>
                <w:sz w:val="20"/>
              </w:rPr>
              <w:t xml:space="preserve"> from MTN 003 (VOICE).</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roofErr w:type="spellStart"/>
            <w:r w:rsidRPr="003C53F6">
              <w:rPr>
                <w:rFonts w:ascii="Arial Narrow" w:hAnsi="Arial Narrow"/>
                <w:sz w:val="20"/>
              </w:rPr>
              <w:t>Marrazzo</w:t>
            </w:r>
            <w:proofErr w:type="spellEnd"/>
            <w:r w:rsidRPr="003C53F6">
              <w:rPr>
                <w:rFonts w:ascii="Arial Narrow" w:hAnsi="Arial Narrow"/>
                <w:sz w:val="20"/>
              </w:rPr>
              <w:t xml:space="preserve"> J, </w:t>
            </w:r>
            <w:proofErr w:type="spellStart"/>
            <w:r w:rsidRPr="003C53F6">
              <w:rPr>
                <w:rFonts w:ascii="Arial Narrow" w:hAnsi="Arial Narrow"/>
                <w:sz w:val="20"/>
              </w:rPr>
              <w:t>Rabe</w:t>
            </w:r>
            <w:proofErr w:type="spellEnd"/>
            <w:r w:rsidRPr="003C53F6">
              <w:rPr>
                <w:rFonts w:ascii="Arial Narrow" w:hAnsi="Arial Narrow"/>
                <w:sz w:val="20"/>
              </w:rPr>
              <w:t xml:space="preserve"> L, Kelly C, </w:t>
            </w:r>
            <w:proofErr w:type="spellStart"/>
            <w:r w:rsidRPr="003C53F6">
              <w:rPr>
                <w:rFonts w:ascii="Arial Narrow" w:hAnsi="Arial Narrow"/>
                <w:sz w:val="20"/>
              </w:rPr>
              <w:t>Livant</w:t>
            </w:r>
            <w:proofErr w:type="spellEnd"/>
            <w:r w:rsidRPr="003C53F6">
              <w:rPr>
                <w:rFonts w:ascii="Arial Narrow" w:hAnsi="Arial Narrow"/>
                <w:sz w:val="20"/>
              </w:rPr>
              <w:t xml:space="preserve"> T, et al. Herpes simplex virus (HSV) infection in the VOICE (MTN 003) study: Pre-exposure prophylaxis (</w:t>
            </w:r>
            <w:proofErr w:type="spellStart"/>
            <w:r w:rsidRPr="003C53F6">
              <w:rPr>
                <w:rFonts w:ascii="Arial Narrow" w:hAnsi="Arial Narrow"/>
                <w:sz w:val="20"/>
              </w:rPr>
              <w:t>PrEP</w:t>
            </w:r>
            <w:proofErr w:type="spellEnd"/>
            <w:r w:rsidRPr="003C53F6">
              <w:rPr>
                <w:rFonts w:ascii="Arial Narrow" w:hAnsi="Arial Narrow"/>
                <w:sz w:val="20"/>
              </w:rPr>
              <w:t xml:space="preserve">) for HIV with daily use of oral </w:t>
            </w:r>
            <w:proofErr w:type="spellStart"/>
            <w:r w:rsidRPr="003C53F6">
              <w:rPr>
                <w:rFonts w:ascii="Arial Narrow" w:hAnsi="Arial Narrow"/>
                <w:sz w:val="20"/>
              </w:rPr>
              <w:t>tenofovir</w:t>
            </w:r>
            <w:proofErr w:type="spellEnd"/>
            <w:r w:rsidRPr="003C53F6">
              <w:rPr>
                <w:rFonts w:ascii="Arial Narrow" w:hAnsi="Arial Narrow"/>
                <w:sz w:val="20"/>
              </w:rPr>
              <w:t xml:space="preserve">, oral </w:t>
            </w:r>
            <w:proofErr w:type="spellStart"/>
            <w:r w:rsidRPr="003C53F6">
              <w:rPr>
                <w:rFonts w:ascii="Arial Narrow" w:hAnsi="Arial Narrow"/>
                <w:sz w:val="20"/>
              </w:rPr>
              <w:t>tenofovir-emtricitabine</w:t>
            </w:r>
            <w:proofErr w:type="spellEnd"/>
            <w:r w:rsidRPr="003C53F6">
              <w:rPr>
                <w:rFonts w:ascii="Arial Narrow" w:hAnsi="Arial Narrow"/>
                <w:sz w:val="20"/>
              </w:rPr>
              <w:t xml:space="preserve">, or vaginal </w:t>
            </w:r>
            <w:proofErr w:type="spellStart"/>
            <w:r w:rsidRPr="003C53F6">
              <w:rPr>
                <w:rFonts w:ascii="Arial Narrow" w:hAnsi="Arial Narrow"/>
                <w:sz w:val="20"/>
              </w:rPr>
              <w:t>tenofovir</w:t>
            </w:r>
            <w:proofErr w:type="spellEnd"/>
            <w:r w:rsidRPr="003C53F6">
              <w:rPr>
                <w:rFonts w:ascii="Arial Narrow" w:hAnsi="Arial Narrow"/>
                <w:sz w:val="20"/>
              </w:rPr>
              <w:t xml:space="preserve"> gel.</w:t>
            </w:r>
          </w:p>
        </w:tc>
        <w:tc>
          <w:tcPr>
            <w:tcW w:w="2084" w:type="pct"/>
          </w:tcPr>
          <w:p w:rsidR="00886719" w:rsidRPr="003C53F6" w:rsidRDefault="00886719" w:rsidP="009676AF">
            <w:pPr>
              <w:jc w:val="left"/>
              <w:rPr>
                <w:rFonts w:ascii="Arial Narrow" w:hAnsi="Arial Narrow"/>
                <w:sz w:val="20"/>
              </w:rPr>
            </w:pPr>
            <w:r w:rsidRPr="003C53F6">
              <w:rPr>
                <w:rFonts w:ascii="Arial Narrow" w:hAnsi="Arial Narrow"/>
                <w:i/>
                <w:sz w:val="20"/>
              </w:rPr>
              <w:t xml:space="preserve">New </w:t>
            </w:r>
            <w:proofErr w:type="spellStart"/>
            <w:r w:rsidRPr="003C53F6">
              <w:rPr>
                <w:rFonts w:ascii="Arial Narrow" w:hAnsi="Arial Narrow"/>
                <w:i/>
                <w:sz w:val="20"/>
              </w:rPr>
              <w:t>Engl</w:t>
            </w:r>
            <w:proofErr w:type="spellEnd"/>
            <w:r w:rsidRPr="003C53F6">
              <w:rPr>
                <w:rFonts w:ascii="Arial Narrow" w:hAnsi="Arial Narrow"/>
                <w:i/>
                <w:sz w:val="20"/>
              </w:rPr>
              <w:t xml:space="preserve"> J Med</w:t>
            </w:r>
            <w:r w:rsidRPr="003C53F6">
              <w:rPr>
                <w:rFonts w:ascii="Arial Narrow" w:hAnsi="Arial Narrow"/>
                <w:sz w:val="20"/>
              </w:rPr>
              <w:t xml:space="preserve"> 2015; 372 (6):509-518.</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Journal of Acquired Immune Deficiency Syndromes</w:t>
            </w:r>
            <w:r w:rsidRPr="003C53F6">
              <w:rPr>
                <w:rFonts w:ascii="Arial Narrow" w:hAnsi="Arial Narrow"/>
                <w:sz w:val="20"/>
              </w:rPr>
              <w:t xml:space="preserve"> 2015; 70 (2):212-217.</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21th Conference on Retroviruses and Opportunistic Infections </w:t>
            </w:r>
            <w:r w:rsidRPr="003C53F6">
              <w:rPr>
                <w:rFonts w:ascii="Arial Narrow" w:hAnsi="Arial Narrow"/>
                <w:sz w:val="20"/>
              </w:rPr>
              <w:t>2014.</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i/>
                <w:sz w:val="20"/>
              </w:rPr>
            </w:pPr>
          </w:p>
          <w:p w:rsidR="00886719" w:rsidRPr="003C53F6" w:rsidRDefault="00886719" w:rsidP="009676AF">
            <w:pPr>
              <w:jc w:val="left"/>
              <w:rPr>
                <w:rFonts w:ascii="Arial Narrow" w:hAnsi="Arial Narrow"/>
                <w:sz w:val="20"/>
              </w:rPr>
            </w:pPr>
            <w:r w:rsidRPr="003C53F6">
              <w:rPr>
                <w:rFonts w:ascii="Arial Narrow" w:hAnsi="Arial Narrow"/>
                <w:i/>
                <w:sz w:val="20"/>
              </w:rPr>
              <w:t xml:space="preserve">21th Conference on Retroviruses and Opportunistic Infections </w:t>
            </w:r>
            <w:r w:rsidRPr="003C53F6">
              <w:rPr>
                <w:rFonts w:ascii="Arial Narrow" w:hAnsi="Arial Narrow"/>
                <w:sz w:val="20"/>
              </w:rPr>
              <w:t>2014.</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r w:rsidRPr="003C53F6">
              <w:rPr>
                <w:rFonts w:ascii="Arial Narrow" w:hAnsi="Arial Narrow"/>
                <w:i/>
                <w:sz w:val="20"/>
              </w:rPr>
              <w:t>Sexually Transmitted Infections</w:t>
            </w:r>
            <w:r w:rsidRPr="003C53F6">
              <w:rPr>
                <w:rFonts w:ascii="Arial Narrow" w:hAnsi="Arial Narrow"/>
                <w:sz w:val="20"/>
              </w:rPr>
              <w:t xml:space="preserve"> 2013.</w:t>
            </w:r>
          </w:p>
          <w:p w:rsidR="00886719" w:rsidRPr="003C53F6" w:rsidRDefault="00886719" w:rsidP="009676AF">
            <w:pPr>
              <w:jc w:val="left"/>
              <w:rPr>
                <w:rFonts w:ascii="Arial Narrow" w:hAnsi="Arial Narrow"/>
                <w:sz w:val="20"/>
              </w:rPr>
            </w:pPr>
          </w:p>
          <w:p w:rsidR="00886719" w:rsidRPr="003C53F6" w:rsidRDefault="00886719" w:rsidP="009676AF">
            <w:pPr>
              <w:jc w:val="left"/>
              <w:rPr>
                <w:rFonts w:ascii="Arial Narrow" w:hAnsi="Arial Narrow"/>
                <w:sz w:val="20"/>
              </w:rPr>
            </w:pPr>
          </w:p>
        </w:tc>
      </w:tr>
    </w:tbl>
    <w:p w:rsidR="00886719" w:rsidRPr="003C53F6" w:rsidRDefault="00886719" w:rsidP="00886719">
      <w:pPr>
        <w:pStyle w:val="TableFooter"/>
      </w:pPr>
      <w:r w:rsidRPr="003C53F6">
        <w:t>Source: Appendix 1, Table B-5 and Table B-6, pp 41-42 of the submission.</w:t>
      </w:r>
    </w:p>
    <w:p w:rsidR="00886719" w:rsidRPr="003C53F6" w:rsidRDefault="00886719" w:rsidP="00886719">
      <w:pPr>
        <w:pStyle w:val="TableFooter"/>
      </w:pPr>
      <w:r w:rsidRPr="003C53F6">
        <w:rPr>
          <w:vertAlign w:val="superscript"/>
        </w:rPr>
        <w:t>1</w:t>
      </w:r>
      <w:r w:rsidRPr="003C53F6">
        <w:t>The submission reported this article to be published in 2015 (see Table B-4), but the article was published in 2012.</w:t>
      </w:r>
    </w:p>
    <w:p w:rsidR="00862502" w:rsidRPr="003C53F6" w:rsidRDefault="00862502" w:rsidP="00886719">
      <w:pPr>
        <w:pStyle w:val="ListParagraph"/>
        <w:widowControl/>
        <w:rPr>
          <w:szCs w:val="22"/>
        </w:rPr>
      </w:pPr>
    </w:p>
    <w:p w:rsidR="00862502" w:rsidRPr="003C53F6" w:rsidRDefault="008F120A" w:rsidP="006A1932">
      <w:pPr>
        <w:pStyle w:val="ListParagraph"/>
        <w:keepNext/>
        <w:widowControl/>
        <w:numPr>
          <w:ilvl w:val="1"/>
          <w:numId w:val="2"/>
        </w:numPr>
        <w:rPr>
          <w:szCs w:val="22"/>
        </w:rPr>
      </w:pPr>
      <w:r w:rsidRPr="003C53F6">
        <w:rPr>
          <w:szCs w:val="22"/>
        </w:rPr>
        <w:t xml:space="preserve">The key features of the direct randomised trials are summarised in the table below.  </w:t>
      </w:r>
    </w:p>
    <w:p w:rsidR="007F1017" w:rsidRPr="003C53F6" w:rsidRDefault="007F1017" w:rsidP="006A1932">
      <w:pPr>
        <w:keepNext/>
        <w:widowControl/>
        <w:rPr>
          <w:szCs w:val="22"/>
        </w:rPr>
      </w:pPr>
    </w:p>
    <w:p w:rsidR="007F1017" w:rsidRPr="003C53F6" w:rsidRDefault="007F1017" w:rsidP="006A1932">
      <w:pPr>
        <w:keepNext/>
        <w:rPr>
          <w:rStyle w:val="CommentReference"/>
        </w:rPr>
      </w:pPr>
      <w:r w:rsidRPr="003C53F6">
        <w:rPr>
          <w:rStyle w:val="CommentReference"/>
        </w:rPr>
        <w:t xml:space="preserve">Table </w:t>
      </w:r>
      <w:r w:rsidR="00886719" w:rsidRPr="003C53F6">
        <w:rPr>
          <w:rStyle w:val="CommentReference"/>
        </w:rPr>
        <w:t>2</w:t>
      </w:r>
      <w:r w:rsidRPr="003C53F6">
        <w:rPr>
          <w:rStyle w:val="CommentReference"/>
        </w:rPr>
        <w:t>: Key features of the included evidence</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708"/>
        <w:gridCol w:w="1985"/>
        <w:gridCol w:w="992"/>
        <w:gridCol w:w="1614"/>
        <w:gridCol w:w="1231"/>
        <w:gridCol w:w="1107"/>
      </w:tblGrid>
      <w:tr w:rsidR="005827A7" w:rsidRPr="003C53F6" w:rsidTr="00E629F8">
        <w:tc>
          <w:tcPr>
            <w:tcW w:w="783" w:type="pct"/>
            <w:shd w:val="clear" w:color="auto" w:fill="auto"/>
            <w:vAlign w:val="center"/>
          </w:tcPr>
          <w:p w:rsidR="005827A7" w:rsidRPr="003C53F6" w:rsidRDefault="005827A7" w:rsidP="006A1932">
            <w:pPr>
              <w:keepNext/>
              <w:jc w:val="left"/>
              <w:rPr>
                <w:rFonts w:ascii="Arial Narrow" w:hAnsi="Arial Narrow"/>
                <w:b/>
                <w:sz w:val="20"/>
              </w:rPr>
            </w:pPr>
            <w:r w:rsidRPr="003C53F6">
              <w:rPr>
                <w:rFonts w:ascii="Arial Narrow" w:hAnsi="Arial Narrow"/>
                <w:b/>
                <w:sz w:val="20"/>
              </w:rPr>
              <w:t>Trial</w:t>
            </w:r>
          </w:p>
        </w:tc>
        <w:tc>
          <w:tcPr>
            <w:tcW w:w="391" w:type="pct"/>
            <w:shd w:val="clear" w:color="auto" w:fill="auto"/>
            <w:vAlign w:val="center"/>
          </w:tcPr>
          <w:p w:rsidR="005827A7" w:rsidRPr="003C53F6" w:rsidRDefault="005827A7" w:rsidP="006A1932">
            <w:pPr>
              <w:keepNext/>
              <w:jc w:val="center"/>
              <w:rPr>
                <w:rFonts w:ascii="Arial Narrow" w:hAnsi="Arial Narrow"/>
                <w:b/>
                <w:sz w:val="20"/>
              </w:rPr>
            </w:pPr>
            <w:r w:rsidRPr="003C53F6">
              <w:rPr>
                <w:rFonts w:ascii="Arial Narrow" w:hAnsi="Arial Narrow"/>
                <w:b/>
                <w:sz w:val="20"/>
              </w:rPr>
              <w:t>N</w:t>
            </w:r>
          </w:p>
        </w:tc>
        <w:tc>
          <w:tcPr>
            <w:tcW w:w="1096" w:type="pct"/>
            <w:shd w:val="clear" w:color="auto" w:fill="auto"/>
            <w:vAlign w:val="center"/>
          </w:tcPr>
          <w:p w:rsidR="005827A7" w:rsidRPr="003C53F6" w:rsidRDefault="005827A7" w:rsidP="006A1932">
            <w:pPr>
              <w:keepNext/>
              <w:jc w:val="center"/>
              <w:rPr>
                <w:rFonts w:ascii="Arial Narrow" w:hAnsi="Arial Narrow"/>
                <w:b/>
                <w:sz w:val="20"/>
              </w:rPr>
            </w:pPr>
            <w:r w:rsidRPr="003C53F6">
              <w:rPr>
                <w:rFonts w:ascii="Arial Narrow" w:hAnsi="Arial Narrow"/>
                <w:b/>
                <w:sz w:val="20"/>
              </w:rPr>
              <w:t>Design, follow-up</w:t>
            </w:r>
          </w:p>
        </w:tc>
        <w:tc>
          <w:tcPr>
            <w:tcW w:w="548" w:type="pct"/>
            <w:shd w:val="clear" w:color="auto" w:fill="auto"/>
            <w:vAlign w:val="center"/>
          </w:tcPr>
          <w:p w:rsidR="005827A7" w:rsidRPr="003C53F6" w:rsidRDefault="005827A7" w:rsidP="006A1932">
            <w:pPr>
              <w:keepNext/>
              <w:jc w:val="center"/>
              <w:rPr>
                <w:rFonts w:ascii="Arial Narrow" w:hAnsi="Arial Narrow"/>
                <w:b/>
                <w:sz w:val="20"/>
              </w:rPr>
            </w:pPr>
            <w:r w:rsidRPr="003C53F6">
              <w:rPr>
                <w:rFonts w:ascii="Arial Narrow" w:hAnsi="Arial Narrow"/>
                <w:b/>
                <w:sz w:val="20"/>
              </w:rPr>
              <w:t>Risk of bias</w:t>
            </w:r>
          </w:p>
        </w:tc>
        <w:tc>
          <w:tcPr>
            <w:tcW w:w="891" w:type="pct"/>
            <w:shd w:val="clear" w:color="auto" w:fill="auto"/>
            <w:vAlign w:val="center"/>
          </w:tcPr>
          <w:p w:rsidR="005827A7" w:rsidRPr="003C53F6" w:rsidRDefault="00447E32" w:rsidP="006A1932">
            <w:pPr>
              <w:keepNext/>
              <w:jc w:val="center"/>
              <w:rPr>
                <w:rFonts w:ascii="Arial Narrow" w:hAnsi="Arial Narrow"/>
                <w:b/>
                <w:sz w:val="20"/>
              </w:rPr>
            </w:pPr>
            <w:r w:rsidRPr="003C53F6">
              <w:rPr>
                <w:rFonts w:ascii="Arial Narrow" w:hAnsi="Arial Narrow"/>
                <w:b/>
                <w:sz w:val="20"/>
              </w:rPr>
              <w:t>P</w:t>
            </w:r>
            <w:r w:rsidR="005827A7" w:rsidRPr="003C53F6">
              <w:rPr>
                <w:rFonts w:ascii="Arial Narrow" w:hAnsi="Arial Narrow"/>
                <w:b/>
                <w:sz w:val="20"/>
              </w:rPr>
              <w:t>opulation</w:t>
            </w:r>
          </w:p>
        </w:tc>
        <w:tc>
          <w:tcPr>
            <w:tcW w:w="680" w:type="pct"/>
            <w:shd w:val="clear" w:color="auto" w:fill="auto"/>
            <w:vAlign w:val="center"/>
          </w:tcPr>
          <w:p w:rsidR="005827A7" w:rsidRPr="003C53F6" w:rsidRDefault="005827A7" w:rsidP="006A1932">
            <w:pPr>
              <w:keepNext/>
              <w:jc w:val="center"/>
              <w:rPr>
                <w:rFonts w:ascii="Arial Narrow" w:hAnsi="Arial Narrow"/>
                <w:b/>
                <w:sz w:val="20"/>
              </w:rPr>
            </w:pPr>
            <w:r w:rsidRPr="003C53F6">
              <w:rPr>
                <w:rFonts w:ascii="Arial Narrow" w:hAnsi="Arial Narrow"/>
                <w:b/>
                <w:sz w:val="20"/>
              </w:rPr>
              <w:t>Outcomes</w:t>
            </w:r>
          </w:p>
        </w:tc>
        <w:tc>
          <w:tcPr>
            <w:tcW w:w="611" w:type="pct"/>
            <w:shd w:val="clear" w:color="auto" w:fill="auto"/>
            <w:vAlign w:val="center"/>
          </w:tcPr>
          <w:p w:rsidR="005827A7" w:rsidRPr="003C53F6" w:rsidRDefault="005827A7" w:rsidP="006A1932">
            <w:pPr>
              <w:keepNext/>
              <w:jc w:val="center"/>
              <w:rPr>
                <w:rFonts w:ascii="Arial Narrow" w:hAnsi="Arial Narrow"/>
                <w:b/>
                <w:sz w:val="20"/>
              </w:rPr>
            </w:pPr>
            <w:r w:rsidRPr="003C53F6">
              <w:rPr>
                <w:rFonts w:ascii="Arial Narrow" w:hAnsi="Arial Narrow"/>
                <w:b/>
                <w:sz w:val="20"/>
              </w:rPr>
              <w:t>Use in modelled evaluation</w:t>
            </w:r>
          </w:p>
        </w:tc>
      </w:tr>
      <w:tr w:rsidR="005827A7" w:rsidRPr="003C53F6" w:rsidTr="00E629F8">
        <w:tc>
          <w:tcPr>
            <w:tcW w:w="5000" w:type="pct"/>
            <w:gridSpan w:val="7"/>
            <w:shd w:val="clear" w:color="auto" w:fill="auto"/>
            <w:vAlign w:val="center"/>
          </w:tcPr>
          <w:p w:rsidR="005827A7" w:rsidRPr="003C53F6" w:rsidRDefault="005827A7" w:rsidP="006A1932">
            <w:pPr>
              <w:keepNext/>
              <w:jc w:val="left"/>
              <w:rPr>
                <w:rFonts w:ascii="Arial Narrow" w:hAnsi="Arial Narrow"/>
                <w:b/>
                <w:sz w:val="20"/>
              </w:rPr>
            </w:pPr>
            <w:proofErr w:type="spellStart"/>
            <w:r w:rsidRPr="003C53F6">
              <w:rPr>
                <w:rFonts w:ascii="Arial Narrow" w:hAnsi="Arial Narrow"/>
                <w:b/>
                <w:sz w:val="20"/>
              </w:rPr>
              <w:t>Truvada</w:t>
            </w:r>
            <w:proofErr w:type="spellEnd"/>
            <w:r w:rsidRPr="003C53F6">
              <w:rPr>
                <w:rFonts w:ascii="Arial Narrow" w:hAnsi="Arial Narrow"/>
                <w:b/>
                <w:sz w:val="20"/>
              </w:rPr>
              <w:t xml:space="preserve"> + SOC vs. SOC</w:t>
            </w:r>
          </w:p>
        </w:tc>
      </w:tr>
      <w:tr w:rsidR="00065633" w:rsidRPr="003C53F6" w:rsidTr="00E629F8">
        <w:tc>
          <w:tcPr>
            <w:tcW w:w="783" w:type="pct"/>
            <w:shd w:val="clear" w:color="auto" w:fill="auto"/>
            <w:vAlign w:val="center"/>
          </w:tcPr>
          <w:p w:rsidR="00065633" w:rsidRPr="003C53F6" w:rsidRDefault="00065633" w:rsidP="005D50E6">
            <w:pPr>
              <w:jc w:val="left"/>
              <w:rPr>
                <w:rFonts w:ascii="Arial Narrow" w:hAnsi="Arial Narrow"/>
                <w:sz w:val="20"/>
              </w:rPr>
            </w:pPr>
            <w:proofErr w:type="spellStart"/>
            <w:r w:rsidRPr="003C53F6">
              <w:rPr>
                <w:rFonts w:ascii="Arial Narrow" w:hAnsi="Arial Narrow"/>
                <w:sz w:val="20"/>
              </w:rPr>
              <w:t>iPREX</w:t>
            </w:r>
            <w:proofErr w:type="spellEnd"/>
          </w:p>
        </w:tc>
        <w:tc>
          <w:tcPr>
            <w:tcW w:w="39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2,441</w:t>
            </w:r>
          </w:p>
        </w:tc>
        <w:tc>
          <w:tcPr>
            <w:tcW w:w="1096"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R, DB</w:t>
            </w:r>
          </w:p>
          <w:p w:rsidR="00065633" w:rsidRPr="003C53F6" w:rsidRDefault="00065633" w:rsidP="005D50E6">
            <w:pPr>
              <w:jc w:val="center"/>
              <w:rPr>
                <w:rFonts w:ascii="Arial Narrow" w:hAnsi="Arial Narrow"/>
                <w:sz w:val="20"/>
              </w:rPr>
            </w:pPr>
            <w:r w:rsidRPr="003C53F6">
              <w:rPr>
                <w:rFonts w:ascii="Arial Narrow" w:hAnsi="Arial Narrow"/>
                <w:sz w:val="20"/>
              </w:rPr>
              <w:lastRenderedPageBreak/>
              <w:t>3,324 person-years</w:t>
            </w:r>
          </w:p>
        </w:tc>
        <w:tc>
          <w:tcPr>
            <w:tcW w:w="548"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lastRenderedPageBreak/>
              <w:t>Low</w:t>
            </w:r>
          </w:p>
        </w:tc>
        <w:tc>
          <w:tcPr>
            <w:tcW w:w="891" w:type="pct"/>
            <w:shd w:val="clear" w:color="auto" w:fill="auto"/>
            <w:vAlign w:val="center"/>
          </w:tcPr>
          <w:p w:rsidR="00065633" w:rsidRPr="003C53F6" w:rsidRDefault="000B2301" w:rsidP="005D50E6">
            <w:pPr>
              <w:jc w:val="center"/>
              <w:rPr>
                <w:rFonts w:ascii="Arial Narrow" w:hAnsi="Arial Narrow"/>
                <w:sz w:val="20"/>
              </w:rPr>
            </w:pPr>
            <w:r w:rsidRPr="003C53F6">
              <w:rPr>
                <w:rFonts w:ascii="Arial Narrow" w:hAnsi="Arial Narrow"/>
                <w:sz w:val="20"/>
              </w:rPr>
              <w:t>MSM at high risk</w:t>
            </w:r>
            <w:r w:rsidR="004D2CF7" w:rsidRPr="003C53F6">
              <w:rPr>
                <w:rFonts w:ascii="Arial Narrow" w:hAnsi="Arial Narrow"/>
                <w:sz w:val="20"/>
              </w:rPr>
              <w:t xml:space="preserve"> </w:t>
            </w:r>
            <w:r w:rsidR="004D2CF7" w:rsidRPr="003C53F6">
              <w:rPr>
                <w:rFonts w:ascii="Arial Narrow" w:hAnsi="Arial Narrow"/>
                <w:sz w:val="20"/>
              </w:rPr>
              <w:lastRenderedPageBreak/>
              <w:t>(Peru, Ecuador, Brazil, USA, Thailand, South Africa)</w:t>
            </w:r>
          </w:p>
        </w:tc>
        <w:tc>
          <w:tcPr>
            <w:tcW w:w="680" w:type="pct"/>
            <w:shd w:val="clear" w:color="auto" w:fill="auto"/>
          </w:tcPr>
          <w:p w:rsidR="00065633" w:rsidRPr="003C53F6" w:rsidRDefault="00065633" w:rsidP="005D50E6">
            <w:pPr>
              <w:jc w:val="center"/>
              <w:rPr>
                <w:rFonts w:ascii="Arial Narrow" w:hAnsi="Arial Narrow"/>
                <w:sz w:val="20"/>
              </w:rPr>
            </w:pPr>
            <w:r w:rsidRPr="003C53F6">
              <w:rPr>
                <w:rFonts w:ascii="Arial Narrow" w:hAnsi="Arial Narrow"/>
                <w:sz w:val="20"/>
              </w:rPr>
              <w:lastRenderedPageBreak/>
              <w:t xml:space="preserve">Incidence of </w:t>
            </w:r>
            <w:r w:rsidRPr="003C53F6">
              <w:rPr>
                <w:rFonts w:ascii="Arial Narrow" w:hAnsi="Arial Narrow"/>
                <w:sz w:val="20"/>
              </w:rPr>
              <w:lastRenderedPageBreak/>
              <w:t xml:space="preserve">HIV </w:t>
            </w:r>
            <w:proofErr w:type="spellStart"/>
            <w:r w:rsidRPr="003C53F6">
              <w:rPr>
                <w:rFonts w:ascii="Arial Narrow" w:hAnsi="Arial Narrow"/>
                <w:sz w:val="20"/>
              </w:rPr>
              <w:t>seroconversion</w:t>
            </w:r>
            <w:proofErr w:type="spellEnd"/>
          </w:p>
        </w:tc>
        <w:tc>
          <w:tcPr>
            <w:tcW w:w="611" w:type="pct"/>
            <w:shd w:val="clear" w:color="auto" w:fill="auto"/>
            <w:vAlign w:val="center"/>
          </w:tcPr>
          <w:p w:rsidR="00065633" w:rsidRPr="003C53F6" w:rsidRDefault="0080500B" w:rsidP="005D50E6">
            <w:pPr>
              <w:jc w:val="center"/>
              <w:rPr>
                <w:rFonts w:ascii="Arial Narrow" w:hAnsi="Arial Narrow"/>
                <w:sz w:val="20"/>
              </w:rPr>
            </w:pPr>
            <w:r w:rsidRPr="003C53F6">
              <w:rPr>
                <w:rFonts w:ascii="Arial Narrow" w:hAnsi="Arial Narrow"/>
                <w:sz w:val="20"/>
              </w:rPr>
              <w:lastRenderedPageBreak/>
              <w:t xml:space="preserve">Efficacy in </w:t>
            </w:r>
            <w:r w:rsidRPr="003C53F6">
              <w:rPr>
                <w:rFonts w:ascii="Arial Narrow" w:hAnsi="Arial Narrow"/>
                <w:sz w:val="20"/>
              </w:rPr>
              <w:lastRenderedPageBreak/>
              <w:t>highly adherent subjects</w:t>
            </w:r>
          </w:p>
        </w:tc>
      </w:tr>
      <w:tr w:rsidR="00065633" w:rsidRPr="003C53F6" w:rsidTr="00E629F8">
        <w:tc>
          <w:tcPr>
            <w:tcW w:w="783" w:type="pct"/>
            <w:shd w:val="clear" w:color="auto" w:fill="auto"/>
            <w:vAlign w:val="center"/>
          </w:tcPr>
          <w:p w:rsidR="00065633" w:rsidRPr="003C53F6" w:rsidRDefault="00065633" w:rsidP="005827A7">
            <w:pPr>
              <w:jc w:val="left"/>
              <w:rPr>
                <w:rFonts w:ascii="Arial Narrow" w:hAnsi="Arial Narrow"/>
                <w:sz w:val="20"/>
              </w:rPr>
            </w:pPr>
            <w:r w:rsidRPr="003C53F6">
              <w:rPr>
                <w:rFonts w:ascii="Arial Narrow" w:hAnsi="Arial Narrow"/>
                <w:sz w:val="20"/>
              </w:rPr>
              <w:lastRenderedPageBreak/>
              <w:t xml:space="preserve">Partners </w:t>
            </w:r>
            <w:proofErr w:type="spellStart"/>
            <w:r w:rsidRPr="003C53F6">
              <w:rPr>
                <w:rFonts w:ascii="Arial Narrow" w:hAnsi="Arial Narrow"/>
                <w:sz w:val="20"/>
              </w:rPr>
              <w:t>PrEP</w:t>
            </w:r>
            <w:proofErr w:type="spellEnd"/>
          </w:p>
        </w:tc>
        <w:tc>
          <w:tcPr>
            <w:tcW w:w="39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3,154</w:t>
            </w:r>
          </w:p>
        </w:tc>
        <w:tc>
          <w:tcPr>
            <w:tcW w:w="1096"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R, DB</w:t>
            </w:r>
          </w:p>
          <w:p w:rsidR="00065633" w:rsidRPr="003C53F6" w:rsidRDefault="00065633" w:rsidP="005D50E6">
            <w:pPr>
              <w:jc w:val="center"/>
              <w:rPr>
                <w:rFonts w:ascii="Arial Narrow" w:hAnsi="Arial Narrow"/>
                <w:sz w:val="20"/>
              </w:rPr>
            </w:pPr>
            <w:r w:rsidRPr="003C53F6">
              <w:rPr>
                <w:rFonts w:ascii="Arial Narrow" w:hAnsi="Arial Narrow"/>
                <w:sz w:val="20"/>
              </w:rPr>
              <w:t>7,830 person-years</w:t>
            </w:r>
          </w:p>
        </w:tc>
        <w:tc>
          <w:tcPr>
            <w:tcW w:w="548"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Low</w:t>
            </w:r>
          </w:p>
        </w:tc>
        <w:tc>
          <w:tcPr>
            <w:tcW w:w="891" w:type="pct"/>
            <w:shd w:val="clear" w:color="auto" w:fill="auto"/>
            <w:vAlign w:val="center"/>
          </w:tcPr>
          <w:p w:rsidR="00065633" w:rsidRPr="003C53F6" w:rsidRDefault="000B2301" w:rsidP="005D50E6">
            <w:pPr>
              <w:jc w:val="center"/>
              <w:rPr>
                <w:rFonts w:ascii="Arial Narrow" w:hAnsi="Arial Narrow"/>
                <w:sz w:val="20"/>
              </w:rPr>
            </w:pPr>
            <w:r w:rsidRPr="003C53F6">
              <w:rPr>
                <w:rFonts w:ascii="Arial Narrow" w:hAnsi="Arial Narrow"/>
                <w:sz w:val="20"/>
              </w:rPr>
              <w:t>Partners of seropositive patients</w:t>
            </w:r>
            <w:r w:rsidR="004D2CF7" w:rsidRPr="003C53F6">
              <w:rPr>
                <w:rFonts w:ascii="Arial Narrow" w:hAnsi="Arial Narrow"/>
                <w:sz w:val="20"/>
              </w:rPr>
              <w:t xml:space="preserve"> (Kenya, Uganda)</w:t>
            </w:r>
          </w:p>
        </w:tc>
        <w:tc>
          <w:tcPr>
            <w:tcW w:w="680" w:type="pct"/>
            <w:shd w:val="clear" w:color="auto" w:fill="auto"/>
          </w:tcPr>
          <w:p w:rsidR="00065633" w:rsidRPr="003C53F6" w:rsidRDefault="00065633" w:rsidP="005D50E6">
            <w:pPr>
              <w:jc w:val="center"/>
              <w:rPr>
                <w:rFonts w:ascii="Arial Narrow" w:hAnsi="Arial Narrow"/>
                <w:sz w:val="20"/>
              </w:rPr>
            </w:pPr>
            <w:r w:rsidRPr="003C53F6">
              <w:rPr>
                <w:rFonts w:ascii="Arial Narrow" w:hAnsi="Arial Narrow"/>
                <w:sz w:val="20"/>
              </w:rPr>
              <w:t xml:space="preserve">Incidence of HIV </w:t>
            </w:r>
            <w:proofErr w:type="spellStart"/>
            <w:r w:rsidRPr="003C53F6">
              <w:rPr>
                <w:rFonts w:ascii="Arial Narrow" w:hAnsi="Arial Narrow"/>
                <w:sz w:val="20"/>
              </w:rPr>
              <w:t>seroconversion</w:t>
            </w:r>
            <w:proofErr w:type="spellEnd"/>
          </w:p>
        </w:tc>
        <w:tc>
          <w:tcPr>
            <w:tcW w:w="611" w:type="pct"/>
            <w:shd w:val="clear" w:color="auto" w:fill="auto"/>
            <w:vAlign w:val="center"/>
          </w:tcPr>
          <w:p w:rsidR="00065633" w:rsidRPr="003C53F6" w:rsidRDefault="0080500B" w:rsidP="005D50E6">
            <w:pPr>
              <w:jc w:val="center"/>
              <w:rPr>
                <w:rFonts w:ascii="Arial Narrow" w:hAnsi="Arial Narrow"/>
                <w:sz w:val="20"/>
              </w:rPr>
            </w:pPr>
            <w:r w:rsidRPr="003C53F6">
              <w:rPr>
                <w:rFonts w:ascii="Arial Narrow" w:hAnsi="Arial Narrow"/>
                <w:sz w:val="20"/>
              </w:rPr>
              <w:t>Efficacy in highly adherent subjects</w:t>
            </w:r>
          </w:p>
        </w:tc>
      </w:tr>
      <w:tr w:rsidR="00065633" w:rsidRPr="003C53F6" w:rsidTr="00E629F8">
        <w:tc>
          <w:tcPr>
            <w:tcW w:w="783" w:type="pct"/>
            <w:shd w:val="clear" w:color="auto" w:fill="auto"/>
            <w:vAlign w:val="center"/>
          </w:tcPr>
          <w:p w:rsidR="00065633" w:rsidRPr="003C53F6" w:rsidRDefault="00065633" w:rsidP="005827A7">
            <w:pPr>
              <w:jc w:val="left"/>
              <w:rPr>
                <w:rFonts w:ascii="Arial Narrow" w:hAnsi="Arial Narrow"/>
                <w:sz w:val="20"/>
              </w:rPr>
            </w:pPr>
            <w:r w:rsidRPr="003C53F6">
              <w:rPr>
                <w:rFonts w:ascii="Arial Narrow" w:hAnsi="Arial Narrow"/>
                <w:sz w:val="20"/>
              </w:rPr>
              <w:t>TDF2</w:t>
            </w:r>
          </w:p>
        </w:tc>
        <w:tc>
          <w:tcPr>
            <w:tcW w:w="39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1,216</w:t>
            </w:r>
          </w:p>
        </w:tc>
        <w:tc>
          <w:tcPr>
            <w:tcW w:w="1096"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R, DB</w:t>
            </w:r>
          </w:p>
          <w:p w:rsidR="00065633" w:rsidRPr="003C53F6" w:rsidRDefault="00065633" w:rsidP="005D50E6">
            <w:pPr>
              <w:jc w:val="center"/>
              <w:rPr>
                <w:rFonts w:ascii="Arial Narrow" w:hAnsi="Arial Narrow"/>
                <w:sz w:val="20"/>
              </w:rPr>
            </w:pPr>
            <w:r w:rsidRPr="003C53F6">
              <w:rPr>
                <w:rFonts w:ascii="Arial Narrow" w:hAnsi="Arial Narrow"/>
                <w:sz w:val="20"/>
              </w:rPr>
              <w:t>1,563 person-years</w:t>
            </w:r>
          </w:p>
        </w:tc>
        <w:tc>
          <w:tcPr>
            <w:tcW w:w="548"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Low</w:t>
            </w:r>
          </w:p>
        </w:tc>
        <w:tc>
          <w:tcPr>
            <w:tcW w:w="891" w:type="pct"/>
            <w:shd w:val="clear" w:color="auto" w:fill="auto"/>
            <w:vAlign w:val="center"/>
          </w:tcPr>
          <w:p w:rsidR="00065633" w:rsidRPr="003C53F6" w:rsidRDefault="000B2301" w:rsidP="005D50E6">
            <w:pPr>
              <w:jc w:val="center"/>
              <w:rPr>
                <w:rFonts w:ascii="Arial Narrow" w:hAnsi="Arial Narrow"/>
                <w:sz w:val="20"/>
              </w:rPr>
            </w:pPr>
            <w:r w:rsidRPr="003C53F6">
              <w:rPr>
                <w:rFonts w:ascii="Arial Narrow" w:hAnsi="Arial Narrow"/>
                <w:sz w:val="20"/>
              </w:rPr>
              <w:t>Heterosexuals</w:t>
            </w:r>
            <w:r w:rsidR="004D2CF7" w:rsidRPr="003C53F6">
              <w:rPr>
                <w:rFonts w:ascii="Arial Narrow" w:hAnsi="Arial Narrow"/>
                <w:sz w:val="20"/>
              </w:rPr>
              <w:t xml:space="preserve"> (Botswana)</w:t>
            </w:r>
          </w:p>
        </w:tc>
        <w:tc>
          <w:tcPr>
            <w:tcW w:w="680" w:type="pct"/>
            <w:shd w:val="clear" w:color="auto" w:fill="auto"/>
          </w:tcPr>
          <w:p w:rsidR="00065633" w:rsidRPr="003C53F6" w:rsidRDefault="00065633" w:rsidP="005D50E6">
            <w:pPr>
              <w:jc w:val="center"/>
              <w:rPr>
                <w:rFonts w:ascii="Arial Narrow" w:hAnsi="Arial Narrow"/>
                <w:sz w:val="20"/>
              </w:rPr>
            </w:pPr>
            <w:r w:rsidRPr="003C53F6">
              <w:rPr>
                <w:rFonts w:ascii="Arial Narrow" w:hAnsi="Arial Narrow"/>
                <w:sz w:val="20"/>
              </w:rPr>
              <w:t xml:space="preserve">Incidence of HIV </w:t>
            </w:r>
            <w:proofErr w:type="spellStart"/>
            <w:r w:rsidRPr="003C53F6">
              <w:rPr>
                <w:rFonts w:ascii="Arial Narrow" w:hAnsi="Arial Narrow"/>
                <w:sz w:val="20"/>
              </w:rPr>
              <w:t>seroconversion</w:t>
            </w:r>
            <w:proofErr w:type="spellEnd"/>
          </w:p>
        </w:tc>
        <w:tc>
          <w:tcPr>
            <w:tcW w:w="61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Not used</w:t>
            </w:r>
          </w:p>
        </w:tc>
      </w:tr>
      <w:tr w:rsidR="00065633" w:rsidRPr="003C53F6" w:rsidTr="00E629F8">
        <w:tc>
          <w:tcPr>
            <w:tcW w:w="783" w:type="pct"/>
            <w:shd w:val="clear" w:color="auto" w:fill="auto"/>
            <w:vAlign w:val="center"/>
          </w:tcPr>
          <w:p w:rsidR="00065633" w:rsidRPr="003C53F6" w:rsidRDefault="00065633" w:rsidP="005827A7">
            <w:pPr>
              <w:jc w:val="left"/>
              <w:rPr>
                <w:rFonts w:ascii="Arial Narrow" w:hAnsi="Arial Narrow"/>
                <w:sz w:val="20"/>
              </w:rPr>
            </w:pPr>
            <w:r w:rsidRPr="003C53F6">
              <w:rPr>
                <w:rFonts w:ascii="Arial Narrow" w:hAnsi="Arial Narrow"/>
                <w:sz w:val="20"/>
              </w:rPr>
              <w:t>PROUD</w:t>
            </w:r>
          </w:p>
        </w:tc>
        <w:tc>
          <w:tcPr>
            <w:tcW w:w="39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523</w:t>
            </w:r>
          </w:p>
        </w:tc>
        <w:tc>
          <w:tcPr>
            <w:tcW w:w="1096"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R, OL</w:t>
            </w:r>
          </w:p>
          <w:p w:rsidR="00065633" w:rsidRPr="003C53F6" w:rsidRDefault="00065633" w:rsidP="005D50E6">
            <w:pPr>
              <w:jc w:val="center"/>
              <w:rPr>
                <w:rFonts w:ascii="Arial Narrow" w:hAnsi="Arial Narrow"/>
                <w:sz w:val="20"/>
              </w:rPr>
            </w:pPr>
            <w:r w:rsidRPr="003C53F6">
              <w:rPr>
                <w:rFonts w:ascii="Arial Narrow" w:hAnsi="Arial Narrow"/>
                <w:sz w:val="20"/>
              </w:rPr>
              <w:t>465 person-years</w:t>
            </w:r>
          </w:p>
        </w:tc>
        <w:tc>
          <w:tcPr>
            <w:tcW w:w="548"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High</w:t>
            </w:r>
          </w:p>
        </w:tc>
        <w:tc>
          <w:tcPr>
            <w:tcW w:w="891" w:type="pct"/>
            <w:shd w:val="clear" w:color="auto" w:fill="auto"/>
            <w:vAlign w:val="center"/>
          </w:tcPr>
          <w:p w:rsidR="00065633" w:rsidRPr="003C53F6" w:rsidRDefault="000B2301" w:rsidP="005D50E6">
            <w:pPr>
              <w:jc w:val="center"/>
              <w:rPr>
                <w:rFonts w:ascii="Arial Narrow" w:hAnsi="Arial Narrow"/>
                <w:sz w:val="20"/>
              </w:rPr>
            </w:pPr>
            <w:r w:rsidRPr="003C53F6">
              <w:rPr>
                <w:rFonts w:ascii="Arial Narrow" w:hAnsi="Arial Narrow"/>
                <w:sz w:val="20"/>
              </w:rPr>
              <w:t>MSM</w:t>
            </w:r>
            <w:r w:rsidR="004D2CF7" w:rsidRPr="003C53F6">
              <w:rPr>
                <w:rFonts w:ascii="Arial Narrow" w:hAnsi="Arial Narrow"/>
                <w:sz w:val="20"/>
              </w:rPr>
              <w:t xml:space="preserve"> </w:t>
            </w:r>
            <w:r w:rsidR="0088690A" w:rsidRPr="003C53F6">
              <w:rPr>
                <w:rFonts w:ascii="Arial Narrow" w:hAnsi="Arial Narrow"/>
                <w:sz w:val="20"/>
              </w:rPr>
              <w:t xml:space="preserve">at high risk </w:t>
            </w:r>
            <w:r w:rsidR="004D2CF7" w:rsidRPr="003C53F6">
              <w:rPr>
                <w:rFonts w:ascii="Arial Narrow" w:hAnsi="Arial Narrow"/>
                <w:sz w:val="20"/>
              </w:rPr>
              <w:t>(England)</w:t>
            </w:r>
          </w:p>
        </w:tc>
        <w:tc>
          <w:tcPr>
            <w:tcW w:w="680" w:type="pct"/>
            <w:shd w:val="clear" w:color="auto" w:fill="auto"/>
          </w:tcPr>
          <w:p w:rsidR="00065633" w:rsidRPr="003C53F6" w:rsidRDefault="0088690A" w:rsidP="0088690A">
            <w:pPr>
              <w:jc w:val="center"/>
              <w:rPr>
                <w:rFonts w:ascii="Arial Narrow" w:hAnsi="Arial Narrow"/>
                <w:sz w:val="20"/>
              </w:rPr>
            </w:pPr>
            <w:r w:rsidRPr="003C53F6">
              <w:rPr>
                <w:rFonts w:ascii="Arial Narrow" w:hAnsi="Arial Narrow"/>
                <w:sz w:val="20"/>
              </w:rPr>
              <w:t>Incidence of HIV seroconversion</w:t>
            </w:r>
            <w:r w:rsidRPr="003C53F6">
              <w:rPr>
                <w:rFonts w:ascii="Arial Narrow" w:hAnsi="Arial Narrow"/>
                <w:sz w:val="20"/>
                <w:vertAlign w:val="superscript"/>
              </w:rPr>
              <w:t>1</w:t>
            </w:r>
            <w:r w:rsidRPr="003C53F6">
              <w:rPr>
                <w:rFonts w:ascii="Arial Narrow" w:hAnsi="Arial Narrow"/>
                <w:sz w:val="20"/>
              </w:rPr>
              <w:t xml:space="preserve"> </w:t>
            </w:r>
          </w:p>
        </w:tc>
        <w:tc>
          <w:tcPr>
            <w:tcW w:w="61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Not used</w:t>
            </w:r>
          </w:p>
        </w:tc>
      </w:tr>
      <w:tr w:rsidR="00065633" w:rsidRPr="003C53F6" w:rsidTr="00E629F8">
        <w:tc>
          <w:tcPr>
            <w:tcW w:w="783" w:type="pct"/>
            <w:shd w:val="clear" w:color="auto" w:fill="auto"/>
            <w:vAlign w:val="center"/>
          </w:tcPr>
          <w:p w:rsidR="00065633" w:rsidRPr="003C53F6" w:rsidRDefault="00065633" w:rsidP="005827A7">
            <w:pPr>
              <w:jc w:val="left"/>
              <w:rPr>
                <w:rFonts w:ascii="Arial Narrow" w:hAnsi="Arial Narrow"/>
                <w:sz w:val="20"/>
              </w:rPr>
            </w:pPr>
            <w:r w:rsidRPr="003C53F6">
              <w:rPr>
                <w:rFonts w:ascii="Arial Narrow" w:hAnsi="Arial Narrow"/>
                <w:sz w:val="20"/>
              </w:rPr>
              <w:t>FEM-</w:t>
            </w:r>
            <w:proofErr w:type="spellStart"/>
            <w:r w:rsidRPr="003C53F6">
              <w:rPr>
                <w:rFonts w:ascii="Arial Narrow" w:hAnsi="Arial Narrow"/>
                <w:sz w:val="20"/>
              </w:rPr>
              <w:t>PrEP</w:t>
            </w:r>
            <w:proofErr w:type="spellEnd"/>
          </w:p>
        </w:tc>
        <w:tc>
          <w:tcPr>
            <w:tcW w:w="39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2,056</w:t>
            </w:r>
          </w:p>
        </w:tc>
        <w:tc>
          <w:tcPr>
            <w:tcW w:w="1096"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R, DB</w:t>
            </w:r>
          </w:p>
          <w:p w:rsidR="00065633" w:rsidRPr="003C53F6" w:rsidRDefault="00065633" w:rsidP="005D50E6">
            <w:pPr>
              <w:jc w:val="center"/>
              <w:rPr>
                <w:rFonts w:ascii="Arial Narrow" w:hAnsi="Arial Narrow"/>
                <w:sz w:val="20"/>
              </w:rPr>
            </w:pPr>
            <w:r w:rsidRPr="003C53F6">
              <w:rPr>
                <w:rFonts w:ascii="Arial Narrow" w:hAnsi="Arial Narrow"/>
                <w:sz w:val="20"/>
              </w:rPr>
              <w:t>1,407 person-years</w:t>
            </w:r>
          </w:p>
        </w:tc>
        <w:tc>
          <w:tcPr>
            <w:tcW w:w="548"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Low</w:t>
            </w:r>
          </w:p>
        </w:tc>
        <w:tc>
          <w:tcPr>
            <w:tcW w:w="891" w:type="pct"/>
            <w:shd w:val="clear" w:color="auto" w:fill="auto"/>
            <w:vAlign w:val="center"/>
          </w:tcPr>
          <w:p w:rsidR="00065633" w:rsidRPr="003C53F6" w:rsidRDefault="000B2301" w:rsidP="005D50E6">
            <w:pPr>
              <w:jc w:val="center"/>
              <w:rPr>
                <w:rFonts w:ascii="Arial Narrow" w:hAnsi="Arial Narrow"/>
                <w:sz w:val="20"/>
              </w:rPr>
            </w:pPr>
            <w:r w:rsidRPr="003C53F6">
              <w:rPr>
                <w:rFonts w:ascii="Arial Narrow" w:hAnsi="Arial Narrow"/>
                <w:sz w:val="20"/>
              </w:rPr>
              <w:t>Women</w:t>
            </w:r>
            <w:r w:rsidR="004D2CF7" w:rsidRPr="003C53F6">
              <w:rPr>
                <w:rFonts w:ascii="Arial Narrow" w:hAnsi="Arial Narrow"/>
                <w:sz w:val="20"/>
              </w:rPr>
              <w:t xml:space="preserve"> (Kenya, South Africa, Tanzania)</w:t>
            </w:r>
          </w:p>
        </w:tc>
        <w:tc>
          <w:tcPr>
            <w:tcW w:w="680" w:type="pct"/>
            <w:shd w:val="clear" w:color="auto" w:fill="auto"/>
          </w:tcPr>
          <w:p w:rsidR="00065633" w:rsidRPr="003C53F6" w:rsidRDefault="00065633" w:rsidP="005D50E6">
            <w:pPr>
              <w:jc w:val="center"/>
              <w:rPr>
                <w:rFonts w:ascii="Arial Narrow" w:hAnsi="Arial Narrow"/>
                <w:sz w:val="20"/>
              </w:rPr>
            </w:pPr>
            <w:r w:rsidRPr="003C53F6">
              <w:rPr>
                <w:rFonts w:ascii="Arial Narrow" w:hAnsi="Arial Narrow"/>
                <w:sz w:val="20"/>
              </w:rPr>
              <w:t xml:space="preserve">Incidence of HIV </w:t>
            </w:r>
            <w:proofErr w:type="spellStart"/>
            <w:r w:rsidRPr="003C53F6">
              <w:rPr>
                <w:rFonts w:ascii="Arial Narrow" w:hAnsi="Arial Narrow"/>
                <w:sz w:val="20"/>
              </w:rPr>
              <w:t>seroconversion</w:t>
            </w:r>
            <w:proofErr w:type="spellEnd"/>
          </w:p>
        </w:tc>
        <w:tc>
          <w:tcPr>
            <w:tcW w:w="61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Not used</w:t>
            </w:r>
          </w:p>
        </w:tc>
      </w:tr>
      <w:tr w:rsidR="00065633" w:rsidRPr="003C53F6" w:rsidTr="00E629F8">
        <w:tc>
          <w:tcPr>
            <w:tcW w:w="783" w:type="pct"/>
            <w:shd w:val="clear" w:color="auto" w:fill="auto"/>
            <w:vAlign w:val="center"/>
          </w:tcPr>
          <w:p w:rsidR="00065633" w:rsidRPr="003C53F6" w:rsidRDefault="00065633" w:rsidP="005827A7">
            <w:pPr>
              <w:jc w:val="left"/>
              <w:rPr>
                <w:rFonts w:ascii="Arial Narrow" w:hAnsi="Arial Narrow"/>
                <w:sz w:val="20"/>
              </w:rPr>
            </w:pPr>
            <w:r w:rsidRPr="003C53F6">
              <w:rPr>
                <w:rFonts w:ascii="Arial Narrow" w:hAnsi="Arial Narrow"/>
                <w:sz w:val="20"/>
              </w:rPr>
              <w:t>VOICE</w:t>
            </w:r>
          </w:p>
        </w:tc>
        <w:tc>
          <w:tcPr>
            <w:tcW w:w="39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2,002</w:t>
            </w:r>
          </w:p>
        </w:tc>
        <w:tc>
          <w:tcPr>
            <w:tcW w:w="1096"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R, DB</w:t>
            </w:r>
          </w:p>
          <w:p w:rsidR="00065633" w:rsidRPr="003C53F6" w:rsidRDefault="00065633" w:rsidP="005D50E6">
            <w:pPr>
              <w:jc w:val="center"/>
              <w:rPr>
                <w:rFonts w:ascii="Arial Narrow" w:hAnsi="Arial Narrow"/>
                <w:sz w:val="20"/>
              </w:rPr>
            </w:pPr>
            <w:r w:rsidRPr="003C53F6">
              <w:rPr>
                <w:rFonts w:ascii="Arial Narrow" w:hAnsi="Arial Narrow"/>
                <w:sz w:val="20"/>
              </w:rPr>
              <w:t>5,509 person-years</w:t>
            </w:r>
          </w:p>
        </w:tc>
        <w:tc>
          <w:tcPr>
            <w:tcW w:w="548"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Low</w:t>
            </w:r>
          </w:p>
        </w:tc>
        <w:tc>
          <w:tcPr>
            <w:tcW w:w="891" w:type="pct"/>
            <w:shd w:val="clear" w:color="auto" w:fill="auto"/>
            <w:vAlign w:val="center"/>
          </w:tcPr>
          <w:p w:rsidR="00065633" w:rsidRPr="003C53F6" w:rsidRDefault="000B2301" w:rsidP="005D50E6">
            <w:pPr>
              <w:jc w:val="center"/>
              <w:rPr>
                <w:rFonts w:ascii="Arial Narrow" w:hAnsi="Arial Narrow"/>
                <w:sz w:val="20"/>
              </w:rPr>
            </w:pPr>
            <w:r w:rsidRPr="003C53F6">
              <w:rPr>
                <w:rFonts w:ascii="Arial Narrow" w:hAnsi="Arial Narrow"/>
                <w:sz w:val="20"/>
              </w:rPr>
              <w:t>Women</w:t>
            </w:r>
            <w:r w:rsidR="004D2CF7" w:rsidRPr="003C53F6">
              <w:rPr>
                <w:rFonts w:ascii="Arial Narrow" w:hAnsi="Arial Narrow"/>
                <w:sz w:val="20"/>
              </w:rPr>
              <w:t xml:space="preserve"> (South Africa, Uganda, Zimbabwe)</w:t>
            </w:r>
          </w:p>
        </w:tc>
        <w:tc>
          <w:tcPr>
            <w:tcW w:w="680" w:type="pct"/>
            <w:shd w:val="clear" w:color="auto" w:fill="auto"/>
          </w:tcPr>
          <w:p w:rsidR="00065633" w:rsidRPr="003C53F6" w:rsidRDefault="00065633" w:rsidP="005D50E6">
            <w:pPr>
              <w:jc w:val="center"/>
              <w:rPr>
                <w:rFonts w:ascii="Arial Narrow" w:hAnsi="Arial Narrow"/>
                <w:sz w:val="20"/>
              </w:rPr>
            </w:pPr>
            <w:r w:rsidRPr="003C53F6">
              <w:rPr>
                <w:rFonts w:ascii="Arial Narrow" w:hAnsi="Arial Narrow"/>
                <w:sz w:val="20"/>
              </w:rPr>
              <w:t xml:space="preserve">Incidence of HIV </w:t>
            </w:r>
            <w:proofErr w:type="spellStart"/>
            <w:r w:rsidRPr="003C53F6">
              <w:rPr>
                <w:rFonts w:ascii="Arial Narrow" w:hAnsi="Arial Narrow"/>
                <w:sz w:val="20"/>
              </w:rPr>
              <w:t>seroconversion</w:t>
            </w:r>
            <w:proofErr w:type="spellEnd"/>
          </w:p>
        </w:tc>
        <w:tc>
          <w:tcPr>
            <w:tcW w:w="611" w:type="pct"/>
            <w:shd w:val="clear" w:color="auto" w:fill="auto"/>
            <w:vAlign w:val="center"/>
          </w:tcPr>
          <w:p w:rsidR="00065633" w:rsidRPr="003C53F6" w:rsidRDefault="00065633" w:rsidP="005D50E6">
            <w:pPr>
              <w:jc w:val="center"/>
              <w:rPr>
                <w:rFonts w:ascii="Arial Narrow" w:hAnsi="Arial Narrow"/>
                <w:sz w:val="20"/>
              </w:rPr>
            </w:pPr>
            <w:r w:rsidRPr="003C53F6">
              <w:rPr>
                <w:rFonts w:ascii="Arial Narrow" w:hAnsi="Arial Narrow"/>
                <w:sz w:val="20"/>
              </w:rPr>
              <w:t>Not used</w:t>
            </w:r>
          </w:p>
        </w:tc>
      </w:tr>
      <w:tr w:rsidR="005827A7" w:rsidRPr="003C53F6" w:rsidTr="00E629F8">
        <w:tc>
          <w:tcPr>
            <w:tcW w:w="783" w:type="pct"/>
            <w:shd w:val="clear" w:color="auto" w:fill="auto"/>
            <w:vAlign w:val="center"/>
          </w:tcPr>
          <w:p w:rsidR="005827A7" w:rsidRPr="003C53F6" w:rsidRDefault="005827A7" w:rsidP="005D50E6">
            <w:pPr>
              <w:jc w:val="left"/>
              <w:rPr>
                <w:rFonts w:ascii="Arial Narrow" w:hAnsi="Arial Narrow"/>
                <w:sz w:val="20"/>
              </w:rPr>
            </w:pPr>
            <w:r w:rsidRPr="003C53F6">
              <w:rPr>
                <w:rFonts w:ascii="Arial Narrow" w:hAnsi="Arial Narrow"/>
                <w:sz w:val="20"/>
              </w:rPr>
              <w:t>Meta-analysis</w:t>
            </w:r>
          </w:p>
        </w:tc>
        <w:tc>
          <w:tcPr>
            <w:tcW w:w="391" w:type="pct"/>
            <w:shd w:val="clear" w:color="auto" w:fill="auto"/>
            <w:vAlign w:val="center"/>
          </w:tcPr>
          <w:p w:rsidR="005827A7" w:rsidRPr="003C53F6" w:rsidRDefault="005827A7" w:rsidP="005D50E6">
            <w:pPr>
              <w:jc w:val="center"/>
              <w:rPr>
                <w:rFonts w:ascii="Arial Narrow" w:hAnsi="Arial Narrow"/>
                <w:sz w:val="20"/>
              </w:rPr>
            </w:pPr>
            <w:r w:rsidRPr="003C53F6">
              <w:rPr>
                <w:rFonts w:ascii="Arial Narrow" w:hAnsi="Arial Narrow"/>
                <w:sz w:val="20"/>
              </w:rPr>
              <w:t>11,392</w:t>
            </w:r>
          </w:p>
        </w:tc>
        <w:tc>
          <w:tcPr>
            <w:tcW w:w="3215" w:type="pct"/>
            <w:gridSpan w:val="4"/>
            <w:shd w:val="clear" w:color="auto" w:fill="auto"/>
            <w:vAlign w:val="center"/>
          </w:tcPr>
          <w:p w:rsidR="005827A7" w:rsidRPr="003C53F6" w:rsidRDefault="005827A7" w:rsidP="005827A7">
            <w:pPr>
              <w:jc w:val="center"/>
              <w:rPr>
                <w:rFonts w:ascii="Arial Narrow" w:hAnsi="Arial Narrow"/>
                <w:sz w:val="20"/>
              </w:rPr>
            </w:pPr>
            <w:r w:rsidRPr="003C53F6">
              <w:rPr>
                <w:rFonts w:ascii="Arial Narrow" w:hAnsi="Arial Narrow"/>
                <w:sz w:val="20"/>
              </w:rPr>
              <w:t xml:space="preserve">Included all of the above; assessed </w:t>
            </w:r>
            <w:r w:rsidR="00065633" w:rsidRPr="003C53F6">
              <w:rPr>
                <w:rFonts w:ascii="Arial Narrow" w:hAnsi="Arial Narrow"/>
                <w:sz w:val="20"/>
              </w:rPr>
              <w:t xml:space="preserve">incidence of </w:t>
            </w:r>
            <w:r w:rsidRPr="003C53F6">
              <w:rPr>
                <w:rFonts w:ascii="Arial Narrow" w:hAnsi="Arial Narrow"/>
                <w:sz w:val="20"/>
              </w:rPr>
              <w:t xml:space="preserve">HIV </w:t>
            </w:r>
            <w:proofErr w:type="spellStart"/>
            <w:r w:rsidRPr="003C53F6">
              <w:rPr>
                <w:rFonts w:ascii="Arial Narrow" w:hAnsi="Arial Narrow"/>
                <w:sz w:val="20"/>
              </w:rPr>
              <w:t>seroconversion</w:t>
            </w:r>
            <w:proofErr w:type="spellEnd"/>
          </w:p>
        </w:tc>
        <w:tc>
          <w:tcPr>
            <w:tcW w:w="611" w:type="pct"/>
            <w:shd w:val="clear" w:color="auto" w:fill="auto"/>
            <w:vAlign w:val="center"/>
          </w:tcPr>
          <w:p w:rsidR="005827A7" w:rsidRPr="003C53F6" w:rsidRDefault="00065633" w:rsidP="005D50E6">
            <w:pPr>
              <w:jc w:val="center"/>
              <w:rPr>
                <w:rFonts w:ascii="Arial Narrow" w:hAnsi="Arial Narrow"/>
                <w:sz w:val="20"/>
              </w:rPr>
            </w:pPr>
            <w:r w:rsidRPr="003C53F6">
              <w:rPr>
                <w:rFonts w:ascii="Arial Narrow" w:hAnsi="Arial Narrow"/>
                <w:sz w:val="20"/>
              </w:rPr>
              <w:t>Not used</w:t>
            </w:r>
          </w:p>
        </w:tc>
      </w:tr>
    </w:tbl>
    <w:p w:rsidR="00936B91" w:rsidRPr="003C53F6" w:rsidRDefault="00936B91" w:rsidP="00E629F8">
      <w:pPr>
        <w:pStyle w:val="TableFooter"/>
      </w:pPr>
      <w:r w:rsidRPr="003C53F6">
        <w:t>Source: compiled during the evaluation.</w:t>
      </w:r>
    </w:p>
    <w:p w:rsidR="005827A7" w:rsidRPr="003C53F6" w:rsidRDefault="00936B91" w:rsidP="00E629F8">
      <w:pPr>
        <w:pStyle w:val="TableFooter"/>
      </w:pPr>
      <w:r w:rsidRPr="003C53F6">
        <w:t xml:space="preserve">Abbreviations: </w:t>
      </w:r>
      <w:r w:rsidR="005827A7" w:rsidRPr="003C53F6">
        <w:t>DB</w:t>
      </w:r>
      <w:r w:rsidRPr="003C53F6">
        <w:t xml:space="preserve"> </w:t>
      </w:r>
      <w:r w:rsidR="005827A7" w:rsidRPr="003C53F6">
        <w:t>=</w:t>
      </w:r>
      <w:r w:rsidRPr="003C53F6">
        <w:t xml:space="preserve"> </w:t>
      </w:r>
      <w:r w:rsidR="005827A7" w:rsidRPr="003C53F6">
        <w:t>double blind</w:t>
      </w:r>
      <w:r w:rsidRPr="003C53F6">
        <w:t>,</w:t>
      </w:r>
      <w:r w:rsidR="005827A7" w:rsidRPr="003C53F6">
        <w:t xml:space="preserve"> </w:t>
      </w:r>
      <w:r w:rsidR="000B2301" w:rsidRPr="003C53F6">
        <w:t>MSM</w:t>
      </w:r>
      <w:r w:rsidRPr="003C53F6">
        <w:t xml:space="preserve"> </w:t>
      </w:r>
      <w:r w:rsidR="000B2301" w:rsidRPr="003C53F6">
        <w:t>=</w:t>
      </w:r>
      <w:r w:rsidRPr="003C53F6">
        <w:t xml:space="preserve"> </w:t>
      </w:r>
      <w:r w:rsidR="000B2301" w:rsidRPr="003C53F6">
        <w:t>men who have sex with men</w:t>
      </w:r>
      <w:r w:rsidRPr="003C53F6">
        <w:t>,</w:t>
      </w:r>
      <w:r w:rsidR="000B2301" w:rsidRPr="003C53F6">
        <w:t xml:space="preserve"> </w:t>
      </w:r>
      <w:r w:rsidR="005827A7" w:rsidRPr="003C53F6">
        <w:t>OL</w:t>
      </w:r>
      <w:r w:rsidRPr="003C53F6">
        <w:t xml:space="preserve"> </w:t>
      </w:r>
      <w:r w:rsidR="005827A7" w:rsidRPr="003C53F6">
        <w:t>=</w:t>
      </w:r>
      <w:r w:rsidRPr="003C53F6">
        <w:t xml:space="preserve"> </w:t>
      </w:r>
      <w:r w:rsidR="005827A7" w:rsidRPr="003C53F6">
        <w:t>open label</w:t>
      </w:r>
      <w:r w:rsidRPr="003C53F6">
        <w:t>,</w:t>
      </w:r>
      <w:r w:rsidR="005827A7" w:rsidRPr="003C53F6">
        <w:t xml:space="preserve"> R</w:t>
      </w:r>
      <w:r w:rsidRPr="003C53F6">
        <w:t xml:space="preserve"> </w:t>
      </w:r>
      <w:r w:rsidR="005827A7" w:rsidRPr="003C53F6">
        <w:t>=</w:t>
      </w:r>
      <w:r w:rsidRPr="003C53F6">
        <w:t xml:space="preserve"> </w:t>
      </w:r>
      <w:r w:rsidR="005827A7" w:rsidRPr="003C53F6">
        <w:t>randomised</w:t>
      </w:r>
      <w:r w:rsidRPr="003C53F6">
        <w:t>,</w:t>
      </w:r>
      <w:r w:rsidR="005827A7" w:rsidRPr="003C53F6">
        <w:t xml:space="preserve"> SOC</w:t>
      </w:r>
      <w:r w:rsidRPr="003C53F6">
        <w:t xml:space="preserve"> </w:t>
      </w:r>
      <w:r w:rsidR="005827A7" w:rsidRPr="003C53F6">
        <w:t>=</w:t>
      </w:r>
      <w:r w:rsidRPr="003C53F6">
        <w:t xml:space="preserve"> </w:t>
      </w:r>
      <w:r w:rsidR="005827A7" w:rsidRPr="003C53F6">
        <w:t>standard of care.</w:t>
      </w:r>
    </w:p>
    <w:p w:rsidR="0088690A" w:rsidRPr="003C53F6" w:rsidRDefault="0088690A" w:rsidP="00E629F8">
      <w:pPr>
        <w:pStyle w:val="TableFooter"/>
      </w:pPr>
      <w:r w:rsidRPr="003C53F6">
        <w:rPr>
          <w:vertAlign w:val="superscript"/>
        </w:rPr>
        <w:t>1</w:t>
      </w:r>
      <w:r w:rsidRPr="003C53F6">
        <w:t>Originally planned outcomes were time to accrual of 500 participants and retention at 12 and 24 months from randomisation.</w:t>
      </w:r>
    </w:p>
    <w:p w:rsidR="001844FE" w:rsidRPr="003C53F6" w:rsidRDefault="001844FE" w:rsidP="00CD1E13">
      <w:pPr>
        <w:pStyle w:val="BodyText"/>
      </w:pPr>
      <w:bookmarkStart w:id="8" w:name="_Toc451353160"/>
    </w:p>
    <w:p w:rsidR="00062094" w:rsidRPr="003C53F6" w:rsidRDefault="00062094" w:rsidP="002431F7">
      <w:pPr>
        <w:pStyle w:val="ListParagraph"/>
        <w:numPr>
          <w:ilvl w:val="1"/>
          <w:numId w:val="2"/>
        </w:numPr>
      </w:pPr>
      <w:r w:rsidRPr="003C53F6">
        <w:t>The ESC had a number of concerns about the applicability of the trial data to the Australian setting, including that a large proportion of the data w</w:t>
      </w:r>
      <w:r w:rsidR="00A41949" w:rsidRPr="003C53F6">
        <w:t>as</w:t>
      </w:r>
      <w:r w:rsidRPr="003C53F6">
        <w:t xml:space="preserve"> generated in communities known to have a substantially higher incidence of HIV infection (and therefore higher risk) than the </w:t>
      </w:r>
      <w:r w:rsidR="008A4282" w:rsidRPr="003C53F6">
        <w:t xml:space="preserve">Australian population. The ESC </w:t>
      </w:r>
      <w:r w:rsidRPr="003C53F6">
        <w:t xml:space="preserve">noted that the trials assessed the efficacy of </w:t>
      </w:r>
      <w:proofErr w:type="spellStart"/>
      <w:r w:rsidRPr="003C53F6">
        <w:t>Truvada</w:t>
      </w:r>
      <w:proofErr w:type="spellEnd"/>
      <w:r w:rsidRPr="003C53F6">
        <w:t xml:space="preserve"> together with </w:t>
      </w:r>
      <w:r w:rsidR="00FC656C">
        <w:t xml:space="preserve">encouragement of </w:t>
      </w:r>
      <w:r w:rsidRPr="003C53F6">
        <w:t>safe sex practices</w:t>
      </w:r>
      <w:r w:rsidR="00FC656C">
        <w:t>,</w:t>
      </w:r>
      <w:r w:rsidRPr="003C53F6">
        <w:t xml:space="preserve"> and it is unknown if safe sex practices would be utilised </w:t>
      </w:r>
      <w:r w:rsidR="008A4282" w:rsidRPr="003C53F6">
        <w:t xml:space="preserve">to the same extent </w:t>
      </w:r>
      <w:r w:rsidRPr="003C53F6">
        <w:t xml:space="preserve">in the Australian population. The impact of these differences on the effectiveness of </w:t>
      </w:r>
      <w:proofErr w:type="spellStart"/>
      <w:r w:rsidRPr="003C53F6">
        <w:t>Truvada</w:t>
      </w:r>
      <w:proofErr w:type="spellEnd"/>
      <w:r w:rsidRPr="003C53F6">
        <w:t xml:space="preserve"> in clinical practice is unclear. </w:t>
      </w:r>
      <w:r w:rsidR="008A4282" w:rsidRPr="003C53F6">
        <w:t xml:space="preserve">The ESC also noted the existence of community information campaigns promoting </w:t>
      </w:r>
      <w:proofErr w:type="spellStart"/>
      <w:r w:rsidR="008A4282" w:rsidRPr="003C53F6">
        <w:t>Truvada</w:t>
      </w:r>
      <w:proofErr w:type="spellEnd"/>
      <w:r w:rsidR="008A4282" w:rsidRPr="003C53F6">
        <w:t xml:space="preserve"> </w:t>
      </w:r>
      <w:proofErr w:type="spellStart"/>
      <w:r w:rsidR="008A4282" w:rsidRPr="003C53F6">
        <w:t>PrEP</w:t>
      </w:r>
      <w:proofErr w:type="spellEnd"/>
      <w:r w:rsidR="008A4282" w:rsidRPr="003C53F6">
        <w:t xml:space="preserve"> in the absence of condoms as safe sex.</w:t>
      </w:r>
      <w:r w:rsidR="00327DAF" w:rsidRPr="003C53F6">
        <w:t xml:space="preserve"> The PBAC </w:t>
      </w:r>
      <w:r w:rsidR="0021374E" w:rsidRPr="003C53F6">
        <w:t xml:space="preserve">agreed that the available data </w:t>
      </w:r>
      <w:r w:rsidR="00FC656C">
        <w:t>may</w:t>
      </w:r>
      <w:r w:rsidR="00FC656C" w:rsidRPr="003C53F6">
        <w:t xml:space="preserve"> </w:t>
      </w:r>
      <w:r w:rsidR="0021374E" w:rsidRPr="003C53F6">
        <w:t>not</w:t>
      </w:r>
      <w:r w:rsidR="00FC656C">
        <w:t xml:space="preserve"> be</w:t>
      </w:r>
      <w:r w:rsidR="0021374E" w:rsidRPr="003C53F6">
        <w:t xml:space="preserve"> representative of the proposed PBS population, and that this raises uncertainties about whether the results observed in the studies would be realised in the clinical setting.</w:t>
      </w:r>
    </w:p>
    <w:p w:rsidR="00062094" w:rsidRPr="003C53F6" w:rsidRDefault="00062094" w:rsidP="00CD1E13">
      <w:pPr>
        <w:pStyle w:val="BodyText"/>
      </w:pPr>
    </w:p>
    <w:p w:rsidR="00B60939" w:rsidRPr="003C53F6" w:rsidRDefault="00B60939" w:rsidP="00924E0A">
      <w:pPr>
        <w:pStyle w:val="Heading3"/>
      </w:pPr>
      <w:r w:rsidRPr="003C53F6">
        <w:t>Comparative effectiveness</w:t>
      </w:r>
      <w:bookmarkEnd w:id="8"/>
    </w:p>
    <w:p w:rsidR="00CC7305" w:rsidRPr="003C53F6" w:rsidRDefault="00CC7305" w:rsidP="00CC7305">
      <w:pPr>
        <w:pStyle w:val="ListParagraph"/>
      </w:pPr>
    </w:p>
    <w:p w:rsidR="00357994" w:rsidRPr="003C53F6" w:rsidRDefault="00886719" w:rsidP="002431F7">
      <w:pPr>
        <w:pStyle w:val="ListParagraph"/>
        <w:numPr>
          <w:ilvl w:val="1"/>
          <w:numId w:val="2"/>
        </w:numPr>
      </w:pPr>
      <w:r w:rsidRPr="003C53F6">
        <w:rPr>
          <w:szCs w:val="22"/>
        </w:rPr>
        <w:t>T</w:t>
      </w:r>
      <w:r w:rsidR="008D0BBE" w:rsidRPr="003C53F6">
        <w:rPr>
          <w:szCs w:val="22"/>
        </w:rPr>
        <w:t>he results of the clinical trials and meta-analysis</w:t>
      </w:r>
      <w:r w:rsidRPr="003C53F6">
        <w:rPr>
          <w:szCs w:val="22"/>
        </w:rPr>
        <w:t xml:space="preserve"> are presented in the table below</w:t>
      </w:r>
      <w:r w:rsidR="008D0BBE" w:rsidRPr="003C53F6">
        <w:rPr>
          <w:szCs w:val="22"/>
        </w:rPr>
        <w:t>.</w:t>
      </w:r>
      <w:r w:rsidR="00357994" w:rsidRPr="003C53F6">
        <w:t xml:space="preserve"> The meta-analysis provided in the submission is considered to be of limited value due to the highly heterogeneous combination of trials. The efficacy results of the clinical trials ranged from a RRR of -</w:t>
      </w:r>
      <w:r w:rsidR="00504CF7" w:rsidRPr="003C53F6">
        <w:t>0.0</w:t>
      </w:r>
      <w:r w:rsidR="00357994" w:rsidRPr="003C53F6">
        <w:t xml:space="preserve">4 to a RRR of </w:t>
      </w:r>
      <w:r w:rsidR="00504CF7" w:rsidRPr="003C53F6">
        <w:t>0.</w:t>
      </w:r>
      <w:r w:rsidR="00357994" w:rsidRPr="003C53F6">
        <w:t xml:space="preserve">86. The meta-analysed efficacy estimate was </w:t>
      </w:r>
      <w:r w:rsidR="00504CF7" w:rsidRPr="003C53F6">
        <w:t>0.50</w:t>
      </w:r>
      <w:r w:rsidR="00357994" w:rsidRPr="003C53F6">
        <w:t xml:space="preserve"> (95% CI: </w:t>
      </w:r>
      <w:r w:rsidR="00504CF7" w:rsidRPr="003C53F6">
        <w:t>0.</w:t>
      </w:r>
      <w:r w:rsidR="00357994" w:rsidRPr="003C53F6">
        <w:t xml:space="preserve">16, </w:t>
      </w:r>
      <w:r w:rsidR="00504CF7" w:rsidRPr="003C53F6">
        <w:t>0.70</w:t>
      </w:r>
      <w:r w:rsidR="00357994" w:rsidRPr="003C53F6">
        <w:t>). Given the heterogeneity between the trials, this pooled estimate is not very informative.</w:t>
      </w:r>
      <w:r w:rsidR="0021374E" w:rsidRPr="003C53F6">
        <w:t xml:space="preserve"> The meta-analysed efficacy estimate was not used in the economic evaluation</w:t>
      </w:r>
      <w:r w:rsidR="0021575A" w:rsidRPr="003C53F6">
        <w:t>.</w:t>
      </w:r>
    </w:p>
    <w:p w:rsidR="00062094" w:rsidRPr="003C53F6" w:rsidRDefault="00062094" w:rsidP="00062094">
      <w:pPr>
        <w:pStyle w:val="ListParagraph"/>
      </w:pPr>
    </w:p>
    <w:p w:rsidR="008D0BBE" w:rsidRPr="003C53F6" w:rsidRDefault="00062094" w:rsidP="002431F7">
      <w:pPr>
        <w:pStyle w:val="ListParagraph"/>
        <w:widowControl/>
        <w:numPr>
          <w:ilvl w:val="1"/>
          <w:numId w:val="2"/>
        </w:numPr>
        <w:rPr>
          <w:szCs w:val="22"/>
        </w:rPr>
      </w:pPr>
      <w:r w:rsidRPr="003C53F6">
        <w:t xml:space="preserve">The ESC noted that there was little information provided about the subjects in the studies in whom </w:t>
      </w:r>
      <w:proofErr w:type="spellStart"/>
      <w:r w:rsidRPr="003C53F6">
        <w:t>Truvada</w:t>
      </w:r>
      <w:proofErr w:type="spellEnd"/>
      <w:r w:rsidRPr="003C53F6">
        <w:t xml:space="preserve"> failed to prevent transmission of HIV. </w:t>
      </w:r>
    </w:p>
    <w:p w:rsidR="007F1017" w:rsidRPr="003C53F6" w:rsidRDefault="008D0BBE" w:rsidP="008D0BBE">
      <w:pPr>
        <w:pStyle w:val="ListParagraph"/>
        <w:widowControl/>
        <w:rPr>
          <w:szCs w:val="22"/>
        </w:rPr>
      </w:pPr>
      <w:r w:rsidRPr="003C53F6">
        <w:rPr>
          <w:szCs w:val="22"/>
        </w:rPr>
        <w:t xml:space="preserve"> </w:t>
      </w:r>
    </w:p>
    <w:p w:rsidR="008D0BBE" w:rsidRPr="003C53F6" w:rsidRDefault="007F1017" w:rsidP="00E629F8">
      <w:pPr>
        <w:keepNext/>
        <w:rPr>
          <w:rStyle w:val="CommentReference"/>
        </w:rPr>
      </w:pPr>
      <w:r w:rsidRPr="003C53F6">
        <w:rPr>
          <w:rStyle w:val="CommentReference"/>
        </w:rPr>
        <w:t xml:space="preserve">Table </w:t>
      </w:r>
      <w:r w:rsidR="00886719" w:rsidRPr="003C53F6">
        <w:rPr>
          <w:rStyle w:val="CommentReference"/>
        </w:rPr>
        <w:t>3</w:t>
      </w:r>
      <w:r w:rsidRPr="003C53F6">
        <w:rPr>
          <w:rStyle w:val="CommentReference"/>
        </w:rPr>
        <w:t xml:space="preserve">: </w:t>
      </w:r>
      <w:r w:rsidR="008D0BBE" w:rsidRPr="003C53F6">
        <w:rPr>
          <w:rStyle w:val="CommentReference"/>
        </w:rPr>
        <w:t xml:space="preserve">Results of HIV </w:t>
      </w:r>
      <w:proofErr w:type="spellStart"/>
      <w:r w:rsidR="008D0BBE" w:rsidRPr="003C53F6">
        <w:rPr>
          <w:rStyle w:val="CommentReference"/>
        </w:rPr>
        <w:t>seroconversion</w:t>
      </w:r>
      <w:proofErr w:type="spellEnd"/>
      <w:r w:rsidR="008D0BBE" w:rsidRPr="003C53F6">
        <w:rPr>
          <w:rStyle w:val="CommentReference"/>
        </w:rPr>
        <w:t xml:space="preserve"> events at the primary efficacy endpoint across the direct randomised trials, </w:t>
      </w:r>
      <w:r w:rsidR="008D0BBE" w:rsidRPr="003C53F6">
        <w:rPr>
          <w:rStyle w:val="CommentReference"/>
        </w:rPr>
        <w:lastRenderedPageBreak/>
        <w:t>modified intention to treat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0"/>
        <w:gridCol w:w="1305"/>
        <w:gridCol w:w="1124"/>
        <w:gridCol w:w="3713"/>
        <w:gridCol w:w="1266"/>
        <w:gridCol w:w="654"/>
      </w:tblGrid>
      <w:tr w:rsidR="008D0BBE" w:rsidRPr="003C53F6" w:rsidTr="005D50E6">
        <w:tc>
          <w:tcPr>
            <w:tcW w:w="1020" w:type="dxa"/>
            <w:vAlign w:val="center"/>
          </w:tcPr>
          <w:p w:rsidR="008D0BBE" w:rsidRPr="003C53F6" w:rsidRDefault="008D0BBE" w:rsidP="005D50E6">
            <w:pPr>
              <w:jc w:val="center"/>
              <w:rPr>
                <w:rFonts w:ascii="Arial Narrow" w:hAnsi="Arial Narrow"/>
                <w:sz w:val="20"/>
              </w:rPr>
            </w:pPr>
            <w:r w:rsidRPr="003C53F6">
              <w:rPr>
                <w:rFonts w:ascii="Arial Narrow" w:hAnsi="Arial Narrow"/>
                <w:b/>
                <w:sz w:val="20"/>
              </w:rPr>
              <w:t>Trial ID</w:t>
            </w:r>
          </w:p>
        </w:tc>
        <w:tc>
          <w:tcPr>
            <w:tcW w:w="1305" w:type="dxa"/>
            <w:vAlign w:val="center"/>
          </w:tcPr>
          <w:p w:rsidR="008D0BBE" w:rsidRPr="003C53F6" w:rsidRDefault="008D0BBE" w:rsidP="005D50E6">
            <w:pPr>
              <w:jc w:val="center"/>
              <w:rPr>
                <w:rFonts w:ascii="Arial Narrow" w:hAnsi="Arial Narrow"/>
                <w:b/>
                <w:sz w:val="20"/>
              </w:rPr>
            </w:pPr>
            <w:proofErr w:type="spellStart"/>
            <w:r w:rsidRPr="003C53F6">
              <w:rPr>
                <w:rFonts w:ascii="Arial Narrow" w:hAnsi="Arial Narrow"/>
                <w:b/>
                <w:sz w:val="20"/>
              </w:rPr>
              <w:t>Truvada</w:t>
            </w:r>
            <w:proofErr w:type="spellEnd"/>
            <w:r w:rsidRPr="003C53F6">
              <w:rPr>
                <w:rFonts w:ascii="Arial Narrow" w:hAnsi="Arial Narrow"/>
                <w:b/>
                <w:sz w:val="20"/>
              </w:rPr>
              <w:t xml:space="preserve"> + SOC</w:t>
            </w:r>
          </w:p>
          <w:p w:rsidR="008D0BBE" w:rsidRPr="003C53F6" w:rsidRDefault="008D0BBE" w:rsidP="005D50E6">
            <w:pPr>
              <w:ind w:right="-108"/>
              <w:jc w:val="center"/>
              <w:rPr>
                <w:rFonts w:ascii="Arial Narrow" w:hAnsi="Arial Narrow"/>
                <w:sz w:val="20"/>
              </w:rPr>
            </w:pPr>
            <w:r w:rsidRPr="003C53F6">
              <w:rPr>
                <w:rFonts w:ascii="Arial Narrow" w:hAnsi="Arial Narrow"/>
                <w:b/>
                <w:sz w:val="20"/>
              </w:rPr>
              <w:t xml:space="preserve">n with event/N </w:t>
            </w:r>
          </w:p>
        </w:tc>
        <w:tc>
          <w:tcPr>
            <w:tcW w:w="0" w:type="auto"/>
            <w:vAlign w:val="center"/>
          </w:tcPr>
          <w:p w:rsidR="008D0BBE" w:rsidRPr="003C53F6" w:rsidRDefault="008D0BBE" w:rsidP="005D50E6">
            <w:pPr>
              <w:jc w:val="center"/>
              <w:rPr>
                <w:rFonts w:ascii="Arial Narrow" w:hAnsi="Arial Narrow"/>
                <w:b/>
                <w:sz w:val="20"/>
              </w:rPr>
            </w:pPr>
            <w:r w:rsidRPr="003C53F6">
              <w:rPr>
                <w:rFonts w:ascii="Arial Narrow" w:hAnsi="Arial Narrow"/>
                <w:b/>
                <w:sz w:val="20"/>
              </w:rPr>
              <w:t>SOC</w:t>
            </w:r>
          </w:p>
          <w:p w:rsidR="008D0BBE" w:rsidRPr="003C53F6" w:rsidRDefault="008D0BBE" w:rsidP="005D50E6">
            <w:pPr>
              <w:jc w:val="center"/>
              <w:rPr>
                <w:rFonts w:ascii="Arial Narrow" w:hAnsi="Arial Narrow"/>
                <w:sz w:val="20"/>
              </w:rPr>
            </w:pPr>
            <w:r w:rsidRPr="003C53F6">
              <w:rPr>
                <w:rFonts w:ascii="Arial Narrow" w:hAnsi="Arial Narrow"/>
                <w:b/>
                <w:sz w:val="20"/>
              </w:rPr>
              <w:t>n with event/N</w:t>
            </w:r>
          </w:p>
        </w:tc>
        <w:tc>
          <w:tcPr>
            <w:tcW w:w="0" w:type="auto"/>
            <w:vAlign w:val="center"/>
          </w:tcPr>
          <w:p w:rsidR="008D0BBE" w:rsidRPr="003C53F6" w:rsidRDefault="001A49B5" w:rsidP="005D50E6">
            <w:pPr>
              <w:jc w:val="center"/>
              <w:rPr>
                <w:rFonts w:ascii="Arial Narrow" w:hAnsi="Arial Narrow"/>
                <w:b/>
                <w:sz w:val="20"/>
              </w:rPr>
            </w:pPr>
            <w:r w:rsidRPr="003C53F6">
              <w:rPr>
                <w:rFonts w:ascii="Arial Narrow" w:hAnsi="Arial Narrow"/>
                <w:b/>
                <w:sz w:val="20"/>
              </w:rPr>
              <w:t>Risk estimate</w:t>
            </w:r>
          </w:p>
          <w:p w:rsidR="008D0BBE" w:rsidRPr="003C53F6" w:rsidRDefault="008D0BBE" w:rsidP="005D50E6">
            <w:pPr>
              <w:jc w:val="center"/>
              <w:rPr>
                <w:rFonts w:ascii="Arial Narrow" w:hAnsi="Arial Narrow"/>
                <w:sz w:val="20"/>
              </w:rPr>
            </w:pPr>
            <w:r w:rsidRPr="003C53F6">
              <w:rPr>
                <w:rFonts w:ascii="Arial Narrow" w:hAnsi="Arial Narrow"/>
                <w:b/>
                <w:sz w:val="20"/>
              </w:rPr>
              <w:t>(95% CI)</w:t>
            </w:r>
          </w:p>
        </w:tc>
        <w:tc>
          <w:tcPr>
            <w:tcW w:w="0" w:type="auto"/>
            <w:vAlign w:val="center"/>
          </w:tcPr>
          <w:p w:rsidR="008D0BBE" w:rsidRPr="003C53F6" w:rsidRDefault="008D0BBE" w:rsidP="005D50E6">
            <w:pPr>
              <w:jc w:val="center"/>
              <w:rPr>
                <w:rFonts w:ascii="Arial Narrow" w:hAnsi="Arial Narrow"/>
                <w:b/>
                <w:sz w:val="20"/>
              </w:rPr>
            </w:pPr>
          </w:p>
          <w:p w:rsidR="008D0BBE" w:rsidRPr="003C53F6" w:rsidRDefault="008D0BBE" w:rsidP="005D50E6">
            <w:pPr>
              <w:jc w:val="center"/>
              <w:rPr>
                <w:rFonts w:ascii="Arial Narrow" w:hAnsi="Arial Narrow"/>
                <w:b/>
                <w:sz w:val="20"/>
              </w:rPr>
            </w:pPr>
            <w:r w:rsidRPr="003C53F6">
              <w:rPr>
                <w:rFonts w:ascii="Arial Narrow" w:hAnsi="Arial Narrow"/>
                <w:b/>
                <w:sz w:val="20"/>
              </w:rPr>
              <w:t>RRR (95% CI)</w:t>
            </w:r>
          </w:p>
        </w:tc>
        <w:tc>
          <w:tcPr>
            <w:tcW w:w="0" w:type="auto"/>
            <w:vAlign w:val="center"/>
          </w:tcPr>
          <w:p w:rsidR="008D0BBE" w:rsidRPr="003C53F6" w:rsidRDefault="008D0BBE" w:rsidP="005D50E6">
            <w:pPr>
              <w:jc w:val="center"/>
              <w:rPr>
                <w:rFonts w:ascii="Arial Narrow" w:hAnsi="Arial Narrow"/>
                <w:b/>
                <w:sz w:val="20"/>
              </w:rPr>
            </w:pPr>
          </w:p>
          <w:p w:rsidR="008D0BBE" w:rsidRPr="003C53F6" w:rsidRDefault="008D0BBE" w:rsidP="005D50E6">
            <w:pPr>
              <w:jc w:val="center"/>
              <w:rPr>
                <w:rFonts w:ascii="Arial Narrow" w:hAnsi="Arial Narrow"/>
                <w:b/>
                <w:sz w:val="20"/>
              </w:rPr>
            </w:pPr>
            <w:r w:rsidRPr="003C53F6">
              <w:rPr>
                <w:rFonts w:ascii="Arial Narrow" w:hAnsi="Arial Narrow"/>
                <w:b/>
                <w:sz w:val="20"/>
              </w:rPr>
              <w:t>p-value</w:t>
            </w:r>
          </w:p>
        </w:tc>
      </w:tr>
      <w:tr w:rsidR="00504CF7" w:rsidRPr="003C53F6" w:rsidTr="005D50E6">
        <w:trPr>
          <w:trHeight w:val="239"/>
        </w:trPr>
        <w:tc>
          <w:tcPr>
            <w:tcW w:w="1020" w:type="dxa"/>
            <w:vAlign w:val="center"/>
          </w:tcPr>
          <w:p w:rsidR="00504CF7" w:rsidRPr="003C53F6" w:rsidRDefault="00504CF7" w:rsidP="005D50E6">
            <w:pPr>
              <w:jc w:val="center"/>
              <w:rPr>
                <w:rFonts w:ascii="Arial Narrow" w:hAnsi="Arial Narrow"/>
                <w:sz w:val="20"/>
              </w:rPr>
            </w:pPr>
            <w:proofErr w:type="spellStart"/>
            <w:r w:rsidRPr="003C53F6">
              <w:rPr>
                <w:rFonts w:ascii="Arial Narrow" w:hAnsi="Arial Narrow"/>
                <w:sz w:val="20"/>
              </w:rPr>
              <w:t>iPrEx</w:t>
            </w:r>
            <w:proofErr w:type="spellEnd"/>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36/1,224</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64/1,217</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HR = 0.56 (0.37, 0.85)</w:t>
            </w:r>
          </w:p>
        </w:tc>
        <w:tc>
          <w:tcPr>
            <w:tcW w:w="0" w:type="auto"/>
            <w:vAlign w:val="center"/>
          </w:tcPr>
          <w:p w:rsidR="00504CF7" w:rsidRPr="003C53F6" w:rsidRDefault="00504CF7" w:rsidP="00A41313">
            <w:pPr>
              <w:jc w:val="center"/>
              <w:rPr>
                <w:rFonts w:ascii="Arial Narrow" w:hAnsi="Arial Narrow"/>
                <w:sz w:val="20"/>
              </w:rPr>
            </w:pPr>
            <w:r w:rsidRPr="003C53F6">
              <w:rPr>
                <w:rFonts w:ascii="Arial Narrow" w:hAnsi="Arial Narrow"/>
                <w:sz w:val="20"/>
              </w:rPr>
              <w:t xml:space="preserve">0.44 </w:t>
            </w:r>
          </w:p>
          <w:p w:rsidR="00504CF7" w:rsidRPr="003C53F6" w:rsidRDefault="00504CF7" w:rsidP="005D50E6">
            <w:pPr>
              <w:jc w:val="center"/>
              <w:rPr>
                <w:rFonts w:ascii="Arial Narrow" w:hAnsi="Arial Narrow"/>
                <w:sz w:val="20"/>
              </w:rPr>
            </w:pPr>
            <w:r w:rsidRPr="003C53F6">
              <w:rPr>
                <w:rFonts w:ascii="Arial Narrow" w:hAnsi="Arial Narrow"/>
                <w:sz w:val="20"/>
              </w:rPr>
              <w:t>(0.15, 0.63)</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0.005</w:t>
            </w:r>
          </w:p>
        </w:tc>
      </w:tr>
      <w:tr w:rsidR="00504CF7" w:rsidRPr="003C53F6" w:rsidTr="005D50E6">
        <w:trPr>
          <w:trHeight w:val="189"/>
        </w:trPr>
        <w:tc>
          <w:tcPr>
            <w:tcW w:w="1020"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 xml:space="preserve">Partners </w:t>
            </w:r>
            <w:proofErr w:type="spellStart"/>
            <w:r w:rsidRPr="003C53F6">
              <w:rPr>
                <w:rFonts w:ascii="Arial Narrow" w:hAnsi="Arial Narrow"/>
                <w:sz w:val="20"/>
              </w:rPr>
              <w:t>PrEP</w:t>
            </w:r>
            <w:proofErr w:type="spellEnd"/>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13/1,576</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52/1,578</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HR = 0.25 (0.13, 0.45)</w:t>
            </w:r>
          </w:p>
        </w:tc>
        <w:tc>
          <w:tcPr>
            <w:tcW w:w="0" w:type="auto"/>
            <w:vAlign w:val="center"/>
          </w:tcPr>
          <w:p w:rsidR="00504CF7" w:rsidRPr="003C53F6" w:rsidRDefault="00504CF7" w:rsidP="00A41313">
            <w:pPr>
              <w:jc w:val="center"/>
              <w:rPr>
                <w:rFonts w:ascii="Arial Narrow" w:hAnsi="Arial Narrow"/>
                <w:sz w:val="20"/>
              </w:rPr>
            </w:pPr>
            <w:r w:rsidRPr="003C53F6">
              <w:rPr>
                <w:rFonts w:ascii="Arial Narrow" w:hAnsi="Arial Narrow"/>
                <w:sz w:val="20"/>
              </w:rPr>
              <w:t xml:space="preserve">0.75 </w:t>
            </w:r>
          </w:p>
          <w:p w:rsidR="00504CF7" w:rsidRPr="003C53F6" w:rsidRDefault="00504CF7" w:rsidP="005D50E6">
            <w:pPr>
              <w:jc w:val="center"/>
              <w:rPr>
                <w:rFonts w:ascii="Arial Narrow" w:hAnsi="Arial Narrow"/>
                <w:sz w:val="20"/>
              </w:rPr>
            </w:pPr>
            <w:r w:rsidRPr="003C53F6">
              <w:rPr>
                <w:rFonts w:ascii="Arial Narrow" w:hAnsi="Arial Narrow"/>
                <w:sz w:val="20"/>
              </w:rPr>
              <w:t>(0.55, 0.87)</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&lt;0.0001</w:t>
            </w:r>
          </w:p>
        </w:tc>
      </w:tr>
      <w:tr w:rsidR="00504CF7" w:rsidRPr="003C53F6" w:rsidTr="005D50E6">
        <w:trPr>
          <w:trHeight w:val="139"/>
        </w:trPr>
        <w:tc>
          <w:tcPr>
            <w:tcW w:w="1020"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TDF2</w:t>
            </w:r>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9/610</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24/606</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NR</w:t>
            </w:r>
          </w:p>
        </w:tc>
        <w:tc>
          <w:tcPr>
            <w:tcW w:w="0" w:type="auto"/>
            <w:vAlign w:val="center"/>
          </w:tcPr>
          <w:p w:rsidR="00504CF7" w:rsidRPr="003C53F6" w:rsidRDefault="00504CF7" w:rsidP="00A41313">
            <w:pPr>
              <w:jc w:val="center"/>
              <w:rPr>
                <w:rFonts w:ascii="Arial Narrow" w:hAnsi="Arial Narrow"/>
                <w:sz w:val="20"/>
              </w:rPr>
            </w:pPr>
            <w:r w:rsidRPr="003C53F6">
              <w:rPr>
                <w:rFonts w:ascii="Arial Narrow" w:hAnsi="Arial Narrow"/>
                <w:sz w:val="20"/>
              </w:rPr>
              <w:t xml:space="preserve">0.62 </w:t>
            </w:r>
          </w:p>
          <w:p w:rsidR="00504CF7" w:rsidRPr="003C53F6" w:rsidRDefault="00504CF7" w:rsidP="005D50E6">
            <w:pPr>
              <w:jc w:val="center"/>
              <w:rPr>
                <w:rFonts w:ascii="Arial Narrow" w:hAnsi="Arial Narrow"/>
                <w:sz w:val="20"/>
                <w:vertAlign w:val="superscript"/>
              </w:rPr>
            </w:pPr>
            <w:r w:rsidRPr="003C53F6">
              <w:rPr>
                <w:rFonts w:ascii="Arial Narrow" w:hAnsi="Arial Narrow"/>
                <w:sz w:val="20"/>
              </w:rPr>
              <w:t>(0.22, 0.83)</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0.03</w:t>
            </w:r>
          </w:p>
        </w:tc>
      </w:tr>
      <w:tr w:rsidR="00504CF7" w:rsidRPr="003C53F6" w:rsidTr="005D50E6">
        <w:tc>
          <w:tcPr>
            <w:tcW w:w="1020" w:type="dxa"/>
            <w:vAlign w:val="center"/>
          </w:tcPr>
          <w:p w:rsidR="00504CF7" w:rsidRPr="003C53F6" w:rsidRDefault="00504CF7" w:rsidP="005D50E6">
            <w:pPr>
              <w:ind w:right="-108"/>
              <w:jc w:val="center"/>
              <w:rPr>
                <w:rFonts w:ascii="Arial Narrow" w:hAnsi="Arial Narrow"/>
                <w:sz w:val="20"/>
              </w:rPr>
            </w:pPr>
            <w:r w:rsidRPr="003C53F6">
              <w:rPr>
                <w:rFonts w:ascii="Arial Narrow" w:hAnsi="Arial Narrow"/>
                <w:sz w:val="20"/>
              </w:rPr>
              <w:t>PROUD</w:t>
            </w:r>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3/268</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20/255</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NR</w:t>
            </w:r>
          </w:p>
        </w:tc>
        <w:tc>
          <w:tcPr>
            <w:tcW w:w="0" w:type="auto"/>
            <w:vAlign w:val="center"/>
          </w:tcPr>
          <w:p w:rsidR="00504CF7" w:rsidRPr="003C53F6" w:rsidRDefault="00504CF7" w:rsidP="00A41313">
            <w:pPr>
              <w:jc w:val="center"/>
              <w:rPr>
                <w:rFonts w:ascii="Arial Narrow" w:hAnsi="Arial Narrow"/>
                <w:sz w:val="20"/>
              </w:rPr>
            </w:pPr>
            <w:r w:rsidRPr="003C53F6">
              <w:rPr>
                <w:rFonts w:ascii="Arial Narrow" w:hAnsi="Arial Narrow"/>
                <w:sz w:val="20"/>
              </w:rPr>
              <w:t>0.86</w:t>
            </w:r>
          </w:p>
          <w:p w:rsidR="00504CF7" w:rsidRPr="003C53F6" w:rsidRDefault="00504CF7" w:rsidP="005D50E6">
            <w:pPr>
              <w:jc w:val="center"/>
              <w:rPr>
                <w:rFonts w:ascii="Arial Narrow" w:hAnsi="Arial Narrow"/>
                <w:sz w:val="20"/>
                <w:vertAlign w:val="superscript"/>
              </w:rPr>
            </w:pPr>
            <w:r w:rsidRPr="003C53F6">
              <w:rPr>
                <w:rFonts w:ascii="Arial Narrow" w:hAnsi="Arial Narrow"/>
                <w:sz w:val="20"/>
              </w:rPr>
              <w:t>(0.64, 0.96)</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NR</w:t>
            </w:r>
          </w:p>
        </w:tc>
      </w:tr>
      <w:tr w:rsidR="00504CF7" w:rsidRPr="003C53F6" w:rsidTr="005D50E6">
        <w:tc>
          <w:tcPr>
            <w:tcW w:w="1020" w:type="dxa"/>
            <w:vAlign w:val="center"/>
          </w:tcPr>
          <w:p w:rsidR="00504CF7" w:rsidRPr="003C53F6" w:rsidRDefault="00504CF7" w:rsidP="005D50E6">
            <w:pPr>
              <w:ind w:right="-108"/>
              <w:jc w:val="center"/>
              <w:rPr>
                <w:rFonts w:ascii="Arial Narrow" w:hAnsi="Arial Narrow"/>
                <w:sz w:val="20"/>
              </w:rPr>
            </w:pPr>
            <w:r w:rsidRPr="003C53F6">
              <w:rPr>
                <w:rFonts w:ascii="Arial Narrow" w:hAnsi="Arial Narrow"/>
                <w:sz w:val="20"/>
              </w:rPr>
              <w:t>FEM-</w:t>
            </w:r>
            <w:proofErr w:type="spellStart"/>
            <w:r w:rsidRPr="003C53F6">
              <w:rPr>
                <w:rFonts w:ascii="Arial Narrow" w:hAnsi="Arial Narrow"/>
                <w:sz w:val="20"/>
              </w:rPr>
              <w:t>PrEP</w:t>
            </w:r>
            <w:proofErr w:type="spellEnd"/>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33/1,024</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35/1,032</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HR = 0.94 (0.59, 1.52)</w:t>
            </w:r>
          </w:p>
        </w:tc>
        <w:tc>
          <w:tcPr>
            <w:tcW w:w="0" w:type="auto"/>
            <w:vAlign w:val="center"/>
          </w:tcPr>
          <w:p w:rsidR="00504CF7" w:rsidRPr="003C53F6" w:rsidRDefault="00504CF7" w:rsidP="005D50E6">
            <w:pPr>
              <w:jc w:val="center"/>
              <w:rPr>
                <w:rFonts w:ascii="Arial Narrow" w:hAnsi="Arial Narrow"/>
                <w:sz w:val="20"/>
                <w:vertAlign w:val="superscript"/>
              </w:rPr>
            </w:pPr>
            <w:r w:rsidRPr="003C53F6">
              <w:rPr>
                <w:rFonts w:ascii="Arial Narrow" w:hAnsi="Arial Narrow"/>
                <w:sz w:val="20"/>
              </w:rPr>
              <w:t>0.06 (-0.52, 0.41)</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0.81</w:t>
            </w:r>
          </w:p>
        </w:tc>
      </w:tr>
      <w:tr w:rsidR="00504CF7" w:rsidRPr="003C53F6" w:rsidTr="005D50E6">
        <w:tc>
          <w:tcPr>
            <w:tcW w:w="1020" w:type="dxa"/>
            <w:vAlign w:val="center"/>
          </w:tcPr>
          <w:p w:rsidR="00504CF7" w:rsidRPr="003C53F6" w:rsidRDefault="00504CF7" w:rsidP="005D50E6">
            <w:pPr>
              <w:ind w:right="-108"/>
              <w:jc w:val="center"/>
              <w:rPr>
                <w:rFonts w:ascii="Arial Narrow" w:hAnsi="Arial Narrow"/>
                <w:sz w:val="20"/>
              </w:rPr>
            </w:pPr>
            <w:r w:rsidRPr="003C53F6">
              <w:rPr>
                <w:rFonts w:ascii="Arial Narrow" w:hAnsi="Arial Narrow"/>
                <w:sz w:val="20"/>
              </w:rPr>
              <w:t>VOICE</w:t>
            </w:r>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61/994</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60/1,008</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HR = 1.04 (0.73, 1.49)</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-0.04 (-0.49, 0.27)</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0.81</w:t>
            </w:r>
          </w:p>
        </w:tc>
      </w:tr>
      <w:tr w:rsidR="00504CF7" w:rsidRPr="003C53F6" w:rsidTr="005D50E6">
        <w:tc>
          <w:tcPr>
            <w:tcW w:w="1020" w:type="dxa"/>
          </w:tcPr>
          <w:p w:rsidR="00504CF7" w:rsidRPr="003C53F6" w:rsidRDefault="00504CF7" w:rsidP="005D50E6">
            <w:pPr>
              <w:ind w:right="-108"/>
              <w:jc w:val="left"/>
              <w:rPr>
                <w:rFonts w:ascii="Arial Narrow" w:hAnsi="Arial Narrow"/>
                <w:sz w:val="20"/>
              </w:rPr>
            </w:pPr>
            <w:r w:rsidRPr="003C53F6">
              <w:rPr>
                <w:rFonts w:ascii="Arial Narrow" w:hAnsi="Arial Narrow"/>
                <w:sz w:val="20"/>
              </w:rPr>
              <w:t>Pooled result</w:t>
            </w:r>
          </w:p>
        </w:tc>
        <w:tc>
          <w:tcPr>
            <w:tcW w:w="1305" w:type="dxa"/>
            <w:vAlign w:val="center"/>
          </w:tcPr>
          <w:p w:rsidR="00504CF7" w:rsidRPr="003C53F6" w:rsidRDefault="00504CF7" w:rsidP="005D50E6">
            <w:pPr>
              <w:jc w:val="center"/>
              <w:rPr>
                <w:rFonts w:ascii="Arial Narrow" w:hAnsi="Arial Narrow"/>
                <w:sz w:val="20"/>
              </w:rPr>
            </w:pPr>
            <w:r w:rsidRPr="003C53F6">
              <w:rPr>
                <w:rFonts w:ascii="Arial Narrow" w:hAnsi="Arial Narrow"/>
                <w:sz w:val="20"/>
              </w:rPr>
              <w:t>255/5,696</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155/5,696</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Mantel-</w:t>
            </w:r>
            <w:proofErr w:type="spellStart"/>
            <w:r w:rsidRPr="003C53F6">
              <w:rPr>
                <w:rFonts w:ascii="Arial Narrow" w:hAnsi="Arial Narrow"/>
                <w:sz w:val="20"/>
              </w:rPr>
              <w:t>Haenzael</w:t>
            </w:r>
            <w:proofErr w:type="spellEnd"/>
            <w:r w:rsidRPr="003C53F6">
              <w:rPr>
                <w:rFonts w:ascii="Arial Narrow" w:hAnsi="Arial Narrow"/>
                <w:sz w:val="20"/>
              </w:rPr>
              <w:t xml:space="preserve"> random effects RR = 0.50 (0.30, 0.84)</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0.50 (0.16, 0.70)</w:t>
            </w:r>
          </w:p>
        </w:tc>
        <w:tc>
          <w:tcPr>
            <w:tcW w:w="0" w:type="auto"/>
            <w:vAlign w:val="center"/>
          </w:tcPr>
          <w:p w:rsidR="00504CF7" w:rsidRPr="003C53F6" w:rsidRDefault="00504CF7" w:rsidP="005D50E6">
            <w:pPr>
              <w:jc w:val="center"/>
              <w:rPr>
                <w:rFonts w:ascii="Arial Narrow" w:hAnsi="Arial Narrow"/>
                <w:sz w:val="20"/>
              </w:rPr>
            </w:pPr>
            <w:r w:rsidRPr="003C53F6">
              <w:rPr>
                <w:rFonts w:ascii="Arial Narrow" w:hAnsi="Arial Narrow"/>
                <w:sz w:val="20"/>
              </w:rPr>
              <w:t>NR</w:t>
            </w:r>
          </w:p>
        </w:tc>
      </w:tr>
      <w:tr w:rsidR="008D0BBE" w:rsidRPr="003C53F6" w:rsidTr="005D50E6">
        <w:tc>
          <w:tcPr>
            <w:tcW w:w="0" w:type="auto"/>
            <w:gridSpan w:val="6"/>
          </w:tcPr>
          <w:p w:rsidR="008D0BBE" w:rsidRPr="003C53F6" w:rsidRDefault="008D0BBE" w:rsidP="005D50E6">
            <w:pPr>
              <w:jc w:val="left"/>
              <w:rPr>
                <w:rFonts w:ascii="Arial Narrow" w:hAnsi="Arial Narrow"/>
                <w:sz w:val="20"/>
              </w:rPr>
            </w:pPr>
            <w:r w:rsidRPr="003C53F6">
              <w:rPr>
                <w:rFonts w:ascii="Arial Narrow" w:hAnsi="Arial Narrow"/>
                <w:sz w:val="20"/>
              </w:rPr>
              <w:t>Chi-square for heterogeneity: 28.13, P&lt;0.0001.</w:t>
            </w:r>
          </w:p>
          <w:p w:rsidR="008D0BBE" w:rsidRPr="003C53F6" w:rsidRDefault="008D0BBE" w:rsidP="005D50E6">
            <w:pPr>
              <w:jc w:val="left"/>
              <w:rPr>
                <w:rFonts w:ascii="Arial Narrow" w:hAnsi="Arial Narrow"/>
                <w:sz w:val="20"/>
              </w:rPr>
            </w:pPr>
            <w:r w:rsidRPr="003C53F6">
              <w:rPr>
                <w:rFonts w:ascii="Arial Narrow" w:hAnsi="Arial Narrow"/>
                <w:sz w:val="20"/>
              </w:rPr>
              <w:t>I</w:t>
            </w:r>
            <w:r w:rsidRPr="003C53F6">
              <w:rPr>
                <w:rFonts w:ascii="Arial Narrow" w:hAnsi="Arial Narrow"/>
                <w:sz w:val="20"/>
                <w:vertAlign w:val="superscript"/>
              </w:rPr>
              <w:t>2</w:t>
            </w:r>
            <w:r w:rsidRPr="003C53F6">
              <w:rPr>
                <w:rFonts w:ascii="Arial Narrow" w:hAnsi="Arial Narrow"/>
                <w:sz w:val="20"/>
              </w:rPr>
              <w:t xml:space="preserve"> statistic with 95% uncertainty interval =82%.</w:t>
            </w:r>
          </w:p>
        </w:tc>
      </w:tr>
    </w:tbl>
    <w:p w:rsidR="008D0BBE" w:rsidRPr="003C53F6" w:rsidRDefault="008D0BBE" w:rsidP="008D0BBE">
      <w:pPr>
        <w:pStyle w:val="TableFooter"/>
        <w:rPr>
          <w:color w:val="0070C0"/>
        </w:rPr>
      </w:pPr>
      <w:r w:rsidRPr="003C53F6">
        <w:t>Source: Tables B-24, B-29, B-32, B-33, B-34, B-36, B-37 and B-38, /pp 73, 79, 82, 85, 86, 89, 90 and 94 of the submission.</w:t>
      </w:r>
    </w:p>
    <w:p w:rsidR="008D0BBE" w:rsidRPr="003C53F6" w:rsidRDefault="008D0BBE" w:rsidP="008D0BBE">
      <w:pPr>
        <w:pStyle w:val="TableFooter"/>
      </w:pPr>
      <w:r w:rsidRPr="003C53F6">
        <w:t xml:space="preserve">Abbreviations: </w:t>
      </w:r>
      <w:r w:rsidR="00936B91" w:rsidRPr="003C53F6">
        <w:t xml:space="preserve">HR = hazard ratio, </w:t>
      </w:r>
      <w:r w:rsidRPr="003C53F6">
        <w:t>NR = not reported, RRR = relative risk difference.</w:t>
      </w:r>
    </w:p>
    <w:p w:rsidR="008D0BBE" w:rsidRPr="003C53F6" w:rsidRDefault="008D0BBE" w:rsidP="008D0BBE">
      <w:pPr>
        <w:rPr>
          <w:sz w:val="20"/>
        </w:rPr>
      </w:pPr>
    </w:p>
    <w:p w:rsidR="008D0BBE" w:rsidRPr="003C53F6" w:rsidRDefault="00886719" w:rsidP="002431F7">
      <w:pPr>
        <w:pStyle w:val="ListParagraph"/>
        <w:widowControl/>
        <w:numPr>
          <w:ilvl w:val="1"/>
          <w:numId w:val="2"/>
        </w:numPr>
      </w:pPr>
      <w:r w:rsidRPr="003C53F6">
        <w:rPr>
          <w:szCs w:val="22"/>
        </w:rPr>
        <w:t>T</w:t>
      </w:r>
      <w:r w:rsidR="008D0BBE" w:rsidRPr="003C53F6">
        <w:rPr>
          <w:szCs w:val="22"/>
        </w:rPr>
        <w:t xml:space="preserve">he </w:t>
      </w:r>
      <w:r w:rsidRPr="003C53F6">
        <w:rPr>
          <w:szCs w:val="22"/>
        </w:rPr>
        <w:t xml:space="preserve">following table presents </w:t>
      </w:r>
      <w:r w:rsidR="008D0BBE" w:rsidRPr="003C53F6">
        <w:t xml:space="preserve">results for the subjects with high adherence (based on quantifiable drug concentrations) in the </w:t>
      </w:r>
      <w:proofErr w:type="spellStart"/>
      <w:r w:rsidR="008D0BBE" w:rsidRPr="003C53F6">
        <w:t>iPrEx</w:t>
      </w:r>
      <w:proofErr w:type="spellEnd"/>
      <w:r w:rsidR="008D0BBE" w:rsidRPr="003C53F6">
        <w:t xml:space="preserve">, Partners </w:t>
      </w:r>
      <w:proofErr w:type="spellStart"/>
      <w:r w:rsidR="008D0BBE" w:rsidRPr="003C53F6">
        <w:t>PrEP</w:t>
      </w:r>
      <w:proofErr w:type="spellEnd"/>
      <w:r w:rsidR="008D0BBE" w:rsidRPr="003C53F6">
        <w:t>, FEM-</w:t>
      </w:r>
      <w:proofErr w:type="spellStart"/>
      <w:r w:rsidR="008D0BBE" w:rsidRPr="003C53F6">
        <w:t>PrEP</w:t>
      </w:r>
      <w:proofErr w:type="spellEnd"/>
      <w:r w:rsidR="008D0BBE" w:rsidRPr="003C53F6">
        <w:t xml:space="preserve"> and VOICE trials. Different approaches to these case-control analyses were used in the various studies. Additional information is provided below the table as well as in section B.6 of the submission.</w:t>
      </w:r>
    </w:p>
    <w:p w:rsidR="001844FE" w:rsidRPr="003C53F6" w:rsidRDefault="001844FE" w:rsidP="001844FE">
      <w:pPr>
        <w:pStyle w:val="PBACHeading1"/>
        <w:numPr>
          <w:ilvl w:val="0"/>
          <w:numId w:val="0"/>
        </w:numPr>
        <w:ind w:left="720" w:hanging="720"/>
      </w:pPr>
    </w:p>
    <w:p w:rsidR="008D0BBE" w:rsidRPr="003C53F6" w:rsidRDefault="008D0BBE" w:rsidP="00E629F8">
      <w:pPr>
        <w:rPr>
          <w:rStyle w:val="CommentReference"/>
        </w:rPr>
      </w:pPr>
      <w:r w:rsidRPr="003C53F6">
        <w:rPr>
          <w:rStyle w:val="CommentReference"/>
        </w:rPr>
        <w:t xml:space="preserve">Table </w:t>
      </w:r>
      <w:r w:rsidR="00886719" w:rsidRPr="003C53F6">
        <w:rPr>
          <w:rStyle w:val="CommentReference"/>
        </w:rPr>
        <w:t>4</w:t>
      </w:r>
      <w:r w:rsidRPr="003C53F6">
        <w:rPr>
          <w:rStyle w:val="CommentReference"/>
        </w:rPr>
        <w:t xml:space="preserve">: Results of HIV </w:t>
      </w:r>
      <w:proofErr w:type="spellStart"/>
      <w:r w:rsidRPr="003C53F6">
        <w:rPr>
          <w:rStyle w:val="CommentReference"/>
        </w:rPr>
        <w:t>seroconversion</w:t>
      </w:r>
      <w:proofErr w:type="spellEnd"/>
      <w:r w:rsidRPr="003C53F6">
        <w:rPr>
          <w:rStyle w:val="CommentReference"/>
        </w:rPr>
        <w:t xml:space="preserve"> events dependent on high adherence, modified intention to treat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97"/>
        <w:gridCol w:w="1420"/>
        <w:gridCol w:w="1420"/>
        <w:gridCol w:w="1577"/>
        <w:gridCol w:w="1735"/>
        <w:gridCol w:w="1733"/>
      </w:tblGrid>
      <w:tr w:rsidR="008D0BBE" w:rsidRPr="003C53F6" w:rsidTr="005D50E6">
        <w:tc>
          <w:tcPr>
            <w:tcW w:w="659" w:type="pct"/>
            <w:vAlign w:val="center"/>
          </w:tcPr>
          <w:p w:rsidR="008D0BBE" w:rsidRPr="003C53F6" w:rsidRDefault="008D0BBE" w:rsidP="005D50E6">
            <w:pPr>
              <w:jc w:val="center"/>
              <w:rPr>
                <w:rFonts w:ascii="Arial Narrow" w:hAnsi="Arial Narrow"/>
                <w:sz w:val="20"/>
              </w:rPr>
            </w:pPr>
            <w:r w:rsidRPr="003C53F6">
              <w:rPr>
                <w:rFonts w:ascii="Arial Narrow" w:hAnsi="Arial Narrow"/>
                <w:b/>
                <w:sz w:val="20"/>
              </w:rPr>
              <w:t>Trial ID</w:t>
            </w:r>
          </w:p>
        </w:tc>
        <w:tc>
          <w:tcPr>
            <w:tcW w:w="782" w:type="pct"/>
            <w:vAlign w:val="center"/>
          </w:tcPr>
          <w:p w:rsidR="008D0BBE" w:rsidRPr="003C53F6" w:rsidRDefault="008D0BBE" w:rsidP="005D50E6">
            <w:pPr>
              <w:jc w:val="center"/>
              <w:rPr>
                <w:rFonts w:ascii="Arial Narrow" w:hAnsi="Arial Narrow"/>
                <w:b/>
                <w:sz w:val="20"/>
              </w:rPr>
            </w:pPr>
          </w:p>
        </w:tc>
        <w:tc>
          <w:tcPr>
            <w:tcW w:w="782" w:type="pct"/>
            <w:vAlign w:val="center"/>
          </w:tcPr>
          <w:p w:rsidR="008D0BBE" w:rsidRPr="003C53F6" w:rsidRDefault="008D0BBE" w:rsidP="005D50E6">
            <w:pPr>
              <w:widowControl/>
              <w:autoSpaceDE w:val="0"/>
              <w:autoSpaceDN w:val="0"/>
              <w:adjustRightInd w:val="0"/>
              <w:jc w:val="center"/>
              <w:rPr>
                <w:rFonts w:ascii="Arial Narrow" w:hAnsi="Arial Narrow"/>
                <w:b/>
                <w:sz w:val="20"/>
              </w:rPr>
            </w:pPr>
            <w:r w:rsidRPr="003C53F6">
              <w:rPr>
                <w:rFonts w:ascii="Arial Narrow" w:hAnsi="Arial Narrow"/>
                <w:b/>
                <w:sz w:val="20"/>
              </w:rPr>
              <w:t>n / N subjects with quantifiable drug concentrations</w:t>
            </w:r>
          </w:p>
        </w:tc>
        <w:tc>
          <w:tcPr>
            <w:tcW w:w="868" w:type="pct"/>
            <w:vAlign w:val="center"/>
          </w:tcPr>
          <w:p w:rsidR="008D0BBE" w:rsidRPr="003C53F6" w:rsidRDefault="008D0BBE" w:rsidP="005D50E6">
            <w:pPr>
              <w:jc w:val="center"/>
              <w:rPr>
                <w:rFonts w:ascii="Arial Narrow" w:hAnsi="Arial Narrow"/>
                <w:b/>
                <w:sz w:val="20"/>
              </w:rPr>
            </w:pPr>
            <w:r w:rsidRPr="003C53F6">
              <w:rPr>
                <w:rFonts w:ascii="Arial Narrow" w:hAnsi="Arial Narrow"/>
                <w:b/>
                <w:sz w:val="20"/>
              </w:rPr>
              <w:t>Risk estimate (95% CI)</w:t>
            </w:r>
          </w:p>
        </w:tc>
        <w:tc>
          <w:tcPr>
            <w:tcW w:w="955" w:type="pct"/>
            <w:vAlign w:val="center"/>
          </w:tcPr>
          <w:p w:rsidR="008D0BBE" w:rsidRPr="003C53F6" w:rsidRDefault="008D0BBE" w:rsidP="005D50E6">
            <w:pPr>
              <w:jc w:val="center"/>
              <w:rPr>
                <w:rFonts w:ascii="Arial Narrow" w:hAnsi="Arial Narrow"/>
                <w:sz w:val="20"/>
              </w:rPr>
            </w:pPr>
            <w:r w:rsidRPr="003C53F6">
              <w:rPr>
                <w:rFonts w:ascii="Arial Narrow" w:hAnsi="Arial Narrow"/>
                <w:b/>
                <w:sz w:val="20"/>
              </w:rPr>
              <w:t>RRR (95% CI)</w:t>
            </w:r>
          </w:p>
        </w:tc>
        <w:tc>
          <w:tcPr>
            <w:tcW w:w="954" w:type="pct"/>
            <w:vAlign w:val="center"/>
          </w:tcPr>
          <w:p w:rsidR="008D0BBE" w:rsidRPr="003C53F6" w:rsidRDefault="008D0BBE" w:rsidP="005D50E6">
            <w:pPr>
              <w:jc w:val="center"/>
              <w:rPr>
                <w:rFonts w:ascii="Arial Narrow" w:hAnsi="Arial Narrow"/>
                <w:b/>
                <w:sz w:val="20"/>
              </w:rPr>
            </w:pPr>
          </w:p>
          <w:p w:rsidR="008D0BBE" w:rsidRPr="003C53F6" w:rsidRDefault="008D0BBE" w:rsidP="005D50E6">
            <w:pPr>
              <w:jc w:val="center"/>
              <w:rPr>
                <w:rFonts w:ascii="Arial Narrow" w:hAnsi="Arial Narrow"/>
                <w:b/>
                <w:sz w:val="20"/>
              </w:rPr>
            </w:pPr>
            <w:r w:rsidRPr="003C53F6">
              <w:rPr>
                <w:rFonts w:ascii="Arial Narrow" w:hAnsi="Arial Narrow"/>
                <w:b/>
                <w:sz w:val="20"/>
              </w:rPr>
              <w:t>p-value</w:t>
            </w:r>
          </w:p>
        </w:tc>
      </w:tr>
      <w:tr w:rsidR="008D0BBE" w:rsidRPr="003C53F6" w:rsidTr="005D50E6">
        <w:trPr>
          <w:trHeight w:val="249"/>
        </w:trPr>
        <w:tc>
          <w:tcPr>
            <w:tcW w:w="659" w:type="pct"/>
            <w:vMerge w:val="restart"/>
            <w:vAlign w:val="center"/>
          </w:tcPr>
          <w:p w:rsidR="008D0BBE" w:rsidRPr="003C53F6" w:rsidRDefault="008D0BBE" w:rsidP="005D50E6">
            <w:pPr>
              <w:jc w:val="center"/>
              <w:rPr>
                <w:rFonts w:ascii="Arial Narrow" w:hAnsi="Arial Narrow"/>
                <w:sz w:val="20"/>
              </w:rPr>
            </w:pPr>
            <w:proofErr w:type="spellStart"/>
            <w:r w:rsidRPr="003C53F6">
              <w:rPr>
                <w:rFonts w:ascii="Arial Narrow" w:hAnsi="Arial Narrow"/>
                <w:sz w:val="20"/>
              </w:rPr>
              <w:t>iPrEx</w:t>
            </w:r>
            <w:proofErr w:type="spellEnd"/>
            <w:r w:rsidRPr="003C53F6">
              <w:rPr>
                <w:rFonts w:ascii="Arial Narrow" w:hAnsi="Arial Narrow"/>
                <w:sz w:val="20"/>
              </w:rPr>
              <w:t>,</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3/34 (9%)</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 xml:space="preserve">OR = 12.87 </w:t>
            </w:r>
          </w:p>
          <w:p w:rsidR="008D0BBE" w:rsidRPr="003C53F6" w:rsidRDefault="008D0BBE" w:rsidP="005D50E6">
            <w:pPr>
              <w:jc w:val="center"/>
              <w:rPr>
                <w:rFonts w:ascii="Arial Narrow" w:hAnsi="Arial Narrow"/>
                <w:sz w:val="20"/>
              </w:rPr>
            </w:pPr>
            <w:r w:rsidRPr="003C53F6">
              <w:rPr>
                <w:rFonts w:ascii="Arial Narrow" w:hAnsi="Arial Narrow"/>
                <w:sz w:val="20"/>
              </w:rPr>
              <w:t>(1.67, 99.34)</w:t>
            </w:r>
          </w:p>
        </w:tc>
        <w:tc>
          <w:tcPr>
            <w:tcW w:w="955" w:type="pct"/>
            <w:vMerge w:val="restart"/>
            <w:vAlign w:val="center"/>
          </w:tcPr>
          <w:p w:rsidR="008D0BBE" w:rsidRPr="003C53F6" w:rsidRDefault="00504CF7" w:rsidP="00504CF7">
            <w:pPr>
              <w:jc w:val="center"/>
              <w:rPr>
                <w:rFonts w:ascii="Arial Narrow" w:hAnsi="Arial Narrow"/>
                <w:sz w:val="20"/>
              </w:rPr>
            </w:pPr>
            <w:r w:rsidRPr="003C53F6">
              <w:rPr>
                <w:rFonts w:ascii="Arial Narrow" w:hAnsi="Arial Narrow"/>
                <w:sz w:val="20"/>
              </w:rPr>
              <w:t>0.</w:t>
            </w:r>
            <w:r w:rsidR="008D0BBE" w:rsidRPr="003C53F6">
              <w:rPr>
                <w:rFonts w:ascii="Arial Narrow" w:hAnsi="Arial Narrow"/>
                <w:sz w:val="20"/>
              </w:rPr>
              <w:t>92 (</w:t>
            </w:r>
            <w:r w:rsidRPr="003C53F6">
              <w:rPr>
                <w:rFonts w:ascii="Arial Narrow" w:hAnsi="Arial Narrow"/>
                <w:sz w:val="20"/>
              </w:rPr>
              <w:t>0.</w:t>
            </w:r>
            <w:r w:rsidR="008D0BBE" w:rsidRPr="003C53F6">
              <w:rPr>
                <w:rFonts w:ascii="Arial Narrow" w:hAnsi="Arial Narrow"/>
                <w:sz w:val="20"/>
              </w:rPr>
              <w:t xml:space="preserve">40, </w:t>
            </w:r>
            <w:r w:rsidRPr="003C53F6">
              <w:rPr>
                <w:rFonts w:ascii="Arial Narrow" w:hAnsi="Arial Narrow"/>
                <w:sz w:val="20"/>
              </w:rPr>
              <w:t>0.</w:t>
            </w:r>
            <w:r w:rsidR="008D0BBE" w:rsidRPr="003C53F6">
              <w:rPr>
                <w:rFonts w:ascii="Arial Narrow" w:hAnsi="Arial Narrow"/>
                <w:sz w:val="20"/>
              </w:rPr>
              <w:t>99)</w:t>
            </w:r>
          </w:p>
        </w:tc>
        <w:tc>
          <w:tcPr>
            <w:tcW w:w="954"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&lt;0.001</w:t>
            </w:r>
          </w:p>
        </w:tc>
      </w:tr>
      <w:tr w:rsidR="008D0BBE" w:rsidRPr="003C53F6" w:rsidTr="005D50E6">
        <w:trPr>
          <w:trHeight w:val="167"/>
        </w:trPr>
        <w:tc>
          <w:tcPr>
            <w:tcW w:w="659" w:type="pct"/>
            <w:vMerge/>
            <w:vAlign w:val="center"/>
          </w:tcPr>
          <w:p w:rsidR="008D0BBE" w:rsidRPr="003C53F6" w:rsidRDefault="008D0BBE" w:rsidP="005D50E6">
            <w:pPr>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22/43 (51%)</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r w:rsidR="008D0BBE" w:rsidRPr="003C53F6" w:rsidTr="005D50E6">
        <w:tc>
          <w:tcPr>
            <w:tcW w:w="659" w:type="pct"/>
            <w:vMerge w:val="restart"/>
            <w:vAlign w:val="center"/>
          </w:tcPr>
          <w:p w:rsidR="008D0BBE" w:rsidRPr="003C53F6" w:rsidRDefault="008D0BBE" w:rsidP="005D50E6">
            <w:pPr>
              <w:ind w:right="-108"/>
              <w:jc w:val="center"/>
              <w:rPr>
                <w:rFonts w:ascii="Arial Narrow" w:hAnsi="Arial Narrow"/>
                <w:sz w:val="20"/>
              </w:rPr>
            </w:pPr>
            <w:r w:rsidRPr="003C53F6">
              <w:rPr>
                <w:rFonts w:ascii="Arial Narrow" w:hAnsi="Arial Narrow"/>
                <w:sz w:val="20"/>
              </w:rPr>
              <w:t xml:space="preserve">Partners </w:t>
            </w:r>
            <w:proofErr w:type="spellStart"/>
            <w:r w:rsidRPr="003C53F6">
              <w:rPr>
                <w:rFonts w:ascii="Arial Narrow" w:hAnsi="Arial Narrow"/>
                <w:sz w:val="20"/>
              </w:rPr>
              <w:t>PrEP</w:t>
            </w:r>
            <w:proofErr w:type="spellEnd"/>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3/12 (25%)</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 xml:space="preserve">HR = 0.10 </w:t>
            </w:r>
          </w:p>
          <w:p w:rsidR="008D0BBE" w:rsidRPr="003C53F6" w:rsidRDefault="008D0BBE" w:rsidP="005D50E6">
            <w:pPr>
              <w:jc w:val="center"/>
              <w:rPr>
                <w:rFonts w:ascii="Arial Narrow" w:hAnsi="Arial Narrow"/>
                <w:sz w:val="20"/>
              </w:rPr>
            </w:pPr>
            <w:r w:rsidRPr="003C53F6">
              <w:rPr>
                <w:rFonts w:ascii="Arial Narrow" w:hAnsi="Arial Narrow"/>
                <w:sz w:val="20"/>
              </w:rPr>
              <w:t>(0.02, 0.44)</w:t>
            </w:r>
          </w:p>
        </w:tc>
        <w:tc>
          <w:tcPr>
            <w:tcW w:w="955" w:type="pct"/>
            <w:vMerge w:val="restart"/>
            <w:vAlign w:val="center"/>
          </w:tcPr>
          <w:p w:rsidR="008D0BBE" w:rsidRPr="003C53F6" w:rsidRDefault="00504CF7" w:rsidP="00504CF7">
            <w:pPr>
              <w:jc w:val="center"/>
              <w:rPr>
                <w:rFonts w:ascii="Arial Narrow" w:hAnsi="Arial Narrow"/>
                <w:sz w:val="20"/>
              </w:rPr>
            </w:pPr>
            <w:r w:rsidRPr="003C53F6">
              <w:rPr>
                <w:rFonts w:ascii="Arial Narrow" w:hAnsi="Arial Narrow"/>
                <w:sz w:val="20"/>
              </w:rPr>
              <w:t>0.</w:t>
            </w:r>
            <w:r w:rsidR="008D0BBE" w:rsidRPr="003C53F6">
              <w:rPr>
                <w:rFonts w:ascii="Arial Narrow" w:hAnsi="Arial Narrow"/>
                <w:sz w:val="20"/>
              </w:rPr>
              <w:t>90 (</w:t>
            </w:r>
            <w:r w:rsidRPr="003C53F6">
              <w:rPr>
                <w:rFonts w:ascii="Arial Narrow" w:hAnsi="Arial Narrow"/>
                <w:sz w:val="20"/>
              </w:rPr>
              <w:t>0.</w:t>
            </w:r>
            <w:r w:rsidR="008D0BBE" w:rsidRPr="003C53F6">
              <w:rPr>
                <w:rFonts w:ascii="Arial Narrow" w:hAnsi="Arial Narrow"/>
                <w:sz w:val="20"/>
              </w:rPr>
              <w:t xml:space="preserve">56, </w:t>
            </w:r>
            <w:r w:rsidRPr="003C53F6">
              <w:rPr>
                <w:rFonts w:ascii="Arial Narrow" w:hAnsi="Arial Narrow"/>
                <w:sz w:val="20"/>
              </w:rPr>
              <w:t>0.</w:t>
            </w:r>
            <w:r w:rsidR="008D0BBE" w:rsidRPr="003C53F6">
              <w:rPr>
                <w:rFonts w:ascii="Arial Narrow" w:hAnsi="Arial Narrow"/>
                <w:sz w:val="20"/>
              </w:rPr>
              <w:t>98)</w:t>
            </w:r>
          </w:p>
        </w:tc>
        <w:tc>
          <w:tcPr>
            <w:tcW w:w="954"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0.002</w:t>
            </w:r>
          </w:p>
        </w:tc>
      </w:tr>
      <w:tr w:rsidR="008D0BBE" w:rsidRPr="003C53F6" w:rsidTr="005D50E6">
        <w:tc>
          <w:tcPr>
            <w:tcW w:w="659" w:type="pct"/>
            <w:vMerge/>
            <w:vAlign w:val="center"/>
          </w:tcPr>
          <w:p w:rsidR="008D0BBE" w:rsidRPr="003C53F6" w:rsidRDefault="008D0BBE" w:rsidP="005D50E6">
            <w:pPr>
              <w:ind w:right="-108"/>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375/465 (80.6%)</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r w:rsidR="008D0BBE" w:rsidRPr="003C53F6" w:rsidTr="005D50E6">
        <w:trPr>
          <w:trHeight w:val="235"/>
        </w:trPr>
        <w:tc>
          <w:tcPr>
            <w:tcW w:w="659" w:type="pct"/>
            <w:vMerge w:val="restart"/>
            <w:vAlign w:val="center"/>
          </w:tcPr>
          <w:p w:rsidR="008D0BBE" w:rsidRPr="003C53F6" w:rsidRDefault="008D0BBE" w:rsidP="005D50E6">
            <w:pPr>
              <w:ind w:right="-108"/>
              <w:jc w:val="center"/>
              <w:rPr>
                <w:rFonts w:ascii="Arial Narrow" w:hAnsi="Arial Narrow"/>
                <w:sz w:val="20"/>
              </w:rPr>
            </w:pPr>
            <w:r w:rsidRPr="003C53F6">
              <w:rPr>
                <w:rFonts w:ascii="Arial Narrow" w:hAnsi="Arial Narrow"/>
                <w:sz w:val="20"/>
              </w:rPr>
              <w:t>FEM-PrEP</w:t>
            </w:r>
            <w:r w:rsidRPr="003C53F6">
              <w:rPr>
                <w:rFonts w:ascii="Arial Narrow" w:hAnsi="Arial Narrow"/>
                <w:sz w:val="20"/>
                <w:vertAlign w:val="superscript"/>
              </w:rPr>
              <w:t>1</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7/27 (26%)</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NR</w:t>
            </w:r>
          </w:p>
        </w:tc>
        <w:tc>
          <w:tcPr>
            <w:tcW w:w="955"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NR</w:t>
            </w:r>
          </w:p>
        </w:tc>
        <w:tc>
          <w:tcPr>
            <w:tcW w:w="954" w:type="pct"/>
            <w:vMerge w:val="restart"/>
            <w:vAlign w:val="center"/>
          </w:tcPr>
          <w:p w:rsidR="008D0BBE" w:rsidRPr="003C53F6" w:rsidRDefault="008D0BBE" w:rsidP="005D50E6">
            <w:pPr>
              <w:jc w:val="center"/>
              <w:rPr>
                <w:rFonts w:ascii="Arial Narrow" w:hAnsi="Arial Narrow"/>
                <w:sz w:val="20"/>
                <w:vertAlign w:val="superscript"/>
              </w:rPr>
            </w:pPr>
            <w:r w:rsidRPr="003C53F6">
              <w:rPr>
                <w:rFonts w:ascii="Arial Narrow" w:hAnsi="Arial Narrow"/>
                <w:sz w:val="20"/>
              </w:rPr>
              <w:t>0.70</w:t>
            </w:r>
            <w:r w:rsidRPr="003C53F6">
              <w:rPr>
                <w:rFonts w:ascii="Arial Narrow" w:hAnsi="Arial Narrow"/>
                <w:sz w:val="20"/>
                <w:vertAlign w:val="superscript"/>
              </w:rPr>
              <w:t>6</w:t>
            </w:r>
          </w:p>
        </w:tc>
      </w:tr>
      <w:tr w:rsidR="008D0BBE" w:rsidRPr="003C53F6" w:rsidTr="005D50E6">
        <w:trPr>
          <w:trHeight w:val="223"/>
        </w:trPr>
        <w:tc>
          <w:tcPr>
            <w:tcW w:w="659" w:type="pct"/>
            <w:vMerge/>
            <w:vAlign w:val="center"/>
          </w:tcPr>
          <w:p w:rsidR="008D0BBE" w:rsidRPr="003C53F6" w:rsidRDefault="008D0BBE" w:rsidP="005D50E6">
            <w:pPr>
              <w:ind w:right="-108"/>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27/78 (35%)</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r w:rsidR="008D0BBE" w:rsidRPr="003C53F6" w:rsidTr="005D50E6">
        <w:trPr>
          <w:trHeight w:val="235"/>
        </w:trPr>
        <w:tc>
          <w:tcPr>
            <w:tcW w:w="659" w:type="pct"/>
            <w:vMerge w:val="restart"/>
            <w:vAlign w:val="center"/>
          </w:tcPr>
          <w:p w:rsidR="008D0BBE" w:rsidRPr="003C53F6" w:rsidRDefault="008D0BBE" w:rsidP="005D50E6">
            <w:pPr>
              <w:ind w:right="-108"/>
              <w:jc w:val="center"/>
              <w:rPr>
                <w:rFonts w:ascii="Arial Narrow" w:hAnsi="Arial Narrow"/>
                <w:sz w:val="20"/>
                <w:vertAlign w:val="superscript"/>
              </w:rPr>
            </w:pPr>
            <w:r w:rsidRPr="003C53F6">
              <w:rPr>
                <w:rFonts w:ascii="Arial Narrow" w:hAnsi="Arial Narrow"/>
                <w:sz w:val="20"/>
              </w:rPr>
              <w:t>FEM-PrEP</w:t>
            </w:r>
            <w:r w:rsidRPr="003C53F6">
              <w:rPr>
                <w:rFonts w:ascii="Arial Narrow" w:hAnsi="Arial Narrow"/>
                <w:sz w:val="20"/>
                <w:vertAlign w:val="superscript"/>
              </w:rPr>
              <w:t>2</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vertAlign w:val="superscript"/>
              </w:rPr>
            </w:pPr>
            <w:r w:rsidRPr="003C53F6">
              <w:rPr>
                <w:rFonts w:ascii="Arial Narrow" w:hAnsi="Arial Narrow"/>
                <w:sz w:val="20"/>
              </w:rPr>
              <w:t>7/33 (21%)</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NR</w:t>
            </w:r>
          </w:p>
        </w:tc>
        <w:tc>
          <w:tcPr>
            <w:tcW w:w="955"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NR</w:t>
            </w:r>
          </w:p>
        </w:tc>
        <w:tc>
          <w:tcPr>
            <w:tcW w:w="954" w:type="pct"/>
            <w:vMerge w:val="restart"/>
            <w:vAlign w:val="center"/>
          </w:tcPr>
          <w:p w:rsidR="008D0BBE" w:rsidRPr="003C53F6" w:rsidRDefault="008D0BBE" w:rsidP="005D50E6">
            <w:pPr>
              <w:jc w:val="center"/>
              <w:rPr>
                <w:rFonts w:ascii="Arial Narrow" w:hAnsi="Arial Narrow"/>
                <w:sz w:val="20"/>
                <w:vertAlign w:val="superscript"/>
              </w:rPr>
            </w:pPr>
            <w:r w:rsidRPr="003C53F6">
              <w:rPr>
                <w:rFonts w:ascii="Arial Narrow" w:hAnsi="Arial Narrow"/>
                <w:sz w:val="20"/>
              </w:rPr>
              <w:t>0.13</w:t>
            </w:r>
            <w:r w:rsidRPr="003C53F6">
              <w:rPr>
                <w:rFonts w:ascii="Arial Narrow" w:hAnsi="Arial Narrow"/>
                <w:sz w:val="20"/>
                <w:vertAlign w:val="superscript"/>
              </w:rPr>
              <w:t>6</w:t>
            </w:r>
          </w:p>
        </w:tc>
      </w:tr>
      <w:tr w:rsidR="008D0BBE" w:rsidRPr="003C53F6" w:rsidTr="005D50E6">
        <w:trPr>
          <w:trHeight w:val="223"/>
        </w:trPr>
        <w:tc>
          <w:tcPr>
            <w:tcW w:w="659" w:type="pct"/>
            <w:vMerge/>
            <w:vAlign w:val="center"/>
          </w:tcPr>
          <w:p w:rsidR="008D0BBE" w:rsidRPr="003C53F6" w:rsidRDefault="008D0BBE" w:rsidP="005D50E6">
            <w:pPr>
              <w:ind w:right="-108"/>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vertAlign w:val="superscript"/>
              </w:rPr>
            </w:pPr>
            <w:r w:rsidRPr="003C53F6">
              <w:rPr>
                <w:rFonts w:ascii="Arial Narrow" w:hAnsi="Arial Narrow"/>
                <w:sz w:val="20"/>
              </w:rPr>
              <w:t>35/95 (37%)</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r w:rsidR="008D0BBE" w:rsidRPr="003C53F6" w:rsidTr="005D50E6">
        <w:trPr>
          <w:trHeight w:val="197"/>
        </w:trPr>
        <w:tc>
          <w:tcPr>
            <w:tcW w:w="659" w:type="pct"/>
            <w:vMerge w:val="restart"/>
            <w:vAlign w:val="center"/>
          </w:tcPr>
          <w:p w:rsidR="008D0BBE" w:rsidRPr="003C53F6" w:rsidRDefault="008D0BBE" w:rsidP="005D50E6">
            <w:pPr>
              <w:ind w:right="-108"/>
              <w:jc w:val="center"/>
              <w:rPr>
                <w:rFonts w:ascii="Arial Narrow" w:hAnsi="Arial Narrow"/>
                <w:sz w:val="20"/>
              </w:rPr>
            </w:pPr>
            <w:r w:rsidRPr="003C53F6">
              <w:rPr>
                <w:rFonts w:ascii="Arial Narrow" w:hAnsi="Arial Narrow"/>
                <w:sz w:val="20"/>
              </w:rPr>
              <w:t>FEM-PrEP</w:t>
            </w:r>
            <w:r w:rsidRPr="003C53F6">
              <w:rPr>
                <w:rFonts w:ascii="Arial Narrow" w:hAnsi="Arial Narrow"/>
                <w:sz w:val="20"/>
                <w:vertAlign w:val="superscript"/>
              </w:rPr>
              <w:t>3</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4/27 (15%)</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NR</w:t>
            </w:r>
          </w:p>
        </w:tc>
        <w:tc>
          <w:tcPr>
            <w:tcW w:w="955"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NR</w:t>
            </w:r>
          </w:p>
        </w:tc>
        <w:tc>
          <w:tcPr>
            <w:tcW w:w="954" w:type="pct"/>
            <w:vMerge w:val="restart"/>
            <w:vAlign w:val="center"/>
          </w:tcPr>
          <w:p w:rsidR="008D0BBE" w:rsidRPr="003C53F6" w:rsidRDefault="008D0BBE" w:rsidP="005D50E6">
            <w:pPr>
              <w:jc w:val="center"/>
              <w:rPr>
                <w:rFonts w:ascii="Arial Narrow" w:hAnsi="Arial Narrow"/>
                <w:sz w:val="20"/>
                <w:vertAlign w:val="superscript"/>
              </w:rPr>
            </w:pPr>
            <w:r w:rsidRPr="003C53F6">
              <w:rPr>
                <w:rFonts w:ascii="Arial Narrow" w:hAnsi="Arial Narrow"/>
                <w:sz w:val="20"/>
              </w:rPr>
              <w:t>0.68</w:t>
            </w:r>
            <w:r w:rsidRPr="003C53F6">
              <w:rPr>
                <w:rFonts w:ascii="Arial Narrow" w:hAnsi="Arial Narrow"/>
                <w:sz w:val="20"/>
                <w:vertAlign w:val="superscript"/>
              </w:rPr>
              <w:t>6</w:t>
            </w:r>
          </w:p>
        </w:tc>
      </w:tr>
      <w:tr w:rsidR="008D0BBE" w:rsidRPr="003C53F6" w:rsidTr="005D50E6">
        <w:trPr>
          <w:trHeight w:val="249"/>
        </w:trPr>
        <w:tc>
          <w:tcPr>
            <w:tcW w:w="659" w:type="pct"/>
            <w:vMerge/>
            <w:vAlign w:val="center"/>
          </w:tcPr>
          <w:p w:rsidR="008D0BBE" w:rsidRPr="003C53F6" w:rsidRDefault="008D0BBE" w:rsidP="005D50E6">
            <w:pPr>
              <w:ind w:right="-108"/>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19/78 (24%)</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r w:rsidR="008D0BBE" w:rsidRPr="003C53F6" w:rsidTr="005D50E6">
        <w:trPr>
          <w:trHeight w:val="249"/>
        </w:trPr>
        <w:tc>
          <w:tcPr>
            <w:tcW w:w="659" w:type="pct"/>
            <w:vMerge w:val="restart"/>
            <w:vAlign w:val="center"/>
          </w:tcPr>
          <w:p w:rsidR="008D0BBE" w:rsidRPr="003C53F6" w:rsidRDefault="008D0BBE" w:rsidP="005D50E6">
            <w:pPr>
              <w:ind w:right="-108"/>
              <w:jc w:val="center"/>
              <w:rPr>
                <w:rFonts w:ascii="Arial Narrow" w:hAnsi="Arial Narrow"/>
                <w:sz w:val="20"/>
                <w:vertAlign w:val="superscript"/>
              </w:rPr>
            </w:pPr>
            <w:r w:rsidRPr="003C53F6">
              <w:rPr>
                <w:rFonts w:ascii="Arial Narrow" w:hAnsi="Arial Narrow"/>
                <w:sz w:val="20"/>
              </w:rPr>
              <w:t>VOICE</w:t>
            </w:r>
            <w:r w:rsidRPr="003C53F6">
              <w:rPr>
                <w:rFonts w:ascii="Arial Narrow" w:hAnsi="Arial Narrow"/>
                <w:sz w:val="20"/>
                <w:vertAlign w:val="superscript"/>
              </w:rPr>
              <w:t>4</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17/57 (30%)</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HR = 1.25</w:t>
            </w:r>
          </w:p>
          <w:p w:rsidR="008D0BBE" w:rsidRPr="003C53F6" w:rsidRDefault="008D0BBE" w:rsidP="005D50E6">
            <w:pPr>
              <w:jc w:val="center"/>
              <w:rPr>
                <w:rFonts w:ascii="Arial Narrow" w:hAnsi="Arial Narrow"/>
                <w:sz w:val="20"/>
              </w:rPr>
            </w:pPr>
            <w:r w:rsidRPr="003C53F6">
              <w:rPr>
                <w:rFonts w:ascii="Arial Narrow" w:hAnsi="Arial Narrow"/>
                <w:sz w:val="20"/>
              </w:rPr>
              <w:t>(0.61, 2.58)</w:t>
            </w:r>
          </w:p>
        </w:tc>
        <w:tc>
          <w:tcPr>
            <w:tcW w:w="955" w:type="pct"/>
            <w:vMerge w:val="restart"/>
            <w:vAlign w:val="center"/>
          </w:tcPr>
          <w:p w:rsidR="008D0BBE" w:rsidRPr="003C53F6" w:rsidRDefault="008D0BBE" w:rsidP="00504CF7">
            <w:pPr>
              <w:jc w:val="center"/>
              <w:rPr>
                <w:rFonts w:ascii="Arial Narrow" w:hAnsi="Arial Narrow"/>
                <w:sz w:val="20"/>
              </w:rPr>
            </w:pPr>
            <w:r w:rsidRPr="003C53F6">
              <w:rPr>
                <w:rFonts w:ascii="Arial Narrow" w:hAnsi="Arial Narrow"/>
                <w:sz w:val="20"/>
              </w:rPr>
              <w:t>-</w:t>
            </w:r>
            <w:r w:rsidR="00504CF7" w:rsidRPr="003C53F6">
              <w:rPr>
                <w:rFonts w:ascii="Arial Narrow" w:hAnsi="Arial Narrow"/>
                <w:sz w:val="20"/>
              </w:rPr>
              <w:t>0.</w:t>
            </w:r>
            <w:r w:rsidRPr="003C53F6">
              <w:rPr>
                <w:rFonts w:ascii="Arial Narrow" w:hAnsi="Arial Narrow"/>
                <w:sz w:val="20"/>
              </w:rPr>
              <w:t>25 (-1</w:t>
            </w:r>
            <w:r w:rsidR="00504CF7" w:rsidRPr="003C53F6">
              <w:rPr>
                <w:rFonts w:ascii="Arial Narrow" w:hAnsi="Arial Narrow"/>
                <w:sz w:val="20"/>
              </w:rPr>
              <w:t>.</w:t>
            </w:r>
            <w:r w:rsidRPr="003C53F6">
              <w:rPr>
                <w:rFonts w:ascii="Arial Narrow" w:hAnsi="Arial Narrow"/>
                <w:sz w:val="20"/>
              </w:rPr>
              <w:t xml:space="preserve">58, </w:t>
            </w:r>
            <w:r w:rsidR="00504CF7" w:rsidRPr="003C53F6">
              <w:rPr>
                <w:rFonts w:ascii="Arial Narrow" w:hAnsi="Arial Narrow"/>
                <w:sz w:val="20"/>
              </w:rPr>
              <w:t>0.</w:t>
            </w:r>
            <w:r w:rsidRPr="003C53F6">
              <w:rPr>
                <w:rFonts w:ascii="Arial Narrow" w:hAnsi="Arial Narrow"/>
                <w:sz w:val="20"/>
              </w:rPr>
              <w:t>39)</w:t>
            </w:r>
          </w:p>
        </w:tc>
        <w:tc>
          <w:tcPr>
            <w:tcW w:w="954"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0.54</w:t>
            </w:r>
          </w:p>
        </w:tc>
      </w:tr>
      <w:tr w:rsidR="008D0BBE" w:rsidRPr="003C53F6" w:rsidTr="005D50E6">
        <w:trPr>
          <w:trHeight w:val="197"/>
        </w:trPr>
        <w:tc>
          <w:tcPr>
            <w:tcW w:w="659" w:type="pct"/>
            <w:vMerge/>
            <w:vAlign w:val="center"/>
          </w:tcPr>
          <w:p w:rsidR="008D0BBE" w:rsidRPr="003C53F6" w:rsidRDefault="008D0BBE" w:rsidP="005D50E6">
            <w:pPr>
              <w:ind w:right="-108"/>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45/142 (32%)</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r w:rsidR="008D0BBE" w:rsidRPr="003C53F6" w:rsidTr="005D50E6">
        <w:trPr>
          <w:trHeight w:val="197"/>
        </w:trPr>
        <w:tc>
          <w:tcPr>
            <w:tcW w:w="659" w:type="pct"/>
            <w:vMerge w:val="restart"/>
            <w:vAlign w:val="center"/>
          </w:tcPr>
          <w:p w:rsidR="008D0BBE" w:rsidRPr="003C53F6" w:rsidRDefault="008D0BBE" w:rsidP="005D50E6">
            <w:pPr>
              <w:ind w:right="-108"/>
              <w:jc w:val="center"/>
              <w:rPr>
                <w:rFonts w:ascii="Arial Narrow" w:hAnsi="Arial Narrow"/>
                <w:sz w:val="20"/>
                <w:vertAlign w:val="superscript"/>
              </w:rPr>
            </w:pPr>
            <w:r w:rsidRPr="003C53F6">
              <w:rPr>
                <w:rFonts w:ascii="Arial Narrow" w:hAnsi="Arial Narrow"/>
                <w:sz w:val="20"/>
              </w:rPr>
              <w:t>VOICE</w:t>
            </w:r>
            <w:r w:rsidRPr="003C53F6">
              <w:rPr>
                <w:rFonts w:ascii="Arial Narrow" w:hAnsi="Arial Narrow"/>
                <w:sz w:val="20"/>
                <w:vertAlign w:val="superscript"/>
              </w:rPr>
              <w:t>5</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Case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24/61 (39%)</w:t>
            </w:r>
          </w:p>
        </w:tc>
        <w:tc>
          <w:tcPr>
            <w:tcW w:w="868"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HR = 0.83</w:t>
            </w:r>
          </w:p>
          <w:p w:rsidR="008D0BBE" w:rsidRPr="003C53F6" w:rsidRDefault="008D0BBE" w:rsidP="005D50E6">
            <w:pPr>
              <w:jc w:val="center"/>
              <w:rPr>
                <w:rFonts w:ascii="Arial Narrow" w:hAnsi="Arial Narrow"/>
                <w:sz w:val="20"/>
              </w:rPr>
            </w:pPr>
            <w:r w:rsidRPr="003C53F6">
              <w:rPr>
                <w:rFonts w:ascii="Arial Narrow" w:hAnsi="Arial Narrow"/>
                <w:sz w:val="20"/>
              </w:rPr>
              <w:t>(0.39, 1.76)</w:t>
            </w:r>
          </w:p>
        </w:tc>
        <w:tc>
          <w:tcPr>
            <w:tcW w:w="955" w:type="pct"/>
            <w:vMerge w:val="restart"/>
            <w:vAlign w:val="center"/>
          </w:tcPr>
          <w:p w:rsidR="008D0BBE" w:rsidRPr="003C53F6" w:rsidRDefault="00504CF7" w:rsidP="00504CF7">
            <w:pPr>
              <w:jc w:val="center"/>
              <w:rPr>
                <w:rFonts w:ascii="Arial Narrow" w:hAnsi="Arial Narrow"/>
                <w:sz w:val="20"/>
              </w:rPr>
            </w:pPr>
            <w:r w:rsidRPr="003C53F6">
              <w:rPr>
                <w:rFonts w:ascii="Arial Narrow" w:hAnsi="Arial Narrow"/>
                <w:sz w:val="20"/>
              </w:rPr>
              <w:t>0.</w:t>
            </w:r>
            <w:r w:rsidR="008D0BBE" w:rsidRPr="003C53F6">
              <w:rPr>
                <w:rFonts w:ascii="Arial Narrow" w:hAnsi="Arial Narrow"/>
                <w:sz w:val="20"/>
              </w:rPr>
              <w:t>17 (-</w:t>
            </w:r>
            <w:r w:rsidRPr="003C53F6">
              <w:rPr>
                <w:rFonts w:ascii="Arial Narrow" w:hAnsi="Arial Narrow"/>
                <w:sz w:val="20"/>
              </w:rPr>
              <w:t>0.</w:t>
            </w:r>
            <w:r w:rsidR="008D0BBE" w:rsidRPr="003C53F6">
              <w:rPr>
                <w:rFonts w:ascii="Arial Narrow" w:hAnsi="Arial Narrow"/>
                <w:sz w:val="20"/>
              </w:rPr>
              <w:t xml:space="preserve">76, </w:t>
            </w:r>
            <w:r w:rsidRPr="003C53F6">
              <w:rPr>
                <w:rFonts w:ascii="Arial Narrow" w:hAnsi="Arial Narrow"/>
                <w:sz w:val="20"/>
              </w:rPr>
              <w:t>0.</w:t>
            </w:r>
            <w:r w:rsidR="008D0BBE" w:rsidRPr="003C53F6">
              <w:rPr>
                <w:rFonts w:ascii="Arial Narrow" w:hAnsi="Arial Narrow"/>
                <w:sz w:val="20"/>
              </w:rPr>
              <w:t>61)</w:t>
            </w:r>
          </w:p>
        </w:tc>
        <w:tc>
          <w:tcPr>
            <w:tcW w:w="954" w:type="pct"/>
            <w:vMerge w:val="restar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0.62</w:t>
            </w:r>
          </w:p>
        </w:tc>
      </w:tr>
      <w:tr w:rsidR="008D0BBE" w:rsidRPr="003C53F6" w:rsidTr="005D50E6">
        <w:trPr>
          <w:trHeight w:val="249"/>
        </w:trPr>
        <w:tc>
          <w:tcPr>
            <w:tcW w:w="659" w:type="pct"/>
            <w:vMerge/>
            <w:vAlign w:val="center"/>
          </w:tcPr>
          <w:p w:rsidR="008D0BBE" w:rsidRPr="003C53F6" w:rsidRDefault="008D0BBE" w:rsidP="005D50E6">
            <w:pPr>
              <w:ind w:right="-108"/>
              <w:jc w:val="center"/>
              <w:rPr>
                <w:rFonts w:ascii="Arial Narrow" w:hAnsi="Arial Narrow"/>
                <w:sz w:val="20"/>
              </w:rPr>
            </w:pP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Control (HIV-)</w:t>
            </w:r>
          </w:p>
        </w:tc>
        <w:tc>
          <w:tcPr>
            <w:tcW w:w="782" w:type="pct"/>
            <w:vAlign w:val="center"/>
          </w:tcPr>
          <w:p w:rsidR="008D0BBE" w:rsidRPr="003C53F6" w:rsidRDefault="008D0BBE" w:rsidP="005D50E6">
            <w:pPr>
              <w:jc w:val="center"/>
              <w:rPr>
                <w:rFonts w:ascii="Arial Narrow" w:hAnsi="Arial Narrow"/>
                <w:sz w:val="20"/>
              </w:rPr>
            </w:pPr>
            <w:r w:rsidRPr="003C53F6">
              <w:rPr>
                <w:rFonts w:ascii="Arial Narrow" w:hAnsi="Arial Narrow"/>
                <w:sz w:val="20"/>
              </w:rPr>
              <w:t>77/148 (52%)</w:t>
            </w:r>
          </w:p>
        </w:tc>
        <w:tc>
          <w:tcPr>
            <w:tcW w:w="868" w:type="pct"/>
            <w:vMerge/>
            <w:vAlign w:val="center"/>
          </w:tcPr>
          <w:p w:rsidR="008D0BBE" w:rsidRPr="003C53F6" w:rsidRDefault="008D0BBE" w:rsidP="005D50E6">
            <w:pPr>
              <w:jc w:val="center"/>
              <w:rPr>
                <w:rFonts w:ascii="Arial Narrow" w:hAnsi="Arial Narrow"/>
                <w:sz w:val="20"/>
              </w:rPr>
            </w:pPr>
          </w:p>
        </w:tc>
        <w:tc>
          <w:tcPr>
            <w:tcW w:w="955" w:type="pct"/>
            <w:vMerge/>
            <w:vAlign w:val="center"/>
          </w:tcPr>
          <w:p w:rsidR="008D0BBE" w:rsidRPr="003C53F6" w:rsidRDefault="008D0BBE" w:rsidP="005D50E6">
            <w:pPr>
              <w:jc w:val="center"/>
              <w:rPr>
                <w:rFonts w:ascii="Arial Narrow" w:hAnsi="Arial Narrow"/>
                <w:sz w:val="20"/>
              </w:rPr>
            </w:pPr>
          </w:p>
        </w:tc>
        <w:tc>
          <w:tcPr>
            <w:tcW w:w="954" w:type="pct"/>
            <w:vMerge/>
            <w:vAlign w:val="center"/>
          </w:tcPr>
          <w:p w:rsidR="008D0BBE" w:rsidRPr="003C53F6" w:rsidRDefault="008D0BBE" w:rsidP="005D50E6">
            <w:pPr>
              <w:jc w:val="center"/>
              <w:rPr>
                <w:rFonts w:ascii="Arial Narrow" w:hAnsi="Arial Narrow"/>
                <w:sz w:val="20"/>
              </w:rPr>
            </w:pPr>
          </w:p>
        </w:tc>
      </w:tr>
    </w:tbl>
    <w:p w:rsidR="008D0BBE" w:rsidRPr="003C53F6" w:rsidRDefault="008D0BBE" w:rsidP="008D0BBE">
      <w:pPr>
        <w:pStyle w:val="TableFooter"/>
      </w:pPr>
      <w:r w:rsidRPr="003C53F6">
        <w:t>Source: Tables B-27, B-31 and B-37, pp 76, 81, 88 and 90 of the submission.</w:t>
      </w:r>
    </w:p>
    <w:p w:rsidR="008D0BBE" w:rsidRPr="003C53F6" w:rsidRDefault="008D0BBE" w:rsidP="008D0BBE">
      <w:pPr>
        <w:pStyle w:val="TableFooter"/>
      </w:pPr>
      <w:r w:rsidRPr="003C53F6">
        <w:t>Abbreviation</w:t>
      </w:r>
      <w:r w:rsidR="00936B91" w:rsidRPr="003C53F6">
        <w:t>s</w:t>
      </w:r>
      <w:r w:rsidRPr="003C53F6">
        <w:t>: NR = not reported, RRR = relative risk reduction.</w:t>
      </w:r>
    </w:p>
    <w:p w:rsidR="008D0BBE" w:rsidRPr="003C53F6" w:rsidRDefault="008D0BBE" w:rsidP="008D0BBE">
      <w:pPr>
        <w:pStyle w:val="TableFooter"/>
      </w:pPr>
      <w:proofErr w:type="gramStart"/>
      <w:r w:rsidRPr="003C53F6">
        <w:rPr>
          <w:vertAlign w:val="superscript"/>
        </w:rPr>
        <w:t>1</w:t>
      </w:r>
      <w:r w:rsidRPr="003C53F6">
        <w:t>At the start of the infection window.</w:t>
      </w:r>
      <w:proofErr w:type="gramEnd"/>
    </w:p>
    <w:p w:rsidR="008D0BBE" w:rsidRPr="003C53F6" w:rsidRDefault="008D0BBE" w:rsidP="008D0BBE">
      <w:pPr>
        <w:pStyle w:val="TableFooter"/>
      </w:pPr>
      <w:proofErr w:type="gramStart"/>
      <w:r w:rsidRPr="003C53F6">
        <w:rPr>
          <w:vertAlign w:val="superscript"/>
        </w:rPr>
        <w:t>2</w:t>
      </w:r>
      <w:r w:rsidRPr="003C53F6">
        <w:t>At the end of the infection window.</w:t>
      </w:r>
      <w:proofErr w:type="gramEnd"/>
    </w:p>
    <w:p w:rsidR="008D0BBE" w:rsidRPr="003C53F6" w:rsidRDefault="008D0BBE" w:rsidP="008D0BBE">
      <w:pPr>
        <w:pStyle w:val="TableFooter"/>
      </w:pPr>
      <w:proofErr w:type="gramStart"/>
      <w:r w:rsidRPr="003C53F6">
        <w:rPr>
          <w:vertAlign w:val="superscript"/>
        </w:rPr>
        <w:t>3</w:t>
      </w:r>
      <w:r w:rsidRPr="003C53F6">
        <w:t>At both the start and the end of the infection window.</w:t>
      </w:r>
      <w:proofErr w:type="gramEnd"/>
    </w:p>
    <w:p w:rsidR="008D0BBE" w:rsidRPr="003C53F6" w:rsidRDefault="008D0BBE" w:rsidP="008D0BBE">
      <w:pPr>
        <w:pStyle w:val="TableFooter"/>
      </w:pPr>
      <w:r w:rsidRPr="003C53F6">
        <w:rPr>
          <w:vertAlign w:val="superscript"/>
        </w:rPr>
        <w:t>4</w:t>
      </w:r>
      <w:r w:rsidRPr="003C53F6">
        <w:t xml:space="preserve">These results are for detectable </w:t>
      </w:r>
      <w:proofErr w:type="spellStart"/>
      <w:r w:rsidRPr="003C53F6">
        <w:t>tenofovir</w:t>
      </w:r>
      <w:proofErr w:type="spellEnd"/>
      <w:r w:rsidRPr="003C53F6">
        <w:t xml:space="preserve"> at the 1</w:t>
      </w:r>
      <w:r w:rsidRPr="003C53F6">
        <w:rPr>
          <w:vertAlign w:val="superscript"/>
        </w:rPr>
        <w:t>st</w:t>
      </w:r>
      <w:r w:rsidRPr="003C53F6">
        <w:t xml:space="preserve"> quarterly visit.</w:t>
      </w:r>
    </w:p>
    <w:p w:rsidR="008D0BBE" w:rsidRPr="003C53F6" w:rsidRDefault="008D0BBE" w:rsidP="008D0BBE">
      <w:pPr>
        <w:pStyle w:val="TableFooter"/>
      </w:pPr>
      <w:r w:rsidRPr="003C53F6">
        <w:rPr>
          <w:vertAlign w:val="superscript"/>
        </w:rPr>
        <w:t>5</w:t>
      </w:r>
      <w:r w:rsidRPr="003C53F6">
        <w:t xml:space="preserve">These results are for ever having </w:t>
      </w:r>
      <w:proofErr w:type="spellStart"/>
      <w:r w:rsidRPr="003C53F6">
        <w:t>tenofovir</w:t>
      </w:r>
      <w:proofErr w:type="spellEnd"/>
      <w:r w:rsidRPr="003C53F6">
        <w:t xml:space="preserve"> detection in plasma samples.</w:t>
      </w:r>
    </w:p>
    <w:p w:rsidR="008D0BBE" w:rsidRPr="003C53F6" w:rsidRDefault="008D0BBE" w:rsidP="008D0BBE">
      <w:pPr>
        <w:pStyle w:val="TableFooter"/>
      </w:pPr>
      <w:proofErr w:type="gramStart"/>
      <w:r w:rsidRPr="003C53F6">
        <w:rPr>
          <w:vertAlign w:val="superscript"/>
        </w:rPr>
        <w:lastRenderedPageBreak/>
        <w:t>6</w:t>
      </w:r>
      <w:r w:rsidRPr="003C53F6">
        <w:t>After adjustment for age, unprotected sex, and use of injectable contraception.</w:t>
      </w:r>
      <w:proofErr w:type="gramEnd"/>
    </w:p>
    <w:p w:rsidR="008D0BBE" w:rsidRPr="003C53F6" w:rsidRDefault="008D0BBE" w:rsidP="008D0BBE">
      <w:pPr>
        <w:rPr>
          <w:sz w:val="20"/>
        </w:rPr>
      </w:pPr>
    </w:p>
    <w:p w:rsidR="00EC6B51" w:rsidRPr="003C53F6" w:rsidRDefault="0061677B" w:rsidP="002431F7">
      <w:pPr>
        <w:pStyle w:val="ListParagraph"/>
        <w:widowControl/>
        <w:numPr>
          <w:ilvl w:val="1"/>
          <w:numId w:val="2"/>
        </w:numPr>
        <w:rPr>
          <w:szCs w:val="22"/>
        </w:rPr>
      </w:pPr>
      <w:r w:rsidRPr="003C53F6">
        <w:rPr>
          <w:szCs w:val="22"/>
        </w:rPr>
        <w:t xml:space="preserve">In the </w:t>
      </w:r>
      <w:proofErr w:type="spellStart"/>
      <w:r w:rsidRPr="003C53F6">
        <w:rPr>
          <w:szCs w:val="22"/>
        </w:rPr>
        <w:t>iPrEx</w:t>
      </w:r>
      <w:proofErr w:type="spellEnd"/>
      <w:r w:rsidRPr="003C53F6">
        <w:rPr>
          <w:szCs w:val="22"/>
        </w:rPr>
        <w:t xml:space="preserve"> trial, the RRR of </w:t>
      </w:r>
      <w:r w:rsidR="008352F9">
        <w:rPr>
          <w:szCs w:val="22"/>
        </w:rPr>
        <w:t xml:space="preserve">infection with </w:t>
      </w:r>
      <w:proofErr w:type="spellStart"/>
      <w:r w:rsidRPr="003C53F6">
        <w:rPr>
          <w:szCs w:val="22"/>
        </w:rPr>
        <w:t>Truvada</w:t>
      </w:r>
      <w:proofErr w:type="spellEnd"/>
      <w:r w:rsidRPr="003C53F6">
        <w:rPr>
          <w:szCs w:val="22"/>
        </w:rPr>
        <w:t xml:space="preserve"> in subjects with &gt;50% self-reported pill use was 50% (95% CI: 18%, 70%). The RRR of </w:t>
      </w:r>
      <w:r w:rsidR="00EC53DC">
        <w:rPr>
          <w:szCs w:val="22"/>
        </w:rPr>
        <w:t>infection</w:t>
      </w:r>
      <w:r w:rsidR="00EC53DC" w:rsidRPr="003C53F6">
        <w:rPr>
          <w:szCs w:val="22"/>
        </w:rPr>
        <w:t xml:space="preserve"> </w:t>
      </w:r>
      <w:r w:rsidRPr="003C53F6">
        <w:rPr>
          <w:szCs w:val="22"/>
        </w:rPr>
        <w:t>in subjects with &gt;90% self-reported pill use was 73% (95% CI: 41%, 88%). Instead of adherence based on self-reported pill use, the submission based its efficacy for adherent subjects on the results of case-control analyses based on quantifiable drug concentrations.</w:t>
      </w:r>
    </w:p>
    <w:p w:rsidR="00062094" w:rsidRPr="003C53F6" w:rsidRDefault="00062094" w:rsidP="00062094">
      <w:pPr>
        <w:widowControl/>
        <w:rPr>
          <w:szCs w:val="22"/>
        </w:rPr>
      </w:pPr>
    </w:p>
    <w:p w:rsidR="00062094" w:rsidRPr="003C53F6" w:rsidRDefault="00062094" w:rsidP="002431F7">
      <w:pPr>
        <w:pStyle w:val="ListParagraph"/>
        <w:widowControl/>
        <w:numPr>
          <w:ilvl w:val="1"/>
          <w:numId w:val="2"/>
        </w:numPr>
        <w:rPr>
          <w:szCs w:val="22"/>
        </w:rPr>
      </w:pPr>
      <w:r w:rsidRPr="003C53F6">
        <w:t xml:space="preserve">The ESC noted that the efficacy of </w:t>
      </w:r>
      <w:proofErr w:type="spellStart"/>
      <w:r w:rsidRPr="003C53F6">
        <w:t>Truvada</w:t>
      </w:r>
      <w:proofErr w:type="spellEnd"/>
      <w:r w:rsidRPr="003C53F6">
        <w:t xml:space="preserve"> was highly dependent on adherence. Likely adherence in the PBS population is unknown, but ‘real life’ adherence is generally accepted to be lower than what is observed in clinical trials. It is not clear if subjects at high risk of contracting HIV due to self-reported low adherence to other ‘safe sex’ practices would also have lower adherence to medication.</w:t>
      </w:r>
    </w:p>
    <w:p w:rsidR="00EC6B51" w:rsidRPr="003C53F6" w:rsidRDefault="00EC6B51" w:rsidP="00EC6B51">
      <w:pPr>
        <w:pStyle w:val="ListParagraph"/>
        <w:widowControl/>
        <w:rPr>
          <w:szCs w:val="22"/>
        </w:rPr>
      </w:pPr>
    </w:p>
    <w:p w:rsidR="00887A53" w:rsidRPr="003C53F6" w:rsidRDefault="008D0BBE" w:rsidP="002431F7">
      <w:pPr>
        <w:pStyle w:val="ListParagraph"/>
        <w:widowControl/>
        <w:numPr>
          <w:ilvl w:val="1"/>
          <w:numId w:val="2"/>
        </w:numPr>
        <w:rPr>
          <w:szCs w:val="22"/>
        </w:rPr>
      </w:pPr>
      <w:r w:rsidRPr="003C53F6">
        <w:rPr>
          <w:szCs w:val="22"/>
        </w:rPr>
        <w:t xml:space="preserve">The efficacy of </w:t>
      </w:r>
      <w:proofErr w:type="spellStart"/>
      <w:r w:rsidRPr="003C53F6">
        <w:rPr>
          <w:szCs w:val="22"/>
        </w:rPr>
        <w:t>Truv</w:t>
      </w:r>
      <w:r w:rsidR="00D02034" w:rsidRPr="003C53F6">
        <w:rPr>
          <w:szCs w:val="22"/>
        </w:rPr>
        <w:t>ada</w:t>
      </w:r>
      <w:proofErr w:type="spellEnd"/>
      <w:r w:rsidR="00D02034" w:rsidRPr="003C53F6">
        <w:rPr>
          <w:szCs w:val="22"/>
        </w:rPr>
        <w:t xml:space="preserve"> in the economic evaluation wa</w:t>
      </w:r>
      <w:r w:rsidRPr="003C53F6">
        <w:rPr>
          <w:szCs w:val="22"/>
        </w:rPr>
        <w:t xml:space="preserve">s based on the outcomes from highly adherent subjects from the </w:t>
      </w:r>
      <w:proofErr w:type="spellStart"/>
      <w:r w:rsidRPr="003C53F6">
        <w:rPr>
          <w:szCs w:val="22"/>
        </w:rPr>
        <w:t>iPrEx</w:t>
      </w:r>
      <w:proofErr w:type="spellEnd"/>
      <w:r w:rsidRPr="003C53F6">
        <w:rPr>
          <w:szCs w:val="22"/>
        </w:rPr>
        <w:t xml:space="preserve"> trial and the Partners </w:t>
      </w:r>
      <w:proofErr w:type="spellStart"/>
      <w:r w:rsidRPr="003C53F6">
        <w:rPr>
          <w:szCs w:val="22"/>
        </w:rPr>
        <w:t>PrEP</w:t>
      </w:r>
      <w:proofErr w:type="spellEnd"/>
      <w:r w:rsidRPr="003C53F6">
        <w:rPr>
          <w:szCs w:val="22"/>
        </w:rPr>
        <w:t xml:space="preserve"> trial</w:t>
      </w:r>
      <w:r w:rsidR="00C5556D" w:rsidRPr="003C53F6">
        <w:rPr>
          <w:szCs w:val="22"/>
        </w:rPr>
        <w:t>, based on case-control analyses</w:t>
      </w:r>
      <w:r w:rsidRPr="003C53F6">
        <w:rPr>
          <w:szCs w:val="22"/>
        </w:rPr>
        <w:t xml:space="preserve">. </w:t>
      </w:r>
      <w:r w:rsidR="00382CC3" w:rsidRPr="003C53F6">
        <w:rPr>
          <w:szCs w:val="22"/>
        </w:rPr>
        <w:t>The</w:t>
      </w:r>
      <w:r w:rsidR="00C5556D" w:rsidRPr="003C53F6">
        <w:rPr>
          <w:szCs w:val="22"/>
        </w:rPr>
        <w:t xml:space="preserve"> results of these non-randomised analyses are potentially biased.</w:t>
      </w:r>
      <w:r w:rsidR="00D91BB4" w:rsidRPr="003C53F6">
        <w:t xml:space="preserve"> The ESC noted that for the </w:t>
      </w:r>
      <w:proofErr w:type="spellStart"/>
      <w:r w:rsidR="00D91BB4" w:rsidRPr="003C53F6">
        <w:rPr>
          <w:rStyle w:val="None"/>
          <w:iCs/>
        </w:rPr>
        <w:t>iPrEX</w:t>
      </w:r>
      <w:proofErr w:type="spellEnd"/>
      <w:r w:rsidR="00D91BB4" w:rsidRPr="003C53F6">
        <w:rPr>
          <w:rStyle w:val="None"/>
          <w:iCs/>
        </w:rPr>
        <w:t xml:space="preserve"> and Partners </w:t>
      </w:r>
      <w:proofErr w:type="spellStart"/>
      <w:r w:rsidR="00D91BB4" w:rsidRPr="003C53F6">
        <w:rPr>
          <w:rStyle w:val="None"/>
          <w:iCs/>
        </w:rPr>
        <w:t>PrEP</w:t>
      </w:r>
      <w:proofErr w:type="spellEnd"/>
      <w:r w:rsidR="00D91BB4" w:rsidRPr="003C53F6">
        <w:rPr>
          <w:rStyle w:val="None"/>
          <w:iCs/>
        </w:rPr>
        <w:t xml:space="preserve"> case control analyses, baseline characteristics were not presented for the cases and controls and hence the potential for bias could not be assessed. </w:t>
      </w:r>
      <w:r w:rsidR="00DC378E">
        <w:rPr>
          <w:rStyle w:val="None"/>
          <w:iCs/>
        </w:rPr>
        <w:t xml:space="preserve">It is possible that </w:t>
      </w:r>
      <w:r w:rsidR="003C1E22">
        <w:rPr>
          <w:rStyle w:val="None"/>
          <w:iCs/>
        </w:rPr>
        <w:t xml:space="preserve">individuals who were highly adherent to </w:t>
      </w:r>
      <w:proofErr w:type="spellStart"/>
      <w:r w:rsidR="003C1E22">
        <w:rPr>
          <w:rStyle w:val="None"/>
          <w:iCs/>
        </w:rPr>
        <w:t>PrEP</w:t>
      </w:r>
      <w:proofErr w:type="spellEnd"/>
      <w:r w:rsidR="003C1E22">
        <w:rPr>
          <w:rStyle w:val="None"/>
          <w:iCs/>
        </w:rPr>
        <w:t xml:space="preserve"> were also </w:t>
      </w:r>
      <w:r w:rsidR="00903C23">
        <w:rPr>
          <w:rStyle w:val="None"/>
          <w:iCs/>
        </w:rPr>
        <w:t>more</w:t>
      </w:r>
      <w:r w:rsidR="003C1E22">
        <w:rPr>
          <w:rStyle w:val="None"/>
          <w:iCs/>
        </w:rPr>
        <w:t xml:space="preserve"> </w:t>
      </w:r>
      <w:r w:rsidR="00903C23">
        <w:rPr>
          <w:rStyle w:val="None"/>
          <w:iCs/>
        </w:rPr>
        <w:t>adherent</w:t>
      </w:r>
      <w:r w:rsidR="003C1E22">
        <w:rPr>
          <w:rStyle w:val="None"/>
          <w:iCs/>
        </w:rPr>
        <w:t xml:space="preserve"> to </w:t>
      </w:r>
      <w:r w:rsidR="00903C23">
        <w:rPr>
          <w:rStyle w:val="None"/>
          <w:iCs/>
        </w:rPr>
        <w:t>safe sex</w:t>
      </w:r>
      <w:r w:rsidR="003C1E22">
        <w:rPr>
          <w:rStyle w:val="None"/>
          <w:iCs/>
        </w:rPr>
        <w:t xml:space="preserve"> </w:t>
      </w:r>
      <w:r w:rsidR="00903C23">
        <w:rPr>
          <w:rStyle w:val="None"/>
          <w:iCs/>
        </w:rPr>
        <w:t>recommendations</w:t>
      </w:r>
      <w:r w:rsidR="003C1E22">
        <w:rPr>
          <w:rStyle w:val="None"/>
          <w:iCs/>
        </w:rPr>
        <w:t xml:space="preserve"> put</w:t>
      </w:r>
      <w:r w:rsidR="00E50EB2">
        <w:rPr>
          <w:rStyle w:val="None"/>
          <w:iCs/>
        </w:rPr>
        <w:t>ting</w:t>
      </w:r>
      <w:r w:rsidR="003C1E22">
        <w:rPr>
          <w:rStyle w:val="None"/>
          <w:iCs/>
        </w:rPr>
        <w:t xml:space="preserve"> them at lower</w:t>
      </w:r>
      <w:r w:rsidR="00E50EB2">
        <w:rPr>
          <w:rStyle w:val="None"/>
          <w:iCs/>
        </w:rPr>
        <w:t xml:space="preserve"> baseline</w:t>
      </w:r>
      <w:r w:rsidR="003C1E22">
        <w:rPr>
          <w:rStyle w:val="None"/>
          <w:iCs/>
        </w:rPr>
        <w:t xml:space="preserve"> risk of infection than the broader study population</w:t>
      </w:r>
      <w:r w:rsidR="00E50EB2">
        <w:rPr>
          <w:rStyle w:val="None"/>
          <w:iCs/>
        </w:rPr>
        <w:t>;</w:t>
      </w:r>
      <w:r w:rsidR="003C1E22">
        <w:rPr>
          <w:rStyle w:val="None"/>
          <w:iCs/>
        </w:rPr>
        <w:t xml:space="preserve"> </w:t>
      </w:r>
      <w:r w:rsidR="00E50EB2">
        <w:rPr>
          <w:rStyle w:val="None"/>
          <w:iCs/>
        </w:rPr>
        <w:t>this would overestimate</w:t>
      </w:r>
      <w:r w:rsidR="003C1E22">
        <w:rPr>
          <w:rStyle w:val="None"/>
          <w:iCs/>
        </w:rPr>
        <w:t xml:space="preserve"> the </w:t>
      </w:r>
      <w:r w:rsidR="00903C23">
        <w:rPr>
          <w:rStyle w:val="None"/>
          <w:iCs/>
        </w:rPr>
        <w:t>benefit of adhe</w:t>
      </w:r>
      <w:r w:rsidR="003C1E22">
        <w:rPr>
          <w:rStyle w:val="None"/>
          <w:iCs/>
        </w:rPr>
        <w:t xml:space="preserve">rence to </w:t>
      </w:r>
      <w:proofErr w:type="spellStart"/>
      <w:proofErr w:type="gramStart"/>
      <w:r w:rsidR="003C1E22">
        <w:rPr>
          <w:rStyle w:val="None"/>
          <w:iCs/>
        </w:rPr>
        <w:t>PrEP</w:t>
      </w:r>
      <w:proofErr w:type="gramEnd"/>
      <w:r w:rsidR="00903C23">
        <w:rPr>
          <w:rStyle w:val="None"/>
          <w:iCs/>
        </w:rPr>
        <w:t>.</w:t>
      </w:r>
      <w:proofErr w:type="spellEnd"/>
      <w:r w:rsidR="003C1E22">
        <w:rPr>
          <w:rStyle w:val="None"/>
          <w:iCs/>
        </w:rPr>
        <w:t xml:space="preserve"> </w:t>
      </w:r>
      <w:r w:rsidR="00C5556D" w:rsidRPr="003C53F6">
        <w:rPr>
          <w:szCs w:val="22"/>
        </w:rPr>
        <w:t>Furthermore, s</w:t>
      </w:r>
      <w:r w:rsidRPr="003C53F6">
        <w:rPr>
          <w:szCs w:val="22"/>
        </w:rPr>
        <w:t>imilar analyses were performed with data from the FEM-</w:t>
      </w:r>
      <w:proofErr w:type="spellStart"/>
      <w:r w:rsidRPr="003C53F6">
        <w:rPr>
          <w:szCs w:val="22"/>
        </w:rPr>
        <w:t>PrEP</w:t>
      </w:r>
      <w:proofErr w:type="spellEnd"/>
      <w:r w:rsidRPr="003C53F6">
        <w:rPr>
          <w:szCs w:val="22"/>
        </w:rPr>
        <w:t xml:space="preserve"> trial and the VOICE trial, but these trials did not show efficacy of </w:t>
      </w:r>
      <w:proofErr w:type="spellStart"/>
      <w:r w:rsidRPr="003C53F6">
        <w:rPr>
          <w:szCs w:val="22"/>
        </w:rPr>
        <w:t>Truvada</w:t>
      </w:r>
      <w:proofErr w:type="spellEnd"/>
      <w:r w:rsidRPr="003C53F6">
        <w:rPr>
          <w:szCs w:val="22"/>
        </w:rPr>
        <w:t xml:space="preserve"> in the adherent subgroups. According to the submission this was due to the overall adherence being extremely low in these trials.</w:t>
      </w:r>
    </w:p>
    <w:p w:rsidR="00886719" w:rsidRPr="003C53F6" w:rsidRDefault="00886719" w:rsidP="00886719">
      <w:pPr>
        <w:widowControl/>
        <w:rPr>
          <w:szCs w:val="22"/>
        </w:rPr>
      </w:pPr>
    </w:p>
    <w:p w:rsidR="00F002D5" w:rsidRPr="003C53F6" w:rsidRDefault="00887A53" w:rsidP="002431F7">
      <w:pPr>
        <w:pStyle w:val="ListParagraph"/>
        <w:widowControl/>
        <w:numPr>
          <w:ilvl w:val="1"/>
          <w:numId w:val="2"/>
        </w:numPr>
        <w:rPr>
          <w:szCs w:val="22"/>
        </w:rPr>
      </w:pPr>
      <w:r w:rsidRPr="003C53F6">
        <w:t xml:space="preserve">The clinical trials had a median duration of ~2 years. Subjects in clinical practice are likely to use </w:t>
      </w:r>
      <w:proofErr w:type="spellStart"/>
      <w:r w:rsidRPr="003C53F6">
        <w:t>Truvada</w:t>
      </w:r>
      <w:proofErr w:type="spellEnd"/>
      <w:r w:rsidRPr="003C53F6">
        <w:t xml:space="preserve"> for longer periods of time (potentially indefinitely) and may stop and start treatment as their risk changes. There is insufficient information to evaluate the potential effect of </w:t>
      </w:r>
      <w:r w:rsidR="003B4444">
        <w:t xml:space="preserve">prolonged and intermittent use </w:t>
      </w:r>
      <w:r w:rsidRPr="003C53F6">
        <w:t xml:space="preserve">on the effectiveness of </w:t>
      </w:r>
      <w:proofErr w:type="spellStart"/>
      <w:r w:rsidRPr="003C53F6">
        <w:t>Truvada</w:t>
      </w:r>
      <w:proofErr w:type="spellEnd"/>
      <w:r w:rsidRPr="003C53F6">
        <w:t>. The economic evaluation assumed efficacy and adherence remained constant over time.</w:t>
      </w:r>
    </w:p>
    <w:p w:rsidR="00CC7305" w:rsidRPr="003C53F6" w:rsidRDefault="00CC7305" w:rsidP="00CC7305">
      <w:pPr>
        <w:pStyle w:val="ListParagraph"/>
        <w:rPr>
          <w:szCs w:val="22"/>
        </w:rPr>
      </w:pPr>
    </w:p>
    <w:p w:rsidR="00F002D5" w:rsidRPr="003C53F6" w:rsidRDefault="00CC7305" w:rsidP="002431F7">
      <w:pPr>
        <w:pStyle w:val="ListParagraph"/>
        <w:widowControl/>
        <w:numPr>
          <w:ilvl w:val="1"/>
          <w:numId w:val="2"/>
        </w:numPr>
        <w:rPr>
          <w:szCs w:val="22"/>
        </w:rPr>
      </w:pPr>
      <w:r w:rsidRPr="003C53F6">
        <w:t xml:space="preserve">The clinical trials were performed in a number of countries (excluding Australia). Average baseline HIV risk may differ between the clinical trials and the eligible Australian population. None of the countries in the studies had HIV prevalence as low as Australia. The </w:t>
      </w:r>
      <w:proofErr w:type="spellStart"/>
      <w:r w:rsidRPr="003C53F6">
        <w:t>seroconversion</w:t>
      </w:r>
      <w:proofErr w:type="spellEnd"/>
      <w:r w:rsidRPr="003C53F6">
        <w:t xml:space="preserve"> rates in the placebo arms of the trials ranged from 2% in the Partners </w:t>
      </w:r>
      <w:proofErr w:type="spellStart"/>
      <w:r w:rsidRPr="003C53F6">
        <w:t>PrEP</w:t>
      </w:r>
      <w:proofErr w:type="spellEnd"/>
      <w:r w:rsidRPr="003C53F6">
        <w:t xml:space="preserve"> trial to ~9% in the deferred arm of PROUD. </w:t>
      </w:r>
      <w:r w:rsidRPr="003C53F6">
        <w:rPr>
          <w:rStyle w:val="None"/>
          <w:iCs/>
        </w:rPr>
        <w:t xml:space="preserve">HIV prevalence </w:t>
      </w:r>
      <w:r w:rsidR="003B4444">
        <w:rPr>
          <w:rStyle w:val="None"/>
          <w:iCs/>
        </w:rPr>
        <w:t>among</w:t>
      </w:r>
      <w:r w:rsidR="003B4444" w:rsidRPr="003C53F6">
        <w:rPr>
          <w:rStyle w:val="None"/>
          <w:iCs/>
        </w:rPr>
        <w:t xml:space="preserve"> </w:t>
      </w:r>
      <w:r w:rsidRPr="003C53F6">
        <w:rPr>
          <w:rStyle w:val="None"/>
          <w:iCs/>
        </w:rPr>
        <w:t>Australia</w:t>
      </w:r>
      <w:r w:rsidR="003B4444">
        <w:rPr>
          <w:rStyle w:val="None"/>
          <w:iCs/>
        </w:rPr>
        <w:t>n MSM</w:t>
      </w:r>
      <w:r w:rsidRPr="003C53F6">
        <w:rPr>
          <w:rStyle w:val="None"/>
          <w:iCs/>
        </w:rPr>
        <w:t xml:space="preserve"> is </w:t>
      </w:r>
      <w:r w:rsidR="002F2170">
        <w:rPr>
          <w:rStyle w:val="None"/>
          <w:iCs/>
        </w:rPr>
        <w:t xml:space="preserve">approximately </w:t>
      </w:r>
      <w:r w:rsidR="003B4444">
        <w:rPr>
          <w:rStyle w:val="None"/>
          <w:iCs/>
        </w:rPr>
        <w:t>10</w:t>
      </w:r>
      <w:r w:rsidRPr="003C53F6">
        <w:rPr>
          <w:rStyle w:val="None"/>
          <w:iCs/>
        </w:rPr>
        <w:t>%</w:t>
      </w:r>
      <w:r w:rsidR="002F2170">
        <w:rPr>
          <w:rStyle w:val="FootnoteReference"/>
          <w:iCs/>
        </w:rPr>
        <w:footnoteReference w:id="1"/>
      </w:r>
      <w:proofErr w:type="gramStart"/>
      <w:r w:rsidRPr="003C53F6">
        <w:rPr>
          <w:rStyle w:val="None"/>
          <w:iCs/>
        </w:rPr>
        <w:t xml:space="preserve">.  </w:t>
      </w:r>
      <w:proofErr w:type="gramEnd"/>
      <w:r w:rsidRPr="003C53F6">
        <w:rPr>
          <w:rStyle w:val="None"/>
          <w:iCs/>
        </w:rPr>
        <w:t>Prevalence in proposed ‘high risk’ population is unknown, as this population is not clearly defined.</w:t>
      </w:r>
    </w:p>
    <w:p w:rsidR="001844FE" w:rsidRPr="003C53F6" w:rsidRDefault="001844FE" w:rsidP="001844FE">
      <w:pPr>
        <w:widowControl/>
        <w:rPr>
          <w:szCs w:val="22"/>
        </w:rPr>
      </w:pPr>
    </w:p>
    <w:p w:rsidR="00B60939" w:rsidRPr="003C53F6" w:rsidRDefault="00B60939" w:rsidP="00924E0A">
      <w:pPr>
        <w:pStyle w:val="Heading3"/>
      </w:pPr>
      <w:bookmarkStart w:id="9" w:name="_Toc451353161"/>
      <w:r w:rsidRPr="003C53F6">
        <w:t>Comparative harms</w:t>
      </w:r>
      <w:bookmarkEnd w:id="9"/>
    </w:p>
    <w:p w:rsidR="00B60939" w:rsidRPr="003C53F6" w:rsidRDefault="00B60939" w:rsidP="00B60939">
      <w:pPr>
        <w:ind w:left="720" w:hanging="720"/>
        <w:rPr>
          <w:szCs w:val="22"/>
        </w:rPr>
      </w:pPr>
    </w:p>
    <w:p w:rsidR="00887A53" w:rsidRPr="003C53F6" w:rsidRDefault="002544CF" w:rsidP="002431F7">
      <w:pPr>
        <w:pStyle w:val="ListParagraph"/>
        <w:widowControl/>
        <w:numPr>
          <w:ilvl w:val="1"/>
          <w:numId w:val="2"/>
        </w:numPr>
      </w:pPr>
      <w:r w:rsidRPr="003C53F6">
        <w:rPr>
          <w:szCs w:val="22"/>
        </w:rPr>
        <w:t xml:space="preserve">The use of </w:t>
      </w:r>
      <w:proofErr w:type="spellStart"/>
      <w:r w:rsidRPr="003C53F6">
        <w:rPr>
          <w:szCs w:val="22"/>
        </w:rPr>
        <w:t>Truvada</w:t>
      </w:r>
      <w:proofErr w:type="spellEnd"/>
      <w:r w:rsidRPr="003C53F6">
        <w:rPr>
          <w:szCs w:val="22"/>
        </w:rPr>
        <w:t xml:space="preserve"> appear</w:t>
      </w:r>
      <w:r w:rsidR="0021374E" w:rsidRPr="003C53F6">
        <w:rPr>
          <w:szCs w:val="22"/>
        </w:rPr>
        <w:t>ed</w:t>
      </w:r>
      <w:r w:rsidRPr="003C53F6">
        <w:rPr>
          <w:szCs w:val="22"/>
        </w:rPr>
        <w:t xml:space="preserve"> to be well tolerated across all included clinical trials, with comparable incidence of serious adverse events between </w:t>
      </w:r>
      <w:proofErr w:type="spellStart"/>
      <w:r w:rsidRPr="003C53F6">
        <w:rPr>
          <w:szCs w:val="22"/>
        </w:rPr>
        <w:t>Truvada</w:t>
      </w:r>
      <w:proofErr w:type="spellEnd"/>
      <w:r w:rsidRPr="003C53F6">
        <w:rPr>
          <w:szCs w:val="22"/>
        </w:rPr>
        <w:t xml:space="preserve"> and placebo groups.</w:t>
      </w:r>
      <w:r w:rsidR="005314E9" w:rsidRPr="003C53F6">
        <w:rPr>
          <w:szCs w:val="22"/>
        </w:rPr>
        <w:t xml:space="preserve"> Gastrointestinal adverse events (in particular nausea and vomiting) were </w:t>
      </w:r>
      <w:r w:rsidR="005314E9" w:rsidRPr="003C53F6">
        <w:rPr>
          <w:szCs w:val="22"/>
        </w:rPr>
        <w:lastRenderedPageBreak/>
        <w:t xml:space="preserve">more common in subjects receiving </w:t>
      </w:r>
      <w:proofErr w:type="spellStart"/>
      <w:r w:rsidR="005314E9" w:rsidRPr="003C53F6">
        <w:rPr>
          <w:szCs w:val="22"/>
        </w:rPr>
        <w:t>Truvada</w:t>
      </w:r>
      <w:proofErr w:type="spellEnd"/>
      <w:r w:rsidR="005314E9" w:rsidRPr="003C53F6">
        <w:rPr>
          <w:szCs w:val="22"/>
        </w:rPr>
        <w:t xml:space="preserve"> compared with placebo, but most events occurred in the first month and resolved with continued exposure. Long-</w:t>
      </w:r>
      <w:r w:rsidR="0021374E" w:rsidRPr="003C53F6">
        <w:rPr>
          <w:szCs w:val="22"/>
        </w:rPr>
        <w:t xml:space="preserve">term safety of </w:t>
      </w:r>
      <w:proofErr w:type="spellStart"/>
      <w:r w:rsidR="0021374E" w:rsidRPr="003C53F6">
        <w:rPr>
          <w:szCs w:val="22"/>
        </w:rPr>
        <w:t>Truvada</w:t>
      </w:r>
      <w:proofErr w:type="spellEnd"/>
      <w:r w:rsidR="0021374E" w:rsidRPr="003C53F6">
        <w:rPr>
          <w:szCs w:val="22"/>
        </w:rPr>
        <w:t xml:space="preserve"> as </w:t>
      </w:r>
      <w:proofErr w:type="spellStart"/>
      <w:r w:rsidR="0021374E" w:rsidRPr="003C53F6">
        <w:rPr>
          <w:szCs w:val="22"/>
        </w:rPr>
        <w:t>PrEP</w:t>
      </w:r>
      <w:proofErr w:type="spellEnd"/>
      <w:r w:rsidR="0021374E" w:rsidRPr="003C53F6">
        <w:rPr>
          <w:szCs w:val="22"/>
        </w:rPr>
        <w:t xml:space="preserve"> wa</w:t>
      </w:r>
      <w:r w:rsidR="005314E9" w:rsidRPr="003C53F6">
        <w:rPr>
          <w:szCs w:val="22"/>
        </w:rPr>
        <w:t>s unknown. Potential concerns include</w:t>
      </w:r>
      <w:r w:rsidR="0021374E" w:rsidRPr="003C53F6">
        <w:rPr>
          <w:szCs w:val="22"/>
        </w:rPr>
        <w:t>d</w:t>
      </w:r>
      <w:r w:rsidR="005314E9" w:rsidRPr="003C53F6">
        <w:rPr>
          <w:szCs w:val="22"/>
        </w:rPr>
        <w:t xml:space="preserve"> the long-term impact on bone loss and renal function. Furthermore, safety concerns may exist for subgroups that were not assessed separately (e.g. subjects with high adherence) and subgroups that were largely excluded from clinical trials (e.g. subjects with hepatitis B infection).</w:t>
      </w:r>
    </w:p>
    <w:p w:rsidR="00887A53" w:rsidRPr="003C53F6" w:rsidRDefault="00887A53" w:rsidP="00887A53">
      <w:pPr>
        <w:pStyle w:val="ListParagraph"/>
        <w:widowControl/>
      </w:pPr>
    </w:p>
    <w:p w:rsidR="00DB7DE5" w:rsidRPr="003C53F6" w:rsidRDefault="00887A53" w:rsidP="002431F7">
      <w:pPr>
        <w:pStyle w:val="ListParagraph"/>
        <w:widowControl/>
        <w:numPr>
          <w:ilvl w:val="1"/>
          <w:numId w:val="2"/>
        </w:numPr>
      </w:pPr>
      <w:r w:rsidRPr="003C53F6">
        <w:t xml:space="preserve">The use of </w:t>
      </w:r>
      <w:proofErr w:type="spellStart"/>
      <w:r w:rsidRPr="003C53F6">
        <w:t>Truvada</w:t>
      </w:r>
      <w:proofErr w:type="spellEnd"/>
      <w:r w:rsidRPr="003C53F6">
        <w:t xml:space="preserve"> may lead to </w:t>
      </w:r>
      <w:r w:rsidR="009B789C">
        <w:t xml:space="preserve">a de-prioritisation of other </w:t>
      </w:r>
      <w:r w:rsidR="00985725">
        <w:t>risk-mitigating</w:t>
      </w:r>
      <w:r w:rsidR="009B789C">
        <w:t xml:space="preserve"> practices</w:t>
      </w:r>
      <w:r w:rsidRPr="003C53F6">
        <w:t xml:space="preserve"> (e.g. </w:t>
      </w:r>
      <w:r w:rsidR="00985725">
        <w:t xml:space="preserve">increased </w:t>
      </w:r>
      <w:r w:rsidRPr="003C53F6">
        <w:t xml:space="preserve">unprotected anal sex with potentially infected partners). This was not considered in the model base case. </w:t>
      </w:r>
      <w:r w:rsidR="006842F7" w:rsidRPr="003C53F6">
        <w:t>The Product Information states that ‘</w:t>
      </w:r>
      <w:proofErr w:type="spellStart"/>
      <w:r w:rsidR="006842F7" w:rsidRPr="003C53F6">
        <w:t>Truvada</w:t>
      </w:r>
      <w:proofErr w:type="spellEnd"/>
      <w:r w:rsidR="006842F7" w:rsidRPr="003C53F6">
        <w:t xml:space="preserve"> should only be used for </w:t>
      </w:r>
      <w:proofErr w:type="spellStart"/>
      <w:r w:rsidR="006842F7" w:rsidRPr="003C53F6">
        <w:t>PrEP</w:t>
      </w:r>
      <w:proofErr w:type="spellEnd"/>
      <w:r w:rsidR="006842F7" w:rsidRPr="003C53F6">
        <w:t xml:space="preserve"> as part of a comprehensive prevention strategy including other HIV-1 prevention measures, because TRUVADA is not always effective in preventing the acquisition of HIV-1’. </w:t>
      </w:r>
      <w:r w:rsidRPr="003C53F6">
        <w:t xml:space="preserve">The </w:t>
      </w:r>
      <w:r w:rsidR="000B7B39">
        <w:t xml:space="preserve">TGA </w:t>
      </w:r>
      <w:r w:rsidRPr="003C53F6">
        <w:t xml:space="preserve">Delegate’s Overview expressed concern </w:t>
      </w:r>
      <w:r w:rsidR="00C51E55" w:rsidRPr="003C53F6">
        <w:t>about</w:t>
      </w:r>
      <w:r w:rsidRPr="003C53F6">
        <w:t xml:space="preserve"> </w:t>
      </w:r>
      <w:proofErr w:type="spellStart"/>
      <w:r w:rsidRPr="003C53F6">
        <w:t>Truvada</w:t>
      </w:r>
      <w:proofErr w:type="spellEnd"/>
      <w:r w:rsidRPr="003C53F6">
        <w:t xml:space="preserve"> being perceived as alternative to the use of condoms and since </w:t>
      </w:r>
      <w:proofErr w:type="spellStart"/>
      <w:r w:rsidRPr="003C53F6">
        <w:t>Truvada</w:t>
      </w:r>
      <w:proofErr w:type="spellEnd"/>
      <w:r w:rsidRPr="003C53F6">
        <w:t xml:space="preserve"> is not 100% effective, </w:t>
      </w:r>
      <w:r w:rsidR="002F2170">
        <w:t>decreased condom use</w:t>
      </w:r>
      <w:r w:rsidRPr="003C53F6">
        <w:t xml:space="preserve"> may increase the risk of acquiring HIV as well as other sexually transmitted infections. In the </w:t>
      </w:r>
      <w:proofErr w:type="spellStart"/>
      <w:r w:rsidRPr="003C53F6">
        <w:t>VicPrEP</w:t>
      </w:r>
      <w:proofErr w:type="spellEnd"/>
      <w:r w:rsidRPr="003C53F6">
        <w:t xml:space="preserve"> project, the proportion </w:t>
      </w:r>
      <w:r w:rsidR="001D053A" w:rsidRPr="003C53F6">
        <w:t>use of condom in</w:t>
      </w:r>
      <w:r w:rsidRPr="003C53F6">
        <w:t xml:space="preserve"> casual sex acts reduced</w:t>
      </w:r>
      <w:r w:rsidR="00A65CB3" w:rsidRPr="003C53F6">
        <w:t>.</w:t>
      </w:r>
      <w:r w:rsidRPr="003C53F6">
        <w:t xml:space="preserve"> </w:t>
      </w:r>
    </w:p>
    <w:p w:rsidR="00A65CB3" w:rsidRPr="003C53F6" w:rsidRDefault="00A65CB3" w:rsidP="00A65CB3">
      <w:pPr>
        <w:widowControl/>
      </w:pPr>
    </w:p>
    <w:p w:rsidR="005314E9" w:rsidRPr="003C53F6" w:rsidRDefault="00DB7DE5" w:rsidP="002431F7">
      <w:pPr>
        <w:pStyle w:val="ListParagraph"/>
        <w:widowControl/>
        <w:numPr>
          <w:ilvl w:val="1"/>
          <w:numId w:val="2"/>
        </w:numPr>
      </w:pPr>
      <w:r w:rsidRPr="003C53F6">
        <w:t xml:space="preserve">Low adherence to </w:t>
      </w:r>
      <w:proofErr w:type="spellStart"/>
      <w:r w:rsidRPr="003C53F6">
        <w:t>Truvada</w:t>
      </w:r>
      <w:proofErr w:type="spellEnd"/>
      <w:r w:rsidRPr="003C53F6">
        <w:t xml:space="preserve"> could lead to an increased level of resistance to this drug which forms the backbone of many ART regimens. The potential impact of drug resistance was not included in the economic evaluation. This may overestimate the benefits of </w:t>
      </w:r>
      <w:proofErr w:type="spellStart"/>
      <w:r w:rsidRPr="003C53F6">
        <w:t>Truvada</w:t>
      </w:r>
      <w:proofErr w:type="spellEnd"/>
      <w:r w:rsidRPr="003C53F6">
        <w:t>. Careful monitoring will be necessary to confirm if the frequency of emerging new resistances in reality will be as low as that documented in the clinical trials.</w:t>
      </w:r>
      <w:r w:rsidR="00B93BE1" w:rsidRPr="003C53F6">
        <w:t xml:space="preserve"> ESC noted that any resistance to </w:t>
      </w:r>
      <w:proofErr w:type="spellStart"/>
      <w:r w:rsidR="00B93BE1" w:rsidRPr="003C53F6">
        <w:t>Truvada</w:t>
      </w:r>
      <w:proofErr w:type="spellEnd"/>
      <w:r w:rsidR="00B93BE1" w:rsidRPr="003C53F6">
        <w:t xml:space="preserve"> could have implications not only for HIV treatment, but also for the treatment of Hepatitis B infection.</w:t>
      </w:r>
    </w:p>
    <w:p w:rsidR="001844FE" w:rsidRPr="003C53F6" w:rsidRDefault="001844FE" w:rsidP="00CD1E13">
      <w:pPr>
        <w:pStyle w:val="BodyText"/>
      </w:pPr>
      <w:bookmarkStart w:id="10" w:name="_Toc451353162"/>
    </w:p>
    <w:p w:rsidR="007F1017" w:rsidRPr="003C53F6" w:rsidRDefault="007F1017" w:rsidP="00924E0A">
      <w:pPr>
        <w:pStyle w:val="PBACHeading1"/>
      </w:pPr>
      <w:r w:rsidRPr="003C53F6">
        <w:t>Benefits/harms</w:t>
      </w:r>
      <w:bookmarkEnd w:id="10"/>
    </w:p>
    <w:p w:rsidR="007F1017" w:rsidRPr="003C53F6" w:rsidRDefault="007F1017" w:rsidP="007F1017">
      <w:pPr>
        <w:pStyle w:val="ListParagraph"/>
        <w:ind w:left="0"/>
        <w:rPr>
          <w:szCs w:val="22"/>
        </w:rPr>
      </w:pPr>
    </w:p>
    <w:p w:rsidR="00EC00C9" w:rsidRPr="003C53F6" w:rsidRDefault="00EC00C9" w:rsidP="002431F7">
      <w:pPr>
        <w:pStyle w:val="ListParagraph"/>
        <w:widowControl/>
        <w:numPr>
          <w:ilvl w:val="1"/>
          <w:numId w:val="2"/>
        </w:numPr>
        <w:rPr>
          <w:szCs w:val="22"/>
        </w:rPr>
      </w:pPr>
      <w:r w:rsidRPr="003C53F6">
        <w:rPr>
          <w:szCs w:val="22"/>
        </w:rPr>
        <w:t xml:space="preserve">A summary of the comparative benefits and harms for </w:t>
      </w:r>
      <w:proofErr w:type="spellStart"/>
      <w:r w:rsidR="00493443" w:rsidRPr="003C53F6">
        <w:rPr>
          <w:szCs w:val="22"/>
        </w:rPr>
        <w:t>Truvada</w:t>
      </w:r>
      <w:proofErr w:type="spellEnd"/>
      <w:r w:rsidR="00FE5781">
        <w:rPr>
          <w:szCs w:val="22"/>
        </w:rPr>
        <w:t xml:space="preserve"> in combination with </w:t>
      </w:r>
      <w:r w:rsidR="002D0AA3">
        <w:rPr>
          <w:szCs w:val="22"/>
        </w:rPr>
        <w:t>SOC (</w:t>
      </w:r>
      <w:proofErr w:type="spellStart"/>
      <w:r w:rsidR="000A4CD7">
        <w:rPr>
          <w:szCs w:val="22"/>
        </w:rPr>
        <w:t>eg</w:t>
      </w:r>
      <w:proofErr w:type="spellEnd"/>
      <w:r w:rsidR="000A4CD7">
        <w:rPr>
          <w:szCs w:val="22"/>
        </w:rPr>
        <w:t xml:space="preserve"> </w:t>
      </w:r>
      <w:r w:rsidR="00FE5781">
        <w:rPr>
          <w:szCs w:val="22"/>
        </w:rPr>
        <w:t>safer sex practices</w:t>
      </w:r>
      <w:r w:rsidR="002D0AA3">
        <w:rPr>
          <w:szCs w:val="22"/>
        </w:rPr>
        <w:t xml:space="preserve"> and regular HIV testing)</w:t>
      </w:r>
      <w:r w:rsidR="00FE5781">
        <w:rPr>
          <w:szCs w:val="22"/>
        </w:rPr>
        <w:t xml:space="preserve"> </w:t>
      </w:r>
      <w:r w:rsidRPr="003C53F6">
        <w:rPr>
          <w:szCs w:val="22"/>
        </w:rPr>
        <w:t xml:space="preserve">versus </w:t>
      </w:r>
      <w:r w:rsidR="00493443" w:rsidRPr="003C53F6">
        <w:rPr>
          <w:szCs w:val="22"/>
        </w:rPr>
        <w:t xml:space="preserve">SOC </w:t>
      </w:r>
      <w:r w:rsidRPr="003C53F6">
        <w:rPr>
          <w:szCs w:val="22"/>
        </w:rPr>
        <w:t>is presented in the table below.</w:t>
      </w:r>
      <w:r w:rsidR="00410708" w:rsidRPr="003C53F6">
        <w:rPr>
          <w:szCs w:val="22"/>
        </w:rPr>
        <w:t xml:space="preserve"> </w:t>
      </w:r>
    </w:p>
    <w:p w:rsidR="001844FE" w:rsidRPr="003C53F6" w:rsidRDefault="001844FE" w:rsidP="00552BD3">
      <w:pPr>
        <w:ind w:firstLine="720"/>
        <w:rPr>
          <w:rStyle w:val="CommentReference"/>
        </w:rPr>
      </w:pPr>
    </w:p>
    <w:p w:rsidR="00B62715" w:rsidRPr="003C53F6" w:rsidRDefault="00493443" w:rsidP="006A1932">
      <w:pPr>
        <w:keepNext/>
        <w:rPr>
          <w:rStyle w:val="CommentReference"/>
        </w:rPr>
      </w:pPr>
      <w:r w:rsidRPr="003C53F6">
        <w:rPr>
          <w:rStyle w:val="CommentReference"/>
        </w:rPr>
        <w:t xml:space="preserve">Table </w:t>
      </w:r>
      <w:r w:rsidR="00C51E55" w:rsidRPr="003C53F6">
        <w:rPr>
          <w:rStyle w:val="CommentReference"/>
        </w:rPr>
        <w:t>5</w:t>
      </w:r>
      <w:r w:rsidR="00B62715" w:rsidRPr="003C53F6">
        <w:rPr>
          <w:rStyle w:val="CommentReference"/>
        </w:rPr>
        <w:t xml:space="preserve">: Summary of comparative benefits and harms for </w:t>
      </w:r>
      <w:proofErr w:type="spellStart"/>
      <w:r w:rsidRPr="003C53F6">
        <w:rPr>
          <w:rStyle w:val="CommentReference"/>
        </w:rPr>
        <w:t>Truvada</w:t>
      </w:r>
      <w:proofErr w:type="spellEnd"/>
      <w:r w:rsidRPr="003C53F6">
        <w:rPr>
          <w:rStyle w:val="CommentReference"/>
        </w:rPr>
        <w:t xml:space="preserve"> + SOC</w:t>
      </w:r>
      <w:r w:rsidR="00B62715" w:rsidRPr="003C53F6">
        <w:rPr>
          <w:rStyle w:val="CommentReference"/>
        </w:rPr>
        <w:t xml:space="preserve"> and </w:t>
      </w:r>
      <w:r w:rsidRPr="003C53F6">
        <w:rPr>
          <w:rStyle w:val="CommentReference"/>
        </w:rPr>
        <w:t>SOC</w:t>
      </w:r>
    </w:p>
    <w:tbl>
      <w:tblPr>
        <w:tblStyle w:val="TableGrid"/>
        <w:tblW w:w="0" w:type="auto"/>
        <w:tblInd w:w="28" w:type="dxa"/>
        <w:tblCellMar>
          <w:left w:w="28" w:type="dxa"/>
          <w:right w:w="28" w:type="dxa"/>
        </w:tblCellMar>
        <w:tblLook w:val="04A0" w:firstRow="1" w:lastRow="0" w:firstColumn="1" w:lastColumn="0" w:noHBand="0" w:noVBand="1"/>
        <w:tblCaption w:val="Table 5: Summary of comparative benefits and harms for Truvada + SOC and SOC"/>
      </w:tblPr>
      <w:tblGrid>
        <w:gridCol w:w="2603"/>
        <w:gridCol w:w="1164"/>
        <w:gridCol w:w="937"/>
        <w:gridCol w:w="1193"/>
        <w:gridCol w:w="1269"/>
        <w:gridCol w:w="466"/>
        <w:gridCol w:w="1422"/>
      </w:tblGrid>
      <w:tr w:rsidR="00447E32" w:rsidRPr="003C53F6" w:rsidTr="00E629F8">
        <w:trPr>
          <w:trHeight w:val="150"/>
          <w:tblHeader/>
        </w:trPr>
        <w:tc>
          <w:tcPr>
            <w:tcW w:w="2602" w:type="dxa"/>
            <w:vMerge w:val="restart"/>
            <w:shd w:val="clear" w:color="auto" w:fill="auto"/>
            <w:vAlign w:val="center"/>
          </w:tcPr>
          <w:p w:rsidR="00B62715" w:rsidRPr="003C53F6" w:rsidRDefault="00B62715" w:rsidP="006A1932">
            <w:pPr>
              <w:keepNext/>
              <w:rPr>
                <w:rFonts w:ascii="Arial Narrow" w:hAnsi="Arial Narrow"/>
                <w:b/>
                <w:color w:val="000000"/>
                <w:sz w:val="20"/>
                <w:szCs w:val="18"/>
              </w:rPr>
            </w:pPr>
            <w:r w:rsidRPr="003C53F6">
              <w:rPr>
                <w:rFonts w:ascii="Arial Narrow" w:hAnsi="Arial Narrow"/>
                <w:b/>
                <w:color w:val="000000"/>
                <w:sz w:val="20"/>
                <w:szCs w:val="18"/>
              </w:rPr>
              <w:t>Trial</w:t>
            </w:r>
          </w:p>
        </w:tc>
        <w:tc>
          <w:tcPr>
            <w:tcW w:w="0" w:type="auto"/>
            <w:vMerge w:val="restart"/>
            <w:vAlign w:val="center"/>
          </w:tcPr>
          <w:p w:rsidR="00B62715" w:rsidRPr="003C53F6" w:rsidRDefault="00493443" w:rsidP="006A1932">
            <w:pPr>
              <w:keepNext/>
              <w:jc w:val="center"/>
              <w:rPr>
                <w:rFonts w:ascii="Arial Narrow" w:hAnsi="Arial Narrow"/>
                <w:b/>
                <w:color w:val="000000"/>
                <w:sz w:val="20"/>
                <w:szCs w:val="18"/>
              </w:rPr>
            </w:pPr>
            <w:proofErr w:type="spellStart"/>
            <w:r w:rsidRPr="003C53F6">
              <w:rPr>
                <w:rStyle w:val="CommentReference"/>
              </w:rPr>
              <w:t>Truvada</w:t>
            </w:r>
            <w:proofErr w:type="spellEnd"/>
            <w:r w:rsidRPr="003C53F6">
              <w:rPr>
                <w:rStyle w:val="CommentReference"/>
              </w:rPr>
              <w:t xml:space="preserve"> + SOC</w:t>
            </w:r>
          </w:p>
        </w:tc>
        <w:tc>
          <w:tcPr>
            <w:tcW w:w="0" w:type="auto"/>
            <w:vMerge w:val="restart"/>
            <w:vAlign w:val="center"/>
          </w:tcPr>
          <w:p w:rsidR="00B62715" w:rsidRPr="003C53F6" w:rsidRDefault="00493443" w:rsidP="006A1932">
            <w:pPr>
              <w:keepNext/>
              <w:jc w:val="center"/>
              <w:rPr>
                <w:rFonts w:ascii="Arial Narrow" w:hAnsi="Arial Narrow"/>
                <w:b/>
                <w:color w:val="000000"/>
                <w:sz w:val="20"/>
                <w:szCs w:val="18"/>
              </w:rPr>
            </w:pPr>
            <w:r w:rsidRPr="003C53F6">
              <w:rPr>
                <w:rFonts w:ascii="Arial Narrow" w:hAnsi="Arial Narrow"/>
                <w:b/>
                <w:color w:val="000000"/>
                <w:sz w:val="20"/>
                <w:szCs w:val="18"/>
              </w:rPr>
              <w:t>SOC</w:t>
            </w:r>
          </w:p>
        </w:tc>
        <w:tc>
          <w:tcPr>
            <w:tcW w:w="0" w:type="auto"/>
            <w:vMerge w:val="restart"/>
            <w:vAlign w:val="center"/>
          </w:tcPr>
          <w:p w:rsidR="00B62715" w:rsidRPr="003C53F6" w:rsidRDefault="00F7454C" w:rsidP="006A1932">
            <w:pPr>
              <w:keepNext/>
              <w:jc w:val="center"/>
              <w:rPr>
                <w:rFonts w:ascii="Arial Narrow" w:hAnsi="Arial Narrow"/>
                <w:b/>
                <w:color w:val="000000"/>
                <w:sz w:val="20"/>
                <w:szCs w:val="18"/>
              </w:rPr>
            </w:pPr>
            <w:r w:rsidRPr="003C53F6">
              <w:rPr>
                <w:rFonts w:ascii="Arial Narrow" w:hAnsi="Arial Narrow"/>
                <w:b/>
                <w:color w:val="000000"/>
                <w:sz w:val="20"/>
                <w:szCs w:val="18"/>
              </w:rPr>
              <w:t>R</w:t>
            </w:r>
            <w:r w:rsidR="00B62715" w:rsidRPr="003C53F6">
              <w:rPr>
                <w:rFonts w:ascii="Arial Narrow" w:hAnsi="Arial Narrow"/>
                <w:b/>
                <w:color w:val="000000"/>
                <w:sz w:val="20"/>
                <w:szCs w:val="18"/>
              </w:rPr>
              <w:t>RR</w:t>
            </w:r>
          </w:p>
          <w:p w:rsidR="00B62715" w:rsidRPr="003C53F6" w:rsidRDefault="00B62715" w:rsidP="006A1932">
            <w:pPr>
              <w:keepNext/>
              <w:jc w:val="center"/>
              <w:rPr>
                <w:rFonts w:ascii="Arial Narrow" w:hAnsi="Arial Narrow"/>
                <w:b/>
                <w:color w:val="000000"/>
                <w:sz w:val="20"/>
                <w:szCs w:val="18"/>
              </w:rPr>
            </w:pPr>
            <w:r w:rsidRPr="003C53F6">
              <w:rPr>
                <w:rFonts w:ascii="Arial Narrow" w:hAnsi="Arial Narrow"/>
                <w:b/>
                <w:color w:val="000000"/>
                <w:sz w:val="20"/>
                <w:szCs w:val="18"/>
              </w:rPr>
              <w:t>(95% CI)</w:t>
            </w:r>
          </w:p>
        </w:tc>
        <w:tc>
          <w:tcPr>
            <w:tcW w:w="0" w:type="auto"/>
            <w:gridSpan w:val="2"/>
            <w:vAlign w:val="center"/>
          </w:tcPr>
          <w:p w:rsidR="00B62715" w:rsidRPr="003C53F6" w:rsidRDefault="00FB2860" w:rsidP="006A1932">
            <w:pPr>
              <w:keepNext/>
              <w:jc w:val="center"/>
              <w:rPr>
                <w:rFonts w:ascii="Arial Narrow" w:hAnsi="Arial Narrow"/>
                <w:b/>
                <w:color w:val="000000"/>
                <w:sz w:val="20"/>
                <w:szCs w:val="18"/>
                <w:vertAlign w:val="superscript"/>
              </w:rPr>
            </w:pPr>
            <w:r w:rsidRPr="003C53F6">
              <w:rPr>
                <w:rFonts w:ascii="Arial Narrow" w:hAnsi="Arial Narrow"/>
                <w:b/>
                <w:color w:val="000000"/>
                <w:sz w:val="20"/>
                <w:szCs w:val="18"/>
              </w:rPr>
              <w:t xml:space="preserve">Event rate/100 </w:t>
            </w:r>
            <w:r w:rsidR="00447E32" w:rsidRPr="003C53F6">
              <w:rPr>
                <w:rFonts w:ascii="Arial Narrow" w:hAnsi="Arial Narrow"/>
                <w:b/>
                <w:color w:val="000000"/>
                <w:sz w:val="20"/>
                <w:szCs w:val="18"/>
              </w:rPr>
              <w:t>subjects</w:t>
            </w:r>
            <w:r w:rsidRPr="003C53F6">
              <w:rPr>
                <w:rFonts w:ascii="Arial Narrow" w:hAnsi="Arial Narrow"/>
                <w:b/>
                <w:color w:val="000000"/>
                <w:sz w:val="20"/>
                <w:szCs w:val="18"/>
                <w:vertAlign w:val="superscript"/>
              </w:rPr>
              <w:t>1</w:t>
            </w:r>
          </w:p>
        </w:tc>
        <w:tc>
          <w:tcPr>
            <w:tcW w:w="0" w:type="auto"/>
            <w:vMerge w:val="restart"/>
            <w:vAlign w:val="center"/>
          </w:tcPr>
          <w:p w:rsidR="004B324D" w:rsidRPr="003C53F6" w:rsidRDefault="004B324D" w:rsidP="006A1932">
            <w:pPr>
              <w:keepNext/>
              <w:jc w:val="center"/>
              <w:rPr>
                <w:rFonts w:ascii="Arial Narrow" w:hAnsi="Arial Narrow"/>
                <w:b/>
                <w:color w:val="000000"/>
                <w:sz w:val="20"/>
                <w:szCs w:val="18"/>
              </w:rPr>
            </w:pPr>
            <w:r w:rsidRPr="003C53F6">
              <w:rPr>
                <w:rFonts w:ascii="Arial Narrow" w:hAnsi="Arial Narrow"/>
                <w:b/>
                <w:color w:val="000000"/>
                <w:sz w:val="20"/>
                <w:szCs w:val="18"/>
              </w:rPr>
              <w:t>RD</w:t>
            </w:r>
          </w:p>
          <w:p w:rsidR="00B62715" w:rsidRPr="003C53F6" w:rsidRDefault="004B324D" w:rsidP="006A1932">
            <w:pPr>
              <w:keepNext/>
              <w:jc w:val="center"/>
              <w:rPr>
                <w:rFonts w:ascii="Arial Narrow" w:hAnsi="Arial Narrow"/>
                <w:b/>
                <w:color w:val="000000"/>
                <w:sz w:val="20"/>
                <w:szCs w:val="18"/>
              </w:rPr>
            </w:pPr>
            <w:r w:rsidRPr="003C53F6">
              <w:rPr>
                <w:rFonts w:ascii="Arial Narrow" w:hAnsi="Arial Narrow"/>
                <w:b/>
                <w:color w:val="000000"/>
                <w:sz w:val="20"/>
                <w:szCs w:val="18"/>
              </w:rPr>
              <w:t>(95% CI)</w:t>
            </w:r>
          </w:p>
        </w:tc>
      </w:tr>
      <w:tr w:rsidR="00447E32" w:rsidRPr="003C53F6" w:rsidTr="00E629F8">
        <w:trPr>
          <w:trHeight w:val="315"/>
          <w:tblHeader/>
        </w:trPr>
        <w:tc>
          <w:tcPr>
            <w:tcW w:w="2602" w:type="dxa"/>
            <w:vMerge/>
            <w:shd w:val="clear" w:color="auto" w:fill="auto"/>
            <w:vAlign w:val="center"/>
          </w:tcPr>
          <w:p w:rsidR="00DE0A34" w:rsidRPr="003C53F6" w:rsidRDefault="00DE0A34" w:rsidP="006A1932">
            <w:pPr>
              <w:keepNext/>
              <w:rPr>
                <w:rFonts w:ascii="Arial Narrow" w:hAnsi="Arial Narrow"/>
                <w:b/>
                <w:color w:val="000000"/>
                <w:sz w:val="20"/>
                <w:szCs w:val="18"/>
              </w:rPr>
            </w:pPr>
          </w:p>
        </w:tc>
        <w:tc>
          <w:tcPr>
            <w:tcW w:w="0" w:type="auto"/>
            <w:vMerge/>
            <w:vAlign w:val="center"/>
          </w:tcPr>
          <w:p w:rsidR="00DE0A34" w:rsidRPr="003C53F6" w:rsidRDefault="00DE0A34" w:rsidP="006A1932">
            <w:pPr>
              <w:keepNext/>
              <w:jc w:val="center"/>
              <w:rPr>
                <w:rFonts w:ascii="Arial Narrow" w:hAnsi="Arial Narrow"/>
                <w:b/>
                <w:color w:val="000000"/>
                <w:sz w:val="20"/>
                <w:szCs w:val="18"/>
              </w:rPr>
            </w:pPr>
          </w:p>
        </w:tc>
        <w:tc>
          <w:tcPr>
            <w:tcW w:w="0" w:type="auto"/>
            <w:vMerge/>
            <w:vAlign w:val="center"/>
          </w:tcPr>
          <w:p w:rsidR="00DE0A34" w:rsidRPr="003C53F6" w:rsidRDefault="00DE0A34" w:rsidP="006A1932">
            <w:pPr>
              <w:keepNext/>
              <w:jc w:val="center"/>
              <w:rPr>
                <w:rFonts w:ascii="Arial Narrow" w:hAnsi="Arial Narrow"/>
                <w:b/>
                <w:color w:val="000000"/>
                <w:sz w:val="20"/>
                <w:szCs w:val="18"/>
              </w:rPr>
            </w:pPr>
          </w:p>
        </w:tc>
        <w:tc>
          <w:tcPr>
            <w:tcW w:w="0" w:type="auto"/>
            <w:vMerge/>
            <w:vAlign w:val="center"/>
          </w:tcPr>
          <w:p w:rsidR="00DE0A34" w:rsidRPr="003C53F6" w:rsidRDefault="00DE0A34" w:rsidP="006A1932">
            <w:pPr>
              <w:keepNext/>
              <w:jc w:val="center"/>
              <w:rPr>
                <w:rFonts w:ascii="Arial Narrow" w:hAnsi="Arial Narrow"/>
                <w:b/>
                <w:color w:val="000000"/>
                <w:sz w:val="20"/>
                <w:szCs w:val="18"/>
              </w:rPr>
            </w:pPr>
          </w:p>
        </w:tc>
        <w:tc>
          <w:tcPr>
            <w:tcW w:w="0" w:type="auto"/>
            <w:vAlign w:val="center"/>
          </w:tcPr>
          <w:p w:rsidR="00DE0A34" w:rsidRPr="003C53F6" w:rsidRDefault="00DE0A34" w:rsidP="006A1932">
            <w:pPr>
              <w:keepNext/>
              <w:jc w:val="center"/>
              <w:rPr>
                <w:rFonts w:ascii="Arial Narrow" w:hAnsi="Arial Narrow"/>
                <w:b/>
                <w:color w:val="000000"/>
                <w:sz w:val="20"/>
                <w:szCs w:val="18"/>
              </w:rPr>
            </w:pPr>
            <w:proofErr w:type="spellStart"/>
            <w:r w:rsidRPr="003C53F6">
              <w:rPr>
                <w:rStyle w:val="CommentReference"/>
              </w:rPr>
              <w:t>Truvada</w:t>
            </w:r>
            <w:proofErr w:type="spellEnd"/>
            <w:r w:rsidRPr="003C53F6">
              <w:rPr>
                <w:rStyle w:val="CommentReference"/>
              </w:rPr>
              <w:t xml:space="preserve"> + SOC</w:t>
            </w:r>
          </w:p>
        </w:tc>
        <w:tc>
          <w:tcPr>
            <w:tcW w:w="0" w:type="auto"/>
            <w:vAlign w:val="center"/>
          </w:tcPr>
          <w:p w:rsidR="00DE0A34" w:rsidRPr="003C53F6" w:rsidRDefault="00DE0A34" w:rsidP="006A1932">
            <w:pPr>
              <w:keepNext/>
              <w:jc w:val="center"/>
              <w:rPr>
                <w:rFonts w:ascii="Arial Narrow" w:hAnsi="Arial Narrow"/>
                <w:b/>
                <w:color w:val="000000"/>
                <w:sz w:val="20"/>
                <w:szCs w:val="18"/>
              </w:rPr>
            </w:pPr>
            <w:r w:rsidRPr="003C53F6">
              <w:rPr>
                <w:rFonts w:ascii="Arial Narrow" w:hAnsi="Arial Narrow"/>
                <w:b/>
                <w:color w:val="000000"/>
                <w:sz w:val="20"/>
                <w:szCs w:val="18"/>
              </w:rPr>
              <w:t>SOC</w:t>
            </w:r>
          </w:p>
        </w:tc>
        <w:tc>
          <w:tcPr>
            <w:tcW w:w="0" w:type="auto"/>
            <w:vMerge/>
            <w:vAlign w:val="center"/>
          </w:tcPr>
          <w:p w:rsidR="00DE0A34" w:rsidRPr="003C53F6" w:rsidRDefault="00DE0A34" w:rsidP="006A1932">
            <w:pPr>
              <w:keepNext/>
              <w:jc w:val="center"/>
              <w:rPr>
                <w:rFonts w:ascii="Arial Narrow" w:hAnsi="Arial Narrow"/>
                <w:b/>
                <w:color w:val="000000"/>
                <w:sz w:val="20"/>
                <w:szCs w:val="18"/>
              </w:rPr>
            </w:pPr>
          </w:p>
        </w:tc>
      </w:tr>
      <w:tr w:rsidR="00B62715" w:rsidRPr="003C53F6" w:rsidTr="00E629F8">
        <w:tc>
          <w:tcPr>
            <w:tcW w:w="9054" w:type="dxa"/>
            <w:gridSpan w:val="7"/>
            <w:shd w:val="clear" w:color="auto" w:fill="auto"/>
            <w:vAlign w:val="center"/>
          </w:tcPr>
          <w:p w:rsidR="00B62715" w:rsidRPr="003C53F6" w:rsidRDefault="00B62715" w:rsidP="006A1932">
            <w:pPr>
              <w:keepNext/>
              <w:rPr>
                <w:rFonts w:ascii="Arial Narrow" w:hAnsi="Arial Narrow"/>
                <w:b/>
                <w:color w:val="000000"/>
                <w:sz w:val="20"/>
                <w:szCs w:val="18"/>
              </w:rPr>
            </w:pPr>
            <w:r w:rsidRPr="003C53F6">
              <w:rPr>
                <w:rFonts w:ascii="Arial Narrow" w:hAnsi="Arial Narrow"/>
                <w:b/>
                <w:color w:val="000000"/>
                <w:sz w:val="20"/>
                <w:szCs w:val="18"/>
              </w:rPr>
              <w:t>Benefits</w:t>
            </w:r>
          </w:p>
        </w:tc>
      </w:tr>
      <w:tr w:rsidR="00B62715" w:rsidRPr="003C53F6" w:rsidTr="00E629F8">
        <w:tc>
          <w:tcPr>
            <w:tcW w:w="9054" w:type="dxa"/>
            <w:gridSpan w:val="7"/>
            <w:shd w:val="clear" w:color="auto" w:fill="auto"/>
            <w:vAlign w:val="center"/>
          </w:tcPr>
          <w:p w:rsidR="00B62715" w:rsidRPr="003C53F6" w:rsidRDefault="001A49B5" w:rsidP="006A1932">
            <w:pPr>
              <w:keepNext/>
              <w:rPr>
                <w:rFonts w:ascii="Arial Narrow" w:hAnsi="Arial Narrow"/>
                <w:b/>
                <w:color w:val="000000"/>
                <w:sz w:val="20"/>
                <w:szCs w:val="18"/>
              </w:rPr>
            </w:pPr>
            <w:r w:rsidRPr="003C53F6">
              <w:rPr>
                <w:rFonts w:ascii="Arial Narrow" w:hAnsi="Arial Narrow"/>
                <w:b/>
                <w:color w:val="000000"/>
                <w:sz w:val="20"/>
                <w:szCs w:val="18"/>
              </w:rPr>
              <w:t xml:space="preserve">HIV </w:t>
            </w:r>
            <w:proofErr w:type="spellStart"/>
            <w:r w:rsidRPr="003C53F6">
              <w:rPr>
                <w:rFonts w:ascii="Arial Narrow" w:hAnsi="Arial Narrow"/>
                <w:b/>
                <w:color w:val="000000"/>
                <w:sz w:val="20"/>
                <w:szCs w:val="18"/>
              </w:rPr>
              <w:t>seroconversion</w:t>
            </w:r>
            <w:proofErr w:type="spellEnd"/>
          </w:p>
        </w:tc>
      </w:tr>
      <w:tr w:rsidR="00447E32" w:rsidRPr="003C53F6" w:rsidTr="00E629F8">
        <w:tc>
          <w:tcPr>
            <w:tcW w:w="2602" w:type="dxa"/>
            <w:shd w:val="clear" w:color="auto" w:fill="auto"/>
            <w:vAlign w:val="center"/>
          </w:tcPr>
          <w:p w:rsidR="005D50E6" w:rsidRPr="003C53F6" w:rsidRDefault="005D50E6" w:rsidP="006A1932">
            <w:pPr>
              <w:keepNext/>
              <w:rPr>
                <w:rFonts w:ascii="Arial Narrow" w:hAnsi="Arial Narrow"/>
                <w:color w:val="000000"/>
                <w:sz w:val="20"/>
                <w:szCs w:val="18"/>
              </w:rPr>
            </w:pPr>
            <w:proofErr w:type="spellStart"/>
            <w:r w:rsidRPr="003C53F6">
              <w:rPr>
                <w:rFonts w:ascii="Arial Narrow" w:hAnsi="Arial Narrow"/>
                <w:sz w:val="20"/>
              </w:rPr>
              <w:t>iPrEx</w:t>
            </w:r>
            <w:proofErr w:type="spellEnd"/>
          </w:p>
        </w:tc>
        <w:tc>
          <w:tcPr>
            <w:tcW w:w="0" w:type="auto"/>
            <w:vAlign w:val="center"/>
          </w:tcPr>
          <w:p w:rsidR="005D50E6" w:rsidRPr="003C53F6" w:rsidRDefault="005D50E6" w:rsidP="006A1932">
            <w:pPr>
              <w:keepNext/>
              <w:jc w:val="center"/>
              <w:rPr>
                <w:rFonts w:ascii="Arial Narrow" w:hAnsi="Arial Narrow"/>
                <w:color w:val="000000"/>
                <w:sz w:val="20"/>
                <w:szCs w:val="18"/>
              </w:rPr>
            </w:pPr>
            <w:r w:rsidRPr="003C53F6">
              <w:rPr>
                <w:rFonts w:ascii="Arial Narrow" w:hAnsi="Arial Narrow"/>
                <w:sz w:val="20"/>
              </w:rPr>
              <w:t>36/1,224</w:t>
            </w:r>
          </w:p>
        </w:tc>
        <w:tc>
          <w:tcPr>
            <w:tcW w:w="0" w:type="auto"/>
            <w:vAlign w:val="center"/>
          </w:tcPr>
          <w:p w:rsidR="005D50E6" w:rsidRPr="003C53F6" w:rsidRDefault="005D50E6" w:rsidP="006A1932">
            <w:pPr>
              <w:keepNext/>
              <w:jc w:val="center"/>
              <w:rPr>
                <w:rFonts w:ascii="Arial Narrow" w:hAnsi="Arial Narrow"/>
                <w:color w:val="000000"/>
                <w:sz w:val="20"/>
                <w:szCs w:val="18"/>
              </w:rPr>
            </w:pPr>
            <w:r w:rsidRPr="003C53F6">
              <w:rPr>
                <w:rFonts w:ascii="Arial Narrow" w:hAnsi="Arial Narrow"/>
                <w:sz w:val="20"/>
              </w:rPr>
              <w:t>64/1,217</w:t>
            </w:r>
          </w:p>
        </w:tc>
        <w:tc>
          <w:tcPr>
            <w:tcW w:w="0" w:type="auto"/>
            <w:vAlign w:val="center"/>
          </w:tcPr>
          <w:p w:rsidR="005D50E6" w:rsidRPr="003C53F6" w:rsidRDefault="00197219" w:rsidP="006A1932">
            <w:pPr>
              <w:keepNext/>
              <w:jc w:val="center"/>
              <w:rPr>
                <w:rFonts w:ascii="Arial Narrow" w:hAnsi="Arial Narrow"/>
                <w:sz w:val="20"/>
              </w:rPr>
            </w:pPr>
            <w:r w:rsidRPr="003C53F6">
              <w:rPr>
                <w:rFonts w:ascii="Arial Narrow" w:hAnsi="Arial Narrow"/>
                <w:sz w:val="20"/>
              </w:rPr>
              <w:t>0.</w:t>
            </w:r>
            <w:r w:rsidR="005D50E6" w:rsidRPr="003C53F6">
              <w:rPr>
                <w:rFonts w:ascii="Arial Narrow" w:hAnsi="Arial Narrow"/>
                <w:sz w:val="20"/>
              </w:rPr>
              <w:t xml:space="preserve">44 </w:t>
            </w:r>
          </w:p>
          <w:p w:rsidR="005D50E6" w:rsidRPr="003C53F6" w:rsidRDefault="005D50E6" w:rsidP="006A1932">
            <w:pPr>
              <w:keepNext/>
              <w:jc w:val="center"/>
              <w:rPr>
                <w:rFonts w:ascii="Arial Narrow" w:hAnsi="Arial Narrow"/>
                <w:color w:val="000000"/>
                <w:sz w:val="20"/>
                <w:szCs w:val="18"/>
              </w:rPr>
            </w:pPr>
            <w:r w:rsidRPr="003C53F6">
              <w:rPr>
                <w:rFonts w:ascii="Arial Narrow" w:hAnsi="Arial Narrow"/>
                <w:sz w:val="20"/>
              </w:rPr>
              <w:t>(</w:t>
            </w:r>
            <w:r w:rsidR="00197219" w:rsidRPr="003C53F6">
              <w:rPr>
                <w:rFonts w:ascii="Arial Narrow" w:hAnsi="Arial Narrow"/>
                <w:sz w:val="20"/>
              </w:rPr>
              <w:t>0.</w:t>
            </w:r>
            <w:r w:rsidRPr="003C53F6">
              <w:rPr>
                <w:rFonts w:ascii="Arial Narrow" w:hAnsi="Arial Narrow"/>
                <w:sz w:val="20"/>
              </w:rPr>
              <w:t xml:space="preserve">15, </w:t>
            </w:r>
            <w:r w:rsidR="00197219" w:rsidRPr="003C53F6">
              <w:rPr>
                <w:rFonts w:ascii="Arial Narrow" w:hAnsi="Arial Narrow"/>
                <w:sz w:val="20"/>
              </w:rPr>
              <w:t>0.</w:t>
            </w:r>
            <w:r w:rsidRPr="003C53F6">
              <w:rPr>
                <w:rFonts w:ascii="Arial Narrow" w:hAnsi="Arial Narrow"/>
                <w:sz w:val="20"/>
              </w:rPr>
              <w:t>63)</w:t>
            </w:r>
          </w:p>
        </w:tc>
        <w:tc>
          <w:tcPr>
            <w:tcW w:w="0" w:type="auto"/>
            <w:vAlign w:val="bottom"/>
          </w:tcPr>
          <w:p w:rsidR="005D50E6" w:rsidRPr="003C53F6" w:rsidRDefault="005D50E6" w:rsidP="006A1932">
            <w:pPr>
              <w:keepNext/>
              <w:jc w:val="center"/>
              <w:rPr>
                <w:rFonts w:ascii="Arial Narrow" w:hAnsi="Arial Narrow"/>
                <w:color w:val="000000"/>
                <w:sz w:val="20"/>
                <w:szCs w:val="18"/>
              </w:rPr>
            </w:pPr>
            <w:r w:rsidRPr="003C53F6">
              <w:rPr>
                <w:sz w:val="20"/>
              </w:rPr>
              <w:t>2.9</w:t>
            </w:r>
          </w:p>
        </w:tc>
        <w:tc>
          <w:tcPr>
            <w:tcW w:w="0" w:type="auto"/>
            <w:vAlign w:val="bottom"/>
          </w:tcPr>
          <w:p w:rsidR="005D50E6" w:rsidRPr="003C53F6" w:rsidRDefault="005D50E6" w:rsidP="006A1932">
            <w:pPr>
              <w:keepNext/>
              <w:jc w:val="center"/>
              <w:rPr>
                <w:rFonts w:ascii="Arial Narrow" w:hAnsi="Arial Narrow"/>
                <w:color w:val="000000"/>
                <w:sz w:val="20"/>
                <w:szCs w:val="18"/>
              </w:rPr>
            </w:pPr>
            <w:r w:rsidRPr="003C53F6">
              <w:rPr>
                <w:sz w:val="20"/>
              </w:rPr>
              <w:t>5.3</w:t>
            </w:r>
          </w:p>
        </w:tc>
        <w:tc>
          <w:tcPr>
            <w:tcW w:w="0" w:type="auto"/>
            <w:vAlign w:val="center"/>
          </w:tcPr>
          <w:p w:rsidR="005D50E6" w:rsidRPr="003C53F6" w:rsidRDefault="005D50E6" w:rsidP="006A1932">
            <w:pPr>
              <w:keepNext/>
              <w:jc w:val="center"/>
              <w:rPr>
                <w:rFonts w:ascii="Arial Narrow" w:hAnsi="Arial Narrow"/>
                <w:color w:val="000000"/>
                <w:sz w:val="20"/>
                <w:szCs w:val="18"/>
              </w:rPr>
            </w:pPr>
            <w:r w:rsidRPr="003C53F6">
              <w:rPr>
                <w:rFonts w:ascii="Arial Narrow" w:hAnsi="Arial Narrow"/>
                <w:color w:val="000000"/>
                <w:sz w:val="20"/>
                <w:szCs w:val="18"/>
              </w:rPr>
              <w:t>0.023 (0.007, 0.039)</w:t>
            </w:r>
          </w:p>
        </w:tc>
      </w:tr>
      <w:tr w:rsidR="00447E32" w:rsidRPr="003C53F6" w:rsidTr="00E629F8">
        <w:tc>
          <w:tcPr>
            <w:tcW w:w="2602" w:type="dxa"/>
            <w:shd w:val="clear" w:color="auto" w:fill="auto"/>
            <w:vAlign w:val="center"/>
          </w:tcPr>
          <w:p w:rsidR="005D50E6" w:rsidRPr="003C53F6" w:rsidRDefault="005D50E6" w:rsidP="00EC00C9">
            <w:pPr>
              <w:rPr>
                <w:rFonts w:ascii="Arial Narrow" w:hAnsi="Arial Narrow"/>
                <w:color w:val="000000"/>
                <w:sz w:val="20"/>
                <w:szCs w:val="18"/>
              </w:rPr>
            </w:pPr>
            <w:r w:rsidRPr="003C53F6">
              <w:rPr>
                <w:rFonts w:ascii="Arial Narrow" w:hAnsi="Arial Narrow"/>
                <w:sz w:val="20"/>
              </w:rPr>
              <w:t xml:space="preserve">Partners </w:t>
            </w:r>
            <w:proofErr w:type="spellStart"/>
            <w:r w:rsidRPr="003C53F6">
              <w:rPr>
                <w:rFonts w:ascii="Arial Narrow" w:hAnsi="Arial Narrow"/>
                <w:sz w:val="20"/>
              </w:rPr>
              <w:t>PrEP</w:t>
            </w:r>
            <w:proofErr w:type="spellEnd"/>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13/1,576</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52/1,578</w:t>
            </w:r>
          </w:p>
        </w:tc>
        <w:tc>
          <w:tcPr>
            <w:tcW w:w="0" w:type="auto"/>
            <w:vAlign w:val="center"/>
          </w:tcPr>
          <w:p w:rsidR="005D50E6" w:rsidRPr="003C53F6" w:rsidRDefault="00197219" w:rsidP="005D50E6">
            <w:pPr>
              <w:jc w:val="center"/>
              <w:rPr>
                <w:rFonts w:ascii="Arial Narrow" w:hAnsi="Arial Narrow"/>
                <w:sz w:val="20"/>
              </w:rPr>
            </w:pPr>
            <w:r w:rsidRPr="003C53F6">
              <w:rPr>
                <w:rFonts w:ascii="Arial Narrow" w:hAnsi="Arial Narrow"/>
                <w:sz w:val="20"/>
              </w:rPr>
              <w:t>0.</w:t>
            </w:r>
            <w:r w:rsidR="005D50E6" w:rsidRPr="003C53F6">
              <w:rPr>
                <w:rFonts w:ascii="Arial Narrow" w:hAnsi="Arial Narrow"/>
                <w:sz w:val="20"/>
              </w:rPr>
              <w:t xml:space="preserve">75 </w:t>
            </w:r>
          </w:p>
          <w:p w:rsidR="005D50E6" w:rsidRPr="003C53F6" w:rsidRDefault="005D50E6" w:rsidP="00197219">
            <w:pPr>
              <w:jc w:val="center"/>
              <w:rPr>
                <w:rFonts w:ascii="Arial Narrow" w:hAnsi="Arial Narrow"/>
                <w:color w:val="000000"/>
                <w:sz w:val="20"/>
                <w:szCs w:val="18"/>
              </w:rPr>
            </w:pPr>
            <w:r w:rsidRPr="003C53F6">
              <w:rPr>
                <w:rFonts w:ascii="Arial Narrow" w:hAnsi="Arial Narrow"/>
                <w:sz w:val="20"/>
              </w:rPr>
              <w:t>(</w:t>
            </w:r>
            <w:r w:rsidR="00197219" w:rsidRPr="003C53F6">
              <w:rPr>
                <w:rFonts w:ascii="Arial Narrow" w:hAnsi="Arial Narrow"/>
                <w:sz w:val="20"/>
              </w:rPr>
              <w:t>0.</w:t>
            </w:r>
            <w:r w:rsidRPr="003C53F6">
              <w:rPr>
                <w:rFonts w:ascii="Arial Narrow" w:hAnsi="Arial Narrow"/>
                <w:sz w:val="20"/>
              </w:rPr>
              <w:t xml:space="preserve">55, </w:t>
            </w:r>
            <w:r w:rsidR="00197219" w:rsidRPr="003C53F6">
              <w:rPr>
                <w:rFonts w:ascii="Arial Narrow" w:hAnsi="Arial Narrow"/>
                <w:sz w:val="20"/>
              </w:rPr>
              <w:t>0.</w:t>
            </w:r>
            <w:r w:rsidRPr="003C53F6">
              <w:rPr>
                <w:rFonts w:ascii="Arial Narrow" w:hAnsi="Arial Narrow"/>
                <w:sz w:val="20"/>
              </w:rPr>
              <w:t>87)</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0.8</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3.3</w:t>
            </w:r>
          </w:p>
        </w:tc>
        <w:tc>
          <w:tcPr>
            <w:tcW w:w="0" w:type="auto"/>
            <w:vAlign w:val="center"/>
          </w:tcPr>
          <w:p w:rsidR="005D50E6" w:rsidRPr="003C53F6" w:rsidRDefault="00535F04" w:rsidP="00EC00C9">
            <w:pPr>
              <w:jc w:val="center"/>
              <w:rPr>
                <w:rFonts w:ascii="Arial Narrow" w:hAnsi="Arial Narrow"/>
                <w:color w:val="000000"/>
                <w:sz w:val="20"/>
                <w:szCs w:val="18"/>
              </w:rPr>
            </w:pPr>
            <w:r w:rsidRPr="003C53F6">
              <w:rPr>
                <w:rFonts w:ascii="Arial Narrow" w:hAnsi="Arial Narrow"/>
                <w:color w:val="000000"/>
                <w:sz w:val="20"/>
                <w:szCs w:val="18"/>
              </w:rPr>
              <w:t>0.025 (0.015, 0.035)</w:t>
            </w:r>
          </w:p>
        </w:tc>
      </w:tr>
      <w:tr w:rsidR="00447E32" w:rsidRPr="003C53F6" w:rsidTr="00E629F8">
        <w:tc>
          <w:tcPr>
            <w:tcW w:w="2602" w:type="dxa"/>
            <w:shd w:val="clear" w:color="auto" w:fill="auto"/>
            <w:vAlign w:val="center"/>
          </w:tcPr>
          <w:p w:rsidR="005D50E6" w:rsidRPr="003C53F6" w:rsidRDefault="005D50E6" w:rsidP="00EC00C9">
            <w:pPr>
              <w:rPr>
                <w:rFonts w:ascii="Arial Narrow" w:hAnsi="Arial Narrow"/>
                <w:color w:val="000000"/>
                <w:sz w:val="20"/>
                <w:szCs w:val="18"/>
              </w:rPr>
            </w:pPr>
            <w:r w:rsidRPr="003C53F6">
              <w:rPr>
                <w:rFonts w:ascii="Arial Narrow" w:hAnsi="Arial Narrow"/>
                <w:sz w:val="20"/>
              </w:rPr>
              <w:t>TDF2</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9/610</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24/606</w:t>
            </w:r>
          </w:p>
        </w:tc>
        <w:tc>
          <w:tcPr>
            <w:tcW w:w="0" w:type="auto"/>
            <w:vAlign w:val="center"/>
          </w:tcPr>
          <w:p w:rsidR="005D50E6" w:rsidRPr="003C53F6" w:rsidRDefault="00197219" w:rsidP="005D50E6">
            <w:pPr>
              <w:jc w:val="center"/>
              <w:rPr>
                <w:rFonts w:ascii="Arial Narrow" w:hAnsi="Arial Narrow"/>
                <w:sz w:val="20"/>
              </w:rPr>
            </w:pPr>
            <w:r w:rsidRPr="003C53F6">
              <w:rPr>
                <w:rFonts w:ascii="Arial Narrow" w:hAnsi="Arial Narrow"/>
                <w:sz w:val="20"/>
              </w:rPr>
              <w:t>0.</w:t>
            </w:r>
            <w:r w:rsidR="005D50E6" w:rsidRPr="003C53F6">
              <w:rPr>
                <w:rFonts w:ascii="Arial Narrow" w:hAnsi="Arial Narrow"/>
                <w:sz w:val="20"/>
              </w:rPr>
              <w:t xml:space="preserve">62 </w:t>
            </w:r>
          </w:p>
          <w:p w:rsidR="005D50E6" w:rsidRPr="003C53F6" w:rsidRDefault="005D50E6" w:rsidP="00197219">
            <w:pPr>
              <w:jc w:val="center"/>
              <w:rPr>
                <w:rFonts w:ascii="Arial Narrow" w:hAnsi="Arial Narrow"/>
                <w:color w:val="000000"/>
                <w:sz w:val="20"/>
                <w:szCs w:val="18"/>
              </w:rPr>
            </w:pPr>
            <w:r w:rsidRPr="003C53F6">
              <w:rPr>
                <w:rFonts w:ascii="Arial Narrow" w:hAnsi="Arial Narrow"/>
                <w:sz w:val="20"/>
              </w:rPr>
              <w:t>(</w:t>
            </w:r>
            <w:r w:rsidR="00197219" w:rsidRPr="003C53F6">
              <w:rPr>
                <w:rFonts w:ascii="Arial Narrow" w:hAnsi="Arial Narrow"/>
                <w:sz w:val="20"/>
              </w:rPr>
              <w:t>0.</w:t>
            </w:r>
            <w:r w:rsidRPr="003C53F6">
              <w:rPr>
                <w:rFonts w:ascii="Arial Narrow" w:hAnsi="Arial Narrow"/>
                <w:sz w:val="20"/>
              </w:rPr>
              <w:t xml:space="preserve">22, </w:t>
            </w:r>
            <w:r w:rsidR="00197219" w:rsidRPr="003C53F6">
              <w:rPr>
                <w:rFonts w:ascii="Arial Narrow" w:hAnsi="Arial Narrow"/>
                <w:sz w:val="20"/>
              </w:rPr>
              <w:t>0.</w:t>
            </w:r>
            <w:r w:rsidRPr="003C53F6">
              <w:rPr>
                <w:rFonts w:ascii="Arial Narrow" w:hAnsi="Arial Narrow"/>
                <w:sz w:val="20"/>
              </w:rPr>
              <w:t>83)</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1.5</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4.0</w:t>
            </w:r>
          </w:p>
        </w:tc>
        <w:tc>
          <w:tcPr>
            <w:tcW w:w="0" w:type="auto"/>
            <w:vAlign w:val="center"/>
          </w:tcPr>
          <w:p w:rsidR="005D50E6" w:rsidRPr="003C53F6" w:rsidRDefault="00535F04" w:rsidP="00EC00C9">
            <w:pPr>
              <w:jc w:val="center"/>
              <w:rPr>
                <w:rFonts w:ascii="Arial Narrow" w:hAnsi="Arial Narrow"/>
                <w:color w:val="000000"/>
                <w:sz w:val="20"/>
                <w:szCs w:val="18"/>
              </w:rPr>
            </w:pPr>
            <w:r w:rsidRPr="003C53F6">
              <w:rPr>
                <w:rFonts w:ascii="Arial Narrow" w:hAnsi="Arial Narrow"/>
                <w:color w:val="000000"/>
                <w:sz w:val="20"/>
                <w:szCs w:val="18"/>
              </w:rPr>
              <w:t>0.025 (0.007, 0.045)</w:t>
            </w:r>
          </w:p>
        </w:tc>
      </w:tr>
      <w:tr w:rsidR="00447E32" w:rsidRPr="003C53F6" w:rsidTr="00E629F8">
        <w:tc>
          <w:tcPr>
            <w:tcW w:w="2602" w:type="dxa"/>
            <w:shd w:val="clear" w:color="auto" w:fill="auto"/>
            <w:vAlign w:val="center"/>
          </w:tcPr>
          <w:p w:rsidR="005D50E6" w:rsidRPr="003C53F6" w:rsidRDefault="005D50E6" w:rsidP="00EC00C9">
            <w:pPr>
              <w:rPr>
                <w:rFonts w:ascii="Arial Narrow" w:hAnsi="Arial Narrow"/>
                <w:color w:val="000000"/>
                <w:sz w:val="20"/>
                <w:szCs w:val="18"/>
              </w:rPr>
            </w:pPr>
            <w:r w:rsidRPr="003C53F6">
              <w:rPr>
                <w:rFonts w:ascii="Arial Narrow" w:hAnsi="Arial Narrow"/>
                <w:sz w:val="20"/>
              </w:rPr>
              <w:t>PROUD</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3/268</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20/255</w:t>
            </w:r>
          </w:p>
        </w:tc>
        <w:tc>
          <w:tcPr>
            <w:tcW w:w="0" w:type="auto"/>
            <w:vAlign w:val="center"/>
          </w:tcPr>
          <w:p w:rsidR="005D50E6" w:rsidRPr="003C53F6" w:rsidRDefault="00197219" w:rsidP="005D50E6">
            <w:pPr>
              <w:jc w:val="center"/>
              <w:rPr>
                <w:rFonts w:ascii="Arial Narrow" w:hAnsi="Arial Narrow"/>
                <w:sz w:val="20"/>
              </w:rPr>
            </w:pPr>
            <w:r w:rsidRPr="003C53F6">
              <w:rPr>
                <w:rFonts w:ascii="Arial Narrow" w:hAnsi="Arial Narrow"/>
                <w:sz w:val="20"/>
              </w:rPr>
              <w:t>0.</w:t>
            </w:r>
            <w:r w:rsidR="005D50E6" w:rsidRPr="003C53F6">
              <w:rPr>
                <w:rFonts w:ascii="Arial Narrow" w:hAnsi="Arial Narrow"/>
                <w:sz w:val="20"/>
              </w:rPr>
              <w:t>86</w:t>
            </w:r>
          </w:p>
          <w:p w:rsidR="005D50E6" w:rsidRPr="003C53F6" w:rsidRDefault="005D50E6" w:rsidP="00197219">
            <w:pPr>
              <w:jc w:val="center"/>
              <w:rPr>
                <w:rFonts w:ascii="Arial Narrow" w:hAnsi="Arial Narrow"/>
                <w:color w:val="000000"/>
                <w:sz w:val="20"/>
                <w:szCs w:val="18"/>
              </w:rPr>
            </w:pPr>
            <w:r w:rsidRPr="003C53F6">
              <w:rPr>
                <w:rFonts w:ascii="Arial Narrow" w:hAnsi="Arial Narrow"/>
                <w:sz w:val="20"/>
              </w:rPr>
              <w:t>(</w:t>
            </w:r>
            <w:r w:rsidR="00197219" w:rsidRPr="003C53F6">
              <w:rPr>
                <w:rFonts w:ascii="Arial Narrow" w:hAnsi="Arial Narrow"/>
                <w:sz w:val="20"/>
              </w:rPr>
              <w:t>0.</w:t>
            </w:r>
            <w:r w:rsidRPr="003C53F6">
              <w:rPr>
                <w:rFonts w:ascii="Arial Narrow" w:hAnsi="Arial Narrow"/>
                <w:sz w:val="20"/>
              </w:rPr>
              <w:t xml:space="preserve">64, </w:t>
            </w:r>
            <w:r w:rsidR="00197219" w:rsidRPr="003C53F6">
              <w:rPr>
                <w:rFonts w:ascii="Arial Narrow" w:hAnsi="Arial Narrow"/>
                <w:sz w:val="20"/>
              </w:rPr>
              <w:t>0.</w:t>
            </w:r>
            <w:r w:rsidRPr="003C53F6">
              <w:rPr>
                <w:rFonts w:ascii="Arial Narrow" w:hAnsi="Arial Narrow"/>
                <w:sz w:val="20"/>
              </w:rPr>
              <w:t>96)</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1.1</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7.8</w:t>
            </w:r>
          </w:p>
        </w:tc>
        <w:tc>
          <w:tcPr>
            <w:tcW w:w="0" w:type="auto"/>
            <w:vAlign w:val="center"/>
          </w:tcPr>
          <w:p w:rsidR="005D50E6" w:rsidRPr="003C53F6" w:rsidRDefault="00BB0958" w:rsidP="00EC00C9">
            <w:pPr>
              <w:jc w:val="center"/>
              <w:rPr>
                <w:rFonts w:ascii="Arial Narrow" w:hAnsi="Arial Narrow"/>
                <w:color w:val="000000"/>
                <w:sz w:val="20"/>
                <w:szCs w:val="18"/>
              </w:rPr>
            </w:pPr>
            <w:r w:rsidRPr="003C53F6">
              <w:rPr>
                <w:rFonts w:ascii="Arial Narrow" w:hAnsi="Arial Narrow"/>
                <w:color w:val="000000"/>
                <w:sz w:val="20"/>
                <w:szCs w:val="18"/>
              </w:rPr>
              <w:t>0.067 (0.033, 0.108)</w:t>
            </w:r>
          </w:p>
        </w:tc>
      </w:tr>
      <w:tr w:rsidR="00447E32" w:rsidRPr="003C53F6" w:rsidTr="00E629F8">
        <w:tc>
          <w:tcPr>
            <w:tcW w:w="2602" w:type="dxa"/>
            <w:shd w:val="clear" w:color="auto" w:fill="auto"/>
            <w:vAlign w:val="center"/>
          </w:tcPr>
          <w:p w:rsidR="005D50E6" w:rsidRPr="003C53F6" w:rsidRDefault="005D50E6" w:rsidP="00EC00C9">
            <w:pPr>
              <w:rPr>
                <w:rFonts w:ascii="Arial Narrow" w:hAnsi="Arial Narrow"/>
                <w:color w:val="000000"/>
                <w:sz w:val="20"/>
                <w:szCs w:val="18"/>
              </w:rPr>
            </w:pPr>
            <w:r w:rsidRPr="003C53F6">
              <w:rPr>
                <w:rFonts w:ascii="Arial Narrow" w:hAnsi="Arial Narrow"/>
                <w:sz w:val="20"/>
              </w:rPr>
              <w:t>FEM-</w:t>
            </w:r>
            <w:proofErr w:type="spellStart"/>
            <w:r w:rsidRPr="003C53F6">
              <w:rPr>
                <w:rFonts w:ascii="Arial Narrow" w:hAnsi="Arial Narrow"/>
                <w:sz w:val="20"/>
              </w:rPr>
              <w:t>PrEP</w:t>
            </w:r>
            <w:proofErr w:type="spellEnd"/>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33/1,024</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35/1,032</w:t>
            </w:r>
          </w:p>
        </w:tc>
        <w:tc>
          <w:tcPr>
            <w:tcW w:w="0" w:type="auto"/>
            <w:vAlign w:val="center"/>
          </w:tcPr>
          <w:p w:rsidR="005D50E6" w:rsidRPr="003C53F6" w:rsidRDefault="00197219" w:rsidP="00197219">
            <w:pPr>
              <w:jc w:val="center"/>
              <w:rPr>
                <w:rFonts w:ascii="Arial Narrow" w:hAnsi="Arial Narrow"/>
                <w:color w:val="000000"/>
                <w:sz w:val="20"/>
                <w:szCs w:val="18"/>
              </w:rPr>
            </w:pPr>
            <w:r w:rsidRPr="003C53F6">
              <w:rPr>
                <w:rFonts w:ascii="Arial Narrow" w:hAnsi="Arial Narrow"/>
                <w:sz w:val="20"/>
              </w:rPr>
              <w:t>0.0</w:t>
            </w:r>
            <w:r w:rsidR="005D50E6" w:rsidRPr="003C53F6">
              <w:rPr>
                <w:rFonts w:ascii="Arial Narrow" w:hAnsi="Arial Narrow"/>
                <w:sz w:val="20"/>
              </w:rPr>
              <w:t>6 (-</w:t>
            </w:r>
            <w:r w:rsidRPr="003C53F6">
              <w:rPr>
                <w:rFonts w:ascii="Arial Narrow" w:hAnsi="Arial Narrow"/>
                <w:sz w:val="20"/>
              </w:rPr>
              <w:t>0.</w:t>
            </w:r>
            <w:r w:rsidR="005D50E6" w:rsidRPr="003C53F6">
              <w:rPr>
                <w:rFonts w:ascii="Arial Narrow" w:hAnsi="Arial Narrow"/>
                <w:sz w:val="20"/>
              </w:rPr>
              <w:t xml:space="preserve">52, </w:t>
            </w:r>
            <w:r w:rsidRPr="003C53F6">
              <w:rPr>
                <w:rFonts w:ascii="Arial Narrow" w:hAnsi="Arial Narrow"/>
                <w:sz w:val="20"/>
              </w:rPr>
              <w:t>0.</w:t>
            </w:r>
            <w:r w:rsidR="005D50E6" w:rsidRPr="003C53F6">
              <w:rPr>
                <w:rFonts w:ascii="Arial Narrow" w:hAnsi="Arial Narrow"/>
                <w:sz w:val="20"/>
              </w:rPr>
              <w:t>41)</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3.2</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3.4</w:t>
            </w:r>
          </w:p>
        </w:tc>
        <w:tc>
          <w:tcPr>
            <w:tcW w:w="0" w:type="auto"/>
            <w:vAlign w:val="center"/>
          </w:tcPr>
          <w:p w:rsidR="005D50E6" w:rsidRPr="003C53F6" w:rsidRDefault="00BB0958" w:rsidP="00EC00C9">
            <w:pPr>
              <w:jc w:val="center"/>
              <w:rPr>
                <w:rFonts w:ascii="Arial Narrow" w:hAnsi="Arial Narrow"/>
                <w:color w:val="000000"/>
                <w:sz w:val="20"/>
                <w:szCs w:val="18"/>
              </w:rPr>
            </w:pPr>
            <w:r w:rsidRPr="003C53F6">
              <w:rPr>
                <w:rFonts w:ascii="Arial Narrow" w:hAnsi="Arial Narrow"/>
                <w:color w:val="000000"/>
                <w:sz w:val="20"/>
                <w:szCs w:val="18"/>
              </w:rPr>
              <w:t>0.002 (-0.014, 0.018)</w:t>
            </w:r>
          </w:p>
        </w:tc>
      </w:tr>
      <w:tr w:rsidR="00447E32" w:rsidRPr="003C53F6" w:rsidTr="00E629F8">
        <w:tc>
          <w:tcPr>
            <w:tcW w:w="2602" w:type="dxa"/>
            <w:shd w:val="clear" w:color="auto" w:fill="auto"/>
            <w:vAlign w:val="center"/>
          </w:tcPr>
          <w:p w:rsidR="005D50E6" w:rsidRPr="003C53F6" w:rsidRDefault="005D50E6" w:rsidP="00EC00C9">
            <w:pPr>
              <w:rPr>
                <w:rFonts w:ascii="Arial Narrow" w:hAnsi="Arial Narrow"/>
                <w:color w:val="000000"/>
                <w:sz w:val="20"/>
                <w:szCs w:val="18"/>
              </w:rPr>
            </w:pPr>
            <w:r w:rsidRPr="003C53F6">
              <w:rPr>
                <w:rFonts w:ascii="Arial Narrow" w:hAnsi="Arial Narrow"/>
                <w:sz w:val="20"/>
              </w:rPr>
              <w:t>VOICE</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61/994</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60/1,008</w:t>
            </w:r>
          </w:p>
        </w:tc>
        <w:tc>
          <w:tcPr>
            <w:tcW w:w="0" w:type="auto"/>
            <w:vAlign w:val="center"/>
          </w:tcPr>
          <w:p w:rsidR="005D50E6" w:rsidRPr="003C53F6" w:rsidRDefault="005D50E6" w:rsidP="00197219">
            <w:pPr>
              <w:jc w:val="center"/>
              <w:rPr>
                <w:rFonts w:ascii="Arial Narrow" w:hAnsi="Arial Narrow"/>
                <w:color w:val="000000"/>
                <w:sz w:val="20"/>
                <w:szCs w:val="18"/>
              </w:rPr>
            </w:pPr>
            <w:r w:rsidRPr="003C53F6">
              <w:rPr>
                <w:rFonts w:ascii="Arial Narrow" w:hAnsi="Arial Narrow"/>
                <w:sz w:val="20"/>
              </w:rPr>
              <w:t>-</w:t>
            </w:r>
            <w:r w:rsidR="00197219" w:rsidRPr="003C53F6">
              <w:rPr>
                <w:rFonts w:ascii="Arial Narrow" w:hAnsi="Arial Narrow"/>
                <w:sz w:val="20"/>
              </w:rPr>
              <w:t>0.0</w:t>
            </w:r>
            <w:r w:rsidRPr="003C53F6">
              <w:rPr>
                <w:rFonts w:ascii="Arial Narrow" w:hAnsi="Arial Narrow"/>
                <w:sz w:val="20"/>
              </w:rPr>
              <w:t>4 (-</w:t>
            </w:r>
            <w:r w:rsidR="00197219" w:rsidRPr="003C53F6">
              <w:rPr>
                <w:rFonts w:ascii="Arial Narrow" w:hAnsi="Arial Narrow"/>
                <w:sz w:val="20"/>
              </w:rPr>
              <w:t>0.</w:t>
            </w:r>
            <w:r w:rsidRPr="003C53F6">
              <w:rPr>
                <w:rFonts w:ascii="Arial Narrow" w:hAnsi="Arial Narrow"/>
                <w:sz w:val="20"/>
              </w:rPr>
              <w:t xml:space="preserve">49, </w:t>
            </w:r>
            <w:r w:rsidR="00197219" w:rsidRPr="003C53F6">
              <w:rPr>
                <w:rFonts w:ascii="Arial Narrow" w:hAnsi="Arial Narrow"/>
                <w:sz w:val="20"/>
              </w:rPr>
              <w:t>0.</w:t>
            </w:r>
            <w:r w:rsidRPr="003C53F6">
              <w:rPr>
                <w:rFonts w:ascii="Arial Narrow" w:hAnsi="Arial Narrow"/>
                <w:sz w:val="20"/>
              </w:rPr>
              <w:t>27)</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6.1</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6.0</w:t>
            </w:r>
          </w:p>
        </w:tc>
        <w:tc>
          <w:tcPr>
            <w:tcW w:w="0" w:type="auto"/>
            <w:vAlign w:val="center"/>
          </w:tcPr>
          <w:p w:rsidR="005D50E6" w:rsidRPr="003C53F6" w:rsidRDefault="00BB0958" w:rsidP="00EC00C9">
            <w:pPr>
              <w:jc w:val="center"/>
              <w:rPr>
                <w:rFonts w:ascii="Arial Narrow" w:hAnsi="Arial Narrow"/>
                <w:color w:val="000000"/>
                <w:sz w:val="20"/>
                <w:szCs w:val="18"/>
              </w:rPr>
            </w:pPr>
            <w:r w:rsidRPr="003C53F6">
              <w:rPr>
                <w:rFonts w:ascii="Arial Narrow" w:hAnsi="Arial Narrow"/>
                <w:color w:val="000000"/>
                <w:sz w:val="20"/>
                <w:szCs w:val="18"/>
              </w:rPr>
              <w:t>-0.002 (-0.023, 0.019)</w:t>
            </w:r>
          </w:p>
        </w:tc>
      </w:tr>
      <w:tr w:rsidR="00447E32" w:rsidRPr="003C53F6" w:rsidTr="00E629F8">
        <w:tc>
          <w:tcPr>
            <w:tcW w:w="2602" w:type="dxa"/>
            <w:shd w:val="clear" w:color="auto" w:fill="auto"/>
          </w:tcPr>
          <w:p w:rsidR="005D50E6" w:rsidRPr="003C53F6" w:rsidRDefault="005D50E6" w:rsidP="001A49B5">
            <w:pPr>
              <w:rPr>
                <w:rFonts w:ascii="Arial Narrow" w:hAnsi="Arial Narrow"/>
                <w:color w:val="000000"/>
                <w:sz w:val="20"/>
                <w:szCs w:val="18"/>
                <w:vertAlign w:val="superscript"/>
              </w:rPr>
            </w:pPr>
            <w:r w:rsidRPr="003C53F6">
              <w:rPr>
                <w:rFonts w:ascii="Arial Narrow" w:hAnsi="Arial Narrow"/>
                <w:sz w:val="20"/>
              </w:rPr>
              <w:t>Meta-analysis</w:t>
            </w:r>
            <w:r w:rsidR="00F51A30" w:rsidRPr="003C53F6">
              <w:rPr>
                <w:rFonts w:ascii="Arial Narrow" w:hAnsi="Arial Narrow"/>
                <w:sz w:val="20"/>
              </w:rPr>
              <w:t xml:space="preserve"> (all of the above)</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255/5,696</w:t>
            </w:r>
          </w:p>
        </w:tc>
        <w:tc>
          <w:tcPr>
            <w:tcW w:w="0" w:type="auto"/>
            <w:vAlign w:val="center"/>
          </w:tcPr>
          <w:p w:rsidR="005D50E6" w:rsidRPr="003C53F6" w:rsidRDefault="005D50E6" w:rsidP="00EC00C9">
            <w:pPr>
              <w:jc w:val="center"/>
              <w:rPr>
                <w:rFonts w:ascii="Arial Narrow" w:hAnsi="Arial Narrow"/>
                <w:color w:val="000000"/>
                <w:sz w:val="20"/>
                <w:szCs w:val="18"/>
              </w:rPr>
            </w:pPr>
            <w:r w:rsidRPr="003C53F6">
              <w:rPr>
                <w:rFonts w:ascii="Arial Narrow" w:hAnsi="Arial Narrow"/>
                <w:sz w:val="20"/>
              </w:rPr>
              <w:t>155/5,696</w:t>
            </w:r>
          </w:p>
        </w:tc>
        <w:tc>
          <w:tcPr>
            <w:tcW w:w="0" w:type="auto"/>
            <w:vAlign w:val="center"/>
          </w:tcPr>
          <w:p w:rsidR="005D50E6" w:rsidRPr="003C53F6" w:rsidRDefault="00197219" w:rsidP="00197219">
            <w:pPr>
              <w:jc w:val="center"/>
              <w:rPr>
                <w:rFonts w:ascii="Arial Narrow" w:hAnsi="Arial Narrow"/>
                <w:color w:val="000000"/>
                <w:sz w:val="20"/>
                <w:szCs w:val="18"/>
              </w:rPr>
            </w:pPr>
            <w:r w:rsidRPr="003C53F6">
              <w:rPr>
                <w:rFonts w:ascii="Arial Narrow" w:hAnsi="Arial Narrow"/>
                <w:sz w:val="20"/>
              </w:rPr>
              <w:t>0.</w:t>
            </w:r>
            <w:r w:rsidR="005D50E6" w:rsidRPr="003C53F6">
              <w:rPr>
                <w:rFonts w:ascii="Arial Narrow" w:hAnsi="Arial Narrow"/>
                <w:sz w:val="20"/>
              </w:rPr>
              <w:t>50 (</w:t>
            </w:r>
            <w:r w:rsidRPr="003C53F6">
              <w:rPr>
                <w:rFonts w:ascii="Arial Narrow" w:hAnsi="Arial Narrow"/>
                <w:sz w:val="20"/>
              </w:rPr>
              <w:t>0.</w:t>
            </w:r>
            <w:r w:rsidR="005D50E6" w:rsidRPr="003C53F6">
              <w:rPr>
                <w:rFonts w:ascii="Arial Narrow" w:hAnsi="Arial Narrow"/>
                <w:sz w:val="20"/>
              </w:rPr>
              <w:t xml:space="preserve">16, </w:t>
            </w:r>
            <w:r w:rsidRPr="003C53F6">
              <w:rPr>
                <w:rFonts w:ascii="Arial Narrow" w:hAnsi="Arial Narrow"/>
                <w:sz w:val="20"/>
              </w:rPr>
              <w:lastRenderedPageBreak/>
              <w:t>0.</w:t>
            </w:r>
            <w:r w:rsidR="005D50E6" w:rsidRPr="003C53F6">
              <w:rPr>
                <w:rFonts w:ascii="Arial Narrow" w:hAnsi="Arial Narrow"/>
                <w:sz w:val="20"/>
              </w:rPr>
              <w:t>70)</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lastRenderedPageBreak/>
              <w:t>4.5</w:t>
            </w:r>
          </w:p>
        </w:tc>
        <w:tc>
          <w:tcPr>
            <w:tcW w:w="0" w:type="auto"/>
            <w:vAlign w:val="bottom"/>
          </w:tcPr>
          <w:p w:rsidR="005D50E6" w:rsidRPr="003C53F6" w:rsidRDefault="005D50E6" w:rsidP="00EC00C9">
            <w:pPr>
              <w:jc w:val="center"/>
              <w:rPr>
                <w:rFonts w:ascii="Arial Narrow" w:hAnsi="Arial Narrow"/>
                <w:color w:val="000000"/>
                <w:sz w:val="20"/>
                <w:szCs w:val="18"/>
              </w:rPr>
            </w:pPr>
            <w:r w:rsidRPr="003C53F6">
              <w:rPr>
                <w:sz w:val="20"/>
              </w:rPr>
              <w:t>2.7</w:t>
            </w:r>
          </w:p>
        </w:tc>
        <w:tc>
          <w:tcPr>
            <w:tcW w:w="0" w:type="auto"/>
            <w:vAlign w:val="center"/>
          </w:tcPr>
          <w:p w:rsidR="005D50E6" w:rsidRPr="003C53F6" w:rsidRDefault="00BB0958" w:rsidP="00EC00C9">
            <w:pPr>
              <w:jc w:val="center"/>
              <w:rPr>
                <w:rFonts w:ascii="Arial Narrow" w:hAnsi="Arial Narrow"/>
                <w:color w:val="000000"/>
                <w:sz w:val="20"/>
                <w:szCs w:val="18"/>
              </w:rPr>
            </w:pPr>
            <w:r w:rsidRPr="003C53F6">
              <w:rPr>
                <w:rFonts w:ascii="Arial Narrow" w:hAnsi="Arial Narrow"/>
                <w:color w:val="000000"/>
                <w:sz w:val="20"/>
                <w:szCs w:val="18"/>
              </w:rPr>
              <w:t>-0.018 (-0.024, -</w:t>
            </w:r>
            <w:r w:rsidRPr="003C53F6">
              <w:rPr>
                <w:rFonts w:ascii="Arial Narrow" w:hAnsi="Arial Narrow"/>
                <w:color w:val="000000"/>
                <w:sz w:val="20"/>
                <w:szCs w:val="18"/>
              </w:rPr>
              <w:lastRenderedPageBreak/>
              <w:t>0.011)</w:t>
            </w:r>
          </w:p>
        </w:tc>
      </w:tr>
      <w:tr w:rsidR="00B62715" w:rsidRPr="003C53F6" w:rsidTr="00E629F8">
        <w:tc>
          <w:tcPr>
            <w:tcW w:w="9054" w:type="dxa"/>
            <w:gridSpan w:val="7"/>
            <w:tcBorders>
              <w:top w:val="double" w:sz="4" w:space="0" w:color="auto"/>
            </w:tcBorders>
            <w:shd w:val="clear" w:color="auto" w:fill="auto"/>
            <w:vAlign w:val="center"/>
          </w:tcPr>
          <w:p w:rsidR="00B62715" w:rsidRPr="003C53F6" w:rsidRDefault="00B62715" w:rsidP="00EC00C9">
            <w:pPr>
              <w:rPr>
                <w:rFonts w:ascii="Arial Narrow" w:hAnsi="Arial Narrow"/>
                <w:b/>
                <w:color w:val="000000"/>
                <w:sz w:val="20"/>
                <w:szCs w:val="18"/>
              </w:rPr>
            </w:pPr>
            <w:r w:rsidRPr="003C53F6">
              <w:rPr>
                <w:rFonts w:ascii="Arial Narrow" w:hAnsi="Arial Narrow"/>
                <w:b/>
                <w:color w:val="000000"/>
                <w:sz w:val="20"/>
                <w:szCs w:val="18"/>
              </w:rPr>
              <w:lastRenderedPageBreak/>
              <w:t xml:space="preserve">Harms </w:t>
            </w:r>
          </w:p>
        </w:tc>
      </w:tr>
      <w:tr w:rsidR="00447E32" w:rsidRPr="003C53F6" w:rsidTr="00E629F8">
        <w:trPr>
          <w:trHeight w:val="70"/>
        </w:trPr>
        <w:tc>
          <w:tcPr>
            <w:tcW w:w="2602" w:type="dxa"/>
            <w:vMerge w:val="restart"/>
            <w:shd w:val="clear" w:color="auto" w:fill="auto"/>
            <w:vAlign w:val="center"/>
          </w:tcPr>
          <w:p w:rsidR="00DE0A34" w:rsidRPr="003C53F6" w:rsidRDefault="00DE0A34" w:rsidP="00EC00C9">
            <w:pPr>
              <w:rPr>
                <w:rFonts w:ascii="Arial Narrow" w:hAnsi="Arial Narrow"/>
                <w:b/>
                <w:color w:val="000000"/>
                <w:sz w:val="20"/>
                <w:szCs w:val="18"/>
              </w:rPr>
            </w:pPr>
          </w:p>
        </w:tc>
        <w:tc>
          <w:tcPr>
            <w:tcW w:w="0" w:type="auto"/>
            <w:vMerge w:val="restart"/>
            <w:vAlign w:val="center"/>
          </w:tcPr>
          <w:p w:rsidR="00DE0A34" w:rsidRPr="003C53F6" w:rsidRDefault="00DE0A34" w:rsidP="00EC00C9">
            <w:pPr>
              <w:jc w:val="center"/>
              <w:rPr>
                <w:rFonts w:ascii="Arial Narrow" w:hAnsi="Arial Narrow"/>
                <w:b/>
                <w:color w:val="000000"/>
                <w:sz w:val="20"/>
                <w:szCs w:val="18"/>
              </w:rPr>
            </w:pPr>
            <w:proofErr w:type="spellStart"/>
            <w:r w:rsidRPr="003C53F6">
              <w:rPr>
                <w:rStyle w:val="CommentReference"/>
              </w:rPr>
              <w:t>Truvada</w:t>
            </w:r>
            <w:proofErr w:type="spellEnd"/>
            <w:r w:rsidRPr="003C53F6">
              <w:rPr>
                <w:rStyle w:val="CommentReference"/>
              </w:rPr>
              <w:t xml:space="preserve"> + SOC</w:t>
            </w:r>
          </w:p>
        </w:tc>
        <w:tc>
          <w:tcPr>
            <w:tcW w:w="0" w:type="auto"/>
            <w:vMerge w:val="restart"/>
            <w:vAlign w:val="center"/>
          </w:tcPr>
          <w:p w:rsidR="00DE0A34" w:rsidRPr="003C53F6" w:rsidRDefault="00DE0A34" w:rsidP="00EC00C9">
            <w:pPr>
              <w:jc w:val="center"/>
              <w:rPr>
                <w:rFonts w:ascii="Arial Narrow" w:hAnsi="Arial Narrow"/>
                <w:b/>
                <w:color w:val="000000"/>
                <w:sz w:val="20"/>
                <w:szCs w:val="18"/>
              </w:rPr>
            </w:pPr>
            <w:r w:rsidRPr="003C53F6">
              <w:rPr>
                <w:rFonts w:ascii="Arial Narrow" w:hAnsi="Arial Narrow"/>
                <w:b/>
                <w:color w:val="000000"/>
                <w:sz w:val="20"/>
                <w:szCs w:val="18"/>
              </w:rPr>
              <w:t>SOC</w:t>
            </w:r>
          </w:p>
        </w:tc>
        <w:tc>
          <w:tcPr>
            <w:tcW w:w="0" w:type="auto"/>
            <w:vMerge w:val="restart"/>
            <w:vAlign w:val="center"/>
          </w:tcPr>
          <w:p w:rsidR="00DE0A34" w:rsidRPr="003C53F6" w:rsidRDefault="00DE0A34" w:rsidP="00EC00C9">
            <w:pPr>
              <w:jc w:val="center"/>
              <w:rPr>
                <w:rFonts w:ascii="Arial Narrow" w:hAnsi="Arial Narrow"/>
                <w:b/>
                <w:color w:val="000000"/>
                <w:sz w:val="20"/>
                <w:szCs w:val="18"/>
              </w:rPr>
            </w:pPr>
            <w:r w:rsidRPr="003C53F6">
              <w:rPr>
                <w:rFonts w:ascii="Arial Narrow" w:hAnsi="Arial Narrow"/>
                <w:b/>
                <w:color w:val="000000"/>
                <w:sz w:val="20"/>
                <w:szCs w:val="18"/>
              </w:rPr>
              <w:t>RR</w:t>
            </w:r>
            <w:r w:rsidR="00F51A30" w:rsidRPr="003C53F6">
              <w:rPr>
                <w:rFonts w:ascii="Arial Narrow" w:hAnsi="Arial Narrow"/>
                <w:b/>
                <w:color w:val="000000"/>
                <w:sz w:val="20"/>
                <w:szCs w:val="18"/>
              </w:rPr>
              <w:t>R</w:t>
            </w:r>
          </w:p>
          <w:p w:rsidR="00DE0A34" w:rsidRPr="003C53F6" w:rsidRDefault="00DE0A34" w:rsidP="00EC00C9">
            <w:pPr>
              <w:jc w:val="center"/>
              <w:rPr>
                <w:rFonts w:ascii="Arial Narrow" w:hAnsi="Arial Narrow"/>
                <w:b/>
                <w:color w:val="000000"/>
                <w:sz w:val="20"/>
                <w:szCs w:val="18"/>
              </w:rPr>
            </w:pPr>
            <w:r w:rsidRPr="003C53F6">
              <w:rPr>
                <w:rFonts w:ascii="Arial Narrow" w:hAnsi="Arial Narrow"/>
                <w:b/>
                <w:color w:val="000000"/>
                <w:sz w:val="20"/>
                <w:szCs w:val="18"/>
              </w:rPr>
              <w:t>(95% CI)</w:t>
            </w:r>
          </w:p>
        </w:tc>
        <w:tc>
          <w:tcPr>
            <w:tcW w:w="0" w:type="auto"/>
            <w:gridSpan w:val="2"/>
            <w:vAlign w:val="center"/>
          </w:tcPr>
          <w:p w:rsidR="00DE0A34" w:rsidRPr="003C53F6" w:rsidRDefault="00DE0A34" w:rsidP="00447E32">
            <w:pPr>
              <w:jc w:val="center"/>
              <w:rPr>
                <w:rFonts w:ascii="Arial Narrow" w:hAnsi="Arial Narrow"/>
                <w:b/>
                <w:color w:val="000000"/>
                <w:sz w:val="20"/>
                <w:szCs w:val="18"/>
              </w:rPr>
            </w:pPr>
            <w:r w:rsidRPr="003C53F6">
              <w:rPr>
                <w:rFonts w:ascii="Arial Narrow" w:hAnsi="Arial Narrow"/>
                <w:b/>
                <w:color w:val="000000"/>
                <w:sz w:val="20"/>
                <w:szCs w:val="18"/>
              </w:rPr>
              <w:t xml:space="preserve">Event rate/100 </w:t>
            </w:r>
            <w:r w:rsidR="00447E32" w:rsidRPr="003C53F6">
              <w:rPr>
                <w:rFonts w:ascii="Arial Narrow" w:hAnsi="Arial Narrow"/>
                <w:b/>
                <w:color w:val="000000"/>
                <w:sz w:val="20"/>
                <w:szCs w:val="18"/>
              </w:rPr>
              <w:t>subjects</w:t>
            </w:r>
            <w:r w:rsidRPr="003C53F6">
              <w:rPr>
                <w:rFonts w:ascii="Arial Narrow" w:hAnsi="Arial Narrow"/>
                <w:b/>
                <w:color w:val="000000"/>
                <w:sz w:val="20"/>
                <w:szCs w:val="18"/>
                <w:vertAlign w:val="superscript"/>
              </w:rPr>
              <w:t>1</w:t>
            </w:r>
            <w:r w:rsidRPr="003C53F6">
              <w:rPr>
                <w:rFonts w:ascii="Arial Narrow" w:hAnsi="Arial Narrow"/>
                <w:b/>
                <w:color w:val="000000"/>
                <w:sz w:val="20"/>
                <w:szCs w:val="18"/>
              </w:rPr>
              <w:t xml:space="preserve"> </w:t>
            </w:r>
          </w:p>
        </w:tc>
        <w:tc>
          <w:tcPr>
            <w:tcW w:w="0" w:type="auto"/>
            <w:vMerge w:val="restart"/>
            <w:vAlign w:val="center"/>
          </w:tcPr>
          <w:p w:rsidR="00DE0A34" w:rsidRPr="003C53F6" w:rsidRDefault="00DE0A34" w:rsidP="00EC00C9">
            <w:pPr>
              <w:jc w:val="center"/>
              <w:rPr>
                <w:rFonts w:ascii="Arial Narrow" w:hAnsi="Arial Narrow"/>
                <w:b/>
                <w:color w:val="000000"/>
                <w:sz w:val="20"/>
                <w:szCs w:val="18"/>
              </w:rPr>
            </w:pPr>
            <w:r w:rsidRPr="003C53F6">
              <w:rPr>
                <w:rFonts w:ascii="Arial Narrow" w:hAnsi="Arial Narrow"/>
                <w:b/>
                <w:color w:val="000000"/>
                <w:sz w:val="20"/>
                <w:szCs w:val="18"/>
              </w:rPr>
              <w:t>RD</w:t>
            </w:r>
          </w:p>
          <w:p w:rsidR="00DE0A34" w:rsidRPr="003C53F6" w:rsidRDefault="00DE0A34" w:rsidP="00EC00C9">
            <w:pPr>
              <w:jc w:val="center"/>
              <w:rPr>
                <w:rFonts w:ascii="Arial Narrow" w:hAnsi="Arial Narrow"/>
                <w:b/>
                <w:color w:val="000000"/>
                <w:sz w:val="20"/>
                <w:szCs w:val="18"/>
              </w:rPr>
            </w:pPr>
            <w:r w:rsidRPr="003C53F6">
              <w:rPr>
                <w:rFonts w:ascii="Arial Narrow" w:hAnsi="Arial Narrow"/>
                <w:b/>
                <w:color w:val="000000"/>
                <w:sz w:val="20"/>
                <w:szCs w:val="18"/>
              </w:rPr>
              <w:t>(95% CI)</w:t>
            </w:r>
          </w:p>
        </w:tc>
      </w:tr>
      <w:tr w:rsidR="00447E32" w:rsidRPr="003C53F6" w:rsidTr="00E629F8">
        <w:trPr>
          <w:trHeight w:val="390"/>
        </w:trPr>
        <w:tc>
          <w:tcPr>
            <w:tcW w:w="2602" w:type="dxa"/>
            <w:vMerge/>
            <w:shd w:val="clear" w:color="auto" w:fill="auto"/>
            <w:vAlign w:val="center"/>
          </w:tcPr>
          <w:p w:rsidR="00DE0A34" w:rsidRPr="003C53F6" w:rsidRDefault="00DE0A34" w:rsidP="00EC00C9">
            <w:pPr>
              <w:rPr>
                <w:rFonts w:ascii="Arial Narrow" w:hAnsi="Arial Narrow"/>
                <w:b/>
                <w:color w:val="000000"/>
                <w:sz w:val="20"/>
                <w:szCs w:val="18"/>
              </w:rPr>
            </w:pPr>
          </w:p>
        </w:tc>
        <w:tc>
          <w:tcPr>
            <w:tcW w:w="0" w:type="auto"/>
            <w:vMerge/>
            <w:vAlign w:val="center"/>
          </w:tcPr>
          <w:p w:rsidR="00DE0A34" w:rsidRPr="003C53F6" w:rsidRDefault="00DE0A34" w:rsidP="00EC00C9">
            <w:pPr>
              <w:jc w:val="center"/>
              <w:rPr>
                <w:rFonts w:ascii="Arial Narrow" w:hAnsi="Arial Narrow"/>
                <w:b/>
                <w:color w:val="000000"/>
                <w:sz w:val="20"/>
                <w:szCs w:val="18"/>
              </w:rPr>
            </w:pPr>
          </w:p>
        </w:tc>
        <w:tc>
          <w:tcPr>
            <w:tcW w:w="0" w:type="auto"/>
            <w:vMerge/>
            <w:vAlign w:val="center"/>
          </w:tcPr>
          <w:p w:rsidR="00DE0A34" w:rsidRPr="003C53F6" w:rsidRDefault="00DE0A34" w:rsidP="00EC00C9">
            <w:pPr>
              <w:jc w:val="center"/>
              <w:rPr>
                <w:rFonts w:ascii="Arial Narrow" w:hAnsi="Arial Narrow"/>
                <w:b/>
                <w:color w:val="000000"/>
                <w:sz w:val="20"/>
                <w:szCs w:val="18"/>
              </w:rPr>
            </w:pPr>
          </w:p>
        </w:tc>
        <w:tc>
          <w:tcPr>
            <w:tcW w:w="0" w:type="auto"/>
            <w:vMerge/>
            <w:vAlign w:val="center"/>
          </w:tcPr>
          <w:p w:rsidR="00DE0A34" w:rsidRPr="003C53F6" w:rsidRDefault="00DE0A34" w:rsidP="00EC00C9">
            <w:pPr>
              <w:jc w:val="center"/>
              <w:rPr>
                <w:rFonts w:ascii="Arial Narrow" w:hAnsi="Arial Narrow"/>
                <w:b/>
                <w:color w:val="000000"/>
                <w:sz w:val="20"/>
                <w:szCs w:val="18"/>
              </w:rPr>
            </w:pPr>
          </w:p>
        </w:tc>
        <w:tc>
          <w:tcPr>
            <w:tcW w:w="0" w:type="auto"/>
            <w:vAlign w:val="center"/>
          </w:tcPr>
          <w:p w:rsidR="00DE0A34" w:rsidRPr="003C53F6" w:rsidRDefault="00DE0A34" w:rsidP="00EC00C9">
            <w:pPr>
              <w:jc w:val="center"/>
              <w:rPr>
                <w:rFonts w:ascii="Arial Narrow" w:hAnsi="Arial Narrow"/>
                <w:b/>
                <w:color w:val="000000"/>
                <w:sz w:val="20"/>
                <w:szCs w:val="18"/>
              </w:rPr>
            </w:pPr>
            <w:proofErr w:type="spellStart"/>
            <w:r w:rsidRPr="003C53F6">
              <w:rPr>
                <w:rStyle w:val="CommentReference"/>
              </w:rPr>
              <w:t>Truvada</w:t>
            </w:r>
            <w:proofErr w:type="spellEnd"/>
            <w:r w:rsidRPr="003C53F6">
              <w:rPr>
                <w:rStyle w:val="CommentReference"/>
              </w:rPr>
              <w:t xml:space="preserve"> + SOC</w:t>
            </w:r>
          </w:p>
        </w:tc>
        <w:tc>
          <w:tcPr>
            <w:tcW w:w="0" w:type="auto"/>
            <w:vAlign w:val="center"/>
          </w:tcPr>
          <w:p w:rsidR="00DE0A34" w:rsidRPr="003C53F6" w:rsidRDefault="00DE0A34" w:rsidP="00EC00C9">
            <w:pPr>
              <w:jc w:val="center"/>
              <w:rPr>
                <w:rFonts w:ascii="Arial Narrow" w:hAnsi="Arial Narrow"/>
                <w:b/>
                <w:color w:val="000000"/>
                <w:sz w:val="20"/>
                <w:szCs w:val="18"/>
              </w:rPr>
            </w:pPr>
            <w:r w:rsidRPr="003C53F6">
              <w:rPr>
                <w:rFonts w:ascii="Arial Narrow" w:hAnsi="Arial Narrow"/>
                <w:b/>
                <w:color w:val="000000"/>
                <w:sz w:val="20"/>
                <w:szCs w:val="18"/>
              </w:rPr>
              <w:t>SOC</w:t>
            </w:r>
          </w:p>
        </w:tc>
        <w:tc>
          <w:tcPr>
            <w:tcW w:w="0" w:type="auto"/>
            <w:vMerge/>
            <w:vAlign w:val="center"/>
          </w:tcPr>
          <w:p w:rsidR="00DE0A34" w:rsidRPr="003C53F6" w:rsidRDefault="00DE0A34" w:rsidP="00EC00C9">
            <w:pPr>
              <w:jc w:val="center"/>
              <w:rPr>
                <w:rFonts w:ascii="Arial Narrow" w:hAnsi="Arial Narrow"/>
                <w:b/>
                <w:color w:val="000000"/>
                <w:sz w:val="20"/>
                <w:szCs w:val="18"/>
              </w:rPr>
            </w:pPr>
          </w:p>
        </w:tc>
      </w:tr>
      <w:tr w:rsidR="00B62715" w:rsidRPr="003C53F6" w:rsidTr="00E629F8">
        <w:tc>
          <w:tcPr>
            <w:tcW w:w="9054" w:type="dxa"/>
            <w:gridSpan w:val="7"/>
            <w:shd w:val="clear" w:color="auto" w:fill="auto"/>
            <w:vAlign w:val="center"/>
          </w:tcPr>
          <w:p w:rsidR="00B62715" w:rsidRPr="003C53F6" w:rsidRDefault="00B350A2" w:rsidP="00EC00C9">
            <w:pPr>
              <w:rPr>
                <w:rFonts w:ascii="Arial Narrow" w:hAnsi="Arial Narrow"/>
                <w:b/>
                <w:color w:val="000000"/>
                <w:sz w:val="20"/>
                <w:szCs w:val="18"/>
              </w:rPr>
            </w:pPr>
            <w:r w:rsidRPr="003C53F6">
              <w:rPr>
                <w:rFonts w:ascii="Arial Narrow" w:hAnsi="Arial Narrow"/>
                <w:b/>
                <w:color w:val="000000"/>
                <w:sz w:val="20"/>
                <w:szCs w:val="18"/>
              </w:rPr>
              <w:t>Nausea</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proofErr w:type="spellStart"/>
            <w:r w:rsidRPr="003C53F6">
              <w:rPr>
                <w:rFonts w:ascii="Arial Narrow" w:hAnsi="Arial Narrow"/>
                <w:color w:val="000000"/>
                <w:sz w:val="20"/>
                <w:szCs w:val="18"/>
              </w:rPr>
              <w:t>iPrEx</w:t>
            </w:r>
            <w:proofErr w:type="spellEnd"/>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20/1,251</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9/1,248</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-1.22 (-3.85, -0.01)</w:t>
            </w:r>
          </w:p>
        </w:tc>
        <w:tc>
          <w:tcPr>
            <w:tcW w:w="0" w:type="auto"/>
            <w:vAlign w:val="bottom"/>
          </w:tcPr>
          <w:p w:rsidR="00A554DC" w:rsidRPr="003C53F6" w:rsidRDefault="00A554DC" w:rsidP="00B350A2">
            <w:pPr>
              <w:jc w:val="center"/>
              <w:rPr>
                <w:rFonts w:ascii="Arial Narrow" w:hAnsi="Arial Narrow"/>
                <w:sz w:val="20"/>
              </w:rPr>
            </w:pPr>
            <w:r w:rsidRPr="003C53F6">
              <w:rPr>
                <w:sz w:val="20"/>
              </w:rPr>
              <w:t>1.6</w:t>
            </w:r>
          </w:p>
        </w:tc>
        <w:tc>
          <w:tcPr>
            <w:tcW w:w="0" w:type="auto"/>
            <w:vAlign w:val="bottom"/>
          </w:tcPr>
          <w:p w:rsidR="00A554DC" w:rsidRPr="003C53F6" w:rsidRDefault="00A554DC" w:rsidP="00B350A2">
            <w:pPr>
              <w:jc w:val="center"/>
              <w:rPr>
                <w:rFonts w:ascii="Arial Narrow" w:hAnsi="Arial Narrow"/>
                <w:sz w:val="20"/>
              </w:rPr>
            </w:pPr>
            <w:r w:rsidRPr="003C53F6">
              <w:rPr>
                <w:sz w:val="20"/>
              </w:rPr>
              <w:t>0.7</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-0.009 (-0.018, 0.000)</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r w:rsidRPr="003C53F6">
              <w:rPr>
                <w:rFonts w:ascii="Arial Narrow" w:hAnsi="Arial Narrow"/>
                <w:color w:val="000000"/>
                <w:sz w:val="20"/>
                <w:szCs w:val="18"/>
              </w:rPr>
              <w:t xml:space="preserve">Partners </w:t>
            </w:r>
            <w:proofErr w:type="spellStart"/>
            <w:r w:rsidRPr="003C53F6">
              <w:rPr>
                <w:rFonts w:ascii="Arial Narrow" w:hAnsi="Arial Narrow"/>
                <w:color w:val="000000"/>
                <w:sz w:val="20"/>
                <w:szCs w:val="18"/>
              </w:rPr>
              <w:t>PrEP</w:t>
            </w:r>
            <w:proofErr w:type="spellEnd"/>
          </w:p>
        </w:tc>
        <w:tc>
          <w:tcPr>
            <w:tcW w:w="0" w:type="auto"/>
            <w:vAlign w:val="center"/>
          </w:tcPr>
          <w:p w:rsidR="00A554DC" w:rsidRPr="003C53F6" w:rsidRDefault="00A554DC" w:rsidP="00B350A2">
            <w:pPr>
              <w:jc w:val="center"/>
              <w:rPr>
                <w:rFonts w:ascii="Arial Narrow" w:hAnsi="Arial Narrow"/>
                <w:sz w:val="20"/>
                <w:vertAlign w:val="superscript"/>
              </w:rPr>
            </w:pPr>
            <w:r w:rsidRPr="003C53F6">
              <w:rPr>
                <w:rFonts w:ascii="Arial Narrow" w:hAnsi="Arial Narrow"/>
                <w:sz w:val="20"/>
              </w:rPr>
              <w:t>538/33,125</w:t>
            </w:r>
            <w:r w:rsidRPr="003C53F6">
              <w:rPr>
                <w:rFonts w:ascii="Arial Narrow" w:hAnsi="Arial Narrow"/>
                <w:sz w:val="20"/>
                <w:vertAlign w:val="superscript"/>
              </w:rPr>
              <w:t>2</w:t>
            </w:r>
          </w:p>
        </w:tc>
        <w:tc>
          <w:tcPr>
            <w:tcW w:w="0" w:type="auto"/>
            <w:vAlign w:val="center"/>
          </w:tcPr>
          <w:p w:rsidR="00A554DC" w:rsidRPr="003C53F6" w:rsidRDefault="00A554DC" w:rsidP="00B350A2">
            <w:pPr>
              <w:jc w:val="center"/>
              <w:rPr>
                <w:rFonts w:ascii="Arial Narrow" w:hAnsi="Arial Narrow"/>
                <w:sz w:val="20"/>
                <w:vertAlign w:val="superscript"/>
              </w:rPr>
            </w:pPr>
            <w:r w:rsidRPr="003C53F6">
              <w:rPr>
                <w:rFonts w:ascii="Arial Narrow" w:hAnsi="Arial Narrow"/>
                <w:sz w:val="20"/>
              </w:rPr>
              <w:t>487/33,087</w:t>
            </w:r>
            <w:r w:rsidRPr="003C53F6">
              <w:rPr>
                <w:rFonts w:ascii="Arial Narrow" w:hAnsi="Arial Narrow"/>
                <w:sz w:val="20"/>
                <w:vertAlign w:val="superscript"/>
              </w:rPr>
              <w:t>2</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-0.10 (-0.25, 0.02)</w:t>
            </w:r>
          </w:p>
        </w:tc>
        <w:tc>
          <w:tcPr>
            <w:tcW w:w="0" w:type="auto"/>
            <w:vAlign w:val="bottom"/>
          </w:tcPr>
          <w:p w:rsidR="00A554DC" w:rsidRPr="003C53F6" w:rsidRDefault="00A554DC" w:rsidP="00B350A2">
            <w:pPr>
              <w:jc w:val="center"/>
              <w:rPr>
                <w:rFonts w:ascii="Arial Narrow" w:hAnsi="Arial Narrow"/>
                <w:sz w:val="20"/>
              </w:rPr>
            </w:pPr>
            <w:r w:rsidRPr="003C53F6">
              <w:rPr>
                <w:sz w:val="20"/>
              </w:rPr>
              <w:t>1.6</w:t>
            </w:r>
          </w:p>
        </w:tc>
        <w:tc>
          <w:tcPr>
            <w:tcW w:w="0" w:type="auto"/>
            <w:vAlign w:val="bottom"/>
          </w:tcPr>
          <w:p w:rsidR="00A554DC" w:rsidRPr="003C53F6" w:rsidRDefault="00A554DC" w:rsidP="00B350A2">
            <w:pPr>
              <w:jc w:val="center"/>
              <w:rPr>
                <w:rFonts w:ascii="Arial Narrow" w:hAnsi="Arial Narrow"/>
                <w:sz w:val="20"/>
              </w:rPr>
            </w:pPr>
            <w:r w:rsidRPr="003C53F6">
              <w:rPr>
                <w:sz w:val="20"/>
              </w:rPr>
              <w:t>1.5</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-0.002 (-0.003, 0.000)</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r w:rsidRPr="003C53F6">
              <w:rPr>
                <w:rFonts w:ascii="Arial Narrow" w:hAnsi="Arial Narrow"/>
                <w:color w:val="000000"/>
                <w:sz w:val="20"/>
                <w:szCs w:val="18"/>
              </w:rPr>
              <w:t>TDF2</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113/611</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43/608</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-1.62 (-2.65, -0.87)</w:t>
            </w:r>
          </w:p>
        </w:tc>
        <w:tc>
          <w:tcPr>
            <w:tcW w:w="0" w:type="auto"/>
            <w:vAlign w:val="bottom"/>
          </w:tcPr>
          <w:p w:rsidR="00A554DC" w:rsidRPr="003C53F6" w:rsidRDefault="00A554DC" w:rsidP="00B350A2">
            <w:pPr>
              <w:jc w:val="center"/>
              <w:rPr>
                <w:rFonts w:ascii="Arial Narrow" w:hAnsi="Arial Narrow"/>
                <w:sz w:val="20"/>
              </w:rPr>
            </w:pPr>
            <w:r w:rsidRPr="003C53F6">
              <w:rPr>
                <w:sz w:val="20"/>
              </w:rPr>
              <w:t>18.5</w:t>
            </w:r>
          </w:p>
        </w:tc>
        <w:tc>
          <w:tcPr>
            <w:tcW w:w="0" w:type="auto"/>
            <w:vAlign w:val="bottom"/>
          </w:tcPr>
          <w:p w:rsidR="00A554DC" w:rsidRPr="003C53F6" w:rsidRDefault="00A554DC" w:rsidP="00B350A2">
            <w:pPr>
              <w:jc w:val="center"/>
              <w:rPr>
                <w:rFonts w:ascii="Arial Narrow" w:hAnsi="Arial Narrow"/>
                <w:sz w:val="20"/>
              </w:rPr>
            </w:pPr>
            <w:r w:rsidRPr="003C53F6">
              <w:rPr>
                <w:sz w:val="20"/>
              </w:rPr>
              <w:t>7.1</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-0.114 (-0.151, -0.077)</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r w:rsidRPr="003C53F6">
              <w:rPr>
                <w:rFonts w:ascii="Arial Narrow" w:hAnsi="Arial Narrow"/>
                <w:color w:val="000000"/>
                <w:sz w:val="20"/>
                <w:szCs w:val="18"/>
              </w:rPr>
              <w:t>FEM-</w:t>
            </w:r>
            <w:proofErr w:type="spellStart"/>
            <w:r w:rsidRPr="003C53F6">
              <w:rPr>
                <w:rFonts w:ascii="Arial Narrow" w:hAnsi="Arial Narrow"/>
                <w:color w:val="000000"/>
                <w:sz w:val="20"/>
                <w:szCs w:val="18"/>
              </w:rPr>
              <w:t>PrEP</w:t>
            </w:r>
            <w:proofErr w:type="spellEnd"/>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50/1,025</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32/1,033</w:t>
            </w:r>
          </w:p>
        </w:tc>
        <w:tc>
          <w:tcPr>
            <w:tcW w:w="0" w:type="auto"/>
            <w:vAlign w:val="center"/>
          </w:tcPr>
          <w:p w:rsidR="00A554DC" w:rsidRPr="003C53F6" w:rsidRDefault="001E5A57" w:rsidP="00B350A2">
            <w:pPr>
              <w:jc w:val="center"/>
              <w:rPr>
                <w:rFonts w:ascii="Arial Narrow" w:hAnsi="Arial Narrow"/>
                <w:sz w:val="20"/>
              </w:rPr>
            </w:pPr>
            <w:r w:rsidRPr="003C53F6">
              <w:rPr>
                <w:rFonts w:ascii="Arial Narrow" w:hAnsi="Arial Narrow"/>
                <w:sz w:val="20"/>
              </w:rPr>
              <w:t>-0.57 (-1.43, -0.02)</w:t>
            </w:r>
          </w:p>
        </w:tc>
        <w:tc>
          <w:tcPr>
            <w:tcW w:w="0" w:type="auto"/>
            <w:vAlign w:val="bottom"/>
          </w:tcPr>
          <w:p w:rsidR="00A554DC" w:rsidRPr="003C53F6" w:rsidRDefault="00A554DC" w:rsidP="00B350A2">
            <w:pPr>
              <w:jc w:val="center"/>
              <w:rPr>
                <w:rFonts w:ascii="Arial Narrow" w:hAnsi="Arial Narrow"/>
                <w:sz w:val="20"/>
              </w:rPr>
            </w:pPr>
            <w:r w:rsidRPr="003C53F6">
              <w:rPr>
                <w:sz w:val="20"/>
              </w:rPr>
              <w:t>4.9</w:t>
            </w:r>
          </w:p>
        </w:tc>
        <w:tc>
          <w:tcPr>
            <w:tcW w:w="0" w:type="auto"/>
            <w:vAlign w:val="bottom"/>
          </w:tcPr>
          <w:p w:rsidR="00A554DC" w:rsidRPr="003C53F6" w:rsidRDefault="00A554DC" w:rsidP="00B350A2">
            <w:pPr>
              <w:jc w:val="center"/>
              <w:rPr>
                <w:rFonts w:ascii="Arial Narrow" w:hAnsi="Arial Narrow"/>
                <w:sz w:val="20"/>
              </w:rPr>
            </w:pPr>
            <w:r w:rsidRPr="003C53F6">
              <w:rPr>
                <w:sz w:val="20"/>
              </w:rPr>
              <w:t>3.1</w:t>
            </w:r>
          </w:p>
        </w:tc>
        <w:tc>
          <w:tcPr>
            <w:tcW w:w="0" w:type="auto"/>
            <w:vAlign w:val="center"/>
          </w:tcPr>
          <w:p w:rsidR="00A554DC" w:rsidRPr="003C53F6" w:rsidRDefault="001E5A57" w:rsidP="00B350A2">
            <w:pPr>
              <w:jc w:val="center"/>
              <w:rPr>
                <w:rFonts w:ascii="Arial Narrow" w:hAnsi="Arial Narrow"/>
                <w:sz w:val="20"/>
              </w:rPr>
            </w:pPr>
            <w:r w:rsidRPr="003C53F6">
              <w:rPr>
                <w:rFonts w:ascii="Arial Narrow" w:hAnsi="Arial Narrow"/>
                <w:sz w:val="20"/>
              </w:rPr>
              <w:t>-0.018 (-0.035, -0.001)</w:t>
            </w:r>
          </w:p>
        </w:tc>
      </w:tr>
      <w:tr w:rsidR="00447E32" w:rsidRPr="003C53F6" w:rsidTr="00E629F8">
        <w:tc>
          <w:tcPr>
            <w:tcW w:w="2602" w:type="dxa"/>
            <w:shd w:val="clear" w:color="auto" w:fill="auto"/>
            <w:vAlign w:val="center"/>
          </w:tcPr>
          <w:p w:rsidR="00A554DC" w:rsidRPr="003C53F6" w:rsidRDefault="00A554DC" w:rsidP="00CA6DD6">
            <w:pPr>
              <w:rPr>
                <w:rFonts w:ascii="Arial Narrow" w:hAnsi="Arial Narrow"/>
                <w:color w:val="000000"/>
                <w:sz w:val="20"/>
                <w:szCs w:val="18"/>
                <w:vertAlign w:val="superscript"/>
              </w:rPr>
            </w:pPr>
            <w:r w:rsidRPr="003C53F6">
              <w:rPr>
                <w:rFonts w:ascii="Arial Narrow" w:hAnsi="Arial Narrow"/>
                <w:color w:val="000000"/>
                <w:sz w:val="20"/>
                <w:szCs w:val="18"/>
              </w:rPr>
              <w:t>VOICE</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8/1,003</w:t>
            </w:r>
            <w:r w:rsidRPr="003C53F6">
              <w:rPr>
                <w:rFonts w:ascii="Arial Narrow" w:hAnsi="Arial Narrow"/>
                <w:color w:val="000000"/>
                <w:sz w:val="20"/>
                <w:szCs w:val="18"/>
                <w:vertAlign w:val="superscript"/>
              </w:rPr>
              <w:t>3</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15/1,009</w:t>
            </w:r>
            <w:r w:rsidRPr="003C53F6">
              <w:rPr>
                <w:rFonts w:ascii="Arial Narrow" w:hAnsi="Arial Narrow"/>
                <w:sz w:val="20"/>
                <w:vertAlign w:val="superscript"/>
              </w:rPr>
              <w:t>3</w:t>
            </w:r>
          </w:p>
        </w:tc>
        <w:tc>
          <w:tcPr>
            <w:tcW w:w="0" w:type="auto"/>
            <w:vAlign w:val="center"/>
          </w:tcPr>
          <w:p w:rsidR="00A554DC" w:rsidRPr="003C53F6" w:rsidRDefault="001E5A57" w:rsidP="00B350A2">
            <w:pPr>
              <w:jc w:val="center"/>
              <w:rPr>
                <w:rFonts w:ascii="Arial Narrow" w:hAnsi="Arial Narrow"/>
                <w:sz w:val="20"/>
              </w:rPr>
            </w:pPr>
            <w:r w:rsidRPr="003C53F6">
              <w:rPr>
                <w:rFonts w:ascii="Arial Narrow" w:hAnsi="Arial Narrow"/>
                <w:sz w:val="20"/>
              </w:rPr>
              <w:t>0.46 (-0.26, 0.77)</w:t>
            </w:r>
          </w:p>
        </w:tc>
        <w:tc>
          <w:tcPr>
            <w:tcW w:w="0" w:type="auto"/>
            <w:vAlign w:val="bottom"/>
          </w:tcPr>
          <w:p w:rsidR="00A554DC" w:rsidRPr="003C53F6" w:rsidRDefault="00A554DC" w:rsidP="00B350A2">
            <w:pPr>
              <w:jc w:val="center"/>
              <w:rPr>
                <w:rFonts w:ascii="Arial Narrow" w:hAnsi="Arial Narrow"/>
                <w:sz w:val="20"/>
              </w:rPr>
            </w:pPr>
            <w:r w:rsidRPr="003C53F6">
              <w:rPr>
                <w:sz w:val="20"/>
              </w:rPr>
              <w:t>0.8</w:t>
            </w:r>
          </w:p>
        </w:tc>
        <w:tc>
          <w:tcPr>
            <w:tcW w:w="0" w:type="auto"/>
            <w:vAlign w:val="bottom"/>
          </w:tcPr>
          <w:p w:rsidR="00A554DC" w:rsidRPr="003C53F6" w:rsidRDefault="00A554DC" w:rsidP="00B350A2">
            <w:pPr>
              <w:jc w:val="center"/>
              <w:rPr>
                <w:rFonts w:ascii="Arial Narrow" w:hAnsi="Arial Narrow"/>
                <w:sz w:val="20"/>
              </w:rPr>
            </w:pPr>
            <w:r w:rsidRPr="003C53F6">
              <w:rPr>
                <w:sz w:val="20"/>
              </w:rPr>
              <w:t>1.5</w:t>
            </w:r>
          </w:p>
        </w:tc>
        <w:tc>
          <w:tcPr>
            <w:tcW w:w="0" w:type="auto"/>
            <w:vAlign w:val="center"/>
          </w:tcPr>
          <w:p w:rsidR="00A554DC" w:rsidRPr="003C53F6" w:rsidRDefault="001E5A57" w:rsidP="00B350A2">
            <w:pPr>
              <w:jc w:val="center"/>
              <w:rPr>
                <w:rFonts w:ascii="Arial Narrow" w:hAnsi="Arial Narrow"/>
                <w:sz w:val="20"/>
              </w:rPr>
            </w:pPr>
            <w:r w:rsidRPr="003C53F6">
              <w:rPr>
                <w:rFonts w:ascii="Arial Narrow" w:hAnsi="Arial Narrow"/>
                <w:sz w:val="20"/>
              </w:rPr>
              <w:t>0.007 (-0.003, 0.017)</w:t>
            </w:r>
          </w:p>
        </w:tc>
      </w:tr>
      <w:tr w:rsidR="00B62715" w:rsidRPr="003C53F6" w:rsidTr="00E629F8">
        <w:tc>
          <w:tcPr>
            <w:tcW w:w="9054" w:type="dxa"/>
            <w:gridSpan w:val="7"/>
            <w:shd w:val="clear" w:color="auto" w:fill="auto"/>
            <w:vAlign w:val="center"/>
          </w:tcPr>
          <w:p w:rsidR="00B62715" w:rsidRPr="003C53F6" w:rsidRDefault="00B350A2" w:rsidP="00B350A2">
            <w:pPr>
              <w:rPr>
                <w:rFonts w:ascii="Arial Narrow" w:hAnsi="Arial Narrow"/>
                <w:sz w:val="20"/>
              </w:rPr>
            </w:pPr>
            <w:r w:rsidRPr="003C53F6">
              <w:rPr>
                <w:rFonts w:ascii="Arial Narrow" w:hAnsi="Arial Narrow"/>
                <w:b/>
                <w:color w:val="000000"/>
                <w:sz w:val="20"/>
                <w:szCs w:val="18"/>
              </w:rPr>
              <w:t>Vomiting</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r w:rsidRPr="003C53F6">
              <w:rPr>
                <w:rFonts w:ascii="Arial Narrow" w:hAnsi="Arial Narrow"/>
                <w:color w:val="000000"/>
                <w:sz w:val="20"/>
                <w:szCs w:val="18"/>
              </w:rPr>
              <w:t xml:space="preserve">Partners </w:t>
            </w:r>
            <w:proofErr w:type="spellStart"/>
            <w:r w:rsidRPr="003C53F6">
              <w:rPr>
                <w:rFonts w:ascii="Arial Narrow" w:hAnsi="Arial Narrow"/>
                <w:color w:val="000000"/>
                <w:sz w:val="20"/>
                <w:szCs w:val="18"/>
              </w:rPr>
              <w:t>PrEP</w:t>
            </w:r>
            <w:proofErr w:type="spellEnd"/>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181/33,125</w:t>
            </w:r>
            <w:r w:rsidRPr="003C53F6">
              <w:rPr>
                <w:rFonts w:ascii="Arial Narrow" w:hAnsi="Arial Narrow"/>
                <w:sz w:val="20"/>
                <w:vertAlign w:val="superscript"/>
              </w:rPr>
              <w:t>2</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204/33,087</w:t>
            </w:r>
            <w:r w:rsidRPr="003C53F6">
              <w:rPr>
                <w:rFonts w:ascii="Arial Narrow" w:hAnsi="Arial Narrow"/>
                <w:sz w:val="20"/>
                <w:vertAlign w:val="superscript"/>
              </w:rPr>
              <w:t>2</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0.11 (-0.08, 0.27)</w:t>
            </w:r>
          </w:p>
        </w:tc>
        <w:tc>
          <w:tcPr>
            <w:tcW w:w="0" w:type="auto"/>
            <w:vAlign w:val="bottom"/>
          </w:tcPr>
          <w:p w:rsidR="00A554DC" w:rsidRPr="003C53F6" w:rsidRDefault="00A554DC" w:rsidP="00B350A2">
            <w:pPr>
              <w:jc w:val="center"/>
              <w:rPr>
                <w:rFonts w:ascii="Arial Narrow" w:hAnsi="Arial Narrow"/>
                <w:sz w:val="20"/>
              </w:rPr>
            </w:pPr>
            <w:r w:rsidRPr="003C53F6">
              <w:rPr>
                <w:sz w:val="20"/>
              </w:rPr>
              <w:t>0.5</w:t>
            </w:r>
          </w:p>
        </w:tc>
        <w:tc>
          <w:tcPr>
            <w:tcW w:w="0" w:type="auto"/>
            <w:vAlign w:val="bottom"/>
          </w:tcPr>
          <w:p w:rsidR="00A554DC" w:rsidRPr="003C53F6" w:rsidRDefault="00A554DC" w:rsidP="00B350A2">
            <w:pPr>
              <w:jc w:val="center"/>
              <w:rPr>
                <w:rFonts w:ascii="Arial Narrow" w:hAnsi="Arial Narrow"/>
                <w:sz w:val="20"/>
              </w:rPr>
            </w:pPr>
            <w:r w:rsidRPr="003C53F6">
              <w:rPr>
                <w:sz w:val="20"/>
              </w:rPr>
              <w:t>0.6</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0.001 (0.000, 0.002)</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r w:rsidRPr="003C53F6">
              <w:rPr>
                <w:rFonts w:ascii="Arial Narrow" w:hAnsi="Arial Narrow"/>
                <w:color w:val="000000"/>
                <w:sz w:val="20"/>
                <w:szCs w:val="18"/>
              </w:rPr>
              <w:t>TDF2</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69/611</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43/608</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-0.60 (-1.30, -0.11)</w:t>
            </w:r>
          </w:p>
        </w:tc>
        <w:tc>
          <w:tcPr>
            <w:tcW w:w="0" w:type="auto"/>
            <w:vAlign w:val="bottom"/>
          </w:tcPr>
          <w:p w:rsidR="00A554DC" w:rsidRPr="003C53F6" w:rsidRDefault="00A554DC" w:rsidP="00B350A2">
            <w:pPr>
              <w:jc w:val="center"/>
              <w:rPr>
                <w:rFonts w:ascii="Arial Narrow" w:hAnsi="Arial Narrow"/>
                <w:sz w:val="20"/>
              </w:rPr>
            </w:pPr>
            <w:r w:rsidRPr="003C53F6">
              <w:rPr>
                <w:sz w:val="20"/>
              </w:rPr>
              <w:t>11.3</w:t>
            </w:r>
          </w:p>
        </w:tc>
        <w:tc>
          <w:tcPr>
            <w:tcW w:w="0" w:type="auto"/>
            <w:vAlign w:val="bottom"/>
          </w:tcPr>
          <w:p w:rsidR="00A554DC" w:rsidRPr="003C53F6" w:rsidRDefault="00A554DC" w:rsidP="00B350A2">
            <w:pPr>
              <w:jc w:val="center"/>
              <w:rPr>
                <w:rFonts w:ascii="Arial Narrow" w:hAnsi="Arial Narrow"/>
                <w:sz w:val="20"/>
              </w:rPr>
            </w:pPr>
            <w:r w:rsidRPr="003C53F6">
              <w:rPr>
                <w:sz w:val="20"/>
              </w:rPr>
              <w:t>7.1</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-0.042 (-0.075, -0.010)</w:t>
            </w:r>
          </w:p>
        </w:tc>
      </w:tr>
      <w:tr w:rsidR="00447E32" w:rsidRPr="003C53F6" w:rsidTr="00E629F8">
        <w:tc>
          <w:tcPr>
            <w:tcW w:w="2602" w:type="dxa"/>
            <w:shd w:val="clear" w:color="auto" w:fill="auto"/>
            <w:vAlign w:val="center"/>
          </w:tcPr>
          <w:p w:rsidR="00A554DC" w:rsidRPr="003C53F6" w:rsidRDefault="00A554DC" w:rsidP="00EC00C9">
            <w:pPr>
              <w:rPr>
                <w:rFonts w:ascii="Arial Narrow" w:hAnsi="Arial Narrow"/>
                <w:color w:val="000000"/>
                <w:sz w:val="20"/>
                <w:szCs w:val="18"/>
              </w:rPr>
            </w:pPr>
            <w:r w:rsidRPr="003C53F6">
              <w:rPr>
                <w:rFonts w:ascii="Arial Narrow" w:hAnsi="Arial Narrow"/>
                <w:color w:val="000000"/>
                <w:sz w:val="20"/>
                <w:szCs w:val="18"/>
              </w:rPr>
              <w:t>FEM-</w:t>
            </w:r>
            <w:proofErr w:type="spellStart"/>
            <w:r w:rsidRPr="003C53F6">
              <w:rPr>
                <w:rFonts w:ascii="Arial Narrow" w:hAnsi="Arial Narrow"/>
                <w:color w:val="000000"/>
                <w:sz w:val="20"/>
                <w:szCs w:val="18"/>
              </w:rPr>
              <w:t>PrEP</w:t>
            </w:r>
            <w:proofErr w:type="spellEnd"/>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37/1,025</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12/1,033</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-2.11 (-4.92, -0.63)</w:t>
            </w:r>
          </w:p>
        </w:tc>
        <w:tc>
          <w:tcPr>
            <w:tcW w:w="0" w:type="auto"/>
            <w:vAlign w:val="bottom"/>
          </w:tcPr>
          <w:p w:rsidR="00A554DC" w:rsidRPr="003C53F6" w:rsidRDefault="00A554DC" w:rsidP="00B350A2">
            <w:pPr>
              <w:jc w:val="center"/>
              <w:rPr>
                <w:rFonts w:ascii="Arial Narrow" w:hAnsi="Arial Narrow"/>
                <w:sz w:val="20"/>
              </w:rPr>
            </w:pPr>
            <w:r w:rsidRPr="003C53F6">
              <w:rPr>
                <w:sz w:val="20"/>
              </w:rPr>
              <w:t>3.6</w:t>
            </w:r>
          </w:p>
        </w:tc>
        <w:tc>
          <w:tcPr>
            <w:tcW w:w="0" w:type="auto"/>
            <w:vAlign w:val="bottom"/>
          </w:tcPr>
          <w:p w:rsidR="00A554DC" w:rsidRPr="003C53F6" w:rsidRDefault="00A554DC" w:rsidP="00B350A2">
            <w:pPr>
              <w:jc w:val="center"/>
              <w:rPr>
                <w:rFonts w:ascii="Arial Narrow" w:hAnsi="Arial Narrow"/>
                <w:sz w:val="20"/>
              </w:rPr>
            </w:pPr>
            <w:r w:rsidRPr="003C53F6">
              <w:rPr>
                <w:sz w:val="20"/>
              </w:rPr>
              <w:t>1.2</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-0.024 (-0.039, -0.011)</w:t>
            </w:r>
          </w:p>
        </w:tc>
      </w:tr>
      <w:tr w:rsidR="00447E32" w:rsidRPr="003C53F6" w:rsidTr="00E629F8">
        <w:tc>
          <w:tcPr>
            <w:tcW w:w="2602" w:type="dxa"/>
            <w:shd w:val="clear" w:color="auto" w:fill="auto"/>
            <w:vAlign w:val="center"/>
          </w:tcPr>
          <w:p w:rsidR="00A554DC" w:rsidRPr="003C53F6" w:rsidRDefault="00A554DC" w:rsidP="00CA6DD6">
            <w:pPr>
              <w:rPr>
                <w:rFonts w:ascii="Arial Narrow" w:hAnsi="Arial Narrow"/>
                <w:color w:val="000000"/>
                <w:sz w:val="20"/>
                <w:szCs w:val="18"/>
                <w:vertAlign w:val="superscript"/>
              </w:rPr>
            </w:pPr>
            <w:r w:rsidRPr="003C53F6">
              <w:rPr>
                <w:rFonts w:ascii="Arial Narrow" w:hAnsi="Arial Narrow"/>
                <w:color w:val="000000"/>
                <w:sz w:val="20"/>
                <w:szCs w:val="18"/>
              </w:rPr>
              <w:t>VOICE</w:t>
            </w:r>
          </w:p>
        </w:tc>
        <w:tc>
          <w:tcPr>
            <w:tcW w:w="0" w:type="auto"/>
            <w:vAlign w:val="center"/>
          </w:tcPr>
          <w:p w:rsidR="00A554DC" w:rsidRPr="003C53F6" w:rsidRDefault="00A554DC" w:rsidP="00B350A2">
            <w:pPr>
              <w:jc w:val="center"/>
              <w:rPr>
                <w:rFonts w:ascii="Arial Narrow" w:hAnsi="Arial Narrow"/>
                <w:sz w:val="20"/>
              </w:rPr>
            </w:pPr>
            <w:r w:rsidRPr="003C53F6">
              <w:rPr>
                <w:rFonts w:ascii="Arial Narrow" w:hAnsi="Arial Narrow"/>
                <w:sz w:val="20"/>
              </w:rPr>
              <w:t>6/1,003</w:t>
            </w:r>
            <w:r w:rsidRPr="003C53F6">
              <w:rPr>
                <w:rFonts w:ascii="Arial Narrow" w:hAnsi="Arial Narrow"/>
                <w:color w:val="000000"/>
                <w:sz w:val="20"/>
                <w:szCs w:val="18"/>
                <w:vertAlign w:val="superscript"/>
              </w:rPr>
              <w:t>3</w:t>
            </w:r>
          </w:p>
        </w:tc>
        <w:tc>
          <w:tcPr>
            <w:tcW w:w="0" w:type="auto"/>
            <w:vAlign w:val="center"/>
          </w:tcPr>
          <w:p w:rsidR="00A554DC" w:rsidRPr="003C53F6" w:rsidRDefault="00A554DC" w:rsidP="00B350A2">
            <w:pPr>
              <w:jc w:val="center"/>
              <w:rPr>
                <w:rFonts w:ascii="Arial Narrow" w:hAnsi="Arial Narrow"/>
                <w:sz w:val="20"/>
                <w:vertAlign w:val="superscript"/>
              </w:rPr>
            </w:pPr>
            <w:r w:rsidRPr="003C53F6">
              <w:rPr>
                <w:rFonts w:ascii="Arial Narrow" w:hAnsi="Arial Narrow"/>
                <w:sz w:val="20"/>
              </w:rPr>
              <w:t>9/1,009</w:t>
            </w:r>
            <w:r w:rsidRPr="003C53F6">
              <w:rPr>
                <w:rFonts w:ascii="Arial Narrow" w:hAnsi="Arial Narrow"/>
                <w:sz w:val="20"/>
                <w:vertAlign w:val="superscript"/>
              </w:rPr>
              <w:t>3</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0.33 (-0.88, 0.76)</w:t>
            </w:r>
          </w:p>
        </w:tc>
        <w:tc>
          <w:tcPr>
            <w:tcW w:w="0" w:type="auto"/>
            <w:vAlign w:val="bottom"/>
          </w:tcPr>
          <w:p w:rsidR="00A554DC" w:rsidRPr="003C53F6" w:rsidRDefault="00A554DC" w:rsidP="00B350A2">
            <w:pPr>
              <w:jc w:val="center"/>
              <w:rPr>
                <w:rFonts w:ascii="Arial Narrow" w:hAnsi="Arial Narrow"/>
                <w:sz w:val="20"/>
              </w:rPr>
            </w:pPr>
            <w:r w:rsidRPr="003C53F6">
              <w:rPr>
                <w:sz w:val="20"/>
              </w:rPr>
              <w:t>0.6</w:t>
            </w:r>
          </w:p>
        </w:tc>
        <w:tc>
          <w:tcPr>
            <w:tcW w:w="0" w:type="auto"/>
            <w:vAlign w:val="bottom"/>
          </w:tcPr>
          <w:p w:rsidR="00A554DC" w:rsidRPr="003C53F6" w:rsidRDefault="00A554DC" w:rsidP="00B350A2">
            <w:pPr>
              <w:jc w:val="center"/>
              <w:rPr>
                <w:rFonts w:ascii="Arial Narrow" w:hAnsi="Arial Narrow"/>
                <w:sz w:val="20"/>
              </w:rPr>
            </w:pPr>
            <w:r w:rsidRPr="003C53F6">
              <w:rPr>
                <w:sz w:val="20"/>
              </w:rPr>
              <w:t>0.9</w:t>
            </w:r>
          </w:p>
        </w:tc>
        <w:tc>
          <w:tcPr>
            <w:tcW w:w="0" w:type="auto"/>
            <w:vAlign w:val="center"/>
          </w:tcPr>
          <w:p w:rsidR="00A554DC" w:rsidRPr="003C53F6" w:rsidRDefault="002D59B6" w:rsidP="00B350A2">
            <w:pPr>
              <w:jc w:val="center"/>
              <w:rPr>
                <w:rFonts w:ascii="Arial Narrow" w:hAnsi="Arial Narrow"/>
                <w:sz w:val="20"/>
              </w:rPr>
            </w:pPr>
            <w:r w:rsidRPr="003C53F6">
              <w:rPr>
                <w:rFonts w:ascii="Arial Narrow" w:hAnsi="Arial Narrow"/>
                <w:sz w:val="20"/>
              </w:rPr>
              <w:t>0.003 (-0.005, 0.012)</w:t>
            </w:r>
          </w:p>
        </w:tc>
      </w:tr>
    </w:tbl>
    <w:p w:rsidR="00936B91" w:rsidRPr="003C53F6" w:rsidRDefault="00936B91" w:rsidP="00E629F8">
      <w:pPr>
        <w:pStyle w:val="TableFooter"/>
      </w:pPr>
      <w:r w:rsidRPr="003C53F6">
        <w:t>Source: compiled during the evaluation.</w:t>
      </w:r>
    </w:p>
    <w:p w:rsidR="00B62715" w:rsidRPr="003C53F6" w:rsidRDefault="00936B91" w:rsidP="00E629F8">
      <w:pPr>
        <w:pStyle w:val="TableFooter"/>
      </w:pPr>
      <w:r w:rsidRPr="003C53F6">
        <w:t>Abbreviations: PBO = placebo,</w:t>
      </w:r>
      <w:r w:rsidR="00B62715" w:rsidRPr="003C53F6">
        <w:t xml:space="preserve"> RD = risk difference</w:t>
      </w:r>
      <w:r w:rsidRPr="003C53F6">
        <w:t>,</w:t>
      </w:r>
      <w:r w:rsidR="00B62715" w:rsidRPr="003C53F6">
        <w:t xml:space="preserve"> R</w:t>
      </w:r>
      <w:r w:rsidR="008836EB" w:rsidRPr="003C53F6">
        <w:t>R</w:t>
      </w:r>
      <w:r w:rsidR="00B62715" w:rsidRPr="003C53F6">
        <w:t xml:space="preserve">R = </w:t>
      </w:r>
      <w:r w:rsidR="008836EB" w:rsidRPr="003C53F6">
        <w:t xml:space="preserve">relative </w:t>
      </w:r>
      <w:r w:rsidR="00B62715" w:rsidRPr="003C53F6">
        <w:t>risk r</w:t>
      </w:r>
      <w:r w:rsidR="008836EB" w:rsidRPr="003C53F6">
        <w:t>eduction</w:t>
      </w:r>
      <w:r w:rsidRPr="003C53F6">
        <w:t>.</w:t>
      </w:r>
    </w:p>
    <w:p w:rsidR="00FB2860" w:rsidRPr="003C53F6" w:rsidRDefault="00FB2860" w:rsidP="00E629F8">
      <w:pPr>
        <w:pStyle w:val="TableFooter"/>
      </w:pPr>
      <w:r w:rsidRPr="003C53F6">
        <w:rPr>
          <w:vertAlign w:val="superscript"/>
        </w:rPr>
        <w:t>1</w:t>
      </w:r>
      <w:r w:rsidRPr="003C53F6">
        <w:t xml:space="preserve">Duration of follow-up: </w:t>
      </w:r>
      <w:proofErr w:type="spellStart"/>
      <w:r w:rsidRPr="003C53F6">
        <w:t>iPREX</w:t>
      </w:r>
      <w:proofErr w:type="spellEnd"/>
      <w:r w:rsidRPr="003C53F6">
        <w:t xml:space="preserve"> = 324 person-years, Partners </w:t>
      </w:r>
      <w:proofErr w:type="spellStart"/>
      <w:r w:rsidRPr="003C53F6">
        <w:t>PrEP</w:t>
      </w:r>
      <w:proofErr w:type="spellEnd"/>
      <w:r w:rsidRPr="003C53F6">
        <w:t xml:space="preserve"> = 7,830 person-years, TDF2 = 1,563 person-years, PROUD = 465 person-years, FEM-</w:t>
      </w:r>
      <w:proofErr w:type="spellStart"/>
      <w:r w:rsidRPr="003C53F6">
        <w:t>PrEP</w:t>
      </w:r>
      <w:proofErr w:type="spellEnd"/>
      <w:r w:rsidRPr="003C53F6">
        <w:t xml:space="preserve"> = 1,407 person-years, VOICE = 5,509 person-years.</w:t>
      </w:r>
    </w:p>
    <w:p w:rsidR="00D51B68" w:rsidRPr="003C53F6" w:rsidRDefault="00D51B68" w:rsidP="00E629F8">
      <w:pPr>
        <w:pStyle w:val="TableFooter"/>
      </w:pPr>
      <w:r w:rsidRPr="003C53F6">
        <w:rPr>
          <w:vertAlign w:val="superscript"/>
        </w:rPr>
        <w:t>2</w:t>
      </w:r>
      <w:r w:rsidRPr="003C53F6">
        <w:t>These numbers represent questionnaires instead of study subjects.</w:t>
      </w:r>
    </w:p>
    <w:p w:rsidR="00CA6DD6" w:rsidRPr="003C53F6" w:rsidRDefault="00CA6DD6" w:rsidP="00E629F8">
      <w:pPr>
        <w:pStyle w:val="TableFooter"/>
      </w:pPr>
      <w:r w:rsidRPr="003C53F6">
        <w:rPr>
          <w:vertAlign w:val="superscript"/>
        </w:rPr>
        <w:t>3</w:t>
      </w:r>
      <w:r w:rsidRPr="003C53F6">
        <w:t xml:space="preserve">These numbers only represent adverse events of grade 2 or higher. </w:t>
      </w:r>
    </w:p>
    <w:p w:rsidR="00B60939" w:rsidRPr="00211312" w:rsidRDefault="00B60939" w:rsidP="00FC1884"/>
    <w:p w:rsidR="00B60939" w:rsidRPr="00211312" w:rsidRDefault="00B60939" w:rsidP="00924E0A">
      <w:pPr>
        <w:pStyle w:val="PBACHeading1"/>
      </w:pPr>
      <w:bookmarkStart w:id="11" w:name="_Toc451353163"/>
      <w:r w:rsidRPr="00211312">
        <w:t>Clinical claim</w:t>
      </w:r>
      <w:bookmarkEnd w:id="11"/>
    </w:p>
    <w:p w:rsidR="008A38F1" w:rsidRPr="00211312" w:rsidRDefault="008A38F1" w:rsidP="006A1932">
      <w:pPr>
        <w:keepNext/>
        <w:widowControl/>
        <w:rPr>
          <w:szCs w:val="22"/>
        </w:rPr>
      </w:pPr>
    </w:p>
    <w:p w:rsidR="008A38F1" w:rsidRPr="00211312" w:rsidRDefault="008A38F1" w:rsidP="002431F7">
      <w:pPr>
        <w:pStyle w:val="ListParagraph"/>
        <w:widowControl/>
        <w:numPr>
          <w:ilvl w:val="1"/>
          <w:numId w:val="2"/>
        </w:numPr>
      </w:pPr>
      <w:r w:rsidRPr="00211312">
        <w:t xml:space="preserve">The submission described </w:t>
      </w:r>
      <w:proofErr w:type="spellStart"/>
      <w:r w:rsidRPr="00211312">
        <w:t>Truvada</w:t>
      </w:r>
      <w:proofErr w:type="spellEnd"/>
      <w:r w:rsidRPr="00211312">
        <w:t xml:space="preserve"> + SOC as superior in terms of comparative effectiveness and non-inferior in terms of comparative safety over SOC. This claim was not </w:t>
      </w:r>
      <w:r w:rsidR="00396C6E" w:rsidRPr="00211312">
        <w:t xml:space="preserve">strongly </w:t>
      </w:r>
      <w:r w:rsidR="00B13CEA" w:rsidRPr="00211312">
        <w:t>supported</w:t>
      </w:r>
      <w:r w:rsidR="00396C6E" w:rsidRPr="00211312">
        <w:t xml:space="preserve"> in terms of the requested PBS listing</w:t>
      </w:r>
      <w:r w:rsidRPr="00211312">
        <w:t>.</w:t>
      </w:r>
    </w:p>
    <w:p w:rsidR="008A38F1" w:rsidRPr="003C53F6" w:rsidRDefault="008A38F1" w:rsidP="002431F7">
      <w:pPr>
        <w:pStyle w:val="ListParagraph"/>
        <w:widowControl/>
        <w:numPr>
          <w:ilvl w:val="0"/>
          <w:numId w:val="1"/>
        </w:numPr>
        <w:ind w:left="993" w:hanging="284"/>
      </w:pPr>
      <w:proofErr w:type="spellStart"/>
      <w:r w:rsidRPr="00211312">
        <w:t>Truvada</w:t>
      </w:r>
      <w:proofErr w:type="spellEnd"/>
      <w:r w:rsidRPr="00211312">
        <w:t xml:space="preserve"> + SOC </w:t>
      </w:r>
      <w:proofErr w:type="gramStart"/>
      <w:r w:rsidR="00B13CEA" w:rsidRPr="00211312">
        <w:t>was</w:t>
      </w:r>
      <w:proofErr w:type="gramEnd"/>
      <w:r w:rsidR="00B13CEA" w:rsidRPr="00211312">
        <w:t xml:space="preserve"> observed t</w:t>
      </w:r>
      <w:r w:rsidR="00B13CEA" w:rsidRPr="003C53F6">
        <w:t>o be</w:t>
      </w:r>
      <w:r w:rsidRPr="003C53F6">
        <w:t xml:space="preserve"> significantly more effective than SOC</w:t>
      </w:r>
      <w:r w:rsidR="00B13CEA" w:rsidRPr="003C53F6">
        <w:t xml:space="preserve"> in some of the studies presented by the submission, but this effectiveness wa</w:t>
      </w:r>
      <w:r w:rsidRPr="003C53F6">
        <w:t>s conditional on adherence.</w:t>
      </w:r>
      <w:r w:rsidR="00B13CEA" w:rsidRPr="003C53F6">
        <w:t xml:space="preserve"> As noted above, the applicability of the trial results, including the results of the case control study for highly adherent subjects was unknown.</w:t>
      </w:r>
    </w:p>
    <w:p w:rsidR="008A38F1" w:rsidRPr="003C53F6" w:rsidRDefault="008A38F1" w:rsidP="002431F7">
      <w:pPr>
        <w:pStyle w:val="ListParagraph"/>
        <w:widowControl/>
        <w:numPr>
          <w:ilvl w:val="0"/>
          <w:numId w:val="1"/>
        </w:numPr>
        <w:ind w:left="993" w:hanging="284"/>
      </w:pPr>
      <w:proofErr w:type="spellStart"/>
      <w:r w:rsidRPr="003C53F6">
        <w:t>Truvada</w:t>
      </w:r>
      <w:proofErr w:type="spellEnd"/>
      <w:r w:rsidRPr="003C53F6">
        <w:t xml:space="preserve"> is associated with a range of mild adverse events, such as self-limiting nausea and vomiting.</w:t>
      </w:r>
    </w:p>
    <w:p w:rsidR="008A38F1" w:rsidRPr="003C53F6" w:rsidRDefault="008A38F1" w:rsidP="002431F7">
      <w:pPr>
        <w:pStyle w:val="ListParagraph"/>
        <w:widowControl/>
        <w:numPr>
          <w:ilvl w:val="0"/>
          <w:numId w:val="1"/>
        </w:numPr>
        <w:ind w:left="993" w:hanging="284"/>
      </w:pPr>
      <w:r w:rsidRPr="003C53F6">
        <w:t xml:space="preserve">Long-term safety of </w:t>
      </w:r>
      <w:proofErr w:type="spellStart"/>
      <w:r w:rsidRPr="003C53F6">
        <w:t>Truvada</w:t>
      </w:r>
      <w:proofErr w:type="spellEnd"/>
      <w:r w:rsidRPr="003C53F6">
        <w:t xml:space="preserve"> as </w:t>
      </w:r>
      <w:proofErr w:type="spellStart"/>
      <w:r w:rsidRPr="003C53F6">
        <w:t>PrEP</w:t>
      </w:r>
      <w:proofErr w:type="spellEnd"/>
      <w:r w:rsidRPr="003C53F6">
        <w:t xml:space="preserve"> is unknown. Concerns include the long-term impact on bone loss and renal function.</w:t>
      </w:r>
    </w:p>
    <w:p w:rsidR="008A38F1" w:rsidRPr="003C53F6" w:rsidRDefault="008A38F1" w:rsidP="002431F7">
      <w:pPr>
        <w:pStyle w:val="ListParagraph"/>
        <w:widowControl/>
        <w:numPr>
          <w:ilvl w:val="0"/>
          <w:numId w:val="1"/>
        </w:numPr>
        <w:ind w:left="993" w:hanging="284"/>
      </w:pPr>
      <w:r w:rsidRPr="003C53F6">
        <w:t>Safety concerns may exist for subgroups that were not assessed separately (e.g. subjects with high adherence) and subgroups that were largely excluded from clinical trials (e.g. subjects with hepatitis B infection).</w:t>
      </w:r>
    </w:p>
    <w:p w:rsidR="008A38F1" w:rsidRPr="003C53F6" w:rsidRDefault="008A38F1" w:rsidP="008A38F1">
      <w:pPr>
        <w:pStyle w:val="PBACHeading1"/>
        <w:numPr>
          <w:ilvl w:val="0"/>
          <w:numId w:val="0"/>
        </w:numPr>
      </w:pPr>
    </w:p>
    <w:p w:rsidR="00B978DD" w:rsidRPr="004A41A6" w:rsidRDefault="004A41A6" w:rsidP="00211312">
      <w:pPr>
        <w:pStyle w:val="ListParagraph"/>
        <w:widowControl/>
        <w:numPr>
          <w:ilvl w:val="1"/>
          <w:numId w:val="2"/>
        </w:numPr>
        <w:rPr>
          <w:bCs/>
        </w:rPr>
      </w:pPr>
      <w:r w:rsidRPr="004A41A6">
        <w:rPr>
          <w:bCs/>
          <w:szCs w:val="22"/>
        </w:rPr>
        <w:lastRenderedPageBreak/>
        <w:t>The PBAC noted that the claim of superior comparative effectiveness was not supported by all of the trials. Further, the PBAC considered that it was unclear whether the effect measured in the</w:t>
      </w:r>
      <w:r w:rsidRPr="004A41A6">
        <w:t xml:space="preserve"> highly adherent subjects in the </w:t>
      </w:r>
      <w:proofErr w:type="spellStart"/>
      <w:r w:rsidRPr="004A41A6">
        <w:t>iPrEx</w:t>
      </w:r>
      <w:proofErr w:type="spellEnd"/>
      <w:r w:rsidRPr="004A41A6">
        <w:t xml:space="preserve"> and </w:t>
      </w:r>
      <w:r w:rsidRPr="004A41A6">
        <w:rPr>
          <w:bCs/>
          <w:szCs w:val="22"/>
        </w:rPr>
        <w:t xml:space="preserve">Partners </w:t>
      </w:r>
      <w:proofErr w:type="spellStart"/>
      <w:r w:rsidRPr="004A41A6">
        <w:rPr>
          <w:bCs/>
          <w:szCs w:val="22"/>
        </w:rPr>
        <w:t>PrEP</w:t>
      </w:r>
      <w:proofErr w:type="spellEnd"/>
      <w:r w:rsidRPr="004A41A6">
        <w:rPr>
          <w:bCs/>
          <w:szCs w:val="22"/>
        </w:rPr>
        <w:t xml:space="preserve"> studies would be achieved in the proposed PBS population.</w:t>
      </w:r>
    </w:p>
    <w:p w:rsidR="00B978DD" w:rsidRPr="003C53F6" w:rsidRDefault="00B978DD" w:rsidP="00B978DD">
      <w:pPr>
        <w:pStyle w:val="ListParagraph"/>
        <w:rPr>
          <w:bCs/>
          <w:szCs w:val="22"/>
        </w:rPr>
      </w:pPr>
    </w:p>
    <w:p w:rsidR="00B978DD" w:rsidRPr="003C53F6" w:rsidRDefault="00B978DD" w:rsidP="002431F7">
      <w:pPr>
        <w:pStyle w:val="ListParagraph"/>
        <w:widowControl/>
        <w:numPr>
          <w:ilvl w:val="1"/>
          <w:numId w:val="2"/>
        </w:numPr>
        <w:rPr>
          <w:szCs w:val="22"/>
        </w:rPr>
      </w:pPr>
      <w:r w:rsidRPr="003C53F6">
        <w:rPr>
          <w:szCs w:val="22"/>
        </w:rPr>
        <w:t xml:space="preserve">The PBAC considered that the claim of non-inferior comparative safety was not </w:t>
      </w:r>
      <w:r w:rsidR="009A2CE5" w:rsidRPr="003C53F6">
        <w:rPr>
          <w:szCs w:val="22"/>
        </w:rPr>
        <w:t>strong</w:t>
      </w:r>
      <w:r w:rsidRPr="003C53F6">
        <w:rPr>
          <w:szCs w:val="22"/>
        </w:rPr>
        <w:t xml:space="preserve">ly supported by the </w:t>
      </w:r>
      <w:r w:rsidR="009A2CE5" w:rsidRPr="003C53F6">
        <w:rPr>
          <w:szCs w:val="22"/>
        </w:rPr>
        <w:t xml:space="preserve">available </w:t>
      </w:r>
      <w:r w:rsidRPr="003C53F6">
        <w:rPr>
          <w:szCs w:val="22"/>
        </w:rPr>
        <w:t>data</w:t>
      </w:r>
      <w:r w:rsidR="009A2CE5" w:rsidRPr="003C53F6">
        <w:rPr>
          <w:szCs w:val="22"/>
        </w:rPr>
        <w:t xml:space="preserve">, given the </w:t>
      </w:r>
      <w:r w:rsidR="00261A2A" w:rsidRPr="003C53F6">
        <w:rPr>
          <w:szCs w:val="22"/>
        </w:rPr>
        <w:t xml:space="preserve">potential for </w:t>
      </w:r>
      <w:r w:rsidR="0021575A" w:rsidRPr="003C53F6">
        <w:rPr>
          <w:szCs w:val="22"/>
        </w:rPr>
        <w:t xml:space="preserve">longer term use of </w:t>
      </w:r>
      <w:proofErr w:type="spellStart"/>
      <w:r w:rsidR="0021575A" w:rsidRPr="003C53F6">
        <w:rPr>
          <w:szCs w:val="22"/>
        </w:rPr>
        <w:t>Truvada</w:t>
      </w:r>
      <w:proofErr w:type="spellEnd"/>
      <w:r w:rsidR="0021575A" w:rsidRPr="003C53F6">
        <w:rPr>
          <w:szCs w:val="22"/>
        </w:rPr>
        <w:t xml:space="preserve"> as </w:t>
      </w:r>
      <w:proofErr w:type="spellStart"/>
      <w:r w:rsidR="0021575A" w:rsidRPr="003C53F6">
        <w:rPr>
          <w:szCs w:val="22"/>
        </w:rPr>
        <w:t>PrEP</w:t>
      </w:r>
      <w:proofErr w:type="spellEnd"/>
      <w:r w:rsidR="0021575A" w:rsidRPr="003C53F6">
        <w:rPr>
          <w:szCs w:val="22"/>
        </w:rPr>
        <w:t xml:space="preserve"> compared to the duration of the studies</w:t>
      </w:r>
      <w:r w:rsidRPr="003C53F6">
        <w:rPr>
          <w:szCs w:val="22"/>
        </w:rPr>
        <w:t>.</w:t>
      </w:r>
      <w:r w:rsidR="0021575A" w:rsidRPr="003C53F6">
        <w:rPr>
          <w:szCs w:val="22"/>
        </w:rPr>
        <w:t xml:space="preserve"> However, the PBAC noted that there is experience of longer term use of </w:t>
      </w:r>
      <w:proofErr w:type="spellStart"/>
      <w:r w:rsidR="0021575A" w:rsidRPr="003C53F6">
        <w:rPr>
          <w:szCs w:val="22"/>
        </w:rPr>
        <w:t>Truvada</w:t>
      </w:r>
      <w:proofErr w:type="spellEnd"/>
      <w:r w:rsidR="0021575A" w:rsidRPr="003C53F6">
        <w:rPr>
          <w:szCs w:val="22"/>
        </w:rPr>
        <w:t xml:space="preserve"> being well tolerated in the treatment of HIV, and on balance the safety claim is probably reasonable.</w:t>
      </w:r>
    </w:p>
    <w:p w:rsidR="00B978DD" w:rsidRPr="003C53F6" w:rsidRDefault="00B978DD" w:rsidP="008A38F1">
      <w:pPr>
        <w:pStyle w:val="PBACHeading1"/>
        <w:numPr>
          <w:ilvl w:val="0"/>
          <w:numId w:val="0"/>
        </w:numPr>
      </w:pPr>
    </w:p>
    <w:p w:rsidR="00B60939" w:rsidRPr="003C53F6" w:rsidRDefault="00B60939" w:rsidP="00924E0A">
      <w:pPr>
        <w:pStyle w:val="Heading3"/>
      </w:pPr>
      <w:bookmarkStart w:id="12" w:name="_Toc451353164"/>
      <w:r w:rsidRPr="003C53F6">
        <w:t>Economic analysis</w:t>
      </w:r>
      <w:bookmarkEnd w:id="12"/>
      <w:r w:rsidR="00491B3A" w:rsidRPr="003C53F6">
        <w:t xml:space="preserve"> </w:t>
      </w:r>
    </w:p>
    <w:p w:rsidR="00327DAF" w:rsidRPr="003C53F6" w:rsidRDefault="00327DAF" w:rsidP="00327DAF">
      <w:pPr>
        <w:pStyle w:val="ListParagraph"/>
        <w:widowControl/>
      </w:pPr>
    </w:p>
    <w:p w:rsidR="0021575A" w:rsidRPr="003C53F6" w:rsidRDefault="00117B9F" w:rsidP="002431F7">
      <w:pPr>
        <w:pStyle w:val="ListParagraph"/>
        <w:widowControl/>
        <w:numPr>
          <w:ilvl w:val="1"/>
          <w:numId w:val="2"/>
        </w:numPr>
      </w:pPr>
      <w:r w:rsidRPr="003C53F6">
        <w:t>The submission presented an economic evaluation using two structurally similar but independent models</w:t>
      </w:r>
      <w:r w:rsidR="0021575A" w:rsidRPr="003C53F6">
        <w:t>:</w:t>
      </w:r>
      <w:r w:rsidRPr="003C53F6">
        <w:t xml:space="preserve"> </w:t>
      </w:r>
    </w:p>
    <w:p w:rsidR="0021575A" w:rsidRPr="003C53F6" w:rsidRDefault="0021575A" w:rsidP="0021575A">
      <w:pPr>
        <w:pStyle w:val="ListParagraph"/>
        <w:widowControl/>
      </w:pPr>
    </w:p>
    <w:p w:rsidR="0021575A" w:rsidRPr="003C53F6" w:rsidRDefault="00117B9F" w:rsidP="0021575A">
      <w:pPr>
        <w:pStyle w:val="ListParagraph"/>
        <w:widowControl/>
      </w:pPr>
      <w:r w:rsidRPr="003C53F6">
        <w:t>The first was a Markov state transition model which consider</w:t>
      </w:r>
      <w:r w:rsidR="00C51E55" w:rsidRPr="003C53F6">
        <w:t>ed</w:t>
      </w:r>
      <w:r w:rsidRPr="003C53F6">
        <w:t xml:space="preserve"> the costs and consequences of prevention, detection and treatment of HIV infection in a homogeneous cohort of individuals at high risk of</w:t>
      </w:r>
      <w:r w:rsidR="00C51E55" w:rsidRPr="003C53F6">
        <w:t xml:space="preserve"> infection. This model considered</w:t>
      </w:r>
      <w:r w:rsidRPr="003C53F6">
        <w:t xml:space="preserve"> the costs and consequences of treating an average individual at high risk of HIV infection without taking into account costs and consequences within the broader population. </w:t>
      </w:r>
    </w:p>
    <w:p w:rsidR="0021575A" w:rsidRPr="003C53F6" w:rsidRDefault="0021575A" w:rsidP="0021575A">
      <w:pPr>
        <w:pStyle w:val="ListParagraph"/>
        <w:widowControl/>
      </w:pPr>
    </w:p>
    <w:p w:rsidR="00117B9F" w:rsidRPr="003C53F6" w:rsidRDefault="00117B9F" w:rsidP="0021575A">
      <w:pPr>
        <w:pStyle w:val="ListParagraph"/>
        <w:widowControl/>
      </w:pPr>
      <w:r w:rsidRPr="003C53F6">
        <w:t>The second was a population dynamic transmission model, which also consider</w:t>
      </w:r>
      <w:r w:rsidR="00C51E55" w:rsidRPr="003C53F6">
        <w:t>ed</w:t>
      </w:r>
      <w:r w:rsidRPr="003C53F6">
        <w:t xml:space="preserve"> patterns of </w:t>
      </w:r>
      <w:proofErr w:type="spellStart"/>
      <w:r w:rsidRPr="003C53F6">
        <w:t>PrEP</w:t>
      </w:r>
      <w:proofErr w:type="spellEnd"/>
      <w:r w:rsidRPr="003C53F6">
        <w:t xml:space="preserve"> use in the community and the potential impact of the intervention on the Australian HIV epidemic and associated infection risk over time. This model consider</w:t>
      </w:r>
      <w:r w:rsidR="00C51E55" w:rsidRPr="003C53F6">
        <w:t>ed</w:t>
      </w:r>
      <w:r w:rsidRPr="003C53F6">
        <w:t xml:space="preserve"> the incremental costs and consequences of a given level of </w:t>
      </w:r>
      <w:proofErr w:type="spellStart"/>
      <w:r w:rsidRPr="003C53F6">
        <w:t>Truvada</w:t>
      </w:r>
      <w:proofErr w:type="spellEnd"/>
      <w:r w:rsidRPr="003C53F6">
        <w:t xml:space="preserve"> uptake among subjects meeting certain eligibility criteria from within a broader population.</w:t>
      </w:r>
    </w:p>
    <w:p w:rsidR="0021575A" w:rsidRPr="003C53F6" w:rsidRDefault="0021575A" w:rsidP="0021575A">
      <w:pPr>
        <w:pStyle w:val="ListParagraph"/>
        <w:widowControl/>
        <w:rPr>
          <w:szCs w:val="22"/>
        </w:rPr>
      </w:pPr>
    </w:p>
    <w:p w:rsidR="0021575A" w:rsidRPr="003C53F6" w:rsidRDefault="0021575A" w:rsidP="0021575A">
      <w:pPr>
        <w:pStyle w:val="ListParagraph"/>
        <w:numPr>
          <w:ilvl w:val="1"/>
          <w:numId w:val="2"/>
        </w:numPr>
      </w:pPr>
      <w:r w:rsidRPr="003C53F6">
        <w:t>Although the results of the six trials presented in section B of the submission were meta-analysed, the meta-analysed efficacy estimate was not used in the economic evaluation. Instead, modelled efficacy (RRR 90%) was based on the efficacy in highly adherent subjects (RRR 90%-92%) from two of the six clinical trials (</w:t>
      </w:r>
      <w:proofErr w:type="spellStart"/>
      <w:r w:rsidRPr="003C53F6">
        <w:t>iPrEx</w:t>
      </w:r>
      <w:proofErr w:type="spellEnd"/>
      <w:r w:rsidRPr="003C53F6">
        <w:t xml:space="preserve"> and Partners </w:t>
      </w:r>
      <w:proofErr w:type="spellStart"/>
      <w:r w:rsidRPr="003C53F6">
        <w:t>PrEP</w:t>
      </w:r>
      <w:proofErr w:type="spellEnd"/>
      <w:r w:rsidRPr="003C53F6">
        <w:t xml:space="preserve">). The ESC considered that the relevance of these two studies to the intended PBS population was not well supported, in particular given that these studies were undertaken in populations known to have a higher incidence of HIV than Australia. Of the presented studies, the ESC considered that </w:t>
      </w:r>
      <w:r w:rsidRPr="003C53F6">
        <w:rPr>
          <w:szCs w:val="22"/>
        </w:rPr>
        <w:t>PROUD would appear to be the most (if not only) relevant eligible population.</w:t>
      </w:r>
    </w:p>
    <w:p w:rsidR="00117B9F" w:rsidRPr="003C53F6" w:rsidRDefault="00117B9F" w:rsidP="0078498A">
      <w:pPr>
        <w:pageBreakBefore/>
        <w:rPr>
          <w:rStyle w:val="CommentReference"/>
        </w:rPr>
      </w:pPr>
      <w:r w:rsidRPr="003C53F6">
        <w:rPr>
          <w:rStyle w:val="CommentReference"/>
        </w:rPr>
        <w:lastRenderedPageBreak/>
        <w:t xml:space="preserve">Table </w:t>
      </w:r>
      <w:r w:rsidR="00C51E55" w:rsidRPr="003C53F6">
        <w:rPr>
          <w:rStyle w:val="CommentReference"/>
        </w:rPr>
        <w:t>6</w:t>
      </w:r>
      <w:r w:rsidRPr="003C53F6">
        <w:rPr>
          <w:rStyle w:val="CommentReference"/>
        </w:rPr>
        <w:t>: Summary of model structure and rationale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28"/>
        <w:gridCol w:w="3267"/>
        <w:gridCol w:w="3477"/>
      </w:tblGrid>
      <w:tr w:rsidR="00117B9F" w:rsidRPr="003C53F6" w:rsidTr="00A41313">
        <w:trPr>
          <w:trHeight w:val="240"/>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Time horizon</w:t>
            </w:r>
          </w:p>
        </w:tc>
        <w:tc>
          <w:tcPr>
            <w:tcW w:w="6744" w:type="dxa"/>
            <w:gridSpan w:val="2"/>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20 years in the model base case versus median ~2 years of use in the trials.</w:t>
            </w:r>
          </w:p>
        </w:tc>
      </w:tr>
      <w:tr w:rsidR="00117B9F" w:rsidRPr="003C53F6" w:rsidTr="00A41313">
        <w:trPr>
          <w:trHeight w:val="217"/>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Outcomes</w:t>
            </w:r>
          </w:p>
        </w:tc>
        <w:tc>
          <w:tcPr>
            <w:tcW w:w="6744" w:type="dxa"/>
            <w:gridSpan w:val="2"/>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Costs per QALY gained.</w:t>
            </w:r>
          </w:p>
        </w:tc>
      </w:tr>
      <w:tr w:rsidR="00117B9F" w:rsidRPr="003C53F6" w:rsidTr="00A41313">
        <w:trPr>
          <w:trHeight w:val="462"/>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Methods used to generate results</w:t>
            </w:r>
          </w:p>
        </w:tc>
        <w:tc>
          <w:tcPr>
            <w:tcW w:w="3267"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Model 1</w:t>
            </w:r>
          </w:p>
          <w:p w:rsidR="00117B9F" w:rsidRPr="003C53F6" w:rsidRDefault="00117B9F" w:rsidP="00A41313">
            <w:pPr>
              <w:rPr>
                <w:rFonts w:ascii="Arial Narrow" w:hAnsi="Arial Narrow"/>
                <w:sz w:val="20"/>
              </w:rPr>
            </w:pPr>
            <w:r w:rsidRPr="003C53F6">
              <w:rPr>
                <w:rFonts w:ascii="Arial Narrow" w:hAnsi="Arial Narrow"/>
                <w:sz w:val="20"/>
              </w:rPr>
              <w:t>Cohort expected value analysis</w:t>
            </w:r>
          </w:p>
        </w:tc>
        <w:tc>
          <w:tcPr>
            <w:tcW w:w="3477"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Model 2</w:t>
            </w:r>
          </w:p>
          <w:p w:rsidR="00117B9F" w:rsidRPr="003C53F6" w:rsidRDefault="00117B9F" w:rsidP="00A41313">
            <w:pPr>
              <w:rPr>
                <w:rFonts w:ascii="Arial Narrow" w:hAnsi="Arial Narrow"/>
                <w:sz w:val="20"/>
              </w:rPr>
            </w:pPr>
            <w:r w:rsidRPr="003C53F6">
              <w:rPr>
                <w:rFonts w:ascii="Arial Narrow" w:hAnsi="Arial Narrow"/>
                <w:sz w:val="20"/>
              </w:rPr>
              <w:t>Monte Carlo simulation</w:t>
            </w:r>
          </w:p>
        </w:tc>
      </w:tr>
      <w:tr w:rsidR="00117B9F" w:rsidRPr="003C53F6" w:rsidTr="00A41313">
        <w:trPr>
          <w:trHeight w:val="225"/>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Cycle length</w:t>
            </w:r>
          </w:p>
        </w:tc>
        <w:tc>
          <w:tcPr>
            <w:tcW w:w="6744" w:type="dxa"/>
            <w:gridSpan w:val="2"/>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1 month</w:t>
            </w:r>
          </w:p>
        </w:tc>
      </w:tr>
      <w:tr w:rsidR="00117B9F" w:rsidRPr="003C53F6" w:rsidTr="00A41313">
        <w:trPr>
          <w:trHeight w:val="187"/>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Transition probabilities</w:t>
            </w:r>
          </w:p>
        </w:tc>
        <w:tc>
          <w:tcPr>
            <w:tcW w:w="3267"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Model 1</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Model entry in susceptible health state.</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 xml:space="preserve">Infection risk: 5% per annum, modified in the </w:t>
            </w:r>
            <w:proofErr w:type="spellStart"/>
            <w:r w:rsidRPr="003C53F6">
              <w:rPr>
                <w:rFonts w:ascii="Arial Narrow" w:hAnsi="Arial Narrow"/>
                <w:sz w:val="20"/>
              </w:rPr>
              <w:t>Truvada</w:t>
            </w:r>
            <w:proofErr w:type="spellEnd"/>
            <w:r w:rsidRPr="003C53F6">
              <w:rPr>
                <w:rFonts w:ascii="Arial Narrow" w:hAnsi="Arial Narrow"/>
                <w:sz w:val="20"/>
              </w:rPr>
              <w:t xml:space="preserve"> arm based on efficacy, adherence and an inhibition factor.</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 xml:space="preserve">HIV progression and improvement: based on previous Australian modelling, </w:t>
            </w:r>
            <w:proofErr w:type="gramStart"/>
            <w:r w:rsidRPr="003C53F6">
              <w:rPr>
                <w:rFonts w:ascii="Arial Narrow" w:hAnsi="Arial Narrow"/>
                <w:sz w:val="20"/>
              </w:rPr>
              <w:t>see</w:t>
            </w:r>
            <w:proofErr w:type="gramEnd"/>
            <w:r w:rsidRPr="003C53F6">
              <w:rPr>
                <w:rFonts w:ascii="Arial Narrow" w:hAnsi="Arial Narrow"/>
                <w:sz w:val="20"/>
              </w:rPr>
              <w:t xml:space="preserve"> section D.4.3.3 of the submission.</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Background mortality: age-specific all-cause mortality sourced from the AIHW GRIM books, 2013.</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Disease specific mortality: based on literature, see Table D-4 of the submission.</w:t>
            </w:r>
          </w:p>
        </w:tc>
        <w:tc>
          <w:tcPr>
            <w:tcW w:w="3477"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Model 2</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Model entry in one of the health states based on epidemiological data (see section D.4.2 of the submission).</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 xml:space="preserve">Infection risk: function of population incidence risk (determined by currently “infectious” population), various individual risk factors, whether or not they take </w:t>
            </w:r>
            <w:proofErr w:type="spellStart"/>
            <w:r w:rsidRPr="003C53F6">
              <w:rPr>
                <w:rFonts w:ascii="Arial Narrow" w:hAnsi="Arial Narrow"/>
                <w:sz w:val="20"/>
              </w:rPr>
              <w:t>Truvada</w:t>
            </w:r>
            <w:proofErr w:type="spellEnd"/>
            <w:r w:rsidRPr="003C53F6">
              <w:rPr>
                <w:rFonts w:ascii="Arial Narrow" w:hAnsi="Arial Narrow"/>
                <w:sz w:val="20"/>
              </w:rPr>
              <w:t xml:space="preserve"> in that cycle, efficacy, adherence and an inhibition factor. </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 xml:space="preserve">HIV progression and improvement: based on previous Australian modelling, </w:t>
            </w:r>
            <w:proofErr w:type="gramStart"/>
            <w:r w:rsidRPr="003C53F6">
              <w:rPr>
                <w:rFonts w:ascii="Arial Narrow" w:hAnsi="Arial Narrow"/>
                <w:sz w:val="20"/>
              </w:rPr>
              <w:t>see</w:t>
            </w:r>
            <w:proofErr w:type="gramEnd"/>
            <w:r w:rsidRPr="003C53F6">
              <w:rPr>
                <w:rFonts w:ascii="Arial Narrow" w:hAnsi="Arial Narrow"/>
                <w:sz w:val="20"/>
              </w:rPr>
              <w:t xml:space="preserve"> section D.4.3.3 of the submission.</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Background mortality: age- and gender-specific all-cause mortality sourced from the ABS 2014.</w:t>
            </w:r>
          </w:p>
          <w:p w:rsidR="00117B9F" w:rsidRPr="003C53F6" w:rsidRDefault="00117B9F" w:rsidP="00A41313">
            <w:pPr>
              <w:rPr>
                <w:rFonts w:ascii="Arial Narrow" w:hAnsi="Arial Narrow"/>
                <w:sz w:val="20"/>
              </w:rPr>
            </w:pPr>
          </w:p>
          <w:p w:rsidR="00117B9F" w:rsidRPr="003C53F6" w:rsidRDefault="00117B9F" w:rsidP="00A41313">
            <w:pPr>
              <w:rPr>
                <w:rFonts w:ascii="Arial Narrow" w:hAnsi="Arial Narrow"/>
                <w:sz w:val="20"/>
              </w:rPr>
            </w:pPr>
            <w:r w:rsidRPr="003C53F6">
              <w:rPr>
                <w:rFonts w:ascii="Arial Narrow" w:hAnsi="Arial Narrow"/>
                <w:sz w:val="20"/>
              </w:rPr>
              <w:t>Disease specific mortality:  based on literature, see Table D-4 of the submission.</w:t>
            </w:r>
          </w:p>
        </w:tc>
      </w:tr>
      <w:tr w:rsidR="00117B9F" w:rsidRPr="003C53F6" w:rsidTr="00A41313">
        <w:trPr>
          <w:trHeight w:val="240"/>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Discount rate</w:t>
            </w:r>
          </w:p>
        </w:tc>
        <w:tc>
          <w:tcPr>
            <w:tcW w:w="6744" w:type="dxa"/>
            <w:gridSpan w:val="2"/>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5% for costs and outcomes</w:t>
            </w:r>
          </w:p>
        </w:tc>
      </w:tr>
      <w:tr w:rsidR="00117B9F" w:rsidRPr="003C53F6" w:rsidTr="00A41313">
        <w:trPr>
          <w:trHeight w:val="225"/>
        </w:trPr>
        <w:tc>
          <w:tcPr>
            <w:tcW w:w="2328" w:type="dxa"/>
            <w:shd w:val="clear" w:color="auto" w:fill="auto"/>
          </w:tcPr>
          <w:p w:rsidR="00117B9F" w:rsidRPr="003C53F6" w:rsidRDefault="00117B9F" w:rsidP="00A41313">
            <w:pPr>
              <w:rPr>
                <w:rFonts w:ascii="Arial Narrow" w:hAnsi="Arial Narrow"/>
                <w:sz w:val="20"/>
              </w:rPr>
            </w:pPr>
            <w:r w:rsidRPr="003C53F6">
              <w:rPr>
                <w:rFonts w:ascii="Arial Narrow" w:hAnsi="Arial Narrow"/>
                <w:sz w:val="20"/>
              </w:rPr>
              <w:t>Software package</w:t>
            </w:r>
          </w:p>
        </w:tc>
        <w:tc>
          <w:tcPr>
            <w:tcW w:w="6744" w:type="dxa"/>
            <w:gridSpan w:val="2"/>
            <w:shd w:val="clear" w:color="auto" w:fill="auto"/>
          </w:tcPr>
          <w:p w:rsidR="00117B9F" w:rsidRPr="003C53F6" w:rsidRDefault="00117B9F" w:rsidP="00A41313">
            <w:pPr>
              <w:rPr>
                <w:rFonts w:ascii="Arial Narrow" w:hAnsi="Arial Narrow"/>
                <w:color w:val="3366FF"/>
                <w:sz w:val="20"/>
              </w:rPr>
            </w:pPr>
            <w:proofErr w:type="spellStart"/>
            <w:r w:rsidRPr="003C53F6">
              <w:rPr>
                <w:rFonts w:ascii="Arial Narrow" w:hAnsi="Arial Narrow"/>
                <w:sz w:val="20"/>
              </w:rPr>
              <w:t>TreeAge</w:t>
            </w:r>
            <w:proofErr w:type="spellEnd"/>
            <w:r w:rsidRPr="003C53F6">
              <w:rPr>
                <w:rFonts w:ascii="Arial Narrow" w:hAnsi="Arial Narrow"/>
                <w:sz w:val="20"/>
              </w:rPr>
              <w:t xml:space="preserve"> Pro 2015.</w:t>
            </w:r>
          </w:p>
        </w:tc>
      </w:tr>
    </w:tbl>
    <w:p w:rsidR="00117B9F" w:rsidRPr="003C53F6" w:rsidRDefault="00117B9F" w:rsidP="00117B9F">
      <w:pPr>
        <w:pStyle w:val="TableFooter"/>
      </w:pPr>
      <w:r w:rsidRPr="003C53F6">
        <w:t xml:space="preserve">Source: </w:t>
      </w:r>
      <w:r w:rsidR="00936B91" w:rsidRPr="003C53F6">
        <w:t>compiled</w:t>
      </w:r>
      <w:r w:rsidRPr="003C53F6">
        <w:t xml:space="preserve"> during the evaluation</w:t>
      </w:r>
      <w:r w:rsidR="00936B91" w:rsidRPr="003C53F6">
        <w:t>.</w:t>
      </w:r>
    </w:p>
    <w:p w:rsidR="00117B9F" w:rsidRPr="003C53F6" w:rsidRDefault="00117B9F" w:rsidP="00117B9F">
      <w:pPr>
        <w:pStyle w:val="TableFooter"/>
      </w:pPr>
      <w:r w:rsidRPr="003C53F6">
        <w:t xml:space="preserve">Abbreviations: ABS = Australian Bureau of Statistics, AIHW = authoritative information </w:t>
      </w:r>
      <w:r w:rsidR="00A113F7" w:rsidRPr="003C53F6">
        <w:t>and</w:t>
      </w:r>
      <w:r w:rsidRPr="003C53F6">
        <w:t xml:space="preserve"> statistics to promote better health and wellbeing, GRIM = general record of incidence of mortality, QALYs = quality-adjusted life years.</w:t>
      </w:r>
    </w:p>
    <w:p w:rsidR="0021575A" w:rsidRPr="003C53F6" w:rsidRDefault="0021575A" w:rsidP="0021575A">
      <w:pPr>
        <w:pStyle w:val="ListParagraph"/>
        <w:widowControl/>
        <w:rPr>
          <w:szCs w:val="22"/>
        </w:rPr>
      </w:pPr>
    </w:p>
    <w:p w:rsidR="001E47E3" w:rsidRPr="003C53F6" w:rsidRDefault="001E47E3" w:rsidP="002431F7">
      <w:pPr>
        <w:pStyle w:val="ListParagraph"/>
        <w:widowControl/>
        <w:numPr>
          <w:ilvl w:val="1"/>
          <w:numId w:val="2"/>
        </w:numPr>
        <w:rPr>
          <w:szCs w:val="22"/>
        </w:rPr>
      </w:pPr>
      <w:r w:rsidRPr="003C53F6">
        <w:t xml:space="preserve">In model 1, the HIV infection risk was assumed to be a fixed 5% per annum over the whole time horizon (20 years). This risk is higher than the minimum annual risk of HIV infection as required by the proposed PBS listing (3%), which may favour </w:t>
      </w:r>
      <w:proofErr w:type="spellStart"/>
      <w:r w:rsidRPr="003C53F6">
        <w:t>Truvada</w:t>
      </w:r>
      <w:proofErr w:type="spellEnd"/>
      <w:r w:rsidRPr="003C53F6">
        <w:t>. Reducing the risk to 3% increased the ICER from $</w:t>
      </w:r>
      <w:r w:rsidR="007D62F1">
        <w:t xml:space="preserve">105,000/QALY - $200,000/QALY </w:t>
      </w:r>
      <w:r w:rsidRPr="003C53F6">
        <w:t xml:space="preserve">to </w:t>
      </w:r>
      <w:r w:rsidR="007D62F1">
        <w:t xml:space="preserve">more than </w:t>
      </w:r>
      <w:r w:rsidRPr="003C53F6">
        <w:t>$</w:t>
      </w:r>
      <w:r w:rsidR="007D62F1">
        <w:t xml:space="preserve">200,000/QALY </w:t>
      </w:r>
      <w:r w:rsidRPr="003C53F6">
        <w:t xml:space="preserve">gained. The approach may lack face validity and overestimate the long-term risk of acquiring HIV. For example using a constant risk of 5% results in only 36% of subjects being HIV negative after 20 years in the comparator arm (compared to 80% in the </w:t>
      </w:r>
      <w:proofErr w:type="spellStart"/>
      <w:r w:rsidRPr="003C53F6">
        <w:t>Truvada</w:t>
      </w:r>
      <w:proofErr w:type="spellEnd"/>
      <w:r w:rsidRPr="003C53F6">
        <w:t xml:space="preserve"> arm). These proportions of </w:t>
      </w:r>
      <w:proofErr w:type="spellStart"/>
      <w:r w:rsidRPr="003C53F6">
        <w:t>seroconversions</w:t>
      </w:r>
      <w:proofErr w:type="spellEnd"/>
      <w:r w:rsidRPr="003C53F6">
        <w:t xml:space="preserve"> were not observed in the clinical trials, which only covered ~2 years </w:t>
      </w:r>
      <w:r w:rsidR="00584E93" w:rsidRPr="003C53F6">
        <w:t>e</w:t>
      </w:r>
      <w:r w:rsidRPr="003C53F6">
        <w:t xml:space="preserve">.g. in the </w:t>
      </w:r>
      <w:proofErr w:type="spellStart"/>
      <w:r w:rsidRPr="003C53F6">
        <w:t>iPrEx</w:t>
      </w:r>
      <w:proofErr w:type="spellEnd"/>
      <w:r w:rsidRPr="003C53F6">
        <w:t xml:space="preserve"> trial ~5% of placebo subjects and ~3% of </w:t>
      </w:r>
      <w:proofErr w:type="spellStart"/>
      <w:r w:rsidRPr="003C53F6">
        <w:t>Truvada</w:t>
      </w:r>
      <w:proofErr w:type="spellEnd"/>
      <w:r w:rsidRPr="003C53F6">
        <w:t xml:space="preserve"> subjects seroconverted. </w:t>
      </w:r>
    </w:p>
    <w:p w:rsidR="001E47E3" w:rsidRPr="003C53F6" w:rsidRDefault="001E47E3" w:rsidP="00392C6C">
      <w:pPr>
        <w:pStyle w:val="ListParagraph"/>
        <w:widowControl/>
      </w:pPr>
    </w:p>
    <w:p w:rsidR="00E42641" w:rsidRPr="003C53F6" w:rsidRDefault="00E42641" w:rsidP="002431F7">
      <w:pPr>
        <w:pStyle w:val="ListParagraph"/>
        <w:widowControl/>
        <w:numPr>
          <w:ilvl w:val="1"/>
          <w:numId w:val="2"/>
        </w:numPr>
      </w:pPr>
      <w:r w:rsidRPr="003C53F6">
        <w:t>The ESC noted that the submission acknowledged that model 2 is an imperfect substitute for the more complex modelling of social and sexual interactions common in the broader HIV literature. However, the submission considered it appropriate for the current decision context “in which the target population is intentionally defined by broad risk criteria, and the evaluation process is constrained in terms of transparency, software and time”.</w:t>
      </w:r>
    </w:p>
    <w:p w:rsidR="00E42641" w:rsidRPr="003C53F6" w:rsidRDefault="00E42641" w:rsidP="00392C6C">
      <w:pPr>
        <w:pStyle w:val="ListParagraph"/>
        <w:widowControl/>
      </w:pPr>
    </w:p>
    <w:p w:rsidR="00392C6C" w:rsidRPr="003C53F6" w:rsidRDefault="00A51170" w:rsidP="00D114DF">
      <w:pPr>
        <w:pStyle w:val="ListParagraph"/>
        <w:widowControl/>
        <w:numPr>
          <w:ilvl w:val="1"/>
          <w:numId w:val="2"/>
        </w:numPr>
      </w:pPr>
      <w:r w:rsidRPr="003C53F6">
        <w:lastRenderedPageBreak/>
        <w:t>The ESC noted that the infection rates from model 2 had not been calibrated against Australian HIV infection rates and considered that some of the results generated by model 2 lacked face validity, for instance the rapid decline in incident HIV infections</w:t>
      </w:r>
      <w:r w:rsidR="00D819CB">
        <w:t xml:space="preserve"> in both the </w:t>
      </w:r>
      <w:proofErr w:type="spellStart"/>
      <w:r w:rsidR="00D819CB">
        <w:t>PrEP</w:t>
      </w:r>
      <w:proofErr w:type="spellEnd"/>
      <w:r w:rsidR="00D819CB">
        <w:t xml:space="preserve"> and the no </w:t>
      </w:r>
      <w:proofErr w:type="spellStart"/>
      <w:r w:rsidR="00D819CB">
        <w:t>PrEP</w:t>
      </w:r>
      <w:proofErr w:type="spellEnd"/>
      <w:r w:rsidR="00D819CB">
        <w:t xml:space="preserve"> scenarios</w:t>
      </w:r>
      <w:r w:rsidRPr="003C53F6">
        <w:t xml:space="preserve">. Annual infections reduced from over 1,000 at baseline to less than 200 in years 7 and 10 in the </w:t>
      </w:r>
      <w:proofErr w:type="spellStart"/>
      <w:r w:rsidRPr="003C53F6">
        <w:t>PrEP</w:t>
      </w:r>
      <w:proofErr w:type="spellEnd"/>
      <w:r w:rsidRPr="003C53F6">
        <w:t xml:space="preserve"> and standard of care groups, respectively.</w:t>
      </w:r>
      <w:r w:rsidR="00D114DF" w:rsidRPr="003C53F6">
        <w:t xml:space="preserve"> The Pre-PBAC Response acknowledged that a rapid decline in annual infections was forecast in both treatment arms</w:t>
      </w:r>
      <w:r w:rsidR="00941FB2" w:rsidRPr="003C53F6">
        <w:t>, and</w:t>
      </w:r>
      <w:r w:rsidRPr="003C53F6">
        <w:t xml:space="preserve"> </w:t>
      </w:r>
      <w:r w:rsidR="00D114DF" w:rsidRPr="003C53F6">
        <w:t>clarified that the reduction in the standard of care group was “driven by recently implemented ini</w:t>
      </w:r>
      <w:r w:rsidR="00C87D70">
        <w:t>ti</w:t>
      </w:r>
      <w:r w:rsidR="00D114DF" w:rsidRPr="003C53F6">
        <w:t xml:space="preserve">atives of the National HIV Strategy, the effect of which has yet to be observed.” </w:t>
      </w:r>
      <w:r w:rsidRPr="003C53F6">
        <w:t xml:space="preserve">The ESC further noted that the independent NHMRC-funded agent based model developed by researchers at </w:t>
      </w:r>
      <w:r w:rsidR="009128C7" w:rsidRPr="003C53F6">
        <w:t xml:space="preserve">the Kirby institute, </w:t>
      </w:r>
      <w:r w:rsidRPr="003C53F6">
        <w:t>UNSW</w:t>
      </w:r>
      <w:r w:rsidR="009128C7" w:rsidRPr="003C53F6">
        <w:t>,</w:t>
      </w:r>
      <w:r w:rsidRPr="003C53F6">
        <w:t xml:space="preserve"> provided calibrated estimates of the cost-effectiveness of </w:t>
      </w:r>
      <w:proofErr w:type="spellStart"/>
      <w:r w:rsidRPr="003C53F6">
        <w:t>PrEP</w:t>
      </w:r>
      <w:proofErr w:type="spellEnd"/>
      <w:r w:rsidRPr="003C53F6">
        <w:t xml:space="preserve"> (Schneider et al, 2014</w:t>
      </w:r>
      <w:r w:rsidR="000F656C" w:rsidRPr="003C53F6">
        <w:rPr>
          <w:rStyle w:val="FootnoteReference"/>
        </w:rPr>
        <w:footnoteReference w:id="2"/>
      </w:r>
      <w:r w:rsidRPr="003C53F6">
        <w:t xml:space="preserve">). This model demonstrated that the cost-effectiveness of </w:t>
      </w:r>
      <w:proofErr w:type="spellStart"/>
      <w:r w:rsidRPr="003C53F6">
        <w:t>PrEP</w:t>
      </w:r>
      <w:proofErr w:type="spellEnd"/>
      <w:r w:rsidRPr="003C53F6">
        <w:t xml:space="preserve"> is dependent on </w:t>
      </w:r>
      <w:r w:rsidR="00FF48E5">
        <w:t>the extent of targeting by baseline</w:t>
      </w:r>
      <w:r w:rsidRPr="003C53F6">
        <w:t xml:space="preserve"> infection risk</w:t>
      </w:r>
      <w:r w:rsidR="00FF48E5">
        <w:t xml:space="preserve">, but under almost all scenarios modelled </w:t>
      </w:r>
      <w:proofErr w:type="spellStart"/>
      <w:r w:rsidR="00FF48E5">
        <w:t>PrEP</w:t>
      </w:r>
      <w:proofErr w:type="spellEnd"/>
      <w:r w:rsidR="00FF48E5">
        <w:t xml:space="preserve"> was unlikely to be cost-effective in the Australian context</w:t>
      </w:r>
      <w:r w:rsidRPr="003C53F6">
        <w:t>. The ESC considered that an agent based model in which individual interactions, and hence risk over time can be model</w:t>
      </w:r>
      <w:r w:rsidR="00C87D70">
        <w:t>led</w:t>
      </w:r>
      <w:r w:rsidRPr="003C53F6">
        <w:t xml:space="preserve">, may be required to accurately model the impact of </w:t>
      </w:r>
      <w:proofErr w:type="spellStart"/>
      <w:r w:rsidRPr="003C53F6">
        <w:t>PrEP.</w:t>
      </w:r>
      <w:proofErr w:type="spellEnd"/>
    </w:p>
    <w:p w:rsidR="00B93BE1" w:rsidRPr="003C53F6" w:rsidRDefault="00B93BE1" w:rsidP="001E47E3">
      <w:pPr>
        <w:pStyle w:val="ListParagraph"/>
        <w:widowControl/>
        <w:rPr>
          <w:szCs w:val="22"/>
        </w:rPr>
      </w:pPr>
    </w:p>
    <w:p w:rsidR="00275C5A" w:rsidRPr="003C53F6" w:rsidRDefault="0020505C" w:rsidP="002431F7">
      <w:pPr>
        <w:pStyle w:val="ListParagraph"/>
        <w:widowControl/>
        <w:numPr>
          <w:ilvl w:val="1"/>
          <w:numId w:val="2"/>
        </w:numPr>
        <w:rPr>
          <w:szCs w:val="22"/>
        </w:rPr>
      </w:pPr>
      <w:r w:rsidRPr="003C53F6">
        <w:rPr>
          <w:szCs w:val="22"/>
        </w:rPr>
        <w:t>The key drivers of the model</w:t>
      </w:r>
      <w:r w:rsidR="00830366">
        <w:rPr>
          <w:szCs w:val="22"/>
        </w:rPr>
        <w:t>s</w:t>
      </w:r>
      <w:r w:rsidRPr="003C53F6">
        <w:rPr>
          <w:szCs w:val="22"/>
        </w:rPr>
        <w:t xml:space="preserve"> are provided below. </w:t>
      </w:r>
    </w:p>
    <w:p w:rsidR="00275C5A" w:rsidRPr="003C53F6" w:rsidRDefault="00275C5A" w:rsidP="00275C5A">
      <w:pPr>
        <w:widowControl/>
        <w:rPr>
          <w:szCs w:val="22"/>
        </w:rPr>
      </w:pPr>
    </w:p>
    <w:p w:rsidR="00D110BD" w:rsidRPr="003C53F6" w:rsidRDefault="00D110BD" w:rsidP="00E629F8">
      <w:pPr>
        <w:rPr>
          <w:rStyle w:val="CommentReference"/>
        </w:rPr>
      </w:pPr>
      <w:r w:rsidRPr="003C53F6">
        <w:rPr>
          <w:rStyle w:val="CommentReference"/>
        </w:rPr>
        <w:t xml:space="preserve">Table </w:t>
      </w:r>
      <w:r w:rsidR="00C51E55" w:rsidRPr="003C53F6">
        <w:rPr>
          <w:rStyle w:val="CommentReference"/>
        </w:rPr>
        <w:t>7</w:t>
      </w:r>
      <w:r w:rsidRPr="003C53F6">
        <w:rPr>
          <w:rStyle w:val="CommentReference"/>
        </w:rPr>
        <w:t>: Key drivers of the model</w:t>
      </w:r>
      <w:r w:rsidR="00830366">
        <w:rPr>
          <w:rStyle w:val="CommentReference"/>
        </w:rPr>
        <w:t>s</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2"/>
        <w:gridCol w:w="3544"/>
        <w:gridCol w:w="2249"/>
      </w:tblGrid>
      <w:tr w:rsidR="00D110BD" w:rsidRPr="003C53F6" w:rsidTr="00E629F8">
        <w:trPr>
          <w:tblHeader/>
        </w:trPr>
        <w:tc>
          <w:tcPr>
            <w:tcW w:w="1801" w:type="pct"/>
            <w:shd w:val="clear" w:color="auto" w:fill="auto"/>
            <w:vAlign w:val="center"/>
          </w:tcPr>
          <w:p w:rsidR="00D110BD" w:rsidRPr="003C53F6" w:rsidRDefault="00D110BD" w:rsidP="00D110BD">
            <w:pPr>
              <w:jc w:val="left"/>
              <w:rPr>
                <w:rFonts w:ascii="Arial Narrow" w:hAnsi="Arial Narrow"/>
                <w:b/>
                <w:sz w:val="20"/>
              </w:rPr>
            </w:pPr>
            <w:r w:rsidRPr="003C53F6">
              <w:rPr>
                <w:rFonts w:ascii="Arial Narrow" w:hAnsi="Arial Narrow"/>
                <w:b/>
                <w:sz w:val="20"/>
              </w:rPr>
              <w:t>Description</w:t>
            </w:r>
          </w:p>
        </w:tc>
        <w:tc>
          <w:tcPr>
            <w:tcW w:w="1957" w:type="pct"/>
            <w:shd w:val="clear" w:color="auto" w:fill="auto"/>
            <w:vAlign w:val="center"/>
          </w:tcPr>
          <w:p w:rsidR="00D110BD" w:rsidRPr="003C53F6" w:rsidRDefault="00D110BD" w:rsidP="00D110BD">
            <w:pPr>
              <w:jc w:val="center"/>
              <w:rPr>
                <w:rFonts w:ascii="Arial Narrow" w:hAnsi="Arial Narrow"/>
                <w:b/>
                <w:sz w:val="20"/>
              </w:rPr>
            </w:pPr>
            <w:r w:rsidRPr="003C53F6">
              <w:rPr>
                <w:rFonts w:ascii="Arial Narrow" w:hAnsi="Arial Narrow"/>
                <w:b/>
                <w:sz w:val="20"/>
              </w:rPr>
              <w:t>Method/Value</w:t>
            </w:r>
          </w:p>
        </w:tc>
        <w:tc>
          <w:tcPr>
            <w:tcW w:w="1243" w:type="pct"/>
            <w:shd w:val="clear" w:color="auto" w:fill="auto"/>
            <w:vAlign w:val="center"/>
          </w:tcPr>
          <w:p w:rsidR="00D110BD" w:rsidRPr="003C53F6" w:rsidRDefault="00D110BD" w:rsidP="00D110BD">
            <w:pPr>
              <w:jc w:val="center"/>
              <w:rPr>
                <w:rFonts w:ascii="Arial Narrow" w:hAnsi="Arial Narrow"/>
                <w:b/>
                <w:sz w:val="20"/>
              </w:rPr>
            </w:pPr>
            <w:r w:rsidRPr="003C53F6">
              <w:rPr>
                <w:rFonts w:ascii="Arial Narrow" w:hAnsi="Arial Narrow"/>
                <w:b/>
                <w:sz w:val="20"/>
              </w:rPr>
              <w:t>Impact</w:t>
            </w:r>
          </w:p>
        </w:tc>
      </w:tr>
      <w:tr w:rsidR="00D110BD" w:rsidRPr="003C53F6" w:rsidTr="00E629F8">
        <w:tc>
          <w:tcPr>
            <w:tcW w:w="1801" w:type="pct"/>
            <w:shd w:val="clear" w:color="auto" w:fill="auto"/>
            <w:vAlign w:val="center"/>
          </w:tcPr>
          <w:p w:rsidR="00D110BD" w:rsidRPr="003C53F6" w:rsidRDefault="00D110BD" w:rsidP="00D110BD">
            <w:pPr>
              <w:jc w:val="left"/>
              <w:rPr>
                <w:rFonts w:ascii="Arial Narrow" w:hAnsi="Arial Narrow"/>
                <w:sz w:val="20"/>
              </w:rPr>
            </w:pPr>
            <w:r w:rsidRPr="003C53F6">
              <w:rPr>
                <w:rFonts w:ascii="Arial Narrow" w:hAnsi="Arial Narrow"/>
                <w:sz w:val="20"/>
              </w:rPr>
              <w:t>Time horizon</w:t>
            </w:r>
            <w:r w:rsidR="007805B4" w:rsidRPr="003C53F6">
              <w:rPr>
                <w:rFonts w:ascii="Arial Narrow" w:hAnsi="Arial Narrow"/>
                <w:sz w:val="20"/>
              </w:rPr>
              <w:t xml:space="preserve"> (both models)</w:t>
            </w:r>
          </w:p>
        </w:tc>
        <w:tc>
          <w:tcPr>
            <w:tcW w:w="1957" w:type="pct"/>
            <w:shd w:val="clear" w:color="auto" w:fill="auto"/>
            <w:vAlign w:val="center"/>
          </w:tcPr>
          <w:p w:rsidR="00D110BD" w:rsidRPr="003C53F6" w:rsidRDefault="00D110BD" w:rsidP="00DA4CAF">
            <w:pPr>
              <w:jc w:val="center"/>
              <w:rPr>
                <w:rFonts w:ascii="Arial Narrow" w:hAnsi="Arial Narrow"/>
                <w:sz w:val="20"/>
              </w:rPr>
            </w:pPr>
            <w:r w:rsidRPr="003C53F6">
              <w:rPr>
                <w:rFonts w:ascii="Arial Narrow" w:hAnsi="Arial Narrow"/>
                <w:sz w:val="20"/>
              </w:rPr>
              <w:t>2</w:t>
            </w:r>
            <w:r w:rsidR="00DA4CAF" w:rsidRPr="003C53F6">
              <w:rPr>
                <w:rFonts w:ascii="Arial Narrow" w:hAnsi="Arial Narrow"/>
                <w:sz w:val="20"/>
              </w:rPr>
              <w:t>0</w:t>
            </w:r>
            <w:r w:rsidRPr="003C53F6">
              <w:rPr>
                <w:rFonts w:ascii="Arial Narrow" w:hAnsi="Arial Narrow"/>
                <w:sz w:val="20"/>
              </w:rPr>
              <w:t xml:space="preserve"> years; assumed from </w:t>
            </w:r>
            <w:r w:rsidR="00DA4CAF" w:rsidRPr="003C53F6">
              <w:rPr>
                <w:rFonts w:ascii="Arial Narrow" w:hAnsi="Arial Narrow"/>
                <w:sz w:val="20"/>
              </w:rPr>
              <w:t xml:space="preserve">~2 years </w:t>
            </w:r>
            <w:r w:rsidRPr="003C53F6">
              <w:rPr>
                <w:rFonts w:ascii="Arial Narrow" w:hAnsi="Arial Narrow"/>
                <w:sz w:val="20"/>
              </w:rPr>
              <w:t>trial duration</w:t>
            </w:r>
            <w:r w:rsidR="00B024FD" w:rsidRPr="003C53F6">
              <w:rPr>
                <w:rFonts w:ascii="Arial Narrow" w:hAnsi="Arial Narrow"/>
                <w:sz w:val="20"/>
              </w:rPr>
              <w:t>.</w:t>
            </w:r>
          </w:p>
        </w:tc>
        <w:tc>
          <w:tcPr>
            <w:tcW w:w="1243" w:type="pct"/>
            <w:shd w:val="clear" w:color="auto" w:fill="auto"/>
            <w:vAlign w:val="center"/>
          </w:tcPr>
          <w:p w:rsidR="00D110BD" w:rsidRPr="003C53F6" w:rsidRDefault="00D110BD" w:rsidP="00DA4CAF">
            <w:pPr>
              <w:jc w:val="center"/>
              <w:rPr>
                <w:rFonts w:ascii="Arial Narrow" w:hAnsi="Arial Narrow"/>
                <w:sz w:val="20"/>
              </w:rPr>
            </w:pPr>
            <w:r w:rsidRPr="003C53F6">
              <w:rPr>
                <w:rFonts w:ascii="Arial Narrow" w:hAnsi="Arial Narrow"/>
                <w:sz w:val="20"/>
              </w:rPr>
              <w:t xml:space="preserve">High, favours </w:t>
            </w:r>
            <w:proofErr w:type="spellStart"/>
            <w:r w:rsidR="00DA4CAF" w:rsidRPr="003C53F6">
              <w:rPr>
                <w:rFonts w:ascii="Arial Narrow" w:hAnsi="Arial Narrow"/>
                <w:sz w:val="20"/>
              </w:rPr>
              <w:t>Truvada</w:t>
            </w:r>
            <w:proofErr w:type="spellEnd"/>
          </w:p>
        </w:tc>
      </w:tr>
      <w:tr w:rsidR="00D110BD" w:rsidRPr="003C53F6" w:rsidTr="00E629F8">
        <w:tc>
          <w:tcPr>
            <w:tcW w:w="1801" w:type="pct"/>
            <w:shd w:val="clear" w:color="auto" w:fill="auto"/>
            <w:vAlign w:val="center"/>
          </w:tcPr>
          <w:p w:rsidR="00D110BD" w:rsidRPr="003C53F6" w:rsidRDefault="00DA4CAF" w:rsidP="00D110BD">
            <w:pPr>
              <w:jc w:val="left"/>
              <w:rPr>
                <w:rFonts w:ascii="Arial Narrow" w:hAnsi="Arial Narrow"/>
                <w:sz w:val="20"/>
              </w:rPr>
            </w:pPr>
            <w:r w:rsidRPr="003C53F6">
              <w:rPr>
                <w:rFonts w:ascii="Arial Narrow" w:hAnsi="Arial Narrow"/>
                <w:sz w:val="20"/>
              </w:rPr>
              <w:t>Continuation threshold</w:t>
            </w:r>
            <w:r w:rsidR="007805B4" w:rsidRPr="003C53F6">
              <w:rPr>
                <w:rFonts w:ascii="Arial Narrow" w:hAnsi="Arial Narrow"/>
                <w:sz w:val="20"/>
              </w:rPr>
              <w:t xml:space="preserve"> (model 2)</w:t>
            </w:r>
          </w:p>
        </w:tc>
        <w:tc>
          <w:tcPr>
            <w:tcW w:w="1957" w:type="pct"/>
            <w:shd w:val="clear" w:color="auto" w:fill="auto"/>
            <w:vAlign w:val="center"/>
          </w:tcPr>
          <w:p w:rsidR="00D110BD" w:rsidRPr="003C53F6" w:rsidRDefault="00DA4CAF" w:rsidP="00D110BD">
            <w:pPr>
              <w:jc w:val="center"/>
              <w:rPr>
                <w:rFonts w:ascii="Arial Narrow" w:hAnsi="Arial Narrow"/>
                <w:sz w:val="20"/>
              </w:rPr>
            </w:pPr>
            <w:r w:rsidRPr="003C53F6">
              <w:rPr>
                <w:rFonts w:ascii="Arial Narrow" w:hAnsi="Arial Narrow"/>
                <w:sz w:val="20"/>
              </w:rPr>
              <w:t>2%; assumed while the proposed PBS listing does not include continuation criteria</w:t>
            </w:r>
            <w:r w:rsidR="00B024FD" w:rsidRPr="003C53F6">
              <w:rPr>
                <w:rFonts w:ascii="Arial Narrow" w:hAnsi="Arial Narrow"/>
                <w:sz w:val="20"/>
              </w:rPr>
              <w:t>.</w:t>
            </w:r>
          </w:p>
        </w:tc>
        <w:tc>
          <w:tcPr>
            <w:tcW w:w="1243" w:type="pct"/>
            <w:shd w:val="clear" w:color="auto" w:fill="auto"/>
            <w:vAlign w:val="center"/>
          </w:tcPr>
          <w:p w:rsidR="00D110BD" w:rsidRPr="003C53F6" w:rsidRDefault="00DA4CAF" w:rsidP="00D110BD">
            <w:pPr>
              <w:jc w:val="center"/>
              <w:rPr>
                <w:rFonts w:ascii="Arial Narrow" w:hAnsi="Arial Narrow"/>
                <w:sz w:val="20"/>
              </w:rPr>
            </w:pPr>
            <w:r w:rsidRPr="003C53F6">
              <w:rPr>
                <w:rFonts w:ascii="Arial Narrow" w:hAnsi="Arial Narrow"/>
                <w:sz w:val="20"/>
              </w:rPr>
              <w:t xml:space="preserve">High, favours </w:t>
            </w:r>
            <w:proofErr w:type="spellStart"/>
            <w:r w:rsidRPr="003C53F6">
              <w:rPr>
                <w:rFonts w:ascii="Arial Narrow" w:hAnsi="Arial Narrow"/>
                <w:sz w:val="20"/>
              </w:rPr>
              <w:t>Truvada</w:t>
            </w:r>
            <w:proofErr w:type="spellEnd"/>
          </w:p>
        </w:tc>
      </w:tr>
      <w:tr w:rsidR="00D110BD" w:rsidRPr="003C53F6" w:rsidTr="00E629F8">
        <w:tc>
          <w:tcPr>
            <w:tcW w:w="1801" w:type="pct"/>
            <w:shd w:val="clear" w:color="auto" w:fill="auto"/>
            <w:vAlign w:val="center"/>
          </w:tcPr>
          <w:p w:rsidR="00D110BD" w:rsidRPr="003C53F6" w:rsidRDefault="00DA4CAF" w:rsidP="00DA4CAF">
            <w:pPr>
              <w:jc w:val="left"/>
              <w:rPr>
                <w:rFonts w:ascii="Arial Narrow" w:hAnsi="Arial Narrow"/>
                <w:sz w:val="20"/>
              </w:rPr>
            </w:pPr>
            <w:r w:rsidRPr="003C53F6">
              <w:rPr>
                <w:rFonts w:ascii="Arial Narrow" w:hAnsi="Arial Narrow"/>
                <w:sz w:val="20"/>
              </w:rPr>
              <w:t>Individual risk distribution</w:t>
            </w:r>
            <w:r w:rsidR="007805B4" w:rsidRPr="003C53F6">
              <w:rPr>
                <w:rFonts w:ascii="Arial Narrow" w:hAnsi="Arial Narrow"/>
                <w:sz w:val="20"/>
              </w:rPr>
              <w:t xml:space="preserve"> (model 2)</w:t>
            </w:r>
          </w:p>
        </w:tc>
        <w:tc>
          <w:tcPr>
            <w:tcW w:w="1957" w:type="pct"/>
            <w:shd w:val="clear" w:color="auto" w:fill="auto"/>
            <w:vAlign w:val="center"/>
          </w:tcPr>
          <w:p w:rsidR="00D110BD" w:rsidRPr="003C53F6" w:rsidRDefault="00DA4CAF" w:rsidP="00B024FD">
            <w:pPr>
              <w:jc w:val="center"/>
              <w:rPr>
                <w:rFonts w:ascii="Arial Narrow" w:hAnsi="Arial Narrow"/>
                <w:sz w:val="20"/>
              </w:rPr>
            </w:pPr>
            <w:r w:rsidRPr="003C53F6">
              <w:rPr>
                <w:rFonts w:ascii="Arial Narrow" w:hAnsi="Arial Narrow"/>
                <w:sz w:val="20"/>
              </w:rPr>
              <w:t>Gamma distribution (mean 1, SD 2.0)</w:t>
            </w:r>
            <w:r w:rsidR="00B024FD" w:rsidRPr="003C53F6">
              <w:rPr>
                <w:rFonts w:ascii="Arial Narrow" w:hAnsi="Arial Narrow"/>
                <w:sz w:val="20"/>
              </w:rPr>
              <w:t>.</w:t>
            </w:r>
          </w:p>
        </w:tc>
        <w:tc>
          <w:tcPr>
            <w:tcW w:w="1243" w:type="pct"/>
            <w:shd w:val="clear" w:color="auto" w:fill="auto"/>
            <w:vAlign w:val="center"/>
          </w:tcPr>
          <w:p w:rsidR="00D110BD" w:rsidRPr="003C53F6" w:rsidRDefault="00DA4CAF" w:rsidP="006B15D6">
            <w:pPr>
              <w:jc w:val="center"/>
              <w:rPr>
                <w:rFonts w:ascii="Arial Narrow" w:hAnsi="Arial Narrow"/>
                <w:sz w:val="20"/>
              </w:rPr>
            </w:pPr>
            <w:r w:rsidRPr="003C53F6">
              <w:rPr>
                <w:rFonts w:ascii="Arial Narrow" w:hAnsi="Arial Narrow"/>
                <w:sz w:val="20"/>
              </w:rPr>
              <w:t>High</w:t>
            </w:r>
          </w:p>
        </w:tc>
      </w:tr>
    </w:tbl>
    <w:p w:rsidR="00D110BD" w:rsidRPr="003C53F6" w:rsidRDefault="00D110BD" w:rsidP="00E629F8">
      <w:pPr>
        <w:pStyle w:val="TableFooter"/>
      </w:pPr>
      <w:r w:rsidRPr="003C53F6">
        <w:t>Source: compiled during the evaluation</w:t>
      </w:r>
      <w:r w:rsidR="00936B91" w:rsidRPr="003C53F6">
        <w:t>.</w:t>
      </w:r>
    </w:p>
    <w:p w:rsidR="00D110BD" w:rsidRPr="003C53F6" w:rsidRDefault="00D110BD" w:rsidP="00275C5A">
      <w:pPr>
        <w:widowControl/>
        <w:rPr>
          <w:szCs w:val="22"/>
        </w:rPr>
      </w:pPr>
    </w:p>
    <w:p w:rsidR="00117B9F" w:rsidRPr="003C53F6" w:rsidRDefault="00117B9F" w:rsidP="002431F7">
      <w:pPr>
        <w:pStyle w:val="ListParagraph"/>
        <w:widowControl/>
        <w:numPr>
          <w:ilvl w:val="1"/>
          <w:numId w:val="2"/>
        </w:numPr>
        <w:rPr>
          <w:szCs w:val="22"/>
        </w:rPr>
      </w:pPr>
      <w:r w:rsidRPr="003C53F6">
        <w:t xml:space="preserve">Table </w:t>
      </w:r>
      <w:r w:rsidR="00C51E55" w:rsidRPr="003C53F6">
        <w:t>8</w:t>
      </w:r>
      <w:r w:rsidRPr="003C53F6">
        <w:t xml:space="preserve"> provides the results of the economic evaluation. </w:t>
      </w:r>
    </w:p>
    <w:p w:rsidR="00117B9F" w:rsidRPr="003C53F6" w:rsidRDefault="00117B9F" w:rsidP="00117B9F"/>
    <w:p w:rsidR="00117B9F" w:rsidRPr="003C53F6" w:rsidRDefault="00117B9F" w:rsidP="00E629F8">
      <w:pPr>
        <w:rPr>
          <w:rStyle w:val="CommentReference"/>
        </w:rPr>
      </w:pPr>
      <w:r w:rsidRPr="003C53F6">
        <w:rPr>
          <w:rStyle w:val="CommentReference"/>
        </w:rPr>
        <w:t xml:space="preserve">Table </w:t>
      </w:r>
      <w:r w:rsidR="00C51E55" w:rsidRPr="003C53F6">
        <w:rPr>
          <w:rStyle w:val="CommentReference"/>
        </w:rPr>
        <w:t>8</w:t>
      </w:r>
      <w:r w:rsidRPr="003C53F6">
        <w:rPr>
          <w:rStyle w:val="CommentReference"/>
        </w:rPr>
        <w:t>: Results of the stepped economic evaluation</w:t>
      </w:r>
      <w:r w:rsidR="00830366">
        <w:rPr>
          <w:rStyle w:val="CommentReference"/>
        </w:rPr>
        <w:t xml:space="preserve">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40"/>
        <w:gridCol w:w="31"/>
        <w:gridCol w:w="2352"/>
        <w:gridCol w:w="27"/>
        <w:gridCol w:w="2379"/>
        <w:gridCol w:w="2053"/>
      </w:tblGrid>
      <w:tr w:rsidR="00117B9F" w:rsidRPr="003C53F6" w:rsidTr="00A41313">
        <w:tc>
          <w:tcPr>
            <w:tcW w:w="1250" w:type="pct"/>
            <w:gridSpan w:val="2"/>
          </w:tcPr>
          <w:p w:rsidR="00117B9F" w:rsidRPr="003C53F6" w:rsidRDefault="00117B9F" w:rsidP="00A41313">
            <w:pPr>
              <w:rPr>
                <w:rFonts w:ascii="Arial Narrow" w:hAnsi="Arial Narrow"/>
                <w:b/>
                <w:sz w:val="20"/>
              </w:rPr>
            </w:pPr>
            <w:r w:rsidRPr="003C53F6">
              <w:rPr>
                <w:rFonts w:ascii="Arial Narrow" w:hAnsi="Arial Narrow"/>
                <w:b/>
                <w:sz w:val="20"/>
              </w:rPr>
              <w:t>Component</w:t>
            </w:r>
          </w:p>
        </w:tc>
        <w:tc>
          <w:tcPr>
            <w:tcW w:w="1310" w:type="pct"/>
            <w:gridSpan w:val="2"/>
            <w:vAlign w:val="center"/>
          </w:tcPr>
          <w:p w:rsidR="00117B9F" w:rsidRPr="003C53F6" w:rsidRDefault="00117B9F" w:rsidP="00A41313">
            <w:pPr>
              <w:jc w:val="center"/>
              <w:rPr>
                <w:rFonts w:ascii="Arial Narrow" w:hAnsi="Arial Narrow"/>
                <w:b/>
                <w:sz w:val="20"/>
              </w:rPr>
            </w:pPr>
            <w:proofErr w:type="spellStart"/>
            <w:r w:rsidRPr="003C53F6">
              <w:rPr>
                <w:rFonts w:ascii="Arial Narrow" w:hAnsi="Arial Narrow" w:cs="Times New Roman"/>
                <w:b/>
                <w:sz w:val="20"/>
              </w:rPr>
              <w:t>Truvada</w:t>
            </w:r>
            <w:proofErr w:type="spellEnd"/>
            <w:r w:rsidRPr="003C53F6">
              <w:rPr>
                <w:rFonts w:ascii="Arial Narrow" w:hAnsi="Arial Narrow" w:cs="Times New Roman"/>
                <w:b/>
                <w:sz w:val="20"/>
              </w:rPr>
              <w:t xml:space="preserve"> + SOC</w:t>
            </w:r>
          </w:p>
        </w:tc>
        <w:tc>
          <w:tcPr>
            <w:tcW w:w="1310" w:type="pct"/>
            <w:vAlign w:val="center"/>
          </w:tcPr>
          <w:p w:rsidR="00117B9F" w:rsidRPr="003C53F6" w:rsidRDefault="00117B9F" w:rsidP="00A41313">
            <w:pPr>
              <w:jc w:val="center"/>
              <w:rPr>
                <w:rFonts w:ascii="Arial Narrow" w:hAnsi="Arial Narrow"/>
                <w:b/>
                <w:sz w:val="20"/>
              </w:rPr>
            </w:pPr>
            <w:r w:rsidRPr="003C53F6">
              <w:rPr>
                <w:rFonts w:ascii="Arial Narrow" w:hAnsi="Arial Narrow" w:cs="Times New Roman"/>
                <w:b/>
                <w:sz w:val="20"/>
              </w:rPr>
              <w:t>SOC</w:t>
            </w:r>
          </w:p>
        </w:tc>
        <w:tc>
          <w:tcPr>
            <w:tcW w:w="1130" w:type="pct"/>
          </w:tcPr>
          <w:p w:rsidR="00117B9F" w:rsidRPr="003C53F6" w:rsidRDefault="00117B9F" w:rsidP="00A41313">
            <w:pPr>
              <w:jc w:val="center"/>
              <w:rPr>
                <w:rFonts w:ascii="Arial Narrow" w:hAnsi="Arial Narrow"/>
                <w:b/>
                <w:sz w:val="20"/>
              </w:rPr>
            </w:pPr>
            <w:r w:rsidRPr="003C53F6">
              <w:rPr>
                <w:rFonts w:ascii="Arial Narrow" w:hAnsi="Arial Narrow"/>
                <w:b/>
                <w:sz w:val="20"/>
              </w:rPr>
              <w:t>Increment</w:t>
            </w:r>
          </w:p>
        </w:tc>
      </w:tr>
      <w:tr w:rsidR="00117B9F" w:rsidRPr="003C53F6" w:rsidTr="00A41313">
        <w:tc>
          <w:tcPr>
            <w:tcW w:w="5000" w:type="pct"/>
            <w:gridSpan w:val="6"/>
          </w:tcPr>
          <w:p w:rsidR="00117B9F" w:rsidRPr="003C53F6" w:rsidRDefault="00117B9F" w:rsidP="00A41313">
            <w:pPr>
              <w:jc w:val="left"/>
              <w:rPr>
                <w:rFonts w:ascii="Arial Narrow" w:hAnsi="Arial Narrow"/>
                <w:sz w:val="20"/>
              </w:rPr>
            </w:pPr>
            <w:r w:rsidRPr="003C53F6">
              <w:rPr>
                <w:rFonts w:ascii="Arial Narrow" w:hAnsi="Arial Narrow"/>
                <w:b/>
                <w:sz w:val="20"/>
              </w:rPr>
              <w:t>Model 1</w:t>
            </w:r>
          </w:p>
        </w:tc>
      </w:tr>
      <w:tr w:rsidR="00117B9F" w:rsidRPr="003C53F6" w:rsidTr="00A41313">
        <w:tc>
          <w:tcPr>
            <w:tcW w:w="1250" w:type="pct"/>
            <w:gridSpan w:val="2"/>
          </w:tcPr>
          <w:p w:rsidR="00117B9F" w:rsidRPr="003C53F6" w:rsidRDefault="00117B9F" w:rsidP="00A41313">
            <w:pPr>
              <w:rPr>
                <w:rFonts w:ascii="Arial Narrow" w:hAnsi="Arial Narrow"/>
                <w:sz w:val="20"/>
              </w:rPr>
            </w:pPr>
            <w:r w:rsidRPr="003C53F6">
              <w:rPr>
                <w:rFonts w:ascii="Arial Narrow" w:hAnsi="Arial Narrow"/>
                <w:sz w:val="20"/>
              </w:rPr>
              <w:t>Costs, undiscounted</w:t>
            </w:r>
          </w:p>
        </w:tc>
        <w:tc>
          <w:tcPr>
            <w:tcW w:w="1310" w:type="pct"/>
            <w:gridSpan w:val="2"/>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c>
          <w:tcPr>
            <w:tcW w:w="1310" w:type="pct"/>
          </w:tcPr>
          <w:p w:rsidR="00117B9F" w:rsidRPr="003C53F6" w:rsidRDefault="00117B9F" w:rsidP="00A41313">
            <w:pPr>
              <w:jc w:val="center"/>
              <w:rPr>
                <w:rFonts w:ascii="Arial Narrow" w:hAnsi="Arial Narrow"/>
                <w:sz w:val="20"/>
              </w:rPr>
            </w:pPr>
            <w:r w:rsidRPr="003C53F6">
              <w:rPr>
                <w:rFonts w:ascii="Arial Narrow" w:hAnsi="Arial Narrow"/>
                <w:sz w:val="20"/>
              </w:rPr>
              <w:t>$</w:t>
            </w:r>
            <w:r w:rsidRPr="0095585C">
              <w:rPr>
                <w:rFonts w:ascii="Arial Narrow" w:hAnsi="Arial Narrow"/>
                <w:sz w:val="20"/>
              </w:rPr>
              <w:t>91,275</w:t>
            </w:r>
          </w:p>
        </w:tc>
        <w:tc>
          <w:tcPr>
            <w:tcW w:w="1130" w:type="pct"/>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r>
      <w:tr w:rsidR="00117B9F" w:rsidRPr="003C53F6" w:rsidTr="00A41313">
        <w:tc>
          <w:tcPr>
            <w:tcW w:w="1250" w:type="pct"/>
            <w:gridSpan w:val="2"/>
          </w:tcPr>
          <w:p w:rsidR="00117B9F" w:rsidRPr="003C53F6" w:rsidRDefault="00117B9F" w:rsidP="00A41313">
            <w:pPr>
              <w:rPr>
                <w:rFonts w:ascii="Arial Narrow" w:hAnsi="Arial Narrow"/>
                <w:sz w:val="20"/>
              </w:rPr>
            </w:pPr>
            <w:r w:rsidRPr="003C53F6">
              <w:rPr>
                <w:rFonts w:ascii="Arial Narrow" w:hAnsi="Arial Narrow"/>
                <w:sz w:val="20"/>
              </w:rPr>
              <w:t>QALY, undiscounted</w:t>
            </w:r>
          </w:p>
        </w:tc>
        <w:tc>
          <w:tcPr>
            <w:tcW w:w="1310" w:type="pct"/>
            <w:gridSpan w:val="2"/>
            <w:vAlign w:val="center"/>
          </w:tcPr>
          <w:p w:rsidR="00117B9F" w:rsidRPr="003C53F6" w:rsidRDefault="00117B9F" w:rsidP="00A41313">
            <w:pPr>
              <w:jc w:val="center"/>
              <w:rPr>
                <w:rFonts w:ascii="Arial Narrow" w:hAnsi="Arial Narrow"/>
                <w:sz w:val="20"/>
              </w:rPr>
            </w:pPr>
            <w:r w:rsidRPr="007D62F1">
              <w:rPr>
                <w:rFonts w:ascii="Arial Narrow" w:hAnsi="Arial Narrow"/>
                <w:sz w:val="20"/>
              </w:rPr>
              <w:t>15.7372</w:t>
            </w:r>
          </w:p>
        </w:tc>
        <w:tc>
          <w:tcPr>
            <w:tcW w:w="1310" w:type="pct"/>
            <w:vAlign w:val="center"/>
          </w:tcPr>
          <w:p w:rsidR="00117B9F" w:rsidRPr="003C53F6" w:rsidRDefault="00117B9F" w:rsidP="00A41313">
            <w:pPr>
              <w:jc w:val="center"/>
              <w:rPr>
                <w:rFonts w:ascii="Arial Narrow" w:hAnsi="Arial Narrow"/>
                <w:sz w:val="20"/>
              </w:rPr>
            </w:pPr>
            <w:r w:rsidRPr="003C53F6">
              <w:rPr>
                <w:rFonts w:ascii="Arial Narrow" w:hAnsi="Arial Narrow"/>
                <w:sz w:val="20"/>
              </w:rPr>
              <w:t>15.0422</w:t>
            </w:r>
          </w:p>
        </w:tc>
        <w:tc>
          <w:tcPr>
            <w:tcW w:w="1130" w:type="pct"/>
          </w:tcPr>
          <w:p w:rsidR="00117B9F" w:rsidRPr="003C53F6" w:rsidRDefault="00117B9F" w:rsidP="00A41313">
            <w:pPr>
              <w:jc w:val="center"/>
              <w:rPr>
                <w:rFonts w:ascii="Arial Narrow" w:hAnsi="Arial Narrow"/>
                <w:sz w:val="20"/>
                <w:vertAlign w:val="superscript"/>
              </w:rPr>
            </w:pPr>
            <w:r w:rsidRPr="003C53F6">
              <w:rPr>
                <w:rFonts w:ascii="Arial Narrow" w:hAnsi="Arial Narrow"/>
                <w:sz w:val="20"/>
              </w:rPr>
              <w:t>0.70</w:t>
            </w:r>
            <w:r w:rsidRPr="003C53F6">
              <w:rPr>
                <w:rFonts w:ascii="Arial Narrow" w:hAnsi="Arial Narrow"/>
                <w:sz w:val="20"/>
                <w:vertAlign w:val="superscript"/>
              </w:rPr>
              <w:t>1</w:t>
            </w:r>
          </w:p>
        </w:tc>
      </w:tr>
      <w:tr w:rsidR="00117B9F" w:rsidRPr="003C53F6" w:rsidTr="00A41313">
        <w:tc>
          <w:tcPr>
            <w:tcW w:w="3870" w:type="pct"/>
            <w:gridSpan w:val="5"/>
          </w:tcPr>
          <w:p w:rsidR="00117B9F" w:rsidRPr="003C53F6" w:rsidRDefault="00117B9F" w:rsidP="00A41313">
            <w:pPr>
              <w:rPr>
                <w:rFonts w:ascii="Arial Narrow" w:hAnsi="Arial Narrow"/>
                <w:sz w:val="20"/>
              </w:rPr>
            </w:pPr>
            <w:r w:rsidRPr="003C53F6">
              <w:rPr>
                <w:rFonts w:ascii="Arial Narrow" w:hAnsi="Arial Narrow"/>
                <w:sz w:val="20"/>
              </w:rPr>
              <w:t>Incremental cost/extra QALY gained, undiscounted</w:t>
            </w:r>
          </w:p>
        </w:tc>
        <w:tc>
          <w:tcPr>
            <w:tcW w:w="1130" w:type="pct"/>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r>
      <w:tr w:rsidR="00117B9F" w:rsidRPr="003C53F6" w:rsidTr="00A41313">
        <w:tc>
          <w:tcPr>
            <w:tcW w:w="3870" w:type="pct"/>
            <w:gridSpan w:val="5"/>
          </w:tcPr>
          <w:p w:rsidR="00117B9F" w:rsidRPr="003C53F6" w:rsidRDefault="00117B9F" w:rsidP="00A41313">
            <w:pPr>
              <w:rPr>
                <w:rFonts w:ascii="Arial Narrow" w:hAnsi="Arial Narrow"/>
                <w:sz w:val="20"/>
              </w:rPr>
            </w:pPr>
            <w:r w:rsidRPr="003C53F6">
              <w:rPr>
                <w:rFonts w:ascii="Arial Narrow" w:hAnsi="Arial Narrow"/>
                <w:sz w:val="20"/>
              </w:rPr>
              <w:t>Incremental cost/extra QALY gained, discounted</w:t>
            </w:r>
          </w:p>
        </w:tc>
        <w:tc>
          <w:tcPr>
            <w:tcW w:w="1130" w:type="pct"/>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r>
      <w:tr w:rsidR="00117B9F" w:rsidRPr="003C53F6" w:rsidTr="00A41313">
        <w:tc>
          <w:tcPr>
            <w:tcW w:w="5000" w:type="pct"/>
            <w:gridSpan w:val="6"/>
          </w:tcPr>
          <w:p w:rsidR="00117B9F" w:rsidRPr="003C53F6" w:rsidRDefault="00117B9F" w:rsidP="00A41313">
            <w:pPr>
              <w:jc w:val="left"/>
              <w:rPr>
                <w:rFonts w:ascii="Arial Narrow" w:hAnsi="Arial Narrow"/>
                <w:b/>
                <w:sz w:val="20"/>
              </w:rPr>
            </w:pPr>
            <w:r w:rsidRPr="003C53F6">
              <w:rPr>
                <w:rFonts w:ascii="Arial Narrow" w:hAnsi="Arial Narrow"/>
                <w:b/>
                <w:sz w:val="20"/>
              </w:rPr>
              <w:t>Model 2</w:t>
            </w:r>
          </w:p>
        </w:tc>
      </w:tr>
      <w:tr w:rsidR="00117B9F" w:rsidRPr="003C53F6" w:rsidTr="00A41313">
        <w:tc>
          <w:tcPr>
            <w:tcW w:w="1233" w:type="pct"/>
          </w:tcPr>
          <w:p w:rsidR="00117B9F" w:rsidRPr="003C53F6" w:rsidRDefault="00117B9F" w:rsidP="00A41313">
            <w:pPr>
              <w:rPr>
                <w:rFonts w:ascii="Arial Narrow" w:hAnsi="Arial Narrow"/>
                <w:b/>
                <w:sz w:val="20"/>
              </w:rPr>
            </w:pPr>
            <w:r w:rsidRPr="003C53F6">
              <w:rPr>
                <w:rFonts w:ascii="Arial Narrow" w:hAnsi="Arial Narrow"/>
                <w:sz w:val="20"/>
              </w:rPr>
              <w:t>Costs, undiscounted</w:t>
            </w:r>
          </w:p>
        </w:tc>
        <w:tc>
          <w:tcPr>
            <w:tcW w:w="1312" w:type="pct"/>
            <w:gridSpan w:val="2"/>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c>
          <w:tcPr>
            <w:tcW w:w="1325" w:type="pct"/>
            <w:gridSpan w:val="2"/>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c>
          <w:tcPr>
            <w:tcW w:w="1130" w:type="pct"/>
          </w:tcPr>
          <w:p w:rsidR="00117B9F" w:rsidRPr="003C53F6" w:rsidRDefault="00117B9F" w:rsidP="00A41313">
            <w:pPr>
              <w:jc w:val="center"/>
              <w:rPr>
                <w:rFonts w:ascii="Arial Narrow" w:hAnsi="Arial Narrow"/>
                <w:sz w:val="20"/>
              </w:rPr>
            </w:pPr>
            <w:r w:rsidRPr="003C53F6">
              <w:rPr>
                <w:rFonts w:ascii="Arial Narrow" w:hAnsi="Arial Narrow"/>
                <w:sz w:val="20"/>
              </w:rPr>
              <w:t>$</w:t>
            </w:r>
            <w:r w:rsidR="00632ACB">
              <w:rPr>
                <w:rFonts w:ascii="Arial Narrow" w:hAnsi="Arial Narrow"/>
                <w:noProof/>
                <w:color w:val="000000"/>
                <w:sz w:val="20"/>
                <w:highlight w:val="black"/>
              </w:rPr>
              <w:t>''''''''''''''''''''''''''''''''</w:t>
            </w:r>
          </w:p>
        </w:tc>
      </w:tr>
      <w:tr w:rsidR="00117B9F" w:rsidRPr="003C53F6" w:rsidTr="00A41313">
        <w:tc>
          <w:tcPr>
            <w:tcW w:w="1233" w:type="pct"/>
          </w:tcPr>
          <w:p w:rsidR="00117B9F" w:rsidRPr="003C53F6" w:rsidRDefault="00117B9F" w:rsidP="00A41313">
            <w:pPr>
              <w:rPr>
                <w:rFonts w:ascii="Arial Narrow" w:hAnsi="Arial Narrow"/>
                <w:b/>
                <w:sz w:val="20"/>
              </w:rPr>
            </w:pPr>
            <w:r w:rsidRPr="003C53F6">
              <w:rPr>
                <w:rFonts w:ascii="Arial Narrow" w:hAnsi="Arial Narrow"/>
                <w:sz w:val="20"/>
              </w:rPr>
              <w:t>QALY, undiscounted</w:t>
            </w:r>
          </w:p>
        </w:tc>
        <w:tc>
          <w:tcPr>
            <w:tcW w:w="1312" w:type="pct"/>
            <w:gridSpan w:val="2"/>
          </w:tcPr>
          <w:p w:rsidR="00117B9F" w:rsidRPr="003C53F6" w:rsidRDefault="00117B9F" w:rsidP="00A41313">
            <w:pPr>
              <w:jc w:val="center"/>
              <w:rPr>
                <w:rFonts w:ascii="Arial Narrow" w:hAnsi="Arial Narrow"/>
                <w:sz w:val="20"/>
              </w:rPr>
            </w:pPr>
            <w:r w:rsidRPr="003C53F6">
              <w:rPr>
                <w:rFonts w:ascii="Arial Narrow" w:hAnsi="Arial Narrow"/>
                <w:sz w:val="20"/>
              </w:rPr>
              <w:t>2,561,806</w:t>
            </w:r>
          </w:p>
        </w:tc>
        <w:tc>
          <w:tcPr>
            <w:tcW w:w="1325" w:type="pct"/>
            <w:gridSpan w:val="2"/>
          </w:tcPr>
          <w:p w:rsidR="00117B9F" w:rsidRPr="003C53F6" w:rsidRDefault="00117B9F" w:rsidP="00A41313">
            <w:pPr>
              <w:jc w:val="center"/>
              <w:rPr>
                <w:rFonts w:ascii="Arial Narrow" w:hAnsi="Arial Narrow"/>
                <w:sz w:val="20"/>
              </w:rPr>
            </w:pPr>
            <w:r w:rsidRPr="003C53F6">
              <w:rPr>
                <w:rFonts w:ascii="Arial Narrow" w:hAnsi="Arial Narrow"/>
                <w:sz w:val="20"/>
              </w:rPr>
              <w:t>2,556,491</w:t>
            </w:r>
          </w:p>
        </w:tc>
        <w:tc>
          <w:tcPr>
            <w:tcW w:w="1130" w:type="pct"/>
          </w:tcPr>
          <w:p w:rsidR="00117B9F" w:rsidRPr="003C53F6" w:rsidRDefault="00117B9F" w:rsidP="00A41313">
            <w:pPr>
              <w:jc w:val="center"/>
              <w:rPr>
                <w:rFonts w:ascii="Arial Narrow" w:hAnsi="Arial Narrow"/>
                <w:sz w:val="20"/>
              </w:rPr>
            </w:pPr>
            <w:r w:rsidRPr="003C53F6">
              <w:rPr>
                <w:rFonts w:ascii="Arial Narrow" w:hAnsi="Arial Narrow"/>
                <w:sz w:val="20"/>
              </w:rPr>
              <w:t>5,315.60</w:t>
            </w:r>
          </w:p>
        </w:tc>
      </w:tr>
      <w:tr w:rsidR="00117B9F" w:rsidRPr="003C53F6" w:rsidTr="00A41313">
        <w:tc>
          <w:tcPr>
            <w:tcW w:w="3870" w:type="pct"/>
            <w:gridSpan w:val="5"/>
          </w:tcPr>
          <w:p w:rsidR="00117B9F" w:rsidRPr="003C53F6" w:rsidRDefault="00117B9F" w:rsidP="00A41313">
            <w:pPr>
              <w:rPr>
                <w:rFonts w:ascii="Arial Narrow" w:hAnsi="Arial Narrow"/>
                <w:sz w:val="20"/>
              </w:rPr>
            </w:pPr>
            <w:r w:rsidRPr="003C53F6">
              <w:rPr>
                <w:rFonts w:ascii="Arial Narrow" w:hAnsi="Arial Narrow"/>
                <w:sz w:val="20"/>
              </w:rPr>
              <w:t>Incremental cost/extra QALY gained, undiscounted</w:t>
            </w:r>
          </w:p>
        </w:tc>
        <w:tc>
          <w:tcPr>
            <w:tcW w:w="1130" w:type="pct"/>
          </w:tcPr>
          <w:p w:rsidR="00117B9F" w:rsidRPr="003C53F6" w:rsidRDefault="00117B9F" w:rsidP="00E46FBD">
            <w:pPr>
              <w:jc w:val="center"/>
              <w:rPr>
                <w:rFonts w:ascii="Arial Narrow" w:hAnsi="Arial Narrow"/>
                <w:sz w:val="20"/>
              </w:rPr>
            </w:pPr>
            <w:r w:rsidRPr="003C53F6">
              <w:rPr>
                <w:rFonts w:ascii="Arial Narrow" w:hAnsi="Arial Narrow"/>
                <w:sz w:val="20"/>
              </w:rPr>
              <w:t>-$</w:t>
            </w:r>
            <w:r w:rsidRPr="002A7960">
              <w:rPr>
                <w:rFonts w:ascii="Arial Narrow" w:hAnsi="Arial Narrow"/>
                <w:sz w:val="20"/>
              </w:rPr>
              <w:t>28,759</w:t>
            </w:r>
          </w:p>
        </w:tc>
      </w:tr>
      <w:tr w:rsidR="00117B9F" w:rsidRPr="003C53F6" w:rsidTr="00A41313">
        <w:tc>
          <w:tcPr>
            <w:tcW w:w="3870" w:type="pct"/>
            <w:gridSpan w:val="5"/>
          </w:tcPr>
          <w:p w:rsidR="00117B9F" w:rsidRPr="003C53F6" w:rsidRDefault="00117B9F" w:rsidP="00A41313">
            <w:pPr>
              <w:rPr>
                <w:rFonts w:ascii="Arial Narrow" w:hAnsi="Arial Narrow"/>
                <w:sz w:val="20"/>
              </w:rPr>
            </w:pPr>
            <w:r w:rsidRPr="003C53F6">
              <w:rPr>
                <w:rFonts w:ascii="Arial Narrow" w:hAnsi="Arial Narrow"/>
                <w:sz w:val="20"/>
              </w:rPr>
              <w:t>Incremental cost/extra QALY gained, discounted</w:t>
            </w:r>
          </w:p>
        </w:tc>
        <w:tc>
          <w:tcPr>
            <w:tcW w:w="1130" w:type="pct"/>
          </w:tcPr>
          <w:p w:rsidR="00117B9F" w:rsidRPr="003C53F6" w:rsidRDefault="00117B9F" w:rsidP="00E46FBD">
            <w:pPr>
              <w:jc w:val="center"/>
              <w:rPr>
                <w:rFonts w:ascii="Arial Narrow" w:hAnsi="Arial Narrow"/>
                <w:sz w:val="20"/>
              </w:rPr>
            </w:pPr>
            <w:r w:rsidRPr="003C53F6">
              <w:rPr>
                <w:rFonts w:ascii="Arial Narrow" w:hAnsi="Arial Narrow"/>
                <w:sz w:val="20"/>
              </w:rPr>
              <w:t>-$</w:t>
            </w:r>
            <w:r w:rsidRPr="002A7960">
              <w:rPr>
                <w:rFonts w:ascii="Arial Narrow" w:hAnsi="Arial Narrow"/>
                <w:sz w:val="20"/>
              </w:rPr>
              <w:t>1,143</w:t>
            </w:r>
          </w:p>
        </w:tc>
      </w:tr>
    </w:tbl>
    <w:p w:rsidR="00117B9F" w:rsidRPr="003C53F6" w:rsidRDefault="00117B9F" w:rsidP="00117B9F">
      <w:pPr>
        <w:pStyle w:val="TableFooter"/>
      </w:pPr>
      <w:r w:rsidRPr="003C53F6">
        <w:t>Source: Tables D-14, D-15, and D-21 pp 167-168 and 176 of the submission.</w:t>
      </w:r>
    </w:p>
    <w:p w:rsidR="00936B91" w:rsidRPr="003C53F6" w:rsidRDefault="00936B91" w:rsidP="00117B9F">
      <w:pPr>
        <w:pStyle w:val="TableFooter"/>
      </w:pPr>
      <w:r w:rsidRPr="003C53F6">
        <w:t>Abbreviations: SOC = standard of care, QALY = quality-adjusted life year.</w:t>
      </w:r>
    </w:p>
    <w:p w:rsidR="00117B9F" w:rsidRDefault="00117B9F" w:rsidP="00117B9F">
      <w:pPr>
        <w:rPr>
          <w:rFonts w:ascii="Arial Narrow" w:hAnsi="Arial Narrow"/>
          <w:sz w:val="18"/>
        </w:rPr>
      </w:pPr>
      <w:r w:rsidRPr="003C53F6">
        <w:rPr>
          <w:vertAlign w:val="superscript"/>
        </w:rPr>
        <w:t>1</w:t>
      </w:r>
      <w:r w:rsidRPr="003C53F6">
        <w:rPr>
          <w:rFonts w:ascii="Arial Narrow" w:hAnsi="Arial Narrow"/>
          <w:sz w:val="18"/>
        </w:rPr>
        <w:t>In the submission this number was reported to be 0.69, but this seems to be a rounding error.</w:t>
      </w:r>
    </w:p>
    <w:p w:rsidR="00A46730" w:rsidRDefault="00A46730" w:rsidP="00117B9F">
      <w:pPr>
        <w:rPr>
          <w:rFonts w:ascii="Arial Narrow" w:hAnsi="Arial Narrow"/>
          <w:sz w:val="18"/>
        </w:rPr>
      </w:pPr>
    </w:p>
    <w:p w:rsidR="00A46730" w:rsidRPr="00A46730" w:rsidRDefault="00EA5069" w:rsidP="00117B9F">
      <w:pPr>
        <w:rPr>
          <w:rFonts w:ascii="Arial Narrow" w:hAnsi="Arial Narrow"/>
          <w:sz w:val="18"/>
        </w:rPr>
      </w:pPr>
      <w:r>
        <w:rPr>
          <w:szCs w:val="24"/>
        </w:rPr>
        <w:t>The redactions in the table show ICERS in the range of $105,000 - $200,000/QALY.</w:t>
      </w:r>
    </w:p>
    <w:p w:rsidR="00117B9F" w:rsidRPr="003C53F6" w:rsidRDefault="00117B9F" w:rsidP="00D110BD">
      <w:pPr>
        <w:widowControl/>
        <w:rPr>
          <w:szCs w:val="22"/>
        </w:rPr>
      </w:pPr>
    </w:p>
    <w:p w:rsidR="00B024FD" w:rsidRPr="003C53F6" w:rsidRDefault="00447E32" w:rsidP="002431F7">
      <w:pPr>
        <w:pStyle w:val="ListParagraph"/>
        <w:widowControl/>
        <w:numPr>
          <w:ilvl w:val="1"/>
          <w:numId w:val="2"/>
        </w:numPr>
        <w:rPr>
          <w:szCs w:val="22"/>
        </w:rPr>
      </w:pPr>
      <w:r w:rsidRPr="003C53F6">
        <w:lastRenderedPageBreak/>
        <w:t xml:space="preserve">When taking into account the potential impact of </w:t>
      </w:r>
      <w:proofErr w:type="spellStart"/>
      <w:r w:rsidRPr="003C53F6">
        <w:t>Truvada</w:t>
      </w:r>
      <w:proofErr w:type="spellEnd"/>
      <w:r w:rsidRPr="003C53F6">
        <w:t xml:space="preserve"> </w:t>
      </w:r>
      <w:r w:rsidR="004D637F" w:rsidRPr="003C53F6">
        <w:t xml:space="preserve">on </w:t>
      </w:r>
      <w:r w:rsidRPr="003C53F6">
        <w:t xml:space="preserve">the </w:t>
      </w:r>
      <w:r w:rsidR="004D637F" w:rsidRPr="003C53F6">
        <w:t xml:space="preserve">broader </w:t>
      </w:r>
      <w:r w:rsidRPr="003C53F6">
        <w:t xml:space="preserve">population, the </w:t>
      </w:r>
      <w:r w:rsidR="00830366">
        <w:t xml:space="preserve">base case </w:t>
      </w:r>
      <w:r w:rsidRPr="003C53F6">
        <w:t>ICER reduces from $</w:t>
      </w:r>
      <w:r w:rsidR="007D62F1">
        <w:t>105,000/QALY - $200,000/QALY</w:t>
      </w:r>
      <w:r w:rsidRPr="003C53F6">
        <w:t xml:space="preserve"> in model 1 to </w:t>
      </w:r>
      <w:r w:rsidR="00676042" w:rsidRPr="003C53F6">
        <w:t>dominant</w:t>
      </w:r>
      <w:r w:rsidRPr="003C53F6">
        <w:t xml:space="preserve"> in model 2.</w:t>
      </w:r>
    </w:p>
    <w:p w:rsidR="00B024FD" w:rsidRPr="003C53F6" w:rsidRDefault="00B024FD" w:rsidP="00B024FD">
      <w:pPr>
        <w:pStyle w:val="ListParagraph"/>
        <w:widowControl/>
        <w:rPr>
          <w:szCs w:val="22"/>
        </w:rPr>
      </w:pPr>
    </w:p>
    <w:p w:rsidR="00432412" w:rsidRPr="003C53F6" w:rsidRDefault="00B024FD" w:rsidP="002431F7">
      <w:pPr>
        <w:pStyle w:val="ListParagraph"/>
        <w:widowControl/>
        <w:numPr>
          <w:ilvl w:val="1"/>
          <w:numId w:val="2"/>
        </w:numPr>
      </w:pPr>
      <w:r w:rsidRPr="003C53F6">
        <w:t xml:space="preserve">The </w:t>
      </w:r>
      <w:r w:rsidR="00830366">
        <w:t xml:space="preserve">PBAC considered that the </w:t>
      </w:r>
      <w:r w:rsidRPr="003C53F6">
        <w:t xml:space="preserve">base case ICER in model 1 was </w:t>
      </w:r>
      <w:r w:rsidR="00C44108" w:rsidRPr="003C53F6">
        <w:t xml:space="preserve">unacceptably </w:t>
      </w:r>
      <w:r w:rsidRPr="003C53F6">
        <w:t>high (</w:t>
      </w:r>
      <w:r w:rsidR="007D62F1" w:rsidRPr="003C53F6">
        <w:t>$</w:t>
      </w:r>
      <w:r w:rsidR="007D62F1">
        <w:t>105,000/QALY - $200,000/QALY</w:t>
      </w:r>
      <w:r w:rsidRPr="003C53F6">
        <w:t>). Decreasing the time horizon in this model to 10 years instead of 20 years further increased the ICER from $</w:t>
      </w:r>
      <w:r w:rsidR="00A46730" w:rsidRPr="003C53F6">
        <w:t>$</w:t>
      </w:r>
      <w:r w:rsidR="00A46730">
        <w:t>105,000/QALY - $200,000/QALY</w:t>
      </w:r>
      <w:r w:rsidR="00A46730" w:rsidRPr="003C53F6" w:rsidDel="00A46730">
        <w:t xml:space="preserve"> </w:t>
      </w:r>
      <w:r w:rsidRPr="003C53F6">
        <w:t xml:space="preserve">to </w:t>
      </w:r>
      <w:r w:rsidR="00A46730">
        <w:t xml:space="preserve">over </w:t>
      </w:r>
      <w:r w:rsidRPr="003C53F6">
        <w:t>$</w:t>
      </w:r>
      <w:r w:rsidR="00A46730">
        <w:t>200,000</w:t>
      </w:r>
      <w:r w:rsidRPr="003C53F6">
        <w:t xml:space="preserve">per QALY gained. Most of the benefits associated with </w:t>
      </w:r>
      <w:proofErr w:type="spellStart"/>
      <w:r w:rsidRPr="003C53F6">
        <w:t>Truvada</w:t>
      </w:r>
      <w:proofErr w:type="spellEnd"/>
      <w:r w:rsidRPr="003C53F6">
        <w:t xml:space="preserve"> are expected to accrue beyond the 10 year time horizon. Increasing the risk threshold for access to </w:t>
      </w:r>
      <w:proofErr w:type="spellStart"/>
      <w:r w:rsidRPr="003C53F6">
        <w:t>Truvada</w:t>
      </w:r>
      <w:proofErr w:type="spellEnd"/>
      <w:r w:rsidRPr="003C53F6">
        <w:t xml:space="preserve"> reduced the ICER. With a threshold of ≥20% instead of ≥3% annual risk of HIV infection, the ICER reduced from </w:t>
      </w:r>
      <w:r w:rsidR="00A46730" w:rsidRPr="003C53F6">
        <w:t>$</w:t>
      </w:r>
      <w:r w:rsidR="00A46730">
        <w:t>105,000/QALY - $200,000/QALY</w:t>
      </w:r>
      <w:r w:rsidR="00A46730" w:rsidRPr="003C53F6" w:rsidDel="00A46730">
        <w:t xml:space="preserve"> </w:t>
      </w:r>
      <w:r w:rsidRPr="003C53F6">
        <w:t>to $</w:t>
      </w:r>
      <w:r w:rsidR="00A46730">
        <w:t>15,000 - $45,000</w:t>
      </w:r>
      <w:r w:rsidRPr="003C53F6">
        <w:t xml:space="preserve"> per QALY gained</w:t>
      </w:r>
      <w:r w:rsidR="007016F8" w:rsidRPr="003C53F6">
        <w:t>.</w:t>
      </w:r>
    </w:p>
    <w:p w:rsidR="00432412" w:rsidRPr="003C53F6" w:rsidRDefault="00B024FD" w:rsidP="00432412">
      <w:r w:rsidRPr="003C53F6">
        <w:t xml:space="preserve"> </w:t>
      </w:r>
    </w:p>
    <w:p w:rsidR="00D110BD" w:rsidRPr="003C53F6" w:rsidRDefault="00B024FD" w:rsidP="002431F7">
      <w:pPr>
        <w:pStyle w:val="ListParagraph"/>
        <w:widowControl/>
        <w:numPr>
          <w:ilvl w:val="1"/>
          <w:numId w:val="2"/>
        </w:numPr>
        <w:rPr>
          <w:szCs w:val="22"/>
        </w:rPr>
      </w:pPr>
      <w:r w:rsidRPr="003C53F6">
        <w:t xml:space="preserve">In the base case of model 2, </w:t>
      </w:r>
      <w:proofErr w:type="spellStart"/>
      <w:r w:rsidRPr="003C53F6">
        <w:t>Truvada</w:t>
      </w:r>
      <w:proofErr w:type="spellEnd"/>
      <w:r w:rsidRPr="003C53F6">
        <w:t xml:space="preserve"> was dominant. Model 2 </w:t>
      </w:r>
      <w:r w:rsidR="008C0487" w:rsidRPr="003C53F6">
        <w:t>wa</w:t>
      </w:r>
      <w:r w:rsidRPr="003C53F6">
        <w:t>s sensitive to decreasing the time horizon from 20 to 10 years, which increased the ICER to $</w:t>
      </w:r>
      <w:r w:rsidR="00A46730">
        <w:t>75,000 - $105,000</w:t>
      </w:r>
      <w:r w:rsidRPr="003C53F6">
        <w:t>per QALY gained. Model 2 was also sensitive to removing the continuation threshold</w:t>
      </w:r>
      <w:r w:rsidR="006B15D6" w:rsidRPr="003C53F6">
        <w:t xml:space="preserve"> (treatment was discontinued if an individual</w:t>
      </w:r>
      <w:r w:rsidR="00941FB2" w:rsidRPr="003C53F6">
        <w:t>’</w:t>
      </w:r>
      <w:r w:rsidR="006B15D6" w:rsidRPr="003C53F6">
        <w:t>s risk fell to &lt;2%)</w:t>
      </w:r>
      <w:r w:rsidRPr="003C53F6">
        <w:t>, which increased the ICER from dominant to $</w:t>
      </w:r>
      <w:r w:rsidR="00A46730">
        <w:t>75,000/QALY - $105,000</w:t>
      </w:r>
      <w:r w:rsidR="00830366">
        <w:t>/QALY</w:t>
      </w:r>
      <w:r w:rsidRPr="003C53F6">
        <w:t>. This is relevant since the proposed PBS listing does not include continuation criteria.</w:t>
      </w:r>
      <w:r w:rsidR="00776A37" w:rsidRPr="003C53F6">
        <w:t xml:space="preserve"> R</w:t>
      </w:r>
      <w:r w:rsidRPr="003C53F6">
        <w:t>emoving the distribution of the individual risk multiplier increased the ICER from dominant to $</w:t>
      </w:r>
      <w:r w:rsidR="00A46730">
        <w:t>75,000/QALY - $105,000</w:t>
      </w:r>
      <w:r w:rsidRPr="003C53F6">
        <w:t>per QALY. The skewed risk distribution assume</w:t>
      </w:r>
      <w:r w:rsidR="008C0487" w:rsidRPr="003C53F6">
        <w:t>d</w:t>
      </w:r>
      <w:r w:rsidRPr="003C53F6">
        <w:t xml:space="preserve"> that a small number of subjects have a very high risk of HIV infection while the majority ha</w:t>
      </w:r>
      <w:r w:rsidR="00830366">
        <w:t>ve</w:t>
      </w:r>
      <w:r w:rsidRPr="003C53F6">
        <w:t xml:space="preserve"> a much lower risk than implied by their general demographic characteristics.</w:t>
      </w:r>
      <w:r w:rsidR="007805B4" w:rsidRPr="003C53F6">
        <w:t xml:space="preserve"> </w:t>
      </w:r>
    </w:p>
    <w:p w:rsidR="008C0487" w:rsidRPr="003C53F6" w:rsidRDefault="008C0487" w:rsidP="008C0487">
      <w:pPr>
        <w:pStyle w:val="ListParagraph"/>
        <w:rPr>
          <w:szCs w:val="22"/>
        </w:rPr>
      </w:pPr>
    </w:p>
    <w:p w:rsidR="008C0487" w:rsidRPr="003C53F6" w:rsidRDefault="008C0487" w:rsidP="002431F7">
      <w:pPr>
        <w:pStyle w:val="ListParagraph"/>
        <w:widowControl/>
        <w:numPr>
          <w:ilvl w:val="1"/>
          <w:numId w:val="2"/>
        </w:numPr>
        <w:rPr>
          <w:szCs w:val="22"/>
        </w:rPr>
      </w:pPr>
      <w:r w:rsidRPr="003C53F6">
        <w:rPr>
          <w:szCs w:val="22"/>
        </w:rPr>
        <w:t xml:space="preserve">The PBAC noted the advice from ESC and DUSC that model 2 lacked face validity and was considered unlikely to provide a realistic estimate of the true cost effectiveness of subsidising </w:t>
      </w:r>
      <w:proofErr w:type="spellStart"/>
      <w:r w:rsidRPr="003C53F6">
        <w:rPr>
          <w:szCs w:val="22"/>
        </w:rPr>
        <w:t>Truvada</w:t>
      </w:r>
      <w:proofErr w:type="spellEnd"/>
      <w:r w:rsidRPr="003C53F6">
        <w:rPr>
          <w:szCs w:val="22"/>
        </w:rPr>
        <w:t xml:space="preserve"> for </w:t>
      </w:r>
      <w:proofErr w:type="spellStart"/>
      <w:r w:rsidRPr="003C53F6">
        <w:rPr>
          <w:szCs w:val="22"/>
        </w:rPr>
        <w:t>PrEP</w:t>
      </w:r>
      <w:proofErr w:type="spellEnd"/>
      <w:r w:rsidRPr="003C53F6">
        <w:rPr>
          <w:szCs w:val="22"/>
        </w:rPr>
        <w:t xml:space="preserve"> through the PBS. Therefore the PBAC did not accept the submission’s base case claim of dominance over SOC. </w:t>
      </w:r>
    </w:p>
    <w:p w:rsidR="00A86E8B" w:rsidRPr="003C53F6" w:rsidRDefault="00A86E8B" w:rsidP="00A86E8B">
      <w:pPr>
        <w:widowControl/>
        <w:rPr>
          <w:szCs w:val="22"/>
        </w:rPr>
      </w:pPr>
    </w:p>
    <w:p w:rsidR="00C25D9C" w:rsidRPr="003C53F6" w:rsidRDefault="00C25D9C" w:rsidP="00924E0A">
      <w:pPr>
        <w:pStyle w:val="Heading3"/>
      </w:pPr>
      <w:bookmarkStart w:id="13" w:name="_Toc451353165"/>
      <w:proofErr w:type="gramStart"/>
      <w:r w:rsidRPr="003C53F6">
        <w:t>Drug cost/</w:t>
      </w:r>
      <w:r w:rsidR="00447E32" w:rsidRPr="003C53F6">
        <w:t>subject</w:t>
      </w:r>
      <w:r w:rsidRPr="003C53F6">
        <w:t>/year: $</w:t>
      </w:r>
      <w:r w:rsidR="00632ACB">
        <w:rPr>
          <w:noProof/>
          <w:color w:val="000000"/>
          <w:highlight w:val="black"/>
        </w:rPr>
        <w:t>'''''''''''</w:t>
      </w:r>
      <w:r w:rsidRPr="003C53F6">
        <w:t>.</w:t>
      </w:r>
      <w:bookmarkEnd w:id="13"/>
      <w:proofErr w:type="gramEnd"/>
    </w:p>
    <w:p w:rsidR="0051053C" w:rsidRPr="003C53F6" w:rsidRDefault="0051053C" w:rsidP="0051053C"/>
    <w:p w:rsidR="001844FE" w:rsidRPr="003C53F6" w:rsidRDefault="00C249C3" w:rsidP="002431F7">
      <w:pPr>
        <w:pStyle w:val="ListParagraph"/>
        <w:widowControl/>
        <w:numPr>
          <w:ilvl w:val="1"/>
          <w:numId w:val="2"/>
        </w:numPr>
        <w:rPr>
          <w:szCs w:val="22"/>
        </w:rPr>
      </w:pPr>
      <w:r w:rsidRPr="003C53F6">
        <w:t xml:space="preserve">The proposed PBS listing suggests </w:t>
      </w:r>
      <w:r w:rsidR="00C36811" w:rsidRPr="003C53F6">
        <w:t xml:space="preserve">1 </w:t>
      </w:r>
      <w:r w:rsidR="004D03B5" w:rsidRPr="003C53F6">
        <w:t>tablet</w:t>
      </w:r>
      <w:r w:rsidR="00C36811" w:rsidRPr="003C53F6">
        <w:t xml:space="preserve"> per day, ongoing (no maximum duration). </w:t>
      </w:r>
      <w:r w:rsidR="00830366">
        <w:t>The m</w:t>
      </w:r>
      <w:r w:rsidR="00C36811" w:rsidRPr="003C53F6">
        <w:t xml:space="preserve">onthly </w:t>
      </w:r>
      <w:r w:rsidR="0051053C" w:rsidRPr="003C53F6">
        <w:t xml:space="preserve">(30-day) </w:t>
      </w:r>
      <w:proofErr w:type="spellStart"/>
      <w:r w:rsidR="00C36811" w:rsidRPr="003C53F6">
        <w:t>Truvada</w:t>
      </w:r>
      <w:proofErr w:type="spellEnd"/>
      <w:r w:rsidR="00C36811" w:rsidRPr="003C53F6">
        <w:t xml:space="preserve"> cost is $</w:t>
      </w:r>
      <w:r w:rsidR="00632ACB">
        <w:rPr>
          <w:noProof/>
          <w:color w:val="000000"/>
          <w:highlight w:val="black"/>
        </w:rPr>
        <w:t>'''''''''''''''''</w:t>
      </w:r>
      <w:r w:rsidR="00C36811" w:rsidRPr="003C53F6">
        <w:t xml:space="preserve">. Assuming 90% adherence, the number of prescriptions required per year is </w:t>
      </w:r>
      <w:r w:rsidR="00C36811" w:rsidRPr="002A7960">
        <w:t>10.95</w:t>
      </w:r>
      <w:r w:rsidR="00C36811" w:rsidRPr="003C53F6">
        <w:t>.</w:t>
      </w:r>
      <w:bookmarkStart w:id="14" w:name="_Toc451353166"/>
    </w:p>
    <w:p w:rsidR="001844FE" w:rsidRPr="003C53F6" w:rsidRDefault="001844FE" w:rsidP="00CD1E13">
      <w:pPr>
        <w:pStyle w:val="BodyText"/>
      </w:pPr>
    </w:p>
    <w:p w:rsidR="00B60939" w:rsidRPr="003C53F6" w:rsidRDefault="00B60939" w:rsidP="00924E0A">
      <w:pPr>
        <w:pStyle w:val="Heading3"/>
      </w:pPr>
      <w:r w:rsidRPr="003C53F6">
        <w:t>Estimated PBS usage &amp; financial implications</w:t>
      </w:r>
      <w:bookmarkEnd w:id="14"/>
    </w:p>
    <w:p w:rsidR="00B60939" w:rsidRPr="003C53F6" w:rsidRDefault="00B60939" w:rsidP="00B60939">
      <w:pPr>
        <w:ind w:left="720" w:hanging="720"/>
        <w:rPr>
          <w:b/>
          <w:szCs w:val="22"/>
        </w:rPr>
      </w:pPr>
    </w:p>
    <w:p w:rsidR="009676AF" w:rsidRPr="003C53F6" w:rsidRDefault="00AB73CE" w:rsidP="002431F7">
      <w:pPr>
        <w:pStyle w:val="ListParagraph"/>
        <w:widowControl/>
        <w:numPr>
          <w:ilvl w:val="1"/>
          <w:numId w:val="2"/>
        </w:numPr>
        <w:ind w:left="709"/>
        <w:rPr>
          <w:szCs w:val="22"/>
        </w:rPr>
      </w:pPr>
      <w:r w:rsidRPr="003C53F6">
        <w:t xml:space="preserve">This submission </w:t>
      </w:r>
      <w:r w:rsidR="009676AF" w:rsidRPr="003C53F6">
        <w:t>was</w:t>
      </w:r>
      <w:r w:rsidRPr="003C53F6">
        <w:t xml:space="preserve"> considered by DUSC</w:t>
      </w:r>
      <w:r w:rsidRPr="003C53F6">
        <w:rPr>
          <w:color w:val="0070C0"/>
        </w:rPr>
        <w:t xml:space="preserve">. </w:t>
      </w:r>
    </w:p>
    <w:p w:rsidR="009676AF" w:rsidRPr="003C53F6" w:rsidRDefault="009676AF" w:rsidP="009676AF">
      <w:pPr>
        <w:pStyle w:val="ListParagraph"/>
        <w:widowControl/>
        <w:ind w:left="709"/>
        <w:rPr>
          <w:szCs w:val="22"/>
        </w:rPr>
      </w:pPr>
    </w:p>
    <w:p w:rsidR="009676AF" w:rsidRPr="003C53F6" w:rsidRDefault="00AB73CE" w:rsidP="00F73162">
      <w:pPr>
        <w:pStyle w:val="ListParagraph"/>
        <w:numPr>
          <w:ilvl w:val="1"/>
          <w:numId w:val="2"/>
        </w:numPr>
      </w:pPr>
      <w:r w:rsidRPr="003C53F6">
        <w:t>The financial impact analysis presented in the submission takes an epidemiological, prevalence-based approach.</w:t>
      </w:r>
      <w:r w:rsidR="00F73162" w:rsidRPr="003C53F6">
        <w:t xml:space="preserve"> </w:t>
      </w:r>
    </w:p>
    <w:p w:rsidR="009676AF" w:rsidRPr="003C53F6" w:rsidRDefault="009676AF" w:rsidP="009676AF">
      <w:pPr>
        <w:pStyle w:val="ListParagraph"/>
      </w:pPr>
    </w:p>
    <w:p w:rsidR="006B15D6" w:rsidRPr="003C53F6" w:rsidRDefault="00AB73CE" w:rsidP="006B15D6">
      <w:pPr>
        <w:pStyle w:val="ListParagraph"/>
        <w:numPr>
          <w:ilvl w:val="1"/>
          <w:numId w:val="2"/>
        </w:numPr>
      </w:pPr>
      <w:r w:rsidRPr="003C53F6">
        <w:t xml:space="preserve">The forecasted eligible population and uptake of </w:t>
      </w:r>
      <w:proofErr w:type="spellStart"/>
      <w:r w:rsidRPr="003C53F6">
        <w:t>Truvada</w:t>
      </w:r>
      <w:proofErr w:type="spellEnd"/>
      <w:r w:rsidRPr="003C53F6">
        <w:t xml:space="preserve"> were based on the results from model 2. Therefore, the financial forecasts are subject to the assumptions of the dynamic </w:t>
      </w:r>
      <w:r w:rsidRPr="00A46730">
        <w:t>transmission model</w:t>
      </w:r>
      <w:r w:rsidR="006B15D6" w:rsidRPr="00A46730">
        <w:t>.</w:t>
      </w:r>
      <w:r w:rsidR="00F73162" w:rsidRPr="003C53F6">
        <w:t xml:space="preserve"> </w:t>
      </w:r>
    </w:p>
    <w:p w:rsidR="006B15D6" w:rsidRPr="003C53F6" w:rsidRDefault="006B15D6" w:rsidP="006B15D6">
      <w:pPr>
        <w:pStyle w:val="ListParagraph"/>
      </w:pPr>
    </w:p>
    <w:p w:rsidR="009676AF" w:rsidRPr="003C53F6" w:rsidRDefault="009676AF" w:rsidP="006B15D6">
      <w:pPr>
        <w:pStyle w:val="ListParagraph"/>
        <w:numPr>
          <w:ilvl w:val="1"/>
          <w:numId w:val="2"/>
        </w:numPr>
      </w:pPr>
      <w:r w:rsidRPr="003C53F6">
        <w:t>The DUSC considered that t</w:t>
      </w:r>
      <w:r w:rsidRPr="003C53F6">
        <w:rPr>
          <w:rFonts w:eastAsia="SimSun" w:cs="Times New Roman"/>
          <w:szCs w:val="22"/>
        </w:rPr>
        <w:t>he dynamic transmission model used to estimate the eligible population lacked baseline validity and was biased towards underestimating the future need:</w:t>
      </w:r>
    </w:p>
    <w:p w:rsidR="009676AF" w:rsidRPr="003C53F6" w:rsidRDefault="009676AF" w:rsidP="009676AF">
      <w:pPr>
        <w:numPr>
          <w:ilvl w:val="0"/>
          <w:numId w:val="15"/>
        </w:numPr>
        <w:ind w:left="1134" w:hanging="283"/>
        <w:rPr>
          <w:rFonts w:eastAsia="SimSun" w:cs="Times New Roman"/>
          <w:szCs w:val="22"/>
        </w:rPr>
      </w:pPr>
      <w:proofErr w:type="gramStart"/>
      <w:r w:rsidRPr="003C53F6">
        <w:rPr>
          <w:rFonts w:eastAsia="SimSun" w:cs="Times New Roman"/>
          <w:szCs w:val="22"/>
        </w:rPr>
        <w:t>the</w:t>
      </w:r>
      <w:proofErr w:type="gramEnd"/>
      <w:r w:rsidRPr="003C53F6">
        <w:rPr>
          <w:rFonts w:eastAsia="SimSun" w:cs="Times New Roman"/>
          <w:szCs w:val="22"/>
        </w:rPr>
        <w:t xml:space="preserve"> infection rate was overestimated (5%);</w:t>
      </w:r>
    </w:p>
    <w:p w:rsidR="009676AF" w:rsidRPr="003C53F6" w:rsidRDefault="009676AF" w:rsidP="00941FB2">
      <w:pPr>
        <w:numPr>
          <w:ilvl w:val="0"/>
          <w:numId w:val="15"/>
        </w:numPr>
        <w:ind w:left="1134" w:hanging="283"/>
        <w:rPr>
          <w:rFonts w:eastAsia="SimSun" w:cs="Times New Roman"/>
          <w:szCs w:val="22"/>
        </w:rPr>
      </w:pPr>
      <w:r w:rsidRPr="003C53F6">
        <w:rPr>
          <w:rFonts w:eastAsia="SimSun" w:cs="Times New Roman"/>
          <w:szCs w:val="22"/>
        </w:rPr>
        <w:lastRenderedPageBreak/>
        <w:t xml:space="preserve">the estimate of the starting susceptible population of </w:t>
      </w:r>
      <w:r w:rsidRPr="002A7960">
        <w:rPr>
          <w:rFonts w:eastAsia="SimSun" w:cs="Times New Roman"/>
          <w:szCs w:val="22"/>
        </w:rPr>
        <w:t>134,000</w:t>
      </w:r>
      <w:r w:rsidRPr="003C53F6">
        <w:rPr>
          <w:rFonts w:eastAsia="SimSun" w:cs="Times New Roman"/>
          <w:szCs w:val="22"/>
        </w:rPr>
        <w:t xml:space="preserve"> persons could not be verified;</w:t>
      </w:r>
      <w:r w:rsidR="00941FB2" w:rsidRPr="003C53F6">
        <w:rPr>
          <w:rFonts w:eastAsia="SimSun" w:cs="Times New Roman"/>
          <w:szCs w:val="22"/>
        </w:rPr>
        <w:t xml:space="preserve"> </w:t>
      </w:r>
      <w:r w:rsidRPr="003C53F6">
        <w:rPr>
          <w:rFonts w:eastAsia="SimSun" w:cs="Times New Roman"/>
          <w:szCs w:val="22"/>
        </w:rPr>
        <w:t>and</w:t>
      </w:r>
    </w:p>
    <w:p w:rsidR="009676AF" w:rsidRPr="003C53F6" w:rsidRDefault="009676AF" w:rsidP="009676AF">
      <w:pPr>
        <w:numPr>
          <w:ilvl w:val="0"/>
          <w:numId w:val="15"/>
        </w:numPr>
        <w:ind w:left="1134" w:hanging="283"/>
        <w:rPr>
          <w:rFonts w:eastAsia="SimSun" w:cs="Times New Roman"/>
          <w:szCs w:val="22"/>
        </w:rPr>
      </w:pPr>
      <w:proofErr w:type="gramStart"/>
      <w:r w:rsidRPr="003C53F6">
        <w:rPr>
          <w:rFonts w:eastAsia="SimSun" w:cs="Times New Roman"/>
          <w:szCs w:val="22"/>
        </w:rPr>
        <w:t>the</w:t>
      </w:r>
      <w:proofErr w:type="gramEnd"/>
      <w:r w:rsidRPr="003C53F6">
        <w:rPr>
          <w:rFonts w:eastAsia="SimSun" w:cs="Times New Roman"/>
          <w:szCs w:val="22"/>
        </w:rPr>
        <w:t xml:space="preserve"> rationale for basing the probability of risky behaviour on a gamma distribution was unclear and the bias from this approach was unknown.</w:t>
      </w:r>
    </w:p>
    <w:p w:rsidR="00AB73CE" w:rsidRPr="003C53F6" w:rsidRDefault="00AB73CE" w:rsidP="00AB73CE">
      <w:pPr>
        <w:widowControl/>
        <w:ind w:left="709"/>
        <w:rPr>
          <w:szCs w:val="22"/>
        </w:rPr>
      </w:pPr>
      <w:r w:rsidRPr="003C53F6">
        <w:t xml:space="preserve"> </w:t>
      </w:r>
    </w:p>
    <w:p w:rsidR="00AB73CE" w:rsidRPr="003C53F6" w:rsidRDefault="00AB73CE" w:rsidP="002431F7">
      <w:pPr>
        <w:pStyle w:val="ListParagraph"/>
        <w:widowControl/>
        <w:numPr>
          <w:ilvl w:val="1"/>
          <w:numId w:val="2"/>
        </w:numPr>
        <w:ind w:left="709"/>
      </w:pPr>
      <w:r w:rsidRPr="003C53F6">
        <w:t>Uptake was assumed to be 80%, applied on a per cycle basis. Adherence was assumed to be 90%,</w:t>
      </w:r>
      <w:r w:rsidR="003C53F6">
        <w:t xml:space="preserve"> </w:t>
      </w:r>
      <w:r w:rsidR="007A7C9E" w:rsidRPr="003C53F6">
        <w:t xml:space="preserve">based on the case-control analyses of the </w:t>
      </w:r>
      <w:proofErr w:type="spellStart"/>
      <w:r w:rsidR="007A7C9E" w:rsidRPr="003C53F6">
        <w:t>iPrex</w:t>
      </w:r>
      <w:proofErr w:type="spellEnd"/>
      <w:r w:rsidR="007A7C9E" w:rsidRPr="003C53F6">
        <w:t xml:space="preserve"> and </w:t>
      </w:r>
      <w:r w:rsidR="006E00BE" w:rsidRPr="003C53F6">
        <w:t xml:space="preserve">Partners </w:t>
      </w:r>
      <w:proofErr w:type="spellStart"/>
      <w:r w:rsidR="006E00BE" w:rsidRPr="003C53F6">
        <w:t>PrEP</w:t>
      </w:r>
      <w:proofErr w:type="spellEnd"/>
      <w:r w:rsidR="006E00BE" w:rsidRPr="003C53F6">
        <w:t xml:space="preserve"> studies</w:t>
      </w:r>
      <w:r w:rsidRPr="003C53F6">
        <w:t xml:space="preserve">. MBS costs were the costs for SOC and consistent with </w:t>
      </w:r>
      <w:r w:rsidR="00261A2A" w:rsidRPr="003C53F6">
        <w:t>the economic model</w:t>
      </w:r>
      <w:r w:rsidRPr="003C53F6">
        <w:t xml:space="preserve">, assuming an MBS cost offset to account for SOC in the control arm. </w:t>
      </w:r>
    </w:p>
    <w:p w:rsidR="00AB73CE" w:rsidRPr="003C53F6" w:rsidRDefault="00AB73CE" w:rsidP="00AB73CE">
      <w:pPr>
        <w:pStyle w:val="ListParagraph"/>
        <w:ind w:left="709"/>
      </w:pPr>
    </w:p>
    <w:p w:rsidR="00AB73CE" w:rsidRPr="003C53F6" w:rsidRDefault="00AB73CE" w:rsidP="002431F7">
      <w:pPr>
        <w:pStyle w:val="ListParagraph"/>
        <w:widowControl/>
        <w:numPr>
          <w:ilvl w:val="1"/>
          <w:numId w:val="2"/>
        </w:numPr>
        <w:ind w:left="709"/>
      </w:pPr>
      <w:r w:rsidRPr="003C53F6">
        <w:t xml:space="preserve">The estimated number of prescriptions in the submission was incorrect because adherence was taken into account twice: in calculating the number of prescriptions per subject per year and in calculating the total number of prescriptions per year. </w:t>
      </w:r>
    </w:p>
    <w:p w:rsidR="00AB73CE" w:rsidRPr="003C53F6" w:rsidRDefault="00AB73CE" w:rsidP="00AB73CE">
      <w:pPr>
        <w:pStyle w:val="ListParagraph"/>
        <w:ind w:left="709"/>
      </w:pPr>
    </w:p>
    <w:p w:rsidR="00AB73CE" w:rsidRPr="003C53F6" w:rsidRDefault="00AB73CE" w:rsidP="002431F7">
      <w:pPr>
        <w:pStyle w:val="ListParagraph"/>
        <w:widowControl/>
        <w:numPr>
          <w:ilvl w:val="1"/>
          <w:numId w:val="2"/>
        </w:numPr>
        <w:ind w:left="709"/>
        <w:rPr>
          <w:i/>
        </w:rPr>
      </w:pPr>
      <w:r w:rsidRPr="003C53F6">
        <w:t>Table 9 provides the</w:t>
      </w:r>
      <w:r w:rsidR="00830366">
        <w:t xml:space="preserve"> submission’s</w:t>
      </w:r>
      <w:r w:rsidRPr="003C53F6">
        <w:t xml:space="preserve"> estimated use and financial implications of PBS listing for </w:t>
      </w:r>
      <w:proofErr w:type="spellStart"/>
      <w:r w:rsidRPr="003C53F6">
        <w:t>Truvada</w:t>
      </w:r>
      <w:proofErr w:type="spellEnd"/>
      <w:r w:rsidRPr="003C53F6">
        <w:t xml:space="preserve"> as </w:t>
      </w:r>
      <w:proofErr w:type="spellStart"/>
      <w:r w:rsidRPr="003C53F6">
        <w:t>PrEP</w:t>
      </w:r>
      <w:proofErr w:type="spellEnd"/>
      <w:r w:rsidR="00830366">
        <w:t xml:space="preserve"> corrected for the error described above.</w:t>
      </w:r>
      <w:r w:rsidRPr="003C53F6">
        <w:t xml:space="preserve"> Based on the information provided in the evaluation, the drug is likely to exceed $</w:t>
      </w:r>
      <w:r w:rsidR="003C53F6" w:rsidRPr="002A7960">
        <w:t xml:space="preserve">20 </w:t>
      </w:r>
      <w:r w:rsidRPr="002A7960">
        <w:t>million</w:t>
      </w:r>
      <w:r w:rsidRPr="003C53F6">
        <w:t xml:space="preserve">/year. </w:t>
      </w:r>
    </w:p>
    <w:p w:rsidR="00C3395D" w:rsidRPr="003C53F6" w:rsidRDefault="00C3395D" w:rsidP="00C3395D">
      <w:pPr>
        <w:ind w:firstLine="709"/>
        <w:rPr>
          <w:rStyle w:val="CommentReference"/>
        </w:rPr>
      </w:pPr>
    </w:p>
    <w:p w:rsidR="00AB73CE" w:rsidRPr="003C53F6" w:rsidRDefault="00AB73CE" w:rsidP="00C3395D">
      <w:pPr>
        <w:rPr>
          <w:rStyle w:val="CommentReference"/>
        </w:rPr>
      </w:pPr>
      <w:r w:rsidRPr="003C53F6">
        <w:rPr>
          <w:rStyle w:val="CommentReference"/>
        </w:rPr>
        <w:t>Table 9: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56"/>
        <w:gridCol w:w="1466"/>
        <w:gridCol w:w="1466"/>
        <w:gridCol w:w="1466"/>
        <w:gridCol w:w="1466"/>
        <w:gridCol w:w="1462"/>
      </w:tblGrid>
      <w:tr w:rsidR="00AB73CE" w:rsidRPr="003C53F6" w:rsidTr="00C3395D">
        <w:trPr>
          <w:tblHeader/>
        </w:trPr>
        <w:tc>
          <w:tcPr>
            <w:tcW w:w="967" w:type="pct"/>
            <w:shd w:val="clear" w:color="auto" w:fill="auto"/>
            <w:vAlign w:val="center"/>
          </w:tcPr>
          <w:p w:rsidR="00AB73CE" w:rsidRPr="003C53F6" w:rsidRDefault="00AB73CE" w:rsidP="00AB73CE">
            <w:pPr>
              <w:tabs>
                <w:tab w:val="left" w:pos="142"/>
              </w:tabs>
              <w:ind w:left="709"/>
              <w:jc w:val="left"/>
              <w:rPr>
                <w:rFonts w:ascii="Arial Narrow" w:hAnsi="Arial Narrow"/>
                <w:b/>
                <w:sz w:val="20"/>
              </w:rPr>
            </w:pPr>
          </w:p>
        </w:tc>
        <w:tc>
          <w:tcPr>
            <w:tcW w:w="807" w:type="pct"/>
            <w:shd w:val="clear" w:color="auto" w:fill="auto"/>
            <w:vAlign w:val="center"/>
          </w:tcPr>
          <w:p w:rsidR="00AB73CE" w:rsidRPr="003C53F6" w:rsidRDefault="00AB73CE" w:rsidP="00DD1BE3">
            <w:pPr>
              <w:jc w:val="center"/>
              <w:rPr>
                <w:rFonts w:ascii="Arial Narrow" w:hAnsi="Arial Narrow"/>
                <w:b/>
                <w:sz w:val="20"/>
              </w:rPr>
            </w:pPr>
            <w:r w:rsidRPr="003C53F6">
              <w:rPr>
                <w:rFonts w:ascii="Arial Narrow" w:hAnsi="Arial Narrow"/>
                <w:b/>
                <w:sz w:val="20"/>
              </w:rPr>
              <w:t>Year 1</w:t>
            </w:r>
          </w:p>
        </w:tc>
        <w:tc>
          <w:tcPr>
            <w:tcW w:w="807" w:type="pct"/>
            <w:shd w:val="clear" w:color="auto" w:fill="auto"/>
            <w:vAlign w:val="center"/>
          </w:tcPr>
          <w:p w:rsidR="00AB73CE" w:rsidRPr="003C53F6" w:rsidRDefault="00AB73CE" w:rsidP="00DD1BE3">
            <w:pPr>
              <w:jc w:val="center"/>
              <w:rPr>
                <w:rFonts w:ascii="Arial Narrow" w:hAnsi="Arial Narrow"/>
                <w:b/>
                <w:sz w:val="20"/>
              </w:rPr>
            </w:pPr>
            <w:r w:rsidRPr="003C53F6">
              <w:rPr>
                <w:rFonts w:ascii="Arial Narrow" w:hAnsi="Arial Narrow"/>
                <w:b/>
                <w:sz w:val="20"/>
              </w:rPr>
              <w:t>Year 2</w:t>
            </w:r>
          </w:p>
        </w:tc>
        <w:tc>
          <w:tcPr>
            <w:tcW w:w="807" w:type="pct"/>
            <w:shd w:val="clear" w:color="auto" w:fill="auto"/>
            <w:vAlign w:val="center"/>
          </w:tcPr>
          <w:p w:rsidR="00AB73CE" w:rsidRPr="003C53F6" w:rsidRDefault="00AB73CE" w:rsidP="00DD1BE3">
            <w:pPr>
              <w:jc w:val="center"/>
              <w:rPr>
                <w:rFonts w:ascii="Arial Narrow" w:hAnsi="Arial Narrow"/>
                <w:b/>
                <w:sz w:val="20"/>
              </w:rPr>
            </w:pPr>
            <w:r w:rsidRPr="003C53F6">
              <w:rPr>
                <w:rFonts w:ascii="Arial Narrow" w:hAnsi="Arial Narrow"/>
                <w:b/>
                <w:sz w:val="20"/>
              </w:rPr>
              <w:t>Year 3</w:t>
            </w:r>
          </w:p>
        </w:tc>
        <w:tc>
          <w:tcPr>
            <w:tcW w:w="807" w:type="pct"/>
            <w:shd w:val="clear" w:color="auto" w:fill="auto"/>
            <w:vAlign w:val="center"/>
          </w:tcPr>
          <w:p w:rsidR="00AB73CE" w:rsidRPr="003C53F6" w:rsidRDefault="00AB73CE" w:rsidP="00DD1BE3">
            <w:pPr>
              <w:jc w:val="center"/>
              <w:rPr>
                <w:rFonts w:ascii="Arial Narrow" w:hAnsi="Arial Narrow"/>
                <w:b/>
                <w:sz w:val="20"/>
              </w:rPr>
            </w:pPr>
            <w:r w:rsidRPr="003C53F6">
              <w:rPr>
                <w:rFonts w:ascii="Arial Narrow" w:hAnsi="Arial Narrow"/>
                <w:b/>
                <w:sz w:val="20"/>
              </w:rPr>
              <w:t>Year 4</w:t>
            </w:r>
          </w:p>
        </w:tc>
        <w:tc>
          <w:tcPr>
            <w:tcW w:w="807" w:type="pct"/>
            <w:shd w:val="clear" w:color="auto" w:fill="auto"/>
            <w:vAlign w:val="center"/>
          </w:tcPr>
          <w:p w:rsidR="00AB73CE" w:rsidRPr="003C53F6" w:rsidRDefault="00AB73CE" w:rsidP="00DD1BE3">
            <w:pPr>
              <w:jc w:val="center"/>
              <w:rPr>
                <w:rFonts w:ascii="Arial Narrow" w:hAnsi="Arial Narrow"/>
                <w:b/>
                <w:sz w:val="20"/>
              </w:rPr>
            </w:pPr>
            <w:r w:rsidRPr="003C53F6">
              <w:rPr>
                <w:rFonts w:ascii="Arial Narrow" w:hAnsi="Arial Narrow"/>
                <w:b/>
                <w:sz w:val="20"/>
              </w:rPr>
              <w:t>Year 5</w:t>
            </w:r>
          </w:p>
        </w:tc>
      </w:tr>
      <w:tr w:rsidR="00AB73CE" w:rsidRPr="003C53F6" w:rsidTr="00C3395D">
        <w:tc>
          <w:tcPr>
            <w:tcW w:w="5000" w:type="pct"/>
            <w:gridSpan w:val="6"/>
            <w:shd w:val="clear" w:color="auto" w:fill="auto"/>
            <w:vAlign w:val="center"/>
          </w:tcPr>
          <w:p w:rsidR="00AB73CE" w:rsidRPr="003C53F6" w:rsidRDefault="00AB73CE" w:rsidP="00C3395D">
            <w:pPr>
              <w:jc w:val="left"/>
              <w:rPr>
                <w:rFonts w:ascii="Arial Narrow" w:hAnsi="Arial Narrow"/>
                <w:b/>
                <w:bCs/>
                <w:color w:val="000000"/>
                <w:sz w:val="20"/>
              </w:rPr>
            </w:pPr>
            <w:r w:rsidRPr="003C53F6">
              <w:rPr>
                <w:rFonts w:ascii="Arial Narrow" w:hAnsi="Arial Narrow"/>
                <w:b/>
                <w:bCs/>
                <w:color w:val="000000"/>
                <w:sz w:val="20"/>
              </w:rPr>
              <w:t>Estimated extent of use</w:t>
            </w:r>
          </w:p>
        </w:tc>
      </w:tr>
      <w:tr w:rsidR="00AB73CE" w:rsidRPr="003C53F6" w:rsidTr="00C3395D">
        <w:trPr>
          <w:trHeight w:val="62"/>
        </w:trPr>
        <w:tc>
          <w:tcPr>
            <w:tcW w:w="967" w:type="pct"/>
            <w:shd w:val="clear" w:color="auto" w:fill="auto"/>
            <w:vAlign w:val="center"/>
          </w:tcPr>
          <w:p w:rsidR="00AB73CE" w:rsidRPr="003C53F6" w:rsidRDefault="00AB73CE" w:rsidP="00C3395D">
            <w:pPr>
              <w:tabs>
                <w:tab w:val="left" w:pos="142"/>
              </w:tabs>
              <w:jc w:val="left"/>
              <w:rPr>
                <w:rFonts w:ascii="Arial Narrow" w:hAnsi="Arial Narrow"/>
                <w:sz w:val="19"/>
                <w:szCs w:val="19"/>
              </w:rPr>
            </w:pPr>
            <w:r w:rsidRPr="003C53F6">
              <w:rPr>
                <w:rFonts w:ascii="Arial Narrow" w:hAnsi="Arial Narrow"/>
                <w:sz w:val="19"/>
                <w:szCs w:val="19"/>
              </w:rPr>
              <w:t>Number treated</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3,407</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6,366</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5,298</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4,939</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3,970</w:t>
            </w:r>
          </w:p>
        </w:tc>
      </w:tr>
      <w:tr w:rsidR="00AB73CE" w:rsidRPr="003C53F6" w:rsidTr="00C3395D">
        <w:trPr>
          <w:trHeight w:val="62"/>
        </w:trPr>
        <w:tc>
          <w:tcPr>
            <w:tcW w:w="967" w:type="pct"/>
            <w:shd w:val="clear" w:color="auto" w:fill="auto"/>
            <w:vAlign w:val="center"/>
          </w:tcPr>
          <w:p w:rsidR="00AB73CE" w:rsidRPr="003C53F6" w:rsidRDefault="00AB73CE" w:rsidP="00C3395D">
            <w:pPr>
              <w:tabs>
                <w:tab w:val="left" w:pos="142"/>
              </w:tabs>
              <w:jc w:val="left"/>
              <w:rPr>
                <w:rFonts w:ascii="Arial Narrow" w:hAnsi="Arial Narrow"/>
                <w:sz w:val="19"/>
                <w:szCs w:val="19"/>
              </w:rPr>
            </w:pPr>
            <w:r w:rsidRPr="003C53F6">
              <w:rPr>
                <w:rFonts w:ascii="Arial Narrow" w:hAnsi="Arial Narrow"/>
                <w:sz w:val="19"/>
                <w:szCs w:val="19"/>
              </w:rPr>
              <w:t>Scripts</w:t>
            </w:r>
            <w:r w:rsidRPr="003C53F6">
              <w:rPr>
                <w:rFonts w:ascii="Arial Narrow" w:hAnsi="Arial Narrow"/>
                <w:sz w:val="19"/>
                <w:szCs w:val="19"/>
                <w:vertAlign w:val="superscript"/>
              </w:rPr>
              <w:t>1</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37,307</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69,708</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58,013</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54,082</w:t>
            </w:r>
          </w:p>
        </w:tc>
        <w:tc>
          <w:tcPr>
            <w:tcW w:w="807" w:type="pct"/>
            <w:shd w:val="clear" w:color="auto" w:fill="auto"/>
            <w:vAlign w:val="bottom"/>
          </w:tcPr>
          <w:p w:rsidR="00AB73CE" w:rsidRPr="003C53F6" w:rsidRDefault="00AB73CE" w:rsidP="00C3395D">
            <w:pPr>
              <w:jc w:val="center"/>
              <w:rPr>
                <w:rFonts w:ascii="Arial Narrow" w:hAnsi="Arial Narrow"/>
                <w:sz w:val="19"/>
                <w:szCs w:val="19"/>
              </w:rPr>
            </w:pPr>
            <w:r w:rsidRPr="002A7960">
              <w:rPr>
                <w:rFonts w:ascii="Arial Narrow" w:hAnsi="Arial Narrow"/>
                <w:sz w:val="19"/>
                <w:szCs w:val="19"/>
              </w:rPr>
              <w:t>43,472</w:t>
            </w:r>
          </w:p>
        </w:tc>
      </w:tr>
      <w:tr w:rsidR="00AB73CE" w:rsidRPr="003C53F6" w:rsidTr="00C3395D">
        <w:tc>
          <w:tcPr>
            <w:tcW w:w="5000" w:type="pct"/>
            <w:gridSpan w:val="6"/>
            <w:shd w:val="clear" w:color="auto" w:fill="auto"/>
            <w:vAlign w:val="center"/>
          </w:tcPr>
          <w:p w:rsidR="00AB73CE" w:rsidRPr="003C53F6" w:rsidRDefault="00AB73CE" w:rsidP="00C3395D">
            <w:pPr>
              <w:jc w:val="left"/>
              <w:rPr>
                <w:rFonts w:ascii="Arial Narrow" w:hAnsi="Arial Narrow"/>
                <w:b/>
                <w:bCs/>
                <w:color w:val="000000"/>
                <w:sz w:val="20"/>
              </w:rPr>
            </w:pPr>
            <w:r w:rsidRPr="003C53F6">
              <w:rPr>
                <w:rFonts w:ascii="Arial Narrow" w:hAnsi="Arial Narrow"/>
                <w:b/>
                <w:bCs/>
                <w:color w:val="000000"/>
                <w:sz w:val="20"/>
              </w:rPr>
              <w:t>Estimated net cost to PBS/RPBS/MBS</w:t>
            </w:r>
          </w:p>
        </w:tc>
      </w:tr>
      <w:tr w:rsidR="00AB73CE" w:rsidRPr="003C53F6" w:rsidTr="00C3395D">
        <w:tc>
          <w:tcPr>
            <w:tcW w:w="967" w:type="pct"/>
            <w:shd w:val="clear" w:color="auto" w:fill="auto"/>
            <w:vAlign w:val="center"/>
          </w:tcPr>
          <w:p w:rsidR="00AB73CE" w:rsidRPr="003C53F6" w:rsidRDefault="00AB73CE" w:rsidP="00C3395D">
            <w:pPr>
              <w:tabs>
                <w:tab w:val="left" w:pos="142"/>
              </w:tabs>
              <w:jc w:val="left"/>
              <w:rPr>
                <w:rFonts w:ascii="Arial Narrow" w:hAnsi="Arial Narrow"/>
                <w:sz w:val="20"/>
              </w:rPr>
            </w:pPr>
            <w:r w:rsidRPr="003C53F6">
              <w:rPr>
                <w:rFonts w:ascii="Arial Narrow" w:hAnsi="Arial Narrow"/>
                <w:sz w:val="19"/>
                <w:szCs w:val="19"/>
              </w:rPr>
              <w:t>Net cost to PBS/RPBS</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00632ACB">
              <w:rPr>
                <w:rFonts w:ascii="Arial Narrow" w:hAnsi="Arial Narrow"/>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00632ACB">
              <w:rPr>
                <w:rFonts w:ascii="Arial Narrow" w:hAnsi="Arial Narrow"/>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00632ACB">
              <w:rPr>
                <w:rFonts w:ascii="Arial Narrow" w:hAnsi="Arial Narrow"/>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00632ACB">
              <w:rPr>
                <w:rFonts w:ascii="Arial Narrow" w:hAnsi="Arial Narrow"/>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00632ACB">
              <w:rPr>
                <w:rFonts w:ascii="Arial Narrow" w:hAnsi="Arial Narrow"/>
                <w:noProof/>
                <w:color w:val="000000"/>
                <w:sz w:val="20"/>
                <w:highlight w:val="black"/>
              </w:rPr>
              <w:t>'''''''''''''''''''''''</w:t>
            </w:r>
          </w:p>
        </w:tc>
      </w:tr>
      <w:tr w:rsidR="00AB73CE" w:rsidRPr="003C53F6" w:rsidTr="00C3395D">
        <w:tc>
          <w:tcPr>
            <w:tcW w:w="967" w:type="pct"/>
            <w:shd w:val="clear" w:color="auto" w:fill="auto"/>
            <w:vAlign w:val="center"/>
          </w:tcPr>
          <w:p w:rsidR="00AB73CE" w:rsidRPr="003C53F6" w:rsidRDefault="00AB73CE" w:rsidP="00C3395D">
            <w:pPr>
              <w:tabs>
                <w:tab w:val="left" w:pos="142"/>
              </w:tabs>
              <w:jc w:val="left"/>
              <w:rPr>
                <w:rFonts w:ascii="Arial Narrow" w:hAnsi="Arial Narrow"/>
                <w:sz w:val="20"/>
              </w:rPr>
            </w:pPr>
            <w:r w:rsidRPr="003C53F6">
              <w:rPr>
                <w:rFonts w:ascii="Arial Narrow" w:hAnsi="Arial Narrow"/>
                <w:sz w:val="19"/>
                <w:szCs w:val="19"/>
              </w:rPr>
              <w:t>Net cost to MBS</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Pr="002A7960">
              <w:rPr>
                <w:rFonts w:ascii="Arial Narrow" w:hAnsi="Arial Narrow"/>
                <w:color w:val="000000"/>
                <w:sz w:val="20"/>
              </w:rPr>
              <w:t>1,373,702</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Pr="002A7960">
              <w:rPr>
                <w:rFonts w:ascii="Arial Narrow" w:hAnsi="Arial Narrow"/>
                <w:color w:val="000000"/>
                <w:sz w:val="20"/>
              </w:rPr>
              <w:t>2,566,771</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Pr="002A7960">
              <w:rPr>
                <w:rFonts w:ascii="Arial Narrow" w:hAnsi="Arial Narrow"/>
                <w:color w:val="000000"/>
                <w:sz w:val="20"/>
              </w:rPr>
              <w:t>2,136,154</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Pr="002A7960">
              <w:rPr>
                <w:rFonts w:ascii="Arial Narrow" w:hAnsi="Arial Narrow"/>
                <w:color w:val="000000"/>
                <w:sz w:val="20"/>
              </w:rPr>
              <w:t>1,991,405</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color w:val="000000"/>
                <w:sz w:val="20"/>
              </w:rPr>
              <w:t>$</w:t>
            </w:r>
            <w:r w:rsidRPr="002A7960">
              <w:rPr>
                <w:rFonts w:ascii="Arial Narrow" w:hAnsi="Arial Narrow"/>
                <w:color w:val="000000"/>
                <w:sz w:val="20"/>
              </w:rPr>
              <w:t>1,600,704</w:t>
            </w:r>
          </w:p>
        </w:tc>
      </w:tr>
      <w:tr w:rsidR="00AB73CE" w:rsidRPr="003C53F6" w:rsidTr="00C3395D">
        <w:tc>
          <w:tcPr>
            <w:tcW w:w="5000" w:type="pct"/>
            <w:gridSpan w:val="6"/>
            <w:shd w:val="clear" w:color="auto" w:fill="auto"/>
            <w:vAlign w:val="center"/>
          </w:tcPr>
          <w:p w:rsidR="00AB73CE" w:rsidRPr="003C53F6" w:rsidRDefault="00AB73CE" w:rsidP="00C3395D">
            <w:pPr>
              <w:jc w:val="left"/>
              <w:rPr>
                <w:rFonts w:ascii="Arial Narrow" w:hAnsi="Arial Narrow" w:cs="Times New Roman"/>
                <w:b/>
                <w:i/>
                <w:snapToGrid/>
                <w:color w:val="000000"/>
                <w:sz w:val="20"/>
                <w:lang w:eastAsia="en-AU"/>
              </w:rPr>
            </w:pPr>
            <w:r w:rsidRPr="003C53F6">
              <w:rPr>
                <w:rFonts w:ascii="Arial Narrow" w:hAnsi="Arial Narrow"/>
                <w:b/>
                <w:bCs/>
                <w:color w:val="000000"/>
                <w:sz w:val="20"/>
              </w:rPr>
              <w:t>Estimated total net cost</w:t>
            </w:r>
          </w:p>
        </w:tc>
      </w:tr>
      <w:tr w:rsidR="00AB73CE" w:rsidRPr="003C53F6" w:rsidTr="00C3395D">
        <w:tc>
          <w:tcPr>
            <w:tcW w:w="967" w:type="pct"/>
            <w:shd w:val="clear" w:color="auto" w:fill="auto"/>
            <w:vAlign w:val="center"/>
          </w:tcPr>
          <w:p w:rsidR="00AB73CE" w:rsidRPr="003C53F6" w:rsidRDefault="00AB73CE" w:rsidP="00C3395D">
            <w:pPr>
              <w:tabs>
                <w:tab w:val="left" w:pos="142"/>
              </w:tabs>
              <w:jc w:val="left"/>
              <w:rPr>
                <w:rFonts w:ascii="Arial Narrow" w:hAnsi="Arial Narrow"/>
                <w:b/>
                <w:sz w:val="20"/>
              </w:rPr>
            </w:pPr>
            <w:r w:rsidRPr="003C53F6">
              <w:rPr>
                <w:rFonts w:ascii="Arial Narrow" w:hAnsi="Arial Narrow"/>
                <w:b/>
                <w:bCs/>
                <w:color w:val="000000"/>
                <w:sz w:val="20"/>
              </w:rPr>
              <w:t>Net cost to PBS/RPBS/MBS</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bCs/>
                <w:color w:val="000000"/>
                <w:sz w:val="20"/>
              </w:rPr>
              <w:t>$</w:t>
            </w:r>
            <w:r w:rsidR="00632ACB">
              <w:rPr>
                <w:rFonts w:ascii="Arial Narrow" w:hAnsi="Arial Narrow"/>
                <w:bCs/>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bCs/>
                <w:color w:val="000000"/>
                <w:sz w:val="20"/>
              </w:rPr>
              <w:t>$</w:t>
            </w:r>
            <w:r w:rsidR="00632ACB">
              <w:rPr>
                <w:rFonts w:ascii="Arial Narrow" w:hAnsi="Arial Narrow"/>
                <w:bCs/>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bCs/>
                <w:color w:val="000000"/>
                <w:sz w:val="20"/>
              </w:rPr>
              <w:t>$</w:t>
            </w:r>
            <w:r w:rsidR="00632ACB">
              <w:rPr>
                <w:rFonts w:ascii="Arial Narrow" w:hAnsi="Arial Narrow"/>
                <w:bCs/>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bCs/>
                <w:color w:val="000000"/>
                <w:sz w:val="20"/>
              </w:rPr>
              <w:t>$</w:t>
            </w:r>
            <w:r w:rsidR="00632ACB">
              <w:rPr>
                <w:rFonts w:ascii="Arial Narrow" w:hAnsi="Arial Narrow"/>
                <w:bCs/>
                <w:noProof/>
                <w:color w:val="000000"/>
                <w:sz w:val="20"/>
                <w:highlight w:val="black"/>
              </w:rPr>
              <w:t>''''''''''''''''''''''''''''</w:t>
            </w:r>
          </w:p>
        </w:tc>
        <w:tc>
          <w:tcPr>
            <w:tcW w:w="807" w:type="pct"/>
            <w:shd w:val="clear" w:color="auto" w:fill="auto"/>
            <w:vAlign w:val="bottom"/>
          </w:tcPr>
          <w:p w:rsidR="00AB73CE" w:rsidRPr="003C53F6" w:rsidRDefault="00AB73CE" w:rsidP="00C3395D">
            <w:pPr>
              <w:jc w:val="center"/>
              <w:rPr>
                <w:rFonts w:ascii="Arial Narrow" w:hAnsi="Arial Narrow" w:cs="Times New Roman"/>
                <w:i/>
                <w:snapToGrid/>
                <w:color w:val="000000"/>
                <w:sz w:val="20"/>
                <w:lang w:eastAsia="en-AU"/>
              </w:rPr>
            </w:pPr>
            <w:r w:rsidRPr="003C53F6">
              <w:rPr>
                <w:rFonts w:ascii="Arial Narrow" w:hAnsi="Arial Narrow"/>
                <w:bCs/>
                <w:color w:val="000000"/>
                <w:sz w:val="20"/>
              </w:rPr>
              <w:t>$</w:t>
            </w:r>
            <w:r w:rsidR="00632ACB">
              <w:rPr>
                <w:rFonts w:ascii="Arial Narrow" w:hAnsi="Arial Narrow"/>
                <w:bCs/>
                <w:noProof/>
                <w:color w:val="000000"/>
                <w:sz w:val="20"/>
                <w:highlight w:val="black"/>
              </w:rPr>
              <w:t>''''''''''''''''''''''''''</w:t>
            </w:r>
          </w:p>
        </w:tc>
      </w:tr>
    </w:tbl>
    <w:p w:rsidR="00AB73CE" w:rsidRPr="003C53F6" w:rsidRDefault="00AB73CE" w:rsidP="00AB73CE">
      <w:pPr>
        <w:pStyle w:val="TableFooter"/>
        <w:ind w:left="709"/>
      </w:pPr>
      <w:r w:rsidRPr="003C53F6">
        <w:t xml:space="preserve">Source: Table E-9, p. 191 of the submission. </w:t>
      </w:r>
    </w:p>
    <w:p w:rsidR="00AB73CE" w:rsidRPr="003C53F6" w:rsidRDefault="00AB73CE" w:rsidP="00AB73CE">
      <w:pPr>
        <w:pStyle w:val="TableFooter"/>
        <w:ind w:left="709"/>
        <w:rPr>
          <w:szCs w:val="18"/>
        </w:rPr>
      </w:pPr>
      <w:r w:rsidRPr="003C53F6">
        <w:rPr>
          <w:szCs w:val="18"/>
        </w:rPr>
        <w:t>These numbers where adapted in order to correct for taking adherence into account twice.</w:t>
      </w:r>
    </w:p>
    <w:p w:rsidR="00AB73CE" w:rsidRPr="003C53F6" w:rsidRDefault="00AB73CE" w:rsidP="00AB73CE">
      <w:pPr>
        <w:pStyle w:val="TableFooter"/>
        <w:ind w:left="709"/>
        <w:rPr>
          <w:sz w:val="16"/>
          <w:szCs w:val="18"/>
        </w:rPr>
      </w:pPr>
      <w:r w:rsidRPr="003C53F6">
        <w:rPr>
          <w:vertAlign w:val="superscript"/>
        </w:rPr>
        <w:t>1</w:t>
      </w:r>
      <w:r w:rsidRPr="003C53F6">
        <w:t>Assuming 10.95 scripts per year as estimated by the submission.</w:t>
      </w:r>
    </w:p>
    <w:p w:rsidR="00AB73CE" w:rsidRDefault="00AB73CE" w:rsidP="00AB73CE">
      <w:pPr>
        <w:widowControl/>
        <w:ind w:left="709"/>
        <w:rPr>
          <w:szCs w:val="22"/>
        </w:rPr>
      </w:pPr>
    </w:p>
    <w:p w:rsidR="00EA5069" w:rsidRPr="003C53F6" w:rsidRDefault="00EA5069" w:rsidP="00AB73CE">
      <w:pPr>
        <w:widowControl/>
        <w:ind w:left="709"/>
        <w:rPr>
          <w:szCs w:val="22"/>
        </w:rPr>
      </w:pPr>
      <w:r>
        <w:rPr>
          <w:szCs w:val="22"/>
        </w:rPr>
        <w:t>The redactions in the table show that, at Year 5, the net cost to the PBS/RPBS/MBS would be $30 - $60 million per year.</w:t>
      </w:r>
    </w:p>
    <w:p w:rsidR="0096323F" w:rsidRPr="0096323F" w:rsidRDefault="0096323F" w:rsidP="0096323F">
      <w:pPr>
        <w:pStyle w:val="ListParagraph"/>
        <w:widowControl/>
        <w:ind w:left="709"/>
        <w:rPr>
          <w:szCs w:val="22"/>
        </w:rPr>
      </w:pPr>
    </w:p>
    <w:p w:rsidR="00496EE3" w:rsidRPr="003C53F6" w:rsidRDefault="00496EE3" w:rsidP="002431F7">
      <w:pPr>
        <w:pStyle w:val="ListParagraph"/>
        <w:widowControl/>
        <w:numPr>
          <w:ilvl w:val="1"/>
          <w:numId w:val="2"/>
        </w:numPr>
        <w:ind w:left="709"/>
        <w:rPr>
          <w:szCs w:val="22"/>
        </w:rPr>
      </w:pPr>
      <w:r w:rsidRPr="003C53F6">
        <w:rPr>
          <w:rFonts w:eastAsia="SimSun"/>
          <w:szCs w:val="22"/>
        </w:rPr>
        <w:t xml:space="preserve">DUSC estimated that the upper limit </w:t>
      </w:r>
      <w:r w:rsidR="006E00BE" w:rsidRPr="003C53F6">
        <w:rPr>
          <w:rFonts w:eastAsia="SimSun"/>
          <w:szCs w:val="22"/>
        </w:rPr>
        <w:t xml:space="preserve">of </w:t>
      </w:r>
      <w:r w:rsidRPr="003C53F6">
        <w:rPr>
          <w:rFonts w:eastAsia="SimSun"/>
          <w:szCs w:val="22"/>
        </w:rPr>
        <w:t xml:space="preserve">the eligible population could be </w:t>
      </w:r>
      <w:r w:rsidRPr="0096323F">
        <w:rPr>
          <w:rFonts w:eastAsia="SimSun"/>
          <w:szCs w:val="22"/>
        </w:rPr>
        <w:t>over 20,000</w:t>
      </w:r>
      <w:r w:rsidRPr="003C53F6">
        <w:rPr>
          <w:rFonts w:eastAsia="SimSun"/>
          <w:szCs w:val="22"/>
        </w:rPr>
        <w:t xml:space="preserve"> persons. </w:t>
      </w:r>
      <w:r w:rsidR="003C53F6" w:rsidRPr="003C53F6">
        <w:rPr>
          <w:rFonts w:eastAsia="SimSun"/>
          <w:szCs w:val="22"/>
        </w:rPr>
        <w:t>However,</w:t>
      </w:r>
      <w:r w:rsidRPr="003C53F6">
        <w:rPr>
          <w:rFonts w:eastAsia="SimSun"/>
          <w:szCs w:val="22"/>
        </w:rPr>
        <w:t xml:space="preserve"> there were difficulties in estimating the treated population as there are several </w:t>
      </w:r>
      <w:proofErr w:type="spellStart"/>
      <w:r w:rsidRPr="003C53F6">
        <w:rPr>
          <w:rFonts w:eastAsia="SimSun"/>
          <w:szCs w:val="22"/>
        </w:rPr>
        <w:t>PrEP</w:t>
      </w:r>
      <w:proofErr w:type="spellEnd"/>
      <w:r w:rsidRPr="003C53F6">
        <w:rPr>
          <w:rFonts w:eastAsia="SimSun"/>
          <w:szCs w:val="22"/>
        </w:rPr>
        <w:t xml:space="preserve"> demonstration projects involving treatment with </w:t>
      </w:r>
      <w:proofErr w:type="spellStart"/>
      <w:r w:rsidR="00310070" w:rsidRPr="003C53F6">
        <w:rPr>
          <w:color w:val="000000" w:themeColor="text1"/>
          <w:szCs w:val="22"/>
        </w:rPr>
        <w:t>Truvada</w:t>
      </w:r>
      <w:proofErr w:type="spellEnd"/>
      <w:r w:rsidRPr="003C53F6">
        <w:rPr>
          <w:color w:val="000000" w:themeColor="text1"/>
          <w:szCs w:val="22"/>
        </w:rPr>
        <w:t xml:space="preserve"> and generic versions of this combination therapy </w:t>
      </w:r>
      <w:r w:rsidRPr="003C53F6">
        <w:rPr>
          <w:rFonts w:eastAsia="SimSun"/>
          <w:szCs w:val="22"/>
        </w:rPr>
        <w:t xml:space="preserve">running in NSW, Victoria and Queensland with a large number of enrolments. There could be a large primed market who may move to PBS subsidised </w:t>
      </w:r>
      <w:proofErr w:type="spellStart"/>
      <w:r w:rsidRPr="003C53F6">
        <w:rPr>
          <w:color w:val="000000" w:themeColor="text1"/>
          <w:szCs w:val="22"/>
        </w:rPr>
        <w:t>T</w:t>
      </w:r>
      <w:r w:rsidR="00310070" w:rsidRPr="003C53F6">
        <w:rPr>
          <w:color w:val="000000" w:themeColor="text1"/>
          <w:szCs w:val="22"/>
        </w:rPr>
        <w:t>ruvada</w:t>
      </w:r>
      <w:proofErr w:type="spellEnd"/>
      <w:r w:rsidR="00830366">
        <w:rPr>
          <w:color w:val="000000" w:themeColor="text1"/>
          <w:szCs w:val="22"/>
        </w:rPr>
        <w:t>.</w:t>
      </w:r>
    </w:p>
    <w:p w:rsidR="00496EE3" w:rsidRPr="003C53F6" w:rsidRDefault="00496EE3" w:rsidP="00496EE3">
      <w:pPr>
        <w:pStyle w:val="ListParagraph"/>
        <w:widowControl/>
        <w:ind w:left="709"/>
        <w:rPr>
          <w:szCs w:val="22"/>
        </w:rPr>
      </w:pPr>
    </w:p>
    <w:p w:rsidR="00496EE3" w:rsidRPr="003C53F6" w:rsidRDefault="00830366" w:rsidP="00496EE3">
      <w:pPr>
        <w:pStyle w:val="ListParagraph"/>
        <w:numPr>
          <w:ilvl w:val="1"/>
          <w:numId w:val="2"/>
        </w:numPr>
        <w:rPr>
          <w:szCs w:val="22"/>
        </w:rPr>
      </w:pPr>
      <w:r>
        <w:rPr>
          <w:szCs w:val="22"/>
        </w:rPr>
        <w:t>DUSC considered t</w:t>
      </w:r>
      <w:r w:rsidR="00496EE3" w:rsidRPr="003C53F6">
        <w:rPr>
          <w:szCs w:val="22"/>
        </w:rPr>
        <w:t xml:space="preserve">he number of prescriptions per patient could be less than estimated by the submission. Preliminary results from the </w:t>
      </w:r>
      <w:proofErr w:type="spellStart"/>
      <w:r w:rsidR="00496EE3" w:rsidRPr="003C53F6">
        <w:rPr>
          <w:szCs w:val="22"/>
        </w:rPr>
        <w:t>VicPrEP</w:t>
      </w:r>
      <w:proofErr w:type="spellEnd"/>
      <w:r w:rsidR="00496EE3" w:rsidRPr="003C53F6">
        <w:rPr>
          <w:szCs w:val="22"/>
        </w:rPr>
        <w:t xml:space="preserve"> demonstration project suggest that participants were adherent at least 4 of 7 days per week. DUSC noted that the use of </w:t>
      </w:r>
      <w:proofErr w:type="spellStart"/>
      <w:r w:rsidR="00496EE3" w:rsidRPr="003C53F6">
        <w:rPr>
          <w:szCs w:val="22"/>
        </w:rPr>
        <w:t>tenofovir</w:t>
      </w:r>
      <w:proofErr w:type="spellEnd"/>
      <w:r w:rsidR="00496EE3" w:rsidRPr="003C53F6">
        <w:rPr>
          <w:szCs w:val="22"/>
        </w:rPr>
        <w:t xml:space="preserve"> </w:t>
      </w:r>
      <w:proofErr w:type="spellStart"/>
      <w:r w:rsidR="00496EE3" w:rsidRPr="003C53F6">
        <w:rPr>
          <w:szCs w:val="22"/>
        </w:rPr>
        <w:t>disoproxil</w:t>
      </w:r>
      <w:proofErr w:type="spellEnd"/>
      <w:r w:rsidR="00496EE3" w:rsidRPr="003C53F6">
        <w:rPr>
          <w:szCs w:val="22"/>
        </w:rPr>
        <w:t xml:space="preserve"> </w:t>
      </w:r>
      <w:proofErr w:type="spellStart"/>
      <w:r w:rsidR="00496EE3" w:rsidRPr="003C53F6">
        <w:rPr>
          <w:szCs w:val="22"/>
        </w:rPr>
        <w:t>fumarate</w:t>
      </w:r>
      <w:proofErr w:type="spellEnd"/>
      <w:r w:rsidR="00496EE3" w:rsidRPr="003C53F6">
        <w:rPr>
          <w:szCs w:val="22"/>
        </w:rPr>
        <w:t xml:space="preserve"> and </w:t>
      </w:r>
      <w:proofErr w:type="spellStart"/>
      <w:r w:rsidR="00496EE3" w:rsidRPr="003C53F6">
        <w:rPr>
          <w:szCs w:val="22"/>
        </w:rPr>
        <w:t>emtricitabine</w:t>
      </w:r>
      <w:proofErr w:type="spellEnd"/>
      <w:r w:rsidR="00496EE3" w:rsidRPr="003C53F6">
        <w:rPr>
          <w:szCs w:val="22"/>
        </w:rPr>
        <w:t xml:space="preserve"> as on demand pre-exposure prophylaxis before and after sexual activity was being investigated</w:t>
      </w:r>
      <w:r w:rsidR="00496EE3" w:rsidRPr="003C53F6">
        <w:rPr>
          <w:rFonts w:eastAsia="SimSun"/>
          <w:i/>
          <w:szCs w:val="22"/>
        </w:rPr>
        <w:t>.</w:t>
      </w:r>
      <w:r w:rsidR="00496EE3" w:rsidRPr="003C53F6">
        <w:rPr>
          <w:rFonts w:eastAsia="SimSun"/>
          <w:vertAlign w:val="superscript"/>
        </w:rPr>
        <w:footnoteReference w:id="3"/>
      </w:r>
      <w:r w:rsidR="00496EE3" w:rsidRPr="003C53F6">
        <w:rPr>
          <w:szCs w:val="22"/>
        </w:rPr>
        <w:t xml:space="preserve">  </w:t>
      </w:r>
    </w:p>
    <w:p w:rsidR="006B15D6" w:rsidRPr="003C53F6" w:rsidRDefault="006B15D6" w:rsidP="006B15D6">
      <w:pPr>
        <w:rPr>
          <w:szCs w:val="22"/>
        </w:rPr>
      </w:pPr>
    </w:p>
    <w:p w:rsidR="00F73162" w:rsidRPr="003C53F6" w:rsidRDefault="00AB73CE" w:rsidP="00F73162">
      <w:pPr>
        <w:pStyle w:val="ListParagraph"/>
        <w:widowControl/>
        <w:numPr>
          <w:ilvl w:val="1"/>
          <w:numId w:val="2"/>
        </w:numPr>
        <w:ind w:left="709"/>
        <w:rPr>
          <w:szCs w:val="22"/>
        </w:rPr>
      </w:pPr>
      <w:r w:rsidRPr="003C53F6">
        <w:lastRenderedPageBreak/>
        <w:t>The reduction in use of ART to treat avoided cases of HIV was calculated in a supplementary analysis in section E.8 of the submission. Assuming an ART cost of $</w:t>
      </w:r>
      <w:r w:rsidRPr="00EA5069">
        <w:t>1,121</w:t>
      </w:r>
      <w:r w:rsidRPr="003C53F6">
        <w:t xml:space="preserve"> per patient per month, the estimated savings to the PBS were $</w:t>
      </w:r>
      <w:r w:rsidR="00EA5069">
        <w:t>10 - $20 million</w:t>
      </w:r>
      <w:r w:rsidRPr="003C53F6">
        <w:t xml:space="preserve"> in years 1 to 5.</w:t>
      </w:r>
    </w:p>
    <w:p w:rsidR="00F73162" w:rsidRPr="003C53F6" w:rsidRDefault="00F73162" w:rsidP="00F73162">
      <w:pPr>
        <w:pStyle w:val="ListParagraph"/>
        <w:rPr>
          <w:szCs w:val="22"/>
        </w:rPr>
      </w:pPr>
    </w:p>
    <w:p w:rsidR="00F73162" w:rsidRPr="003C53F6" w:rsidRDefault="00C87D70" w:rsidP="00F73162">
      <w:pPr>
        <w:pStyle w:val="ListParagraph"/>
        <w:widowControl/>
        <w:numPr>
          <w:ilvl w:val="1"/>
          <w:numId w:val="2"/>
        </w:numPr>
        <w:ind w:left="709"/>
        <w:rPr>
          <w:szCs w:val="22"/>
        </w:rPr>
      </w:pPr>
      <w:r>
        <w:rPr>
          <w:szCs w:val="22"/>
        </w:rPr>
        <w:t xml:space="preserve">DUSC </w:t>
      </w:r>
      <w:r w:rsidR="00723747">
        <w:rPr>
          <w:szCs w:val="22"/>
        </w:rPr>
        <w:t>advised</w:t>
      </w:r>
      <w:r>
        <w:rPr>
          <w:szCs w:val="22"/>
        </w:rPr>
        <w:t xml:space="preserve"> t</w:t>
      </w:r>
      <w:r w:rsidR="00F73162" w:rsidRPr="003C53F6">
        <w:rPr>
          <w:szCs w:val="22"/>
        </w:rPr>
        <w:t>here may be substantial risk of use in the medium risk population. The following factors may contribute:</w:t>
      </w:r>
    </w:p>
    <w:p w:rsidR="00F73162" w:rsidRPr="003C53F6" w:rsidRDefault="00F73162" w:rsidP="006E00BE">
      <w:pPr>
        <w:numPr>
          <w:ilvl w:val="0"/>
          <w:numId w:val="3"/>
        </w:numPr>
        <w:ind w:left="993" w:hanging="284"/>
        <w:contextualSpacing/>
        <w:rPr>
          <w:szCs w:val="22"/>
        </w:rPr>
      </w:pPr>
      <w:r w:rsidRPr="003C53F6">
        <w:rPr>
          <w:szCs w:val="22"/>
        </w:rPr>
        <w:t>The lack of an Australian risk calculator to identify which subjects are eligible.</w:t>
      </w:r>
    </w:p>
    <w:p w:rsidR="00F73162" w:rsidRPr="003C53F6" w:rsidRDefault="00F73162" w:rsidP="006E00BE">
      <w:pPr>
        <w:numPr>
          <w:ilvl w:val="0"/>
          <w:numId w:val="3"/>
        </w:numPr>
        <w:ind w:left="993" w:hanging="284"/>
        <w:contextualSpacing/>
        <w:rPr>
          <w:szCs w:val="22"/>
        </w:rPr>
      </w:pPr>
      <w:r w:rsidRPr="003C53F6">
        <w:rPr>
          <w:szCs w:val="22"/>
        </w:rPr>
        <w:t>The lack of auditable risk criteria.</w:t>
      </w:r>
    </w:p>
    <w:p w:rsidR="00F73162" w:rsidRPr="003C53F6" w:rsidRDefault="00F73162" w:rsidP="006E00BE">
      <w:pPr>
        <w:widowControl/>
        <w:numPr>
          <w:ilvl w:val="0"/>
          <w:numId w:val="3"/>
        </w:numPr>
        <w:ind w:left="993" w:hanging="284"/>
        <w:contextualSpacing/>
        <w:rPr>
          <w:szCs w:val="22"/>
        </w:rPr>
      </w:pPr>
      <w:r w:rsidRPr="003C53F6">
        <w:rPr>
          <w:szCs w:val="22"/>
        </w:rPr>
        <w:t xml:space="preserve">The Australian </w:t>
      </w:r>
      <w:proofErr w:type="spellStart"/>
      <w:r w:rsidRPr="003C53F6">
        <w:rPr>
          <w:szCs w:val="22"/>
        </w:rPr>
        <w:t>PrEP</w:t>
      </w:r>
      <w:proofErr w:type="spellEnd"/>
      <w:r w:rsidRPr="003C53F6">
        <w:rPr>
          <w:szCs w:val="22"/>
        </w:rPr>
        <w:t xml:space="preserve"> guidelines advice considering </w:t>
      </w:r>
      <w:proofErr w:type="spellStart"/>
      <w:r w:rsidRPr="003C53F6">
        <w:rPr>
          <w:szCs w:val="22"/>
        </w:rPr>
        <w:t>PrEP</w:t>
      </w:r>
      <w:proofErr w:type="spellEnd"/>
      <w:r w:rsidRPr="003C53F6">
        <w:rPr>
          <w:szCs w:val="22"/>
        </w:rPr>
        <w:t xml:space="preserve"> in subjects with medium risk,</w:t>
      </w:r>
      <w:r w:rsidRPr="003C53F6">
        <w:rPr>
          <w:color w:val="000000" w:themeColor="text1"/>
          <w:szCs w:val="22"/>
        </w:rPr>
        <w:t xml:space="preserve"> while the proposed listing is for ‘substantial risk’. It was uncertain whether ‘substantial risk’ is equivalent to high risk</w:t>
      </w:r>
      <w:r w:rsidRPr="003C53F6">
        <w:rPr>
          <w:szCs w:val="22"/>
        </w:rPr>
        <w:t xml:space="preserve">. </w:t>
      </w:r>
    </w:p>
    <w:p w:rsidR="00F73162" w:rsidRPr="003C53F6" w:rsidRDefault="00F73162" w:rsidP="006E00BE">
      <w:pPr>
        <w:widowControl/>
        <w:numPr>
          <w:ilvl w:val="0"/>
          <w:numId w:val="3"/>
        </w:numPr>
        <w:ind w:left="993" w:hanging="284"/>
        <w:contextualSpacing/>
        <w:rPr>
          <w:szCs w:val="22"/>
        </w:rPr>
      </w:pPr>
      <w:r w:rsidRPr="003C53F6">
        <w:rPr>
          <w:szCs w:val="22"/>
        </w:rPr>
        <w:t xml:space="preserve">The absence of any requirements regarding stopping </w:t>
      </w:r>
      <w:proofErr w:type="spellStart"/>
      <w:r w:rsidR="003C53F6" w:rsidRPr="003C53F6">
        <w:rPr>
          <w:szCs w:val="22"/>
        </w:rPr>
        <w:t>Truvada</w:t>
      </w:r>
      <w:proofErr w:type="spellEnd"/>
      <w:r w:rsidR="003C53F6" w:rsidRPr="003C53F6">
        <w:rPr>
          <w:szCs w:val="22"/>
        </w:rPr>
        <w:t xml:space="preserve"> when</w:t>
      </w:r>
      <w:r w:rsidRPr="003C53F6">
        <w:rPr>
          <w:szCs w:val="22"/>
        </w:rPr>
        <w:t xml:space="preserve"> individual risk falls below 3% (or 2% as assumed in the economic evaluation).</w:t>
      </w:r>
    </w:p>
    <w:p w:rsidR="00AB73CE" w:rsidRPr="003C53F6" w:rsidRDefault="00AB73CE" w:rsidP="006B15D6">
      <w:pPr>
        <w:widowControl/>
      </w:pPr>
    </w:p>
    <w:p w:rsidR="00AB73CE" w:rsidRPr="003C53F6" w:rsidRDefault="00AB73CE" w:rsidP="002431F7">
      <w:pPr>
        <w:pStyle w:val="ListParagraph"/>
        <w:widowControl/>
        <w:numPr>
          <w:ilvl w:val="1"/>
          <w:numId w:val="2"/>
        </w:numPr>
        <w:ind w:left="709"/>
      </w:pPr>
      <w:r w:rsidRPr="003C53F6">
        <w:t xml:space="preserve">In the base </w:t>
      </w:r>
      <w:r w:rsidR="003C53F6" w:rsidRPr="003C53F6">
        <w:t>case,</w:t>
      </w:r>
      <w:r w:rsidRPr="003C53F6">
        <w:t xml:space="preserve"> the submission calculated an MBS cost offset based on the assumption that high risk subjects who do not take </w:t>
      </w:r>
      <w:proofErr w:type="spellStart"/>
      <w:r w:rsidRPr="003C53F6">
        <w:t>Truvada</w:t>
      </w:r>
      <w:proofErr w:type="spellEnd"/>
      <w:r w:rsidRPr="003C53F6">
        <w:t xml:space="preserve"> would be expected to undergo the recommended twice annual HIV and STI screenings. This cost-offset may be overestimated since subjects are currently tested on average </w:t>
      </w:r>
      <w:r w:rsidR="00EE6904">
        <w:t xml:space="preserve">less than </w:t>
      </w:r>
      <w:r w:rsidR="003C53F6">
        <w:t>twice</w:t>
      </w:r>
      <w:r w:rsidRPr="003C53F6">
        <w:t xml:space="preserve"> per year. Completely removing the MBS cost offset from the calculations increases the cost to government by 5.24%.</w:t>
      </w:r>
    </w:p>
    <w:p w:rsidR="00270D14" w:rsidRPr="003C53F6" w:rsidRDefault="00270D14" w:rsidP="00BB4715">
      <w:pPr>
        <w:pStyle w:val="BodyText"/>
        <w:rPr>
          <w:b/>
          <w:color w:val="000000" w:themeColor="text1"/>
          <w:szCs w:val="22"/>
        </w:rPr>
      </w:pPr>
    </w:p>
    <w:p w:rsidR="00576972" w:rsidRPr="003C53F6" w:rsidRDefault="00576972" w:rsidP="00924E0A">
      <w:pPr>
        <w:pStyle w:val="Heading3"/>
      </w:pPr>
      <w:bookmarkStart w:id="15" w:name="_Toc451353167"/>
      <w:r w:rsidRPr="003C53F6">
        <w:t>Quality Use of Medicines</w:t>
      </w:r>
      <w:bookmarkEnd w:id="15"/>
    </w:p>
    <w:p w:rsidR="00576972" w:rsidRPr="003C53F6" w:rsidRDefault="00576972" w:rsidP="00576972">
      <w:pPr>
        <w:widowControl/>
        <w:rPr>
          <w:szCs w:val="22"/>
        </w:rPr>
      </w:pPr>
    </w:p>
    <w:p w:rsidR="006B15D6" w:rsidRPr="003C53F6" w:rsidRDefault="00C87D70" w:rsidP="006B15D6">
      <w:pPr>
        <w:pStyle w:val="ListParagraph"/>
        <w:widowControl/>
        <w:numPr>
          <w:ilvl w:val="1"/>
          <w:numId w:val="2"/>
        </w:numPr>
        <w:rPr>
          <w:szCs w:val="22"/>
        </w:rPr>
      </w:pPr>
      <w:r>
        <w:t>The submission proposed that i</w:t>
      </w:r>
      <w:r w:rsidR="006B15D6" w:rsidRPr="003C53F6">
        <w:t xml:space="preserve">n order to receive </w:t>
      </w:r>
      <w:proofErr w:type="spellStart"/>
      <w:r w:rsidR="006B15D6" w:rsidRPr="003C53F6">
        <w:t>Truvada</w:t>
      </w:r>
      <w:proofErr w:type="spellEnd"/>
      <w:r w:rsidR="006B15D6" w:rsidRPr="003C53F6">
        <w:t xml:space="preserve">, subjects must be enrolled in an approved </w:t>
      </w:r>
      <w:proofErr w:type="spellStart"/>
      <w:r w:rsidR="006B15D6" w:rsidRPr="003C53F6">
        <w:t>PrEP</w:t>
      </w:r>
      <w:proofErr w:type="spellEnd"/>
      <w:r w:rsidR="006B15D6" w:rsidRPr="003C53F6">
        <w:t xml:space="preserve"> service</w:t>
      </w:r>
      <w:r w:rsidR="00830366">
        <w:t xml:space="preserve"> where t</w:t>
      </w:r>
      <w:r w:rsidR="006B15D6" w:rsidRPr="003C53F6">
        <w:t xml:space="preserve">hey </w:t>
      </w:r>
      <w:r w:rsidR="00830366">
        <w:t xml:space="preserve">would </w:t>
      </w:r>
      <w:r w:rsidR="006B15D6" w:rsidRPr="003C53F6">
        <w:t xml:space="preserve">receive information about safe sex practices, monitoring of adverse events (including renal monitoring) and 3-monthly HIV and STI tests. </w:t>
      </w:r>
      <w:r w:rsidR="006B15D6" w:rsidRPr="003C53F6">
        <w:rPr>
          <w:szCs w:val="22"/>
        </w:rPr>
        <w:t xml:space="preserve">The use of </w:t>
      </w:r>
      <w:proofErr w:type="spellStart"/>
      <w:r w:rsidR="006B15D6" w:rsidRPr="003C53F6">
        <w:rPr>
          <w:szCs w:val="22"/>
        </w:rPr>
        <w:t>Truvada</w:t>
      </w:r>
      <w:proofErr w:type="spellEnd"/>
      <w:r w:rsidR="006B15D6" w:rsidRPr="003C53F6">
        <w:rPr>
          <w:szCs w:val="22"/>
        </w:rPr>
        <w:t xml:space="preserve"> may lead to viral resistance in subjects with unrecognised HIV-1 infection (see TGA Clinical Evaluation Report).</w:t>
      </w:r>
    </w:p>
    <w:p w:rsidR="006B15D6" w:rsidRPr="003C53F6" w:rsidRDefault="006B15D6" w:rsidP="006B15D6">
      <w:pPr>
        <w:pStyle w:val="ListParagraph"/>
        <w:widowControl/>
        <w:rPr>
          <w:szCs w:val="22"/>
        </w:rPr>
      </w:pPr>
    </w:p>
    <w:p w:rsidR="00F73162" w:rsidRPr="00F6373E" w:rsidRDefault="00F30ED2" w:rsidP="00F30ED2">
      <w:pPr>
        <w:pStyle w:val="ListParagraph"/>
        <w:widowControl/>
        <w:numPr>
          <w:ilvl w:val="1"/>
          <w:numId w:val="2"/>
        </w:numPr>
        <w:rPr>
          <w:szCs w:val="22"/>
        </w:rPr>
      </w:pPr>
      <w:r w:rsidRPr="00F6373E">
        <w:rPr>
          <w:szCs w:val="22"/>
        </w:rPr>
        <w:t>The</w:t>
      </w:r>
      <w:r w:rsidR="00F6373E" w:rsidRPr="00F6373E">
        <w:rPr>
          <w:szCs w:val="22"/>
        </w:rPr>
        <w:t xml:space="preserve"> DUSC considered that the</w:t>
      </w:r>
      <w:r w:rsidRPr="00F6373E">
        <w:rPr>
          <w:szCs w:val="22"/>
        </w:rPr>
        <w:t xml:space="preserve">re is a high risk of non-adherence as the target population would be mainly young and otherwise healthy individuals with no regular medication taking behaviours established. </w:t>
      </w:r>
      <w:r w:rsidR="00F73162" w:rsidRPr="00F6373E">
        <w:rPr>
          <w:szCs w:val="22"/>
        </w:rPr>
        <w:t xml:space="preserve">The provision of adherence support was not adequately addressed by the submission, in particular the strategies that would be used by </w:t>
      </w:r>
      <w:proofErr w:type="spellStart"/>
      <w:r w:rsidR="00F73162" w:rsidRPr="00F6373E">
        <w:rPr>
          <w:szCs w:val="22"/>
        </w:rPr>
        <w:t>PrEP</w:t>
      </w:r>
      <w:proofErr w:type="spellEnd"/>
      <w:r w:rsidR="00F73162" w:rsidRPr="00F6373E">
        <w:rPr>
          <w:szCs w:val="22"/>
        </w:rPr>
        <w:t xml:space="preserve"> services to achieve this. Such considerations include the support given at the first repeat, the involvement of pharmacists and whether active recall procedures</w:t>
      </w:r>
      <w:r w:rsidR="00F6373E" w:rsidRPr="00F6373E">
        <w:rPr>
          <w:szCs w:val="22"/>
        </w:rPr>
        <w:t xml:space="preserve"> (</w:t>
      </w:r>
      <w:proofErr w:type="spellStart"/>
      <w:r w:rsidR="000A4CD7">
        <w:rPr>
          <w:szCs w:val="22"/>
        </w:rPr>
        <w:t>eg</w:t>
      </w:r>
      <w:proofErr w:type="spellEnd"/>
      <w:r w:rsidR="000A4CD7">
        <w:rPr>
          <w:szCs w:val="22"/>
        </w:rPr>
        <w:t xml:space="preserve"> </w:t>
      </w:r>
      <w:r w:rsidR="00F6373E" w:rsidRPr="00F6373E">
        <w:rPr>
          <w:szCs w:val="22"/>
        </w:rPr>
        <w:t xml:space="preserve">where patients who do not return for a repeat appointment or prescription are actively followed up by the </w:t>
      </w:r>
      <w:proofErr w:type="spellStart"/>
      <w:r w:rsidR="00F6373E" w:rsidRPr="00F6373E">
        <w:rPr>
          <w:szCs w:val="22"/>
        </w:rPr>
        <w:t>PrEP</w:t>
      </w:r>
      <w:proofErr w:type="spellEnd"/>
      <w:r w:rsidR="00F6373E" w:rsidRPr="00F6373E">
        <w:rPr>
          <w:szCs w:val="22"/>
        </w:rPr>
        <w:t xml:space="preserve"> service)</w:t>
      </w:r>
      <w:r w:rsidR="00F73162" w:rsidRPr="00F6373E">
        <w:rPr>
          <w:szCs w:val="22"/>
        </w:rPr>
        <w:t xml:space="preserve"> would be employed.</w:t>
      </w:r>
    </w:p>
    <w:p w:rsidR="00F73162" w:rsidRPr="003C53F6" w:rsidRDefault="00F73162" w:rsidP="00F73162">
      <w:pPr>
        <w:pStyle w:val="ListParagraph"/>
        <w:widowControl/>
        <w:rPr>
          <w:szCs w:val="22"/>
        </w:rPr>
      </w:pPr>
    </w:p>
    <w:p w:rsidR="00F73162" w:rsidRPr="003C53F6" w:rsidRDefault="00F73162" w:rsidP="006E00BE">
      <w:pPr>
        <w:pStyle w:val="ListParagraph"/>
        <w:widowControl/>
        <w:numPr>
          <w:ilvl w:val="1"/>
          <w:numId w:val="2"/>
        </w:numPr>
        <w:rPr>
          <w:szCs w:val="22"/>
        </w:rPr>
      </w:pPr>
      <w:r w:rsidRPr="003C53F6">
        <w:rPr>
          <w:szCs w:val="22"/>
        </w:rPr>
        <w:t xml:space="preserve">DUSC noted that there were indications of less condom use over time in follow-up studies, including the Partners </w:t>
      </w:r>
      <w:proofErr w:type="spellStart"/>
      <w:r w:rsidRPr="003C53F6">
        <w:rPr>
          <w:szCs w:val="22"/>
        </w:rPr>
        <w:t>PrEP</w:t>
      </w:r>
      <w:proofErr w:type="spellEnd"/>
      <w:r w:rsidRPr="003C53F6">
        <w:rPr>
          <w:szCs w:val="22"/>
        </w:rPr>
        <w:t xml:space="preserve"> Study and early data from the </w:t>
      </w:r>
      <w:proofErr w:type="spellStart"/>
      <w:r w:rsidRPr="003C53F6">
        <w:rPr>
          <w:szCs w:val="22"/>
        </w:rPr>
        <w:t>VicPrEP</w:t>
      </w:r>
      <w:proofErr w:type="spellEnd"/>
      <w:r w:rsidRPr="003C53F6">
        <w:rPr>
          <w:szCs w:val="22"/>
        </w:rPr>
        <w:t xml:space="preserve"> demonstration project. DUSC considered that there was the potential for </w:t>
      </w:r>
      <w:proofErr w:type="spellStart"/>
      <w:r w:rsidR="00310070" w:rsidRPr="003C53F6">
        <w:rPr>
          <w:szCs w:val="22"/>
        </w:rPr>
        <w:t>Truvada</w:t>
      </w:r>
      <w:proofErr w:type="spellEnd"/>
      <w:r w:rsidRPr="003C53F6">
        <w:rPr>
          <w:szCs w:val="22"/>
        </w:rPr>
        <w:t xml:space="preserve"> to replace safe sex practices.</w:t>
      </w:r>
    </w:p>
    <w:p w:rsidR="00F73162" w:rsidRPr="003C53F6" w:rsidRDefault="00F73162" w:rsidP="00F73162">
      <w:pPr>
        <w:pStyle w:val="ListParagraph"/>
        <w:widowControl/>
        <w:rPr>
          <w:szCs w:val="22"/>
        </w:rPr>
      </w:pPr>
    </w:p>
    <w:p w:rsidR="00F73162" w:rsidRPr="003C53F6" w:rsidRDefault="00F73162" w:rsidP="006E00BE">
      <w:pPr>
        <w:pStyle w:val="ListParagraph"/>
        <w:widowControl/>
        <w:numPr>
          <w:ilvl w:val="1"/>
          <w:numId w:val="2"/>
        </w:numPr>
        <w:rPr>
          <w:szCs w:val="22"/>
        </w:rPr>
      </w:pPr>
      <w:r w:rsidRPr="003C53F6">
        <w:rPr>
          <w:szCs w:val="22"/>
        </w:rPr>
        <w:t xml:space="preserve">DUSC noted that there was a lack of long-term data on bone toxicity after extended use of </w:t>
      </w:r>
      <w:proofErr w:type="spellStart"/>
      <w:r w:rsidR="00310070" w:rsidRPr="003C53F6">
        <w:rPr>
          <w:szCs w:val="22"/>
        </w:rPr>
        <w:t>Truvada</w:t>
      </w:r>
      <w:proofErr w:type="spellEnd"/>
      <w:r w:rsidRPr="003C53F6">
        <w:rPr>
          <w:szCs w:val="22"/>
        </w:rPr>
        <w:t xml:space="preserve"> for </w:t>
      </w:r>
      <w:proofErr w:type="spellStart"/>
      <w:r w:rsidRPr="003C53F6">
        <w:rPr>
          <w:szCs w:val="22"/>
        </w:rPr>
        <w:t>PrEP.</w:t>
      </w:r>
      <w:proofErr w:type="spellEnd"/>
      <w:r w:rsidRPr="003C53F6">
        <w:rPr>
          <w:szCs w:val="22"/>
        </w:rPr>
        <w:t xml:space="preserve"> DUSC noted that as a condition of registration the Advisory Committee on Prescription Medicines (ACPM) proposed that the sponsor contribute to the Kirby Institute surveillance of </w:t>
      </w:r>
      <w:proofErr w:type="spellStart"/>
      <w:r w:rsidRPr="003C53F6">
        <w:rPr>
          <w:szCs w:val="22"/>
        </w:rPr>
        <w:t>PrEP</w:t>
      </w:r>
      <w:proofErr w:type="spellEnd"/>
      <w:r w:rsidRPr="003C53F6">
        <w:rPr>
          <w:szCs w:val="22"/>
        </w:rPr>
        <w:t xml:space="preserve"> and monitor </w:t>
      </w:r>
      <w:proofErr w:type="spellStart"/>
      <w:r w:rsidRPr="003C53F6">
        <w:rPr>
          <w:szCs w:val="22"/>
        </w:rPr>
        <w:t>PrEP</w:t>
      </w:r>
      <w:proofErr w:type="spellEnd"/>
      <w:r w:rsidRPr="003C53F6">
        <w:rPr>
          <w:szCs w:val="22"/>
        </w:rPr>
        <w:t xml:space="preserve"> failures and drug resistance.</w:t>
      </w:r>
    </w:p>
    <w:p w:rsidR="00F73162" w:rsidRPr="003C53F6" w:rsidRDefault="00F73162" w:rsidP="00F73162">
      <w:pPr>
        <w:pStyle w:val="ListParagraph"/>
        <w:widowControl/>
        <w:rPr>
          <w:szCs w:val="22"/>
        </w:rPr>
      </w:pPr>
    </w:p>
    <w:p w:rsidR="00985F55" w:rsidRPr="003C53F6" w:rsidRDefault="00985F55" w:rsidP="00985F55">
      <w:pPr>
        <w:rPr>
          <w:bCs/>
          <w:szCs w:val="22"/>
        </w:rPr>
      </w:pPr>
      <w:r w:rsidRPr="003C53F6">
        <w:rPr>
          <w:bCs/>
          <w:i/>
          <w:szCs w:val="22"/>
        </w:rPr>
        <w:t>For more detail on PBAC’s view, see section 7 “PBAC outcome”</w:t>
      </w:r>
    </w:p>
    <w:p w:rsidR="00AB0E7E" w:rsidRPr="003C53F6" w:rsidRDefault="00AB0E7E" w:rsidP="001844FE">
      <w:pPr>
        <w:contextualSpacing/>
        <w:rPr>
          <w:bCs/>
          <w:szCs w:val="22"/>
        </w:rPr>
      </w:pPr>
    </w:p>
    <w:p w:rsidR="002431F7" w:rsidRPr="003C53F6" w:rsidRDefault="002431F7" w:rsidP="00924E0A">
      <w:pPr>
        <w:pStyle w:val="Heading2"/>
      </w:pPr>
      <w:r w:rsidRPr="003C53F6">
        <w:t>PBAC Outcome</w:t>
      </w:r>
    </w:p>
    <w:p w:rsidR="002431F7" w:rsidRPr="003C53F6" w:rsidRDefault="002431F7" w:rsidP="002431F7">
      <w:pPr>
        <w:rPr>
          <w:bCs/>
        </w:rPr>
      </w:pPr>
    </w:p>
    <w:p w:rsidR="00B73E9B" w:rsidRDefault="00DA7C31" w:rsidP="007C44D2">
      <w:pPr>
        <w:pStyle w:val="ListParagraph"/>
        <w:numPr>
          <w:ilvl w:val="1"/>
          <w:numId w:val="2"/>
        </w:numPr>
        <w:rPr>
          <w:bCs/>
        </w:rPr>
      </w:pPr>
      <w:r w:rsidRPr="007C44D2">
        <w:rPr>
          <w:bCs/>
        </w:rPr>
        <w:t xml:space="preserve">The PBAC rejected the request for PBS listing on the basis of unacceptable and uncertain cost effectiveness in the proposed population and at the proposed price. </w:t>
      </w:r>
      <w:r w:rsidR="00B73E9B" w:rsidRPr="003C53F6">
        <w:rPr>
          <w:bCs/>
        </w:rPr>
        <w:t>The PBAC noted that the submission had tried to limit the population that would be eligible for treatment to those at highest risk, which represented a relatively small proportion of the potential population</w:t>
      </w:r>
      <w:r w:rsidR="00B73E9B">
        <w:rPr>
          <w:bCs/>
        </w:rPr>
        <w:t>. The PBAC noted this restriction was proposed</w:t>
      </w:r>
      <w:r w:rsidR="00B73E9B" w:rsidRPr="003C53F6">
        <w:rPr>
          <w:bCs/>
        </w:rPr>
        <w:t xml:space="preserve"> in order to improve the cost</w:t>
      </w:r>
      <w:r w:rsidR="00B73E9B">
        <w:rPr>
          <w:bCs/>
        </w:rPr>
        <w:t>-</w:t>
      </w:r>
      <w:r w:rsidR="00B73E9B" w:rsidRPr="003C53F6">
        <w:rPr>
          <w:bCs/>
        </w:rPr>
        <w:t>effectiveness</w:t>
      </w:r>
      <w:r w:rsidR="00B73E9B">
        <w:rPr>
          <w:bCs/>
        </w:rPr>
        <w:t xml:space="preserve"> rather than to limit use in those who would not benefit</w:t>
      </w:r>
      <w:r w:rsidR="00B73E9B" w:rsidRPr="003C53F6">
        <w:rPr>
          <w:bCs/>
        </w:rPr>
        <w:t xml:space="preserve">. However, </w:t>
      </w:r>
      <w:r w:rsidR="00B73E9B" w:rsidRPr="003C53F6">
        <w:rPr>
          <w:szCs w:val="22"/>
        </w:rPr>
        <w:t xml:space="preserve">the PBAC considered that the cost-effectiveness estimates were unreliable and that attempts to </w:t>
      </w:r>
      <w:r w:rsidR="00B73E9B">
        <w:rPr>
          <w:szCs w:val="22"/>
        </w:rPr>
        <w:t>severely restrict</w:t>
      </w:r>
      <w:r w:rsidR="00B73E9B" w:rsidRPr="003C53F6">
        <w:rPr>
          <w:szCs w:val="22"/>
        </w:rPr>
        <w:t xml:space="preserve"> the eligible population </w:t>
      </w:r>
      <w:r w:rsidR="00B73E9B">
        <w:rPr>
          <w:szCs w:val="22"/>
        </w:rPr>
        <w:t>based on individual risk calculation may</w:t>
      </w:r>
      <w:r w:rsidR="00B73E9B" w:rsidRPr="003C53F6">
        <w:rPr>
          <w:szCs w:val="22"/>
        </w:rPr>
        <w:t xml:space="preserve"> not be </w:t>
      </w:r>
      <w:r w:rsidR="00B73E9B">
        <w:rPr>
          <w:szCs w:val="22"/>
        </w:rPr>
        <w:t>feasible, appropriate or acceptable to clinicians and consumers</w:t>
      </w:r>
      <w:r w:rsidR="00B73E9B" w:rsidRPr="000F29ED">
        <w:rPr>
          <w:bCs/>
        </w:rPr>
        <w:t>.</w:t>
      </w:r>
      <w:r w:rsidR="00B73E9B" w:rsidRPr="003C53F6">
        <w:rPr>
          <w:bCs/>
        </w:rPr>
        <w:t xml:space="preserve"> The PBAC considered it </w:t>
      </w:r>
      <w:r w:rsidR="00B73E9B">
        <w:rPr>
          <w:bCs/>
        </w:rPr>
        <w:t>may</w:t>
      </w:r>
      <w:r w:rsidR="00B73E9B" w:rsidRPr="003C53F6">
        <w:rPr>
          <w:bCs/>
        </w:rPr>
        <w:t xml:space="preserve"> be more appropriate for a broader group of individuals to have access to </w:t>
      </w:r>
      <w:proofErr w:type="spellStart"/>
      <w:r w:rsidR="00B73E9B" w:rsidRPr="003C53F6">
        <w:rPr>
          <w:bCs/>
        </w:rPr>
        <w:t>Truv</w:t>
      </w:r>
      <w:r w:rsidR="00B73E9B">
        <w:rPr>
          <w:bCs/>
        </w:rPr>
        <w:t>a</w:t>
      </w:r>
      <w:r w:rsidR="00B73E9B" w:rsidRPr="003C53F6">
        <w:rPr>
          <w:bCs/>
        </w:rPr>
        <w:t>da</w:t>
      </w:r>
      <w:proofErr w:type="spellEnd"/>
      <w:r w:rsidR="00B73E9B" w:rsidRPr="003C53F6">
        <w:rPr>
          <w:bCs/>
        </w:rPr>
        <w:t xml:space="preserve"> as </w:t>
      </w:r>
      <w:proofErr w:type="spellStart"/>
      <w:r w:rsidR="00B73E9B" w:rsidRPr="003C53F6">
        <w:rPr>
          <w:bCs/>
        </w:rPr>
        <w:t>PrEP</w:t>
      </w:r>
      <w:proofErr w:type="spellEnd"/>
      <w:r w:rsidR="00B73E9B">
        <w:rPr>
          <w:bCs/>
        </w:rPr>
        <w:t>, for example all MSM for whom clinician and consumer judge the potential benefit to outweigh the risk</w:t>
      </w:r>
      <w:r w:rsidR="00B73E9B" w:rsidRPr="003C53F6">
        <w:rPr>
          <w:bCs/>
        </w:rPr>
        <w:t xml:space="preserve">. The PBAC noted that in order to make </w:t>
      </w:r>
      <w:proofErr w:type="spellStart"/>
      <w:r w:rsidR="00B73E9B" w:rsidRPr="003C53F6">
        <w:rPr>
          <w:bCs/>
        </w:rPr>
        <w:t>Truvada</w:t>
      </w:r>
      <w:proofErr w:type="spellEnd"/>
      <w:r w:rsidR="00B73E9B" w:rsidRPr="003C53F6">
        <w:rPr>
          <w:bCs/>
        </w:rPr>
        <w:t xml:space="preserve"> available for </w:t>
      </w:r>
      <w:proofErr w:type="spellStart"/>
      <w:r w:rsidR="00B73E9B" w:rsidRPr="003C53F6">
        <w:rPr>
          <w:bCs/>
        </w:rPr>
        <w:t>PrEP</w:t>
      </w:r>
      <w:proofErr w:type="spellEnd"/>
      <w:r w:rsidR="00B73E9B" w:rsidRPr="003C53F6">
        <w:rPr>
          <w:bCs/>
        </w:rPr>
        <w:t xml:space="preserve"> to the whole 'at risk' population a substantial reduction in price would be needed to achieve cost effectiveness.</w:t>
      </w:r>
    </w:p>
    <w:p w:rsidR="00B73E9B" w:rsidRDefault="00B73E9B" w:rsidP="00B73E9B">
      <w:pPr>
        <w:pStyle w:val="ListParagraph"/>
        <w:rPr>
          <w:bCs/>
        </w:rPr>
      </w:pPr>
    </w:p>
    <w:p w:rsidR="002431F7" w:rsidRPr="003C53F6" w:rsidRDefault="00DA7C31" w:rsidP="00B73E9B">
      <w:pPr>
        <w:pStyle w:val="ListParagraph"/>
        <w:numPr>
          <w:ilvl w:val="1"/>
          <w:numId w:val="2"/>
        </w:numPr>
      </w:pPr>
      <w:r w:rsidRPr="007C44D2">
        <w:rPr>
          <w:bCs/>
        </w:rPr>
        <w:t xml:space="preserve">In making its decision the PBAC noted that, based on the evidence provided, pre-exposure prophylaxis </w:t>
      </w:r>
      <w:r w:rsidR="00F6373E" w:rsidRPr="007C44D2">
        <w:rPr>
          <w:bCs/>
        </w:rPr>
        <w:t>could reduce the risk of acquiring HIV</w:t>
      </w:r>
      <w:r w:rsidR="0057499A" w:rsidRPr="007C44D2">
        <w:rPr>
          <w:bCs/>
        </w:rPr>
        <w:t xml:space="preserve"> when used in combination with safer sex practices and regular HIV testing,</w:t>
      </w:r>
      <w:r w:rsidR="00F6373E" w:rsidRPr="007C44D2">
        <w:rPr>
          <w:bCs/>
        </w:rPr>
        <w:t xml:space="preserve"> but </w:t>
      </w:r>
      <w:r w:rsidR="002C2776">
        <w:rPr>
          <w:bCs/>
        </w:rPr>
        <w:t xml:space="preserve">as a strategy </w:t>
      </w:r>
      <w:proofErr w:type="spellStart"/>
      <w:r w:rsidR="002C2776">
        <w:rPr>
          <w:bCs/>
        </w:rPr>
        <w:t>PrEP</w:t>
      </w:r>
      <w:proofErr w:type="spellEnd"/>
      <w:r w:rsidR="002C2776">
        <w:rPr>
          <w:bCs/>
        </w:rPr>
        <w:t xml:space="preserve"> </w:t>
      </w:r>
      <w:r w:rsidRPr="007C44D2">
        <w:rPr>
          <w:bCs/>
        </w:rPr>
        <w:t xml:space="preserve">was not </w:t>
      </w:r>
      <w:r w:rsidR="006E00BE" w:rsidRPr="007C44D2">
        <w:rPr>
          <w:bCs/>
        </w:rPr>
        <w:t xml:space="preserve">always effective in preventing the acquisition of </w:t>
      </w:r>
      <w:r w:rsidR="00495862" w:rsidRPr="007C44D2">
        <w:rPr>
          <w:bCs/>
        </w:rPr>
        <w:t xml:space="preserve">the virus. </w:t>
      </w:r>
      <w:r w:rsidR="007C44D2" w:rsidRPr="007C44D2">
        <w:rPr>
          <w:bCs/>
        </w:rPr>
        <w:t xml:space="preserve">The PBAC noted that the efficacy of </w:t>
      </w:r>
      <w:proofErr w:type="spellStart"/>
      <w:r w:rsidR="007C44D2" w:rsidRPr="007C44D2">
        <w:rPr>
          <w:bCs/>
        </w:rPr>
        <w:t>Truvada</w:t>
      </w:r>
      <w:proofErr w:type="spellEnd"/>
      <w:r w:rsidR="007C44D2" w:rsidRPr="007C44D2">
        <w:rPr>
          <w:bCs/>
        </w:rPr>
        <w:t xml:space="preserve"> was highly dependent on adherence. Likely adherence in the PBS population is unknown, but ‘real life’ adherence is generally accepted to be lower than what is observed in clinical trials. It is not clear if subjects at high risk of contracting HIV due to self-reported low adherence to safe</w:t>
      </w:r>
      <w:r w:rsidR="007C44D2">
        <w:rPr>
          <w:bCs/>
        </w:rPr>
        <w:t>r</w:t>
      </w:r>
      <w:r w:rsidR="007C44D2" w:rsidRPr="007C44D2">
        <w:rPr>
          <w:bCs/>
        </w:rPr>
        <w:t xml:space="preserve"> sex practices would also have lower adherence to medication.</w:t>
      </w:r>
    </w:p>
    <w:p w:rsidR="002431F7" w:rsidRPr="003C53F6" w:rsidRDefault="002431F7" w:rsidP="002431F7">
      <w:pPr>
        <w:rPr>
          <w:bCs/>
          <w:highlight w:val="yellow"/>
        </w:rPr>
      </w:pPr>
    </w:p>
    <w:p w:rsidR="00EB0120" w:rsidRPr="003C53F6" w:rsidRDefault="00EB0120" w:rsidP="00EB0120">
      <w:pPr>
        <w:pStyle w:val="ListParagraph"/>
        <w:widowControl/>
        <w:numPr>
          <w:ilvl w:val="1"/>
          <w:numId w:val="2"/>
        </w:numPr>
      </w:pPr>
      <w:r w:rsidRPr="003C53F6">
        <w:t xml:space="preserve">The PBAC agreed with the ESC that it was difficult to make a reliable estimate of the effectiveness and cost-effectiveness of </w:t>
      </w:r>
      <w:proofErr w:type="spellStart"/>
      <w:r w:rsidRPr="003C53F6">
        <w:t>Truvada</w:t>
      </w:r>
      <w:proofErr w:type="spellEnd"/>
      <w:r w:rsidRPr="003C53F6">
        <w:t xml:space="preserve"> for </w:t>
      </w:r>
      <w:proofErr w:type="spellStart"/>
      <w:r w:rsidRPr="003C53F6">
        <w:t>PrEP</w:t>
      </w:r>
      <w:proofErr w:type="spellEnd"/>
      <w:r w:rsidRPr="003C53F6">
        <w:t xml:space="preserve"> given that key details regarding the proposed listing remain unclear, including:</w:t>
      </w:r>
    </w:p>
    <w:p w:rsidR="00EB0120" w:rsidRPr="003C53F6" w:rsidRDefault="00EB0120" w:rsidP="00EB0120">
      <w:pPr>
        <w:pStyle w:val="ListParagraph"/>
        <w:widowControl/>
        <w:numPr>
          <w:ilvl w:val="0"/>
          <w:numId w:val="1"/>
        </w:numPr>
        <w:ind w:left="1418" w:hanging="425"/>
      </w:pPr>
      <w:proofErr w:type="gramStart"/>
      <w:r w:rsidRPr="003C53F6">
        <w:t>how</w:t>
      </w:r>
      <w:proofErr w:type="gramEnd"/>
      <w:r w:rsidRPr="003C53F6">
        <w:t xml:space="preserve"> </w:t>
      </w:r>
      <w:proofErr w:type="spellStart"/>
      <w:r w:rsidRPr="003C53F6">
        <w:t>Truvada</w:t>
      </w:r>
      <w:proofErr w:type="spellEnd"/>
      <w:r w:rsidRPr="003C53F6">
        <w:t xml:space="preserve"> would be used in clinical practice, including whether/when subjects would cease treatment and the possibility of intermittent rather than daily use. </w:t>
      </w:r>
      <w:r w:rsidR="009838B0" w:rsidRPr="003C53F6">
        <w:t>It was</w:t>
      </w:r>
      <w:r w:rsidRPr="003C53F6">
        <w:t xml:space="preserve"> noted that studies are both published and underway using alternative regimens to that proposed in the submission; and </w:t>
      </w:r>
    </w:p>
    <w:p w:rsidR="00EB0120" w:rsidRPr="003C53F6" w:rsidRDefault="00EB0120" w:rsidP="00EB0120">
      <w:pPr>
        <w:pStyle w:val="ListParagraph"/>
        <w:widowControl/>
        <w:numPr>
          <w:ilvl w:val="0"/>
          <w:numId w:val="1"/>
        </w:numPr>
        <w:ind w:left="1418" w:hanging="425"/>
      </w:pPr>
      <w:proofErr w:type="gramStart"/>
      <w:r w:rsidRPr="003C53F6">
        <w:t>the</w:t>
      </w:r>
      <w:proofErr w:type="gramEnd"/>
      <w:r w:rsidRPr="003C53F6">
        <w:t xml:space="preserve"> infrastructure that would be required to support ‘approved </w:t>
      </w:r>
      <w:proofErr w:type="spellStart"/>
      <w:r w:rsidRPr="003C53F6">
        <w:t>PrEP</w:t>
      </w:r>
      <w:proofErr w:type="spellEnd"/>
      <w:r w:rsidRPr="003C53F6">
        <w:t xml:space="preserve"> services’ to ensure effective use of </w:t>
      </w:r>
      <w:proofErr w:type="spellStart"/>
      <w:r w:rsidRPr="003C53F6">
        <w:t>Truvada</w:t>
      </w:r>
      <w:proofErr w:type="spellEnd"/>
      <w:r w:rsidRPr="003C53F6">
        <w:t>.</w:t>
      </w:r>
    </w:p>
    <w:p w:rsidR="002431F7" w:rsidRPr="003C53F6" w:rsidRDefault="002431F7" w:rsidP="002431F7">
      <w:pPr>
        <w:rPr>
          <w:bCs/>
          <w:highlight w:val="yellow"/>
        </w:rPr>
      </w:pPr>
    </w:p>
    <w:p w:rsidR="003E582C" w:rsidRPr="003C53F6" w:rsidRDefault="009838B0" w:rsidP="009838B0">
      <w:pPr>
        <w:pStyle w:val="ListParagraph"/>
        <w:numPr>
          <w:ilvl w:val="1"/>
          <w:numId w:val="2"/>
        </w:numPr>
      </w:pPr>
      <w:r w:rsidRPr="003C53F6">
        <w:t xml:space="preserve">Overall, the PBAC considered that the available data were not representative of the proposed PBS population. </w:t>
      </w:r>
      <w:r w:rsidR="00B559F3" w:rsidRPr="003C53F6">
        <w:t xml:space="preserve">The Committee’s concerns about the applicability of the trial data to the Australian setting included that a large proportion of the data were generated in communities known to have a substantially higher incidence of HIV infection (and therefore higher risk) than the Australian population. The PBAC also noted that the trials assessed the efficacy of </w:t>
      </w:r>
      <w:proofErr w:type="spellStart"/>
      <w:r w:rsidR="00B559F3" w:rsidRPr="003C53F6">
        <w:t>Truvada</w:t>
      </w:r>
      <w:proofErr w:type="spellEnd"/>
      <w:r w:rsidR="00B559F3" w:rsidRPr="003C53F6">
        <w:t xml:space="preserve"> together with </w:t>
      </w:r>
      <w:r w:rsidR="00EF2E06">
        <w:t xml:space="preserve">encouragement of </w:t>
      </w:r>
      <w:r w:rsidR="00B559F3" w:rsidRPr="003C53F6">
        <w:t xml:space="preserve">safe sex practices </w:t>
      </w:r>
      <w:r w:rsidR="00B559F3" w:rsidRPr="00723747">
        <w:t xml:space="preserve">and it is unknown if safe sex practices would be utilised </w:t>
      </w:r>
      <w:r w:rsidR="00723747" w:rsidRPr="00723747">
        <w:t xml:space="preserve">to the same extent </w:t>
      </w:r>
      <w:r w:rsidR="00B559F3" w:rsidRPr="00723747">
        <w:t>in the Australian population, and</w:t>
      </w:r>
      <w:r w:rsidR="00B559F3" w:rsidRPr="003C53F6">
        <w:t xml:space="preserve"> how this would change over time. </w:t>
      </w:r>
      <w:r w:rsidR="00941FB2" w:rsidRPr="003C53F6">
        <w:t xml:space="preserve">The PBAC noted that reduced condom use had been reported with the Vic </w:t>
      </w:r>
      <w:proofErr w:type="spellStart"/>
      <w:r w:rsidR="00941FB2" w:rsidRPr="003C53F6">
        <w:t>PrEP</w:t>
      </w:r>
      <w:proofErr w:type="spellEnd"/>
      <w:r w:rsidR="00941FB2" w:rsidRPr="003C53F6">
        <w:t xml:space="preserve"> and </w:t>
      </w:r>
      <w:proofErr w:type="spellStart"/>
      <w:r w:rsidR="00941FB2" w:rsidRPr="003C53F6">
        <w:t>Pr</w:t>
      </w:r>
      <w:r w:rsidR="0047301A">
        <w:t>ELUDE</w:t>
      </w:r>
      <w:proofErr w:type="spellEnd"/>
      <w:r w:rsidR="00941FB2" w:rsidRPr="003C53F6">
        <w:t xml:space="preserve"> </w:t>
      </w:r>
      <w:r w:rsidR="0047301A">
        <w:t xml:space="preserve">Australian </w:t>
      </w:r>
      <w:proofErr w:type="spellStart"/>
      <w:r w:rsidR="006D42C3">
        <w:t>PrEP</w:t>
      </w:r>
      <w:proofErr w:type="spellEnd"/>
      <w:r w:rsidR="006D42C3">
        <w:t xml:space="preserve"> </w:t>
      </w:r>
      <w:r w:rsidR="0047301A">
        <w:t xml:space="preserve">demonstration </w:t>
      </w:r>
      <w:r w:rsidR="00941FB2" w:rsidRPr="003C53F6">
        <w:t xml:space="preserve">studies. </w:t>
      </w:r>
      <w:r w:rsidR="00B559F3" w:rsidRPr="003C53F6">
        <w:t xml:space="preserve">The impact of these differences on the effectiveness of </w:t>
      </w:r>
      <w:proofErr w:type="spellStart"/>
      <w:r w:rsidR="00B559F3" w:rsidRPr="003C53F6">
        <w:t>Truvada</w:t>
      </w:r>
      <w:proofErr w:type="spellEnd"/>
      <w:r w:rsidR="00B559F3" w:rsidRPr="003C53F6">
        <w:t xml:space="preserve"> in clinical practice is unclear.</w:t>
      </w:r>
    </w:p>
    <w:p w:rsidR="00DA7C31" w:rsidRPr="003C53F6" w:rsidRDefault="00DA7C31" w:rsidP="00DA7C31">
      <w:pPr>
        <w:pStyle w:val="ListParagraph"/>
      </w:pPr>
    </w:p>
    <w:p w:rsidR="003E582C" w:rsidRPr="003C53F6" w:rsidRDefault="00DA7C31" w:rsidP="003E582C">
      <w:pPr>
        <w:pStyle w:val="ListParagraph"/>
        <w:numPr>
          <w:ilvl w:val="1"/>
          <w:numId w:val="2"/>
        </w:numPr>
      </w:pPr>
      <w:r w:rsidRPr="003C53F6">
        <w:lastRenderedPageBreak/>
        <w:t>The PBAC noted that Australian data are currently being collected</w:t>
      </w:r>
      <w:r w:rsidR="00723631" w:rsidRPr="003C53F6">
        <w:t>,</w:t>
      </w:r>
      <w:r w:rsidRPr="003C53F6">
        <w:t xml:space="preserve"> including from the </w:t>
      </w:r>
      <w:proofErr w:type="spellStart"/>
      <w:r w:rsidRPr="003C53F6">
        <w:t>PrEP</w:t>
      </w:r>
      <w:proofErr w:type="spellEnd"/>
      <w:r w:rsidRPr="003C53F6">
        <w:t xml:space="preserve"> demonstration studies being run in several of the states</w:t>
      </w:r>
      <w:r w:rsidR="00941FB2" w:rsidRPr="003C53F6">
        <w:t xml:space="preserve">, but noted that these studies are uncontrolled and </w:t>
      </w:r>
      <w:r w:rsidR="008D1BBB">
        <w:t xml:space="preserve">may </w:t>
      </w:r>
      <w:r w:rsidR="00941FB2" w:rsidRPr="003C53F6">
        <w:t xml:space="preserve">include individuals at lower risk </w:t>
      </w:r>
      <w:r w:rsidR="00723747" w:rsidRPr="003C53F6">
        <w:t>tha</w:t>
      </w:r>
      <w:r w:rsidR="00723747">
        <w:t>n</w:t>
      </w:r>
      <w:r w:rsidR="00723747" w:rsidRPr="003C53F6">
        <w:t xml:space="preserve"> </w:t>
      </w:r>
      <w:r w:rsidR="00941FB2" w:rsidRPr="003C53F6">
        <w:t xml:space="preserve">the proposed PBS population. It remained unclear whether the results would be </w:t>
      </w:r>
      <w:proofErr w:type="spellStart"/>
      <w:r w:rsidR="00941FB2" w:rsidRPr="003C53F6">
        <w:t>generali</w:t>
      </w:r>
      <w:r w:rsidR="0047301A">
        <w:t>s</w:t>
      </w:r>
      <w:r w:rsidR="00941FB2" w:rsidRPr="003C53F6">
        <w:t>able</w:t>
      </w:r>
      <w:proofErr w:type="spellEnd"/>
      <w:r w:rsidR="00941FB2" w:rsidRPr="003C53F6">
        <w:t xml:space="preserve"> to the </w:t>
      </w:r>
      <w:r w:rsidR="008D1BBB">
        <w:t>proposed PBS</w:t>
      </w:r>
      <w:r w:rsidR="00941FB2" w:rsidRPr="003C53F6">
        <w:t xml:space="preserve"> population.</w:t>
      </w:r>
      <w:r w:rsidR="00723631" w:rsidRPr="003C53F6">
        <w:t xml:space="preserve"> </w:t>
      </w:r>
    </w:p>
    <w:p w:rsidR="00723631" w:rsidRPr="003C53F6" w:rsidRDefault="00723631" w:rsidP="00723631"/>
    <w:p w:rsidR="009838B0" w:rsidRPr="003C53F6" w:rsidRDefault="009838B0" w:rsidP="003E582C">
      <w:pPr>
        <w:pStyle w:val="ListParagraph"/>
        <w:numPr>
          <w:ilvl w:val="1"/>
          <w:numId w:val="2"/>
        </w:numPr>
      </w:pPr>
      <w:r w:rsidRPr="003C53F6">
        <w:t>The PBAC agreed that based on the studies pre</w:t>
      </w:r>
      <w:r w:rsidR="006E00BE" w:rsidRPr="003C53F6">
        <w:t>s</w:t>
      </w:r>
      <w:r w:rsidRPr="003C53F6">
        <w:t xml:space="preserve">ented there is evidence that the use of </w:t>
      </w:r>
      <w:proofErr w:type="spellStart"/>
      <w:r w:rsidRPr="003C53F6">
        <w:t>Truvada</w:t>
      </w:r>
      <w:proofErr w:type="spellEnd"/>
      <w:r w:rsidRPr="003C53F6">
        <w:t xml:space="preserve"> as </w:t>
      </w:r>
      <w:proofErr w:type="spellStart"/>
      <w:r w:rsidRPr="003C53F6">
        <w:t>PrEP</w:t>
      </w:r>
      <w:proofErr w:type="spellEnd"/>
      <w:r w:rsidRPr="003C53F6">
        <w:t xml:space="preserve"> appears to be effective in reducing the transmission of HIV in some circumstances. The extent to which these results would be realised in the clinical setting</w:t>
      </w:r>
      <w:r w:rsidR="004354E8" w:rsidRPr="003C53F6">
        <w:t xml:space="preserve"> </w:t>
      </w:r>
      <w:r w:rsidR="003E582C" w:rsidRPr="003C53F6">
        <w:t>was</w:t>
      </w:r>
      <w:r w:rsidR="004354E8" w:rsidRPr="003C53F6">
        <w:t xml:space="preserve"> unclear</w:t>
      </w:r>
      <w:r w:rsidR="00B559F3" w:rsidRPr="003C53F6">
        <w:t>, given the applicability concerns.</w:t>
      </w:r>
      <w:r w:rsidR="003E582C" w:rsidRPr="003C53F6">
        <w:t xml:space="preserve"> </w:t>
      </w:r>
    </w:p>
    <w:p w:rsidR="004354E8" w:rsidRPr="003C53F6" w:rsidRDefault="004354E8" w:rsidP="000F29ED">
      <w:pPr>
        <w:widowControl/>
      </w:pPr>
    </w:p>
    <w:p w:rsidR="00473AEA" w:rsidRPr="003C53F6" w:rsidRDefault="004354E8" w:rsidP="00473AEA">
      <w:pPr>
        <w:numPr>
          <w:ilvl w:val="1"/>
          <w:numId w:val="2"/>
        </w:numPr>
        <w:rPr>
          <w:bCs/>
        </w:rPr>
      </w:pPr>
      <w:r w:rsidRPr="003C53F6">
        <w:rPr>
          <w:bCs/>
        </w:rPr>
        <w:t xml:space="preserve">The PBAC considered </w:t>
      </w:r>
      <w:r w:rsidR="00473AEA" w:rsidRPr="003C53F6">
        <w:rPr>
          <w:bCs/>
        </w:rPr>
        <w:t xml:space="preserve">that the economic models presented were unlikely to provide a reliable estimate of the true cost effectiveness of </w:t>
      </w:r>
      <w:proofErr w:type="spellStart"/>
      <w:r w:rsidR="00473AEA" w:rsidRPr="003C53F6">
        <w:rPr>
          <w:bCs/>
        </w:rPr>
        <w:t>Truvada</w:t>
      </w:r>
      <w:proofErr w:type="spellEnd"/>
      <w:r w:rsidR="00473AEA" w:rsidRPr="003C53F6">
        <w:rPr>
          <w:bCs/>
        </w:rPr>
        <w:t xml:space="preserve"> in the requested population. </w:t>
      </w:r>
      <w:r w:rsidR="003E582C" w:rsidRPr="003C53F6">
        <w:rPr>
          <w:bCs/>
        </w:rPr>
        <w:t>The base case ICER estimated by model 1 (</w:t>
      </w:r>
      <w:r w:rsidR="003E582C" w:rsidRPr="003C53F6">
        <w:t>$</w:t>
      </w:r>
      <w:r w:rsidR="00AE517A" w:rsidRPr="00AA338D">
        <w:rPr>
          <w:rFonts w:cs="Times New Roman"/>
          <w:szCs w:val="24"/>
        </w:rPr>
        <w:t>105,000/QALY – $200,000/</w:t>
      </w:r>
      <w:proofErr w:type="gramStart"/>
      <w:r w:rsidR="00AE517A" w:rsidRPr="00AA338D">
        <w:rPr>
          <w:rFonts w:cs="Times New Roman"/>
          <w:szCs w:val="24"/>
        </w:rPr>
        <w:t>QALY</w:t>
      </w:r>
      <w:r w:rsidR="00AE517A" w:rsidRPr="003C53F6" w:rsidDel="00AE517A">
        <w:t xml:space="preserve"> </w:t>
      </w:r>
      <w:r w:rsidR="003E582C" w:rsidRPr="003C53F6">
        <w:t>)</w:t>
      </w:r>
      <w:proofErr w:type="gramEnd"/>
      <w:r w:rsidR="003E582C" w:rsidRPr="003C53F6">
        <w:t xml:space="preserve"> was unacceptably high</w:t>
      </w:r>
      <w:r w:rsidR="007C68BF" w:rsidRPr="003C53F6">
        <w:t xml:space="preserve"> and uncertain</w:t>
      </w:r>
      <w:r w:rsidR="003E582C" w:rsidRPr="003C53F6">
        <w:t>.</w:t>
      </w:r>
      <w:r w:rsidR="003E582C" w:rsidRPr="003C53F6">
        <w:rPr>
          <w:bCs/>
        </w:rPr>
        <w:t xml:space="preserve"> </w:t>
      </w:r>
      <w:r w:rsidR="00473AEA" w:rsidRPr="003C53F6">
        <w:rPr>
          <w:bCs/>
        </w:rPr>
        <w:t xml:space="preserve">The dominant ICER estimated by model 2 was unlikely to be realised. </w:t>
      </w:r>
      <w:r w:rsidR="00B559F3" w:rsidRPr="003C53F6">
        <w:rPr>
          <w:bCs/>
        </w:rPr>
        <w:t>Issues with economic models included:</w:t>
      </w:r>
    </w:p>
    <w:p w:rsidR="00723747" w:rsidRDefault="00723747" w:rsidP="00B559F3">
      <w:pPr>
        <w:ind w:left="993"/>
      </w:pPr>
    </w:p>
    <w:p w:rsidR="00B559F3" w:rsidRPr="003C53F6" w:rsidRDefault="00B559F3" w:rsidP="00B559F3">
      <w:pPr>
        <w:ind w:left="993"/>
      </w:pPr>
      <w:r w:rsidRPr="003C53F6">
        <w:t xml:space="preserve">Both models likely overestimated the efficacy of </w:t>
      </w:r>
      <w:proofErr w:type="spellStart"/>
      <w:r w:rsidRPr="003C53F6">
        <w:t>Truvada</w:t>
      </w:r>
      <w:proofErr w:type="spellEnd"/>
      <w:r w:rsidRPr="003C53F6">
        <w:t>:</w:t>
      </w:r>
    </w:p>
    <w:p w:rsidR="00B559F3" w:rsidRPr="003C53F6" w:rsidRDefault="00B559F3" w:rsidP="00B559F3">
      <w:pPr>
        <w:pStyle w:val="NoSpacing"/>
        <w:widowControl/>
        <w:numPr>
          <w:ilvl w:val="0"/>
          <w:numId w:val="23"/>
        </w:numPr>
        <w:ind w:left="1701"/>
      </w:pPr>
      <w:r w:rsidRPr="003C53F6">
        <w:t xml:space="preserve">The models assumed 90% adherence in clinical practice (continuously) and for adherent subjects a </w:t>
      </w:r>
      <w:r w:rsidR="00D73259" w:rsidRPr="003C53F6">
        <w:t xml:space="preserve">relative risk reduction </w:t>
      </w:r>
      <w:r w:rsidRPr="003C53F6">
        <w:t>of 90% was assumed</w:t>
      </w:r>
      <w:r w:rsidR="00941FB2" w:rsidRPr="003C53F6">
        <w:t>, based on the case control analyses presented in the submission</w:t>
      </w:r>
      <w:r w:rsidRPr="003C53F6">
        <w:t>.</w:t>
      </w:r>
      <w:r w:rsidR="00941FB2" w:rsidRPr="003C53F6">
        <w:t xml:space="preserve"> </w:t>
      </w:r>
      <w:r w:rsidRPr="003C53F6">
        <w:t xml:space="preserve"> </w:t>
      </w:r>
    </w:p>
    <w:p w:rsidR="00B559F3" w:rsidRPr="003C53F6" w:rsidRDefault="00B559F3" w:rsidP="00B559F3">
      <w:pPr>
        <w:pStyle w:val="ListParagraph"/>
        <w:numPr>
          <w:ilvl w:val="0"/>
          <w:numId w:val="23"/>
        </w:numPr>
        <w:ind w:left="1701"/>
      </w:pPr>
      <w:r w:rsidRPr="003C53F6">
        <w:t xml:space="preserve">The potential impact of </w:t>
      </w:r>
      <w:proofErr w:type="spellStart"/>
      <w:r w:rsidRPr="003C53F6">
        <w:t>Truvada</w:t>
      </w:r>
      <w:proofErr w:type="spellEnd"/>
      <w:r w:rsidRPr="003C53F6">
        <w:t xml:space="preserve"> on </w:t>
      </w:r>
      <w:r w:rsidR="00537F13">
        <w:t xml:space="preserve">adherence to </w:t>
      </w:r>
      <w:r w:rsidRPr="003C53F6">
        <w:t xml:space="preserve">other preventative strategies was not considered in the model in the base case. </w:t>
      </w:r>
    </w:p>
    <w:p w:rsidR="00B559F3" w:rsidRPr="003C53F6" w:rsidRDefault="00B559F3" w:rsidP="00B559F3">
      <w:pPr>
        <w:ind w:left="993"/>
      </w:pPr>
    </w:p>
    <w:p w:rsidR="00B559F3" w:rsidRPr="003C53F6" w:rsidRDefault="00B559F3" w:rsidP="00B559F3">
      <w:pPr>
        <w:ind w:left="993"/>
      </w:pPr>
      <w:r w:rsidRPr="003C53F6">
        <w:t xml:space="preserve">In model 1, using a constant risk of 5% </w:t>
      </w:r>
      <w:r w:rsidR="00D73259" w:rsidRPr="003C53F6">
        <w:t>it was</w:t>
      </w:r>
      <w:r w:rsidRPr="003C53F6">
        <w:t xml:space="preserve"> predicted</w:t>
      </w:r>
      <w:r w:rsidR="00D73259" w:rsidRPr="003C53F6">
        <w:t xml:space="preserve"> </w:t>
      </w:r>
      <w:r w:rsidR="00723747">
        <w:t xml:space="preserve">that </w:t>
      </w:r>
      <w:r w:rsidR="00D73259" w:rsidRPr="003C53F6">
        <w:t xml:space="preserve">without </w:t>
      </w:r>
      <w:proofErr w:type="spellStart"/>
      <w:r w:rsidR="00D73259" w:rsidRPr="003C53F6">
        <w:t>PrEP</w:t>
      </w:r>
      <w:proofErr w:type="spellEnd"/>
      <w:r w:rsidR="00723747">
        <w:t>,</w:t>
      </w:r>
      <w:r w:rsidRPr="003C53F6">
        <w:t xml:space="preserve"> 64% of the eligible population would be HIV positive after 20 years</w:t>
      </w:r>
      <w:r w:rsidR="00D73259" w:rsidRPr="003C53F6">
        <w:t>.</w:t>
      </w:r>
      <w:r w:rsidR="00941FB2" w:rsidRPr="003C53F6">
        <w:t xml:space="preserve"> </w:t>
      </w:r>
      <w:r w:rsidR="00D73259" w:rsidRPr="003C53F6">
        <w:t>This</w:t>
      </w:r>
      <w:r w:rsidRPr="003C53F6">
        <w:t xml:space="preserve"> lacks face validity. Reducing the risk to 3% increased the ICER from $</w:t>
      </w:r>
      <w:r w:rsidR="00AE517A" w:rsidRPr="00AA338D">
        <w:rPr>
          <w:rFonts w:cs="Times New Roman"/>
          <w:szCs w:val="24"/>
        </w:rPr>
        <w:t>105,000/QALY – $200,000/QALY</w:t>
      </w:r>
      <w:r w:rsidR="00AE517A" w:rsidRPr="003C53F6" w:rsidDel="00AE517A">
        <w:t xml:space="preserve"> </w:t>
      </w:r>
      <w:r w:rsidRPr="003C53F6">
        <w:t xml:space="preserve">to </w:t>
      </w:r>
      <w:r w:rsidR="00AE517A">
        <w:t xml:space="preserve">more than </w:t>
      </w:r>
      <w:r w:rsidRPr="003C53F6">
        <w:t>$</w:t>
      </w:r>
      <w:r w:rsidR="00AE517A">
        <w:t>200,000</w:t>
      </w:r>
      <w:r w:rsidRPr="003C53F6">
        <w:t xml:space="preserve">per QALY gained. </w:t>
      </w:r>
    </w:p>
    <w:p w:rsidR="00AA6C66" w:rsidRPr="003C53F6" w:rsidRDefault="00AA6C66" w:rsidP="00B559F3">
      <w:pPr>
        <w:ind w:left="993"/>
      </w:pPr>
    </w:p>
    <w:p w:rsidR="00EB786E" w:rsidRPr="003C53F6" w:rsidRDefault="00AA6C66" w:rsidP="00B559F3">
      <w:pPr>
        <w:ind w:left="993"/>
      </w:pPr>
      <w:r w:rsidRPr="003C53F6">
        <w:t>In model 2</w:t>
      </w:r>
      <w:r w:rsidR="00EB786E" w:rsidRPr="003C53F6">
        <w:t>:</w:t>
      </w:r>
    </w:p>
    <w:p w:rsidR="00EB786E" w:rsidRPr="003C53F6" w:rsidRDefault="0047301A" w:rsidP="00EB786E">
      <w:pPr>
        <w:pStyle w:val="ListParagraph"/>
        <w:numPr>
          <w:ilvl w:val="0"/>
          <w:numId w:val="27"/>
        </w:numPr>
      </w:pPr>
      <w:r>
        <w:t>S</w:t>
      </w:r>
      <w:r w:rsidR="00AA6C66" w:rsidRPr="003C53F6">
        <w:t>exual contact between individuals</w:t>
      </w:r>
      <w:r w:rsidR="00D73259" w:rsidRPr="003C53F6">
        <w:t xml:space="preserve"> was assumed to be random </w:t>
      </w:r>
      <w:r w:rsidR="00537F13">
        <w:t xml:space="preserve">rather than </w:t>
      </w:r>
      <w:proofErr w:type="spellStart"/>
      <w:r w:rsidR="00537F13">
        <w:t>assort</w:t>
      </w:r>
      <w:r>
        <w:t>at</w:t>
      </w:r>
      <w:r w:rsidR="00537F13">
        <w:t>ive</w:t>
      </w:r>
      <w:proofErr w:type="spellEnd"/>
      <w:r w:rsidR="00537F13">
        <w:t xml:space="preserve"> </w:t>
      </w:r>
      <w:r w:rsidR="00AA6C66" w:rsidRPr="003C53F6">
        <w:t>by risk level</w:t>
      </w:r>
      <w:r w:rsidR="00D73259" w:rsidRPr="003C53F6">
        <w:t>. This was considered unrealistic as</w:t>
      </w:r>
      <w:r w:rsidR="00AA6C66" w:rsidRPr="003C53F6">
        <w:t xml:space="preserve"> individual</w:t>
      </w:r>
      <w:r w:rsidR="00D73259" w:rsidRPr="003C53F6">
        <w:t>s</w:t>
      </w:r>
      <w:r w:rsidR="00AA6C66" w:rsidRPr="003C53F6">
        <w:t xml:space="preserve"> at high risk </w:t>
      </w:r>
      <w:r w:rsidR="00537F13">
        <w:t>may be</w:t>
      </w:r>
      <w:r w:rsidR="00537F13" w:rsidRPr="003C53F6">
        <w:t xml:space="preserve"> </w:t>
      </w:r>
      <w:r w:rsidR="00AA6C66" w:rsidRPr="003C53F6">
        <w:t xml:space="preserve">more likely to have contact with other high risk individuals </w:t>
      </w:r>
      <w:r w:rsidR="00D73259" w:rsidRPr="003C53F6">
        <w:t xml:space="preserve">rather </w:t>
      </w:r>
      <w:r w:rsidR="00AA6C66" w:rsidRPr="003C53F6">
        <w:t>tha</w:t>
      </w:r>
      <w:r w:rsidR="00782AF3" w:rsidRPr="003C53F6">
        <w:t>n</w:t>
      </w:r>
      <w:r w:rsidR="00AA6C66" w:rsidRPr="003C53F6">
        <w:t xml:space="preserve"> someone who is low risk.</w:t>
      </w:r>
      <w:r w:rsidR="00EB786E" w:rsidRPr="003C53F6">
        <w:t xml:space="preserve"> </w:t>
      </w:r>
      <w:r w:rsidR="000652E3" w:rsidRPr="007C44D2">
        <w:t>The</w:t>
      </w:r>
      <w:r w:rsidR="000652E3" w:rsidRPr="003C53F6">
        <w:t xml:space="preserve"> model </w:t>
      </w:r>
      <w:r w:rsidR="000652E3">
        <w:t xml:space="preserve">population </w:t>
      </w:r>
      <w:r w:rsidR="000652E3" w:rsidRPr="003C53F6">
        <w:t xml:space="preserve">was closed and hence does not allow new </w:t>
      </w:r>
      <w:r w:rsidR="000652E3">
        <w:t xml:space="preserve">at-risk </w:t>
      </w:r>
      <w:r w:rsidR="000652E3" w:rsidRPr="003C53F6">
        <w:t>MSM to enter</w:t>
      </w:r>
      <w:r w:rsidR="000652E3">
        <w:t xml:space="preserve">, allowing for transmission to be </w:t>
      </w:r>
      <w:r w:rsidR="00336CCF">
        <w:t xml:space="preserve">rapidly </w:t>
      </w:r>
      <w:r w:rsidR="000652E3">
        <w:t>ex</w:t>
      </w:r>
      <w:r w:rsidR="00336CCF">
        <w:t xml:space="preserve">hausted even in the no </w:t>
      </w:r>
      <w:proofErr w:type="spellStart"/>
      <w:r w:rsidR="000652E3">
        <w:t>PrEP</w:t>
      </w:r>
      <w:proofErr w:type="spellEnd"/>
      <w:r w:rsidR="000652E3">
        <w:t xml:space="preserve"> scenario</w:t>
      </w:r>
      <w:r w:rsidR="000652E3" w:rsidRPr="003C53F6">
        <w:t>.</w:t>
      </w:r>
    </w:p>
    <w:p w:rsidR="00EB786E" w:rsidRPr="007C44D2" w:rsidRDefault="0047301A" w:rsidP="00EB786E">
      <w:pPr>
        <w:pStyle w:val="ListParagraph"/>
        <w:numPr>
          <w:ilvl w:val="0"/>
          <w:numId w:val="27"/>
        </w:numPr>
      </w:pPr>
      <w:r>
        <w:t>T</w:t>
      </w:r>
      <w:r w:rsidR="00EB786E" w:rsidRPr="003C53F6">
        <w:t xml:space="preserve">he model assumed high uptake of </w:t>
      </w:r>
      <w:proofErr w:type="spellStart"/>
      <w:r w:rsidR="00EB786E" w:rsidRPr="003C53F6">
        <w:t>Truvada</w:t>
      </w:r>
      <w:proofErr w:type="spellEnd"/>
      <w:r w:rsidR="00EB786E" w:rsidRPr="003C53F6">
        <w:t xml:space="preserve"> as </w:t>
      </w:r>
      <w:proofErr w:type="spellStart"/>
      <w:r w:rsidR="00EB786E" w:rsidRPr="003C53F6">
        <w:t>PrEP</w:t>
      </w:r>
      <w:proofErr w:type="spellEnd"/>
      <w:r w:rsidR="00EB786E" w:rsidRPr="003C53F6">
        <w:t xml:space="preserve"> in high risk </w:t>
      </w:r>
      <w:r w:rsidR="00EB786E" w:rsidRPr="007C44D2">
        <w:t>individuals, which the PBAC considered was not reasonable since high risk patients are partly defined by low uptake of currently available ‘safe sex’ practices (</w:t>
      </w:r>
      <w:proofErr w:type="spellStart"/>
      <w:r w:rsidR="00EB786E" w:rsidRPr="007C44D2">
        <w:t>eg</w:t>
      </w:r>
      <w:proofErr w:type="spellEnd"/>
      <w:r w:rsidR="00EB786E" w:rsidRPr="007C44D2">
        <w:t xml:space="preserve"> condoms).</w:t>
      </w:r>
      <w:r w:rsidR="00601B90" w:rsidRPr="007C44D2">
        <w:t xml:space="preserve"> </w:t>
      </w:r>
    </w:p>
    <w:p w:rsidR="00EB786E" w:rsidRPr="003C53F6" w:rsidRDefault="00872E22" w:rsidP="00211334">
      <w:pPr>
        <w:pStyle w:val="ListParagraph"/>
        <w:numPr>
          <w:ilvl w:val="0"/>
          <w:numId w:val="27"/>
        </w:numPr>
      </w:pPr>
      <w:r w:rsidRPr="003C53F6">
        <w:rPr>
          <w:bCs/>
        </w:rPr>
        <w:t>The PBAC noted the agent based model developed by researchers at the Kirby Institute, in which individual interactions are represented over time</w:t>
      </w:r>
      <w:r w:rsidR="00B827A0">
        <w:rPr>
          <w:bCs/>
        </w:rPr>
        <w:t>. The PBAC</w:t>
      </w:r>
      <w:r w:rsidRPr="003C53F6">
        <w:rPr>
          <w:bCs/>
        </w:rPr>
        <w:t xml:space="preserve"> noted that the results of this model suggest </w:t>
      </w:r>
      <w:r w:rsidR="00B827A0">
        <w:rPr>
          <w:bCs/>
        </w:rPr>
        <w:t xml:space="preserve">the price of </w:t>
      </w:r>
      <w:proofErr w:type="spellStart"/>
      <w:r w:rsidR="00B827A0">
        <w:rPr>
          <w:bCs/>
        </w:rPr>
        <w:t>Truvada</w:t>
      </w:r>
      <w:proofErr w:type="spellEnd"/>
      <w:r w:rsidR="00B827A0">
        <w:rPr>
          <w:bCs/>
        </w:rPr>
        <w:t xml:space="preserve"> has a strong influence on cost-effectiveness of </w:t>
      </w:r>
      <w:proofErr w:type="spellStart"/>
      <w:r w:rsidR="00B827A0">
        <w:rPr>
          <w:bCs/>
        </w:rPr>
        <w:t>PrEP</w:t>
      </w:r>
      <w:proofErr w:type="spellEnd"/>
      <w:r w:rsidR="00B827A0">
        <w:rPr>
          <w:bCs/>
        </w:rPr>
        <w:t xml:space="preserve">, with the current PBS list price of </w:t>
      </w:r>
      <w:proofErr w:type="spellStart"/>
      <w:r w:rsidR="00B827A0">
        <w:rPr>
          <w:bCs/>
        </w:rPr>
        <w:t>Truvada</w:t>
      </w:r>
      <w:proofErr w:type="spellEnd"/>
      <w:r w:rsidR="00B827A0">
        <w:rPr>
          <w:bCs/>
        </w:rPr>
        <w:t xml:space="preserve"> only likely to be</w:t>
      </w:r>
      <w:r w:rsidR="00B827A0" w:rsidRPr="003C53F6">
        <w:rPr>
          <w:bCs/>
        </w:rPr>
        <w:t xml:space="preserve"> </w:t>
      </w:r>
      <w:r w:rsidR="00A92177" w:rsidRPr="003C53F6">
        <w:rPr>
          <w:bCs/>
        </w:rPr>
        <w:t>cost</w:t>
      </w:r>
      <w:r w:rsidR="00A92177">
        <w:rPr>
          <w:bCs/>
        </w:rPr>
        <w:t>-</w:t>
      </w:r>
      <w:r w:rsidRPr="003C53F6">
        <w:rPr>
          <w:bCs/>
        </w:rPr>
        <w:t>effective</w:t>
      </w:r>
      <w:r w:rsidR="00B827A0">
        <w:rPr>
          <w:bCs/>
        </w:rPr>
        <w:t xml:space="preserve"> </w:t>
      </w:r>
      <w:r w:rsidR="0072110A">
        <w:rPr>
          <w:bCs/>
        </w:rPr>
        <w:t xml:space="preserve">for </w:t>
      </w:r>
      <w:proofErr w:type="spellStart"/>
      <w:r w:rsidR="0072110A">
        <w:rPr>
          <w:bCs/>
        </w:rPr>
        <w:t>PrEP</w:t>
      </w:r>
      <w:proofErr w:type="spellEnd"/>
      <w:r w:rsidR="0072110A">
        <w:rPr>
          <w:bCs/>
        </w:rPr>
        <w:t xml:space="preserve"> </w:t>
      </w:r>
      <w:r w:rsidR="00B827A0">
        <w:rPr>
          <w:bCs/>
        </w:rPr>
        <w:t xml:space="preserve">when used </w:t>
      </w:r>
      <w:r w:rsidR="005841F9">
        <w:rPr>
          <w:bCs/>
        </w:rPr>
        <w:t>in men in a regular partnership with an</w:t>
      </w:r>
      <w:r w:rsidR="00B827A0">
        <w:rPr>
          <w:bCs/>
        </w:rPr>
        <w:t xml:space="preserve"> HIV-discordant </w:t>
      </w:r>
      <w:r w:rsidR="005841F9">
        <w:rPr>
          <w:bCs/>
        </w:rPr>
        <w:t>man</w:t>
      </w:r>
      <w:r w:rsidRPr="003C53F6">
        <w:rPr>
          <w:bCs/>
        </w:rPr>
        <w:t>.</w:t>
      </w:r>
      <w:r w:rsidR="00EB786E" w:rsidRPr="003C53F6">
        <w:rPr>
          <w:bCs/>
        </w:rPr>
        <w:t xml:space="preserve"> </w:t>
      </w:r>
    </w:p>
    <w:p w:rsidR="00B559F3" w:rsidRPr="003C53F6" w:rsidRDefault="0047301A" w:rsidP="00EB786E">
      <w:pPr>
        <w:pStyle w:val="ListParagraph"/>
        <w:numPr>
          <w:ilvl w:val="0"/>
          <w:numId w:val="27"/>
        </w:numPr>
      </w:pPr>
      <w:r>
        <w:t>T</w:t>
      </w:r>
      <w:r w:rsidR="00B559F3" w:rsidRPr="003C53F6">
        <w:t>he ICER was sensitive to a range of input parameters</w:t>
      </w:r>
      <w:r w:rsidR="00D73259" w:rsidRPr="003C53F6">
        <w:t xml:space="preserve"> including treatment adherence, the risk level at which individuals discontinue treatment, the distribution of risk across the population and the model time horizon.</w:t>
      </w:r>
      <w:r w:rsidR="00D73259" w:rsidRPr="003C53F6" w:rsidDel="00D73259">
        <w:t xml:space="preserve"> </w:t>
      </w:r>
    </w:p>
    <w:p w:rsidR="002431F7" w:rsidRPr="003C53F6" w:rsidRDefault="002431F7" w:rsidP="002431F7">
      <w:pPr>
        <w:rPr>
          <w:bCs/>
        </w:rPr>
      </w:pPr>
    </w:p>
    <w:p w:rsidR="00AA6C66" w:rsidRPr="0047301A" w:rsidRDefault="00AA6C66" w:rsidP="0047301A">
      <w:pPr>
        <w:numPr>
          <w:ilvl w:val="1"/>
          <w:numId w:val="2"/>
        </w:numPr>
        <w:rPr>
          <w:bCs/>
        </w:rPr>
      </w:pPr>
      <w:r w:rsidRPr="003C53F6">
        <w:rPr>
          <w:bCs/>
        </w:rPr>
        <w:t xml:space="preserve">The PBAC agreed with the DUSC that the dynamic transmission model used to estimate the eligible population lacked </w:t>
      </w:r>
      <w:r w:rsidR="00601B90" w:rsidRPr="003C53F6">
        <w:rPr>
          <w:bCs/>
        </w:rPr>
        <w:t xml:space="preserve">face </w:t>
      </w:r>
      <w:r w:rsidRPr="003C53F6">
        <w:rPr>
          <w:bCs/>
        </w:rPr>
        <w:t>validity and was biased towards underestimating the future need</w:t>
      </w:r>
      <w:r w:rsidR="0047301A">
        <w:rPr>
          <w:bCs/>
        </w:rPr>
        <w:t xml:space="preserve">. </w:t>
      </w:r>
    </w:p>
    <w:p w:rsidR="002431F7" w:rsidRPr="003C53F6" w:rsidRDefault="002431F7" w:rsidP="002431F7">
      <w:pPr>
        <w:rPr>
          <w:bCs/>
        </w:rPr>
      </w:pPr>
    </w:p>
    <w:p w:rsidR="009128C7" w:rsidRPr="000F29ED" w:rsidRDefault="0047301A" w:rsidP="002431F7">
      <w:pPr>
        <w:numPr>
          <w:ilvl w:val="1"/>
          <w:numId w:val="2"/>
        </w:numPr>
        <w:rPr>
          <w:bCs/>
        </w:rPr>
      </w:pPr>
      <w:r>
        <w:rPr>
          <w:bCs/>
        </w:rPr>
        <w:t>T</w:t>
      </w:r>
      <w:r w:rsidR="009128C7" w:rsidRPr="003C53F6">
        <w:rPr>
          <w:bCs/>
        </w:rPr>
        <w:t xml:space="preserve">he PBAC </w:t>
      </w:r>
      <w:r w:rsidR="009128C7" w:rsidRPr="000F29ED">
        <w:rPr>
          <w:bCs/>
        </w:rPr>
        <w:t>considered a major re-submiss</w:t>
      </w:r>
      <w:r w:rsidR="00211334" w:rsidRPr="000F29ED">
        <w:rPr>
          <w:bCs/>
        </w:rPr>
        <w:t>i</w:t>
      </w:r>
      <w:r w:rsidR="009128C7" w:rsidRPr="000F29ED">
        <w:rPr>
          <w:bCs/>
        </w:rPr>
        <w:t>on</w:t>
      </w:r>
      <w:r w:rsidR="000F29ED" w:rsidRPr="000F29ED">
        <w:rPr>
          <w:bCs/>
        </w:rPr>
        <w:t xml:space="preserve"> would be required</w:t>
      </w:r>
      <w:r w:rsidR="002E7F99">
        <w:rPr>
          <w:bCs/>
        </w:rPr>
        <w:t xml:space="preserve"> which considered the following</w:t>
      </w:r>
      <w:r w:rsidR="009128C7" w:rsidRPr="000F29ED">
        <w:rPr>
          <w:bCs/>
        </w:rPr>
        <w:t>:</w:t>
      </w:r>
    </w:p>
    <w:p w:rsidR="009128C7" w:rsidRPr="003C53F6" w:rsidRDefault="00CC0F36" w:rsidP="009128C7">
      <w:pPr>
        <w:pStyle w:val="ListParagraph"/>
        <w:numPr>
          <w:ilvl w:val="0"/>
          <w:numId w:val="26"/>
        </w:numPr>
        <w:rPr>
          <w:bCs/>
        </w:rPr>
      </w:pPr>
      <w:r w:rsidRPr="003C53F6">
        <w:rPr>
          <w:bCs/>
        </w:rPr>
        <w:t xml:space="preserve">The population eligible for treatment, noting the PBAC considered </w:t>
      </w:r>
      <w:r w:rsidR="009128C7" w:rsidRPr="003C53F6">
        <w:rPr>
          <w:bCs/>
        </w:rPr>
        <w:t xml:space="preserve">it </w:t>
      </w:r>
      <w:r w:rsidR="0072110A">
        <w:rPr>
          <w:bCs/>
        </w:rPr>
        <w:t>would</w:t>
      </w:r>
      <w:r w:rsidR="00336CCF" w:rsidRPr="003C53F6">
        <w:rPr>
          <w:bCs/>
        </w:rPr>
        <w:t xml:space="preserve"> </w:t>
      </w:r>
      <w:r w:rsidR="009128C7" w:rsidRPr="003C53F6">
        <w:rPr>
          <w:bCs/>
        </w:rPr>
        <w:t>be more appropriate for a broader group of individuals</w:t>
      </w:r>
      <w:r w:rsidR="00336CCF">
        <w:rPr>
          <w:bCs/>
        </w:rPr>
        <w:t xml:space="preserve"> with potential benefit</w:t>
      </w:r>
      <w:r w:rsidR="009128C7" w:rsidRPr="003C53F6">
        <w:rPr>
          <w:bCs/>
        </w:rPr>
        <w:t xml:space="preserve"> t</w:t>
      </w:r>
      <w:r w:rsidR="002C223B" w:rsidRPr="003C53F6">
        <w:rPr>
          <w:bCs/>
        </w:rPr>
        <w:t xml:space="preserve">o have access to </w:t>
      </w:r>
      <w:proofErr w:type="spellStart"/>
      <w:r w:rsidR="002C223B" w:rsidRPr="003C53F6">
        <w:rPr>
          <w:bCs/>
        </w:rPr>
        <w:t>Truv</w:t>
      </w:r>
      <w:r w:rsidR="00211334">
        <w:rPr>
          <w:bCs/>
        </w:rPr>
        <w:t>a</w:t>
      </w:r>
      <w:r w:rsidR="002C223B" w:rsidRPr="003C53F6">
        <w:rPr>
          <w:bCs/>
        </w:rPr>
        <w:t>da</w:t>
      </w:r>
      <w:proofErr w:type="spellEnd"/>
      <w:r w:rsidR="002C223B" w:rsidRPr="003C53F6">
        <w:rPr>
          <w:bCs/>
        </w:rPr>
        <w:t xml:space="preserve"> as </w:t>
      </w:r>
      <w:proofErr w:type="spellStart"/>
      <w:r w:rsidR="002C223B" w:rsidRPr="003C53F6">
        <w:rPr>
          <w:bCs/>
        </w:rPr>
        <w:t>PrEP</w:t>
      </w:r>
      <w:proofErr w:type="spellEnd"/>
      <w:r w:rsidR="002C223B" w:rsidRPr="003C53F6">
        <w:rPr>
          <w:bCs/>
        </w:rPr>
        <w:t>;</w:t>
      </w:r>
    </w:p>
    <w:p w:rsidR="00CC0F36" w:rsidRPr="003C53F6" w:rsidRDefault="00CC0F36" w:rsidP="009128C7">
      <w:pPr>
        <w:pStyle w:val="ListParagraph"/>
        <w:numPr>
          <w:ilvl w:val="0"/>
          <w:numId w:val="26"/>
        </w:numPr>
        <w:rPr>
          <w:bCs/>
        </w:rPr>
      </w:pPr>
      <w:r w:rsidRPr="003C53F6">
        <w:rPr>
          <w:bCs/>
        </w:rPr>
        <w:t>The appropriate and likely use</w:t>
      </w:r>
      <w:r w:rsidR="00211334">
        <w:rPr>
          <w:bCs/>
        </w:rPr>
        <w:t xml:space="preserve"> in</w:t>
      </w:r>
      <w:r w:rsidRPr="003C53F6">
        <w:rPr>
          <w:bCs/>
        </w:rPr>
        <w:t xml:space="preserve"> clinical practice</w:t>
      </w:r>
      <w:r w:rsidR="0047630A" w:rsidRPr="003C53F6">
        <w:rPr>
          <w:bCs/>
        </w:rPr>
        <w:t xml:space="preserve">, including </w:t>
      </w:r>
      <w:r w:rsidR="0047630A" w:rsidRPr="003C53F6">
        <w:t>the possibility of intermittent use</w:t>
      </w:r>
      <w:r w:rsidRPr="003C53F6">
        <w:rPr>
          <w:bCs/>
        </w:rPr>
        <w:t>;</w:t>
      </w:r>
    </w:p>
    <w:p w:rsidR="0047630A" w:rsidRPr="003C53F6" w:rsidRDefault="0047630A" w:rsidP="009128C7">
      <w:pPr>
        <w:pStyle w:val="ListParagraph"/>
        <w:numPr>
          <w:ilvl w:val="0"/>
          <w:numId w:val="26"/>
        </w:numPr>
        <w:rPr>
          <w:bCs/>
        </w:rPr>
      </w:pPr>
      <w:r w:rsidRPr="003C53F6">
        <w:rPr>
          <w:bCs/>
        </w:rPr>
        <w:t xml:space="preserve">Details relating to the ‘approved </w:t>
      </w:r>
      <w:proofErr w:type="spellStart"/>
      <w:r w:rsidRPr="003C53F6">
        <w:rPr>
          <w:bCs/>
        </w:rPr>
        <w:t>PrEP</w:t>
      </w:r>
      <w:proofErr w:type="spellEnd"/>
      <w:r w:rsidRPr="003C53F6">
        <w:rPr>
          <w:bCs/>
        </w:rPr>
        <w:t xml:space="preserve"> service’;</w:t>
      </w:r>
    </w:p>
    <w:p w:rsidR="0047630A" w:rsidRPr="003C53F6" w:rsidRDefault="0047630A" w:rsidP="009128C7">
      <w:pPr>
        <w:pStyle w:val="ListParagraph"/>
        <w:numPr>
          <w:ilvl w:val="0"/>
          <w:numId w:val="26"/>
        </w:numPr>
        <w:rPr>
          <w:bCs/>
        </w:rPr>
      </w:pPr>
      <w:r w:rsidRPr="003C53F6">
        <w:rPr>
          <w:bCs/>
        </w:rPr>
        <w:t xml:space="preserve">Adherence with </w:t>
      </w:r>
      <w:proofErr w:type="spellStart"/>
      <w:r w:rsidRPr="003C53F6">
        <w:rPr>
          <w:bCs/>
        </w:rPr>
        <w:t>Truvada</w:t>
      </w:r>
      <w:proofErr w:type="spellEnd"/>
      <w:r w:rsidRPr="003C53F6">
        <w:rPr>
          <w:bCs/>
        </w:rPr>
        <w:t xml:space="preserve"> as </w:t>
      </w:r>
      <w:proofErr w:type="spellStart"/>
      <w:r w:rsidRPr="003C53F6">
        <w:rPr>
          <w:bCs/>
        </w:rPr>
        <w:t>PrEP</w:t>
      </w:r>
      <w:proofErr w:type="spellEnd"/>
      <w:r w:rsidRPr="003C53F6">
        <w:rPr>
          <w:bCs/>
        </w:rPr>
        <w:t>, and t</w:t>
      </w:r>
      <w:r w:rsidRPr="003C53F6">
        <w:t xml:space="preserve">he potential impact of </w:t>
      </w:r>
      <w:proofErr w:type="spellStart"/>
      <w:r w:rsidRPr="003C53F6">
        <w:t>Truvada</w:t>
      </w:r>
      <w:proofErr w:type="spellEnd"/>
      <w:r w:rsidRPr="003C53F6">
        <w:t xml:space="preserve"> on other preventative strategies, </w:t>
      </w:r>
      <w:r w:rsidRPr="003C53F6">
        <w:rPr>
          <w:bCs/>
        </w:rPr>
        <w:t>in clinical practice;</w:t>
      </w:r>
    </w:p>
    <w:p w:rsidR="00211334" w:rsidRDefault="0047630A" w:rsidP="009128C7">
      <w:pPr>
        <w:pStyle w:val="ListParagraph"/>
        <w:numPr>
          <w:ilvl w:val="0"/>
          <w:numId w:val="26"/>
        </w:numPr>
        <w:rPr>
          <w:bCs/>
        </w:rPr>
      </w:pPr>
      <w:r w:rsidRPr="003C53F6">
        <w:rPr>
          <w:bCs/>
        </w:rPr>
        <w:t xml:space="preserve">The </w:t>
      </w:r>
      <w:r w:rsidR="001D374E" w:rsidRPr="003C53F6">
        <w:rPr>
          <w:bCs/>
        </w:rPr>
        <w:t xml:space="preserve">issues with the </w:t>
      </w:r>
      <w:r w:rsidRPr="003C53F6">
        <w:rPr>
          <w:bCs/>
        </w:rPr>
        <w:t xml:space="preserve">economic </w:t>
      </w:r>
      <w:r w:rsidR="001D374E" w:rsidRPr="003C53F6">
        <w:rPr>
          <w:bCs/>
        </w:rPr>
        <w:t>model</w:t>
      </w:r>
      <w:r w:rsidRPr="003C53F6">
        <w:rPr>
          <w:bCs/>
        </w:rPr>
        <w:t>s</w:t>
      </w:r>
      <w:r w:rsidR="001D374E" w:rsidRPr="003C53F6">
        <w:rPr>
          <w:bCs/>
        </w:rPr>
        <w:t xml:space="preserve"> as outlined in paragraph 7.7</w:t>
      </w:r>
      <w:r w:rsidRPr="003C53F6">
        <w:rPr>
          <w:bCs/>
        </w:rPr>
        <w:t xml:space="preserve">, and hence the cost-effectiveness of </w:t>
      </w:r>
      <w:proofErr w:type="spellStart"/>
      <w:r w:rsidRPr="003C53F6">
        <w:rPr>
          <w:bCs/>
        </w:rPr>
        <w:t>Truvada</w:t>
      </w:r>
      <w:proofErr w:type="spellEnd"/>
      <w:r w:rsidRPr="003C53F6">
        <w:rPr>
          <w:bCs/>
        </w:rPr>
        <w:t xml:space="preserve"> as </w:t>
      </w:r>
      <w:proofErr w:type="spellStart"/>
      <w:r w:rsidRPr="003C53F6">
        <w:rPr>
          <w:bCs/>
        </w:rPr>
        <w:t>PrEP</w:t>
      </w:r>
      <w:proofErr w:type="spellEnd"/>
      <w:r w:rsidR="00211334">
        <w:rPr>
          <w:bCs/>
        </w:rPr>
        <w:t>; and</w:t>
      </w:r>
      <w:r w:rsidRPr="003C53F6">
        <w:rPr>
          <w:bCs/>
        </w:rPr>
        <w:t xml:space="preserve"> </w:t>
      </w:r>
    </w:p>
    <w:p w:rsidR="002431F7" w:rsidRPr="003C53F6" w:rsidRDefault="002E7F99" w:rsidP="009128C7">
      <w:pPr>
        <w:pStyle w:val="ListParagraph"/>
        <w:numPr>
          <w:ilvl w:val="0"/>
          <w:numId w:val="26"/>
        </w:numPr>
        <w:rPr>
          <w:bCs/>
        </w:rPr>
      </w:pPr>
      <w:r>
        <w:rPr>
          <w:bCs/>
        </w:rPr>
        <w:t>T</w:t>
      </w:r>
      <w:r w:rsidR="00211334">
        <w:rPr>
          <w:bCs/>
        </w:rPr>
        <w:t>he</w:t>
      </w:r>
      <w:r w:rsidR="0047630A" w:rsidRPr="003C53F6">
        <w:rPr>
          <w:bCs/>
        </w:rPr>
        <w:t xml:space="preserve"> size of the eligible patient population</w:t>
      </w:r>
      <w:r w:rsidR="0005402E">
        <w:rPr>
          <w:bCs/>
        </w:rPr>
        <w:t xml:space="preserve"> likely to seek access</w:t>
      </w:r>
      <w:r w:rsidR="002C223B" w:rsidRPr="003C53F6">
        <w:rPr>
          <w:bCs/>
        </w:rPr>
        <w:t>.</w:t>
      </w:r>
    </w:p>
    <w:p w:rsidR="002431F7" w:rsidRPr="003C53F6" w:rsidRDefault="002431F7" w:rsidP="002431F7">
      <w:pPr>
        <w:rPr>
          <w:bCs/>
        </w:rPr>
      </w:pPr>
    </w:p>
    <w:p w:rsidR="002431F7" w:rsidRPr="003C53F6" w:rsidRDefault="002431F7" w:rsidP="00455455">
      <w:pPr>
        <w:numPr>
          <w:ilvl w:val="1"/>
          <w:numId w:val="2"/>
        </w:numPr>
        <w:rPr>
          <w:bCs/>
        </w:rPr>
      </w:pPr>
      <w:r w:rsidRPr="003C53F6">
        <w:rPr>
          <w:bCs/>
        </w:rPr>
        <w:t xml:space="preserve">The PBAC noted that this submission is eligible for an Independent Review. </w:t>
      </w:r>
    </w:p>
    <w:p w:rsidR="002431F7" w:rsidRPr="003C53F6" w:rsidRDefault="002431F7" w:rsidP="002431F7">
      <w:pPr>
        <w:rPr>
          <w:b/>
          <w:bCs/>
        </w:rPr>
      </w:pPr>
    </w:p>
    <w:p w:rsidR="002431F7" w:rsidRPr="003C53F6" w:rsidRDefault="002431F7" w:rsidP="002431F7">
      <w:pPr>
        <w:rPr>
          <w:b/>
          <w:bCs/>
        </w:rPr>
      </w:pPr>
      <w:r w:rsidRPr="003C53F6">
        <w:rPr>
          <w:b/>
          <w:bCs/>
        </w:rPr>
        <w:t>Outcome:</w:t>
      </w:r>
    </w:p>
    <w:p w:rsidR="002431F7" w:rsidRDefault="00455455" w:rsidP="002431F7">
      <w:pPr>
        <w:rPr>
          <w:bCs/>
        </w:rPr>
      </w:pPr>
      <w:r w:rsidRPr="003C53F6">
        <w:rPr>
          <w:bCs/>
        </w:rPr>
        <w:t>Rejected</w:t>
      </w:r>
    </w:p>
    <w:p w:rsidR="0058688F" w:rsidRDefault="0058688F" w:rsidP="002431F7">
      <w:pPr>
        <w:rPr>
          <w:bCs/>
        </w:rPr>
      </w:pPr>
    </w:p>
    <w:p w:rsidR="0058688F" w:rsidRPr="0058688F" w:rsidRDefault="0058688F" w:rsidP="00924E0A">
      <w:pPr>
        <w:pStyle w:val="Heading2"/>
      </w:pPr>
      <w:r w:rsidRPr="0058688F">
        <w:t>Context for Decision</w:t>
      </w:r>
    </w:p>
    <w:p w:rsidR="0058688F" w:rsidRDefault="0058688F" w:rsidP="0058688F">
      <w:pPr>
        <w:ind w:left="426"/>
      </w:pPr>
    </w:p>
    <w:p w:rsidR="0058688F" w:rsidRPr="0058688F" w:rsidRDefault="0058688F" w:rsidP="0058688F">
      <w:pPr>
        <w:ind w:left="720"/>
        <w:rPr>
          <w:bCs/>
        </w:rPr>
      </w:pPr>
      <w:r w:rsidRPr="0058688F">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8688F" w:rsidRDefault="0058688F" w:rsidP="0058688F">
      <w:pPr>
        <w:ind w:left="426"/>
      </w:pPr>
    </w:p>
    <w:p w:rsidR="0058688F" w:rsidRPr="0058688F" w:rsidRDefault="0058688F" w:rsidP="00924E0A">
      <w:pPr>
        <w:pStyle w:val="Heading2"/>
      </w:pPr>
      <w:r w:rsidRPr="0058688F">
        <w:t>Sponsor’s Comment</w:t>
      </w:r>
    </w:p>
    <w:p w:rsidR="0058688F" w:rsidRDefault="0058688F" w:rsidP="0058688F">
      <w:pPr>
        <w:ind w:left="720"/>
        <w:rPr>
          <w:bCs/>
        </w:rPr>
      </w:pPr>
    </w:p>
    <w:p w:rsidR="00924E0A" w:rsidRPr="0058688F" w:rsidRDefault="00924E0A" w:rsidP="0058688F">
      <w:pPr>
        <w:ind w:left="720"/>
        <w:rPr>
          <w:bCs/>
        </w:rPr>
      </w:pPr>
    </w:p>
    <w:p w:rsidR="0058688F" w:rsidRPr="003C53F6" w:rsidRDefault="006A10A0" w:rsidP="00E9062E">
      <w:pPr>
        <w:ind w:left="720"/>
        <w:rPr>
          <w:bCs/>
        </w:rPr>
      </w:pPr>
      <w:r w:rsidRPr="006A10A0">
        <w:rPr>
          <w:bCs/>
        </w:rPr>
        <w:t>The submission sought a listing consistent with the TGA indication, using the W</w:t>
      </w:r>
      <w:r w:rsidR="00A41BC9">
        <w:rPr>
          <w:bCs/>
        </w:rPr>
        <w:t>orld Hea</w:t>
      </w:r>
      <w:r w:rsidR="003A6B34">
        <w:rPr>
          <w:bCs/>
        </w:rPr>
        <w:t>l</w:t>
      </w:r>
      <w:r w:rsidR="00A41BC9">
        <w:rPr>
          <w:bCs/>
        </w:rPr>
        <w:t>th Organi</w:t>
      </w:r>
      <w:r w:rsidR="003A6B34">
        <w:rPr>
          <w:bCs/>
        </w:rPr>
        <w:t>z</w:t>
      </w:r>
      <w:r w:rsidR="00A41BC9">
        <w:rPr>
          <w:bCs/>
        </w:rPr>
        <w:t>ation (W</w:t>
      </w:r>
      <w:r w:rsidRPr="006A10A0">
        <w:rPr>
          <w:bCs/>
        </w:rPr>
        <w:t>HO</w:t>
      </w:r>
      <w:r w:rsidR="00A41BC9">
        <w:rPr>
          <w:bCs/>
        </w:rPr>
        <w:t>)</w:t>
      </w:r>
      <w:r w:rsidR="003A6B34">
        <w:rPr>
          <w:bCs/>
        </w:rPr>
        <w:t xml:space="preserve"> </w:t>
      </w:r>
      <w:r w:rsidRPr="006A10A0">
        <w:rPr>
          <w:bCs/>
        </w:rPr>
        <w:t xml:space="preserve">recommendation for </w:t>
      </w:r>
      <w:proofErr w:type="spellStart"/>
      <w:r w:rsidRPr="006A10A0">
        <w:rPr>
          <w:bCs/>
        </w:rPr>
        <w:t>PrEP</w:t>
      </w:r>
      <w:proofErr w:type="spellEnd"/>
      <w:r w:rsidRPr="006A10A0">
        <w:rPr>
          <w:bCs/>
        </w:rPr>
        <w:t xml:space="preserve"> suitability to identify the eligible population, but notes the PBAC’s considerations regarding defining the eligible population. The Sponsor is committed to working with the PBAC towards the future listing of </w:t>
      </w:r>
      <w:proofErr w:type="spellStart"/>
      <w:r w:rsidRPr="006A10A0">
        <w:rPr>
          <w:bCs/>
        </w:rPr>
        <w:t>Truvada</w:t>
      </w:r>
      <w:proofErr w:type="spellEnd"/>
      <w:r w:rsidRPr="006A10A0">
        <w:rPr>
          <w:bCs/>
        </w:rPr>
        <w:t xml:space="preserve"> for </w:t>
      </w:r>
      <w:proofErr w:type="spellStart"/>
      <w:r w:rsidRPr="006A10A0">
        <w:rPr>
          <w:bCs/>
        </w:rPr>
        <w:t>PrEP.</w:t>
      </w:r>
      <w:proofErr w:type="spellEnd"/>
    </w:p>
    <w:sectPr w:rsidR="0058688F" w:rsidRPr="003C53F6" w:rsidSect="00976C62">
      <w:headerReference w:type="even" r:id="rId8"/>
      <w:headerReference w:type="default" r:id="rId9"/>
      <w:footerReference w:type="even" r:id="rId10"/>
      <w:footerReference w:type="default" r:id="rId11"/>
      <w:headerReference w:type="first" r:id="rId12"/>
      <w:footerReference w:type="first" r:id="rId13"/>
      <w:type w:val="nextColumn"/>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CB3A95" w15:done="0"/>
  <w15:commentEx w15:paraId="46932EE3" w15:done="0"/>
  <w15:commentEx w15:paraId="177A8AA4" w15:done="0"/>
  <w15:commentEx w15:paraId="532576B1" w15:done="0"/>
  <w15:commentEx w15:paraId="5F473838" w15:done="0"/>
  <w15:commentEx w15:paraId="4A44A6F7" w15:done="0"/>
  <w15:commentEx w15:paraId="46C63D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0A" w:rsidRDefault="00924E0A" w:rsidP="00124A51">
      <w:r>
        <w:separator/>
      </w:r>
    </w:p>
  </w:endnote>
  <w:endnote w:type="continuationSeparator" w:id="0">
    <w:p w:rsidR="00924E0A" w:rsidRDefault="00924E0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0A" w:rsidRDefault="00924E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47827"/>
      <w:docPartObj>
        <w:docPartGallery w:val="Page Numbers (Bottom of Page)"/>
        <w:docPartUnique/>
      </w:docPartObj>
    </w:sdtPr>
    <w:sdtEndPr>
      <w:rPr>
        <w:noProof/>
      </w:rPr>
    </w:sdtEndPr>
    <w:sdtContent>
      <w:p w:rsidR="00924E0A" w:rsidRDefault="00924E0A">
        <w:pPr>
          <w:pStyle w:val="Footer"/>
          <w:jc w:val="center"/>
        </w:pPr>
      </w:p>
      <w:p w:rsidR="00924E0A" w:rsidRDefault="00924E0A">
        <w:pPr>
          <w:pStyle w:val="Footer"/>
          <w:jc w:val="center"/>
        </w:pPr>
        <w:r>
          <w:fldChar w:fldCharType="begin"/>
        </w:r>
        <w:r>
          <w:instrText xml:space="preserve"> PAGE   \* MERGEFORMAT </w:instrText>
        </w:r>
        <w:r>
          <w:fldChar w:fldCharType="separate"/>
        </w:r>
        <w:r w:rsidR="006B7196">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0A" w:rsidRDefault="00924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0A" w:rsidRDefault="00924E0A" w:rsidP="00124A51">
      <w:r>
        <w:separator/>
      </w:r>
    </w:p>
  </w:footnote>
  <w:footnote w:type="continuationSeparator" w:id="0">
    <w:p w:rsidR="00924E0A" w:rsidRDefault="00924E0A" w:rsidP="00124A51">
      <w:r>
        <w:continuationSeparator/>
      </w:r>
    </w:p>
  </w:footnote>
  <w:footnote w:id="1">
    <w:p w:rsidR="00924E0A" w:rsidRPr="002F2170" w:rsidRDefault="00924E0A" w:rsidP="002F2170">
      <w:pPr>
        <w:widowControl/>
        <w:autoSpaceDE w:val="0"/>
        <w:autoSpaceDN w:val="0"/>
        <w:adjustRightInd w:val="0"/>
        <w:jc w:val="left"/>
        <w:rPr>
          <w:rFonts w:ascii="Arial Narrow" w:hAnsi="Arial Narrow"/>
          <w:sz w:val="20"/>
        </w:rPr>
      </w:pPr>
      <w:r>
        <w:rPr>
          <w:rStyle w:val="FootnoteReference"/>
        </w:rPr>
        <w:footnoteRef/>
      </w:r>
      <w:r>
        <w:t xml:space="preserve"> </w:t>
      </w:r>
      <w:proofErr w:type="gramStart"/>
      <w:r w:rsidRPr="002F2170">
        <w:rPr>
          <w:rFonts w:ascii="Arial Narrow" w:hAnsi="Arial Narrow"/>
          <w:sz w:val="20"/>
        </w:rPr>
        <w:t>The Kirby Institute.</w:t>
      </w:r>
      <w:proofErr w:type="gramEnd"/>
      <w:r w:rsidRPr="002F2170">
        <w:rPr>
          <w:rFonts w:ascii="Arial Narrow" w:hAnsi="Arial Narrow"/>
          <w:sz w:val="20"/>
        </w:rPr>
        <w:t xml:space="preserve"> </w:t>
      </w:r>
      <w:proofErr w:type="gramStart"/>
      <w:r w:rsidRPr="002F2170">
        <w:rPr>
          <w:rFonts w:ascii="Arial Narrow" w:hAnsi="Arial Narrow"/>
          <w:sz w:val="20"/>
        </w:rPr>
        <w:t>HIV, viral hepatitis and sexually transmissible infections in Australia Annual Surveillance Report 2014 HIV Supplement.</w:t>
      </w:r>
      <w:proofErr w:type="gramEnd"/>
      <w:r w:rsidRPr="002F2170">
        <w:rPr>
          <w:rFonts w:ascii="Arial Narrow" w:hAnsi="Arial Narrow"/>
          <w:sz w:val="20"/>
        </w:rPr>
        <w:t xml:space="preserve"> The Kirby Institute, UNSW, NSW 2052</w:t>
      </w:r>
    </w:p>
  </w:footnote>
  <w:footnote w:id="2">
    <w:p w:rsidR="00924E0A" w:rsidRPr="002F2170" w:rsidRDefault="00924E0A" w:rsidP="000F656C">
      <w:pPr>
        <w:pStyle w:val="FootnoteText"/>
        <w:rPr>
          <w:rFonts w:ascii="Arial Narrow" w:hAnsi="Arial Narrow"/>
        </w:rPr>
      </w:pPr>
      <w:r>
        <w:rPr>
          <w:rStyle w:val="FootnoteReference"/>
        </w:rPr>
        <w:footnoteRef/>
      </w:r>
      <w:r>
        <w:t xml:space="preserve"> </w:t>
      </w:r>
      <w:proofErr w:type="gramStart"/>
      <w:r w:rsidRPr="002F2170">
        <w:rPr>
          <w:rFonts w:ascii="Arial Narrow" w:hAnsi="Arial Narrow"/>
        </w:rPr>
        <w:t xml:space="preserve">Schneider K, </w:t>
      </w:r>
      <w:proofErr w:type="spellStart"/>
      <w:r w:rsidRPr="002F2170">
        <w:rPr>
          <w:rFonts w:ascii="Arial Narrow" w:hAnsi="Arial Narrow"/>
        </w:rPr>
        <w:t>Gray</w:t>
      </w:r>
      <w:proofErr w:type="spellEnd"/>
      <w:r w:rsidRPr="002F2170">
        <w:rPr>
          <w:rFonts w:ascii="Arial Narrow" w:hAnsi="Arial Narrow"/>
        </w:rPr>
        <w:t xml:space="preserve"> RT, Wilson DP.</w:t>
      </w:r>
      <w:proofErr w:type="gramEnd"/>
      <w:r w:rsidRPr="002F2170">
        <w:rPr>
          <w:rFonts w:ascii="Arial Narrow" w:hAnsi="Arial Narrow"/>
        </w:rPr>
        <w:t xml:space="preserve"> </w:t>
      </w:r>
      <w:proofErr w:type="gramStart"/>
      <w:r w:rsidRPr="002F2170">
        <w:rPr>
          <w:rFonts w:ascii="Arial Narrow" w:hAnsi="Arial Narrow"/>
        </w:rPr>
        <w:t xml:space="preserve">A cost-effectiveness analysis of HIV </w:t>
      </w:r>
      <w:proofErr w:type="spellStart"/>
      <w:r w:rsidRPr="002F2170">
        <w:rPr>
          <w:rFonts w:ascii="Arial Narrow" w:hAnsi="Arial Narrow"/>
        </w:rPr>
        <w:t>preexposure</w:t>
      </w:r>
      <w:proofErr w:type="spellEnd"/>
      <w:r w:rsidRPr="002F2170">
        <w:rPr>
          <w:rFonts w:ascii="Arial Narrow" w:hAnsi="Arial Narrow"/>
        </w:rPr>
        <w:t xml:space="preserve"> prophylaxis for men who have sex with men in</w:t>
      </w:r>
      <w:r>
        <w:rPr>
          <w:rFonts w:ascii="Arial Narrow" w:hAnsi="Arial Narrow"/>
        </w:rPr>
        <w:t xml:space="preserve"> </w:t>
      </w:r>
      <w:r w:rsidRPr="002F2170">
        <w:rPr>
          <w:rFonts w:ascii="Arial Narrow" w:hAnsi="Arial Narrow"/>
        </w:rPr>
        <w:t>Australia.</w:t>
      </w:r>
      <w:proofErr w:type="gramEnd"/>
      <w:r w:rsidRPr="002F2170">
        <w:rPr>
          <w:rFonts w:ascii="Arial Narrow" w:hAnsi="Arial Narrow"/>
        </w:rPr>
        <w:t xml:space="preserve"> </w:t>
      </w:r>
      <w:proofErr w:type="spellStart"/>
      <w:r w:rsidRPr="002F2170">
        <w:rPr>
          <w:rFonts w:ascii="Arial Narrow" w:hAnsi="Arial Narrow"/>
        </w:rPr>
        <w:t>Clin</w:t>
      </w:r>
      <w:proofErr w:type="spellEnd"/>
      <w:r w:rsidRPr="002F2170">
        <w:rPr>
          <w:rFonts w:ascii="Arial Narrow" w:hAnsi="Arial Narrow"/>
        </w:rPr>
        <w:t xml:space="preserve"> Infect Dis 2014; 58:1027–34.</w:t>
      </w:r>
    </w:p>
  </w:footnote>
  <w:footnote w:id="3">
    <w:p w:rsidR="00924E0A" w:rsidRDefault="00924E0A" w:rsidP="00496EE3">
      <w:pPr>
        <w:pStyle w:val="FootnoteText"/>
      </w:pPr>
      <w:r w:rsidRPr="00BE60DB">
        <w:rPr>
          <w:rFonts w:ascii="Arial Narrow" w:hAnsi="Arial Narrow"/>
          <w:vertAlign w:val="superscript"/>
        </w:rPr>
        <w:footnoteRef/>
      </w:r>
      <w:r w:rsidRPr="00BE60DB">
        <w:rPr>
          <w:rFonts w:ascii="Arial Narrow" w:hAnsi="Arial Narrow"/>
        </w:rPr>
        <w:t xml:space="preserve"> J.-M. Molina, C. </w:t>
      </w:r>
      <w:proofErr w:type="spellStart"/>
      <w:r w:rsidRPr="00BE60DB">
        <w:rPr>
          <w:rFonts w:ascii="Arial Narrow" w:hAnsi="Arial Narrow"/>
        </w:rPr>
        <w:t>Capitant</w:t>
      </w:r>
      <w:proofErr w:type="spellEnd"/>
      <w:r w:rsidRPr="00BE60DB">
        <w:rPr>
          <w:rFonts w:ascii="Arial Narrow" w:hAnsi="Arial Narrow"/>
        </w:rPr>
        <w:t xml:space="preserve">, B. Spire et al. (2015) On-Demand </w:t>
      </w:r>
      <w:proofErr w:type="spellStart"/>
      <w:r w:rsidRPr="00BE60DB">
        <w:rPr>
          <w:rFonts w:ascii="Arial Narrow" w:hAnsi="Arial Narrow"/>
        </w:rPr>
        <w:t>Preexposure</w:t>
      </w:r>
      <w:proofErr w:type="spellEnd"/>
      <w:r w:rsidRPr="00BE60DB">
        <w:rPr>
          <w:rFonts w:ascii="Arial Narrow" w:hAnsi="Arial Narrow"/>
        </w:rPr>
        <w:t xml:space="preserve"> Prophylaxis in Men at High Risk for HIV-1 Infection. N </w:t>
      </w:r>
      <w:proofErr w:type="spellStart"/>
      <w:r w:rsidRPr="00BE60DB">
        <w:rPr>
          <w:rFonts w:ascii="Arial Narrow" w:hAnsi="Arial Narrow"/>
        </w:rPr>
        <w:t>Engl</w:t>
      </w:r>
      <w:proofErr w:type="spellEnd"/>
      <w:r w:rsidRPr="00BE60DB">
        <w:rPr>
          <w:rFonts w:ascii="Arial Narrow" w:hAnsi="Arial Narrow"/>
        </w:rPr>
        <w:t xml:space="preserve"> J Med 373:2237-46.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0A" w:rsidRDefault="00924E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0A" w:rsidRPr="00DF217D" w:rsidRDefault="00924E0A" w:rsidP="00974601">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924E0A" w:rsidRPr="00974601" w:rsidRDefault="00924E0A" w:rsidP="009746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0A" w:rsidRDefault="00924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6C2AFE"/>
    <w:multiLevelType w:val="hybridMultilevel"/>
    <w:tmpl w:val="150E0976"/>
    <w:lvl w:ilvl="0" w:tplc="82264F6C">
      <w:start w:val="1"/>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9A7E2F"/>
    <w:multiLevelType w:val="hybridMultilevel"/>
    <w:tmpl w:val="475873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2CA297D"/>
    <w:multiLevelType w:val="multilevel"/>
    <w:tmpl w:val="8BF81E32"/>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108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80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9930BDB"/>
    <w:multiLevelType w:val="hybridMultilevel"/>
    <w:tmpl w:val="120EE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E1E3B3A"/>
    <w:multiLevelType w:val="hybridMultilevel"/>
    <w:tmpl w:val="DED8B7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E5C2069"/>
    <w:multiLevelType w:val="hybridMultilevel"/>
    <w:tmpl w:val="0CE2AA64"/>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nsid w:val="3FBC5DE8"/>
    <w:multiLevelType w:val="hybridMultilevel"/>
    <w:tmpl w:val="3D7C34B4"/>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6450BF"/>
    <w:multiLevelType w:val="hybridMultilevel"/>
    <w:tmpl w:val="EC784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3">
    <w:nsid w:val="53EA6FF6"/>
    <w:multiLevelType w:val="hybridMultilevel"/>
    <w:tmpl w:val="20DE4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6D44BD0"/>
    <w:multiLevelType w:val="hybridMultilevel"/>
    <w:tmpl w:val="DC067A16"/>
    <w:lvl w:ilvl="0" w:tplc="0A20E8D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9573724"/>
    <w:multiLevelType w:val="hybridMultilevel"/>
    <w:tmpl w:val="4992E4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5DF84C85"/>
    <w:multiLevelType w:val="hybridMultilevel"/>
    <w:tmpl w:val="B0262F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E1E706F"/>
    <w:multiLevelType w:val="hybridMultilevel"/>
    <w:tmpl w:val="61508F60"/>
    <w:lvl w:ilvl="0" w:tplc="0A20E8DA">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60084FBF"/>
    <w:multiLevelType w:val="hybridMultilevel"/>
    <w:tmpl w:val="14844AE0"/>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6E3C05"/>
    <w:multiLevelType w:val="hybridMultilevel"/>
    <w:tmpl w:val="8CA28E54"/>
    <w:lvl w:ilvl="0" w:tplc="82264F6C">
      <w:start w:val="1"/>
      <w:numFmt w:val="bullet"/>
      <w:lvlText w:val="-"/>
      <w:lvlJc w:val="left"/>
      <w:pPr>
        <w:ind w:left="1769" w:hanging="360"/>
      </w:pPr>
      <w:rPr>
        <w:rFonts w:ascii="Arial" w:eastAsia="Times New Roman" w:hAnsi="Arial" w:cs="Arial" w:hint="default"/>
      </w:rPr>
    </w:lvl>
    <w:lvl w:ilvl="1" w:tplc="0C090003" w:tentative="1">
      <w:start w:val="1"/>
      <w:numFmt w:val="bullet"/>
      <w:lvlText w:val="o"/>
      <w:lvlJc w:val="left"/>
      <w:pPr>
        <w:ind w:left="2489" w:hanging="360"/>
      </w:pPr>
      <w:rPr>
        <w:rFonts w:ascii="Courier New" w:hAnsi="Courier New" w:cs="Courier New" w:hint="default"/>
      </w:rPr>
    </w:lvl>
    <w:lvl w:ilvl="2" w:tplc="0C090005" w:tentative="1">
      <w:start w:val="1"/>
      <w:numFmt w:val="bullet"/>
      <w:lvlText w:val=""/>
      <w:lvlJc w:val="left"/>
      <w:pPr>
        <w:ind w:left="3209" w:hanging="360"/>
      </w:pPr>
      <w:rPr>
        <w:rFonts w:ascii="Wingdings" w:hAnsi="Wingdings" w:hint="default"/>
      </w:rPr>
    </w:lvl>
    <w:lvl w:ilvl="3" w:tplc="0C090001" w:tentative="1">
      <w:start w:val="1"/>
      <w:numFmt w:val="bullet"/>
      <w:lvlText w:val=""/>
      <w:lvlJc w:val="left"/>
      <w:pPr>
        <w:ind w:left="3929" w:hanging="360"/>
      </w:pPr>
      <w:rPr>
        <w:rFonts w:ascii="Symbol" w:hAnsi="Symbol" w:hint="default"/>
      </w:rPr>
    </w:lvl>
    <w:lvl w:ilvl="4" w:tplc="0C090003" w:tentative="1">
      <w:start w:val="1"/>
      <w:numFmt w:val="bullet"/>
      <w:lvlText w:val="o"/>
      <w:lvlJc w:val="left"/>
      <w:pPr>
        <w:ind w:left="4649" w:hanging="360"/>
      </w:pPr>
      <w:rPr>
        <w:rFonts w:ascii="Courier New" w:hAnsi="Courier New" w:cs="Courier New" w:hint="default"/>
      </w:rPr>
    </w:lvl>
    <w:lvl w:ilvl="5" w:tplc="0C090005" w:tentative="1">
      <w:start w:val="1"/>
      <w:numFmt w:val="bullet"/>
      <w:lvlText w:val=""/>
      <w:lvlJc w:val="left"/>
      <w:pPr>
        <w:ind w:left="5369" w:hanging="360"/>
      </w:pPr>
      <w:rPr>
        <w:rFonts w:ascii="Wingdings" w:hAnsi="Wingdings" w:hint="default"/>
      </w:rPr>
    </w:lvl>
    <w:lvl w:ilvl="6" w:tplc="0C090001" w:tentative="1">
      <w:start w:val="1"/>
      <w:numFmt w:val="bullet"/>
      <w:lvlText w:val=""/>
      <w:lvlJc w:val="left"/>
      <w:pPr>
        <w:ind w:left="6089" w:hanging="360"/>
      </w:pPr>
      <w:rPr>
        <w:rFonts w:ascii="Symbol" w:hAnsi="Symbol" w:hint="default"/>
      </w:rPr>
    </w:lvl>
    <w:lvl w:ilvl="7" w:tplc="0C090003" w:tentative="1">
      <w:start w:val="1"/>
      <w:numFmt w:val="bullet"/>
      <w:lvlText w:val="o"/>
      <w:lvlJc w:val="left"/>
      <w:pPr>
        <w:ind w:left="6809" w:hanging="360"/>
      </w:pPr>
      <w:rPr>
        <w:rFonts w:ascii="Courier New" w:hAnsi="Courier New" w:cs="Courier New" w:hint="default"/>
      </w:rPr>
    </w:lvl>
    <w:lvl w:ilvl="8" w:tplc="0C090005" w:tentative="1">
      <w:start w:val="1"/>
      <w:numFmt w:val="bullet"/>
      <w:lvlText w:val=""/>
      <w:lvlJc w:val="left"/>
      <w:pPr>
        <w:ind w:left="7529" w:hanging="360"/>
      </w:pPr>
      <w:rPr>
        <w:rFonts w:ascii="Wingdings" w:hAnsi="Wingdings" w:hint="default"/>
      </w:rPr>
    </w:lvl>
  </w:abstractNum>
  <w:abstractNum w:abstractNumId="21">
    <w:nsid w:val="70176BC3"/>
    <w:multiLevelType w:val="hybridMultilevel"/>
    <w:tmpl w:val="C5B898B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nsid w:val="74122E34"/>
    <w:multiLevelType w:val="hybridMultilevel"/>
    <w:tmpl w:val="654EFCD8"/>
    <w:lvl w:ilvl="0" w:tplc="0A20E8DA">
      <w:start w:val="1"/>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3">
    <w:nsid w:val="784D033C"/>
    <w:multiLevelType w:val="multilevel"/>
    <w:tmpl w:val="4DFC566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9EF18A9"/>
    <w:multiLevelType w:val="hybridMultilevel"/>
    <w:tmpl w:val="96746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D3C28E1"/>
    <w:multiLevelType w:val="hybridMultilevel"/>
    <w:tmpl w:val="B096FDA2"/>
    <w:lvl w:ilvl="0" w:tplc="0A20E8DA">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5"/>
  </w:num>
  <w:num w:numId="4">
    <w:abstractNumId w:val="12"/>
  </w:num>
  <w:num w:numId="5">
    <w:abstractNumId w:val="19"/>
  </w:num>
  <w:num w:numId="6">
    <w:abstractNumId w:val="21"/>
  </w:num>
  <w:num w:numId="7">
    <w:abstractNumId w:val="6"/>
  </w:num>
  <w:num w:numId="8">
    <w:abstractNumId w:val="9"/>
  </w:num>
  <w:num w:numId="9">
    <w:abstractNumId w:val="10"/>
  </w:num>
  <w:num w:numId="10">
    <w:abstractNumId w:val="17"/>
  </w:num>
  <w:num w:numId="11">
    <w:abstractNumId w:val="8"/>
  </w:num>
  <w:num w:numId="12">
    <w:abstractNumId w:val="16"/>
  </w:num>
  <w:num w:numId="13">
    <w:abstractNumId w:val="7"/>
  </w:num>
  <w:num w:numId="14">
    <w:abstractNumId w:val="24"/>
  </w:num>
  <w:num w:numId="15">
    <w:abstractNumId w:val="15"/>
  </w:num>
  <w:num w:numId="16">
    <w:abstractNumId w:val="11"/>
  </w:num>
  <w:num w:numId="17">
    <w:abstractNumId w:val="14"/>
  </w:num>
  <w:num w:numId="18">
    <w:abstractNumId w:val="3"/>
  </w:num>
  <w:num w:numId="19">
    <w:abstractNumId w:val="0"/>
  </w:num>
  <w:num w:numId="20">
    <w:abstractNumId w:val="5"/>
  </w:num>
  <w:num w:numId="21">
    <w:abstractNumId w:val="23"/>
  </w:num>
  <w:num w:numId="22">
    <w:abstractNumId w:val="4"/>
  </w:num>
  <w:num w:numId="23">
    <w:abstractNumId w:val="18"/>
  </w:num>
  <w:num w:numId="24">
    <w:abstractNumId w:val="22"/>
  </w:num>
  <w:num w:numId="25">
    <w:abstractNumId w:val="13"/>
  </w:num>
  <w:num w:numId="26">
    <w:abstractNumId w:val="1"/>
  </w:num>
  <w:num w:numId="27">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F3A"/>
    <w:rsid w:val="0000110B"/>
    <w:rsid w:val="00001F73"/>
    <w:rsid w:val="0000260C"/>
    <w:rsid w:val="00003499"/>
    <w:rsid w:val="00003C28"/>
    <w:rsid w:val="00006B61"/>
    <w:rsid w:val="00011479"/>
    <w:rsid w:val="00012F57"/>
    <w:rsid w:val="00013247"/>
    <w:rsid w:val="00015886"/>
    <w:rsid w:val="00015CA4"/>
    <w:rsid w:val="000162EF"/>
    <w:rsid w:val="000164D6"/>
    <w:rsid w:val="000165CB"/>
    <w:rsid w:val="0001763E"/>
    <w:rsid w:val="00021023"/>
    <w:rsid w:val="0002225F"/>
    <w:rsid w:val="00023763"/>
    <w:rsid w:val="00024F3F"/>
    <w:rsid w:val="00027726"/>
    <w:rsid w:val="00030E51"/>
    <w:rsid w:val="00031C29"/>
    <w:rsid w:val="0003452F"/>
    <w:rsid w:val="00040895"/>
    <w:rsid w:val="00043C37"/>
    <w:rsid w:val="000451D1"/>
    <w:rsid w:val="000458E0"/>
    <w:rsid w:val="000463D5"/>
    <w:rsid w:val="00047F10"/>
    <w:rsid w:val="00047FD9"/>
    <w:rsid w:val="00051A30"/>
    <w:rsid w:val="000523BE"/>
    <w:rsid w:val="000530A9"/>
    <w:rsid w:val="0005402E"/>
    <w:rsid w:val="000546D7"/>
    <w:rsid w:val="00060D82"/>
    <w:rsid w:val="00062094"/>
    <w:rsid w:val="000625B9"/>
    <w:rsid w:val="00063320"/>
    <w:rsid w:val="000643E9"/>
    <w:rsid w:val="000652E3"/>
    <w:rsid w:val="00065633"/>
    <w:rsid w:val="00066369"/>
    <w:rsid w:val="000711A3"/>
    <w:rsid w:val="00071248"/>
    <w:rsid w:val="000720B9"/>
    <w:rsid w:val="00072BD4"/>
    <w:rsid w:val="000749C9"/>
    <w:rsid w:val="000757EF"/>
    <w:rsid w:val="000768A0"/>
    <w:rsid w:val="000812CA"/>
    <w:rsid w:val="0008132B"/>
    <w:rsid w:val="0008330B"/>
    <w:rsid w:val="0008369B"/>
    <w:rsid w:val="00084810"/>
    <w:rsid w:val="00085D85"/>
    <w:rsid w:val="000867BA"/>
    <w:rsid w:val="000869C4"/>
    <w:rsid w:val="00090C7E"/>
    <w:rsid w:val="00091866"/>
    <w:rsid w:val="0009344D"/>
    <w:rsid w:val="00095676"/>
    <w:rsid w:val="000963C5"/>
    <w:rsid w:val="000A0C4D"/>
    <w:rsid w:val="000A0F3E"/>
    <w:rsid w:val="000A187E"/>
    <w:rsid w:val="000A1E39"/>
    <w:rsid w:val="000A2113"/>
    <w:rsid w:val="000A3F08"/>
    <w:rsid w:val="000A4CD7"/>
    <w:rsid w:val="000A5085"/>
    <w:rsid w:val="000A7441"/>
    <w:rsid w:val="000B10D6"/>
    <w:rsid w:val="000B2301"/>
    <w:rsid w:val="000B4656"/>
    <w:rsid w:val="000B6358"/>
    <w:rsid w:val="000B63BC"/>
    <w:rsid w:val="000B700E"/>
    <w:rsid w:val="000B7B39"/>
    <w:rsid w:val="000B7F65"/>
    <w:rsid w:val="000C0951"/>
    <w:rsid w:val="000C3167"/>
    <w:rsid w:val="000C3E50"/>
    <w:rsid w:val="000C498F"/>
    <w:rsid w:val="000C73E3"/>
    <w:rsid w:val="000D1BFC"/>
    <w:rsid w:val="000D291C"/>
    <w:rsid w:val="000D35C3"/>
    <w:rsid w:val="000D3DEA"/>
    <w:rsid w:val="000D501D"/>
    <w:rsid w:val="000D662D"/>
    <w:rsid w:val="000E2E05"/>
    <w:rsid w:val="000E3983"/>
    <w:rsid w:val="000E4637"/>
    <w:rsid w:val="000E54D5"/>
    <w:rsid w:val="000E5C18"/>
    <w:rsid w:val="000F02E4"/>
    <w:rsid w:val="000F2969"/>
    <w:rsid w:val="000F29ED"/>
    <w:rsid w:val="000F4403"/>
    <w:rsid w:val="000F4BB8"/>
    <w:rsid w:val="000F5F4B"/>
    <w:rsid w:val="000F6061"/>
    <w:rsid w:val="000F656C"/>
    <w:rsid w:val="000F7127"/>
    <w:rsid w:val="00100F8A"/>
    <w:rsid w:val="00102777"/>
    <w:rsid w:val="00106EB7"/>
    <w:rsid w:val="0011032E"/>
    <w:rsid w:val="001123D2"/>
    <w:rsid w:val="0011348B"/>
    <w:rsid w:val="00117B29"/>
    <w:rsid w:val="00117B9F"/>
    <w:rsid w:val="00117E14"/>
    <w:rsid w:val="00121475"/>
    <w:rsid w:val="00121799"/>
    <w:rsid w:val="001222FC"/>
    <w:rsid w:val="00123EA0"/>
    <w:rsid w:val="00124A51"/>
    <w:rsid w:val="00126621"/>
    <w:rsid w:val="00127DF3"/>
    <w:rsid w:val="001301E9"/>
    <w:rsid w:val="0013202D"/>
    <w:rsid w:val="0013328C"/>
    <w:rsid w:val="00137645"/>
    <w:rsid w:val="0014015A"/>
    <w:rsid w:val="00140E99"/>
    <w:rsid w:val="0014407D"/>
    <w:rsid w:val="00144BA6"/>
    <w:rsid w:val="00145540"/>
    <w:rsid w:val="001456B0"/>
    <w:rsid w:val="00146043"/>
    <w:rsid w:val="00150D3D"/>
    <w:rsid w:val="00150DE6"/>
    <w:rsid w:val="00153D60"/>
    <w:rsid w:val="0015633C"/>
    <w:rsid w:val="00157130"/>
    <w:rsid w:val="00157478"/>
    <w:rsid w:val="0016018B"/>
    <w:rsid w:val="00160AD4"/>
    <w:rsid w:val="0016118D"/>
    <w:rsid w:val="00161687"/>
    <w:rsid w:val="00162913"/>
    <w:rsid w:val="00163C51"/>
    <w:rsid w:val="00163C62"/>
    <w:rsid w:val="00163EFF"/>
    <w:rsid w:val="00163F2E"/>
    <w:rsid w:val="00164DCD"/>
    <w:rsid w:val="001661FB"/>
    <w:rsid w:val="00166D78"/>
    <w:rsid w:val="00166DBE"/>
    <w:rsid w:val="00170F24"/>
    <w:rsid w:val="001740A5"/>
    <w:rsid w:val="0017442A"/>
    <w:rsid w:val="00175995"/>
    <w:rsid w:val="00177923"/>
    <w:rsid w:val="00181EE2"/>
    <w:rsid w:val="00182EE2"/>
    <w:rsid w:val="001844FE"/>
    <w:rsid w:val="00185246"/>
    <w:rsid w:val="0018752F"/>
    <w:rsid w:val="0019035C"/>
    <w:rsid w:val="00191833"/>
    <w:rsid w:val="001928E4"/>
    <w:rsid w:val="0019389C"/>
    <w:rsid w:val="001948F8"/>
    <w:rsid w:val="00194D54"/>
    <w:rsid w:val="00194F71"/>
    <w:rsid w:val="00195222"/>
    <w:rsid w:val="00195814"/>
    <w:rsid w:val="00195916"/>
    <w:rsid w:val="00196056"/>
    <w:rsid w:val="00197219"/>
    <w:rsid w:val="001975D8"/>
    <w:rsid w:val="001A1C11"/>
    <w:rsid w:val="001A1DBB"/>
    <w:rsid w:val="001A4357"/>
    <w:rsid w:val="001A49B5"/>
    <w:rsid w:val="001B0CEF"/>
    <w:rsid w:val="001B1EF9"/>
    <w:rsid w:val="001B3443"/>
    <w:rsid w:val="001B5E9C"/>
    <w:rsid w:val="001C0948"/>
    <w:rsid w:val="001C229D"/>
    <w:rsid w:val="001C2B1E"/>
    <w:rsid w:val="001C2C6C"/>
    <w:rsid w:val="001C2E41"/>
    <w:rsid w:val="001C4DD4"/>
    <w:rsid w:val="001C58A3"/>
    <w:rsid w:val="001C5A56"/>
    <w:rsid w:val="001C6B0F"/>
    <w:rsid w:val="001C6E66"/>
    <w:rsid w:val="001C72E0"/>
    <w:rsid w:val="001D053A"/>
    <w:rsid w:val="001D0EFD"/>
    <w:rsid w:val="001D13DE"/>
    <w:rsid w:val="001D181D"/>
    <w:rsid w:val="001D374E"/>
    <w:rsid w:val="001D4AE1"/>
    <w:rsid w:val="001E1464"/>
    <w:rsid w:val="001E238E"/>
    <w:rsid w:val="001E2B1E"/>
    <w:rsid w:val="001E47E3"/>
    <w:rsid w:val="001E52EB"/>
    <w:rsid w:val="001E5A57"/>
    <w:rsid w:val="001E7173"/>
    <w:rsid w:val="001E740C"/>
    <w:rsid w:val="001E7938"/>
    <w:rsid w:val="001F1235"/>
    <w:rsid w:val="001F1CB3"/>
    <w:rsid w:val="001F6F85"/>
    <w:rsid w:val="001F7361"/>
    <w:rsid w:val="00200DC1"/>
    <w:rsid w:val="0020385F"/>
    <w:rsid w:val="00204C2D"/>
    <w:rsid w:val="0020505C"/>
    <w:rsid w:val="00205C5A"/>
    <w:rsid w:val="0020610A"/>
    <w:rsid w:val="00207021"/>
    <w:rsid w:val="00207D00"/>
    <w:rsid w:val="002105C1"/>
    <w:rsid w:val="00211312"/>
    <w:rsid w:val="00211334"/>
    <w:rsid w:val="0021221B"/>
    <w:rsid w:val="0021221F"/>
    <w:rsid w:val="00212FCF"/>
    <w:rsid w:val="0021374E"/>
    <w:rsid w:val="00213CE7"/>
    <w:rsid w:val="00213E2E"/>
    <w:rsid w:val="002156EF"/>
    <w:rsid w:val="0021575A"/>
    <w:rsid w:val="0021675D"/>
    <w:rsid w:val="002174B8"/>
    <w:rsid w:val="00217EBC"/>
    <w:rsid w:val="0022171B"/>
    <w:rsid w:val="0022219A"/>
    <w:rsid w:val="00222B8E"/>
    <w:rsid w:val="00223B49"/>
    <w:rsid w:val="00224B35"/>
    <w:rsid w:val="00224DD4"/>
    <w:rsid w:val="0022501E"/>
    <w:rsid w:val="0022751C"/>
    <w:rsid w:val="0023064A"/>
    <w:rsid w:val="002309CC"/>
    <w:rsid w:val="00230ACE"/>
    <w:rsid w:val="00230E1F"/>
    <w:rsid w:val="00232DAB"/>
    <w:rsid w:val="00232E08"/>
    <w:rsid w:val="0023473E"/>
    <w:rsid w:val="00234E10"/>
    <w:rsid w:val="00235742"/>
    <w:rsid w:val="002358D5"/>
    <w:rsid w:val="00236620"/>
    <w:rsid w:val="00236D14"/>
    <w:rsid w:val="0024099D"/>
    <w:rsid w:val="00241504"/>
    <w:rsid w:val="00241605"/>
    <w:rsid w:val="002431F7"/>
    <w:rsid w:val="0024379A"/>
    <w:rsid w:val="00245C54"/>
    <w:rsid w:val="00246B17"/>
    <w:rsid w:val="0024778D"/>
    <w:rsid w:val="0025059F"/>
    <w:rsid w:val="00250C4C"/>
    <w:rsid w:val="002544CF"/>
    <w:rsid w:val="002547F7"/>
    <w:rsid w:val="00254DCF"/>
    <w:rsid w:val="0025534B"/>
    <w:rsid w:val="00255BB7"/>
    <w:rsid w:val="00257D26"/>
    <w:rsid w:val="002601D8"/>
    <w:rsid w:val="00261A2A"/>
    <w:rsid w:val="0026219E"/>
    <w:rsid w:val="00262A87"/>
    <w:rsid w:val="00266360"/>
    <w:rsid w:val="0026650F"/>
    <w:rsid w:val="0026652A"/>
    <w:rsid w:val="0027069E"/>
    <w:rsid w:val="00270D14"/>
    <w:rsid w:val="002715EA"/>
    <w:rsid w:val="002718F9"/>
    <w:rsid w:val="00271A55"/>
    <w:rsid w:val="00273234"/>
    <w:rsid w:val="0027444E"/>
    <w:rsid w:val="00275C5A"/>
    <w:rsid w:val="00276635"/>
    <w:rsid w:val="00276D84"/>
    <w:rsid w:val="00277375"/>
    <w:rsid w:val="00280685"/>
    <w:rsid w:val="002807DE"/>
    <w:rsid w:val="002807F3"/>
    <w:rsid w:val="00281014"/>
    <w:rsid w:val="00283B3D"/>
    <w:rsid w:val="00284F6B"/>
    <w:rsid w:val="00287673"/>
    <w:rsid w:val="002917A9"/>
    <w:rsid w:val="002918CB"/>
    <w:rsid w:val="0029190A"/>
    <w:rsid w:val="0029389E"/>
    <w:rsid w:val="002A0543"/>
    <w:rsid w:val="002A14AB"/>
    <w:rsid w:val="002A1567"/>
    <w:rsid w:val="002A15EF"/>
    <w:rsid w:val="002A7960"/>
    <w:rsid w:val="002B0045"/>
    <w:rsid w:val="002B144A"/>
    <w:rsid w:val="002B15A4"/>
    <w:rsid w:val="002B1729"/>
    <w:rsid w:val="002B1C1F"/>
    <w:rsid w:val="002B33BD"/>
    <w:rsid w:val="002B3929"/>
    <w:rsid w:val="002B432F"/>
    <w:rsid w:val="002B670C"/>
    <w:rsid w:val="002B6CCE"/>
    <w:rsid w:val="002C223B"/>
    <w:rsid w:val="002C2775"/>
    <w:rsid w:val="002C2776"/>
    <w:rsid w:val="002C27C1"/>
    <w:rsid w:val="002C3008"/>
    <w:rsid w:val="002C323A"/>
    <w:rsid w:val="002C3976"/>
    <w:rsid w:val="002C4CED"/>
    <w:rsid w:val="002C6848"/>
    <w:rsid w:val="002C732A"/>
    <w:rsid w:val="002D0AA3"/>
    <w:rsid w:val="002D38E3"/>
    <w:rsid w:val="002D59B6"/>
    <w:rsid w:val="002D608D"/>
    <w:rsid w:val="002D780B"/>
    <w:rsid w:val="002E1225"/>
    <w:rsid w:val="002E1CB2"/>
    <w:rsid w:val="002E3BDF"/>
    <w:rsid w:val="002E53B4"/>
    <w:rsid w:val="002E5EBF"/>
    <w:rsid w:val="002E7F99"/>
    <w:rsid w:val="002F04D6"/>
    <w:rsid w:val="002F2170"/>
    <w:rsid w:val="002F40BA"/>
    <w:rsid w:val="002F4662"/>
    <w:rsid w:val="002F56D2"/>
    <w:rsid w:val="002F774D"/>
    <w:rsid w:val="00301017"/>
    <w:rsid w:val="003028C9"/>
    <w:rsid w:val="003049A5"/>
    <w:rsid w:val="0030516A"/>
    <w:rsid w:val="00307443"/>
    <w:rsid w:val="0030786C"/>
    <w:rsid w:val="00310070"/>
    <w:rsid w:val="0031031A"/>
    <w:rsid w:val="00310981"/>
    <w:rsid w:val="003127F6"/>
    <w:rsid w:val="003128E2"/>
    <w:rsid w:val="003146B3"/>
    <w:rsid w:val="00315498"/>
    <w:rsid w:val="0031626F"/>
    <w:rsid w:val="00317338"/>
    <w:rsid w:val="0031768D"/>
    <w:rsid w:val="00320C39"/>
    <w:rsid w:val="00321AC7"/>
    <w:rsid w:val="00323F54"/>
    <w:rsid w:val="0032738D"/>
    <w:rsid w:val="00327DAF"/>
    <w:rsid w:val="00330037"/>
    <w:rsid w:val="0033098B"/>
    <w:rsid w:val="00332D1C"/>
    <w:rsid w:val="00332F60"/>
    <w:rsid w:val="0033348F"/>
    <w:rsid w:val="00333C09"/>
    <w:rsid w:val="003366C9"/>
    <w:rsid w:val="00336CCF"/>
    <w:rsid w:val="003371B0"/>
    <w:rsid w:val="00340C1D"/>
    <w:rsid w:val="0034125B"/>
    <w:rsid w:val="003415C1"/>
    <w:rsid w:val="003428A0"/>
    <w:rsid w:val="003429F3"/>
    <w:rsid w:val="00343F22"/>
    <w:rsid w:val="0034403C"/>
    <w:rsid w:val="0034456C"/>
    <w:rsid w:val="003448EF"/>
    <w:rsid w:val="00344A69"/>
    <w:rsid w:val="003453D0"/>
    <w:rsid w:val="00345824"/>
    <w:rsid w:val="00345F6E"/>
    <w:rsid w:val="00354028"/>
    <w:rsid w:val="00354589"/>
    <w:rsid w:val="0035470B"/>
    <w:rsid w:val="00354B4B"/>
    <w:rsid w:val="0035620E"/>
    <w:rsid w:val="00356B97"/>
    <w:rsid w:val="0035700E"/>
    <w:rsid w:val="00357410"/>
    <w:rsid w:val="00357994"/>
    <w:rsid w:val="00362423"/>
    <w:rsid w:val="003625D5"/>
    <w:rsid w:val="00362A48"/>
    <w:rsid w:val="00363FD7"/>
    <w:rsid w:val="0036507C"/>
    <w:rsid w:val="003651C8"/>
    <w:rsid w:val="0036599A"/>
    <w:rsid w:val="00371575"/>
    <w:rsid w:val="00371B5E"/>
    <w:rsid w:val="00373B0F"/>
    <w:rsid w:val="00373E8A"/>
    <w:rsid w:val="003748A0"/>
    <w:rsid w:val="00375590"/>
    <w:rsid w:val="00377191"/>
    <w:rsid w:val="00380FEA"/>
    <w:rsid w:val="00382CC3"/>
    <w:rsid w:val="0038365C"/>
    <w:rsid w:val="003849F3"/>
    <w:rsid w:val="00390FCF"/>
    <w:rsid w:val="00391FE2"/>
    <w:rsid w:val="00392C6C"/>
    <w:rsid w:val="00394FD9"/>
    <w:rsid w:val="00396ACF"/>
    <w:rsid w:val="00396C6E"/>
    <w:rsid w:val="00396FD0"/>
    <w:rsid w:val="00397533"/>
    <w:rsid w:val="003A04FC"/>
    <w:rsid w:val="003A1A7A"/>
    <w:rsid w:val="003A490F"/>
    <w:rsid w:val="003A56D1"/>
    <w:rsid w:val="003A5D4D"/>
    <w:rsid w:val="003A6B34"/>
    <w:rsid w:val="003B420D"/>
    <w:rsid w:val="003B4444"/>
    <w:rsid w:val="003B6629"/>
    <w:rsid w:val="003C0493"/>
    <w:rsid w:val="003C0679"/>
    <w:rsid w:val="003C1E22"/>
    <w:rsid w:val="003C2409"/>
    <w:rsid w:val="003C2674"/>
    <w:rsid w:val="003C277F"/>
    <w:rsid w:val="003C3F73"/>
    <w:rsid w:val="003C52B9"/>
    <w:rsid w:val="003C53F6"/>
    <w:rsid w:val="003C63A1"/>
    <w:rsid w:val="003C666E"/>
    <w:rsid w:val="003C7BB3"/>
    <w:rsid w:val="003D0018"/>
    <w:rsid w:val="003D0301"/>
    <w:rsid w:val="003D043D"/>
    <w:rsid w:val="003D1828"/>
    <w:rsid w:val="003D1D20"/>
    <w:rsid w:val="003D2422"/>
    <w:rsid w:val="003D283A"/>
    <w:rsid w:val="003D5489"/>
    <w:rsid w:val="003D5FBC"/>
    <w:rsid w:val="003D61A0"/>
    <w:rsid w:val="003D7255"/>
    <w:rsid w:val="003D74BA"/>
    <w:rsid w:val="003E1D04"/>
    <w:rsid w:val="003E28D8"/>
    <w:rsid w:val="003E582C"/>
    <w:rsid w:val="003E5981"/>
    <w:rsid w:val="003E5CF3"/>
    <w:rsid w:val="003E60EC"/>
    <w:rsid w:val="003E7847"/>
    <w:rsid w:val="003F0A7A"/>
    <w:rsid w:val="003F3CB0"/>
    <w:rsid w:val="003F4156"/>
    <w:rsid w:val="003F44E0"/>
    <w:rsid w:val="003F4665"/>
    <w:rsid w:val="003F65ED"/>
    <w:rsid w:val="004029A5"/>
    <w:rsid w:val="00404938"/>
    <w:rsid w:val="00410708"/>
    <w:rsid w:val="004109F3"/>
    <w:rsid w:val="00410EC7"/>
    <w:rsid w:val="0041152B"/>
    <w:rsid w:val="004118E3"/>
    <w:rsid w:val="00414476"/>
    <w:rsid w:val="00417E0E"/>
    <w:rsid w:val="0042000D"/>
    <w:rsid w:val="00420382"/>
    <w:rsid w:val="00420B9F"/>
    <w:rsid w:val="0042119B"/>
    <w:rsid w:val="00423AA6"/>
    <w:rsid w:val="00424054"/>
    <w:rsid w:val="00431722"/>
    <w:rsid w:val="004319F8"/>
    <w:rsid w:val="0043202A"/>
    <w:rsid w:val="00432412"/>
    <w:rsid w:val="0043260D"/>
    <w:rsid w:val="00432A47"/>
    <w:rsid w:val="00433044"/>
    <w:rsid w:val="00434DF4"/>
    <w:rsid w:val="00435275"/>
    <w:rsid w:val="004354E8"/>
    <w:rsid w:val="00435B89"/>
    <w:rsid w:val="00436ECF"/>
    <w:rsid w:val="00437C83"/>
    <w:rsid w:val="00437F4E"/>
    <w:rsid w:val="00443644"/>
    <w:rsid w:val="004443A7"/>
    <w:rsid w:val="00444D5E"/>
    <w:rsid w:val="0044635C"/>
    <w:rsid w:val="004464EB"/>
    <w:rsid w:val="00447E2A"/>
    <w:rsid w:val="00447E32"/>
    <w:rsid w:val="004511E6"/>
    <w:rsid w:val="004519D8"/>
    <w:rsid w:val="00452E7B"/>
    <w:rsid w:val="00455455"/>
    <w:rsid w:val="00455D45"/>
    <w:rsid w:val="0045781A"/>
    <w:rsid w:val="00457E29"/>
    <w:rsid w:val="004621FE"/>
    <w:rsid w:val="00462D4E"/>
    <w:rsid w:val="00462F0B"/>
    <w:rsid w:val="00464595"/>
    <w:rsid w:val="00464F72"/>
    <w:rsid w:val="00465743"/>
    <w:rsid w:val="0046619B"/>
    <w:rsid w:val="00471E02"/>
    <w:rsid w:val="0047301A"/>
    <w:rsid w:val="00473AEA"/>
    <w:rsid w:val="00474B80"/>
    <w:rsid w:val="004752ED"/>
    <w:rsid w:val="004758ED"/>
    <w:rsid w:val="00475C90"/>
    <w:rsid w:val="0047630A"/>
    <w:rsid w:val="00477DE1"/>
    <w:rsid w:val="00477F2F"/>
    <w:rsid w:val="004815D8"/>
    <w:rsid w:val="004818B8"/>
    <w:rsid w:val="004828BC"/>
    <w:rsid w:val="004847C4"/>
    <w:rsid w:val="004849C1"/>
    <w:rsid w:val="00485218"/>
    <w:rsid w:val="00485814"/>
    <w:rsid w:val="00485962"/>
    <w:rsid w:val="00486437"/>
    <w:rsid w:val="004867E2"/>
    <w:rsid w:val="00491720"/>
    <w:rsid w:val="00491B3A"/>
    <w:rsid w:val="00492CFD"/>
    <w:rsid w:val="00493443"/>
    <w:rsid w:val="00494A06"/>
    <w:rsid w:val="00495862"/>
    <w:rsid w:val="004962D2"/>
    <w:rsid w:val="00496A74"/>
    <w:rsid w:val="00496BF2"/>
    <w:rsid w:val="00496EE3"/>
    <w:rsid w:val="004A0039"/>
    <w:rsid w:val="004A0DA1"/>
    <w:rsid w:val="004A41A6"/>
    <w:rsid w:val="004A48A2"/>
    <w:rsid w:val="004A6597"/>
    <w:rsid w:val="004A6DB3"/>
    <w:rsid w:val="004A7018"/>
    <w:rsid w:val="004B052D"/>
    <w:rsid w:val="004B1CB4"/>
    <w:rsid w:val="004B2F18"/>
    <w:rsid w:val="004B30AD"/>
    <w:rsid w:val="004B324D"/>
    <w:rsid w:val="004B3DDB"/>
    <w:rsid w:val="004B4445"/>
    <w:rsid w:val="004B44FD"/>
    <w:rsid w:val="004B4A47"/>
    <w:rsid w:val="004B4EAF"/>
    <w:rsid w:val="004B5CFC"/>
    <w:rsid w:val="004B6F4F"/>
    <w:rsid w:val="004C15D0"/>
    <w:rsid w:val="004C1DEA"/>
    <w:rsid w:val="004C1E7E"/>
    <w:rsid w:val="004C2987"/>
    <w:rsid w:val="004C2AAF"/>
    <w:rsid w:val="004C3133"/>
    <w:rsid w:val="004C4AED"/>
    <w:rsid w:val="004C4DD6"/>
    <w:rsid w:val="004C5069"/>
    <w:rsid w:val="004C512C"/>
    <w:rsid w:val="004C5698"/>
    <w:rsid w:val="004C5E2D"/>
    <w:rsid w:val="004C5F73"/>
    <w:rsid w:val="004D03B5"/>
    <w:rsid w:val="004D2B02"/>
    <w:rsid w:val="004D2CF7"/>
    <w:rsid w:val="004D427F"/>
    <w:rsid w:val="004D4BF4"/>
    <w:rsid w:val="004D4EEC"/>
    <w:rsid w:val="004D637F"/>
    <w:rsid w:val="004D7257"/>
    <w:rsid w:val="004D7329"/>
    <w:rsid w:val="004E0EB8"/>
    <w:rsid w:val="004E1C17"/>
    <w:rsid w:val="004E2398"/>
    <w:rsid w:val="004E2500"/>
    <w:rsid w:val="004E2ADC"/>
    <w:rsid w:val="004E43B2"/>
    <w:rsid w:val="004E7BD9"/>
    <w:rsid w:val="004F1D02"/>
    <w:rsid w:val="004F2679"/>
    <w:rsid w:val="004F29D9"/>
    <w:rsid w:val="004F33A5"/>
    <w:rsid w:val="004F7865"/>
    <w:rsid w:val="005019B0"/>
    <w:rsid w:val="005037D9"/>
    <w:rsid w:val="00504CF7"/>
    <w:rsid w:val="00506928"/>
    <w:rsid w:val="0051053C"/>
    <w:rsid w:val="005120F5"/>
    <w:rsid w:val="0051225C"/>
    <w:rsid w:val="00513E70"/>
    <w:rsid w:val="00514149"/>
    <w:rsid w:val="005143D8"/>
    <w:rsid w:val="005152B5"/>
    <w:rsid w:val="00515D32"/>
    <w:rsid w:val="00516E6A"/>
    <w:rsid w:val="00517245"/>
    <w:rsid w:val="00521319"/>
    <w:rsid w:val="00521931"/>
    <w:rsid w:val="005226E7"/>
    <w:rsid w:val="00523234"/>
    <w:rsid w:val="00523C28"/>
    <w:rsid w:val="00524CF5"/>
    <w:rsid w:val="005314E9"/>
    <w:rsid w:val="00535F04"/>
    <w:rsid w:val="00536745"/>
    <w:rsid w:val="00537F13"/>
    <w:rsid w:val="00552BD3"/>
    <w:rsid w:val="00555109"/>
    <w:rsid w:val="00561201"/>
    <w:rsid w:val="00562174"/>
    <w:rsid w:val="0056560B"/>
    <w:rsid w:val="005668AF"/>
    <w:rsid w:val="0056696F"/>
    <w:rsid w:val="00566E3B"/>
    <w:rsid w:val="005673E2"/>
    <w:rsid w:val="00567461"/>
    <w:rsid w:val="005721B2"/>
    <w:rsid w:val="0057499A"/>
    <w:rsid w:val="005751FC"/>
    <w:rsid w:val="005753EE"/>
    <w:rsid w:val="00575D8D"/>
    <w:rsid w:val="00576972"/>
    <w:rsid w:val="00580134"/>
    <w:rsid w:val="00580B6D"/>
    <w:rsid w:val="005814E8"/>
    <w:rsid w:val="005827A7"/>
    <w:rsid w:val="0058354F"/>
    <w:rsid w:val="00583699"/>
    <w:rsid w:val="005841F9"/>
    <w:rsid w:val="00584E93"/>
    <w:rsid w:val="0058688F"/>
    <w:rsid w:val="005874C7"/>
    <w:rsid w:val="005916B5"/>
    <w:rsid w:val="00591B97"/>
    <w:rsid w:val="005920F4"/>
    <w:rsid w:val="00595D02"/>
    <w:rsid w:val="00596167"/>
    <w:rsid w:val="005961C2"/>
    <w:rsid w:val="005973E9"/>
    <w:rsid w:val="00597C31"/>
    <w:rsid w:val="005A0CC4"/>
    <w:rsid w:val="005A1E17"/>
    <w:rsid w:val="005A2550"/>
    <w:rsid w:val="005A5800"/>
    <w:rsid w:val="005A5890"/>
    <w:rsid w:val="005B0677"/>
    <w:rsid w:val="005B2A5E"/>
    <w:rsid w:val="005B2D27"/>
    <w:rsid w:val="005B373F"/>
    <w:rsid w:val="005B41F0"/>
    <w:rsid w:val="005B45A3"/>
    <w:rsid w:val="005B4696"/>
    <w:rsid w:val="005B4FF9"/>
    <w:rsid w:val="005B5031"/>
    <w:rsid w:val="005B5857"/>
    <w:rsid w:val="005B5CB3"/>
    <w:rsid w:val="005B5F8C"/>
    <w:rsid w:val="005B6555"/>
    <w:rsid w:val="005B7360"/>
    <w:rsid w:val="005C0CF3"/>
    <w:rsid w:val="005C1B83"/>
    <w:rsid w:val="005C20FA"/>
    <w:rsid w:val="005C25BA"/>
    <w:rsid w:val="005C28E9"/>
    <w:rsid w:val="005C346B"/>
    <w:rsid w:val="005C393A"/>
    <w:rsid w:val="005C4C26"/>
    <w:rsid w:val="005C5E05"/>
    <w:rsid w:val="005C75FC"/>
    <w:rsid w:val="005D0429"/>
    <w:rsid w:val="005D044D"/>
    <w:rsid w:val="005D18AD"/>
    <w:rsid w:val="005D2C05"/>
    <w:rsid w:val="005D32D4"/>
    <w:rsid w:val="005D50E6"/>
    <w:rsid w:val="005D5EAA"/>
    <w:rsid w:val="005D6318"/>
    <w:rsid w:val="005D7042"/>
    <w:rsid w:val="005E2946"/>
    <w:rsid w:val="005E42FB"/>
    <w:rsid w:val="005E73C0"/>
    <w:rsid w:val="005E759A"/>
    <w:rsid w:val="005F0932"/>
    <w:rsid w:val="005F2706"/>
    <w:rsid w:val="005F52F4"/>
    <w:rsid w:val="005F5F59"/>
    <w:rsid w:val="005F6A8F"/>
    <w:rsid w:val="005F6BCE"/>
    <w:rsid w:val="00601B90"/>
    <w:rsid w:val="00602703"/>
    <w:rsid w:val="00603EEC"/>
    <w:rsid w:val="0060471D"/>
    <w:rsid w:val="00604DC3"/>
    <w:rsid w:val="0060519C"/>
    <w:rsid w:val="00606AC7"/>
    <w:rsid w:val="00607669"/>
    <w:rsid w:val="0061025A"/>
    <w:rsid w:val="006117B5"/>
    <w:rsid w:val="00611850"/>
    <w:rsid w:val="00612F97"/>
    <w:rsid w:val="00615D8F"/>
    <w:rsid w:val="0061677B"/>
    <w:rsid w:val="00616802"/>
    <w:rsid w:val="00617E12"/>
    <w:rsid w:val="00621477"/>
    <w:rsid w:val="006229FF"/>
    <w:rsid w:val="00622E36"/>
    <w:rsid w:val="00622F13"/>
    <w:rsid w:val="00624F83"/>
    <w:rsid w:val="00625B1B"/>
    <w:rsid w:val="0062761A"/>
    <w:rsid w:val="00630845"/>
    <w:rsid w:val="0063141C"/>
    <w:rsid w:val="00631D6B"/>
    <w:rsid w:val="00631F57"/>
    <w:rsid w:val="00632980"/>
    <w:rsid w:val="00632ACB"/>
    <w:rsid w:val="0063343F"/>
    <w:rsid w:val="006340C8"/>
    <w:rsid w:val="0063479F"/>
    <w:rsid w:val="00634943"/>
    <w:rsid w:val="00635B6A"/>
    <w:rsid w:val="006364A1"/>
    <w:rsid w:val="00637BFD"/>
    <w:rsid w:val="006403B2"/>
    <w:rsid w:val="0064159E"/>
    <w:rsid w:val="006429DD"/>
    <w:rsid w:val="00646BCC"/>
    <w:rsid w:val="006471CC"/>
    <w:rsid w:val="0064721B"/>
    <w:rsid w:val="006477F3"/>
    <w:rsid w:val="00647BA8"/>
    <w:rsid w:val="00647F33"/>
    <w:rsid w:val="0065079F"/>
    <w:rsid w:val="0065113F"/>
    <w:rsid w:val="00654CA4"/>
    <w:rsid w:val="00654CF5"/>
    <w:rsid w:val="0065541B"/>
    <w:rsid w:val="00661592"/>
    <w:rsid w:val="00666A62"/>
    <w:rsid w:val="006670EE"/>
    <w:rsid w:val="00667D2E"/>
    <w:rsid w:val="0067317C"/>
    <w:rsid w:val="006738F9"/>
    <w:rsid w:val="00674E42"/>
    <w:rsid w:val="0067532A"/>
    <w:rsid w:val="00675890"/>
    <w:rsid w:val="00675F71"/>
    <w:rsid w:val="00676042"/>
    <w:rsid w:val="00677D61"/>
    <w:rsid w:val="0068121A"/>
    <w:rsid w:val="00682112"/>
    <w:rsid w:val="00683CF3"/>
    <w:rsid w:val="006842F7"/>
    <w:rsid w:val="00686731"/>
    <w:rsid w:val="006872BA"/>
    <w:rsid w:val="006876E5"/>
    <w:rsid w:val="00690107"/>
    <w:rsid w:val="006917D7"/>
    <w:rsid w:val="00693174"/>
    <w:rsid w:val="0069417D"/>
    <w:rsid w:val="00694F44"/>
    <w:rsid w:val="00695A3A"/>
    <w:rsid w:val="00696D6E"/>
    <w:rsid w:val="006A0801"/>
    <w:rsid w:val="006A10A0"/>
    <w:rsid w:val="006A1932"/>
    <w:rsid w:val="006A2209"/>
    <w:rsid w:val="006A24F1"/>
    <w:rsid w:val="006A66D8"/>
    <w:rsid w:val="006A6DF0"/>
    <w:rsid w:val="006B15D6"/>
    <w:rsid w:val="006B1F1C"/>
    <w:rsid w:val="006B2D20"/>
    <w:rsid w:val="006B31C0"/>
    <w:rsid w:val="006B4DD6"/>
    <w:rsid w:val="006B7196"/>
    <w:rsid w:val="006C00A9"/>
    <w:rsid w:val="006C2A8E"/>
    <w:rsid w:val="006C33B8"/>
    <w:rsid w:val="006C47AF"/>
    <w:rsid w:val="006C66C6"/>
    <w:rsid w:val="006D1D72"/>
    <w:rsid w:val="006D3B8D"/>
    <w:rsid w:val="006D3C7D"/>
    <w:rsid w:val="006D42C3"/>
    <w:rsid w:val="006D48AA"/>
    <w:rsid w:val="006D589C"/>
    <w:rsid w:val="006D5C34"/>
    <w:rsid w:val="006D5D5F"/>
    <w:rsid w:val="006D643E"/>
    <w:rsid w:val="006D6966"/>
    <w:rsid w:val="006D7398"/>
    <w:rsid w:val="006E00BE"/>
    <w:rsid w:val="006E22D4"/>
    <w:rsid w:val="006E2B32"/>
    <w:rsid w:val="006E37FF"/>
    <w:rsid w:val="006E3F4B"/>
    <w:rsid w:val="006E48B4"/>
    <w:rsid w:val="006E5DE9"/>
    <w:rsid w:val="006F0327"/>
    <w:rsid w:val="006F1617"/>
    <w:rsid w:val="006F1CA9"/>
    <w:rsid w:val="006F355F"/>
    <w:rsid w:val="006F50E7"/>
    <w:rsid w:val="006F58A1"/>
    <w:rsid w:val="006F61DB"/>
    <w:rsid w:val="006F63A5"/>
    <w:rsid w:val="00700493"/>
    <w:rsid w:val="0070066C"/>
    <w:rsid w:val="007016F8"/>
    <w:rsid w:val="0070276E"/>
    <w:rsid w:val="00702975"/>
    <w:rsid w:val="00702F8F"/>
    <w:rsid w:val="00704064"/>
    <w:rsid w:val="00704E52"/>
    <w:rsid w:val="0070562D"/>
    <w:rsid w:val="00705831"/>
    <w:rsid w:val="00706F84"/>
    <w:rsid w:val="00710879"/>
    <w:rsid w:val="00711A36"/>
    <w:rsid w:val="007122B9"/>
    <w:rsid w:val="00715324"/>
    <w:rsid w:val="00715CEC"/>
    <w:rsid w:val="007172AD"/>
    <w:rsid w:val="00717453"/>
    <w:rsid w:val="0072110A"/>
    <w:rsid w:val="00721197"/>
    <w:rsid w:val="0072306F"/>
    <w:rsid w:val="00723631"/>
    <w:rsid w:val="00723747"/>
    <w:rsid w:val="00723988"/>
    <w:rsid w:val="0072416F"/>
    <w:rsid w:val="0072446A"/>
    <w:rsid w:val="00724495"/>
    <w:rsid w:val="007300BC"/>
    <w:rsid w:val="00735328"/>
    <w:rsid w:val="00736443"/>
    <w:rsid w:val="0073685B"/>
    <w:rsid w:val="00736A4E"/>
    <w:rsid w:val="0074058A"/>
    <w:rsid w:val="00740A44"/>
    <w:rsid w:val="007414C2"/>
    <w:rsid w:val="00741B10"/>
    <w:rsid w:val="00741B2E"/>
    <w:rsid w:val="00743156"/>
    <w:rsid w:val="0074483F"/>
    <w:rsid w:val="0074645A"/>
    <w:rsid w:val="00750C35"/>
    <w:rsid w:val="00751F03"/>
    <w:rsid w:val="00753892"/>
    <w:rsid w:val="0075496D"/>
    <w:rsid w:val="00754EBC"/>
    <w:rsid w:val="007554D8"/>
    <w:rsid w:val="00756A34"/>
    <w:rsid w:val="00757391"/>
    <w:rsid w:val="007574D2"/>
    <w:rsid w:val="00763913"/>
    <w:rsid w:val="007643ED"/>
    <w:rsid w:val="00764ADA"/>
    <w:rsid w:val="00765A6E"/>
    <w:rsid w:val="00766403"/>
    <w:rsid w:val="00774165"/>
    <w:rsid w:val="007747DA"/>
    <w:rsid w:val="00776A37"/>
    <w:rsid w:val="007805B4"/>
    <w:rsid w:val="00782AF3"/>
    <w:rsid w:val="00782F74"/>
    <w:rsid w:val="0078426E"/>
    <w:rsid w:val="0078431B"/>
    <w:rsid w:val="0078498A"/>
    <w:rsid w:val="007934A1"/>
    <w:rsid w:val="00796F3E"/>
    <w:rsid w:val="007978AD"/>
    <w:rsid w:val="007A0A12"/>
    <w:rsid w:val="007A0CF9"/>
    <w:rsid w:val="007A5050"/>
    <w:rsid w:val="007A5BBB"/>
    <w:rsid w:val="007A649E"/>
    <w:rsid w:val="007A65A9"/>
    <w:rsid w:val="007A6A11"/>
    <w:rsid w:val="007A6A46"/>
    <w:rsid w:val="007A7C9E"/>
    <w:rsid w:val="007A7F23"/>
    <w:rsid w:val="007B0A35"/>
    <w:rsid w:val="007B1B84"/>
    <w:rsid w:val="007B251D"/>
    <w:rsid w:val="007B4808"/>
    <w:rsid w:val="007B5948"/>
    <w:rsid w:val="007B6089"/>
    <w:rsid w:val="007B64C0"/>
    <w:rsid w:val="007B67B2"/>
    <w:rsid w:val="007B749E"/>
    <w:rsid w:val="007B77D1"/>
    <w:rsid w:val="007C0C47"/>
    <w:rsid w:val="007C0FA3"/>
    <w:rsid w:val="007C361D"/>
    <w:rsid w:val="007C37AA"/>
    <w:rsid w:val="007C44D2"/>
    <w:rsid w:val="007C4E16"/>
    <w:rsid w:val="007C4F5F"/>
    <w:rsid w:val="007C557A"/>
    <w:rsid w:val="007C68BF"/>
    <w:rsid w:val="007C69D5"/>
    <w:rsid w:val="007C6D62"/>
    <w:rsid w:val="007D01EE"/>
    <w:rsid w:val="007D0B14"/>
    <w:rsid w:val="007D0B38"/>
    <w:rsid w:val="007D2501"/>
    <w:rsid w:val="007D62F1"/>
    <w:rsid w:val="007D6D8B"/>
    <w:rsid w:val="007E2F12"/>
    <w:rsid w:val="007E44F2"/>
    <w:rsid w:val="007E5A73"/>
    <w:rsid w:val="007E76DE"/>
    <w:rsid w:val="007E77A5"/>
    <w:rsid w:val="007F1017"/>
    <w:rsid w:val="007F1621"/>
    <w:rsid w:val="007F211A"/>
    <w:rsid w:val="007F43CC"/>
    <w:rsid w:val="007F49F9"/>
    <w:rsid w:val="007F4A3F"/>
    <w:rsid w:val="007F778C"/>
    <w:rsid w:val="00800E9E"/>
    <w:rsid w:val="00800FF6"/>
    <w:rsid w:val="00801519"/>
    <w:rsid w:val="00801751"/>
    <w:rsid w:val="008038F0"/>
    <w:rsid w:val="00804B75"/>
    <w:rsid w:val="00804D9B"/>
    <w:rsid w:val="0080500B"/>
    <w:rsid w:val="00805091"/>
    <w:rsid w:val="00805142"/>
    <w:rsid w:val="00807A8B"/>
    <w:rsid w:val="008104F6"/>
    <w:rsid w:val="008115E9"/>
    <w:rsid w:val="00811BC8"/>
    <w:rsid w:val="00812149"/>
    <w:rsid w:val="00813A4C"/>
    <w:rsid w:val="00815643"/>
    <w:rsid w:val="00815EDE"/>
    <w:rsid w:val="008166EF"/>
    <w:rsid w:val="00817A65"/>
    <w:rsid w:val="008215EE"/>
    <w:rsid w:val="00821D1C"/>
    <w:rsid w:val="008224E0"/>
    <w:rsid w:val="008243D9"/>
    <w:rsid w:val="0082491E"/>
    <w:rsid w:val="0082593D"/>
    <w:rsid w:val="008264EB"/>
    <w:rsid w:val="00826814"/>
    <w:rsid w:val="00826D17"/>
    <w:rsid w:val="008278E0"/>
    <w:rsid w:val="00830366"/>
    <w:rsid w:val="00831FF7"/>
    <w:rsid w:val="0083270C"/>
    <w:rsid w:val="00833B05"/>
    <w:rsid w:val="008352F9"/>
    <w:rsid w:val="0083590D"/>
    <w:rsid w:val="00840CA2"/>
    <w:rsid w:val="00840EA7"/>
    <w:rsid w:val="00842EAD"/>
    <w:rsid w:val="0084301A"/>
    <w:rsid w:val="00843807"/>
    <w:rsid w:val="00843933"/>
    <w:rsid w:val="008478D9"/>
    <w:rsid w:val="008478F7"/>
    <w:rsid w:val="00847E00"/>
    <w:rsid w:val="008503C7"/>
    <w:rsid w:val="00854F04"/>
    <w:rsid w:val="0085567C"/>
    <w:rsid w:val="00856E9A"/>
    <w:rsid w:val="00862502"/>
    <w:rsid w:val="008673D2"/>
    <w:rsid w:val="00872E22"/>
    <w:rsid w:val="0087398A"/>
    <w:rsid w:val="0087431D"/>
    <w:rsid w:val="008775E5"/>
    <w:rsid w:val="008808EB"/>
    <w:rsid w:val="0088149B"/>
    <w:rsid w:val="00881B52"/>
    <w:rsid w:val="00882874"/>
    <w:rsid w:val="00882FBE"/>
    <w:rsid w:val="008836EB"/>
    <w:rsid w:val="00883787"/>
    <w:rsid w:val="00884DAE"/>
    <w:rsid w:val="00884F63"/>
    <w:rsid w:val="008852DD"/>
    <w:rsid w:val="008856F6"/>
    <w:rsid w:val="008859FC"/>
    <w:rsid w:val="00886719"/>
    <w:rsid w:val="0088690A"/>
    <w:rsid w:val="008869A6"/>
    <w:rsid w:val="00887A53"/>
    <w:rsid w:val="00887B7C"/>
    <w:rsid w:val="00890CCB"/>
    <w:rsid w:val="008929E1"/>
    <w:rsid w:val="00893A0B"/>
    <w:rsid w:val="00894489"/>
    <w:rsid w:val="00895AA4"/>
    <w:rsid w:val="008963A5"/>
    <w:rsid w:val="00896A71"/>
    <w:rsid w:val="0089707E"/>
    <w:rsid w:val="008A00B3"/>
    <w:rsid w:val="008A2541"/>
    <w:rsid w:val="008A38F1"/>
    <w:rsid w:val="008A3C3E"/>
    <w:rsid w:val="008A3CE7"/>
    <w:rsid w:val="008A4282"/>
    <w:rsid w:val="008A44F0"/>
    <w:rsid w:val="008A79DE"/>
    <w:rsid w:val="008B0AEC"/>
    <w:rsid w:val="008B286C"/>
    <w:rsid w:val="008B77CF"/>
    <w:rsid w:val="008B7D7E"/>
    <w:rsid w:val="008C0487"/>
    <w:rsid w:val="008C0BFE"/>
    <w:rsid w:val="008C3009"/>
    <w:rsid w:val="008C430C"/>
    <w:rsid w:val="008C7ECB"/>
    <w:rsid w:val="008D0BBE"/>
    <w:rsid w:val="008D1477"/>
    <w:rsid w:val="008D1BBB"/>
    <w:rsid w:val="008D2B7D"/>
    <w:rsid w:val="008D4AE4"/>
    <w:rsid w:val="008D7641"/>
    <w:rsid w:val="008D7D27"/>
    <w:rsid w:val="008E092F"/>
    <w:rsid w:val="008E1B9E"/>
    <w:rsid w:val="008E1E93"/>
    <w:rsid w:val="008E2B37"/>
    <w:rsid w:val="008E3BEA"/>
    <w:rsid w:val="008E4E08"/>
    <w:rsid w:val="008E5033"/>
    <w:rsid w:val="008E6112"/>
    <w:rsid w:val="008E69F6"/>
    <w:rsid w:val="008E736F"/>
    <w:rsid w:val="008F120A"/>
    <w:rsid w:val="008F2E5B"/>
    <w:rsid w:val="008F48EB"/>
    <w:rsid w:val="008F4F0B"/>
    <w:rsid w:val="008F4FBF"/>
    <w:rsid w:val="008F521B"/>
    <w:rsid w:val="008F5529"/>
    <w:rsid w:val="00900621"/>
    <w:rsid w:val="0090196D"/>
    <w:rsid w:val="00901F22"/>
    <w:rsid w:val="009020FD"/>
    <w:rsid w:val="00903C23"/>
    <w:rsid w:val="00903FEF"/>
    <w:rsid w:val="0090506E"/>
    <w:rsid w:val="009062A5"/>
    <w:rsid w:val="00911272"/>
    <w:rsid w:val="00911691"/>
    <w:rsid w:val="00911F95"/>
    <w:rsid w:val="009128C7"/>
    <w:rsid w:val="009131C0"/>
    <w:rsid w:val="00913AF8"/>
    <w:rsid w:val="009163E6"/>
    <w:rsid w:val="00916582"/>
    <w:rsid w:val="00920D75"/>
    <w:rsid w:val="00922C05"/>
    <w:rsid w:val="00923754"/>
    <w:rsid w:val="00924E0A"/>
    <w:rsid w:val="00925609"/>
    <w:rsid w:val="00926626"/>
    <w:rsid w:val="00926B27"/>
    <w:rsid w:val="0092706B"/>
    <w:rsid w:val="009308F0"/>
    <w:rsid w:val="00930CCA"/>
    <w:rsid w:val="009312E1"/>
    <w:rsid w:val="00934CF4"/>
    <w:rsid w:val="00935184"/>
    <w:rsid w:val="009362C9"/>
    <w:rsid w:val="009366B3"/>
    <w:rsid w:val="00936B91"/>
    <w:rsid w:val="009376F0"/>
    <w:rsid w:val="009407C0"/>
    <w:rsid w:val="0094188F"/>
    <w:rsid w:val="00941FB2"/>
    <w:rsid w:val="00942841"/>
    <w:rsid w:val="00942AB1"/>
    <w:rsid w:val="00942F34"/>
    <w:rsid w:val="00943945"/>
    <w:rsid w:val="00944D51"/>
    <w:rsid w:val="0094593B"/>
    <w:rsid w:val="009501E7"/>
    <w:rsid w:val="0095032C"/>
    <w:rsid w:val="009507EE"/>
    <w:rsid w:val="00952F85"/>
    <w:rsid w:val="00954EA3"/>
    <w:rsid w:val="00955578"/>
    <w:rsid w:val="0095585C"/>
    <w:rsid w:val="0095739B"/>
    <w:rsid w:val="009613B3"/>
    <w:rsid w:val="009615F0"/>
    <w:rsid w:val="009617B0"/>
    <w:rsid w:val="00961AE8"/>
    <w:rsid w:val="00962CB9"/>
    <w:rsid w:val="0096323F"/>
    <w:rsid w:val="009640F0"/>
    <w:rsid w:val="00964312"/>
    <w:rsid w:val="009652BF"/>
    <w:rsid w:val="009676AF"/>
    <w:rsid w:val="00967B44"/>
    <w:rsid w:val="009705D9"/>
    <w:rsid w:val="009717E2"/>
    <w:rsid w:val="00971BC4"/>
    <w:rsid w:val="00972522"/>
    <w:rsid w:val="009733CD"/>
    <w:rsid w:val="00974601"/>
    <w:rsid w:val="00974625"/>
    <w:rsid w:val="00974F07"/>
    <w:rsid w:val="00975329"/>
    <w:rsid w:val="00976C62"/>
    <w:rsid w:val="009771E2"/>
    <w:rsid w:val="00977B1C"/>
    <w:rsid w:val="00977CF3"/>
    <w:rsid w:val="0098000A"/>
    <w:rsid w:val="009807F4"/>
    <w:rsid w:val="00980CF1"/>
    <w:rsid w:val="009838B0"/>
    <w:rsid w:val="00983B58"/>
    <w:rsid w:val="00983E57"/>
    <w:rsid w:val="00984EBC"/>
    <w:rsid w:val="00985725"/>
    <w:rsid w:val="00985817"/>
    <w:rsid w:val="00985EC2"/>
    <w:rsid w:val="00985F55"/>
    <w:rsid w:val="00987DBD"/>
    <w:rsid w:val="00990354"/>
    <w:rsid w:val="00991A0D"/>
    <w:rsid w:val="00992D34"/>
    <w:rsid w:val="00993276"/>
    <w:rsid w:val="00993ABD"/>
    <w:rsid w:val="009944C7"/>
    <w:rsid w:val="00995DBC"/>
    <w:rsid w:val="00995F80"/>
    <w:rsid w:val="00996B1A"/>
    <w:rsid w:val="00996D93"/>
    <w:rsid w:val="00997DE7"/>
    <w:rsid w:val="009A1789"/>
    <w:rsid w:val="009A2CE5"/>
    <w:rsid w:val="009A3291"/>
    <w:rsid w:val="009A581A"/>
    <w:rsid w:val="009A7D22"/>
    <w:rsid w:val="009B0334"/>
    <w:rsid w:val="009B1B19"/>
    <w:rsid w:val="009B21D0"/>
    <w:rsid w:val="009B3E26"/>
    <w:rsid w:val="009B54C4"/>
    <w:rsid w:val="009B5847"/>
    <w:rsid w:val="009B61B3"/>
    <w:rsid w:val="009B6DC0"/>
    <w:rsid w:val="009B789C"/>
    <w:rsid w:val="009B7AFC"/>
    <w:rsid w:val="009B7FFC"/>
    <w:rsid w:val="009C1999"/>
    <w:rsid w:val="009C66FD"/>
    <w:rsid w:val="009D23CA"/>
    <w:rsid w:val="009D5B91"/>
    <w:rsid w:val="009D6C8A"/>
    <w:rsid w:val="009D6FA6"/>
    <w:rsid w:val="009E0F91"/>
    <w:rsid w:val="009E3CE6"/>
    <w:rsid w:val="009E4C07"/>
    <w:rsid w:val="009E70A7"/>
    <w:rsid w:val="009F0D9A"/>
    <w:rsid w:val="009F2761"/>
    <w:rsid w:val="009F2840"/>
    <w:rsid w:val="009F7170"/>
    <w:rsid w:val="009F789B"/>
    <w:rsid w:val="009F79C1"/>
    <w:rsid w:val="00A01C7D"/>
    <w:rsid w:val="00A03D43"/>
    <w:rsid w:val="00A04380"/>
    <w:rsid w:val="00A05689"/>
    <w:rsid w:val="00A05EF1"/>
    <w:rsid w:val="00A10544"/>
    <w:rsid w:val="00A113F7"/>
    <w:rsid w:val="00A11D0A"/>
    <w:rsid w:val="00A12C17"/>
    <w:rsid w:val="00A12E41"/>
    <w:rsid w:val="00A1359F"/>
    <w:rsid w:val="00A13916"/>
    <w:rsid w:val="00A13948"/>
    <w:rsid w:val="00A1431D"/>
    <w:rsid w:val="00A14974"/>
    <w:rsid w:val="00A14C40"/>
    <w:rsid w:val="00A16AFE"/>
    <w:rsid w:val="00A17AC6"/>
    <w:rsid w:val="00A211BA"/>
    <w:rsid w:val="00A229AE"/>
    <w:rsid w:val="00A22A46"/>
    <w:rsid w:val="00A24DFD"/>
    <w:rsid w:val="00A26946"/>
    <w:rsid w:val="00A275E1"/>
    <w:rsid w:val="00A27AEC"/>
    <w:rsid w:val="00A323F4"/>
    <w:rsid w:val="00A33053"/>
    <w:rsid w:val="00A354B6"/>
    <w:rsid w:val="00A35D16"/>
    <w:rsid w:val="00A36FBF"/>
    <w:rsid w:val="00A40366"/>
    <w:rsid w:val="00A41313"/>
    <w:rsid w:val="00A41949"/>
    <w:rsid w:val="00A41BC9"/>
    <w:rsid w:val="00A43C59"/>
    <w:rsid w:val="00A44E3E"/>
    <w:rsid w:val="00A4540D"/>
    <w:rsid w:val="00A46730"/>
    <w:rsid w:val="00A46F22"/>
    <w:rsid w:val="00A50589"/>
    <w:rsid w:val="00A50ECD"/>
    <w:rsid w:val="00A5114B"/>
    <w:rsid w:val="00A51170"/>
    <w:rsid w:val="00A512FF"/>
    <w:rsid w:val="00A52729"/>
    <w:rsid w:val="00A53675"/>
    <w:rsid w:val="00A554DC"/>
    <w:rsid w:val="00A56B6A"/>
    <w:rsid w:val="00A578DC"/>
    <w:rsid w:val="00A613CE"/>
    <w:rsid w:val="00A61776"/>
    <w:rsid w:val="00A646BB"/>
    <w:rsid w:val="00A65CB3"/>
    <w:rsid w:val="00A6725B"/>
    <w:rsid w:val="00A67E4D"/>
    <w:rsid w:val="00A7103A"/>
    <w:rsid w:val="00A71783"/>
    <w:rsid w:val="00A7309F"/>
    <w:rsid w:val="00A74F25"/>
    <w:rsid w:val="00A7613F"/>
    <w:rsid w:val="00A76C8B"/>
    <w:rsid w:val="00A805F3"/>
    <w:rsid w:val="00A80781"/>
    <w:rsid w:val="00A81F90"/>
    <w:rsid w:val="00A8292F"/>
    <w:rsid w:val="00A832E6"/>
    <w:rsid w:val="00A85F40"/>
    <w:rsid w:val="00A861ED"/>
    <w:rsid w:val="00A86795"/>
    <w:rsid w:val="00A86E8B"/>
    <w:rsid w:val="00A86F5C"/>
    <w:rsid w:val="00A91E54"/>
    <w:rsid w:val="00A92177"/>
    <w:rsid w:val="00A923C6"/>
    <w:rsid w:val="00A93072"/>
    <w:rsid w:val="00A93248"/>
    <w:rsid w:val="00A93E23"/>
    <w:rsid w:val="00A949FD"/>
    <w:rsid w:val="00A95024"/>
    <w:rsid w:val="00A9557D"/>
    <w:rsid w:val="00A959D8"/>
    <w:rsid w:val="00A972CD"/>
    <w:rsid w:val="00A97540"/>
    <w:rsid w:val="00AA021D"/>
    <w:rsid w:val="00AA383B"/>
    <w:rsid w:val="00AA4516"/>
    <w:rsid w:val="00AA4B27"/>
    <w:rsid w:val="00AA4F8F"/>
    <w:rsid w:val="00AA5474"/>
    <w:rsid w:val="00AA587A"/>
    <w:rsid w:val="00AA6468"/>
    <w:rsid w:val="00AA6C66"/>
    <w:rsid w:val="00AA7556"/>
    <w:rsid w:val="00AB042A"/>
    <w:rsid w:val="00AB0E7E"/>
    <w:rsid w:val="00AB1CD1"/>
    <w:rsid w:val="00AB2D34"/>
    <w:rsid w:val="00AB3430"/>
    <w:rsid w:val="00AB4438"/>
    <w:rsid w:val="00AB73CE"/>
    <w:rsid w:val="00AB7CFA"/>
    <w:rsid w:val="00AC0621"/>
    <w:rsid w:val="00AC0650"/>
    <w:rsid w:val="00AC13BC"/>
    <w:rsid w:val="00AC2A1F"/>
    <w:rsid w:val="00AC2CAB"/>
    <w:rsid w:val="00AC33EE"/>
    <w:rsid w:val="00AC3450"/>
    <w:rsid w:val="00AC5CF8"/>
    <w:rsid w:val="00AC7750"/>
    <w:rsid w:val="00AC7788"/>
    <w:rsid w:val="00AD1047"/>
    <w:rsid w:val="00AD215B"/>
    <w:rsid w:val="00AD2B80"/>
    <w:rsid w:val="00AD38FF"/>
    <w:rsid w:val="00AD44BC"/>
    <w:rsid w:val="00AD44F4"/>
    <w:rsid w:val="00AD5593"/>
    <w:rsid w:val="00AD5B9B"/>
    <w:rsid w:val="00AE0EB2"/>
    <w:rsid w:val="00AE2755"/>
    <w:rsid w:val="00AE3450"/>
    <w:rsid w:val="00AE517A"/>
    <w:rsid w:val="00AE6A1E"/>
    <w:rsid w:val="00AE73D9"/>
    <w:rsid w:val="00AF210D"/>
    <w:rsid w:val="00AF71A9"/>
    <w:rsid w:val="00AF7B72"/>
    <w:rsid w:val="00AF7E8F"/>
    <w:rsid w:val="00B00912"/>
    <w:rsid w:val="00B01ED5"/>
    <w:rsid w:val="00B024FD"/>
    <w:rsid w:val="00B043E5"/>
    <w:rsid w:val="00B069C7"/>
    <w:rsid w:val="00B101F3"/>
    <w:rsid w:val="00B103B3"/>
    <w:rsid w:val="00B1211B"/>
    <w:rsid w:val="00B13CEA"/>
    <w:rsid w:val="00B14595"/>
    <w:rsid w:val="00B16252"/>
    <w:rsid w:val="00B207E1"/>
    <w:rsid w:val="00B2127A"/>
    <w:rsid w:val="00B25A46"/>
    <w:rsid w:val="00B25D97"/>
    <w:rsid w:val="00B312D1"/>
    <w:rsid w:val="00B31683"/>
    <w:rsid w:val="00B32B63"/>
    <w:rsid w:val="00B33025"/>
    <w:rsid w:val="00B33D18"/>
    <w:rsid w:val="00B350A2"/>
    <w:rsid w:val="00B35C97"/>
    <w:rsid w:val="00B37FC5"/>
    <w:rsid w:val="00B418AB"/>
    <w:rsid w:val="00B41A71"/>
    <w:rsid w:val="00B41D30"/>
    <w:rsid w:val="00B42851"/>
    <w:rsid w:val="00B428F8"/>
    <w:rsid w:val="00B43DF0"/>
    <w:rsid w:val="00B46B19"/>
    <w:rsid w:val="00B47361"/>
    <w:rsid w:val="00B478B2"/>
    <w:rsid w:val="00B47CC7"/>
    <w:rsid w:val="00B50DB8"/>
    <w:rsid w:val="00B50F72"/>
    <w:rsid w:val="00B51DD9"/>
    <w:rsid w:val="00B52BAC"/>
    <w:rsid w:val="00B5330E"/>
    <w:rsid w:val="00B53905"/>
    <w:rsid w:val="00B53E1F"/>
    <w:rsid w:val="00B54B5B"/>
    <w:rsid w:val="00B5562E"/>
    <w:rsid w:val="00B559F3"/>
    <w:rsid w:val="00B55A52"/>
    <w:rsid w:val="00B57000"/>
    <w:rsid w:val="00B570C0"/>
    <w:rsid w:val="00B57ACC"/>
    <w:rsid w:val="00B57D4D"/>
    <w:rsid w:val="00B602C0"/>
    <w:rsid w:val="00B60939"/>
    <w:rsid w:val="00B60AFD"/>
    <w:rsid w:val="00B6234A"/>
    <w:rsid w:val="00B62715"/>
    <w:rsid w:val="00B64286"/>
    <w:rsid w:val="00B722B8"/>
    <w:rsid w:val="00B72470"/>
    <w:rsid w:val="00B73BD1"/>
    <w:rsid w:val="00B73E9B"/>
    <w:rsid w:val="00B74F1E"/>
    <w:rsid w:val="00B75854"/>
    <w:rsid w:val="00B818A4"/>
    <w:rsid w:val="00B827A0"/>
    <w:rsid w:val="00B828EF"/>
    <w:rsid w:val="00B8292A"/>
    <w:rsid w:val="00B829D5"/>
    <w:rsid w:val="00B85081"/>
    <w:rsid w:val="00B857BA"/>
    <w:rsid w:val="00B8649C"/>
    <w:rsid w:val="00B92070"/>
    <w:rsid w:val="00B92D0B"/>
    <w:rsid w:val="00B93A37"/>
    <w:rsid w:val="00B93BE1"/>
    <w:rsid w:val="00B94945"/>
    <w:rsid w:val="00B978DD"/>
    <w:rsid w:val="00BA057A"/>
    <w:rsid w:val="00BA0AEF"/>
    <w:rsid w:val="00BA42CE"/>
    <w:rsid w:val="00BA4341"/>
    <w:rsid w:val="00BA6A79"/>
    <w:rsid w:val="00BA7E7C"/>
    <w:rsid w:val="00BB0958"/>
    <w:rsid w:val="00BB0B56"/>
    <w:rsid w:val="00BB0C05"/>
    <w:rsid w:val="00BB1334"/>
    <w:rsid w:val="00BB4715"/>
    <w:rsid w:val="00BB6422"/>
    <w:rsid w:val="00BB73AC"/>
    <w:rsid w:val="00BB7405"/>
    <w:rsid w:val="00BC479A"/>
    <w:rsid w:val="00BD1BCD"/>
    <w:rsid w:val="00BD5B68"/>
    <w:rsid w:val="00BD5F50"/>
    <w:rsid w:val="00BD6CF3"/>
    <w:rsid w:val="00BD6D5D"/>
    <w:rsid w:val="00BE2180"/>
    <w:rsid w:val="00BE2414"/>
    <w:rsid w:val="00BE2BCA"/>
    <w:rsid w:val="00BE2D1F"/>
    <w:rsid w:val="00BE425A"/>
    <w:rsid w:val="00BE4275"/>
    <w:rsid w:val="00BE42D2"/>
    <w:rsid w:val="00BE632C"/>
    <w:rsid w:val="00BE6FF5"/>
    <w:rsid w:val="00BE77F6"/>
    <w:rsid w:val="00BE7BCD"/>
    <w:rsid w:val="00BF0DE2"/>
    <w:rsid w:val="00BF2433"/>
    <w:rsid w:val="00BF2C78"/>
    <w:rsid w:val="00BF3E5B"/>
    <w:rsid w:val="00BF61C9"/>
    <w:rsid w:val="00BF7149"/>
    <w:rsid w:val="00BF77F0"/>
    <w:rsid w:val="00C00D51"/>
    <w:rsid w:val="00C01891"/>
    <w:rsid w:val="00C04F4F"/>
    <w:rsid w:val="00C0620D"/>
    <w:rsid w:val="00C06F1A"/>
    <w:rsid w:val="00C07097"/>
    <w:rsid w:val="00C1314D"/>
    <w:rsid w:val="00C1443D"/>
    <w:rsid w:val="00C1741B"/>
    <w:rsid w:val="00C208EC"/>
    <w:rsid w:val="00C20F5F"/>
    <w:rsid w:val="00C249C3"/>
    <w:rsid w:val="00C25418"/>
    <w:rsid w:val="00C25D9C"/>
    <w:rsid w:val="00C2617B"/>
    <w:rsid w:val="00C270AE"/>
    <w:rsid w:val="00C272AE"/>
    <w:rsid w:val="00C27D8B"/>
    <w:rsid w:val="00C27EAD"/>
    <w:rsid w:val="00C308AD"/>
    <w:rsid w:val="00C31649"/>
    <w:rsid w:val="00C3395D"/>
    <w:rsid w:val="00C344A2"/>
    <w:rsid w:val="00C34590"/>
    <w:rsid w:val="00C357FB"/>
    <w:rsid w:val="00C3651F"/>
    <w:rsid w:val="00C36811"/>
    <w:rsid w:val="00C40385"/>
    <w:rsid w:val="00C40920"/>
    <w:rsid w:val="00C431FC"/>
    <w:rsid w:val="00C44108"/>
    <w:rsid w:val="00C45F19"/>
    <w:rsid w:val="00C51E55"/>
    <w:rsid w:val="00C521AC"/>
    <w:rsid w:val="00C5529C"/>
    <w:rsid w:val="00C5556D"/>
    <w:rsid w:val="00C602C1"/>
    <w:rsid w:val="00C6514C"/>
    <w:rsid w:val="00C65576"/>
    <w:rsid w:val="00C65F5F"/>
    <w:rsid w:val="00C66165"/>
    <w:rsid w:val="00C66F8F"/>
    <w:rsid w:val="00C71F5A"/>
    <w:rsid w:val="00C73D93"/>
    <w:rsid w:val="00C741DA"/>
    <w:rsid w:val="00C750C8"/>
    <w:rsid w:val="00C7520C"/>
    <w:rsid w:val="00C77EDB"/>
    <w:rsid w:val="00C8213F"/>
    <w:rsid w:val="00C8262A"/>
    <w:rsid w:val="00C83D65"/>
    <w:rsid w:val="00C8797A"/>
    <w:rsid w:val="00C87D70"/>
    <w:rsid w:val="00C92761"/>
    <w:rsid w:val="00C938CF"/>
    <w:rsid w:val="00C93E3B"/>
    <w:rsid w:val="00C93F54"/>
    <w:rsid w:val="00C9442E"/>
    <w:rsid w:val="00C9446D"/>
    <w:rsid w:val="00C96478"/>
    <w:rsid w:val="00C96C88"/>
    <w:rsid w:val="00C97D4C"/>
    <w:rsid w:val="00CA0A8A"/>
    <w:rsid w:val="00CA13F0"/>
    <w:rsid w:val="00CA184F"/>
    <w:rsid w:val="00CA1A85"/>
    <w:rsid w:val="00CA2A55"/>
    <w:rsid w:val="00CA4B72"/>
    <w:rsid w:val="00CA5245"/>
    <w:rsid w:val="00CA6D1A"/>
    <w:rsid w:val="00CA6DD6"/>
    <w:rsid w:val="00CA7152"/>
    <w:rsid w:val="00CA726E"/>
    <w:rsid w:val="00CA7B09"/>
    <w:rsid w:val="00CA7DA6"/>
    <w:rsid w:val="00CB1D44"/>
    <w:rsid w:val="00CB5A1E"/>
    <w:rsid w:val="00CB5B1A"/>
    <w:rsid w:val="00CB5C1A"/>
    <w:rsid w:val="00CB69E4"/>
    <w:rsid w:val="00CB7BBC"/>
    <w:rsid w:val="00CC043A"/>
    <w:rsid w:val="00CC0B00"/>
    <w:rsid w:val="00CC0F36"/>
    <w:rsid w:val="00CC3637"/>
    <w:rsid w:val="00CC7305"/>
    <w:rsid w:val="00CC78D5"/>
    <w:rsid w:val="00CD1E13"/>
    <w:rsid w:val="00CD28A9"/>
    <w:rsid w:val="00CD3194"/>
    <w:rsid w:val="00CD5691"/>
    <w:rsid w:val="00CD6ADC"/>
    <w:rsid w:val="00CD714B"/>
    <w:rsid w:val="00CD7927"/>
    <w:rsid w:val="00CE0729"/>
    <w:rsid w:val="00CE202D"/>
    <w:rsid w:val="00CE2037"/>
    <w:rsid w:val="00CE271C"/>
    <w:rsid w:val="00CE57AA"/>
    <w:rsid w:val="00CE58B6"/>
    <w:rsid w:val="00CE6274"/>
    <w:rsid w:val="00CE6BED"/>
    <w:rsid w:val="00CE6BF4"/>
    <w:rsid w:val="00CF1E61"/>
    <w:rsid w:val="00CF257E"/>
    <w:rsid w:val="00CF3453"/>
    <w:rsid w:val="00CF373C"/>
    <w:rsid w:val="00CF456B"/>
    <w:rsid w:val="00CF4E1B"/>
    <w:rsid w:val="00CF5A22"/>
    <w:rsid w:val="00CF606E"/>
    <w:rsid w:val="00CF6B18"/>
    <w:rsid w:val="00D02034"/>
    <w:rsid w:val="00D0262E"/>
    <w:rsid w:val="00D03618"/>
    <w:rsid w:val="00D03D94"/>
    <w:rsid w:val="00D05628"/>
    <w:rsid w:val="00D0569A"/>
    <w:rsid w:val="00D0764F"/>
    <w:rsid w:val="00D106AB"/>
    <w:rsid w:val="00D110BD"/>
    <w:rsid w:val="00D114DF"/>
    <w:rsid w:val="00D12A41"/>
    <w:rsid w:val="00D12E88"/>
    <w:rsid w:val="00D146C2"/>
    <w:rsid w:val="00D14CEA"/>
    <w:rsid w:val="00D150EE"/>
    <w:rsid w:val="00D16DD4"/>
    <w:rsid w:val="00D17D6C"/>
    <w:rsid w:val="00D201CA"/>
    <w:rsid w:val="00D2087F"/>
    <w:rsid w:val="00D20B49"/>
    <w:rsid w:val="00D21498"/>
    <w:rsid w:val="00D24D1D"/>
    <w:rsid w:val="00D32025"/>
    <w:rsid w:val="00D33746"/>
    <w:rsid w:val="00D34951"/>
    <w:rsid w:val="00D34E23"/>
    <w:rsid w:val="00D357FF"/>
    <w:rsid w:val="00D37761"/>
    <w:rsid w:val="00D425C8"/>
    <w:rsid w:val="00D44908"/>
    <w:rsid w:val="00D47658"/>
    <w:rsid w:val="00D51B68"/>
    <w:rsid w:val="00D53354"/>
    <w:rsid w:val="00D54CEA"/>
    <w:rsid w:val="00D54EE3"/>
    <w:rsid w:val="00D5578C"/>
    <w:rsid w:val="00D559B7"/>
    <w:rsid w:val="00D56250"/>
    <w:rsid w:val="00D569A2"/>
    <w:rsid w:val="00D57B20"/>
    <w:rsid w:val="00D6109F"/>
    <w:rsid w:val="00D64432"/>
    <w:rsid w:val="00D646AD"/>
    <w:rsid w:val="00D67D25"/>
    <w:rsid w:val="00D73259"/>
    <w:rsid w:val="00D74BA8"/>
    <w:rsid w:val="00D762DA"/>
    <w:rsid w:val="00D76A44"/>
    <w:rsid w:val="00D806FD"/>
    <w:rsid w:val="00D819CB"/>
    <w:rsid w:val="00D82006"/>
    <w:rsid w:val="00D828E7"/>
    <w:rsid w:val="00D82BB9"/>
    <w:rsid w:val="00D8608C"/>
    <w:rsid w:val="00D864F5"/>
    <w:rsid w:val="00D86A65"/>
    <w:rsid w:val="00D90B84"/>
    <w:rsid w:val="00D912A1"/>
    <w:rsid w:val="00D91BB4"/>
    <w:rsid w:val="00D93753"/>
    <w:rsid w:val="00D9660C"/>
    <w:rsid w:val="00D96D8D"/>
    <w:rsid w:val="00D97084"/>
    <w:rsid w:val="00DA0877"/>
    <w:rsid w:val="00DA2844"/>
    <w:rsid w:val="00DA28F1"/>
    <w:rsid w:val="00DA34E5"/>
    <w:rsid w:val="00DA36BD"/>
    <w:rsid w:val="00DA4907"/>
    <w:rsid w:val="00DA4CAF"/>
    <w:rsid w:val="00DA589E"/>
    <w:rsid w:val="00DA5CEA"/>
    <w:rsid w:val="00DA7086"/>
    <w:rsid w:val="00DA77A5"/>
    <w:rsid w:val="00DA7C31"/>
    <w:rsid w:val="00DB25D2"/>
    <w:rsid w:val="00DB2666"/>
    <w:rsid w:val="00DB26D1"/>
    <w:rsid w:val="00DB44DB"/>
    <w:rsid w:val="00DB71C1"/>
    <w:rsid w:val="00DB7717"/>
    <w:rsid w:val="00DB7DE5"/>
    <w:rsid w:val="00DC02DC"/>
    <w:rsid w:val="00DC09EB"/>
    <w:rsid w:val="00DC133D"/>
    <w:rsid w:val="00DC315A"/>
    <w:rsid w:val="00DC378E"/>
    <w:rsid w:val="00DC44E1"/>
    <w:rsid w:val="00DC5501"/>
    <w:rsid w:val="00DC56AB"/>
    <w:rsid w:val="00DC7410"/>
    <w:rsid w:val="00DC7DCF"/>
    <w:rsid w:val="00DD1BE3"/>
    <w:rsid w:val="00DD3EE2"/>
    <w:rsid w:val="00DD3F28"/>
    <w:rsid w:val="00DD4537"/>
    <w:rsid w:val="00DD4BC0"/>
    <w:rsid w:val="00DD4E15"/>
    <w:rsid w:val="00DE04CF"/>
    <w:rsid w:val="00DE0A34"/>
    <w:rsid w:val="00DE168F"/>
    <w:rsid w:val="00DE2C66"/>
    <w:rsid w:val="00DE3EF7"/>
    <w:rsid w:val="00DE4FCB"/>
    <w:rsid w:val="00DE5F4F"/>
    <w:rsid w:val="00DF383F"/>
    <w:rsid w:val="00DF4DF3"/>
    <w:rsid w:val="00DF562A"/>
    <w:rsid w:val="00DF5D2B"/>
    <w:rsid w:val="00E01363"/>
    <w:rsid w:val="00E01B62"/>
    <w:rsid w:val="00E01DBA"/>
    <w:rsid w:val="00E04F37"/>
    <w:rsid w:val="00E0762D"/>
    <w:rsid w:val="00E10149"/>
    <w:rsid w:val="00E150B6"/>
    <w:rsid w:val="00E16372"/>
    <w:rsid w:val="00E16DF2"/>
    <w:rsid w:val="00E177AC"/>
    <w:rsid w:val="00E20ED6"/>
    <w:rsid w:val="00E2108D"/>
    <w:rsid w:val="00E21358"/>
    <w:rsid w:val="00E2249B"/>
    <w:rsid w:val="00E22A0D"/>
    <w:rsid w:val="00E23368"/>
    <w:rsid w:val="00E2396B"/>
    <w:rsid w:val="00E25139"/>
    <w:rsid w:val="00E26D63"/>
    <w:rsid w:val="00E272E4"/>
    <w:rsid w:val="00E2771E"/>
    <w:rsid w:val="00E31E70"/>
    <w:rsid w:val="00E37406"/>
    <w:rsid w:val="00E37569"/>
    <w:rsid w:val="00E37A81"/>
    <w:rsid w:val="00E413B0"/>
    <w:rsid w:val="00E41E30"/>
    <w:rsid w:val="00E425BD"/>
    <w:rsid w:val="00E42641"/>
    <w:rsid w:val="00E42C1C"/>
    <w:rsid w:val="00E43D70"/>
    <w:rsid w:val="00E447D0"/>
    <w:rsid w:val="00E44976"/>
    <w:rsid w:val="00E44C87"/>
    <w:rsid w:val="00E46FBD"/>
    <w:rsid w:val="00E47395"/>
    <w:rsid w:val="00E47620"/>
    <w:rsid w:val="00E47B2C"/>
    <w:rsid w:val="00E502EC"/>
    <w:rsid w:val="00E50EB2"/>
    <w:rsid w:val="00E51560"/>
    <w:rsid w:val="00E52332"/>
    <w:rsid w:val="00E53B21"/>
    <w:rsid w:val="00E54220"/>
    <w:rsid w:val="00E55424"/>
    <w:rsid w:val="00E55BB5"/>
    <w:rsid w:val="00E560B9"/>
    <w:rsid w:val="00E564A5"/>
    <w:rsid w:val="00E578F3"/>
    <w:rsid w:val="00E60DD5"/>
    <w:rsid w:val="00E60EC3"/>
    <w:rsid w:val="00E629F8"/>
    <w:rsid w:val="00E65306"/>
    <w:rsid w:val="00E65E79"/>
    <w:rsid w:val="00E67416"/>
    <w:rsid w:val="00E718B6"/>
    <w:rsid w:val="00E73581"/>
    <w:rsid w:val="00E7391D"/>
    <w:rsid w:val="00E769DC"/>
    <w:rsid w:val="00E82FAE"/>
    <w:rsid w:val="00E83B28"/>
    <w:rsid w:val="00E83BDF"/>
    <w:rsid w:val="00E83ECF"/>
    <w:rsid w:val="00E84B60"/>
    <w:rsid w:val="00E84D2E"/>
    <w:rsid w:val="00E85C9F"/>
    <w:rsid w:val="00E86D36"/>
    <w:rsid w:val="00E872D8"/>
    <w:rsid w:val="00E8777B"/>
    <w:rsid w:val="00E87FDA"/>
    <w:rsid w:val="00E903AB"/>
    <w:rsid w:val="00E90581"/>
    <w:rsid w:val="00E9062E"/>
    <w:rsid w:val="00E90B1B"/>
    <w:rsid w:val="00E93C93"/>
    <w:rsid w:val="00E9446E"/>
    <w:rsid w:val="00E94BF5"/>
    <w:rsid w:val="00E95631"/>
    <w:rsid w:val="00E9576E"/>
    <w:rsid w:val="00E96281"/>
    <w:rsid w:val="00E96448"/>
    <w:rsid w:val="00E9708A"/>
    <w:rsid w:val="00E97259"/>
    <w:rsid w:val="00EA0462"/>
    <w:rsid w:val="00EA175E"/>
    <w:rsid w:val="00EA1797"/>
    <w:rsid w:val="00EA1EEC"/>
    <w:rsid w:val="00EA2FA3"/>
    <w:rsid w:val="00EA315C"/>
    <w:rsid w:val="00EA3864"/>
    <w:rsid w:val="00EA3E86"/>
    <w:rsid w:val="00EA5069"/>
    <w:rsid w:val="00EA6F73"/>
    <w:rsid w:val="00EB0120"/>
    <w:rsid w:val="00EB0E78"/>
    <w:rsid w:val="00EB15B6"/>
    <w:rsid w:val="00EB18DB"/>
    <w:rsid w:val="00EB449F"/>
    <w:rsid w:val="00EB4916"/>
    <w:rsid w:val="00EB5560"/>
    <w:rsid w:val="00EB7343"/>
    <w:rsid w:val="00EB73E2"/>
    <w:rsid w:val="00EB75F7"/>
    <w:rsid w:val="00EB786E"/>
    <w:rsid w:val="00EB7F10"/>
    <w:rsid w:val="00EC00C9"/>
    <w:rsid w:val="00EC0E8E"/>
    <w:rsid w:val="00EC2DA8"/>
    <w:rsid w:val="00EC53DC"/>
    <w:rsid w:val="00EC6A52"/>
    <w:rsid w:val="00EC6B51"/>
    <w:rsid w:val="00EC72CF"/>
    <w:rsid w:val="00ED29A7"/>
    <w:rsid w:val="00ED2BF1"/>
    <w:rsid w:val="00ED2FF6"/>
    <w:rsid w:val="00ED5AEE"/>
    <w:rsid w:val="00ED6A1F"/>
    <w:rsid w:val="00EE05E0"/>
    <w:rsid w:val="00EE07D3"/>
    <w:rsid w:val="00EE0CFA"/>
    <w:rsid w:val="00EE2E70"/>
    <w:rsid w:val="00EE3E3E"/>
    <w:rsid w:val="00EE5F40"/>
    <w:rsid w:val="00EE604E"/>
    <w:rsid w:val="00EE6904"/>
    <w:rsid w:val="00EE6F2A"/>
    <w:rsid w:val="00EE7E13"/>
    <w:rsid w:val="00EF0834"/>
    <w:rsid w:val="00EF2E06"/>
    <w:rsid w:val="00EF3388"/>
    <w:rsid w:val="00EF6225"/>
    <w:rsid w:val="00EF72F1"/>
    <w:rsid w:val="00F002D5"/>
    <w:rsid w:val="00F004A0"/>
    <w:rsid w:val="00F0319F"/>
    <w:rsid w:val="00F063FB"/>
    <w:rsid w:val="00F066F9"/>
    <w:rsid w:val="00F067A2"/>
    <w:rsid w:val="00F12474"/>
    <w:rsid w:val="00F12AA7"/>
    <w:rsid w:val="00F15723"/>
    <w:rsid w:val="00F158C6"/>
    <w:rsid w:val="00F1777E"/>
    <w:rsid w:val="00F208A9"/>
    <w:rsid w:val="00F20DE8"/>
    <w:rsid w:val="00F2235A"/>
    <w:rsid w:val="00F230FD"/>
    <w:rsid w:val="00F24837"/>
    <w:rsid w:val="00F2575F"/>
    <w:rsid w:val="00F30710"/>
    <w:rsid w:val="00F30ED2"/>
    <w:rsid w:val="00F319B6"/>
    <w:rsid w:val="00F33DE9"/>
    <w:rsid w:val="00F3619A"/>
    <w:rsid w:val="00F37518"/>
    <w:rsid w:val="00F40AFF"/>
    <w:rsid w:val="00F4199E"/>
    <w:rsid w:val="00F429A0"/>
    <w:rsid w:val="00F451CC"/>
    <w:rsid w:val="00F461F6"/>
    <w:rsid w:val="00F468ED"/>
    <w:rsid w:val="00F46CB6"/>
    <w:rsid w:val="00F47E19"/>
    <w:rsid w:val="00F51A30"/>
    <w:rsid w:val="00F52A13"/>
    <w:rsid w:val="00F55E73"/>
    <w:rsid w:val="00F566ED"/>
    <w:rsid w:val="00F56C87"/>
    <w:rsid w:val="00F5795F"/>
    <w:rsid w:val="00F60092"/>
    <w:rsid w:val="00F60CE4"/>
    <w:rsid w:val="00F60E71"/>
    <w:rsid w:val="00F61E4A"/>
    <w:rsid w:val="00F630D0"/>
    <w:rsid w:val="00F6373E"/>
    <w:rsid w:val="00F63FB5"/>
    <w:rsid w:val="00F63FF7"/>
    <w:rsid w:val="00F651D2"/>
    <w:rsid w:val="00F73162"/>
    <w:rsid w:val="00F73513"/>
    <w:rsid w:val="00F74365"/>
    <w:rsid w:val="00F7454C"/>
    <w:rsid w:val="00F76766"/>
    <w:rsid w:val="00F7786D"/>
    <w:rsid w:val="00F804AC"/>
    <w:rsid w:val="00F80E5D"/>
    <w:rsid w:val="00F8151D"/>
    <w:rsid w:val="00F815E7"/>
    <w:rsid w:val="00F81A9B"/>
    <w:rsid w:val="00F82426"/>
    <w:rsid w:val="00F82535"/>
    <w:rsid w:val="00F8427D"/>
    <w:rsid w:val="00F851CE"/>
    <w:rsid w:val="00F90475"/>
    <w:rsid w:val="00F9210E"/>
    <w:rsid w:val="00F94234"/>
    <w:rsid w:val="00F9712A"/>
    <w:rsid w:val="00F97A78"/>
    <w:rsid w:val="00FA00C3"/>
    <w:rsid w:val="00FA0D5F"/>
    <w:rsid w:val="00FA0E4A"/>
    <w:rsid w:val="00FA24E7"/>
    <w:rsid w:val="00FA572A"/>
    <w:rsid w:val="00FA6A50"/>
    <w:rsid w:val="00FA7D4F"/>
    <w:rsid w:val="00FB0EBA"/>
    <w:rsid w:val="00FB2860"/>
    <w:rsid w:val="00FB2FCB"/>
    <w:rsid w:val="00FB5A62"/>
    <w:rsid w:val="00FB6356"/>
    <w:rsid w:val="00FB6EE4"/>
    <w:rsid w:val="00FB7DCA"/>
    <w:rsid w:val="00FC04F5"/>
    <w:rsid w:val="00FC1074"/>
    <w:rsid w:val="00FC1211"/>
    <w:rsid w:val="00FC15B7"/>
    <w:rsid w:val="00FC1647"/>
    <w:rsid w:val="00FC1884"/>
    <w:rsid w:val="00FC5450"/>
    <w:rsid w:val="00FC562E"/>
    <w:rsid w:val="00FC656C"/>
    <w:rsid w:val="00FC754E"/>
    <w:rsid w:val="00FD031E"/>
    <w:rsid w:val="00FD13E5"/>
    <w:rsid w:val="00FD2100"/>
    <w:rsid w:val="00FD446D"/>
    <w:rsid w:val="00FD4CEB"/>
    <w:rsid w:val="00FE0588"/>
    <w:rsid w:val="00FE0BCD"/>
    <w:rsid w:val="00FE4BA5"/>
    <w:rsid w:val="00FE5781"/>
    <w:rsid w:val="00FE6838"/>
    <w:rsid w:val="00FE697F"/>
    <w:rsid w:val="00FE7C55"/>
    <w:rsid w:val="00FF084C"/>
    <w:rsid w:val="00FF23FC"/>
    <w:rsid w:val="00FF26F6"/>
    <w:rsid w:val="00FF3DCF"/>
    <w:rsid w:val="00FF48E5"/>
    <w:rsid w:val="00FF4F33"/>
    <w:rsid w:val="00FF5667"/>
    <w:rsid w:val="00FF5A52"/>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PBACHeading1"/>
    <w:next w:val="Normal"/>
    <w:link w:val="Heading2Char"/>
    <w:qFormat/>
    <w:rsid w:val="00924E0A"/>
    <w:pPr>
      <w:outlineLvl w:val="1"/>
    </w:pPr>
  </w:style>
  <w:style w:type="paragraph" w:styleId="Heading3">
    <w:name w:val="heading 3"/>
    <w:basedOn w:val="Normal"/>
    <w:next w:val="Normal"/>
    <w:qFormat/>
    <w:rsid w:val="00924E0A"/>
    <w:pPr>
      <w:outlineLvl w:val="2"/>
    </w:pPr>
    <w:rPr>
      <w:b/>
      <w:bCs/>
      <w:szCs w:val="22"/>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24E0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 H17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Table">
    <w:name w:val="Table"/>
    <w:basedOn w:val="Normal"/>
    <w:link w:val="TableChar"/>
    <w:qFormat/>
    <w:rsid w:val="007A65A9"/>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7A65A9"/>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7A65A9"/>
    <w:rPr>
      <w:rFonts w:ascii="Candara" w:hAnsi="Candara"/>
      <w:sz w:val="20"/>
    </w:rPr>
  </w:style>
  <w:style w:type="paragraph" w:customStyle="1" w:styleId="Body">
    <w:name w:val="Body"/>
    <w:basedOn w:val="Normal"/>
    <w:link w:val="BodyChar"/>
    <w:qFormat/>
    <w:rsid w:val="00230E1F"/>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230E1F"/>
    <w:rPr>
      <w:rFonts w:ascii="Calibri" w:eastAsia="Calibri" w:hAnsi="Calibri" w:cs="Calibri"/>
      <w:sz w:val="24"/>
      <w:lang w:eastAsia="en-US"/>
    </w:rPr>
  </w:style>
  <w:style w:type="paragraph" w:customStyle="1" w:styleId="Default">
    <w:name w:val="Default"/>
    <w:rsid w:val="00FC562E"/>
    <w:pPr>
      <w:autoSpaceDE w:val="0"/>
      <w:autoSpaceDN w:val="0"/>
      <w:adjustRightInd w:val="0"/>
    </w:pPr>
    <w:rPr>
      <w:color w:val="000000"/>
      <w:sz w:val="24"/>
      <w:szCs w:val="24"/>
      <w:lang w:val="en-US" w:eastAsia="en-US"/>
    </w:rPr>
  </w:style>
  <w:style w:type="character" w:styleId="Emphasis">
    <w:name w:val="Emphasis"/>
    <w:basedOn w:val="DefaultParagraphFont"/>
    <w:uiPriority w:val="20"/>
    <w:qFormat/>
    <w:rsid w:val="003B420D"/>
    <w:rPr>
      <w:i/>
      <w:iCs/>
    </w:rPr>
  </w:style>
  <w:style w:type="paragraph" w:customStyle="1" w:styleId="TableCentre">
    <w:name w:val="Table Centre"/>
    <w:basedOn w:val="Table"/>
    <w:qFormat/>
    <w:rsid w:val="009733CD"/>
    <w:pPr>
      <w:jc w:val="center"/>
    </w:pPr>
  </w:style>
  <w:style w:type="paragraph" w:customStyle="1" w:styleId="CaptionFootnote">
    <w:name w:val="Caption Footnote"/>
    <w:basedOn w:val="Caption"/>
    <w:uiPriority w:val="99"/>
    <w:qFormat/>
    <w:rsid w:val="009733CD"/>
    <w:pPr>
      <w:spacing w:after="0"/>
      <w:jc w:val="left"/>
    </w:pPr>
    <w:rPr>
      <w:rFonts w:ascii="Candara" w:eastAsiaTheme="majorEastAsia" w:hAnsi="Candara" w:cstheme="majorBidi"/>
      <w:b w:val="0"/>
      <w:snapToGrid/>
      <w:color w:val="auto"/>
      <w:sz w:val="16"/>
      <w:lang w:bidi="en-US"/>
    </w:rPr>
  </w:style>
  <w:style w:type="paragraph" w:styleId="FootnoteText">
    <w:name w:val="footnote text"/>
    <w:basedOn w:val="Normal"/>
    <w:link w:val="FootnoteTextChar"/>
    <w:unhideWhenUsed/>
    <w:rsid w:val="00277375"/>
    <w:rPr>
      <w:sz w:val="20"/>
    </w:rPr>
  </w:style>
  <w:style w:type="character" w:customStyle="1" w:styleId="FootnoteTextChar">
    <w:name w:val="Footnote Text Char"/>
    <w:basedOn w:val="DefaultParagraphFont"/>
    <w:link w:val="FootnoteText"/>
    <w:rsid w:val="00277375"/>
    <w:rPr>
      <w:rFonts w:ascii="Arial" w:hAnsi="Arial" w:cs="Arial"/>
      <w:snapToGrid w:val="0"/>
      <w:lang w:eastAsia="en-US"/>
    </w:rPr>
  </w:style>
  <w:style w:type="character" w:styleId="FootnoteReference">
    <w:name w:val="footnote reference"/>
    <w:basedOn w:val="DefaultParagraphFont"/>
    <w:semiHidden/>
    <w:unhideWhenUsed/>
    <w:rsid w:val="00277375"/>
    <w:rPr>
      <w:vertAlign w:val="superscript"/>
    </w:rPr>
  </w:style>
  <w:style w:type="character" w:customStyle="1" w:styleId="SmallBold">
    <w:name w:val="Small Bold"/>
    <w:basedOn w:val="Small"/>
    <w:uiPriority w:val="4"/>
    <w:qFormat/>
    <w:rsid w:val="00CD714B"/>
    <w:rPr>
      <w:rFonts w:ascii="Candara" w:hAnsi="Candara"/>
      <w:b/>
      <w:sz w:val="20"/>
      <w:lang w:val="en-AU"/>
    </w:rPr>
  </w:style>
  <w:style w:type="paragraph" w:customStyle="1" w:styleId="NormalBulletList">
    <w:name w:val="Normal Bullet List"/>
    <w:basedOn w:val="Normal"/>
    <w:uiPriority w:val="3"/>
    <w:qFormat/>
    <w:rsid w:val="00B14595"/>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TableRight">
    <w:name w:val="Table Right"/>
    <w:basedOn w:val="Table"/>
    <w:next w:val="Table"/>
    <w:qFormat/>
    <w:rsid w:val="009B6DC0"/>
    <w:pPr>
      <w:jc w:val="right"/>
    </w:pPr>
  </w:style>
  <w:style w:type="character" w:customStyle="1" w:styleId="apple-converted-space">
    <w:name w:val="apple-converted-space"/>
    <w:basedOn w:val="DefaultParagraphFont"/>
    <w:rsid w:val="00631F57"/>
  </w:style>
  <w:style w:type="paragraph" w:customStyle="1" w:styleId="volissue">
    <w:name w:val="volissue"/>
    <w:basedOn w:val="Normal"/>
    <w:rsid w:val="001C2E41"/>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cit-conf-name">
    <w:name w:val="cit-conf-name"/>
    <w:basedOn w:val="DefaultParagraphFont"/>
    <w:rsid w:val="00241605"/>
  </w:style>
  <w:style w:type="character" w:customStyle="1" w:styleId="cit-conf-loc">
    <w:name w:val="cit-conf-loc"/>
    <w:basedOn w:val="DefaultParagraphFont"/>
    <w:rsid w:val="00241605"/>
  </w:style>
  <w:style w:type="character" w:customStyle="1" w:styleId="cit-pub-date">
    <w:name w:val="cit-pub-date"/>
    <w:basedOn w:val="DefaultParagraphFont"/>
    <w:rsid w:val="00241605"/>
  </w:style>
  <w:style w:type="paragraph" w:styleId="PlainText">
    <w:name w:val="Plain Text"/>
    <w:basedOn w:val="Normal"/>
    <w:link w:val="PlainTextChar"/>
    <w:uiPriority w:val="99"/>
    <w:unhideWhenUsed/>
    <w:rsid w:val="009131C0"/>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PlainTextChar">
    <w:name w:val="Plain Text Char"/>
    <w:basedOn w:val="DefaultParagraphFont"/>
    <w:link w:val="PlainText"/>
    <w:uiPriority w:val="99"/>
    <w:rsid w:val="009131C0"/>
    <w:rPr>
      <w:sz w:val="24"/>
      <w:szCs w:val="24"/>
    </w:rPr>
  </w:style>
  <w:style w:type="paragraph" w:customStyle="1" w:styleId="TableBullets">
    <w:name w:val="Table Bullets"/>
    <w:basedOn w:val="Table"/>
    <w:uiPriority w:val="5"/>
    <w:qFormat/>
    <w:rsid w:val="0023473E"/>
    <w:pPr>
      <w:numPr>
        <w:numId w:val="5"/>
      </w:numPr>
    </w:pPr>
  </w:style>
  <w:style w:type="character" w:customStyle="1" w:styleId="h2">
    <w:name w:val="h2"/>
    <w:basedOn w:val="DefaultParagraphFont"/>
    <w:rsid w:val="009507EE"/>
  </w:style>
  <w:style w:type="character" w:customStyle="1" w:styleId="headingendmark">
    <w:name w:val="headingendmark"/>
    <w:basedOn w:val="DefaultParagraphFont"/>
    <w:rsid w:val="009507EE"/>
  </w:style>
  <w:style w:type="paragraph" w:customStyle="1" w:styleId="headinganchor">
    <w:name w:val="headinganchor"/>
    <w:basedOn w:val="Normal"/>
    <w:rsid w:val="00942841"/>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SmallHighlight">
    <w:name w:val="Small Highlight"/>
    <w:basedOn w:val="Small"/>
    <w:uiPriority w:val="1"/>
    <w:qFormat/>
    <w:rsid w:val="000F02E4"/>
    <w:rPr>
      <w:rFonts w:ascii="Candara" w:hAnsi="Candara"/>
      <w:sz w:val="20"/>
      <w:bdr w:val="none" w:sz="0" w:space="0" w:color="auto"/>
      <w:shd w:val="clear" w:color="auto" w:fill="FFFF00"/>
    </w:rPr>
  </w:style>
  <w:style w:type="paragraph" w:customStyle="1" w:styleId="TableFigNotes0">
    <w:name w:val="TableFigNotes+0"/>
    <w:basedOn w:val="Normal"/>
    <w:uiPriority w:val="4"/>
    <w:rsid w:val="00E52332"/>
    <w:pPr>
      <w:keepNext/>
      <w:keepLines/>
      <w:widowControl/>
      <w:jc w:val="left"/>
    </w:pPr>
    <w:rPr>
      <w:rFonts w:ascii="Calibri" w:hAnsi="Calibri" w:cs="Tahoma"/>
      <w:snapToGrid/>
      <w:color w:val="000000"/>
      <w:sz w:val="16"/>
      <w:szCs w:val="18"/>
      <w:lang w:val="en-US" w:eastAsia="en-AU"/>
    </w:rPr>
  </w:style>
  <w:style w:type="table" w:customStyle="1" w:styleId="OPTUMTableNormal">
    <w:name w:val="OPTUM Table Normal"/>
    <w:basedOn w:val="TableNormal"/>
    <w:rsid w:val="00E5233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17A65"/>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817A65"/>
    <w:rPr>
      <w:rFonts w:ascii="Arial" w:hAnsi="Arial" w:cs="Arial"/>
      <w:snapToGrid w:val="0"/>
      <w:sz w:val="22"/>
      <w:lang w:eastAsia="en-US"/>
    </w:rPr>
  </w:style>
  <w:style w:type="character" w:customStyle="1" w:styleId="None">
    <w:name w:val="None"/>
    <w:rsid w:val="00CC7305"/>
  </w:style>
  <w:style w:type="numbering" w:customStyle="1" w:styleId="ImportedStyle1">
    <w:name w:val="Imported Style 1"/>
    <w:rsid w:val="00CC7305"/>
    <w:pPr>
      <w:numPr>
        <w:numId w:val="7"/>
      </w:numPr>
    </w:pPr>
  </w:style>
  <w:style w:type="character" w:styleId="IntenseReference">
    <w:name w:val="Intense Reference"/>
    <w:basedOn w:val="DefaultParagraphFont"/>
    <w:uiPriority w:val="32"/>
    <w:rsid w:val="002431F7"/>
    <w:rPr>
      <w:b/>
      <w:bCs/>
      <w:smallCaps/>
      <w:color w:val="C0504D" w:themeColor="accent2"/>
      <w:spacing w:val="5"/>
      <w:u w:val="single"/>
    </w:rPr>
  </w:style>
  <w:style w:type="character" w:styleId="FollowedHyperlink">
    <w:name w:val="FollowedHyperlink"/>
    <w:basedOn w:val="DefaultParagraphFont"/>
    <w:semiHidden/>
    <w:unhideWhenUsed/>
    <w:rsid w:val="008352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PBACHeading1"/>
    <w:next w:val="Normal"/>
    <w:link w:val="Heading2Char"/>
    <w:qFormat/>
    <w:rsid w:val="00924E0A"/>
    <w:pPr>
      <w:outlineLvl w:val="1"/>
    </w:pPr>
  </w:style>
  <w:style w:type="paragraph" w:styleId="Heading3">
    <w:name w:val="heading 3"/>
    <w:basedOn w:val="Normal"/>
    <w:next w:val="Normal"/>
    <w:qFormat/>
    <w:rsid w:val="00924E0A"/>
    <w:pPr>
      <w:outlineLvl w:val="2"/>
    </w:pPr>
    <w:rPr>
      <w:b/>
      <w:bCs/>
      <w:szCs w:val="22"/>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24E0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 H17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Table">
    <w:name w:val="Table"/>
    <w:basedOn w:val="Normal"/>
    <w:link w:val="TableChar"/>
    <w:qFormat/>
    <w:rsid w:val="007A65A9"/>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7A65A9"/>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7A65A9"/>
    <w:rPr>
      <w:rFonts w:ascii="Candara" w:hAnsi="Candara"/>
      <w:sz w:val="20"/>
    </w:rPr>
  </w:style>
  <w:style w:type="paragraph" w:customStyle="1" w:styleId="Body">
    <w:name w:val="Body"/>
    <w:basedOn w:val="Normal"/>
    <w:link w:val="BodyChar"/>
    <w:qFormat/>
    <w:rsid w:val="00230E1F"/>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230E1F"/>
    <w:rPr>
      <w:rFonts w:ascii="Calibri" w:eastAsia="Calibri" w:hAnsi="Calibri" w:cs="Calibri"/>
      <w:sz w:val="24"/>
      <w:lang w:eastAsia="en-US"/>
    </w:rPr>
  </w:style>
  <w:style w:type="paragraph" w:customStyle="1" w:styleId="Default">
    <w:name w:val="Default"/>
    <w:rsid w:val="00FC562E"/>
    <w:pPr>
      <w:autoSpaceDE w:val="0"/>
      <w:autoSpaceDN w:val="0"/>
      <w:adjustRightInd w:val="0"/>
    </w:pPr>
    <w:rPr>
      <w:color w:val="000000"/>
      <w:sz w:val="24"/>
      <w:szCs w:val="24"/>
      <w:lang w:val="en-US" w:eastAsia="en-US"/>
    </w:rPr>
  </w:style>
  <w:style w:type="character" w:styleId="Emphasis">
    <w:name w:val="Emphasis"/>
    <w:basedOn w:val="DefaultParagraphFont"/>
    <w:uiPriority w:val="20"/>
    <w:qFormat/>
    <w:rsid w:val="003B420D"/>
    <w:rPr>
      <w:i/>
      <w:iCs/>
    </w:rPr>
  </w:style>
  <w:style w:type="paragraph" w:customStyle="1" w:styleId="TableCentre">
    <w:name w:val="Table Centre"/>
    <w:basedOn w:val="Table"/>
    <w:qFormat/>
    <w:rsid w:val="009733CD"/>
    <w:pPr>
      <w:jc w:val="center"/>
    </w:pPr>
  </w:style>
  <w:style w:type="paragraph" w:customStyle="1" w:styleId="CaptionFootnote">
    <w:name w:val="Caption Footnote"/>
    <w:basedOn w:val="Caption"/>
    <w:uiPriority w:val="99"/>
    <w:qFormat/>
    <w:rsid w:val="009733CD"/>
    <w:pPr>
      <w:spacing w:after="0"/>
      <w:jc w:val="left"/>
    </w:pPr>
    <w:rPr>
      <w:rFonts w:ascii="Candara" w:eastAsiaTheme="majorEastAsia" w:hAnsi="Candara" w:cstheme="majorBidi"/>
      <w:b w:val="0"/>
      <w:snapToGrid/>
      <w:color w:val="auto"/>
      <w:sz w:val="16"/>
      <w:lang w:bidi="en-US"/>
    </w:rPr>
  </w:style>
  <w:style w:type="paragraph" w:styleId="FootnoteText">
    <w:name w:val="footnote text"/>
    <w:basedOn w:val="Normal"/>
    <w:link w:val="FootnoteTextChar"/>
    <w:unhideWhenUsed/>
    <w:rsid w:val="00277375"/>
    <w:rPr>
      <w:sz w:val="20"/>
    </w:rPr>
  </w:style>
  <w:style w:type="character" w:customStyle="1" w:styleId="FootnoteTextChar">
    <w:name w:val="Footnote Text Char"/>
    <w:basedOn w:val="DefaultParagraphFont"/>
    <w:link w:val="FootnoteText"/>
    <w:rsid w:val="00277375"/>
    <w:rPr>
      <w:rFonts w:ascii="Arial" w:hAnsi="Arial" w:cs="Arial"/>
      <w:snapToGrid w:val="0"/>
      <w:lang w:eastAsia="en-US"/>
    </w:rPr>
  </w:style>
  <w:style w:type="character" w:styleId="FootnoteReference">
    <w:name w:val="footnote reference"/>
    <w:basedOn w:val="DefaultParagraphFont"/>
    <w:semiHidden/>
    <w:unhideWhenUsed/>
    <w:rsid w:val="00277375"/>
    <w:rPr>
      <w:vertAlign w:val="superscript"/>
    </w:rPr>
  </w:style>
  <w:style w:type="character" w:customStyle="1" w:styleId="SmallBold">
    <w:name w:val="Small Bold"/>
    <w:basedOn w:val="Small"/>
    <w:uiPriority w:val="4"/>
    <w:qFormat/>
    <w:rsid w:val="00CD714B"/>
    <w:rPr>
      <w:rFonts w:ascii="Candara" w:hAnsi="Candara"/>
      <w:b/>
      <w:sz w:val="20"/>
      <w:lang w:val="en-AU"/>
    </w:rPr>
  </w:style>
  <w:style w:type="paragraph" w:customStyle="1" w:styleId="NormalBulletList">
    <w:name w:val="Normal Bullet List"/>
    <w:basedOn w:val="Normal"/>
    <w:uiPriority w:val="3"/>
    <w:qFormat/>
    <w:rsid w:val="00B14595"/>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TableRight">
    <w:name w:val="Table Right"/>
    <w:basedOn w:val="Table"/>
    <w:next w:val="Table"/>
    <w:qFormat/>
    <w:rsid w:val="009B6DC0"/>
    <w:pPr>
      <w:jc w:val="right"/>
    </w:pPr>
  </w:style>
  <w:style w:type="character" w:customStyle="1" w:styleId="apple-converted-space">
    <w:name w:val="apple-converted-space"/>
    <w:basedOn w:val="DefaultParagraphFont"/>
    <w:rsid w:val="00631F57"/>
  </w:style>
  <w:style w:type="paragraph" w:customStyle="1" w:styleId="volissue">
    <w:name w:val="volissue"/>
    <w:basedOn w:val="Normal"/>
    <w:rsid w:val="001C2E41"/>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cit-conf-name">
    <w:name w:val="cit-conf-name"/>
    <w:basedOn w:val="DefaultParagraphFont"/>
    <w:rsid w:val="00241605"/>
  </w:style>
  <w:style w:type="character" w:customStyle="1" w:styleId="cit-conf-loc">
    <w:name w:val="cit-conf-loc"/>
    <w:basedOn w:val="DefaultParagraphFont"/>
    <w:rsid w:val="00241605"/>
  </w:style>
  <w:style w:type="character" w:customStyle="1" w:styleId="cit-pub-date">
    <w:name w:val="cit-pub-date"/>
    <w:basedOn w:val="DefaultParagraphFont"/>
    <w:rsid w:val="00241605"/>
  </w:style>
  <w:style w:type="paragraph" w:styleId="PlainText">
    <w:name w:val="Plain Text"/>
    <w:basedOn w:val="Normal"/>
    <w:link w:val="PlainTextChar"/>
    <w:uiPriority w:val="99"/>
    <w:unhideWhenUsed/>
    <w:rsid w:val="009131C0"/>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PlainTextChar">
    <w:name w:val="Plain Text Char"/>
    <w:basedOn w:val="DefaultParagraphFont"/>
    <w:link w:val="PlainText"/>
    <w:uiPriority w:val="99"/>
    <w:rsid w:val="009131C0"/>
    <w:rPr>
      <w:sz w:val="24"/>
      <w:szCs w:val="24"/>
    </w:rPr>
  </w:style>
  <w:style w:type="paragraph" w:customStyle="1" w:styleId="TableBullets">
    <w:name w:val="Table Bullets"/>
    <w:basedOn w:val="Table"/>
    <w:uiPriority w:val="5"/>
    <w:qFormat/>
    <w:rsid w:val="0023473E"/>
    <w:pPr>
      <w:numPr>
        <w:numId w:val="5"/>
      </w:numPr>
    </w:pPr>
  </w:style>
  <w:style w:type="character" w:customStyle="1" w:styleId="h2">
    <w:name w:val="h2"/>
    <w:basedOn w:val="DefaultParagraphFont"/>
    <w:rsid w:val="009507EE"/>
  </w:style>
  <w:style w:type="character" w:customStyle="1" w:styleId="headingendmark">
    <w:name w:val="headingendmark"/>
    <w:basedOn w:val="DefaultParagraphFont"/>
    <w:rsid w:val="009507EE"/>
  </w:style>
  <w:style w:type="paragraph" w:customStyle="1" w:styleId="headinganchor">
    <w:name w:val="headinganchor"/>
    <w:basedOn w:val="Normal"/>
    <w:rsid w:val="00942841"/>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SmallHighlight">
    <w:name w:val="Small Highlight"/>
    <w:basedOn w:val="Small"/>
    <w:uiPriority w:val="1"/>
    <w:qFormat/>
    <w:rsid w:val="000F02E4"/>
    <w:rPr>
      <w:rFonts w:ascii="Candara" w:hAnsi="Candara"/>
      <w:sz w:val="20"/>
      <w:bdr w:val="none" w:sz="0" w:space="0" w:color="auto"/>
      <w:shd w:val="clear" w:color="auto" w:fill="FFFF00"/>
    </w:rPr>
  </w:style>
  <w:style w:type="paragraph" w:customStyle="1" w:styleId="TableFigNotes0">
    <w:name w:val="TableFigNotes+0"/>
    <w:basedOn w:val="Normal"/>
    <w:uiPriority w:val="4"/>
    <w:rsid w:val="00E52332"/>
    <w:pPr>
      <w:keepNext/>
      <w:keepLines/>
      <w:widowControl/>
      <w:jc w:val="left"/>
    </w:pPr>
    <w:rPr>
      <w:rFonts w:ascii="Calibri" w:hAnsi="Calibri" w:cs="Tahoma"/>
      <w:snapToGrid/>
      <w:color w:val="000000"/>
      <w:sz w:val="16"/>
      <w:szCs w:val="18"/>
      <w:lang w:val="en-US" w:eastAsia="en-AU"/>
    </w:rPr>
  </w:style>
  <w:style w:type="table" w:customStyle="1" w:styleId="OPTUMTableNormal">
    <w:name w:val="OPTUM Table Normal"/>
    <w:basedOn w:val="TableNormal"/>
    <w:rsid w:val="00E5233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17A65"/>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817A65"/>
    <w:rPr>
      <w:rFonts w:ascii="Arial" w:hAnsi="Arial" w:cs="Arial"/>
      <w:snapToGrid w:val="0"/>
      <w:sz w:val="22"/>
      <w:lang w:eastAsia="en-US"/>
    </w:rPr>
  </w:style>
  <w:style w:type="character" w:customStyle="1" w:styleId="None">
    <w:name w:val="None"/>
    <w:rsid w:val="00CC7305"/>
  </w:style>
  <w:style w:type="numbering" w:customStyle="1" w:styleId="ImportedStyle1">
    <w:name w:val="Imported Style 1"/>
    <w:rsid w:val="00CC7305"/>
    <w:pPr>
      <w:numPr>
        <w:numId w:val="7"/>
      </w:numPr>
    </w:pPr>
  </w:style>
  <w:style w:type="character" w:styleId="IntenseReference">
    <w:name w:val="Intense Reference"/>
    <w:basedOn w:val="DefaultParagraphFont"/>
    <w:uiPriority w:val="32"/>
    <w:rsid w:val="002431F7"/>
    <w:rPr>
      <w:b/>
      <w:bCs/>
      <w:smallCaps/>
      <w:color w:val="C0504D" w:themeColor="accent2"/>
      <w:spacing w:val="5"/>
      <w:u w:val="single"/>
    </w:rPr>
  </w:style>
  <w:style w:type="character" w:styleId="FollowedHyperlink">
    <w:name w:val="FollowedHyperlink"/>
    <w:basedOn w:val="DefaultParagraphFont"/>
    <w:semiHidden/>
    <w:unhideWhenUsed/>
    <w:rsid w:val="00835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265">
      <w:bodyDiv w:val="1"/>
      <w:marLeft w:val="0"/>
      <w:marRight w:val="0"/>
      <w:marTop w:val="0"/>
      <w:marBottom w:val="0"/>
      <w:divBdr>
        <w:top w:val="none" w:sz="0" w:space="0" w:color="auto"/>
        <w:left w:val="none" w:sz="0" w:space="0" w:color="auto"/>
        <w:bottom w:val="none" w:sz="0" w:space="0" w:color="auto"/>
        <w:right w:val="none" w:sz="0" w:space="0" w:color="auto"/>
      </w:divBdr>
    </w:div>
    <w:div w:id="12002952">
      <w:bodyDiv w:val="1"/>
      <w:marLeft w:val="0"/>
      <w:marRight w:val="0"/>
      <w:marTop w:val="0"/>
      <w:marBottom w:val="0"/>
      <w:divBdr>
        <w:top w:val="none" w:sz="0" w:space="0" w:color="auto"/>
        <w:left w:val="none" w:sz="0" w:space="0" w:color="auto"/>
        <w:bottom w:val="none" w:sz="0" w:space="0" w:color="auto"/>
        <w:right w:val="none" w:sz="0" w:space="0" w:color="auto"/>
      </w:divBdr>
    </w:div>
    <w:div w:id="17199347">
      <w:bodyDiv w:val="1"/>
      <w:marLeft w:val="0"/>
      <w:marRight w:val="0"/>
      <w:marTop w:val="0"/>
      <w:marBottom w:val="0"/>
      <w:divBdr>
        <w:top w:val="none" w:sz="0" w:space="0" w:color="auto"/>
        <w:left w:val="none" w:sz="0" w:space="0" w:color="auto"/>
        <w:bottom w:val="none" w:sz="0" w:space="0" w:color="auto"/>
        <w:right w:val="none" w:sz="0" w:space="0" w:color="auto"/>
      </w:divBdr>
    </w:div>
    <w:div w:id="17826359">
      <w:bodyDiv w:val="1"/>
      <w:marLeft w:val="0"/>
      <w:marRight w:val="0"/>
      <w:marTop w:val="0"/>
      <w:marBottom w:val="0"/>
      <w:divBdr>
        <w:top w:val="none" w:sz="0" w:space="0" w:color="auto"/>
        <w:left w:val="none" w:sz="0" w:space="0" w:color="auto"/>
        <w:bottom w:val="none" w:sz="0" w:space="0" w:color="auto"/>
        <w:right w:val="none" w:sz="0" w:space="0" w:color="auto"/>
      </w:divBdr>
    </w:div>
    <w:div w:id="23987219">
      <w:bodyDiv w:val="1"/>
      <w:marLeft w:val="0"/>
      <w:marRight w:val="0"/>
      <w:marTop w:val="0"/>
      <w:marBottom w:val="0"/>
      <w:divBdr>
        <w:top w:val="none" w:sz="0" w:space="0" w:color="auto"/>
        <w:left w:val="none" w:sz="0" w:space="0" w:color="auto"/>
        <w:bottom w:val="none" w:sz="0" w:space="0" w:color="auto"/>
        <w:right w:val="none" w:sz="0" w:space="0" w:color="auto"/>
      </w:divBdr>
    </w:div>
    <w:div w:id="29111720">
      <w:bodyDiv w:val="1"/>
      <w:marLeft w:val="0"/>
      <w:marRight w:val="0"/>
      <w:marTop w:val="0"/>
      <w:marBottom w:val="0"/>
      <w:divBdr>
        <w:top w:val="none" w:sz="0" w:space="0" w:color="auto"/>
        <w:left w:val="none" w:sz="0" w:space="0" w:color="auto"/>
        <w:bottom w:val="none" w:sz="0" w:space="0" w:color="auto"/>
        <w:right w:val="none" w:sz="0" w:space="0" w:color="auto"/>
      </w:divBdr>
    </w:div>
    <w:div w:id="41944643">
      <w:bodyDiv w:val="1"/>
      <w:marLeft w:val="0"/>
      <w:marRight w:val="0"/>
      <w:marTop w:val="0"/>
      <w:marBottom w:val="0"/>
      <w:divBdr>
        <w:top w:val="none" w:sz="0" w:space="0" w:color="auto"/>
        <w:left w:val="none" w:sz="0" w:space="0" w:color="auto"/>
        <w:bottom w:val="none" w:sz="0" w:space="0" w:color="auto"/>
        <w:right w:val="none" w:sz="0" w:space="0" w:color="auto"/>
      </w:divBdr>
    </w:div>
    <w:div w:id="47800120">
      <w:bodyDiv w:val="1"/>
      <w:marLeft w:val="0"/>
      <w:marRight w:val="0"/>
      <w:marTop w:val="0"/>
      <w:marBottom w:val="0"/>
      <w:divBdr>
        <w:top w:val="none" w:sz="0" w:space="0" w:color="auto"/>
        <w:left w:val="none" w:sz="0" w:space="0" w:color="auto"/>
        <w:bottom w:val="none" w:sz="0" w:space="0" w:color="auto"/>
        <w:right w:val="none" w:sz="0" w:space="0" w:color="auto"/>
      </w:divBdr>
    </w:div>
    <w:div w:id="52434965">
      <w:bodyDiv w:val="1"/>
      <w:marLeft w:val="0"/>
      <w:marRight w:val="0"/>
      <w:marTop w:val="0"/>
      <w:marBottom w:val="0"/>
      <w:divBdr>
        <w:top w:val="none" w:sz="0" w:space="0" w:color="auto"/>
        <w:left w:val="none" w:sz="0" w:space="0" w:color="auto"/>
        <w:bottom w:val="none" w:sz="0" w:space="0" w:color="auto"/>
        <w:right w:val="none" w:sz="0" w:space="0" w:color="auto"/>
      </w:divBdr>
    </w:div>
    <w:div w:id="59334226">
      <w:bodyDiv w:val="1"/>
      <w:marLeft w:val="0"/>
      <w:marRight w:val="0"/>
      <w:marTop w:val="0"/>
      <w:marBottom w:val="0"/>
      <w:divBdr>
        <w:top w:val="none" w:sz="0" w:space="0" w:color="auto"/>
        <w:left w:val="none" w:sz="0" w:space="0" w:color="auto"/>
        <w:bottom w:val="none" w:sz="0" w:space="0" w:color="auto"/>
        <w:right w:val="none" w:sz="0" w:space="0" w:color="auto"/>
      </w:divBdr>
    </w:div>
    <w:div w:id="66222491">
      <w:bodyDiv w:val="1"/>
      <w:marLeft w:val="0"/>
      <w:marRight w:val="0"/>
      <w:marTop w:val="0"/>
      <w:marBottom w:val="0"/>
      <w:divBdr>
        <w:top w:val="none" w:sz="0" w:space="0" w:color="auto"/>
        <w:left w:val="none" w:sz="0" w:space="0" w:color="auto"/>
        <w:bottom w:val="none" w:sz="0" w:space="0" w:color="auto"/>
        <w:right w:val="none" w:sz="0" w:space="0" w:color="auto"/>
      </w:divBdr>
    </w:div>
    <w:div w:id="80759285">
      <w:bodyDiv w:val="1"/>
      <w:marLeft w:val="0"/>
      <w:marRight w:val="0"/>
      <w:marTop w:val="0"/>
      <w:marBottom w:val="0"/>
      <w:divBdr>
        <w:top w:val="none" w:sz="0" w:space="0" w:color="auto"/>
        <w:left w:val="none" w:sz="0" w:space="0" w:color="auto"/>
        <w:bottom w:val="none" w:sz="0" w:space="0" w:color="auto"/>
        <w:right w:val="none" w:sz="0" w:space="0" w:color="auto"/>
      </w:divBdr>
    </w:div>
    <w:div w:id="90667824">
      <w:bodyDiv w:val="1"/>
      <w:marLeft w:val="0"/>
      <w:marRight w:val="0"/>
      <w:marTop w:val="0"/>
      <w:marBottom w:val="0"/>
      <w:divBdr>
        <w:top w:val="none" w:sz="0" w:space="0" w:color="auto"/>
        <w:left w:val="none" w:sz="0" w:space="0" w:color="auto"/>
        <w:bottom w:val="none" w:sz="0" w:space="0" w:color="auto"/>
        <w:right w:val="none" w:sz="0" w:space="0" w:color="auto"/>
      </w:divBdr>
    </w:div>
    <w:div w:id="97605754">
      <w:bodyDiv w:val="1"/>
      <w:marLeft w:val="0"/>
      <w:marRight w:val="0"/>
      <w:marTop w:val="0"/>
      <w:marBottom w:val="0"/>
      <w:divBdr>
        <w:top w:val="none" w:sz="0" w:space="0" w:color="auto"/>
        <w:left w:val="none" w:sz="0" w:space="0" w:color="auto"/>
        <w:bottom w:val="none" w:sz="0" w:space="0" w:color="auto"/>
        <w:right w:val="none" w:sz="0" w:space="0" w:color="auto"/>
      </w:divBdr>
    </w:div>
    <w:div w:id="98258908">
      <w:bodyDiv w:val="1"/>
      <w:marLeft w:val="0"/>
      <w:marRight w:val="0"/>
      <w:marTop w:val="0"/>
      <w:marBottom w:val="0"/>
      <w:divBdr>
        <w:top w:val="none" w:sz="0" w:space="0" w:color="auto"/>
        <w:left w:val="none" w:sz="0" w:space="0" w:color="auto"/>
        <w:bottom w:val="none" w:sz="0" w:space="0" w:color="auto"/>
        <w:right w:val="none" w:sz="0" w:space="0" w:color="auto"/>
      </w:divBdr>
    </w:div>
    <w:div w:id="98531090">
      <w:bodyDiv w:val="1"/>
      <w:marLeft w:val="0"/>
      <w:marRight w:val="0"/>
      <w:marTop w:val="0"/>
      <w:marBottom w:val="0"/>
      <w:divBdr>
        <w:top w:val="none" w:sz="0" w:space="0" w:color="auto"/>
        <w:left w:val="none" w:sz="0" w:space="0" w:color="auto"/>
        <w:bottom w:val="none" w:sz="0" w:space="0" w:color="auto"/>
        <w:right w:val="none" w:sz="0" w:space="0" w:color="auto"/>
      </w:divBdr>
    </w:div>
    <w:div w:id="101656448">
      <w:bodyDiv w:val="1"/>
      <w:marLeft w:val="0"/>
      <w:marRight w:val="0"/>
      <w:marTop w:val="0"/>
      <w:marBottom w:val="0"/>
      <w:divBdr>
        <w:top w:val="none" w:sz="0" w:space="0" w:color="auto"/>
        <w:left w:val="none" w:sz="0" w:space="0" w:color="auto"/>
        <w:bottom w:val="none" w:sz="0" w:space="0" w:color="auto"/>
        <w:right w:val="none" w:sz="0" w:space="0" w:color="auto"/>
      </w:divBdr>
    </w:div>
    <w:div w:id="103228742">
      <w:bodyDiv w:val="1"/>
      <w:marLeft w:val="0"/>
      <w:marRight w:val="0"/>
      <w:marTop w:val="0"/>
      <w:marBottom w:val="0"/>
      <w:divBdr>
        <w:top w:val="none" w:sz="0" w:space="0" w:color="auto"/>
        <w:left w:val="none" w:sz="0" w:space="0" w:color="auto"/>
        <w:bottom w:val="none" w:sz="0" w:space="0" w:color="auto"/>
        <w:right w:val="none" w:sz="0" w:space="0" w:color="auto"/>
      </w:divBdr>
    </w:div>
    <w:div w:id="108016242">
      <w:bodyDiv w:val="1"/>
      <w:marLeft w:val="0"/>
      <w:marRight w:val="0"/>
      <w:marTop w:val="0"/>
      <w:marBottom w:val="0"/>
      <w:divBdr>
        <w:top w:val="none" w:sz="0" w:space="0" w:color="auto"/>
        <w:left w:val="none" w:sz="0" w:space="0" w:color="auto"/>
        <w:bottom w:val="none" w:sz="0" w:space="0" w:color="auto"/>
        <w:right w:val="none" w:sz="0" w:space="0" w:color="auto"/>
      </w:divBdr>
    </w:div>
    <w:div w:id="110129353">
      <w:bodyDiv w:val="1"/>
      <w:marLeft w:val="0"/>
      <w:marRight w:val="0"/>
      <w:marTop w:val="0"/>
      <w:marBottom w:val="0"/>
      <w:divBdr>
        <w:top w:val="none" w:sz="0" w:space="0" w:color="auto"/>
        <w:left w:val="none" w:sz="0" w:space="0" w:color="auto"/>
        <w:bottom w:val="none" w:sz="0" w:space="0" w:color="auto"/>
        <w:right w:val="none" w:sz="0" w:space="0" w:color="auto"/>
      </w:divBdr>
    </w:div>
    <w:div w:id="112287070">
      <w:bodyDiv w:val="1"/>
      <w:marLeft w:val="0"/>
      <w:marRight w:val="0"/>
      <w:marTop w:val="0"/>
      <w:marBottom w:val="0"/>
      <w:divBdr>
        <w:top w:val="none" w:sz="0" w:space="0" w:color="auto"/>
        <w:left w:val="none" w:sz="0" w:space="0" w:color="auto"/>
        <w:bottom w:val="none" w:sz="0" w:space="0" w:color="auto"/>
        <w:right w:val="none" w:sz="0" w:space="0" w:color="auto"/>
      </w:divBdr>
    </w:div>
    <w:div w:id="123741573">
      <w:bodyDiv w:val="1"/>
      <w:marLeft w:val="0"/>
      <w:marRight w:val="0"/>
      <w:marTop w:val="0"/>
      <w:marBottom w:val="0"/>
      <w:divBdr>
        <w:top w:val="none" w:sz="0" w:space="0" w:color="auto"/>
        <w:left w:val="none" w:sz="0" w:space="0" w:color="auto"/>
        <w:bottom w:val="none" w:sz="0" w:space="0" w:color="auto"/>
        <w:right w:val="none" w:sz="0" w:space="0" w:color="auto"/>
      </w:divBdr>
    </w:div>
    <w:div w:id="134881558">
      <w:bodyDiv w:val="1"/>
      <w:marLeft w:val="0"/>
      <w:marRight w:val="0"/>
      <w:marTop w:val="0"/>
      <w:marBottom w:val="0"/>
      <w:divBdr>
        <w:top w:val="none" w:sz="0" w:space="0" w:color="auto"/>
        <w:left w:val="none" w:sz="0" w:space="0" w:color="auto"/>
        <w:bottom w:val="none" w:sz="0" w:space="0" w:color="auto"/>
        <w:right w:val="none" w:sz="0" w:space="0" w:color="auto"/>
      </w:divBdr>
    </w:div>
    <w:div w:id="144782560">
      <w:bodyDiv w:val="1"/>
      <w:marLeft w:val="0"/>
      <w:marRight w:val="0"/>
      <w:marTop w:val="0"/>
      <w:marBottom w:val="0"/>
      <w:divBdr>
        <w:top w:val="none" w:sz="0" w:space="0" w:color="auto"/>
        <w:left w:val="none" w:sz="0" w:space="0" w:color="auto"/>
        <w:bottom w:val="none" w:sz="0" w:space="0" w:color="auto"/>
        <w:right w:val="none" w:sz="0" w:space="0" w:color="auto"/>
      </w:divBdr>
    </w:div>
    <w:div w:id="154029466">
      <w:bodyDiv w:val="1"/>
      <w:marLeft w:val="0"/>
      <w:marRight w:val="0"/>
      <w:marTop w:val="0"/>
      <w:marBottom w:val="0"/>
      <w:divBdr>
        <w:top w:val="none" w:sz="0" w:space="0" w:color="auto"/>
        <w:left w:val="none" w:sz="0" w:space="0" w:color="auto"/>
        <w:bottom w:val="none" w:sz="0" w:space="0" w:color="auto"/>
        <w:right w:val="none" w:sz="0" w:space="0" w:color="auto"/>
      </w:divBdr>
    </w:div>
    <w:div w:id="157767934">
      <w:bodyDiv w:val="1"/>
      <w:marLeft w:val="0"/>
      <w:marRight w:val="0"/>
      <w:marTop w:val="0"/>
      <w:marBottom w:val="0"/>
      <w:divBdr>
        <w:top w:val="none" w:sz="0" w:space="0" w:color="auto"/>
        <w:left w:val="none" w:sz="0" w:space="0" w:color="auto"/>
        <w:bottom w:val="none" w:sz="0" w:space="0" w:color="auto"/>
        <w:right w:val="none" w:sz="0" w:space="0" w:color="auto"/>
      </w:divBdr>
    </w:div>
    <w:div w:id="162937821">
      <w:bodyDiv w:val="1"/>
      <w:marLeft w:val="0"/>
      <w:marRight w:val="0"/>
      <w:marTop w:val="0"/>
      <w:marBottom w:val="0"/>
      <w:divBdr>
        <w:top w:val="none" w:sz="0" w:space="0" w:color="auto"/>
        <w:left w:val="none" w:sz="0" w:space="0" w:color="auto"/>
        <w:bottom w:val="none" w:sz="0" w:space="0" w:color="auto"/>
        <w:right w:val="none" w:sz="0" w:space="0" w:color="auto"/>
      </w:divBdr>
    </w:div>
    <w:div w:id="163056874">
      <w:bodyDiv w:val="1"/>
      <w:marLeft w:val="0"/>
      <w:marRight w:val="0"/>
      <w:marTop w:val="0"/>
      <w:marBottom w:val="0"/>
      <w:divBdr>
        <w:top w:val="none" w:sz="0" w:space="0" w:color="auto"/>
        <w:left w:val="none" w:sz="0" w:space="0" w:color="auto"/>
        <w:bottom w:val="none" w:sz="0" w:space="0" w:color="auto"/>
        <w:right w:val="none" w:sz="0" w:space="0" w:color="auto"/>
      </w:divBdr>
    </w:div>
    <w:div w:id="164591397">
      <w:bodyDiv w:val="1"/>
      <w:marLeft w:val="0"/>
      <w:marRight w:val="0"/>
      <w:marTop w:val="0"/>
      <w:marBottom w:val="0"/>
      <w:divBdr>
        <w:top w:val="none" w:sz="0" w:space="0" w:color="auto"/>
        <w:left w:val="none" w:sz="0" w:space="0" w:color="auto"/>
        <w:bottom w:val="none" w:sz="0" w:space="0" w:color="auto"/>
        <w:right w:val="none" w:sz="0" w:space="0" w:color="auto"/>
      </w:divBdr>
    </w:div>
    <w:div w:id="188033355">
      <w:bodyDiv w:val="1"/>
      <w:marLeft w:val="0"/>
      <w:marRight w:val="0"/>
      <w:marTop w:val="0"/>
      <w:marBottom w:val="0"/>
      <w:divBdr>
        <w:top w:val="none" w:sz="0" w:space="0" w:color="auto"/>
        <w:left w:val="none" w:sz="0" w:space="0" w:color="auto"/>
        <w:bottom w:val="none" w:sz="0" w:space="0" w:color="auto"/>
        <w:right w:val="none" w:sz="0" w:space="0" w:color="auto"/>
      </w:divBdr>
    </w:div>
    <w:div w:id="192037962">
      <w:bodyDiv w:val="1"/>
      <w:marLeft w:val="0"/>
      <w:marRight w:val="0"/>
      <w:marTop w:val="0"/>
      <w:marBottom w:val="0"/>
      <w:divBdr>
        <w:top w:val="none" w:sz="0" w:space="0" w:color="auto"/>
        <w:left w:val="none" w:sz="0" w:space="0" w:color="auto"/>
        <w:bottom w:val="none" w:sz="0" w:space="0" w:color="auto"/>
        <w:right w:val="none" w:sz="0" w:space="0" w:color="auto"/>
      </w:divBdr>
    </w:div>
    <w:div w:id="201751168">
      <w:bodyDiv w:val="1"/>
      <w:marLeft w:val="0"/>
      <w:marRight w:val="0"/>
      <w:marTop w:val="0"/>
      <w:marBottom w:val="0"/>
      <w:divBdr>
        <w:top w:val="none" w:sz="0" w:space="0" w:color="auto"/>
        <w:left w:val="none" w:sz="0" w:space="0" w:color="auto"/>
        <w:bottom w:val="none" w:sz="0" w:space="0" w:color="auto"/>
        <w:right w:val="none" w:sz="0" w:space="0" w:color="auto"/>
      </w:divBdr>
    </w:div>
    <w:div w:id="205339990">
      <w:bodyDiv w:val="1"/>
      <w:marLeft w:val="0"/>
      <w:marRight w:val="0"/>
      <w:marTop w:val="0"/>
      <w:marBottom w:val="0"/>
      <w:divBdr>
        <w:top w:val="none" w:sz="0" w:space="0" w:color="auto"/>
        <w:left w:val="none" w:sz="0" w:space="0" w:color="auto"/>
        <w:bottom w:val="none" w:sz="0" w:space="0" w:color="auto"/>
        <w:right w:val="none" w:sz="0" w:space="0" w:color="auto"/>
      </w:divBdr>
    </w:div>
    <w:div w:id="222832204">
      <w:bodyDiv w:val="1"/>
      <w:marLeft w:val="0"/>
      <w:marRight w:val="0"/>
      <w:marTop w:val="0"/>
      <w:marBottom w:val="0"/>
      <w:divBdr>
        <w:top w:val="none" w:sz="0" w:space="0" w:color="auto"/>
        <w:left w:val="none" w:sz="0" w:space="0" w:color="auto"/>
        <w:bottom w:val="none" w:sz="0" w:space="0" w:color="auto"/>
        <w:right w:val="none" w:sz="0" w:space="0" w:color="auto"/>
      </w:divBdr>
    </w:div>
    <w:div w:id="230043426">
      <w:bodyDiv w:val="1"/>
      <w:marLeft w:val="0"/>
      <w:marRight w:val="0"/>
      <w:marTop w:val="0"/>
      <w:marBottom w:val="0"/>
      <w:divBdr>
        <w:top w:val="none" w:sz="0" w:space="0" w:color="auto"/>
        <w:left w:val="none" w:sz="0" w:space="0" w:color="auto"/>
        <w:bottom w:val="none" w:sz="0" w:space="0" w:color="auto"/>
        <w:right w:val="none" w:sz="0" w:space="0" w:color="auto"/>
      </w:divBdr>
    </w:div>
    <w:div w:id="234559840">
      <w:bodyDiv w:val="1"/>
      <w:marLeft w:val="0"/>
      <w:marRight w:val="0"/>
      <w:marTop w:val="0"/>
      <w:marBottom w:val="0"/>
      <w:divBdr>
        <w:top w:val="none" w:sz="0" w:space="0" w:color="auto"/>
        <w:left w:val="none" w:sz="0" w:space="0" w:color="auto"/>
        <w:bottom w:val="none" w:sz="0" w:space="0" w:color="auto"/>
        <w:right w:val="none" w:sz="0" w:space="0" w:color="auto"/>
      </w:divBdr>
    </w:div>
    <w:div w:id="235014642">
      <w:bodyDiv w:val="1"/>
      <w:marLeft w:val="0"/>
      <w:marRight w:val="0"/>
      <w:marTop w:val="0"/>
      <w:marBottom w:val="0"/>
      <w:divBdr>
        <w:top w:val="none" w:sz="0" w:space="0" w:color="auto"/>
        <w:left w:val="none" w:sz="0" w:space="0" w:color="auto"/>
        <w:bottom w:val="none" w:sz="0" w:space="0" w:color="auto"/>
        <w:right w:val="none" w:sz="0" w:space="0" w:color="auto"/>
      </w:divBdr>
    </w:div>
    <w:div w:id="245070780">
      <w:bodyDiv w:val="1"/>
      <w:marLeft w:val="0"/>
      <w:marRight w:val="0"/>
      <w:marTop w:val="0"/>
      <w:marBottom w:val="0"/>
      <w:divBdr>
        <w:top w:val="none" w:sz="0" w:space="0" w:color="auto"/>
        <w:left w:val="none" w:sz="0" w:space="0" w:color="auto"/>
        <w:bottom w:val="none" w:sz="0" w:space="0" w:color="auto"/>
        <w:right w:val="none" w:sz="0" w:space="0" w:color="auto"/>
      </w:divBdr>
    </w:div>
    <w:div w:id="247616609">
      <w:bodyDiv w:val="1"/>
      <w:marLeft w:val="0"/>
      <w:marRight w:val="0"/>
      <w:marTop w:val="0"/>
      <w:marBottom w:val="0"/>
      <w:divBdr>
        <w:top w:val="none" w:sz="0" w:space="0" w:color="auto"/>
        <w:left w:val="none" w:sz="0" w:space="0" w:color="auto"/>
        <w:bottom w:val="none" w:sz="0" w:space="0" w:color="auto"/>
        <w:right w:val="none" w:sz="0" w:space="0" w:color="auto"/>
      </w:divBdr>
    </w:div>
    <w:div w:id="248662852">
      <w:bodyDiv w:val="1"/>
      <w:marLeft w:val="0"/>
      <w:marRight w:val="0"/>
      <w:marTop w:val="0"/>
      <w:marBottom w:val="0"/>
      <w:divBdr>
        <w:top w:val="none" w:sz="0" w:space="0" w:color="auto"/>
        <w:left w:val="none" w:sz="0" w:space="0" w:color="auto"/>
        <w:bottom w:val="none" w:sz="0" w:space="0" w:color="auto"/>
        <w:right w:val="none" w:sz="0" w:space="0" w:color="auto"/>
      </w:divBdr>
    </w:div>
    <w:div w:id="257254160">
      <w:bodyDiv w:val="1"/>
      <w:marLeft w:val="0"/>
      <w:marRight w:val="0"/>
      <w:marTop w:val="0"/>
      <w:marBottom w:val="0"/>
      <w:divBdr>
        <w:top w:val="none" w:sz="0" w:space="0" w:color="auto"/>
        <w:left w:val="none" w:sz="0" w:space="0" w:color="auto"/>
        <w:bottom w:val="none" w:sz="0" w:space="0" w:color="auto"/>
        <w:right w:val="none" w:sz="0" w:space="0" w:color="auto"/>
      </w:divBdr>
    </w:div>
    <w:div w:id="274409217">
      <w:bodyDiv w:val="1"/>
      <w:marLeft w:val="0"/>
      <w:marRight w:val="0"/>
      <w:marTop w:val="0"/>
      <w:marBottom w:val="0"/>
      <w:divBdr>
        <w:top w:val="none" w:sz="0" w:space="0" w:color="auto"/>
        <w:left w:val="none" w:sz="0" w:space="0" w:color="auto"/>
        <w:bottom w:val="none" w:sz="0" w:space="0" w:color="auto"/>
        <w:right w:val="none" w:sz="0" w:space="0" w:color="auto"/>
      </w:divBdr>
    </w:div>
    <w:div w:id="277838164">
      <w:bodyDiv w:val="1"/>
      <w:marLeft w:val="0"/>
      <w:marRight w:val="0"/>
      <w:marTop w:val="0"/>
      <w:marBottom w:val="0"/>
      <w:divBdr>
        <w:top w:val="none" w:sz="0" w:space="0" w:color="auto"/>
        <w:left w:val="none" w:sz="0" w:space="0" w:color="auto"/>
        <w:bottom w:val="none" w:sz="0" w:space="0" w:color="auto"/>
        <w:right w:val="none" w:sz="0" w:space="0" w:color="auto"/>
      </w:divBdr>
    </w:div>
    <w:div w:id="292910742">
      <w:bodyDiv w:val="1"/>
      <w:marLeft w:val="0"/>
      <w:marRight w:val="0"/>
      <w:marTop w:val="0"/>
      <w:marBottom w:val="0"/>
      <w:divBdr>
        <w:top w:val="none" w:sz="0" w:space="0" w:color="auto"/>
        <w:left w:val="none" w:sz="0" w:space="0" w:color="auto"/>
        <w:bottom w:val="none" w:sz="0" w:space="0" w:color="auto"/>
        <w:right w:val="none" w:sz="0" w:space="0" w:color="auto"/>
      </w:divBdr>
    </w:div>
    <w:div w:id="293297871">
      <w:bodyDiv w:val="1"/>
      <w:marLeft w:val="0"/>
      <w:marRight w:val="0"/>
      <w:marTop w:val="0"/>
      <w:marBottom w:val="0"/>
      <w:divBdr>
        <w:top w:val="none" w:sz="0" w:space="0" w:color="auto"/>
        <w:left w:val="none" w:sz="0" w:space="0" w:color="auto"/>
        <w:bottom w:val="none" w:sz="0" w:space="0" w:color="auto"/>
        <w:right w:val="none" w:sz="0" w:space="0" w:color="auto"/>
      </w:divBdr>
    </w:div>
    <w:div w:id="294063188">
      <w:bodyDiv w:val="1"/>
      <w:marLeft w:val="0"/>
      <w:marRight w:val="0"/>
      <w:marTop w:val="0"/>
      <w:marBottom w:val="0"/>
      <w:divBdr>
        <w:top w:val="none" w:sz="0" w:space="0" w:color="auto"/>
        <w:left w:val="none" w:sz="0" w:space="0" w:color="auto"/>
        <w:bottom w:val="none" w:sz="0" w:space="0" w:color="auto"/>
        <w:right w:val="none" w:sz="0" w:space="0" w:color="auto"/>
      </w:divBdr>
    </w:div>
    <w:div w:id="300310884">
      <w:bodyDiv w:val="1"/>
      <w:marLeft w:val="0"/>
      <w:marRight w:val="0"/>
      <w:marTop w:val="0"/>
      <w:marBottom w:val="0"/>
      <w:divBdr>
        <w:top w:val="none" w:sz="0" w:space="0" w:color="auto"/>
        <w:left w:val="none" w:sz="0" w:space="0" w:color="auto"/>
        <w:bottom w:val="none" w:sz="0" w:space="0" w:color="auto"/>
        <w:right w:val="none" w:sz="0" w:space="0" w:color="auto"/>
      </w:divBdr>
    </w:div>
    <w:div w:id="308752142">
      <w:bodyDiv w:val="1"/>
      <w:marLeft w:val="0"/>
      <w:marRight w:val="0"/>
      <w:marTop w:val="0"/>
      <w:marBottom w:val="0"/>
      <w:divBdr>
        <w:top w:val="none" w:sz="0" w:space="0" w:color="auto"/>
        <w:left w:val="none" w:sz="0" w:space="0" w:color="auto"/>
        <w:bottom w:val="none" w:sz="0" w:space="0" w:color="auto"/>
        <w:right w:val="none" w:sz="0" w:space="0" w:color="auto"/>
      </w:divBdr>
    </w:div>
    <w:div w:id="308903175">
      <w:bodyDiv w:val="1"/>
      <w:marLeft w:val="0"/>
      <w:marRight w:val="0"/>
      <w:marTop w:val="0"/>
      <w:marBottom w:val="0"/>
      <w:divBdr>
        <w:top w:val="none" w:sz="0" w:space="0" w:color="auto"/>
        <w:left w:val="none" w:sz="0" w:space="0" w:color="auto"/>
        <w:bottom w:val="none" w:sz="0" w:space="0" w:color="auto"/>
        <w:right w:val="none" w:sz="0" w:space="0" w:color="auto"/>
      </w:divBdr>
    </w:div>
    <w:div w:id="321079924">
      <w:bodyDiv w:val="1"/>
      <w:marLeft w:val="0"/>
      <w:marRight w:val="0"/>
      <w:marTop w:val="0"/>
      <w:marBottom w:val="0"/>
      <w:divBdr>
        <w:top w:val="none" w:sz="0" w:space="0" w:color="auto"/>
        <w:left w:val="none" w:sz="0" w:space="0" w:color="auto"/>
        <w:bottom w:val="none" w:sz="0" w:space="0" w:color="auto"/>
        <w:right w:val="none" w:sz="0" w:space="0" w:color="auto"/>
      </w:divBdr>
    </w:div>
    <w:div w:id="328489055">
      <w:bodyDiv w:val="1"/>
      <w:marLeft w:val="0"/>
      <w:marRight w:val="0"/>
      <w:marTop w:val="0"/>
      <w:marBottom w:val="0"/>
      <w:divBdr>
        <w:top w:val="none" w:sz="0" w:space="0" w:color="auto"/>
        <w:left w:val="none" w:sz="0" w:space="0" w:color="auto"/>
        <w:bottom w:val="none" w:sz="0" w:space="0" w:color="auto"/>
        <w:right w:val="none" w:sz="0" w:space="0" w:color="auto"/>
      </w:divBdr>
    </w:div>
    <w:div w:id="335377238">
      <w:bodyDiv w:val="1"/>
      <w:marLeft w:val="0"/>
      <w:marRight w:val="0"/>
      <w:marTop w:val="0"/>
      <w:marBottom w:val="0"/>
      <w:divBdr>
        <w:top w:val="none" w:sz="0" w:space="0" w:color="auto"/>
        <w:left w:val="none" w:sz="0" w:space="0" w:color="auto"/>
        <w:bottom w:val="none" w:sz="0" w:space="0" w:color="auto"/>
        <w:right w:val="none" w:sz="0" w:space="0" w:color="auto"/>
      </w:divBdr>
    </w:div>
    <w:div w:id="337536155">
      <w:bodyDiv w:val="1"/>
      <w:marLeft w:val="0"/>
      <w:marRight w:val="0"/>
      <w:marTop w:val="0"/>
      <w:marBottom w:val="0"/>
      <w:divBdr>
        <w:top w:val="none" w:sz="0" w:space="0" w:color="auto"/>
        <w:left w:val="none" w:sz="0" w:space="0" w:color="auto"/>
        <w:bottom w:val="none" w:sz="0" w:space="0" w:color="auto"/>
        <w:right w:val="none" w:sz="0" w:space="0" w:color="auto"/>
      </w:divBdr>
    </w:div>
    <w:div w:id="338703405">
      <w:bodyDiv w:val="1"/>
      <w:marLeft w:val="0"/>
      <w:marRight w:val="0"/>
      <w:marTop w:val="0"/>
      <w:marBottom w:val="0"/>
      <w:divBdr>
        <w:top w:val="none" w:sz="0" w:space="0" w:color="auto"/>
        <w:left w:val="none" w:sz="0" w:space="0" w:color="auto"/>
        <w:bottom w:val="none" w:sz="0" w:space="0" w:color="auto"/>
        <w:right w:val="none" w:sz="0" w:space="0" w:color="auto"/>
      </w:divBdr>
    </w:div>
    <w:div w:id="345794596">
      <w:bodyDiv w:val="1"/>
      <w:marLeft w:val="0"/>
      <w:marRight w:val="0"/>
      <w:marTop w:val="0"/>
      <w:marBottom w:val="0"/>
      <w:divBdr>
        <w:top w:val="none" w:sz="0" w:space="0" w:color="auto"/>
        <w:left w:val="none" w:sz="0" w:space="0" w:color="auto"/>
        <w:bottom w:val="none" w:sz="0" w:space="0" w:color="auto"/>
        <w:right w:val="none" w:sz="0" w:space="0" w:color="auto"/>
      </w:divBdr>
    </w:div>
    <w:div w:id="361324196">
      <w:bodyDiv w:val="1"/>
      <w:marLeft w:val="0"/>
      <w:marRight w:val="0"/>
      <w:marTop w:val="0"/>
      <w:marBottom w:val="0"/>
      <w:divBdr>
        <w:top w:val="none" w:sz="0" w:space="0" w:color="auto"/>
        <w:left w:val="none" w:sz="0" w:space="0" w:color="auto"/>
        <w:bottom w:val="none" w:sz="0" w:space="0" w:color="auto"/>
        <w:right w:val="none" w:sz="0" w:space="0" w:color="auto"/>
      </w:divBdr>
    </w:div>
    <w:div w:id="361710536">
      <w:bodyDiv w:val="1"/>
      <w:marLeft w:val="0"/>
      <w:marRight w:val="0"/>
      <w:marTop w:val="0"/>
      <w:marBottom w:val="0"/>
      <w:divBdr>
        <w:top w:val="none" w:sz="0" w:space="0" w:color="auto"/>
        <w:left w:val="none" w:sz="0" w:space="0" w:color="auto"/>
        <w:bottom w:val="none" w:sz="0" w:space="0" w:color="auto"/>
        <w:right w:val="none" w:sz="0" w:space="0" w:color="auto"/>
      </w:divBdr>
    </w:div>
    <w:div w:id="364524580">
      <w:bodyDiv w:val="1"/>
      <w:marLeft w:val="0"/>
      <w:marRight w:val="0"/>
      <w:marTop w:val="0"/>
      <w:marBottom w:val="0"/>
      <w:divBdr>
        <w:top w:val="none" w:sz="0" w:space="0" w:color="auto"/>
        <w:left w:val="none" w:sz="0" w:space="0" w:color="auto"/>
        <w:bottom w:val="none" w:sz="0" w:space="0" w:color="auto"/>
        <w:right w:val="none" w:sz="0" w:space="0" w:color="auto"/>
      </w:divBdr>
    </w:div>
    <w:div w:id="369845995">
      <w:bodyDiv w:val="1"/>
      <w:marLeft w:val="0"/>
      <w:marRight w:val="0"/>
      <w:marTop w:val="0"/>
      <w:marBottom w:val="0"/>
      <w:divBdr>
        <w:top w:val="none" w:sz="0" w:space="0" w:color="auto"/>
        <w:left w:val="none" w:sz="0" w:space="0" w:color="auto"/>
        <w:bottom w:val="none" w:sz="0" w:space="0" w:color="auto"/>
        <w:right w:val="none" w:sz="0" w:space="0" w:color="auto"/>
      </w:divBdr>
    </w:div>
    <w:div w:id="374697736">
      <w:bodyDiv w:val="1"/>
      <w:marLeft w:val="0"/>
      <w:marRight w:val="0"/>
      <w:marTop w:val="0"/>
      <w:marBottom w:val="0"/>
      <w:divBdr>
        <w:top w:val="none" w:sz="0" w:space="0" w:color="auto"/>
        <w:left w:val="none" w:sz="0" w:space="0" w:color="auto"/>
        <w:bottom w:val="none" w:sz="0" w:space="0" w:color="auto"/>
        <w:right w:val="none" w:sz="0" w:space="0" w:color="auto"/>
      </w:divBdr>
    </w:div>
    <w:div w:id="380254714">
      <w:bodyDiv w:val="1"/>
      <w:marLeft w:val="0"/>
      <w:marRight w:val="0"/>
      <w:marTop w:val="0"/>
      <w:marBottom w:val="0"/>
      <w:divBdr>
        <w:top w:val="none" w:sz="0" w:space="0" w:color="auto"/>
        <w:left w:val="none" w:sz="0" w:space="0" w:color="auto"/>
        <w:bottom w:val="none" w:sz="0" w:space="0" w:color="auto"/>
        <w:right w:val="none" w:sz="0" w:space="0" w:color="auto"/>
      </w:divBdr>
    </w:div>
    <w:div w:id="380597148">
      <w:bodyDiv w:val="1"/>
      <w:marLeft w:val="0"/>
      <w:marRight w:val="0"/>
      <w:marTop w:val="0"/>
      <w:marBottom w:val="0"/>
      <w:divBdr>
        <w:top w:val="none" w:sz="0" w:space="0" w:color="auto"/>
        <w:left w:val="none" w:sz="0" w:space="0" w:color="auto"/>
        <w:bottom w:val="none" w:sz="0" w:space="0" w:color="auto"/>
        <w:right w:val="none" w:sz="0" w:space="0" w:color="auto"/>
      </w:divBdr>
    </w:div>
    <w:div w:id="383260153">
      <w:bodyDiv w:val="1"/>
      <w:marLeft w:val="0"/>
      <w:marRight w:val="0"/>
      <w:marTop w:val="0"/>
      <w:marBottom w:val="0"/>
      <w:divBdr>
        <w:top w:val="none" w:sz="0" w:space="0" w:color="auto"/>
        <w:left w:val="none" w:sz="0" w:space="0" w:color="auto"/>
        <w:bottom w:val="none" w:sz="0" w:space="0" w:color="auto"/>
        <w:right w:val="none" w:sz="0" w:space="0" w:color="auto"/>
      </w:divBdr>
    </w:div>
    <w:div w:id="395515383">
      <w:bodyDiv w:val="1"/>
      <w:marLeft w:val="0"/>
      <w:marRight w:val="0"/>
      <w:marTop w:val="0"/>
      <w:marBottom w:val="0"/>
      <w:divBdr>
        <w:top w:val="none" w:sz="0" w:space="0" w:color="auto"/>
        <w:left w:val="none" w:sz="0" w:space="0" w:color="auto"/>
        <w:bottom w:val="none" w:sz="0" w:space="0" w:color="auto"/>
        <w:right w:val="none" w:sz="0" w:space="0" w:color="auto"/>
      </w:divBdr>
    </w:div>
    <w:div w:id="409277116">
      <w:bodyDiv w:val="1"/>
      <w:marLeft w:val="0"/>
      <w:marRight w:val="0"/>
      <w:marTop w:val="0"/>
      <w:marBottom w:val="0"/>
      <w:divBdr>
        <w:top w:val="none" w:sz="0" w:space="0" w:color="auto"/>
        <w:left w:val="none" w:sz="0" w:space="0" w:color="auto"/>
        <w:bottom w:val="none" w:sz="0" w:space="0" w:color="auto"/>
        <w:right w:val="none" w:sz="0" w:space="0" w:color="auto"/>
      </w:divBdr>
    </w:div>
    <w:div w:id="412239735">
      <w:bodyDiv w:val="1"/>
      <w:marLeft w:val="0"/>
      <w:marRight w:val="0"/>
      <w:marTop w:val="0"/>
      <w:marBottom w:val="0"/>
      <w:divBdr>
        <w:top w:val="none" w:sz="0" w:space="0" w:color="auto"/>
        <w:left w:val="none" w:sz="0" w:space="0" w:color="auto"/>
        <w:bottom w:val="none" w:sz="0" w:space="0" w:color="auto"/>
        <w:right w:val="none" w:sz="0" w:space="0" w:color="auto"/>
      </w:divBdr>
    </w:div>
    <w:div w:id="440494792">
      <w:bodyDiv w:val="1"/>
      <w:marLeft w:val="0"/>
      <w:marRight w:val="0"/>
      <w:marTop w:val="0"/>
      <w:marBottom w:val="0"/>
      <w:divBdr>
        <w:top w:val="none" w:sz="0" w:space="0" w:color="auto"/>
        <w:left w:val="none" w:sz="0" w:space="0" w:color="auto"/>
        <w:bottom w:val="none" w:sz="0" w:space="0" w:color="auto"/>
        <w:right w:val="none" w:sz="0" w:space="0" w:color="auto"/>
      </w:divBdr>
    </w:div>
    <w:div w:id="440614524">
      <w:bodyDiv w:val="1"/>
      <w:marLeft w:val="0"/>
      <w:marRight w:val="0"/>
      <w:marTop w:val="0"/>
      <w:marBottom w:val="0"/>
      <w:divBdr>
        <w:top w:val="none" w:sz="0" w:space="0" w:color="auto"/>
        <w:left w:val="none" w:sz="0" w:space="0" w:color="auto"/>
        <w:bottom w:val="none" w:sz="0" w:space="0" w:color="auto"/>
        <w:right w:val="none" w:sz="0" w:space="0" w:color="auto"/>
      </w:divBdr>
    </w:div>
    <w:div w:id="444731842">
      <w:bodyDiv w:val="1"/>
      <w:marLeft w:val="0"/>
      <w:marRight w:val="0"/>
      <w:marTop w:val="0"/>
      <w:marBottom w:val="0"/>
      <w:divBdr>
        <w:top w:val="none" w:sz="0" w:space="0" w:color="auto"/>
        <w:left w:val="none" w:sz="0" w:space="0" w:color="auto"/>
        <w:bottom w:val="none" w:sz="0" w:space="0" w:color="auto"/>
        <w:right w:val="none" w:sz="0" w:space="0" w:color="auto"/>
      </w:divBdr>
    </w:div>
    <w:div w:id="450171171">
      <w:bodyDiv w:val="1"/>
      <w:marLeft w:val="0"/>
      <w:marRight w:val="0"/>
      <w:marTop w:val="0"/>
      <w:marBottom w:val="0"/>
      <w:divBdr>
        <w:top w:val="none" w:sz="0" w:space="0" w:color="auto"/>
        <w:left w:val="none" w:sz="0" w:space="0" w:color="auto"/>
        <w:bottom w:val="none" w:sz="0" w:space="0" w:color="auto"/>
        <w:right w:val="none" w:sz="0" w:space="0" w:color="auto"/>
      </w:divBdr>
    </w:div>
    <w:div w:id="451291822">
      <w:bodyDiv w:val="1"/>
      <w:marLeft w:val="0"/>
      <w:marRight w:val="0"/>
      <w:marTop w:val="0"/>
      <w:marBottom w:val="0"/>
      <w:divBdr>
        <w:top w:val="none" w:sz="0" w:space="0" w:color="auto"/>
        <w:left w:val="none" w:sz="0" w:space="0" w:color="auto"/>
        <w:bottom w:val="none" w:sz="0" w:space="0" w:color="auto"/>
        <w:right w:val="none" w:sz="0" w:space="0" w:color="auto"/>
      </w:divBdr>
    </w:div>
    <w:div w:id="456339635">
      <w:bodyDiv w:val="1"/>
      <w:marLeft w:val="0"/>
      <w:marRight w:val="0"/>
      <w:marTop w:val="0"/>
      <w:marBottom w:val="0"/>
      <w:divBdr>
        <w:top w:val="none" w:sz="0" w:space="0" w:color="auto"/>
        <w:left w:val="none" w:sz="0" w:space="0" w:color="auto"/>
        <w:bottom w:val="none" w:sz="0" w:space="0" w:color="auto"/>
        <w:right w:val="none" w:sz="0" w:space="0" w:color="auto"/>
      </w:divBdr>
    </w:div>
    <w:div w:id="458764223">
      <w:bodyDiv w:val="1"/>
      <w:marLeft w:val="0"/>
      <w:marRight w:val="0"/>
      <w:marTop w:val="0"/>
      <w:marBottom w:val="0"/>
      <w:divBdr>
        <w:top w:val="none" w:sz="0" w:space="0" w:color="auto"/>
        <w:left w:val="none" w:sz="0" w:space="0" w:color="auto"/>
        <w:bottom w:val="none" w:sz="0" w:space="0" w:color="auto"/>
        <w:right w:val="none" w:sz="0" w:space="0" w:color="auto"/>
      </w:divBdr>
    </w:div>
    <w:div w:id="466702058">
      <w:bodyDiv w:val="1"/>
      <w:marLeft w:val="0"/>
      <w:marRight w:val="0"/>
      <w:marTop w:val="0"/>
      <w:marBottom w:val="0"/>
      <w:divBdr>
        <w:top w:val="none" w:sz="0" w:space="0" w:color="auto"/>
        <w:left w:val="none" w:sz="0" w:space="0" w:color="auto"/>
        <w:bottom w:val="none" w:sz="0" w:space="0" w:color="auto"/>
        <w:right w:val="none" w:sz="0" w:space="0" w:color="auto"/>
      </w:divBdr>
    </w:div>
    <w:div w:id="467479024">
      <w:bodyDiv w:val="1"/>
      <w:marLeft w:val="0"/>
      <w:marRight w:val="0"/>
      <w:marTop w:val="0"/>
      <w:marBottom w:val="0"/>
      <w:divBdr>
        <w:top w:val="none" w:sz="0" w:space="0" w:color="auto"/>
        <w:left w:val="none" w:sz="0" w:space="0" w:color="auto"/>
        <w:bottom w:val="none" w:sz="0" w:space="0" w:color="auto"/>
        <w:right w:val="none" w:sz="0" w:space="0" w:color="auto"/>
      </w:divBdr>
    </w:div>
    <w:div w:id="471485135">
      <w:bodyDiv w:val="1"/>
      <w:marLeft w:val="0"/>
      <w:marRight w:val="0"/>
      <w:marTop w:val="0"/>
      <w:marBottom w:val="0"/>
      <w:divBdr>
        <w:top w:val="none" w:sz="0" w:space="0" w:color="auto"/>
        <w:left w:val="none" w:sz="0" w:space="0" w:color="auto"/>
        <w:bottom w:val="none" w:sz="0" w:space="0" w:color="auto"/>
        <w:right w:val="none" w:sz="0" w:space="0" w:color="auto"/>
      </w:divBdr>
    </w:div>
    <w:div w:id="472915466">
      <w:bodyDiv w:val="1"/>
      <w:marLeft w:val="0"/>
      <w:marRight w:val="0"/>
      <w:marTop w:val="0"/>
      <w:marBottom w:val="0"/>
      <w:divBdr>
        <w:top w:val="none" w:sz="0" w:space="0" w:color="auto"/>
        <w:left w:val="none" w:sz="0" w:space="0" w:color="auto"/>
        <w:bottom w:val="none" w:sz="0" w:space="0" w:color="auto"/>
        <w:right w:val="none" w:sz="0" w:space="0" w:color="auto"/>
      </w:divBdr>
      <w:divsChild>
        <w:div w:id="349379896">
          <w:marLeft w:val="0"/>
          <w:marRight w:val="0"/>
          <w:marTop w:val="0"/>
          <w:marBottom w:val="0"/>
          <w:divBdr>
            <w:top w:val="none" w:sz="0" w:space="0" w:color="auto"/>
            <w:left w:val="none" w:sz="0" w:space="0" w:color="auto"/>
            <w:bottom w:val="none" w:sz="0" w:space="0" w:color="auto"/>
            <w:right w:val="none" w:sz="0" w:space="0" w:color="auto"/>
          </w:divBdr>
        </w:div>
        <w:div w:id="112753870">
          <w:marLeft w:val="0"/>
          <w:marRight w:val="0"/>
          <w:marTop w:val="0"/>
          <w:marBottom w:val="0"/>
          <w:divBdr>
            <w:top w:val="none" w:sz="0" w:space="0" w:color="auto"/>
            <w:left w:val="none" w:sz="0" w:space="0" w:color="auto"/>
            <w:bottom w:val="none" w:sz="0" w:space="0" w:color="auto"/>
            <w:right w:val="none" w:sz="0" w:space="0" w:color="auto"/>
          </w:divBdr>
        </w:div>
        <w:div w:id="555093846">
          <w:marLeft w:val="0"/>
          <w:marRight w:val="0"/>
          <w:marTop w:val="0"/>
          <w:marBottom w:val="0"/>
          <w:divBdr>
            <w:top w:val="none" w:sz="0" w:space="0" w:color="auto"/>
            <w:left w:val="none" w:sz="0" w:space="0" w:color="auto"/>
            <w:bottom w:val="none" w:sz="0" w:space="0" w:color="auto"/>
            <w:right w:val="none" w:sz="0" w:space="0" w:color="auto"/>
          </w:divBdr>
        </w:div>
        <w:div w:id="1536891236">
          <w:marLeft w:val="0"/>
          <w:marRight w:val="0"/>
          <w:marTop w:val="0"/>
          <w:marBottom w:val="0"/>
          <w:divBdr>
            <w:top w:val="none" w:sz="0" w:space="0" w:color="auto"/>
            <w:left w:val="none" w:sz="0" w:space="0" w:color="auto"/>
            <w:bottom w:val="none" w:sz="0" w:space="0" w:color="auto"/>
            <w:right w:val="none" w:sz="0" w:space="0" w:color="auto"/>
          </w:divBdr>
        </w:div>
      </w:divsChild>
    </w:div>
    <w:div w:id="476340887">
      <w:bodyDiv w:val="1"/>
      <w:marLeft w:val="0"/>
      <w:marRight w:val="0"/>
      <w:marTop w:val="0"/>
      <w:marBottom w:val="0"/>
      <w:divBdr>
        <w:top w:val="none" w:sz="0" w:space="0" w:color="auto"/>
        <w:left w:val="none" w:sz="0" w:space="0" w:color="auto"/>
        <w:bottom w:val="none" w:sz="0" w:space="0" w:color="auto"/>
        <w:right w:val="none" w:sz="0" w:space="0" w:color="auto"/>
      </w:divBdr>
    </w:div>
    <w:div w:id="488139654">
      <w:bodyDiv w:val="1"/>
      <w:marLeft w:val="0"/>
      <w:marRight w:val="0"/>
      <w:marTop w:val="0"/>
      <w:marBottom w:val="0"/>
      <w:divBdr>
        <w:top w:val="none" w:sz="0" w:space="0" w:color="auto"/>
        <w:left w:val="none" w:sz="0" w:space="0" w:color="auto"/>
        <w:bottom w:val="none" w:sz="0" w:space="0" w:color="auto"/>
        <w:right w:val="none" w:sz="0" w:space="0" w:color="auto"/>
      </w:divBdr>
    </w:div>
    <w:div w:id="492452759">
      <w:bodyDiv w:val="1"/>
      <w:marLeft w:val="0"/>
      <w:marRight w:val="0"/>
      <w:marTop w:val="0"/>
      <w:marBottom w:val="0"/>
      <w:divBdr>
        <w:top w:val="none" w:sz="0" w:space="0" w:color="auto"/>
        <w:left w:val="none" w:sz="0" w:space="0" w:color="auto"/>
        <w:bottom w:val="none" w:sz="0" w:space="0" w:color="auto"/>
        <w:right w:val="none" w:sz="0" w:space="0" w:color="auto"/>
      </w:divBdr>
    </w:div>
    <w:div w:id="522747013">
      <w:bodyDiv w:val="1"/>
      <w:marLeft w:val="0"/>
      <w:marRight w:val="0"/>
      <w:marTop w:val="0"/>
      <w:marBottom w:val="0"/>
      <w:divBdr>
        <w:top w:val="none" w:sz="0" w:space="0" w:color="auto"/>
        <w:left w:val="none" w:sz="0" w:space="0" w:color="auto"/>
        <w:bottom w:val="none" w:sz="0" w:space="0" w:color="auto"/>
        <w:right w:val="none" w:sz="0" w:space="0" w:color="auto"/>
      </w:divBdr>
    </w:div>
    <w:div w:id="526918108">
      <w:bodyDiv w:val="1"/>
      <w:marLeft w:val="0"/>
      <w:marRight w:val="0"/>
      <w:marTop w:val="0"/>
      <w:marBottom w:val="0"/>
      <w:divBdr>
        <w:top w:val="none" w:sz="0" w:space="0" w:color="auto"/>
        <w:left w:val="none" w:sz="0" w:space="0" w:color="auto"/>
        <w:bottom w:val="none" w:sz="0" w:space="0" w:color="auto"/>
        <w:right w:val="none" w:sz="0" w:space="0" w:color="auto"/>
      </w:divBdr>
    </w:div>
    <w:div w:id="527838800">
      <w:bodyDiv w:val="1"/>
      <w:marLeft w:val="0"/>
      <w:marRight w:val="0"/>
      <w:marTop w:val="0"/>
      <w:marBottom w:val="0"/>
      <w:divBdr>
        <w:top w:val="none" w:sz="0" w:space="0" w:color="auto"/>
        <w:left w:val="none" w:sz="0" w:space="0" w:color="auto"/>
        <w:bottom w:val="none" w:sz="0" w:space="0" w:color="auto"/>
        <w:right w:val="none" w:sz="0" w:space="0" w:color="auto"/>
      </w:divBdr>
    </w:div>
    <w:div w:id="543954805">
      <w:bodyDiv w:val="1"/>
      <w:marLeft w:val="0"/>
      <w:marRight w:val="0"/>
      <w:marTop w:val="0"/>
      <w:marBottom w:val="0"/>
      <w:divBdr>
        <w:top w:val="none" w:sz="0" w:space="0" w:color="auto"/>
        <w:left w:val="none" w:sz="0" w:space="0" w:color="auto"/>
        <w:bottom w:val="none" w:sz="0" w:space="0" w:color="auto"/>
        <w:right w:val="none" w:sz="0" w:space="0" w:color="auto"/>
      </w:divBdr>
    </w:div>
    <w:div w:id="546112592">
      <w:bodyDiv w:val="1"/>
      <w:marLeft w:val="0"/>
      <w:marRight w:val="0"/>
      <w:marTop w:val="0"/>
      <w:marBottom w:val="0"/>
      <w:divBdr>
        <w:top w:val="none" w:sz="0" w:space="0" w:color="auto"/>
        <w:left w:val="none" w:sz="0" w:space="0" w:color="auto"/>
        <w:bottom w:val="none" w:sz="0" w:space="0" w:color="auto"/>
        <w:right w:val="none" w:sz="0" w:space="0" w:color="auto"/>
      </w:divBdr>
    </w:div>
    <w:div w:id="547956601">
      <w:bodyDiv w:val="1"/>
      <w:marLeft w:val="0"/>
      <w:marRight w:val="0"/>
      <w:marTop w:val="0"/>
      <w:marBottom w:val="0"/>
      <w:divBdr>
        <w:top w:val="none" w:sz="0" w:space="0" w:color="auto"/>
        <w:left w:val="none" w:sz="0" w:space="0" w:color="auto"/>
        <w:bottom w:val="none" w:sz="0" w:space="0" w:color="auto"/>
        <w:right w:val="none" w:sz="0" w:space="0" w:color="auto"/>
      </w:divBdr>
    </w:div>
    <w:div w:id="549851074">
      <w:bodyDiv w:val="1"/>
      <w:marLeft w:val="0"/>
      <w:marRight w:val="0"/>
      <w:marTop w:val="0"/>
      <w:marBottom w:val="0"/>
      <w:divBdr>
        <w:top w:val="none" w:sz="0" w:space="0" w:color="auto"/>
        <w:left w:val="none" w:sz="0" w:space="0" w:color="auto"/>
        <w:bottom w:val="none" w:sz="0" w:space="0" w:color="auto"/>
        <w:right w:val="none" w:sz="0" w:space="0" w:color="auto"/>
      </w:divBdr>
    </w:div>
    <w:div w:id="571741561">
      <w:bodyDiv w:val="1"/>
      <w:marLeft w:val="0"/>
      <w:marRight w:val="0"/>
      <w:marTop w:val="0"/>
      <w:marBottom w:val="0"/>
      <w:divBdr>
        <w:top w:val="none" w:sz="0" w:space="0" w:color="auto"/>
        <w:left w:val="none" w:sz="0" w:space="0" w:color="auto"/>
        <w:bottom w:val="none" w:sz="0" w:space="0" w:color="auto"/>
        <w:right w:val="none" w:sz="0" w:space="0" w:color="auto"/>
      </w:divBdr>
    </w:div>
    <w:div w:id="572618260">
      <w:bodyDiv w:val="1"/>
      <w:marLeft w:val="0"/>
      <w:marRight w:val="0"/>
      <w:marTop w:val="0"/>
      <w:marBottom w:val="0"/>
      <w:divBdr>
        <w:top w:val="none" w:sz="0" w:space="0" w:color="auto"/>
        <w:left w:val="none" w:sz="0" w:space="0" w:color="auto"/>
        <w:bottom w:val="none" w:sz="0" w:space="0" w:color="auto"/>
        <w:right w:val="none" w:sz="0" w:space="0" w:color="auto"/>
      </w:divBdr>
    </w:div>
    <w:div w:id="583802004">
      <w:bodyDiv w:val="1"/>
      <w:marLeft w:val="0"/>
      <w:marRight w:val="0"/>
      <w:marTop w:val="0"/>
      <w:marBottom w:val="0"/>
      <w:divBdr>
        <w:top w:val="none" w:sz="0" w:space="0" w:color="auto"/>
        <w:left w:val="none" w:sz="0" w:space="0" w:color="auto"/>
        <w:bottom w:val="none" w:sz="0" w:space="0" w:color="auto"/>
        <w:right w:val="none" w:sz="0" w:space="0" w:color="auto"/>
      </w:divBdr>
    </w:div>
    <w:div w:id="584263748">
      <w:bodyDiv w:val="1"/>
      <w:marLeft w:val="0"/>
      <w:marRight w:val="0"/>
      <w:marTop w:val="0"/>
      <w:marBottom w:val="0"/>
      <w:divBdr>
        <w:top w:val="none" w:sz="0" w:space="0" w:color="auto"/>
        <w:left w:val="none" w:sz="0" w:space="0" w:color="auto"/>
        <w:bottom w:val="none" w:sz="0" w:space="0" w:color="auto"/>
        <w:right w:val="none" w:sz="0" w:space="0" w:color="auto"/>
      </w:divBdr>
    </w:div>
    <w:div w:id="595555717">
      <w:bodyDiv w:val="1"/>
      <w:marLeft w:val="0"/>
      <w:marRight w:val="0"/>
      <w:marTop w:val="0"/>
      <w:marBottom w:val="0"/>
      <w:divBdr>
        <w:top w:val="none" w:sz="0" w:space="0" w:color="auto"/>
        <w:left w:val="none" w:sz="0" w:space="0" w:color="auto"/>
        <w:bottom w:val="none" w:sz="0" w:space="0" w:color="auto"/>
        <w:right w:val="none" w:sz="0" w:space="0" w:color="auto"/>
      </w:divBdr>
    </w:div>
    <w:div w:id="615252666">
      <w:bodyDiv w:val="1"/>
      <w:marLeft w:val="0"/>
      <w:marRight w:val="0"/>
      <w:marTop w:val="0"/>
      <w:marBottom w:val="0"/>
      <w:divBdr>
        <w:top w:val="none" w:sz="0" w:space="0" w:color="auto"/>
        <w:left w:val="none" w:sz="0" w:space="0" w:color="auto"/>
        <w:bottom w:val="none" w:sz="0" w:space="0" w:color="auto"/>
        <w:right w:val="none" w:sz="0" w:space="0" w:color="auto"/>
      </w:divBdr>
    </w:div>
    <w:div w:id="616715728">
      <w:bodyDiv w:val="1"/>
      <w:marLeft w:val="0"/>
      <w:marRight w:val="0"/>
      <w:marTop w:val="0"/>
      <w:marBottom w:val="0"/>
      <w:divBdr>
        <w:top w:val="none" w:sz="0" w:space="0" w:color="auto"/>
        <w:left w:val="none" w:sz="0" w:space="0" w:color="auto"/>
        <w:bottom w:val="none" w:sz="0" w:space="0" w:color="auto"/>
        <w:right w:val="none" w:sz="0" w:space="0" w:color="auto"/>
      </w:divBdr>
    </w:div>
    <w:div w:id="617296254">
      <w:bodyDiv w:val="1"/>
      <w:marLeft w:val="0"/>
      <w:marRight w:val="0"/>
      <w:marTop w:val="0"/>
      <w:marBottom w:val="0"/>
      <w:divBdr>
        <w:top w:val="none" w:sz="0" w:space="0" w:color="auto"/>
        <w:left w:val="none" w:sz="0" w:space="0" w:color="auto"/>
        <w:bottom w:val="none" w:sz="0" w:space="0" w:color="auto"/>
        <w:right w:val="none" w:sz="0" w:space="0" w:color="auto"/>
      </w:divBdr>
    </w:div>
    <w:div w:id="626593736">
      <w:bodyDiv w:val="1"/>
      <w:marLeft w:val="0"/>
      <w:marRight w:val="0"/>
      <w:marTop w:val="0"/>
      <w:marBottom w:val="0"/>
      <w:divBdr>
        <w:top w:val="none" w:sz="0" w:space="0" w:color="auto"/>
        <w:left w:val="none" w:sz="0" w:space="0" w:color="auto"/>
        <w:bottom w:val="none" w:sz="0" w:space="0" w:color="auto"/>
        <w:right w:val="none" w:sz="0" w:space="0" w:color="auto"/>
      </w:divBdr>
    </w:div>
    <w:div w:id="629744055">
      <w:bodyDiv w:val="1"/>
      <w:marLeft w:val="0"/>
      <w:marRight w:val="0"/>
      <w:marTop w:val="0"/>
      <w:marBottom w:val="0"/>
      <w:divBdr>
        <w:top w:val="none" w:sz="0" w:space="0" w:color="auto"/>
        <w:left w:val="none" w:sz="0" w:space="0" w:color="auto"/>
        <w:bottom w:val="none" w:sz="0" w:space="0" w:color="auto"/>
        <w:right w:val="none" w:sz="0" w:space="0" w:color="auto"/>
      </w:divBdr>
    </w:div>
    <w:div w:id="633370652">
      <w:bodyDiv w:val="1"/>
      <w:marLeft w:val="0"/>
      <w:marRight w:val="0"/>
      <w:marTop w:val="0"/>
      <w:marBottom w:val="0"/>
      <w:divBdr>
        <w:top w:val="none" w:sz="0" w:space="0" w:color="auto"/>
        <w:left w:val="none" w:sz="0" w:space="0" w:color="auto"/>
        <w:bottom w:val="none" w:sz="0" w:space="0" w:color="auto"/>
        <w:right w:val="none" w:sz="0" w:space="0" w:color="auto"/>
      </w:divBdr>
    </w:div>
    <w:div w:id="636956582">
      <w:bodyDiv w:val="1"/>
      <w:marLeft w:val="0"/>
      <w:marRight w:val="0"/>
      <w:marTop w:val="0"/>
      <w:marBottom w:val="0"/>
      <w:divBdr>
        <w:top w:val="none" w:sz="0" w:space="0" w:color="auto"/>
        <w:left w:val="none" w:sz="0" w:space="0" w:color="auto"/>
        <w:bottom w:val="none" w:sz="0" w:space="0" w:color="auto"/>
        <w:right w:val="none" w:sz="0" w:space="0" w:color="auto"/>
      </w:divBdr>
    </w:div>
    <w:div w:id="639650286">
      <w:bodyDiv w:val="1"/>
      <w:marLeft w:val="0"/>
      <w:marRight w:val="0"/>
      <w:marTop w:val="0"/>
      <w:marBottom w:val="0"/>
      <w:divBdr>
        <w:top w:val="none" w:sz="0" w:space="0" w:color="auto"/>
        <w:left w:val="none" w:sz="0" w:space="0" w:color="auto"/>
        <w:bottom w:val="none" w:sz="0" w:space="0" w:color="auto"/>
        <w:right w:val="none" w:sz="0" w:space="0" w:color="auto"/>
      </w:divBdr>
    </w:div>
    <w:div w:id="640958875">
      <w:bodyDiv w:val="1"/>
      <w:marLeft w:val="0"/>
      <w:marRight w:val="0"/>
      <w:marTop w:val="0"/>
      <w:marBottom w:val="0"/>
      <w:divBdr>
        <w:top w:val="none" w:sz="0" w:space="0" w:color="auto"/>
        <w:left w:val="none" w:sz="0" w:space="0" w:color="auto"/>
        <w:bottom w:val="none" w:sz="0" w:space="0" w:color="auto"/>
        <w:right w:val="none" w:sz="0" w:space="0" w:color="auto"/>
      </w:divBdr>
    </w:div>
    <w:div w:id="658119367">
      <w:bodyDiv w:val="1"/>
      <w:marLeft w:val="0"/>
      <w:marRight w:val="0"/>
      <w:marTop w:val="0"/>
      <w:marBottom w:val="0"/>
      <w:divBdr>
        <w:top w:val="none" w:sz="0" w:space="0" w:color="auto"/>
        <w:left w:val="none" w:sz="0" w:space="0" w:color="auto"/>
        <w:bottom w:val="none" w:sz="0" w:space="0" w:color="auto"/>
        <w:right w:val="none" w:sz="0" w:space="0" w:color="auto"/>
      </w:divBdr>
    </w:div>
    <w:div w:id="660475031">
      <w:bodyDiv w:val="1"/>
      <w:marLeft w:val="0"/>
      <w:marRight w:val="0"/>
      <w:marTop w:val="0"/>
      <w:marBottom w:val="0"/>
      <w:divBdr>
        <w:top w:val="none" w:sz="0" w:space="0" w:color="auto"/>
        <w:left w:val="none" w:sz="0" w:space="0" w:color="auto"/>
        <w:bottom w:val="none" w:sz="0" w:space="0" w:color="auto"/>
        <w:right w:val="none" w:sz="0" w:space="0" w:color="auto"/>
      </w:divBdr>
    </w:div>
    <w:div w:id="666639489">
      <w:bodyDiv w:val="1"/>
      <w:marLeft w:val="0"/>
      <w:marRight w:val="0"/>
      <w:marTop w:val="0"/>
      <w:marBottom w:val="0"/>
      <w:divBdr>
        <w:top w:val="none" w:sz="0" w:space="0" w:color="auto"/>
        <w:left w:val="none" w:sz="0" w:space="0" w:color="auto"/>
        <w:bottom w:val="none" w:sz="0" w:space="0" w:color="auto"/>
        <w:right w:val="none" w:sz="0" w:space="0" w:color="auto"/>
      </w:divBdr>
    </w:div>
    <w:div w:id="668560991">
      <w:bodyDiv w:val="1"/>
      <w:marLeft w:val="0"/>
      <w:marRight w:val="0"/>
      <w:marTop w:val="0"/>
      <w:marBottom w:val="0"/>
      <w:divBdr>
        <w:top w:val="none" w:sz="0" w:space="0" w:color="auto"/>
        <w:left w:val="none" w:sz="0" w:space="0" w:color="auto"/>
        <w:bottom w:val="none" w:sz="0" w:space="0" w:color="auto"/>
        <w:right w:val="none" w:sz="0" w:space="0" w:color="auto"/>
      </w:divBdr>
    </w:div>
    <w:div w:id="678242895">
      <w:bodyDiv w:val="1"/>
      <w:marLeft w:val="0"/>
      <w:marRight w:val="0"/>
      <w:marTop w:val="0"/>
      <w:marBottom w:val="0"/>
      <w:divBdr>
        <w:top w:val="none" w:sz="0" w:space="0" w:color="auto"/>
        <w:left w:val="none" w:sz="0" w:space="0" w:color="auto"/>
        <w:bottom w:val="none" w:sz="0" w:space="0" w:color="auto"/>
        <w:right w:val="none" w:sz="0" w:space="0" w:color="auto"/>
      </w:divBdr>
    </w:div>
    <w:div w:id="681707083">
      <w:bodyDiv w:val="1"/>
      <w:marLeft w:val="0"/>
      <w:marRight w:val="0"/>
      <w:marTop w:val="0"/>
      <w:marBottom w:val="0"/>
      <w:divBdr>
        <w:top w:val="none" w:sz="0" w:space="0" w:color="auto"/>
        <w:left w:val="none" w:sz="0" w:space="0" w:color="auto"/>
        <w:bottom w:val="none" w:sz="0" w:space="0" w:color="auto"/>
        <w:right w:val="none" w:sz="0" w:space="0" w:color="auto"/>
      </w:divBdr>
    </w:div>
    <w:div w:id="702245263">
      <w:bodyDiv w:val="1"/>
      <w:marLeft w:val="0"/>
      <w:marRight w:val="0"/>
      <w:marTop w:val="0"/>
      <w:marBottom w:val="0"/>
      <w:divBdr>
        <w:top w:val="none" w:sz="0" w:space="0" w:color="auto"/>
        <w:left w:val="none" w:sz="0" w:space="0" w:color="auto"/>
        <w:bottom w:val="none" w:sz="0" w:space="0" w:color="auto"/>
        <w:right w:val="none" w:sz="0" w:space="0" w:color="auto"/>
      </w:divBdr>
    </w:div>
    <w:div w:id="703600633">
      <w:bodyDiv w:val="1"/>
      <w:marLeft w:val="0"/>
      <w:marRight w:val="0"/>
      <w:marTop w:val="0"/>
      <w:marBottom w:val="0"/>
      <w:divBdr>
        <w:top w:val="none" w:sz="0" w:space="0" w:color="auto"/>
        <w:left w:val="none" w:sz="0" w:space="0" w:color="auto"/>
        <w:bottom w:val="none" w:sz="0" w:space="0" w:color="auto"/>
        <w:right w:val="none" w:sz="0" w:space="0" w:color="auto"/>
      </w:divBdr>
    </w:div>
    <w:div w:id="709961503">
      <w:bodyDiv w:val="1"/>
      <w:marLeft w:val="0"/>
      <w:marRight w:val="0"/>
      <w:marTop w:val="0"/>
      <w:marBottom w:val="0"/>
      <w:divBdr>
        <w:top w:val="none" w:sz="0" w:space="0" w:color="auto"/>
        <w:left w:val="none" w:sz="0" w:space="0" w:color="auto"/>
        <w:bottom w:val="none" w:sz="0" w:space="0" w:color="auto"/>
        <w:right w:val="none" w:sz="0" w:space="0" w:color="auto"/>
      </w:divBdr>
    </w:div>
    <w:div w:id="714040837">
      <w:bodyDiv w:val="1"/>
      <w:marLeft w:val="0"/>
      <w:marRight w:val="0"/>
      <w:marTop w:val="0"/>
      <w:marBottom w:val="0"/>
      <w:divBdr>
        <w:top w:val="none" w:sz="0" w:space="0" w:color="auto"/>
        <w:left w:val="none" w:sz="0" w:space="0" w:color="auto"/>
        <w:bottom w:val="none" w:sz="0" w:space="0" w:color="auto"/>
        <w:right w:val="none" w:sz="0" w:space="0" w:color="auto"/>
      </w:divBdr>
    </w:div>
    <w:div w:id="719477544">
      <w:bodyDiv w:val="1"/>
      <w:marLeft w:val="0"/>
      <w:marRight w:val="0"/>
      <w:marTop w:val="0"/>
      <w:marBottom w:val="0"/>
      <w:divBdr>
        <w:top w:val="none" w:sz="0" w:space="0" w:color="auto"/>
        <w:left w:val="none" w:sz="0" w:space="0" w:color="auto"/>
        <w:bottom w:val="none" w:sz="0" w:space="0" w:color="auto"/>
        <w:right w:val="none" w:sz="0" w:space="0" w:color="auto"/>
      </w:divBdr>
    </w:div>
    <w:div w:id="729575364">
      <w:bodyDiv w:val="1"/>
      <w:marLeft w:val="0"/>
      <w:marRight w:val="0"/>
      <w:marTop w:val="0"/>
      <w:marBottom w:val="0"/>
      <w:divBdr>
        <w:top w:val="none" w:sz="0" w:space="0" w:color="auto"/>
        <w:left w:val="none" w:sz="0" w:space="0" w:color="auto"/>
        <w:bottom w:val="none" w:sz="0" w:space="0" w:color="auto"/>
        <w:right w:val="none" w:sz="0" w:space="0" w:color="auto"/>
      </w:divBdr>
    </w:div>
    <w:div w:id="732461929">
      <w:bodyDiv w:val="1"/>
      <w:marLeft w:val="0"/>
      <w:marRight w:val="0"/>
      <w:marTop w:val="0"/>
      <w:marBottom w:val="0"/>
      <w:divBdr>
        <w:top w:val="none" w:sz="0" w:space="0" w:color="auto"/>
        <w:left w:val="none" w:sz="0" w:space="0" w:color="auto"/>
        <w:bottom w:val="none" w:sz="0" w:space="0" w:color="auto"/>
        <w:right w:val="none" w:sz="0" w:space="0" w:color="auto"/>
      </w:divBdr>
    </w:div>
    <w:div w:id="738745389">
      <w:bodyDiv w:val="1"/>
      <w:marLeft w:val="0"/>
      <w:marRight w:val="0"/>
      <w:marTop w:val="0"/>
      <w:marBottom w:val="0"/>
      <w:divBdr>
        <w:top w:val="none" w:sz="0" w:space="0" w:color="auto"/>
        <w:left w:val="none" w:sz="0" w:space="0" w:color="auto"/>
        <w:bottom w:val="none" w:sz="0" w:space="0" w:color="auto"/>
        <w:right w:val="none" w:sz="0" w:space="0" w:color="auto"/>
      </w:divBdr>
    </w:div>
    <w:div w:id="740101181">
      <w:bodyDiv w:val="1"/>
      <w:marLeft w:val="0"/>
      <w:marRight w:val="0"/>
      <w:marTop w:val="0"/>
      <w:marBottom w:val="0"/>
      <w:divBdr>
        <w:top w:val="none" w:sz="0" w:space="0" w:color="auto"/>
        <w:left w:val="none" w:sz="0" w:space="0" w:color="auto"/>
        <w:bottom w:val="none" w:sz="0" w:space="0" w:color="auto"/>
        <w:right w:val="none" w:sz="0" w:space="0" w:color="auto"/>
      </w:divBdr>
    </w:div>
    <w:div w:id="743377860">
      <w:bodyDiv w:val="1"/>
      <w:marLeft w:val="0"/>
      <w:marRight w:val="0"/>
      <w:marTop w:val="0"/>
      <w:marBottom w:val="0"/>
      <w:divBdr>
        <w:top w:val="none" w:sz="0" w:space="0" w:color="auto"/>
        <w:left w:val="none" w:sz="0" w:space="0" w:color="auto"/>
        <w:bottom w:val="none" w:sz="0" w:space="0" w:color="auto"/>
        <w:right w:val="none" w:sz="0" w:space="0" w:color="auto"/>
      </w:divBdr>
    </w:div>
    <w:div w:id="751202519">
      <w:bodyDiv w:val="1"/>
      <w:marLeft w:val="0"/>
      <w:marRight w:val="0"/>
      <w:marTop w:val="0"/>
      <w:marBottom w:val="0"/>
      <w:divBdr>
        <w:top w:val="none" w:sz="0" w:space="0" w:color="auto"/>
        <w:left w:val="none" w:sz="0" w:space="0" w:color="auto"/>
        <w:bottom w:val="none" w:sz="0" w:space="0" w:color="auto"/>
        <w:right w:val="none" w:sz="0" w:space="0" w:color="auto"/>
      </w:divBdr>
    </w:div>
    <w:div w:id="760296275">
      <w:bodyDiv w:val="1"/>
      <w:marLeft w:val="0"/>
      <w:marRight w:val="0"/>
      <w:marTop w:val="0"/>
      <w:marBottom w:val="0"/>
      <w:divBdr>
        <w:top w:val="none" w:sz="0" w:space="0" w:color="auto"/>
        <w:left w:val="none" w:sz="0" w:space="0" w:color="auto"/>
        <w:bottom w:val="none" w:sz="0" w:space="0" w:color="auto"/>
        <w:right w:val="none" w:sz="0" w:space="0" w:color="auto"/>
      </w:divBdr>
    </w:div>
    <w:div w:id="776825555">
      <w:bodyDiv w:val="1"/>
      <w:marLeft w:val="0"/>
      <w:marRight w:val="0"/>
      <w:marTop w:val="0"/>
      <w:marBottom w:val="0"/>
      <w:divBdr>
        <w:top w:val="none" w:sz="0" w:space="0" w:color="auto"/>
        <w:left w:val="none" w:sz="0" w:space="0" w:color="auto"/>
        <w:bottom w:val="none" w:sz="0" w:space="0" w:color="auto"/>
        <w:right w:val="none" w:sz="0" w:space="0" w:color="auto"/>
      </w:divBdr>
    </w:div>
    <w:div w:id="798886633">
      <w:bodyDiv w:val="1"/>
      <w:marLeft w:val="0"/>
      <w:marRight w:val="0"/>
      <w:marTop w:val="0"/>
      <w:marBottom w:val="0"/>
      <w:divBdr>
        <w:top w:val="none" w:sz="0" w:space="0" w:color="auto"/>
        <w:left w:val="none" w:sz="0" w:space="0" w:color="auto"/>
        <w:bottom w:val="none" w:sz="0" w:space="0" w:color="auto"/>
        <w:right w:val="none" w:sz="0" w:space="0" w:color="auto"/>
      </w:divBdr>
    </w:div>
    <w:div w:id="802574085">
      <w:bodyDiv w:val="1"/>
      <w:marLeft w:val="0"/>
      <w:marRight w:val="0"/>
      <w:marTop w:val="0"/>
      <w:marBottom w:val="0"/>
      <w:divBdr>
        <w:top w:val="none" w:sz="0" w:space="0" w:color="auto"/>
        <w:left w:val="none" w:sz="0" w:space="0" w:color="auto"/>
        <w:bottom w:val="none" w:sz="0" w:space="0" w:color="auto"/>
        <w:right w:val="none" w:sz="0" w:space="0" w:color="auto"/>
      </w:divBdr>
    </w:div>
    <w:div w:id="814758707">
      <w:bodyDiv w:val="1"/>
      <w:marLeft w:val="0"/>
      <w:marRight w:val="0"/>
      <w:marTop w:val="0"/>
      <w:marBottom w:val="0"/>
      <w:divBdr>
        <w:top w:val="none" w:sz="0" w:space="0" w:color="auto"/>
        <w:left w:val="none" w:sz="0" w:space="0" w:color="auto"/>
        <w:bottom w:val="none" w:sz="0" w:space="0" w:color="auto"/>
        <w:right w:val="none" w:sz="0" w:space="0" w:color="auto"/>
      </w:divBdr>
    </w:div>
    <w:div w:id="824665898">
      <w:bodyDiv w:val="1"/>
      <w:marLeft w:val="0"/>
      <w:marRight w:val="0"/>
      <w:marTop w:val="0"/>
      <w:marBottom w:val="0"/>
      <w:divBdr>
        <w:top w:val="none" w:sz="0" w:space="0" w:color="auto"/>
        <w:left w:val="none" w:sz="0" w:space="0" w:color="auto"/>
        <w:bottom w:val="none" w:sz="0" w:space="0" w:color="auto"/>
        <w:right w:val="none" w:sz="0" w:space="0" w:color="auto"/>
      </w:divBdr>
    </w:div>
    <w:div w:id="827552517">
      <w:bodyDiv w:val="1"/>
      <w:marLeft w:val="0"/>
      <w:marRight w:val="0"/>
      <w:marTop w:val="0"/>
      <w:marBottom w:val="0"/>
      <w:divBdr>
        <w:top w:val="none" w:sz="0" w:space="0" w:color="auto"/>
        <w:left w:val="none" w:sz="0" w:space="0" w:color="auto"/>
        <w:bottom w:val="none" w:sz="0" w:space="0" w:color="auto"/>
        <w:right w:val="none" w:sz="0" w:space="0" w:color="auto"/>
      </w:divBdr>
    </w:div>
    <w:div w:id="828519195">
      <w:bodyDiv w:val="1"/>
      <w:marLeft w:val="0"/>
      <w:marRight w:val="0"/>
      <w:marTop w:val="0"/>
      <w:marBottom w:val="0"/>
      <w:divBdr>
        <w:top w:val="none" w:sz="0" w:space="0" w:color="auto"/>
        <w:left w:val="none" w:sz="0" w:space="0" w:color="auto"/>
        <w:bottom w:val="none" w:sz="0" w:space="0" w:color="auto"/>
        <w:right w:val="none" w:sz="0" w:space="0" w:color="auto"/>
      </w:divBdr>
    </w:div>
    <w:div w:id="835264775">
      <w:bodyDiv w:val="1"/>
      <w:marLeft w:val="0"/>
      <w:marRight w:val="0"/>
      <w:marTop w:val="0"/>
      <w:marBottom w:val="0"/>
      <w:divBdr>
        <w:top w:val="none" w:sz="0" w:space="0" w:color="auto"/>
        <w:left w:val="none" w:sz="0" w:space="0" w:color="auto"/>
        <w:bottom w:val="none" w:sz="0" w:space="0" w:color="auto"/>
        <w:right w:val="none" w:sz="0" w:space="0" w:color="auto"/>
      </w:divBdr>
    </w:div>
    <w:div w:id="839008796">
      <w:bodyDiv w:val="1"/>
      <w:marLeft w:val="0"/>
      <w:marRight w:val="0"/>
      <w:marTop w:val="0"/>
      <w:marBottom w:val="0"/>
      <w:divBdr>
        <w:top w:val="none" w:sz="0" w:space="0" w:color="auto"/>
        <w:left w:val="none" w:sz="0" w:space="0" w:color="auto"/>
        <w:bottom w:val="none" w:sz="0" w:space="0" w:color="auto"/>
        <w:right w:val="none" w:sz="0" w:space="0" w:color="auto"/>
      </w:divBdr>
    </w:div>
    <w:div w:id="842165689">
      <w:bodyDiv w:val="1"/>
      <w:marLeft w:val="0"/>
      <w:marRight w:val="0"/>
      <w:marTop w:val="0"/>
      <w:marBottom w:val="0"/>
      <w:divBdr>
        <w:top w:val="none" w:sz="0" w:space="0" w:color="auto"/>
        <w:left w:val="none" w:sz="0" w:space="0" w:color="auto"/>
        <w:bottom w:val="none" w:sz="0" w:space="0" w:color="auto"/>
        <w:right w:val="none" w:sz="0" w:space="0" w:color="auto"/>
      </w:divBdr>
    </w:div>
    <w:div w:id="866409166">
      <w:bodyDiv w:val="1"/>
      <w:marLeft w:val="0"/>
      <w:marRight w:val="0"/>
      <w:marTop w:val="0"/>
      <w:marBottom w:val="0"/>
      <w:divBdr>
        <w:top w:val="none" w:sz="0" w:space="0" w:color="auto"/>
        <w:left w:val="none" w:sz="0" w:space="0" w:color="auto"/>
        <w:bottom w:val="none" w:sz="0" w:space="0" w:color="auto"/>
        <w:right w:val="none" w:sz="0" w:space="0" w:color="auto"/>
      </w:divBdr>
    </w:div>
    <w:div w:id="871498276">
      <w:bodyDiv w:val="1"/>
      <w:marLeft w:val="0"/>
      <w:marRight w:val="0"/>
      <w:marTop w:val="0"/>
      <w:marBottom w:val="0"/>
      <w:divBdr>
        <w:top w:val="none" w:sz="0" w:space="0" w:color="auto"/>
        <w:left w:val="none" w:sz="0" w:space="0" w:color="auto"/>
        <w:bottom w:val="none" w:sz="0" w:space="0" w:color="auto"/>
        <w:right w:val="none" w:sz="0" w:space="0" w:color="auto"/>
      </w:divBdr>
    </w:div>
    <w:div w:id="882060858">
      <w:bodyDiv w:val="1"/>
      <w:marLeft w:val="0"/>
      <w:marRight w:val="0"/>
      <w:marTop w:val="0"/>
      <w:marBottom w:val="0"/>
      <w:divBdr>
        <w:top w:val="none" w:sz="0" w:space="0" w:color="auto"/>
        <w:left w:val="none" w:sz="0" w:space="0" w:color="auto"/>
        <w:bottom w:val="none" w:sz="0" w:space="0" w:color="auto"/>
        <w:right w:val="none" w:sz="0" w:space="0" w:color="auto"/>
      </w:divBdr>
    </w:div>
    <w:div w:id="896008825">
      <w:bodyDiv w:val="1"/>
      <w:marLeft w:val="0"/>
      <w:marRight w:val="0"/>
      <w:marTop w:val="0"/>
      <w:marBottom w:val="0"/>
      <w:divBdr>
        <w:top w:val="none" w:sz="0" w:space="0" w:color="auto"/>
        <w:left w:val="none" w:sz="0" w:space="0" w:color="auto"/>
        <w:bottom w:val="none" w:sz="0" w:space="0" w:color="auto"/>
        <w:right w:val="none" w:sz="0" w:space="0" w:color="auto"/>
      </w:divBdr>
    </w:div>
    <w:div w:id="896940818">
      <w:bodyDiv w:val="1"/>
      <w:marLeft w:val="0"/>
      <w:marRight w:val="0"/>
      <w:marTop w:val="0"/>
      <w:marBottom w:val="0"/>
      <w:divBdr>
        <w:top w:val="none" w:sz="0" w:space="0" w:color="auto"/>
        <w:left w:val="none" w:sz="0" w:space="0" w:color="auto"/>
        <w:bottom w:val="none" w:sz="0" w:space="0" w:color="auto"/>
        <w:right w:val="none" w:sz="0" w:space="0" w:color="auto"/>
      </w:divBdr>
    </w:div>
    <w:div w:id="905535071">
      <w:bodyDiv w:val="1"/>
      <w:marLeft w:val="0"/>
      <w:marRight w:val="0"/>
      <w:marTop w:val="0"/>
      <w:marBottom w:val="0"/>
      <w:divBdr>
        <w:top w:val="none" w:sz="0" w:space="0" w:color="auto"/>
        <w:left w:val="none" w:sz="0" w:space="0" w:color="auto"/>
        <w:bottom w:val="none" w:sz="0" w:space="0" w:color="auto"/>
        <w:right w:val="none" w:sz="0" w:space="0" w:color="auto"/>
      </w:divBdr>
    </w:div>
    <w:div w:id="906186517">
      <w:bodyDiv w:val="1"/>
      <w:marLeft w:val="0"/>
      <w:marRight w:val="0"/>
      <w:marTop w:val="0"/>
      <w:marBottom w:val="0"/>
      <w:divBdr>
        <w:top w:val="none" w:sz="0" w:space="0" w:color="auto"/>
        <w:left w:val="none" w:sz="0" w:space="0" w:color="auto"/>
        <w:bottom w:val="none" w:sz="0" w:space="0" w:color="auto"/>
        <w:right w:val="none" w:sz="0" w:space="0" w:color="auto"/>
      </w:divBdr>
    </w:div>
    <w:div w:id="910964843">
      <w:bodyDiv w:val="1"/>
      <w:marLeft w:val="0"/>
      <w:marRight w:val="0"/>
      <w:marTop w:val="0"/>
      <w:marBottom w:val="0"/>
      <w:divBdr>
        <w:top w:val="none" w:sz="0" w:space="0" w:color="auto"/>
        <w:left w:val="none" w:sz="0" w:space="0" w:color="auto"/>
        <w:bottom w:val="none" w:sz="0" w:space="0" w:color="auto"/>
        <w:right w:val="none" w:sz="0" w:space="0" w:color="auto"/>
      </w:divBdr>
    </w:div>
    <w:div w:id="914239433">
      <w:bodyDiv w:val="1"/>
      <w:marLeft w:val="0"/>
      <w:marRight w:val="0"/>
      <w:marTop w:val="0"/>
      <w:marBottom w:val="0"/>
      <w:divBdr>
        <w:top w:val="none" w:sz="0" w:space="0" w:color="auto"/>
        <w:left w:val="none" w:sz="0" w:space="0" w:color="auto"/>
        <w:bottom w:val="none" w:sz="0" w:space="0" w:color="auto"/>
        <w:right w:val="none" w:sz="0" w:space="0" w:color="auto"/>
      </w:divBdr>
    </w:div>
    <w:div w:id="923148944">
      <w:bodyDiv w:val="1"/>
      <w:marLeft w:val="0"/>
      <w:marRight w:val="0"/>
      <w:marTop w:val="0"/>
      <w:marBottom w:val="0"/>
      <w:divBdr>
        <w:top w:val="none" w:sz="0" w:space="0" w:color="auto"/>
        <w:left w:val="none" w:sz="0" w:space="0" w:color="auto"/>
        <w:bottom w:val="none" w:sz="0" w:space="0" w:color="auto"/>
        <w:right w:val="none" w:sz="0" w:space="0" w:color="auto"/>
      </w:divBdr>
    </w:div>
    <w:div w:id="924727683">
      <w:bodyDiv w:val="1"/>
      <w:marLeft w:val="0"/>
      <w:marRight w:val="0"/>
      <w:marTop w:val="0"/>
      <w:marBottom w:val="0"/>
      <w:divBdr>
        <w:top w:val="none" w:sz="0" w:space="0" w:color="auto"/>
        <w:left w:val="none" w:sz="0" w:space="0" w:color="auto"/>
        <w:bottom w:val="none" w:sz="0" w:space="0" w:color="auto"/>
        <w:right w:val="none" w:sz="0" w:space="0" w:color="auto"/>
      </w:divBdr>
    </w:div>
    <w:div w:id="924876398">
      <w:bodyDiv w:val="1"/>
      <w:marLeft w:val="0"/>
      <w:marRight w:val="0"/>
      <w:marTop w:val="0"/>
      <w:marBottom w:val="0"/>
      <w:divBdr>
        <w:top w:val="none" w:sz="0" w:space="0" w:color="auto"/>
        <w:left w:val="none" w:sz="0" w:space="0" w:color="auto"/>
        <w:bottom w:val="none" w:sz="0" w:space="0" w:color="auto"/>
        <w:right w:val="none" w:sz="0" w:space="0" w:color="auto"/>
      </w:divBdr>
    </w:div>
    <w:div w:id="933897292">
      <w:bodyDiv w:val="1"/>
      <w:marLeft w:val="0"/>
      <w:marRight w:val="0"/>
      <w:marTop w:val="0"/>
      <w:marBottom w:val="0"/>
      <w:divBdr>
        <w:top w:val="none" w:sz="0" w:space="0" w:color="auto"/>
        <w:left w:val="none" w:sz="0" w:space="0" w:color="auto"/>
        <w:bottom w:val="none" w:sz="0" w:space="0" w:color="auto"/>
        <w:right w:val="none" w:sz="0" w:space="0" w:color="auto"/>
      </w:divBdr>
    </w:div>
    <w:div w:id="937567521">
      <w:bodyDiv w:val="1"/>
      <w:marLeft w:val="0"/>
      <w:marRight w:val="0"/>
      <w:marTop w:val="0"/>
      <w:marBottom w:val="0"/>
      <w:divBdr>
        <w:top w:val="none" w:sz="0" w:space="0" w:color="auto"/>
        <w:left w:val="none" w:sz="0" w:space="0" w:color="auto"/>
        <w:bottom w:val="none" w:sz="0" w:space="0" w:color="auto"/>
        <w:right w:val="none" w:sz="0" w:space="0" w:color="auto"/>
      </w:divBdr>
    </w:div>
    <w:div w:id="937636939">
      <w:bodyDiv w:val="1"/>
      <w:marLeft w:val="0"/>
      <w:marRight w:val="0"/>
      <w:marTop w:val="0"/>
      <w:marBottom w:val="0"/>
      <w:divBdr>
        <w:top w:val="none" w:sz="0" w:space="0" w:color="auto"/>
        <w:left w:val="none" w:sz="0" w:space="0" w:color="auto"/>
        <w:bottom w:val="none" w:sz="0" w:space="0" w:color="auto"/>
        <w:right w:val="none" w:sz="0" w:space="0" w:color="auto"/>
      </w:divBdr>
    </w:div>
    <w:div w:id="948466212">
      <w:bodyDiv w:val="1"/>
      <w:marLeft w:val="0"/>
      <w:marRight w:val="0"/>
      <w:marTop w:val="0"/>
      <w:marBottom w:val="0"/>
      <w:divBdr>
        <w:top w:val="none" w:sz="0" w:space="0" w:color="auto"/>
        <w:left w:val="none" w:sz="0" w:space="0" w:color="auto"/>
        <w:bottom w:val="none" w:sz="0" w:space="0" w:color="auto"/>
        <w:right w:val="none" w:sz="0" w:space="0" w:color="auto"/>
      </w:divBdr>
    </w:div>
    <w:div w:id="950086371">
      <w:bodyDiv w:val="1"/>
      <w:marLeft w:val="0"/>
      <w:marRight w:val="0"/>
      <w:marTop w:val="0"/>
      <w:marBottom w:val="0"/>
      <w:divBdr>
        <w:top w:val="none" w:sz="0" w:space="0" w:color="auto"/>
        <w:left w:val="none" w:sz="0" w:space="0" w:color="auto"/>
        <w:bottom w:val="none" w:sz="0" w:space="0" w:color="auto"/>
        <w:right w:val="none" w:sz="0" w:space="0" w:color="auto"/>
      </w:divBdr>
    </w:div>
    <w:div w:id="952520524">
      <w:bodyDiv w:val="1"/>
      <w:marLeft w:val="0"/>
      <w:marRight w:val="0"/>
      <w:marTop w:val="0"/>
      <w:marBottom w:val="0"/>
      <w:divBdr>
        <w:top w:val="none" w:sz="0" w:space="0" w:color="auto"/>
        <w:left w:val="none" w:sz="0" w:space="0" w:color="auto"/>
        <w:bottom w:val="none" w:sz="0" w:space="0" w:color="auto"/>
        <w:right w:val="none" w:sz="0" w:space="0" w:color="auto"/>
      </w:divBdr>
    </w:div>
    <w:div w:id="957831184">
      <w:bodyDiv w:val="1"/>
      <w:marLeft w:val="0"/>
      <w:marRight w:val="0"/>
      <w:marTop w:val="0"/>
      <w:marBottom w:val="0"/>
      <w:divBdr>
        <w:top w:val="none" w:sz="0" w:space="0" w:color="auto"/>
        <w:left w:val="none" w:sz="0" w:space="0" w:color="auto"/>
        <w:bottom w:val="none" w:sz="0" w:space="0" w:color="auto"/>
        <w:right w:val="none" w:sz="0" w:space="0" w:color="auto"/>
      </w:divBdr>
    </w:div>
    <w:div w:id="958414863">
      <w:bodyDiv w:val="1"/>
      <w:marLeft w:val="0"/>
      <w:marRight w:val="0"/>
      <w:marTop w:val="0"/>
      <w:marBottom w:val="0"/>
      <w:divBdr>
        <w:top w:val="none" w:sz="0" w:space="0" w:color="auto"/>
        <w:left w:val="none" w:sz="0" w:space="0" w:color="auto"/>
        <w:bottom w:val="none" w:sz="0" w:space="0" w:color="auto"/>
        <w:right w:val="none" w:sz="0" w:space="0" w:color="auto"/>
      </w:divBdr>
    </w:div>
    <w:div w:id="960190665">
      <w:bodyDiv w:val="1"/>
      <w:marLeft w:val="0"/>
      <w:marRight w:val="0"/>
      <w:marTop w:val="0"/>
      <w:marBottom w:val="0"/>
      <w:divBdr>
        <w:top w:val="none" w:sz="0" w:space="0" w:color="auto"/>
        <w:left w:val="none" w:sz="0" w:space="0" w:color="auto"/>
        <w:bottom w:val="none" w:sz="0" w:space="0" w:color="auto"/>
        <w:right w:val="none" w:sz="0" w:space="0" w:color="auto"/>
      </w:divBdr>
    </w:div>
    <w:div w:id="960723966">
      <w:bodyDiv w:val="1"/>
      <w:marLeft w:val="0"/>
      <w:marRight w:val="0"/>
      <w:marTop w:val="0"/>
      <w:marBottom w:val="0"/>
      <w:divBdr>
        <w:top w:val="none" w:sz="0" w:space="0" w:color="auto"/>
        <w:left w:val="none" w:sz="0" w:space="0" w:color="auto"/>
        <w:bottom w:val="none" w:sz="0" w:space="0" w:color="auto"/>
        <w:right w:val="none" w:sz="0" w:space="0" w:color="auto"/>
      </w:divBdr>
    </w:div>
    <w:div w:id="964965582">
      <w:bodyDiv w:val="1"/>
      <w:marLeft w:val="0"/>
      <w:marRight w:val="0"/>
      <w:marTop w:val="0"/>
      <w:marBottom w:val="0"/>
      <w:divBdr>
        <w:top w:val="none" w:sz="0" w:space="0" w:color="auto"/>
        <w:left w:val="none" w:sz="0" w:space="0" w:color="auto"/>
        <w:bottom w:val="none" w:sz="0" w:space="0" w:color="auto"/>
        <w:right w:val="none" w:sz="0" w:space="0" w:color="auto"/>
      </w:divBdr>
    </w:div>
    <w:div w:id="967399357">
      <w:bodyDiv w:val="1"/>
      <w:marLeft w:val="0"/>
      <w:marRight w:val="0"/>
      <w:marTop w:val="0"/>
      <w:marBottom w:val="0"/>
      <w:divBdr>
        <w:top w:val="none" w:sz="0" w:space="0" w:color="auto"/>
        <w:left w:val="none" w:sz="0" w:space="0" w:color="auto"/>
        <w:bottom w:val="none" w:sz="0" w:space="0" w:color="auto"/>
        <w:right w:val="none" w:sz="0" w:space="0" w:color="auto"/>
      </w:divBdr>
    </w:div>
    <w:div w:id="969938172">
      <w:bodyDiv w:val="1"/>
      <w:marLeft w:val="0"/>
      <w:marRight w:val="0"/>
      <w:marTop w:val="0"/>
      <w:marBottom w:val="0"/>
      <w:divBdr>
        <w:top w:val="none" w:sz="0" w:space="0" w:color="auto"/>
        <w:left w:val="none" w:sz="0" w:space="0" w:color="auto"/>
        <w:bottom w:val="none" w:sz="0" w:space="0" w:color="auto"/>
        <w:right w:val="none" w:sz="0" w:space="0" w:color="auto"/>
      </w:divBdr>
    </w:div>
    <w:div w:id="981495069">
      <w:bodyDiv w:val="1"/>
      <w:marLeft w:val="0"/>
      <w:marRight w:val="0"/>
      <w:marTop w:val="0"/>
      <w:marBottom w:val="0"/>
      <w:divBdr>
        <w:top w:val="none" w:sz="0" w:space="0" w:color="auto"/>
        <w:left w:val="none" w:sz="0" w:space="0" w:color="auto"/>
        <w:bottom w:val="none" w:sz="0" w:space="0" w:color="auto"/>
        <w:right w:val="none" w:sz="0" w:space="0" w:color="auto"/>
      </w:divBdr>
    </w:div>
    <w:div w:id="987980509">
      <w:bodyDiv w:val="1"/>
      <w:marLeft w:val="0"/>
      <w:marRight w:val="0"/>
      <w:marTop w:val="0"/>
      <w:marBottom w:val="0"/>
      <w:divBdr>
        <w:top w:val="none" w:sz="0" w:space="0" w:color="auto"/>
        <w:left w:val="none" w:sz="0" w:space="0" w:color="auto"/>
        <w:bottom w:val="none" w:sz="0" w:space="0" w:color="auto"/>
        <w:right w:val="none" w:sz="0" w:space="0" w:color="auto"/>
      </w:divBdr>
    </w:div>
    <w:div w:id="989865324">
      <w:bodyDiv w:val="1"/>
      <w:marLeft w:val="0"/>
      <w:marRight w:val="0"/>
      <w:marTop w:val="0"/>
      <w:marBottom w:val="0"/>
      <w:divBdr>
        <w:top w:val="none" w:sz="0" w:space="0" w:color="auto"/>
        <w:left w:val="none" w:sz="0" w:space="0" w:color="auto"/>
        <w:bottom w:val="none" w:sz="0" w:space="0" w:color="auto"/>
        <w:right w:val="none" w:sz="0" w:space="0" w:color="auto"/>
      </w:divBdr>
    </w:div>
    <w:div w:id="1015349832">
      <w:bodyDiv w:val="1"/>
      <w:marLeft w:val="0"/>
      <w:marRight w:val="0"/>
      <w:marTop w:val="0"/>
      <w:marBottom w:val="0"/>
      <w:divBdr>
        <w:top w:val="none" w:sz="0" w:space="0" w:color="auto"/>
        <w:left w:val="none" w:sz="0" w:space="0" w:color="auto"/>
        <w:bottom w:val="none" w:sz="0" w:space="0" w:color="auto"/>
        <w:right w:val="none" w:sz="0" w:space="0" w:color="auto"/>
      </w:divBdr>
    </w:div>
    <w:div w:id="1018848214">
      <w:bodyDiv w:val="1"/>
      <w:marLeft w:val="0"/>
      <w:marRight w:val="0"/>
      <w:marTop w:val="0"/>
      <w:marBottom w:val="0"/>
      <w:divBdr>
        <w:top w:val="none" w:sz="0" w:space="0" w:color="auto"/>
        <w:left w:val="none" w:sz="0" w:space="0" w:color="auto"/>
        <w:bottom w:val="none" w:sz="0" w:space="0" w:color="auto"/>
        <w:right w:val="none" w:sz="0" w:space="0" w:color="auto"/>
      </w:divBdr>
    </w:div>
    <w:div w:id="1020863358">
      <w:bodyDiv w:val="1"/>
      <w:marLeft w:val="0"/>
      <w:marRight w:val="0"/>
      <w:marTop w:val="0"/>
      <w:marBottom w:val="0"/>
      <w:divBdr>
        <w:top w:val="none" w:sz="0" w:space="0" w:color="auto"/>
        <w:left w:val="none" w:sz="0" w:space="0" w:color="auto"/>
        <w:bottom w:val="none" w:sz="0" w:space="0" w:color="auto"/>
        <w:right w:val="none" w:sz="0" w:space="0" w:color="auto"/>
      </w:divBdr>
    </w:div>
    <w:div w:id="1031342455">
      <w:bodyDiv w:val="1"/>
      <w:marLeft w:val="0"/>
      <w:marRight w:val="0"/>
      <w:marTop w:val="0"/>
      <w:marBottom w:val="0"/>
      <w:divBdr>
        <w:top w:val="none" w:sz="0" w:space="0" w:color="auto"/>
        <w:left w:val="none" w:sz="0" w:space="0" w:color="auto"/>
        <w:bottom w:val="none" w:sz="0" w:space="0" w:color="auto"/>
        <w:right w:val="none" w:sz="0" w:space="0" w:color="auto"/>
      </w:divBdr>
    </w:div>
    <w:div w:id="1050422373">
      <w:bodyDiv w:val="1"/>
      <w:marLeft w:val="0"/>
      <w:marRight w:val="0"/>
      <w:marTop w:val="0"/>
      <w:marBottom w:val="0"/>
      <w:divBdr>
        <w:top w:val="none" w:sz="0" w:space="0" w:color="auto"/>
        <w:left w:val="none" w:sz="0" w:space="0" w:color="auto"/>
        <w:bottom w:val="none" w:sz="0" w:space="0" w:color="auto"/>
        <w:right w:val="none" w:sz="0" w:space="0" w:color="auto"/>
      </w:divBdr>
    </w:div>
    <w:div w:id="1054430587">
      <w:bodyDiv w:val="1"/>
      <w:marLeft w:val="0"/>
      <w:marRight w:val="0"/>
      <w:marTop w:val="0"/>
      <w:marBottom w:val="0"/>
      <w:divBdr>
        <w:top w:val="none" w:sz="0" w:space="0" w:color="auto"/>
        <w:left w:val="none" w:sz="0" w:space="0" w:color="auto"/>
        <w:bottom w:val="none" w:sz="0" w:space="0" w:color="auto"/>
        <w:right w:val="none" w:sz="0" w:space="0" w:color="auto"/>
      </w:divBdr>
    </w:div>
    <w:div w:id="1062945026">
      <w:bodyDiv w:val="1"/>
      <w:marLeft w:val="0"/>
      <w:marRight w:val="0"/>
      <w:marTop w:val="0"/>
      <w:marBottom w:val="0"/>
      <w:divBdr>
        <w:top w:val="none" w:sz="0" w:space="0" w:color="auto"/>
        <w:left w:val="none" w:sz="0" w:space="0" w:color="auto"/>
        <w:bottom w:val="none" w:sz="0" w:space="0" w:color="auto"/>
        <w:right w:val="none" w:sz="0" w:space="0" w:color="auto"/>
      </w:divBdr>
    </w:div>
    <w:div w:id="1069307075">
      <w:bodyDiv w:val="1"/>
      <w:marLeft w:val="0"/>
      <w:marRight w:val="0"/>
      <w:marTop w:val="0"/>
      <w:marBottom w:val="0"/>
      <w:divBdr>
        <w:top w:val="none" w:sz="0" w:space="0" w:color="auto"/>
        <w:left w:val="none" w:sz="0" w:space="0" w:color="auto"/>
        <w:bottom w:val="none" w:sz="0" w:space="0" w:color="auto"/>
        <w:right w:val="none" w:sz="0" w:space="0" w:color="auto"/>
      </w:divBdr>
    </w:div>
    <w:div w:id="1072850988">
      <w:bodyDiv w:val="1"/>
      <w:marLeft w:val="0"/>
      <w:marRight w:val="0"/>
      <w:marTop w:val="0"/>
      <w:marBottom w:val="0"/>
      <w:divBdr>
        <w:top w:val="none" w:sz="0" w:space="0" w:color="auto"/>
        <w:left w:val="none" w:sz="0" w:space="0" w:color="auto"/>
        <w:bottom w:val="none" w:sz="0" w:space="0" w:color="auto"/>
        <w:right w:val="none" w:sz="0" w:space="0" w:color="auto"/>
      </w:divBdr>
    </w:div>
    <w:div w:id="1075206447">
      <w:bodyDiv w:val="1"/>
      <w:marLeft w:val="0"/>
      <w:marRight w:val="0"/>
      <w:marTop w:val="0"/>
      <w:marBottom w:val="0"/>
      <w:divBdr>
        <w:top w:val="none" w:sz="0" w:space="0" w:color="auto"/>
        <w:left w:val="none" w:sz="0" w:space="0" w:color="auto"/>
        <w:bottom w:val="none" w:sz="0" w:space="0" w:color="auto"/>
        <w:right w:val="none" w:sz="0" w:space="0" w:color="auto"/>
      </w:divBdr>
    </w:div>
    <w:div w:id="1096252235">
      <w:bodyDiv w:val="1"/>
      <w:marLeft w:val="0"/>
      <w:marRight w:val="0"/>
      <w:marTop w:val="0"/>
      <w:marBottom w:val="0"/>
      <w:divBdr>
        <w:top w:val="none" w:sz="0" w:space="0" w:color="auto"/>
        <w:left w:val="none" w:sz="0" w:space="0" w:color="auto"/>
        <w:bottom w:val="none" w:sz="0" w:space="0" w:color="auto"/>
        <w:right w:val="none" w:sz="0" w:space="0" w:color="auto"/>
      </w:divBdr>
      <w:divsChild>
        <w:div w:id="2089112519">
          <w:marLeft w:val="0"/>
          <w:marRight w:val="0"/>
          <w:marTop w:val="0"/>
          <w:marBottom w:val="0"/>
          <w:divBdr>
            <w:top w:val="none" w:sz="0" w:space="0" w:color="auto"/>
            <w:left w:val="none" w:sz="0" w:space="0" w:color="auto"/>
            <w:bottom w:val="none" w:sz="0" w:space="0" w:color="auto"/>
            <w:right w:val="none" w:sz="0" w:space="0" w:color="auto"/>
          </w:divBdr>
          <w:divsChild>
            <w:div w:id="16285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0018">
      <w:bodyDiv w:val="1"/>
      <w:marLeft w:val="0"/>
      <w:marRight w:val="0"/>
      <w:marTop w:val="0"/>
      <w:marBottom w:val="0"/>
      <w:divBdr>
        <w:top w:val="none" w:sz="0" w:space="0" w:color="auto"/>
        <w:left w:val="none" w:sz="0" w:space="0" w:color="auto"/>
        <w:bottom w:val="none" w:sz="0" w:space="0" w:color="auto"/>
        <w:right w:val="none" w:sz="0" w:space="0" w:color="auto"/>
      </w:divBdr>
    </w:div>
    <w:div w:id="1105274286">
      <w:bodyDiv w:val="1"/>
      <w:marLeft w:val="0"/>
      <w:marRight w:val="0"/>
      <w:marTop w:val="0"/>
      <w:marBottom w:val="0"/>
      <w:divBdr>
        <w:top w:val="none" w:sz="0" w:space="0" w:color="auto"/>
        <w:left w:val="none" w:sz="0" w:space="0" w:color="auto"/>
        <w:bottom w:val="none" w:sz="0" w:space="0" w:color="auto"/>
        <w:right w:val="none" w:sz="0" w:space="0" w:color="auto"/>
      </w:divBdr>
    </w:div>
    <w:div w:id="1112364000">
      <w:bodyDiv w:val="1"/>
      <w:marLeft w:val="0"/>
      <w:marRight w:val="0"/>
      <w:marTop w:val="0"/>
      <w:marBottom w:val="0"/>
      <w:divBdr>
        <w:top w:val="none" w:sz="0" w:space="0" w:color="auto"/>
        <w:left w:val="none" w:sz="0" w:space="0" w:color="auto"/>
        <w:bottom w:val="none" w:sz="0" w:space="0" w:color="auto"/>
        <w:right w:val="none" w:sz="0" w:space="0" w:color="auto"/>
      </w:divBdr>
    </w:div>
    <w:div w:id="1116756438">
      <w:bodyDiv w:val="1"/>
      <w:marLeft w:val="0"/>
      <w:marRight w:val="0"/>
      <w:marTop w:val="0"/>
      <w:marBottom w:val="0"/>
      <w:divBdr>
        <w:top w:val="none" w:sz="0" w:space="0" w:color="auto"/>
        <w:left w:val="none" w:sz="0" w:space="0" w:color="auto"/>
        <w:bottom w:val="none" w:sz="0" w:space="0" w:color="auto"/>
        <w:right w:val="none" w:sz="0" w:space="0" w:color="auto"/>
      </w:divBdr>
    </w:div>
    <w:div w:id="1118180616">
      <w:bodyDiv w:val="1"/>
      <w:marLeft w:val="0"/>
      <w:marRight w:val="0"/>
      <w:marTop w:val="0"/>
      <w:marBottom w:val="0"/>
      <w:divBdr>
        <w:top w:val="none" w:sz="0" w:space="0" w:color="auto"/>
        <w:left w:val="none" w:sz="0" w:space="0" w:color="auto"/>
        <w:bottom w:val="none" w:sz="0" w:space="0" w:color="auto"/>
        <w:right w:val="none" w:sz="0" w:space="0" w:color="auto"/>
      </w:divBdr>
    </w:div>
    <w:div w:id="1122118562">
      <w:bodyDiv w:val="1"/>
      <w:marLeft w:val="0"/>
      <w:marRight w:val="0"/>
      <w:marTop w:val="0"/>
      <w:marBottom w:val="0"/>
      <w:divBdr>
        <w:top w:val="none" w:sz="0" w:space="0" w:color="auto"/>
        <w:left w:val="none" w:sz="0" w:space="0" w:color="auto"/>
        <w:bottom w:val="none" w:sz="0" w:space="0" w:color="auto"/>
        <w:right w:val="none" w:sz="0" w:space="0" w:color="auto"/>
      </w:divBdr>
    </w:div>
    <w:div w:id="1130440672">
      <w:bodyDiv w:val="1"/>
      <w:marLeft w:val="0"/>
      <w:marRight w:val="0"/>
      <w:marTop w:val="0"/>
      <w:marBottom w:val="0"/>
      <w:divBdr>
        <w:top w:val="none" w:sz="0" w:space="0" w:color="auto"/>
        <w:left w:val="none" w:sz="0" w:space="0" w:color="auto"/>
        <w:bottom w:val="none" w:sz="0" w:space="0" w:color="auto"/>
        <w:right w:val="none" w:sz="0" w:space="0" w:color="auto"/>
      </w:divBdr>
    </w:div>
    <w:div w:id="1131290886">
      <w:bodyDiv w:val="1"/>
      <w:marLeft w:val="0"/>
      <w:marRight w:val="0"/>
      <w:marTop w:val="0"/>
      <w:marBottom w:val="0"/>
      <w:divBdr>
        <w:top w:val="none" w:sz="0" w:space="0" w:color="auto"/>
        <w:left w:val="none" w:sz="0" w:space="0" w:color="auto"/>
        <w:bottom w:val="none" w:sz="0" w:space="0" w:color="auto"/>
        <w:right w:val="none" w:sz="0" w:space="0" w:color="auto"/>
      </w:divBdr>
    </w:div>
    <w:div w:id="1134952469">
      <w:bodyDiv w:val="1"/>
      <w:marLeft w:val="0"/>
      <w:marRight w:val="0"/>
      <w:marTop w:val="0"/>
      <w:marBottom w:val="0"/>
      <w:divBdr>
        <w:top w:val="none" w:sz="0" w:space="0" w:color="auto"/>
        <w:left w:val="none" w:sz="0" w:space="0" w:color="auto"/>
        <w:bottom w:val="none" w:sz="0" w:space="0" w:color="auto"/>
        <w:right w:val="none" w:sz="0" w:space="0" w:color="auto"/>
      </w:divBdr>
    </w:div>
    <w:div w:id="1147697646">
      <w:bodyDiv w:val="1"/>
      <w:marLeft w:val="0"/>
      <w:marRight w:val="0"/>
      <w:marTop w:val="0"/>
      <w:marBottom w:val="0"/>
      <w:divBdr>
        <w:top w:val="none" w:sz="0" w:space="0" w:color="auto"/>
        <w:left w:val="none" w:sz="0" w:space="0" w:color="auto"/>
        <w:bottom w:val="none" w:sz="0" w:space="0" w:color="auto"/>
        <w:right w:val="none" w:sz="0" w:space="0" w:color="auto"/>
      </w:divBdr>
    </w:div>
    <w:div w:id="1148278209">
      <w:bodyDiv w:val="1"/>
      <w:marLeft w:val="0"/>
      <w:marRight w:val="0"/>
      <w:marTop w:val="0"/>
      <w:marBottom w:val="0"/>
      <w:divBdr>
        <w:top w:val="none" w:sz="0" w:space="0" w:color="auto"/>
        <w:left w:val="none" w:sz="0" w:space="0" w:color="auto"/>
        <w:bottom w:val="none" w:sz="0" w:space="0" w:color="auto"/>
        <w:right w:val="none" w:sz="0" w:space="0" w:color="auto"/>
      </w:divBdr>
    </w:div>
    <w:div w:id="1153987725">
      <w:bodyDiv w:val="1"/>
      <w:marLeft w:val="0"/>
      <w:marRight w:val="0"/>
      <w:marTop w:val="0"/>
      <w:marBottom w:val="0"/>
      <w:divBdr>
        <w:top w:val="none" w:sz="0" w:space="0" w:color="auto"/>
        <w:left w:val="none" w:sz="0" w:space="0" w:color="auto"/>
        <w:bottom w:val="none" w:sz="0" w:space="0" w:color="auto"/>
        <w:right w:val="none" w:sz="0" w:space="0" w:color="auto"/>
      </w:divBdr>
    </w:div>
    <w:div w:id="1161431547">
      <w:bodyDiv w:val="1"/>
      <w:marLeft w:val="0"/>
      <w:marRight w:val="0"/>
      <w:marTop w:val="0"/>
      <w:marBottom w:val="0"/>
      <w:divBdr>
        <w:top w:val="none" w:sz="0" w:space="0" w:color="auto"/>
        <w:left w:val="none" w:sz="0" w:space="0" w:color="auto"/>
        <w:bottom w:val="none" w:sz="0" w:space="0" w:color="auto"/>
        <w:right w:val="none" w:sz="0" w:space="0" w:color="auto"/>
      </w:divBdr>
    </w:div>
    <w:div w:id="1169128825">
      <w:bodyDiv w:val="1"/>
      <w:marLeft w:val="0"/>
      <w:marRight w:val="0"/>
      <w:marTop w:val="0"/>
      <w:marBottom w:val="0"/>
      <w:divBdr>
        <w:top w:val="none" w:sz="0" w:space="0" w:color="auto"/>
        <w:left w:val="none" w:sz="0" w:space="0" w:color="auto"/>
        <w:bottom w:val="none" w:sz="0" w:space="0" w:color="auto"/>
        <w:right w:val="none" w:sz="0" w:space="0" w:color="auto"/>
      </w:divBdr>
    </w:div>
    <w:div w:id="1171291864">
      <w:bodyDiv w:val="1"/>
      <w:marLeft w:val="0"/>
      <w:marRight w:val="0"/>
      <w:marTop w:val="0"/>
      <w:marBottom w:val="0"/>
      <w:divBdr>
        <w:top w:val="none" w:sz="0" w:space="0" w:color="auto"/>
        <w:left w:val="none" w:sz="0" w:space="0" w:color="auto"/>
        <w:bottom w:val="none" w:sz="0" w:space="0" w:color="auto"/>
        <w:right w:val="none" w:sz="0" w:space="0" w:color="auto"/>
      </w:divBdr>
    </w:div>
    <w:div w:id="1183933746">
      <w:bodyDiv w:val="1"/>
      <w:marLeft w:val="0"/>
      <w:marRight w:val="0"/>
      <w:marTop w:val="0"/>
      <w:marBottom w:val="0"/>
      <w:divBdr>
        <w:top w:val="none" w:sz="0" w:space="0" w:color="auto"/>
        <w:left w:val="none" w:sz="0" w:space="0" w:color="auto"/>
        <w:bottom w:val="none" w:sz="0" w:space="0" w:color="auto"/>
        <w:right w:val="none" w:sz="0" w:space="0" w:color="auto"/>
      </w:divBdr>
    </w:div>
    <w:div w:id="1185484965">
      <w:bodyDiv w:val="1"/>
      <w:marLeft w:val="0"/>
      <w:marRight w:val="0"/>
      <w:marTop w:val="0"/>
      <w:marBottom w:val="0"/>
      <w:divBdr>
        <w:top w:val="none" w:sz="0" w:space="0" w:color="auto"/>
        <w:left w:val="none" w:sz="0" w:space="0" w:color="auto"/>
        <w:bottom w:val="none" w:sz="0" w:space="0" w:color="auto"/>
        <w:right w:val="none" w:sz="0" w:space="0" w:color="auto"/>
      </w:divBdr>
    </w:div>
    <w:div w:id="1192306725">
      <w:bodyDiv w:val="1"/>
      <w:marLeft w:val="0"/>
      <w:marRight w:val="0"/>
      <w:marTop w:val="0"/>
      <w:marBottom w:val="0"/>
      <w:divBdr>
        <w:top w:val="none" w:sz="0" w:space="0" w:color="auto"/>
        <w:left w:val="none" w:sz="0" w:space="0" w:color="auto"/>
        <w:bottom w:val="none" w:sz="0" w:space="0" w:color="auto"/>
        <w:right w:val="none" w:sz="0" w:space="0" w:color="auto"/>
      </w:divBdr>
    </w:div>
    <w:div w:id="1200168449">
      <w:bodyDiv w:val="1"/>
      <w:marLeft w:val="0"/>
      <w:marRight w:val="0"/>
      <w:marTop w:val="0"/>
      <w:marBottom w:val="0"/>
      <w:divBdr>
        <w:top w:val="none" w:sz="0" w:space="0" w:color="auto"/>
        <w:left w:val="none" w:sz="0" w:space="0" w:color="auto"/>
        <w:bottom w:val="none" w:sz="0" w:space="0" w:color="auto"/>
        <w:right w:val="none" w:sz="0" w:space="0" w:color="auto"/>
      </w:divBdr>
    </w:div>
    <w:div w:id="1202749065">
      <w:bodyDiv w:val="1"/>
      <w:marLeft w:val="0"/>
      <w:marRight w:val="0"/>
      <w:marTop w:val="0"/>
      <w:marBottom w:val="0"/>
      <w:divBdr>
        <w:top w:val="none" w:sz="0" w:space="0" w:color="auto"/>
        <w:left w:val="none" w:sz="0" w:space="0" w:color="auto"/>
        <w:bottom w:val="none" w:sz="0" w:space="0" w:color="auto"/>
        <w:right w:val="none" w:sz="0" w:space="0" w:color="auto"/>
      </w:divBdr>
    </w:div>
    <w:div w:id="1203011285">
      <w:bodyDiv w:val="1"/>
      <w:marLeft w:val="0"/>
      <w:marRight w:val="0"/>
      <w:marTop w:val="0"/>
      <w:marBottom w:val="0"/>
      <w:divBdr>
        <w:top w:val="none" w:sz="0" w:space="0" w:color="auto"/>
        <w:left w:val="none" w:sz="0" w:space="0" w:color="auto"/>
        <w:bottom w:val="none" w:sz="0" w:space="0" w:color="auto"/>
        <w:right w:val="none" w:sz="0" w:space="0" w:color="auto"/>
      </w:divBdr>
    </w:div>
    <w:div w:id="1205365220">
      <w:bodyDiv w:val="1"/>
      <w:marLeft w:val="0"/>
      <w:marRight w:val="0"/>
      <w:marTop w:val="0"/>
      <w:marBottom w:val="0"/>
      <w:divBdr>
        <w:top w:val="none" w:sz="0" w:space="0" w:color="auto"/>
        <w:left w:val="none" w:sz="0" w:space="0" w:color="auto"/>
        <w:bottom w:val="none" w:sz="0" w:space="0" w:color="auto"/>
        <w:right w:val="none" w:sz="0" w:space="0" w:color="auto"/>
      </w:divBdr>
      <w:divsChild>
        <w:div w:id="1974632180">
          <w:marLeft w:val="0"/>
          <w:marRight w:val="0"/>
          <w:marTop w:val="0"/>
          <w:marBottom w:val="0"/>
          <w:divBdr>
            <w:top w:val="none" w:sz="0" w:space="0" w:color="auto"/>
            <w:left w:val="none" w:sz="0" w:space="0" w:color="auto"/>
            <w:bottom w:val="none" w:sz="0" w:space="0" w:color="auto"/>
            <w:right w:val="none" w:sz="0" w:space="0" w:color="auto"/>
          </w:divBdr>
        </w:div>
        <w:div w:id="333849835">
          <w:marLeft w:val="0"/>
          <w:marRight w:val="0"/>
          <w:marTop w:val="0"/>
          <w:marBottom w:val="0"/>
          <w:divBdr>
            <w:top w:val="none" w:sz="0" w:space="0" w:color="auto"/>
            <w:left w:val="none" w:sz="0" w:space="0" w:color="auto"/>
            <w:bottom w:val="none" w:sz="0" w:space="0" w:color="auto"/>
            <w:right w:val="none" w:sz="0" w:space="0" w:color="auto"/>
          </w:divBdr>
        </w:div>
        <w:div w:id="1797792099">
          <w:marLeft w:val="0"/>
          <w:marRight w:val="0"/>
          <w:marTop w:val="0"/>
          <w:marBottom w:val="0"/>
          <w:divBdr>
            <w:top w:val="none" w:sz="0" w:space="0" w:color="auto"/>
            <w:left w:val="none" w:sz="0" w:space="0" w:color="auto"/>
            <w:bottom w:val="none" w:sz="0" w:space="0" w:color="auto"/>
            <w:right w:val="none" w:sz="0" w:space="0" w:color="auto"/>
          </w:divBdr>
        </w:div>
        <w:div w:id="1842963451">
          <w:marLeft w:val="0"/>
          <w:marRight w:val="0"/>
          <w:marTop w:val="0"/>
          <w:marBottom w:val="0"/>
          <w:divBdr>
            <w:top w:val="none" w:sz="0" w:space="0" w:color="auto"/>
            <w:left w:val="none" w:sz="0" w:space="0" w:color="auto"/>
            <w:bottom w:val="none" w:sz="0" w:space="0" w:color="auto"/>
            <w:right w:val="none" w:sz="0" w:space="0" w:color="auto"/>
          </w:divBdr>
        </w:div>
      </w:divsChild>
    </w:div>
    <w:div w:id="1207983572">
      <w:bodyDiv w:val="1"/>
      <w:marLeft w:val="0"/>
      <w:marRight w:val="0"/>
      <w:marTop w:val="0"/>
      <w:marBottom w:val="0"/>
      <w:divBdr>
        <w:top w:val="none" w:sz="0" w:space="0" w:color="auto"/>
        <w:left w:val="none" w:sz="0" w:space="0" w:color="auto"/>
        <w:bottom w:val="none" w:sz="0" w:space="0" w:color="auto"/>
        <w:right w:val="none" w:sz="0" w:space="0" w:color="auto"/>
      </w:divBdr>
    </w:div>
    <w:div w:id="1219364536">
      <w:bodyDiv w:val="1"/>
      <w:marLeft w:val="0"/>
      <w:marRight w:val="0"/>
      <w:marTop w:val="0"/>
      <w:marBottom w:val="0"/>
      <w:divBdr>
        <w:top w:val="none" w:sz="0" w:space="0" w:color="auto"/>
        <w:left w:val="none" w:sz="0" w:space="0" w:color="auto"/>
        <w:bottom w:val="none" w:sz="0" w:space="0" w:color="auto"/>
        <w:right w:val="none" w:sz="0" w:space="0" w:color="auto"/>
      </w:divBdr>
    </w:div>
    <w:div w:id="1222591902">
      <w:bodyDiv w:val="1"/>
      <w:marLeft w:val="0"/>
      <w:marRight w:val="0"/>
      <w:marTop w:val="0"/>
      <w:marBottom w:val="0"/>
      <w:divBdr>
        <w:top w:val="none" w:sz="0" w:space="0" w:color="auto"/>
        <w:left w:val="none" w:sz="0" w:space="0" w:color="auto"/>
        <w:bottom w:val="none" w:sz="0" w:space="0" w:color="auto"/>
        <w:right w:val="none" w:sz="0" w:space="0" w:color="auto"/>
      </w:divBdr>
    </w:div>
    <w:div w:id="1223055466">
      <w:bodyDiv w:val="1"/>
      <w:marLeft w:val="0"/>
      <w:marRight w:val="0"/>
      <w:marTop w:val="0"/>
      <w:marBottom w:val="0"/>
      <w:divBdr>
        <w:top w:val="none" w:sz="0" w:space="0" w:color="auto"/>
        <w:left w:val="none" w:sz="0" w:space="0" w:color="auto"/>
        <w:bottom w:val="none" w:sz="0" w:space="0" w:color="auto"/>
        <w:right w:val="none" w:sz="0" w:space="0" w:color="auto"/>
      </w:divBdr>
    </w:div>
    <w:div w:id="1228032303">
      <w:bodyDiv w:val="1"/>
      <w:marLeft w:val="0"/>
      <w:marRight w:val="0"/>
      <w:marTop w:val="0"/>
      <w:marBottom w:val="0"/>
      <w:divBdr>
        <w:top w:val="none" w:sz="0" w:space="0" w:color="auto"/>
        <w:left w:val="none" w:sz="0" w:space="0" w:color="auto"/>
        <w:bottom w:val="none" w:sz="0" w:space="0" w:color="auto"/>
        <w:right w:val="none" w:sz="0" w:space="0" w:color="auto"/>
      </w:divBdr>
    </w:div>
    <w:div w:id="1233740669">
      <w:bodyDiv w:val="1"/>
      <w:marLeft w:val="0"/>
      <w:marRight w:val="0"/>
      <w:marTop w:val="0"/>
      <w:marBottom w:val="0"/>
      <w:divBdr>
        <w:top w:val="none" w:sz="0" w:space="0" w:color="auto"/>
        <w:left w:val="none" w:sz="0" w:space="0" w:color="auto"/>
        <w:bottom w:val="none" w:sz="0" w:space="0" w:color="auto"/>
        <w:right w:val="none" w:sz="0" w:space="0" w:color="auto"/>
      </w:divBdr>
    </w:div>
    <w:div w:id="1237669775">
      <w:bodyDiv w:val="1"/>
      <w:marLeft w:val="0"/>
      <w:marRight w:val="0"/>
      <w:marTop w:val="0"/>
      <w:marBottom w:val="0"/>
      <w:divBdr>
        <w:top w:val="none" w:sz="0" w:space="0" w:color="auto"/>
        <w:left w:val="none" w:sz="0" w:space="0" w:color="auto"/>
        <w:bottom w:val="none" w:sz="0" w:space="0" w:color="auto"/>
        <w:right w:val="none" w:sz="0" w:space="0" w:color="auto"/>
      </w:divBdr>
    </w:div>
    <w:div w:id="1239945905">
      <w:bodyDiv w:val="1"/>
      <w:marLeft w:val="0"/>
      <w:marRight w:val="0"/>
      <w:marTop w:val="0"/>
      <w:marBottom w:val="0"/>
      <w:divBdr>
        <w:top w:val="none" w:sz="0" w:space="0" w:color="auto"/>
        <w:left w:val="none" w:sz="0" w:space="0" w:color="auto"/>
        <w:bottom w:val="none" w:sz="0" w:space="0" w:color="auto"/>
        <w:right w:val="none" w:sz="0" w:space="0" w:color="auto"/>
      </w:divBdr>
    </w:div>
    <w:div w:id="1255091268">
      <w:bodyDiv w:val="1"/>
      <w:marLeft w:val="0"/>
      <w:marRight w:val="0"/>
      <w:marTop w:val="0"/>
      <w:marBottom w:val="0"/>
      <w:divBdr>
        <w:top w:val="none" w:sz="0" w:space="0" w:color="auto"/>
        <w:left w:val="none" w:sz="0" w:space="0" w:color="auto"/>
        <w:bottom w:val="none" w:sz="0" w:space="0" w:color="auto"/>
        <w:right w:val="none" w:sz="0" w:space="0" w:color="auto"/>
      </w:divBdr>
    </w:div>
    <w:div w:id="1259673802">
      <w:bodyDiv w:val="1"/>
      <w:marLeft w:val="0"/>
      <w:marRight w:val="0"/>
      <w:marTop w:val="0"/>
      <w:marBottom w:val="0"/>
      <w:divBdr>
        <w:top w:val="none" w:sz="0" w:space="0" w:color="auto"/>
        <w:left w:val="none" w:sz="0" w:space="0" w:color="auto"/>
        <w:bottom w:val="none" w:sz="0" w:space="0" w:color="auto"/>
        <w:right w:val="none" w:sz="0" w:space="0" w:color="auto"/>
      </w:divBdr>
    </w:div>
    <w:div w:id="1269660642">
      <w:bodyDiv w:val="1"/>
      <w:marLeft w:val="0"/>
      <w:marRight w:val="0"/>
      <w:marTop w:val="0"/>
      <w:marBottom w:val="0"/>
      <w:divBdr>
        <w:top w:val="none" w:sz="0" w:space="0" w:color="auto"/>
        <w:left w:val="none" w:sz="0" w:space="0" w:color="auto"/>
        <w:bottom w:val="none" w:sz="0" w:space="0" w:color="auto"/>
        <w:right w:val="none" w:sz="0" w:space="0" w:color="auto"/>
      </w:divBdr>
    </w:div>
    <w:div w:id="1272009694">
      <w:bodyDiv w:val="1"/>
      <w:marLeft w:val="0"/>
      <w:marRight w:val="0"/>
      <w:marTop w:val="0"/>
      <w:marBottom w:val="0"/>
      <w:divBdr>
        <w:top w:val="none" w:sz="0" w:space="0" w:color="auto"/>
        <w:left w:val="none" w:sz="0" w:space="0" w:color="auto"/>
        <w:bottom w:val="none" w:sz="0" w:space="0" w:color="auto"/>
        <w:right w:val="none" w:sz="0" w:space="0" w:color="auto"/>
      </w:divBdr>
    </w:div>
    <w:div w:id="1277910509">
      <w:bodyDiv w:val="1"/>
      <w:marLeft w:val="0"/>
      <w:marRight w:val="0"/>
      <w:marTop w:val="0"/>
      <w:marBottom w:val="0"/>
      <w:divBdr>
        <w:top w:val="none" w:sz="0" w:space="0" w:color="auto"/>
        <w:left w:val="none" w:sz="0" w:space="0" w:color="auto"/>
        <w:bottom w:val="none" w:sz="0" w:space="0" w:color="auto"/>
        <w:right w:val="none" w:sz="0" w:space="0" w:color="auto"/>
      </w:divBdr>
    </w:div>
    <w:div w:id="1280334610">
      <w:bodyDiv w:val="1"/>
      <w:marLeft w:val="0"/>
      <w:marRight w:val="0"/>
      <w:marTop w:val="0"/>
      <w:marBottom w:val="0"/>
      <w:divBdr>
        <w:top w:val="none" w:sz="0" w:space="0" w:color="auto"/>
        <w:left w:val="none" w:sz="0" w:space="0" w:color="auto"/>
        <w:bottom w:val="none" w:sz="0" w:space="0" w:color="auto"/>
        <w:right w:val="none" w:sz="0" w:space="0" w:color="auto"/>
      </w:divBdr>
    </w:div>
    <w:div w:id="1282953241">
      <w:bodyDiv w:val="1"/>
      <w:marLeft w:val="0"/>
      <w:marRight w:val="0"/>
      <w:marTop w:val="0"/>
      <w:marBottom w:val="0"/>
      <w:divBdr>
        <w:top w:val="none" w:sz="0" w:space="0" w:color="auto"/>
        <w:left w:val="none" w:sz="0" w:space="0" w:color="auto"/>
        <w:bottom w:val="none" w:sz="0" w:space="0" w:color="auto"/>
        <w:right w:val="none" w:sz="0" w:space="0" w:color="auto"/>
      </w:divBdr>
    </w:div>
    <w:div w:id="1308247425">
      <w:bodyDiv w:val="1"/>
      <w:marLeft w:val="0"/>
      <w:marRight w:val="0"/>
      <w:marTop w:val="0"/>
      <w:marBottom w:val="0"/>
      <w:divBdr>
        <w:top w:val="none" w:sz="0" w:space="0" w:color="auto"/>
        <w:left w:val="none" w:sz="0" w:space="0" w:color="auto"/>
        <w:bottom w:val="none" w:sz="0" w:space="0" w:color="auto"/>
        <w:right w:val="none" w:sz="0" w:space="0" w:color="auto"/>
      </w:divBdr>
    </w:div>
    <w:div w:id="1315716583">
      <w:bodyDiv w:val="1"/>
      <w:marLeft w:val="0"/>
      <w:marRight w:val="0"/>
      <w:marTop w:val="0"/>
      <w:marBottom w:val="0"/>
      <w:divBdr>
        <w:top w:val="none" w:sz="0" w:space="0" w:color="auto"/>
        <w:left w:val="none" w:sz="0" w:space="0" w:color="auto"/>
        <w:bottom w:val="none" w:sz="0" w:space="0" w:color="auto"/>
        <w:right w:val="none" w:sz="0" w:space="0" w:color="auto"/>
      </w:divBdr>
    </w:div>
    <w:div w:id="1327635388">
      <w:bodyDiv w:val="1"/>
      <w:marLeft w:val="0"/>
      <w:marRight w:val="0"/>
      <w:marTop w:val="0"/>
      <w:marBottom w:val="0"/>
      <w:divBdr>
        <w:top w:val="none" w:sz="0" w:space="0" w:color="auto"/>
        <w:left w:val="none" w:sz="0" w:space="0" w:color="auto"/>
        <w:bottom w:val="none" w:sz="0" w:space="0" w:color="auto"/>
        <w:right w:val="none" w:sz="0" w:space="0" w:color="auto"/>
      </w:divBdr>
    </w:div>
    <w:div w:id="1328748666">
      <w:bodyDiv w:val="1"/>
      <w:marLeft w:val="0"/>
      <w:marRight w:val="0"/>
      <w:marTop w:val="0"/>
      <w:marBottom w:val="0"/>
      <w:divBdr>
        <w:top w:val="none" w:sz="0" w:space="0" w:color="auto"/>
        <w:left w:val="none" w:sz="0" w:space="0" w:color="auto"/>
        <w:bottom w:val="none" w:sz="0" w:space="0" w:color="auto"/>
        <w:right w:val="none" w:sz="0" w:space="0" w:color="auto"/>
      </w:divBdr>
    </w:div>
    <w:div w:id="1342467534">
      <w:bodyDiv w:val="1"/>
      <w:marLeft w:val="0"/>
      <w:marRight w:val="0"/>
      <w:marTop w:val="0"/>
      <w:marBottom w:val="0"/>
      <w:divBdr>
        <w:top w:val="none" w:sz="0" w:space="0" w:color="auto"/>
        <w:left w:val="none" w:sz="0" w:space="0" w:color="auto"/>
        <w:bottom w:val="none" w:sz="0" w:space="0" w:color="auto"/>
        <w:right w:val="none" w:sz="0" w:space="0" w:color="auto"/>
      </w:divBdr>
    </w:div>
    <w:div w:id="1343972821">
      <w:bodyDiv w:val="1"/>
      <w:marLeft w:val="0"/>
      <w:marRight w:val="0"/>
      <w:marTop w:val="0"/>
      <w:marBottom w:val="0"/>
      <w:divBdr>
        <w:top w:val="none" w:sz="0" w:space="0" w:color="auto"/>
        <w:left w:val="none" w:sz="0" w:space="0" w:color="auto"/>
        <w:bottom w:val="none" w:sz="0" w:space="0" w:color="auto"/>
        <w:right w:val="none" w:sz="0" w:space="0" w:color="auto"/>
      </w:divBdr>
    </w:div>
    <w:div w:id="1356078618">
      <w:bodyDiv w:val="1"/>
      <w:marLeft w:val="0"/>
      <w:marRight w:val="0"/>
      <w:marTop w:val="0"/>
      <w:marBottom w:val="0"/>
      <w:divBdr>
        <w:top w:val="none" w:sz="0" w:space="0" w:color="auto"/>
        <w:left w:val="none" w:sz="0" w:space="0" w:color="auto"/>
        <w:bottom w:val="none" w:sz="0" w:space="0" w:color="auto"/>
        <w:right w:val="none" w:sz="0" w:space="0" w:color="auto"/>
      </w:divBdr>
    </w:div>
    <w:div w:id="1361129751">
      <w:bodyDiv w:val="1"/>
      <w:marLeft w:val="0"/>
      <w:marRight w:val="0"/>
      <w:marTop w:val="0"/>
      <w:marBottom w:val="0"/>
      <w:divBdr>
        <w:top w:val="none" w:sz="0" w:space="0" w:color="auto"/>
        <w:left w:val="none" w:sz="0" w:space="0" w:color="auto"/>
        <w:bottom w:val="none" w:sz="0" w:space="0" w:color="auto"/>
        <w:right w:val="none" w:sz="0" w:space="0" w:color="auto"/>
      </w:divBdr>
    </w:div>
    <w:div w:id="1362128229">
      <w:bodyDiv w:val="1"/>
      <w:marLeft w:val="0"/>
      <w:marRight w:val="0"/>
      <w:marTop w:val="0"/>
      <w:marBottom w:val="0"/>
      <w:divBdr>
        <w:top w:val="none" w:sz="0" w:space="0" w:color="auto"/>
        <w:left w:val="none" w:sz="0" w:space="0" w:color="auto"/>
        <w:bottom w:val="none" w:sz="0" w:space="0" w:color="auto"/>
        <w:right w:val="none" w:sz="0" w:space="0" w:color="auto"/>
      </w:divBdr>
    </w:div>
    <w:div w:id="1368412826">
      <w:bodyDiv w:val="1"/>
      <w:marLeft w:val="0"/>
      <w:marRight w:val="0"/>
      <w:marTop w:val="0"/>
      <w:marBottom w:val="0"/>
      <w:divBdr>
        <w:top w:val="none" w:sz="0" w:space="0" w:color="auto"/>
        <w:left w:val="none" w:sz="0" w:space="0" w:color="auto"/>
        <w:bottom w:val="none" w:sz="0" w:space="0" w:color="auto"/>
        <w:right w:val="none" w:sz="0" w:space="0" w:color="auto"/>
      </w:divBdr>
    </w:div>
    <w:div w:id="1375077971">
      <w:bodyDiv w:val="1"/>
      <w:marLeft w:val="0"/>
      <w:marRight w:val="0"/>
      <w:marTop w:val="0"/>
      <w:marBottom w:val="0"/>
      <w:divBdr>
        <w:top w:val="none" w:sz="0" w:space="0" w:color="auto"/>
        <w:left w:val="none" w:sz="0" w:space="0" w:color="auto"/>
        <w:bottom w:val="none" w:sz="0" w:space="0" w:color="auto"/>
        <w:right w:val="none" w:sz="0" w:space="0" w:color="auto"/>
      </w:divBdr>
    </w:div>
    <w:div w:id="1386835868">
      <w:bodyDiv w:val="1"/>
      <w:marLeft w:val="0"/>
      <w:marRight w:val="0"/>
      <w:marTop w:val="0"/>
      <w:marBottom w:val="0"/>
      <w:divBdr>
        <w:top w:val="none" w:sz="0" w:space="0" w:color="auto"/>
        <w:left w:val="none" w:sz="0" w:space="0" w:color="auto"/>
        <w:bottom w:val="none" w:sz="0" w:space="0" w:color="auto"/>
        <w:right w:val="none" w:sz="0" w:space="0" w:color="auto"/>
      </w:divBdr>
    </w:div>
    <w:div w:id="1404333741">
      <w:bodyDiv w:val="1"/>
      <w:marLeft w:val="0"/>
      <w:marRight w:val="0"/>
      <w:marTop w:val="0"/>
      <w:marBottom w:val="0"/>
      <w:divBdr>
        <w:top w:val="none" w:sz="0" w:space="0" w:color="auto"/>
        <w:left w:val="none" w:sz="0" w:space="0" w:color="auto"/>
        <w:bottom w:val="none" w:sz="0" w:space="0" w:color="auto"/>
        <w:right w:val="none" w:sz="0" w:space="0" w:color="auto"/>
      </w:divBdr>
    </w:div>
    <w:div w:id="1426726379">
      <w:bodyDiv w:val="1"/>
      <w:marLeft w:val="0"/>
      <w:marRight w:val="0"/>
      <w:marTop w:val="0"/>
      <w:marBottom w:val="0"/>
      <w:divBdr>
        <w:top w:val="none" w:sz="0" w:space="0" w:color="auto"/>
        <w:left w:val="none" w:sz="0" w:space="0" w:color="auto"/>
        <w:bottom w:val="none" w:sz="0" w:space="0" w:color="auto"/>
        <w:right w:val="none" w:sz="0" w:space="0" w:color="auto"/>
      </w:divBdr>
    </w:div>
    <w:div w:id="1430084449">
      <w:bodyDiv w:val="1"/>
      <w:marLeft w:val="0"/>
      <w:marRight w:val="0"/>
      <w:marTop w:val="0"/>
      <w:marBottom w:val="0"/>
      <w:divBdr>
        <w:top w:val="none" w:sz="0" w:space="0" w:color="auto"/>
        <w:left w:val="none" w:sz="0" w:space="0" w:color="auto"/>
        <w:bottom w:val="none" w:sz="0" w:space="0" w:color="auto"/>
        <w:right w:val="none" w:sz="0" w:space="0" w:color="auto"/>
      </w:divBdr>
    </w:div>
    <w:div w:id="1433165906">
      <w:bodyDiv w:val="1"/>
      <w:marLeft w:val="0"/>
      <w:marRight w:val="0"/>
      <w:marTop w:val="0"/>
      <w:marBottom w:val="0"/>
      <w:divBdr>
        <w:top w:val="none" w:sz="0" w:space="0" w:color="auto"/>
        <w:left w:val="none" w:sz="0" w:space="0" w:color="auto"/>
        <w:bottom w:val="none" w:sz="0" w:space="0" w:color="auto"/>
        <w:right w:val="none" w:sz="0" w:space="0" w:color="auto"/>
      </w:divBdr>
    </w:div>
    <w:div w:id="1440565363">
      <w:bodyDiv w:val="1"/>
      <w:marLeft w:val="0"/>
      <w:marRight w:val="0"/>
      <w:marTop w:val="0"/>
      <w:marBottom w:val="0"/>
      <w:divBdr>
        <w:top w:val="none" w:sz="0" w:space="0" w:color="auto"/>
        <w:left w:val="none" w:sz="0" w:space="0" w:color="auto"/>
        <w:bottom w:val="none" w:sz="0" w:space="0" w:color="auto"/>
        <w:right w:val="none" w:sz="0" w:space="0" w:color="auto"/>
      </w:divBdr>
    </w:div>
    <w:div w:id="1441141075">
      <w:bodyDiv w:val="1"/>
      <w:marLeft w:val="0"/>
      <w:marRight w:val="0"/>
      <w:marTop w:val="0"/>
      <w:marBottom w:val="0"/>
      <w:divBdr>
        <w:top w:val="none" w:sz="0" w:space="0" w:color="auto"/>
        <w:left w:val="none" w:sz="0" w:space="0" w:color="auto"/>
        <w:bottom w:val="none" w:sz="0" w:space="0" w:color="auto"/>
        <w:right w:val="none" w:sz="0" w:space="0" w:color="auto"/>
      </w:divBdr>
    </w:div>
    <w:div w:id="1450782733">
      <w:bodyDiv w:val="1"/>
      <w:marLeft w:val="0"/>
      <w:marRight w:val="0"/>
      <w:marTop w:val="0"/>
      <w:marBottom w:val="0"/>
      <w:divBdr>
        <w:top w:val="none" w:sz="0" w:space="0" w:color="auto"/>
        <w:left w:val="none" w:sz="0" w:space="0" w:color="auto"/>
        <w:bottom w:val="none" w:sz="0" w:space="0" w:color="auto"/>
        <w:right w:val="none" w:sz="0" w:space="0" w:color="auto"/>
      </w:divBdr>
    </w:div>
    <w:div w:id="1457984562">
      <w:bodyDiv w:val="1"/>
      <w:marLeft w:val="0"/>
      <w:marRight w:val="0"/>
      <w:marTop w:val="0"/>
      <w:marBottom w:val="0"/>
      <w:divBdr>
        <w:top w:val="none" w:sz="0" w:space="0" w:color="auto"/>
        <w:left w:val="none" w:sz="0" w:space="0" w:color="auto"/>
        <w:bottom w:val="none" w:sz="0" w:space="0" w:color="auto"/>
        <w:right w:val="none" w:sz="0" w:space="0" w:color="auto"/>
      </w:divBdr>
    </w:div>
    <w:div w:id="1458258864">
      <w:bodyDiv w:val="1"/>
      <w:marLeft w:val="0"/>
      <w:marRight w:val="0"/>
      <w:marTop w:val="0"/>
      <w:marBottom w:val="0"/>
      <w:divBdr>
        <w:top w:val="none" w:sz="0" w:space="0" w:color="auto"/>
        <w:left w:val="none" w:sz="0" w:space="0" w:color="auto"/>
        <w:bottom w:val="none" w:sz="0" w:space="0" w:color="auto"/>
        <w:right w:val="none" w:sz="0" w:space="0" w:color="auto"/>
      </w:divBdr>
    </w:div>
    <w:div w:id="1476483966">
      <w:bodyDiv w:val="1"/>
      <w:marLeft w:val="0"/>
      <w:marRight w:val="0"/>
      <w:marTop w:val="0"/>
      <w:marBottom w:val="0"/>
      <w:divBdr>
        <w:top w:val="none" w:sz="0" w:space="0" w:color="auto"/>
        <w:left w:val="none" w:sz="0" w:space="0" w:color="auto"/>
        <w:bottom w:val="none" w:sz="0" w:space="0" w:color="auto"/>
        <w:right w:val="none" w:sz="0" w:space="0" w:color="auto"/>
      </w:divBdr>
    </w:div>
    <w:div w:id="1491407004">
      <w:bodyDiv w:val="1"/>
      <w:marLeft w:val="0"/>
      <w:marRight w:val="0"/>
      <w:marTop w:val="0"/>
      <w:marBottom w:val="0"/>
      <w:divBdr>
        <w:top w:val="none" w:sz="0" w:space="0" w:color="auto"/>
        <w:left w:val="none" w:sz="0" w:space="0" w:color="auto"/>
        <w:bottom w:val="none" w:sz="0" w:space="0" w:color="auto"/>
        <w:right w:val="none" w:sz="0" w:space="0" w:color="auto"/>
      </w:divBdr>
    </w:div>
    <w:div w:id="1497766221">
      <w:bodyDiv w:val="1"/>
      <w:marLeft w:val="0"/>
      <w:marRight w:val="0"/>
      <w:marTop w:val="0"/>
      <w:marBottom w:val="0"/>
      <w:divBdr>
        <w:top w:val="none" w:sz="0" w:space="0" w:color="auto"/>
        <w:left w:val="none" w:sz="0" w:space="0" w:color="auto"/>
        <w:bottom w:val="none" w:sz="0" w:space="0" w:color="auto"/>
        <w:right w:val="none" w:sz="0" w:space="0" w:color="auto"/>
      </w:divBdr>
    </w:div>
    <w:div w:id="1514224592">
      <w:bodyDiv w:val="1"/>
      <w:marLeft w:val="0"/>
      <w:marRight w:val="0"/>
      <w:marTop w:val="0"/>
      <w:marBottom w:val="0"/>
      <w:divBdr>
        <w:top w:val="none" w:sz="0" w:space="0" w:color="auto"/>
        <w:left w:val="none" w:sz="0" w:space="0" w:color="auto"/>
        <w:bottom w:val="none" w:sz="0" w:space="0" w:color="auto"/>
        <w:right w:val="none" w:sz="0" w:space="0" w:color="auto"/>
      </w:divBdr>
    </w:div>
    <w:div w:id="1529759432">
      <w:bodyDiv w:val="1"/>
      <w:marLeft w:val="0"/>
      <w:marRight w:val="0"/>
      <w:marTop w:val="0"/>
      <w:marBottom w:val="0"/>
      <w:divBdr>
        <w:top w:val="none" w:sz="0" w:space="0" w:color="auto"/>
        <w:left w:val="none" w:sz="0" w:space="0" w:color="auto"/>
        <w:bottom w:val="none" w:sz="0" w:space="0" w:color="auto"/>
        <w:right w:val="none" w:sz="0" w:space="0" w:color="auto"/>
      </w:divBdr>
    </w:div>
    <w:div w:id="1530560062">
      <w:bodyDiv w:val="1"/>
      <w:marLeft w:val="0"/>
      <w:marRight w:val="0"/>
      <w:marTop w:val="0"/>
      <w:marBottom w:val="0"/>
      <w:divBdr>
        <w:top w:val="none" w:sz="0" w:space="0" w:color="auto"/>
        <w:left w:val="none" w:sz="0" w:space="0" w:color="auto"/>
        <w:bottom w:val="none" w:sz="0" w:space="0" w:color="auto"/>
        <w:right w:val="none" w:sz="0" w:space="0" w:color="auto"/>
      </w:divBdr>
    </w:div>
    <w:div w:id="1538082094">
      <w:bodyDiv w:val="1"/>
      <w:marLeft w:val="0"/>
      <w:marRight w:val="0"/>
      <w:marTop w:val="0"/>
      <w:marBottom w:val="0"/>
      <w:divBdr>
        <w:top w:val="none" w:sz="0" w:space="0" w:color="auto"/>
        <w:left w:val="none" w:sz="0" w:space="0" w:color="auto"/>
        <w:bottom w:val="none" w:sz="0" w:space="0" w:color="auto"/>
        <w:right w:val="none" w:sz="0" w:space="0" w:color="auto"/>
      </w:divBdr>
    </w:div>
    <w:div w:id="1567912330">
      <w:bodyDiv w:val="1"/>
      <w:marLeft w:val="0"/>
      <w:marRight w:val="0"/>
      <w:marTop w:val="0"/>
      <w:marBottom w:val="0"/>
      <w:divBdr>
        <w:top w:val="none" w:sz="0" w:space="0" w:color="auto"/>
        <w:left w:val="none" w:sz="0" w:space="0" w:color="auto"/>
        <w:bottom w:val="none" w:sz="0" w:space="0" w:color="auto"/>
        <w:right w:val="none" w:sz="0" w:space="0" w:color="auto"/>
      </w:divBdr>
    </w:div>
    <w:div w:id="1579174054">
      <w:bodyDiv w:val="1"/>
      <w:marLeft w:val="0"/>
      <w:marRight w:val="0"/>
      <w:marTop w:val="0"/>
      <w:marBottom w:val="0"/>
      <w:divBdr>
        <w:top w:val="none" w:sz="0" w:space="0" w:color="auto"/>
        <w:left w:val="none" w:sz="0" w:space="0" w:color="auto"/>
        <w:bottom w:val="none" w:sz="0" w:space="0" w:color="auto"/>
        <w:right w:val="none" w:sz="0" w:space="0" w:color="auto"/>
      </w:divBdr>
    </w:div>
    <w:div w:id="1584996271">
      <w:bodyDiv w:val="1"/>
      <w:marLeft w:val="0"/>
      <w:marRight w:val="0"/>
      <w:marTop w:val="0"/>
      <w:marBottom w:val="0"/>
      <w:divBdr>
        <w:top w:val="none" w:sz="0" w:space="0" w:color="auto"/>
        <w:left w:val="none" w:sz="0" w:space="0" w:color="auto"/>
        <w:bottom w:val="none" w:sz="0" w:space="0" w:color="auto"/>
        <w:right w:val="none" w:sz="0" w:space="0" w:color="auto"/>
      </w:divBdr>
    </w:div>
    <w:div w:id="1585069912">
      <w:bodyDiv w:val="1"/>
      <w:marLeft w:val="0"/>
      <w:marRight w:val="0"/>
      <w:marTop w:val="0"/>
      <w:marBottom w:val="0"/>
      <w:divBdr>
        <w:top w:val="none" w:sz="0" w:space="0" w:color="auto"/>
        <w:left w:val="none" w:sz="0" w:space="0" w:color="auto"/>
        <w:bottom w:val="none" w:sz="0" w:space="0" w:color="auto"/>
        <w:right w:val="none" w:sz="0" w:space="0" w:color="auto"/>
      </w:divBdr>
    </w:div>
    <w:div w:id="1585528649">
      <w:bodyDiv w:val="1"/>
      <w:marLeft w:val="0"/>
      <w:marRight w:val="0"/>
      <w:marTop w:val="0"/>
      <w:marBottom w:val="0"/>
      <w:divBdr>
        <w:top w:val="none" w:sz="0" w:space="0" w:color="auto"/>
        <w:left w:val="none" w:sz="0" w:space="0" w:color="auto"/>
        <w:bottom w:val="none" w:sz="0" w:space="0" w:color="auto"/>
        <w:right w:val="none" w:sz="0" w:space="0" w:color="auto"/>
      </w:divBdr>
    </w:div>
    <w:div w:id="1585609512">
      <w:bodyDiv w:val="1"/>
      <w:marLeft w:val="0"/>
      <w:marRight w:val="0"/>
      <w:marTop w:val="0"/>
      <w:marBottom w:val="0"/>
      <w:divBdr>
        <w:top w:val="none" w:sz="0" w:space="0" w:color="auto"/>
        <w:left w:val="none" w:sz="0" w:space="0" w:color="auto"/>
        <w:bottom w:val="none" w:sz="0" w:space="0" w:color="auto"/>
        <w:right w:val="none" w:sz="0" w:space="0" w:color="auto"/>
      </w:divBdr>
    </w:div>
    <w:div w:id="1593853423">
      <w:bodyDiv w:val="1"/>
      <w:marLeft w:val="0"/>
      <w:marRight w:val="0"/>
      <w:marTop w:val="0"/>
      <w:marBottom w:val="0"/>
      <w:divBdr>
        <w:top w:val="none" w:sz="0" w:space="0" w:color="auto"/>
        <w:left w:val="none" w:sz="0" w:space="0" w:color="auto"/>
        <w:bottom w:val="none" w:sz="0" w:space="0" w:color="auto"/>
        <w:right w:val="none" w:sz="0" w:space="0" w:color="auto"/>
      </w:divBdr>
    </w:div>
    <w:div w:id="1600674107">
      <w:bodyDiv w:val="1"/>
      <w:marLeft w:val="0"/>
      <w:marRight w:val="0"/>
      <w:marTop w:val="0"/>
      <w:marBottom w:val="0"/>
      <w:divBdr>
        <w:top w:val="none" w:sz="0" w:space="0" w:color="auto"/>
        <w:left w:val="none" w:sz="0" w:space="0" w:color="auto"/>
        <w:bottom w:val="none" w:sz="0" w:space="0" w:color="auto"/>
        <w:right w:val="none" w:sz="0" w:space="0" w:color="auto"/>
      </w:divBdr>
    </w:div>
    <w:div w:id="1609002759">
      <w:bodyDiv w:val="1"/>
      <w:marLeft w:val="0"/>
      <w:marRight w:val="0"/>
      <w:marTop w:val="0"/>
      <w:marBottom w:val="0"/>
      <w:divBdr>
        <w:top w:val="none" w:sz="0" w:space="0" w:color="auto"/>
        <w:left w:val="none" w:sz="0" w:space="0" w:color="auto"/>
        <w:bottom w:val="none" w:sz="0" w:space="0" w:color="auto"/>
        <w:right w:val="none" w:sz="0" w:space="0" w:color="auto"/>
      </w:divBdr>
    </w:div>
    <w:div w:id="1615599287">
      <w:bodyDiv w:val="1"/>
      <w:marLeft w:val="0"/>
      <w:marRight w:val="0"/>
      <w:marTop w:val="0"/>
      <w:marBottom w:val="0"/>
      <w:divBdr>
        <w:top w:val="none" w:sz="0" w:space="0" w:color="auto"/>
        <w:left w:val="none" w:sz="0" w:space="0" w:color="auto"/>
        <w:bottom w:val="none" w:sz="0" w:space="0" w:color="auto"/>
        <w:right w:val="none" w:sz="0" w:space="0" w:color="auto"/>
      </w:divBdr>
    </w:div>
    <w:div w:id="1616209662">
      <w:bodyDiv w:val="1"/>
      <w:marLeft w:val="0"/>
      <w:marRight w:val="0"/>
      <w:marTop w:val="0"/>
      <w:marBottom w:val="0"/>
      <w:divBdr>
        <w:top w:val="none" w:sz="0" w:space="0" w:color="auto"/>
        <w:left w:val="none" w:sz="0" w:space="0" w:color="auto"/>
        <w:bottom w:val="none" w:sz="0" w:space="0" w:color="auto"/>
        <w:right w:val="none" w:sz="0" w:space="0" w:color="auto"/>
      </w:divBdr>
    </w:div>
    <w:div w:id="1622691237">
      <w:bodyDiv w:val="1"/>
      <w:marLeft w:val="0"/>
      <w:marRight w:val="0"/>
      <w:marTop w:val="0"/>
      <w:marBottom w:val="0"/>
      <w:divBdr>
        <w:top w:val="none" w:sz="0" w:space="0" w:color="auto"/>
        <w:left w:val="none" w:sz="0" w:space="0" w:color="auto"/>
        <w:bottom w:val="none" w:sz="0" w:space="0" w:color="auto"/>
        <w:right w:val="none" w:sz="0" w:space="0" w:color="auto"/>
      </w:divBdr>
    </w:div>
    <w:div w:id="1628052013">
      <w:bodyDiv w:val="1"/>
      <w:marLeft w:val="0"/>
      <w:marRight w:val="0"/>
      <w:marTop w:val="0"/>
      <w:marBottom w:val="0"/>
      <w:divBdr>
        <w:top w:val="none" w:sz="0" w:space="0" w:color="auto"/>
        <w:left w:val="none" w:sz="0" w:space="0" w:color="auto"/>
        <w:bottom w:val="none" w:sz="0" w:space="0" w:color="auto"/>
        <w:right w:val="none" w:sz="0" w:space="0" w:color="auto"/>
      </w:divBdr>
    </w:div>
    <w:div w:id="1635679413">
      <w:bodyDiv w:val="1"/>
      <w:marLeft w:val="0"/>
      <w:marRight w:val="0"/>
      <w:marTop w:val="0"/>
      <w:marBottom w:val="0"/>
      <w:divBdr>
        <w:top w:val="none" w:sz="0" w:space="0" w:color="auto"/>
        <w:left w:val="none" w:sz="0" w:space="0" w:color="auto"/>
        <w:bottom w:val="none" w:sz="0" w:space="0" w:color="auto"/>
        <w:right w:val="none" w:sz="0" w:space="0" w:color="auto"/>
      </w:divBdr>
    </w:div>
    <w:div w:id="1651472604">
      <w:bodyDiv w:val="1"/>
      <w:marLeft w:val="0"/>
      <w:marRight w:val="0"/>
      <w:marTop w:val="0"/>
      <w:marBottom w:val="0"/>
      <w:divBdr>
        <w:top w:val="none" w:sz="0" w:space="0" w:color="auto"/>
        <w:left w:val="none" w:sz="0" w:space="0" w:color="auto"/>
        <w:bottom w:val="none" w:sz="0" w:space="0" w:color="auto"/>
        <w:right w:val="none" w:sz="0" w:space="0" w:color="auto"/>
      </w:divBdr>
    </w:div>
    <w:div w:id="1653831340">
      <w:bodyDiv w:val="1"/>
      <w:marLeft w:val="0"/>
      <w:marRight w:val="0"/>
      <w:marTop w:val="0"/>
      <w:marBottom w:val="0"/>
      <w:divBdr>
        <w:top w:val="none" w:sz="0" w:space="0" w:color="auto"/>
        <w:left w:val="none" w:sz="0" w:space="0" w:color="auto"/>
        <w:bottom w:val="none" w:sz="0" w:space="0" w:color="auto"/>
        <w:right w:val="none" w:sz="0" w:space="0" w:color="auto"/>
      </w:divBdr>
    </w:div>
    <w:div w:id="1655404439">
      <w:bodyDiv w:val="1"/>
      <w:marLeft w:val="0"/>
      <w:marRight w:val="0"/>
      <w:marTop w:val="0"/>
      <w:marBottom w:val="0"/>
      <w:divBdr>
        <w:top w:val="none" w:sz="0" w:space="0" w:color="auto"/>
        <w:left w:val="none" w:sz="0" w:space="0" w:color="auto"/>
        <w:bottom w:val="none" w:sz="0" w:space="0" w:color="auto"/>
        <w:right w:val="none" w:sz="0" w:space="0" w:color="auto"/>
      </w:divBdr>
    </w:div>
    <w:div w:id="1657798674">
      <w:bodyDiv w:val="1"/>
      <w:marLeft w:val="0"/>
      <w:marRight w:val="0"/>
      <w:marTop w:val="0"/>
      <w:marBottom w:val="0"/>
      <w:divBdr>
        <w:top w:val="none" w:sz="0" w:space="0" w:color="auto"/>
        <w:left w:val="none" w:sz="0" w:space="0" w:color="auto"/>
        <w:bottom w:val="none" w:sz="0" w:space="0" w:color="auto"/>
        <w:right w:val="none" w:sz="0" w:space="0" w:color="auto"/>
      </w:divBdr>
    </w:div>
    <w:div w:id="1676572914">
      <w:bodyDiv w:val="1"/>
      <w:marLeft w:val="0"/>
      <w:marRight w:val="0"/>
      <w:marTop w:val="0"/>
      <w:marBottom w:val="0"/>
      <w:divBdr>
        <w:top w:val="none" w:sz="0" w:space="0" w:color="auto"/>
        <w:left w:val="none" w:sz="0" w:space="0" w:color="auto"/>
        <w:bottom w:val="none" w:sz="0" w:space="0" w:color="auto"/>
        <w:right w:val="none" w:sz="0" w:space="0" w:color="auto"/>
      </w:divBdr>
    </w:div>
    <w:div w:id="1681421789">
      <w:bodyDiv w:val="1"/>
      <w:marLeft w:val="0"/>
      <w:marRight w:val="0"/>
      <w:marTop w:val="0"/>
      <w:marBottom w:val="0"/>
      <w:divBdr>
        <w:top w:val="none" w:sz="0" w:space="0" w:color="auto"/>
        <w:left w:val="none" w:sz="0" w:space="0" w:color="auto"/>
        <w:bottom w:val="none" w:sz="0" w:space="0" w:color="auto"/>
        <w:right w:val="none" w:sz="0" w:space="0" w:color="auto"/>
      </w:divBdr>
    </w:div>
    <w:div w:id="1682078842">
      <w:bodyDiv w:val="1"/>
      <w:marLeft w:val="0"/>
      <w:marRight w:val="0"/>
      <w:marTop w:val="0"/>
      <w:marBottom w:val="0"/>
      <w:divBdr>
        <w:top w:val="none" w:sz="0" w:space="0" w:color="auto"/>
        <w:left w:val="none" w:sz="0" w:space="0" w:color="auto"/>
        <w:bottom w:val="none" w:sz="0" w:space="0" w:color="auto"/>
        <w:right w:val="none" w:sz="0" w:space="0" w:color="auto"/>
      </w:divBdr>
    </w:div>
    <w:div w:id="1682587888">
      <w:bodyDiv w:val="1"/>
      <w:marLeft w:val="0"/>
      <w:marRight w:val="0"/>
      <w:marTop w:val="0"/>
      <w:marBottom w:val="0"/>
      <w:divBdr>
        <w:top w:val="none" w:sz="0" w:space="0" w:color="auto"/>
        <w:left w:val="none" w:sz="0" w:space="0" w:color="auto"/>
        <w:bottom w:val="none" w:sz="0" w:space="0" w:color="auto"/>
        <w:right w:val="none" w:sz="0" w:space="0" w:color="auto"/>
      </w:divBdr>
    </w:div>
    <w:div w:id="1682849336">
      <w:bodyDiv w:val="1"/>
      <w:marLeft w:val="0"/>
      <w:marRight w:val="0"/>
      <w:marTop w:val="0"/>
      <w:marBottom w:val="0"/>
      <w:divBdr>
        <w:top w:val="none" w:sz="0" w:space="0" w:color="auto"/>
        <w:left w:val="none" w:sz="0" w:space="0" w:color="auto"/>
        <w:bottom w:val="none" w:sz="0" w:space="0" w:color="auto"/>
        <w:right w:val="none" w:sz="0" w:space="0" w:color="auto"/>
      </w:divBdr>
    </w:div>
    <w:div w:id="1691638619">
      <w:bodyDiv w:val="1"/>
      <w:marLeft w:val="0"/>
      <w:marRight w:val="0"/>
      <w:marTop w:val="0"/>
      <w:marBottom w:val="0"/>
      <w:divBdr>
        <w:top w:val="none" w:sz="0" w:space="0" w:color="auto"/>
        <w:left w:val="none" w:sz="0" w:space="0" w:color="auto"/>
        <w:bottom w:val="none" w:sz="0" w:space="0" w:color="auto"/>
        <w:right w:val="none" w:sz="0" w:space="0" w:color="auto"/>
      </w:divBdr>
    </w:div>
    <w:div w:id="1694569460">
      <w:bodyDiv w:val="1"/>
      <w:marLeft w:val="0"/>
      <w:marRight w:val="0"/>
      <w:marTop w:val="0"/>
      <w:marBottom w:val="0"/>
      <w:divBdr>
        <w:top w:val="none" w:sz="0" w:space="0" w:color="auto"/>
        <w:left w:val="none" w:sz="0" w:space="0" w:color="auto"/>
        <w:bottom w:val="none" w:sz="0" w:space="0" w:color="auto"/>
        <w:right w:val="none" w:sz="0" w:space="0" w:color="auto"/>
      </w:divBdr>
    </w:div>
    <w:div w:id="1709257935">
      <w:bodyDiv w:val="1"/>
      <w:marLeft w:val="0"/>
      <w:marRight w:val="0"/>
      <w:marTop w:val="0"/>
      <w:marBottom w:val="0"/>
      <w:divBdr>
        <w:top w:val="none" w:sz="0" w:space="0" w:color="auto"/>
        <w:left w:val="none" w:sz="0" w:space="0" w:color="auto"/>
        <w:bottom w:val="none" w:sz="0" w:space="0" w:color="auto"/>
        <w:right w:val="none" w:sz="0" w:space="0" w:color="auto"/>
      </w:divBdr>
    </w:div>
    <w:div w:id="1721398478">
      <w:bodyDiv w:val="1"/>
      <w:marLeft w:val="0"/>
      <w:marRight w:val="0"/>
      <w:marTop w:val="0"/>
      <w:marBottom w:val="0"/>
      <w:divBdr>
        <w:top w:val="none" w:sz="0" w:space="0" w:color="auto"/>
        <w:left w:val="none" w:sz="0" w:space="0" w:color="auto"/>
        <w:bottom w:val="none" w:sz="0" w:space="0" w:color="auto"/>
        <w:right w:val="none" w:sz="0" w:space="0" w:color="auto"/>
      </w:divBdr>
    </w:div>
    <w:div w:id="1721703833">
      <w:bodyDiv w:val="1"/>
      <w:marLeft w:val="0"/>
      <w:marRight w:val="0"/>
      <w:marTop w:val="0"/>
      <w:marBottom w:val="0"/>
      <w:divBdr>
        <w:top w:val="none" w:sz="0" w:space="0" w:color="auto"/>
        <w:left w:val="none" w:sz="0" w:space="0" w:color="auto"/>
        <w:bottom w:val="none" w:sz="0" w:space="0" w:color="auto"/>
        <w:right w:val="none" w:sz="0" w:space="0" w:color="auto"/>
      </w:divBdr>
    </w:div>
    <w:div w:id="1722165643">
      <w:bodyDiv w:val="1"/>
      <w:marLeft w:val="0"/>
      <w:marRight w:val="0"/>
      <w:marTop w:val="0"/>
      <w:marBottom w:val="0"/>
      <w:divBdr>
        <w:top w:val="none" w:sz="0" w:space="0" w:color="auto"/>
        <w:left w:val="none" w:sz="0" w:space="0" w:color="auto"/>
        <w:bottom w:val="none" w:sz="0" w:space="0" w:color="auto"/>
        <w:right w:val="none" w:sz="0" w:space="0" w:color="auto"/>
      </w:divBdr>
    </w:div>
    <w:div w:id="1723941075">
      <w:bodyDiv w:val="1"/>
      <w:marLeft w:val="0"/>
      <w:marRight w:val="0"/>
      <w:marTop w:val="0"/>
      <w:marBottom w:val="0"/>
      <w:divBdr>
        <w:top w:val="none" w:sz="0" w:space="0" w:color="auto"/>
        <w:left w:val="none" w:sz="0" w:space="0" w:color="auto"/>
        <w:bottom w:val="none" w:sz="0" w:space="0" w:color="auto"/>
        <w:right w:val="none" w:sz="0" w:space="0" w:color="auto"/>
      </w:divBdr>
    </w:div>
    <w:div w:id="1725637193">
      <w:bodyDiv w:val="1"/>
      <w:marLeft w:val="0"/>
      <w:marRight w:val="0"/>
      <w:marTop w:val="0"/>
      <w:marBottom w:val="0"/>
      <w:divBdr>
        <w:top w:val="none" w:sz="0" w:space="0" w:color="auto"/>
        <w:left w:val="none" w:sz="0" w:space="0" w:color="auto"/>
        <w:bottom w:val="none" w:sz="0" w:space="0" w:color="auto"/>
        <w:right w:val="none" w:sz="0" w:space="0" w:color="auto"/>
      </w:divBdr>
    </w:div>
    <w:div w:id="1728338765">
      <w:bodyDiv w:val="1"/>
      <w:marLeft w:val="0"/>
      <w:marRight w:val="0"/>
      <w:marTop w:val="0"/>
      <w:marBottom w:val="0"/>
      <w:divBdr>
        <w:top w:val="none" w:sz="0" w:space="0" w:color="auto"/>
        <w:left w:val="none" w:sz="0" w:space="0" w:color="auto"/>
        <w:bottom w:val="none" w:sz="0" w:space="0" w:color="auto"/>
        <w:right w:val="none" w:sz="0" w:space="0" w:color="auto"/>
      </w:divBdr>
    </w:div>
    <w:div w:id="1734615957">
      <w:bodyDiv w:val="1"/>
      <w:marLeft w:val="0"/>
      <w:marRight w:val="0"/>
      <w:marTop w:val="0"/>
      <w:marBottom w:val="0"/>
      <w:divBdr>
        <w:top w:val="none" w:sz="0" w:space="0" w:color="auto"/>
        <w:left w:val="none" w:sz="0" w:space="0" w:color="auto"/>
        <w:bottom w:val="none" w:sz="0" w:space="0" w:color="auto"/>
        <w:right w:val="none" w:sz="0" w:space="0" w:color="auto"/>
      </w:divBdr>
    </w:div>
    <w:div w:id="1749573811">
      <w:bodyDiv w:val="1"/>
      <w:marLeft w:val="0"/>
      <w:marRight w:val="0"/>
      <w:marTop w:val="0"/>
      <w:marBottom w:val="0"/>
      <w:divBdr>
        <w:top w:val="none" w:sz="0" w:space="0" w:color="auto"/>
        <w:left w:val="none" w:sz="0" w:space="0" w:color="auto"/>
        <w:bottom w:val="none" w:sz="0" w:space="0" w:color="auto"/>
        <w:right w:val="none" w:sz="0" w:space="0" w:color="auto"/>
      </w:divBdr>
    </w:div>
    <w:div w:id="1754203967">
      <w:bodyDiv w:val="1"/>
      <w:marLeft w:val="0"/>
      <w:marRight w:val="0"/>
      <w:marTop w:val="0"/>
      <w:marBottom w:val="0"/>
      <w:divBdr>
        <w:top w:val="none" w:sz="0" w:space="0" w:color="auto"/>
        <w:left w:val="none" w:sz="0" w:space="0" w:color="auto"/>
        <w:bottom w:val="none" w:sz="0" w:space="0" w:color="auto"/>
        <w:right w:val="none" w:sz="0" w:space="0" w:color="auto"/>
      </w:divBdr>
    </w:div>
    <w:div w:id="1760369965">
      <w:bodyDiv w:val="1"/>
      <w:marLeft w:val="0"/>
      <w:marRight w:val="0"/>
      <w:marTop w:val="0"/>
      <w:marBottom w:val="0"/>
      <w:divBdr>
        <w:top w:val="none" w:sz="0" w:space="0" w:color="auto"/>
        <w:left w:val="none" w:sz="0" w:space="0" w:color="auto"/>
        <w:bottom w:val="none" w:sz="0" w:space="0" w:color="auto"/>
        <w:right w:val="none" w:sz="0" w:space="0" w:color="auto"/>
      </w:divBdr>
    </w:div>
    <w:div w:id="1768965405">
      <w:bodyDiv w:val="1"/>
      <w:marLeft w:val="0"/>
      <w:marRight w:val="0"/>
      <w:marTop w:val="0"/>
      <w:marBottom w:val="0"/>
      <w:divBdr>
        <w:top w:val="none" w:sz="0" w:space="0" w:color="auto"/>
        <w:left w:val="none" w:sz="0" w:space="0" w:color="auto"/>
        <w:bottom w:val="none" w:sz="0" w:space="0" w:color="auto"/>
        <w:right w:val="none" w:sz="0" w:space="0" w:color="auto"/>
      </w:divBdr>
    </w:div>
    <w:div w:id="1780952233">
      <w:bodyDiv w:val="1"/>
      <w:marLeft w:val="0"/>
      <w:marRight w:val="0"/>
      <w:marTop w:val="0"/>
      <w:marBottom w:val="0"/>
      <w:divBdr>
        <w:top w:val="none" w:sz="0" w:space="0" w:color="auto"/>
        <w:left w:val="none" w:sz="0" w:space="0" w:color="auto"/>
        <w:bottom w:val="none" w:sz="0" w:space="0" w:color="auto"/>
        <w:right w:val="none" w:sz="0" w:space="0" w:color="auto"/>
      </w:divBdr>
    </w:div>
    <w:div w:id="1782534489">
      <w:bodyDiv w:val="1"/>
      <w:marLeft w:val="0"/>
      <w:marRight w:val="0"/>
      <w:marTop w:val="0"/>
      <w:marBottom w:val="0"/>
      <w:divBdr>
        <w:top w:val="none" w:sz="0" w:space="0" w:color="auto"/>
        <w:left w:val="none" w:sz="0" w:space="0" w:color="auto"/>
        <w:bottom w:val="none" w:sz="0" w:space="0" w:color="auto"/>
        <w:right w:val="none" w:sz="0" w:space="0" w:color="auto"/>
      </w:divBdr>
    </w:div>
    <w:div w:id="1789620444">
      <w:bodyDiv w:val="1"/>
      <w:marLeft w:val="0"/>
      <w:marRight w:val="0"/>
      <w:marTop w:val="0"/>
      <w:marBottom w:val="0"/>
      <w:divBdr>
        <w:top w:val="none" w:sz="0" w:space="0" w:color="auto"/>
        <w:left w:val="none" w:sz="0" w:space="0" w:color="auto"/>
        <w:bottom w:val="none" w:sz="0" w:space="0" w:color="auto"/>
        <w:right w:val="none" w:sz="0" w:space="0" w:color="auto"/>
      </w:divBdr>
    </w:div>
    <w:div w:id="1791895951">
      <w:bodyDiv w:val="1"/>
      <w:marLeft w:val="0"/>
      <w:marRight w:val="0"/>
      <w:marTop w:val="0"/>
      <w:marBottom w:val="0"/>
      <w:divBdr>
        <w:top w:val="none" w:sz="0" w:space="0" w:color="auto"/>
        <w:left w:val="none" w:sz="0" w:space="0" w:color="auto"/>
        <w:bottom w:val="none" w:sz="0" w:space="0" w:color="auto"/>
        <w:right w:val="none" w:sz="0" w:space="0" w:color="auto"/>
      </w:divBdr>
    </w:div>
    <w:div w:id="1814905064">
      <w:bodyDiv w:val="1"/>
      <w:marLeft w:val="0"/>
      <w:marRight w:val="0"/>
      <w:marTop w:val="0"/>
      <w:marBottom w:val="0"/>
      <w:divBdr>
        <w:top w:val="none" w:sz="0" w:space="0" w:color="auto"/>
        <w:left w:val="none" w:sz="0" w:space="0" w:color="auto"/>
        <w:bottom w:val="none" w:sz="0" w:space="0" w:color="auto"/>
        <w:right w:val="none" w:sz="0" w:space="0" w:color="auto"/>
      </w:divBdr>
    </w:div>
    <w:div w:id="1818762301">
      <w:bodyDiv w:val="1"/>
      <w:marLeft w:val="0"/>
      <w:marRight w:val="0"/>
      <w:marTop w:val="0"/>
      <w:marBottom w:val="0"/>
      <w:divBdr>
        <w:top w:val="none" w:sz="0" w:space="0" w:color="auto"/>
        <w:left w:val="none" w:sz="0" w:space="0" w:color="auto"/>
        <w:bottom w:val="none" w:sz="0" w:space="0" w:color="auto"/>
        <w:right w:val="none" w:sz="0" w:space="0" w:color="auto"/>
      </w:divBdr>
    </w:div>
    <w:div w:id="1823039458">
      <w:bodyDiv w:val="1"/>
      <w:marLeft w:val="0"/>
      <w:marRight w:val="0"/>
      <w:marTop w:val="0"/>
      <w:marBottom w:val="0"/>
      <w:divBdr>
        <w:top w:val="none" w:sz="0" w:space="0" w:color="auto"/>
        <w:left w:val="none" w:sz="0" w:space="0" w:color="auto"/>
        <w:bottom w:val="none" w:sz="0" w:space="0" w:color="auto"/>
        <w:right w:val="none" w:sz="0" w:space="0" w:color="auto"/>
      </w:divBdr>
    </w:div>
    <w:div w:id="1832211240">
      <w:bodyDiv w:val="1"/>
      <w:marLeft w:val="0"/>
      <w:marRight w:val="0"/>
      <w:marTop w:val="0"/>
      <w:marBottom w:val="0"/>
      <w:divBdr>
        <w:top w:val="none" w:sz="0" w:space="0" w:color="auto"/>
        <w:left w:val="none" w:sz="0" w:space="0" w:color="auto"/>
        <w:bottom w:val="none" w:sz="0" w:space="0" w:color="auto"/>
        <w:right w:val="none" w:sz="0" w:space="0" w:color="auto"/>
      </w:divBdr>
    </w:div>
    <w:div w:id="1835879326">
      <w:bodyDiv w:val="1"/>
      <w:marLeft w:val="0"/>
      <w:marRight w:val="0"/>
      <w:marTop w:val="0"/>
      <w:marBottom w:val="0"/>
      <w:divBdr>
        <w:top w:val="none" w:sz="0" w:space="0" w:color="auto"/>
        <w:left w:val="none" w:sz="0" w:space="0" w:color="auto"/>
        <w:bottom w:val="none" w:sz="0" w:space="0" w:color="auto"/>
        <w:right w:val="none" w:sz="0" w:space="0" w:color="auto"/>
      </w:divBdr>
    </w:div>
    <w:div w:id="1846018426">
      <w:bodyDiv w:val="1"/>
      <w:marLeft w:val="0"/>
      <w:marRight w:val="0"/>
      <w:marTop w:val="0"/>
      <w:marBottom w:val="0"/>
      <w:divBdr>
        <w:top w:val="none" w:sz="0" w:space="0" w:color="auto"/>
        <w:left w:val="none" w:sz="0" w:space="0" w:color="auto"/>
        <w:bottom w:val="none" w:sz="0" w:space="0" w:color="auto"/>
        <w:right w:val="none" w:sz="0" w:space="0" w:color="auto"/>
      </w:divBdr>
    </w:div>
    <w:div w:id="1861770454">
      <w:bodyDiv w:val="1"/>
      <w:marLeft w:val="0"/>
      <w:marRight w:val="0"/>
      <w:marTop w:val="0"/>
      <w:marBottom w:val="0"/>
      <w:divBdr>
        <w:top w:val="none" w:sz="0" w:space="0" w:color="auto"/>
        <w:left w:val="none" w:sz="0" w:space="0" w:color="auto"/>
        <w:bottom w:val="none" w:sz="0" w:space="0" w:color="auto"/>
        <w:right w:val="none" w:sz="0" w:space="0" w:color="auto"/>
      </w:divBdr>
    </w:div>
    <w:div w:id="1870416210">
      <w:bodyDiv w:val="1"/>
      <w:marLeft w:val="0"/>
      <w:marRight w:val="0"/>
      <w:marTop w:val="0"/>
      <w:marBottom w:val="0"/>
      <w:divBdr>
        <w:top w:val="none" w:sz="0" w:space="0" w:color="auto"/>
        <w:left w:val="none" w:sz="0" w:space="0" w:color="auto"/>
        <w:bottom w:val="none" w:sz="0" w:space="0" w:color="auto"/>
        <w:right w:val="none" w:sz="0" w:space="0" w:color="auto"/>
      </w:divBdr>
    </w:div>
    <w:div w:id="1875653656">
      <w:bodyDiv w:val="1"/>
      <w:marLeft w:val="0"/>
      <w:marRight w:val="0"/>
      <w:marTop w:val="0"/>
      <w:marBottom w:val="0"/>
      <w:divBdr>
        <w:top w:val="none" w:sz="0" w:space="0" w:color="auto"/>
        <w:left w:val="none" w:sz="0" w:space="0" w:color="auto"/>
        <w:bottom w:val="none" w:sz="0" w:space="0" w:color="auto"/>
        <w:right w:val="none" w:sz="0" w:space="0" w:color="auto"/>
      </w:divBdr>
    </w:div>
    <w:div w:id="1878857445">
      <w:bodyDiv w:val="1"/>
      <w:marLeft w:val="0"/>
      <w:marRight w:val="0"/>
      <w:marTop w:val="0"/>
      <w:marBottom w:val="0"/>
      <w:divBdr>
        <w:top w:val="none" w:sz="0" w:space="0" w:color="auto"/>
        <w:left w:val="none" w:sz="0" w:space="0" w:color="auto"/>
        <w:bottom w:val="none" w:sz="0" w:space="0" w:color="auto"/>
        <w:right w:val="none" w:sz="0" w:space="0" w:color="auto"/>
      </w:divBdr>
    </w:div>
    <w:div w:id="1886481293">
      <w:bodyDiv w:val="1"/>
      <w:marLeft w:val="0"/>
      <w:marRight w:val="0"/>
      <w:marTop w:val="0"/>
      <w:marBottom w:val="0"/>
      <w:divBdr>
        <w:top w:val="none" w:sz="0" w:space="0" w:color="auto"/>
        <w:left w:val="none" w:sz="0" w:space="0" w:color="auto"/>
        <w:bottom w:val="none" w:sz="0" w:space="0" w:color="auto"/>
        <w:right w:val="none" w:sz="0" w:space="0" w:color="auto"/>
      </w:divBdr>
    </w:div>
    <w:div w:id="1895579498">
      <w:bodyDiv w:val="1"/>
      <w:marLeft w:val="0"/>
      <w:marRight w:val="0"/>
      <w:marTop w:val="0"/>
      <w:marBottom w:val="0"/>
      <w:divBdr>
        <w:top w:val="none" w:sz="0" w:space="0" w:color="auto"/>
        <w:left w:val="none" w:sz="0" w:space="0" w:color="auto"/>
        <w:bottom w:val="none" w:sz="0" w:space="0" w:color="auto"/>
        <w:right w:val="none" w:sz="0" w:space="0" w:color="auto"/>
      </w:divBdr>
    </w:div>
    <w:div w:id="1900048331">
      <w:bodyDiv w:val="1"/>
      <w:marLeft w:val="0"/>
      <w:marRight w:val="0"/>
      <w:marTop w:val="0"/>
      <w:marBottom w:val="0"/>
      <w:divBdr>
        <w:top w:val="none" w:sz="0" w:space="0" w:color="auto"/>
        <w:left w:val="none" w:sz="0" w:space="0" w:color="auto"/>
        <w:bottom w:val="none" w:sz="0" w:space="0" w:color="auto"/>
        <w:right w:val="none" w:sz="0" w:space="0" w:color="auto"/>
      </w:divBdr>
    </w:div>
    <w:div w:id="1902136701">
      <w:bodyDiv w:val="1"/>
      <w:marLeft w:val="0"/>
      <w:marRight w:val="0"/>
      <w:marTop w:val="0"/>
      <w:marBottom w:val="0"/>
      <w:divBdr>
        <w:top w:val="none" w:sz="0" w:space="0" w:color="auto"/>
        <w:left w:val="none" w:sz="0" w:space="0" w:color="auto"/>
        <w:bottom w:val="none" w:sz="0" w:space="0" w:color="auto"/>
        <w:right w:val="none" w:sz="0" w:space="0" w:color="auto"/>
      </w:divBdr>
    </w:div>
    <w:div w:id="1914848106">
      <w:bodyDiv w:val="1"/>
      <w:marLeft w:val="0"/>
      <w:marRight w:val="0"/>
      <w:marTop w:val="0"/>
      <w:marBottom w:val="0"/>
      <w:divBdr>
        <w:top w:val="none" w:sz="0" w:space="0" w:color="auto"/>
        <w:left w:val="none" w:sz="0" w:space="0" w:color="auto"/>
        <w:bottom w:val="none" w:sz="0" w:space="0" w:color="auto"/>
        <w:right w:val="none" w:sz="0" w:space="0" w:color="auto"/>
      </w:divBdr>
    </w:div>
    <w:div w:id="1925873222">
      <w:bodyDiv w:val="1"/>
      <w:marLeft w:val="0"/>
      <w:marRight w:val="0"/>
      <w:marTop w:val="0"/>
      <w:marBottom w:val="0"/>
      <w:divBdr>
        <w:top w:val="none" w:sz="0" w:space="0" w:color="auto"/>
        <w:left w:val="none" w:sz="0" w:space="0" w:color="auto"/>
        <w:bottom w:val="none" w:sz="0" w:space="0" w:color="auto"/>
        <w:right w:val="none" w:sz="0" w:space="0" w:color="auto"/>
      </w:divBdr>
    </w:div>
    <w:div w:id="1925994095">
      <w:bodyDiv w:val="1"/>
      <w:marLeft w:val="0"/>
      <w:marRight w:val="0"/>
      <w:marTop w:val="0"/>
      <w:marBottom w:val="0"/>
      <w:divBdr>
        <w:top w:val="none" w:sz="0" w:space="0" w:color="auto"/>
        <w:left w:val="none" w:sz="0" w:space="0" w:color="auto"/>
        <w:bottom w:val="none" w:sz="0" w:space="0" w:color="auto"/>
        <w:right w:val="none" w:sz="0" w:space="0" w:color="auto"/>
      </w:divBdr>
    </w:div>
    <w:div w:id="1936405218">
      <w:bodyDiv w:val="1"/>
      <w:marLeft w:val="0"/>
      <w:marRight w:val="0"/>
      <w:marTop w:val="0"/>
      <w:marBottom w:val="0"/>
      <w:divBdr>
        <w:top w:val="none" w:sz="0" w:space="0" w:color="auto"/>
        <w:left w:val="none" w:sz="0" w:space="0" w:color="auto"/>
        <w:bottom w:val="none" w:sz="0" w:space="0" w:color="auto"/>
        <w:right w:val="none" w:sz="0" w:space="0" w:color="auto"/>
      </w:divBdr>
    </w:div>
    <w:div w:id="1948275398">
      <w:bodyDiv w:val="1"/>
      <w:marLeft w:val="0"/>
      <w:marRight w:val="0"/>
      <w:marTop w:val="0"/>
      <w:marBottom w:val="0"/>
      <w:divBdr>
        <w:top w:val="none" w:sz="0" w:space="0" w:color="auto"/>
        <w:left w:val="none" w:sz="0" w:space="0" w:color="auto"/>
        <w:bottom w:val="none" w:sz="0" w:space="0" w:color="auto"/>
        <w:right w:val="none" w:sz="0" w:space="0" w:color="auto"/>
      </w:divBdr>
    </w:div>
    <w:div w:id="1951668960">
      <w:bodyDiv w:val="1"/>
      <w:marLeft w:val="0"/>
      <w:marRight w:val="0"/>
      <w:marTop w:val="0"/>
      <w:marBottom w:val="0"/>
      <w:divBdr>
        <w:top w:val="none" w:sz="0" w:space="0" w:color="auto"/>
        <w:left w:val="none" w:sz="0" w:space="0" w:color="auto"/>
        <w:bottom w:val="none" w:sz="0" w:space="0" w:color="auto"/>
        <w:right w:val="none" w:sz="0" w:space="0" w:color="auto"/>
      </w:divBdr>
    </w:div>
    <w:div w:id="1957984864">
      <w:bodyDiv w:val="1"/>
      <w:marLeft w:val="0"/>
      <w:marRight w:val="0"/>
      <w:marTop w:val="0"/>
      <w:marBottom w:val="0"/>
      <w:divBdr>
        <w:top w:val="none" w:sz="0" w:space="0" w:color="auto"/>
        <w:left w:val="none" w:sz="0" w:space="0" w:color="auto"/>
        <w:bottom w:val="none" w:sz="0" w:space="0" w:color="auto"/>
        <w:right w:val="none" w:sz="0" w:space="0" w:color="auto"/>
      </w:divBdr>
    </w:div>
    <w:div w:id="1963337055">
      <w:bodyDiv w:val="1"/>
      <w:marLeft w:val="0"/>
      <w:marRight w:val="0"/>
      <w:marTop w:val="0"/>
      <w:marBottom w:val="0"/>
      <w:divBdr>
        <w:top w:val="none" w:sz="0" w:space="0" w:color="auto"/>
        <w:left w:val="none" w:sz="0" w:space="0" w:color="auto"/>
        <w:bottom w:val="none" w:sz="0" w:space="0" w:color="auto"/>
        <w:right w:val="none" w:sz="0" w:space="0" w:color="auto"/>
      </w:divBdr>
    </w:div>
    <w:div w:id="1963682233">
      <w:bodyDiv w:val="1"/>
      <w:marLeft w:val="0"/>
      <w:marRight w:val="0"/>
      <w:marTop w:val="0"/>
      <w:marBottom w:val="0"/>
      <w:divBdr>
        <w:top w:val="none" w:sz="0" w:space="0" w:color="auto"/>
        <w:left w:val="none" w:sz="0" w:space="0" w:color="auto"/>
        <w:bottom w:val="none" w:sz="0" w:space="0" w:color="auto"/>
        <w:right w:val="none" w:sz="0" w:space="0" w:color="auto"/>
      </w:divBdr>
    </w:div>
    <w:div w:id="1964529779">
      <w:bodyDiv w:val="1"/>
      <w:marLeft w:val="0"/>
      <w:marRight w:val="0"/>
      <w:marTop w:val="0"/>
      <w:marBottom w:val="0"/>
      <w:divBdr>
        <w:top w:val="none" w:sz="0" w:space="0" w:color="auto"/>
        <w:left w:val="none" w:sz="0" w:space="0" w:color="auto"/>
        <w:bottom w:val="none" w:sz="0" w:space="0" w:color="auto"/>
        <w:right w:val="none" w:sz="0" w:space="0" w:color="auto"/>
      </w:divBdr>
    </w:div>
    <w:div w:id="1965572249">
      <w:bodyDiv w:val="1"/>
      <w:marLeft w:val="0"/>
      <w:marRight w:val="0"/>
      <w:marTop w:val="0"/>
      <w:marBottom w:val="0"/>
      <w:divBdr>
        <w:top w:val="none" w:sz="0" w:space="0" w:color="auto"/>
        <w:left w:val="none" w:sz="0" w:space="0" w:color="auto"/>
        <w:bottom w:val="none" w:sz="0" w:space="0" w:color="auto"/>
        <w:right w:val="none" w:sz="0" w:space="0" w:color="auto"/>
      </w:divBdr>
    </w:div>
    <w:div w:id="1986465801">
      <w:bodyDiv w:val="1"/>
      <w:marLeft w:val="0"/>
      <w:marRight w:val="0"/>
      <w:marTop w:val="0"/>
      <w:marBottom w:val="0"/>
      <w:divBdr>
        <w:top w:val="none" w:sz="0" w:space="0" w:color="auto"/>
        <w:left w:val="none" w:sz="0" w:space="0" w:color="auto"/>
        <w:bottom w:val="none" w:sz="0" w:space="0" w:color="auto"/>
        <w:right w:val="none" w:sz="0" w:space="0" w:color="auto"/>
      </w:divBdr>
    </w:div>
    <w:div w:id="1989164944">
      <w:bodyDiv w:val="1"/>
      <w:marLeft w:val="0"/>
      <w:marRight w:val="0"/>
      <w:marTop w:val="0"/>
      <w:marBottom w:val="0"/>
      <w:divBdr>
        <w:top w:val="none" w:sz="0" w:space="0" w:color="auto"/>
        <w:left w:val="none" w:sz="0" w:space="0" w:color="auto"/>
        <w:bottom w:val="none" w:sz="0" w:space="0" w:color="auto"/>
        <w:right w:val="none" w:sz="0" w:space="0" w:color="auto"/>
      </w:divBdr>
    </w:div>
    <w:div w:id="1997949092">
      <w:bodyDiv w:val="1"/>
      <w:marLeft w:val="0"/>
      <w:marRight w:val="0"/>
      <w:marTop w:val="0"/>
      <w:marBottom w:val="0"/>
      <w:divBdr>
        <w:top w:val="none" w:sz="0" w:space="0" w:color="auto"/>
        <w:left w:val="none" w:sz="0" w:space="0" w:color="auto"/>
        <w:bottom w:val="none" w:sz="0" w:space="0" w:color="auto"/>
        <w:right w:val="none" w:sz="0" w:space="0" w:color="auto"/>
      </w:divBdr>
    </w:div>
    <w:div w:id="1999111779">
      <w:bodyDiv w:val="1"/>
      <w:marLeft w:val="0"/>
      <w:marRight w:val="0"/>
      <w:marTop w:val="0"/>
      <w:marBottom w:val="0"/>
      <w:divBdr>
        <w:top w:val="none" w:sz="0" w:space="0" w:color="auto"/>
        <w:left w:val="none" w:sz="0" w:space="0" w:color="auto"/>
        <w:bottom w:val="none" w:sz="0" w:space="0" w:color="auto"/>
        <w:right w:val="none" w:sz="0" w:space="0" w:color="auto"/>
      </w:divBdr>
    </w:div>
    <w:div w:id="2004047221">
      <w:bodyDiv w:val="1"/>
      <w:marLeft w:val="0"/>
      <w:marRight w:val="0"/>
      <w:marTop w:val="0"/>
      <w:marBottom w:val="0"/>
      <w:divBdr>
        <w:top w:val="none" w:sz="0" w:space="0" w:color="auto"/>
        <w:left w:val="none" w:sz="0" w:space="0" w:color="auto"/>
        <w:bottom w:val="none" w:sz="0" w:space="0" w:color="auto"/>
        <w:right w:val="none" w:sz="0" w:space="0" w:color="auto"/>
      </w:divBdr>
    </w:div>
    <w:div w:id="2012023160">
      <w:bodyDiv w:val="1"/>
      <w:marLeft w:val="0"/>
      <w:marRight w:val="0"/>
      <w:marTop w:val="0"/>
      <w:marBottom w:val="0"/>
      <w:divBdr>
        <w:top w:val="none" w:sz="0" w:space="0" w:color="auto"/>
        <w:left w:val="none" w:sz="0" w:space="0" w:color="auto"/>
        <w:bottom w:val="none" w:sz="0" w:space="0" w:color="auto"/>
        <w:right w:val="none" w:sz="0" w:space="0" w:color="auto"/>
      </w:divBdr>
    </w:div>
    <w:div w:id="2014871066">
      <w:bodyDiv w:val="1"/>
      <w:marLeft w:val="0"/>
      <w:marRight w:val="0"/>
      <w:marTop w:val="0"/>
      <w:marBottom w:val="0"/>
      <w:divBdr>
        <w:top w:val="none" w:sz="0" w:space="0" w:color="auto"/>
        <w:left w:val="none" w:sz="0" w:space="0" w:color="auto"/>
        <w:bottom w:val="none" w:sz="0" w:space="0" w:color="auto"/>
        <w:right w:val="none" w:sz="0" w:space="0" w:color="auto"/>
      </w:divBdr>
    </w:div>
    <w:div w:id="2019885739">
      <w:bodyDiv w:val="1"/>
      <w:marLeft w:val="0"/>
      <w:marRight w:val="0"/>
      <w:marTop w:val="0"/>
      <w:marBottom w:val="0"/>
      <w:divBdr>
        <w:top w:val="none" w:sz="0" w:space="0" w:color="auto"/>
        <w:left w:val="none" w:sz="0" w:space="0" w:color="auto"/>
        <w:bottom w:val="none" w:sz="0" w:space="0" w:color="auto"/>
        <w:right w:val="none" w:sz="0" w:space="0" w:color="auto"/>
      </w:divBdr>
    </w:div>
    <w:div w:id="2021002576">
      <w:bodyDiv w:val="1"/>
      <w:marLeft w:val="0"/>
      <w:marRight w:val="0"/>
      <w:marTop w:val="0"/>
      <w:marBottom w:val="0"/>
      <w:divBdr>
        <w:top w:val="none" w:sz="0" w:space="0" w:color="auto"/>
        <w:left w:val="none" w:sz="0" w:space="0" w:color="auto"/>
        <w:bottom w:val="none" w:sz="0" w:space="0" w:color="auto"/>
        <w:right w:val="none" w:sz="0" w:space="0" w:color="auto"/>
      </w:divBdr>
    </w:div>
    <w:div w:id="2031107894">
      <w:bodyDiv w:val="1"/>
      <w:marLeft w:val="0"/>
      <w:marRight w:val="0"/>
      <w:marTop w:val="0"/>
      <w:marBottom w:val="0"/>
      <w:divBdr>
        <w:top w:val="none" w:sz="0" w:space="0" w:color="auto"/>
        <w:left w:val="none" w:sz="0" w:space="0" w:color="auto"/>
        <w:bottom w:val="none" w:sz="0" w:space="0" w:color="auto"/>
        <w:right w:val="none" w:sz="0" w:space="0" w:color="auto"/>
      </w:divBdr>
    </w:div>
    <w:div w:id="2031953580">
      <w:bodyDiv w:val="1"/>
      <w:marLeft w:val="0"/>
      <w:marRight w:val="0"/>
      <w:marTop w:val="0"/>
      <w:marBottom w:val="0"/>
      <w:divBdr>
        <w:top w:val="none" w:sz="0" w:space="0" w:color="auto"/>
        <w:left w:val="none" w:sz="0" w:space="0" w:color="auto"/>
        <w:bottom w:val="none" w:sz="0" w:space="0" w:color="auto"/>
        <w:right w:val="none" w:sz="0" w:space="0" w:color="auto"/>
      </w:divBdr>
    </w:div>
    <w:div w:id="2036227102">
      <w:bodyDiv w:val="1"/>
      <w:marLeft w:val="0"/>
      <w:marRight w:val="0"/>
      <w:marTop w:val="0"/>
      <w:marBottom w:val="0"/>
      <w:divBdr>
        <w:top w:val="none" w:sz="0" w:space="0" w:color="auto"/>
        <w:left w:val="none" w:sz="0" w:space="0" w:color="auto"/>
        <w:bottom w:val="none" w:sz="0" w:space="0" w:color="auto"/>
        <w:right w:val="none" w:sz="0" w:space="0" w:color="auto"/>
      </w:divBdr>
    </w:div>
    <w:div w:id="2043439173">
      <w:bodyDiv w:val="1"/>
      <w:marLeft w:val="0"/>
      <w:marRight w:val="0"/>
      <w:marTop w:val="0"/>
      <w:marBottom w:val="0"/>
      <w:divBdr>
        <w:top w:val="none" w:sz="0" w:space="0" w:color="auto"/>
        <w:left w:val="none" w:sz="0" w:space="0" w:color="auto"/>
        <w:bottom w:val="none" w:sz="0" w:space="0" w:color="auto"/>
        <w:right w:val="none" w:sz="0" w:space="0" w:color="auto"/>
      </w:divBdr>
    </w:div>
    <w:div w:id="2047366916">
      <w:bodyDiv w:val="1"/>
      <w:marLeft w:val="0"/>
      <w:marRight w:val="0"/>
      <w:marTop w:val="0"/>
      <w:marBottom w:val="0"/>
      <w:divBdr>
        <w:top w:val="none" w:sz="0" w:space="0" w:color="auto"/>
        <w:left w:val="none" w:sz="0" w:space="0" w:color="auto"/>
        <w:bottom w:val="none" w:sz="0" w:space="0" w:color="auto"/>
        <w:right w:val="none" w:sz="0" w:space="0" w:color="auto"/>
      </w:divBdr>
    </w:div>
    <w:div w:id="2054964210">
      <w:bodyDiv w:val="1"/>
      <w:marLeft w:val="0"/>
      <w:marRight w:val="0"/>
      <w:marTop w:val="0"/>
      <w:marBottom w:val="0"/>
      <w:divBdr>
        <w:top w:val="none" w:sz="0" w:space="0" w:color="auto"/>
        <w:left w:val="none" w:sz="0" w:space="0" w:color="auto"/>
        <w:bottom w:val="none" w:sz="0" w:space="0" w:color="auto"/>
        <w:right w:val="none" w:sz="0" w:space="0" w:color="auto"/>
      </w:divBdr>
    </w:div>
    <w:div w:id="2055347752">
      <w:bodyDiv w:val="1"/>
      <w:marLeft w:val="0"/>
      <w:marRight w:val="0"/>
      <w:marTop w:val="0"/>
      <w:marBottom w:val="0"/>
      <w:divBdr>
        <w:top w:val="none" w:sz="0" w:space="0" w:color="auto"/>
        <w:left w:val="none" w:sz="0" w:space="0" w:color="auto"/>
        <w:bottom w:val="none" w:sz="0" w:space="0" w:color="auto"/>
        <w:right w:val="none" w:sz="0" w:space="0" w:color="auto"/>
      </w:divBdr>
    </w:div>
    <w:div w:id="2058813761">
      <w:bodyDiv w:val="1"/>
      <w:marLeft w:val="0"/>
      <w:marRight w:val="0"/>
      <w:marTop w:val="0"/>
      <w:marBottom w:val="0"/>
      <w:divBdr>
        <w:top w:val="none" w:sz="0" w:space="0" w:color="auto"/>
        <w:left w:val="none" w:sz="0" w:space="0" w:color="auto"/>
        <w:bottom w:val="none" w:sz="0" w:space="0" w:color="auto"/>
        <w:right w:val="none" w:sz="0" w:space="0" w:color="auto"/>
      </w:divBdr>
      <w:divsChild>
        <w:div w:id="1134250044">
          <w:marLeft w:val="0"/>
          <w:marRight w:val="0"/>
          <w:marTop w:val="0"/>
          <w:marBottom w:val="0"/>
          <w:divBdr>
            <w:top w:val="none" w:sz="0" w:space="0" w:color="auto"/>
            <w:left w:val="none" w:sz="0" w:space="0" w:color="auto"/>
            <w:bottom w:val="none" w:sz="0" w:space="0" w:color="auto"/>
            <w:right w:val="none" w:sz="0" w:space="0" w:color="auto"/>
          </w:divBdr>
        </w:div>
        <w:div w:id="1328048636">
          <w:marLeft w:val="0"/>
          <w:marRight w:val="0"/>
          <w:marTop w:val="0"/>
          <w:marBottom w:val="0"/>
          <w:divBdr>
            <w:top w:val="none" w:sz="0" w:space="0" w:color="auto"/>
            <w:left w:val="none" w:sz="0" w:space="0" w:color="auto"/>
            <w:bottom w:val="none" w:sz="0" w:space="0" w:color="auto"/>
            <w:right w:val="none" w:sz="0" w:space="0" w:color="auto"/>
          </w:divBdr>
        </w:div>
        <w:div w:id="120996555">
          <w:marLeft w:val="0"/>
          <w:marRight w:val="0"/>
          <w:marTop w:val="0"/>
          <w:marBottom w:val="0"/>
          <w:divBdr>
            <w:top w:val="none" w:sz="0" w:space="0" w:color="auto"/>
            <w:left w:val="none" w:sz="0" w:space="0" w:color="auto"/>
            <w:bottom w:val="none" w:sz="0" w:space="0" w:color="auto"/>
            <w:right w:val="none" w:sz="0" w:space="0" w:color="auto"/>
          </w:divBdr>
        </w:div>
        <w:div w:id="1975213963">
          <w:marLeft w:val="0"/>
          <w:marRight w:val="0"/>
          <w:marTop w:val="0"/>
          <w:marBottom w:val="0"/>
          <w:divBdr>
            <w:top w:val="none" w:sz="0" w:space="0" w:color="auto"/>
            <w:left w:val="none" w:sz="0" w:space="0" w:color="auto"/>
            <w:bottom w:val="none" w:sz="0" w:space="0" w:color="auto"/>
            <w:right w:val="none" w:sz="0" w:space="0" w:color="auto"/>
          </w:divBdr>
        </w:div>
      </w:divsChild>
    </w:div>
    <w:div w:id="2060787480">
      <w:bodyDiv w:val="1"/>
      <w:marLeft w:val="0"/>
      <w:marRight w:val="0"/>
      <w:marTop w:val="0"/>
      <w:marBottom w:val="0"/>
      <w:divBdr>
        <w:top w:val="none" w:sz="0" w:space="0" w:color="auto"/>
        <w:left w:val="none" w:sz="0" w:space="0" w:color="auto"/>
        <w:bottom w:val="none" w:sz="0" w:space="0" w:color="auto"/>
        <w:right w:val="none" w:sz="0" w:space="0" w:color="auto"/>
      </w:divBdr>
    </w:div>
    <w:div w:id="2072848985">
      <w:bodyDiv w:val="1"/>
      <w:marLeft w:val="0"/>
      <w:marRight w:val="0"/>
      <w:marTop w:val="0"/>
      <w:marBottom w:val="0"/>
      <w:divBdr>
        <w:top w:val="none" w:sz="0" w:space="0" w:color="auto"/>
        <w:left w:val="none" w:sz="0" w:space="0" w:color="auto"/>
        <w:bottom w:val="none" w:sz="0" w:space="0" w:color="auto"/>
        <w:right w:val="none" w:sz="0" w:space="0" w:color="auto"/>
      </w:divBdr>
    </w:div>
    <w:div w:id="2073232419">
      <w:bodyDiv w:val="1"/>
      <w:marLeft w:val="0"/>
      <w:marRight w:val="0"/>
      <w:marTop w:val="0"/>
      <w:marBottom w:val="0"/>
      <w:divBdr>
        <w:top w:val="none" w:sz="0" w:space="0" w:color="auto"/>
        <w:left w:val="none" w:sz="0" w:space="0" w:color="auto"/>
        <w:bottom w:val="none" w:sz="0" w:space="0" w:color="auto"/>
        <w:right w:val="none" w:sz="0" w:space="0" w:color="auto"/>
      </w:divBdr>
    </w:div>
    <w:div w:id="2075272705">
      <w:bodyDiv w:val="1"/>
      <w:marLeft w:val="0"/>
      <w:marRight w:val="0"/>
      <w:marTop w:val="0"/>
      <w:marBottom w:val="0"/>
      <w:divBdr>
        <w:top w:val="none" w:sz="0" w:space="0" w:color="auto"/>
        <w:left w:val="none" w:sz="0" w:space="0" w:color="auto"/>
        <w:bottom w:val="none" w:sz="0" w:space="0" w:color="auto"/>
        <w:right w:val="none" w:sz="0" w:space="0" w:color="auto"/>
      </w:divBdr>
    </w:div>
    <w:div w:id="2078698859">
      <w:bodyDiv w:val="1"/>
      <w:marLeft w:val="0"/>
      <w:marRight w:val="0"/>
      <w:marTop w:val="0"/>
      <w:marBottom w:val="0"/>
      <w:divBdr>
        <w:top w:val="none" w:sz="0" w:space="0" w:color="auto"/>
        <w:left w:val="none" w:sz="0" w:space="0" w:color="auto"/>
        <w:bottom w:val="none" w:sz="0" w:space="0" w:color="auto"/>
        <w:right w:val="none" w:sz="0" w:space="0" w:color="auto"/>
      </w:divBdr>
    </w:div>
    <w:div w:id="2079085565">
      <w:bodyDiv w:val="1"/>
      <w:marLeft w:val="0"/>
      <w:marRight w:val="0"/>
      <w:marTop w:val="0"/>
      <w:marBottom w:val="0"/>
      <w:divBdr>
        <w:top w:val="none" w:sz="0" w:space="0" w:color="auto"/>
        <w:left w:val="none" w:sz="0" w:space="0" w:color="auto"/>
        <w:bottom w:val="none" w:sz="0" w:space="0" w:color="auto"/>
        <w:right w:val="none" w:sz="0" w:space="0" w:color="auto"/>
      </w:divBdr>
    </w:div>
    <w:div w:id="2085949118">
      <w:bodyDiv w:val="1"/>
      <w:marLeft w:val="0"/>
      <w:marRight w:val="0"/>
      <w:marTop w:val="0"/>
      <w:marBottom w:val="0"/>
      <w:divBdr>
        <w:top w:val="none" w:sz="0" w:space="0" w:color="auto"/>
        <w:left w:val="none" w:sz="0" w:space="0" w:color="auto"/>
        <w:bottom w:val="none" w:sz="0" w:space="0" w:color="auto"/>
        <w:right w:val="none" w:sz="0" w:space="0" w:color="auto"/>
      </w:divBdr>
    </w:div>
    <w:div w:id="2094355847">
      <w:bodyDiv w:val="1"/>
      <w:marLeft w:val="0"/>
      <w:marRight w:val="0"/>
      <w:marTop w:val="0"/>
      <w:marBottom w:val="0"/>
      <w:divBdr>
        <w:top w:val="none" w:sz="0" w:space="0" w:color="auto"/>
        <w:left w:val="none" w:sz="0" w:space="0" w:color="auto"/>
        <w:bottom w:val="none" w:sz="0" w:space="0" w:color="auto"/>
        <w:right w:val="none" w:sz="0" w:space="0" w:color="auto"/>
      </w:divBdr>
    </w:div>
    <w:div w:id="2107268482">
      <w:bodyDiv w:val="1"/>
      <w:marLeft w:val="0"/>
      <w:marRight w:val="0"/>
      <w:marTop w:val="0"/>
      <w:marBottom w:val="0"/>
      <w:divBdr>
        <w:top w:val="none" w:sz="0" w:space="0" w:color="auto"/>
        <w:left w:val="none" w:sz="0" w:space="0" w:color="auto"/>
        <w:bottom w:val="none" w:sz="0" w:space="0" w:color="auto"/>
        <w:right w:val="none" w:sz="0" w:space="0" w:color="auto"/>
      </w:divBdr>
    </w:div>
    <w:div w:id="2107996387">
      <w:bodyDiv w:val="1"/>
      <w:marLeft w:val="0"/>
      <w:marRight w:val="0"/>
      <w:marTop w:val="0"/>
      <w:marBottom w:val="0"/>
      <w:divBdr>
        <w:top w:val="none" w:sz="0" w:space="0" w:color="auto"/>
        <w:left w:val="none" w:sz="0" w:space="0" w:color="auto"/>
        <w:bottom w:val="none" w:sz="0" w:space="0" w:color="auto"/>
        <w:right w:val="none" w:sz="0" w:space="0" w:color="auto"/>
      </w:divBdr>
    </w:div>
    <w:div w:id="2111008314">
      <w:bodyDiv w:val="1"/>
      <w:marLeft w:val="0"/>
      <w:marRight w:val="0"/>
      <w:marTop w:val="0"/>
      <w:marBottom w:val="0"/>
      <w:divBdr>
        <w:top w:val="none" w:sz="0" w:space="0" w:color="auto"/>
        <w:left w:val="none" w:sz="0" w:space="0" w:color="auto"/>
        <w:bottom w:val="none" w:sz="0" w:space="0" w:color="auto"/>
        <w:right w:val="none" w:sz="0" w:space="0" w:color="auto"/>
      </w:divBdr>
    </w:div>
    <w:div w:id="2120681002">
      <w:bodyDiv w:val="1"/>
      <w:marLeft w:val="0"/>
      <w:marRight w:val="0"/>
      <w:marTop w:val="0"/>
      <w:marBottom w:val="0"/>
      <w:divBdr>
        <w:top w:val="none" w:sz="0" w:space="0" w:color="auto"/>
        <w:left w:val="none" w:sz="0" w:space="0" w:color="auto"/>
        <w:bottom w:val="none" w:sz="0" w:space="0" w:color="auto"/>
        <w:right w:val="none" w:sz="0" w:space="0" w:color="auto"/>
      </w:divBdr>
    </w:div>
    <w:div w:id="2121097923">
      <w:bodyDiv w:val="1"/>
      <w:marLeft w:val="0"/>
      <w:marRight w:val="0"/>
      <w:marTop w:val="0"/>
      <w:marBottom w:val="0"/>
      <w:divBdr>
        <w:top w:val="none" w:sz="0" w:space="0" w:color="auto"/>
        <w:left w:val="none" w:sz="0" w:space="0" w:color="auto"/>
        <w:bottom w:val="none" w:sz="0" w:space="0" w:color="auto"/>
        <w:right w:val="none" w:sz="0" w:space="0" w:color="auto"/>
      </w:divBdr>
    </w:div>
    <w:div w:id="2138989012">
      <w:bodyDiv w:val="1"/>
      <w:marLeft w:val="0"/>
      <w:marRight w:val="0"/>
      <w:marTop w:val="0"/>
      <w:marBottom w:val="0"/>
      <w:divBdr>
        <w:top w:val="none" w:sz="0" w:space="0" w:color="auto"/>
        <w:left w:val="none" w:sz="0" w:space="0" w:color="auto"/>
        <w:bottom w:val="none" w:sz="0" w:space="0" w:color="auto"/>
        <w:right w:val="none" w:sz="0" w:space="0" w:color="auto"/>
      </w:divBdr>
    </w:div>
    <w:div w:id="2142769956">
      <w:bodyDiv w:val="1"/>
      <w:marLeft w:val="0"/>
      <w:marRight w:val="0"/>
      <w:marTop w:val="0"/>
      <w:marBottom w:val="0"/>
      <w:divBdr>
        <w:top w:val="none" w:sz="0" w:space="0" w:color="auto"/>
        <w:left w:val="none" w:sz="0" w:space="0" w:color="auto"/>
        <w:bottom w:val="none" w:sz="0" w:space="0" w:color="auto"/>
        <w:right w:val="none" w:sz="0" w:space="0" w:color="auto"/>
      </w:divBdr>
    </w:div>
    <w:div w:id="21435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9363</Words>
  <Characters>51766</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2016-10-06T00:27:00Z</dcterms:created>
  <dcterms:modified xsi:type="dcterms:W3CDTF">2016-10-06T00:35:00Z</dcterms:modified>
</cp:coreProperties>
</file>