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6A72B9" w:rsidRDefault="001974D0" w:rsidP="006A72B9">
      <w:pPr>
        <w:pStyle w:val="Title"/>
      </w:pPr>
      <w:bookmarkStart w:id="0" w:name="_Toc451340800"/>
      <w:r w:rsidRPr="006A72B9">
        <w:t>5.1</w:t>
      </w:r>
      <w:r w:rsidR="00BE55D7" w:rsidRPr="006A72B9">
        <w:t>1</w:t>
      </w:r>
      <w:r w:rsidR="00B60939" w:rsidRPr="006A72B9">
        <w:tab/>
      </w:r>
      <w:proofErr w:type="spellStart"/>
      <w:r w:rsidR="002742C0" w:rsidRPr="006A72B9">
        <w:t>Talimogene</w:t>
      </w:r>
      <w:proofErr w:type="spellEnd"/>
      <w:r w:rsidR="002742C0" w:rsidRPr="006A72B9">
        <w:t xml:space="preserve"> </w:t>
      </w:r>
      <w:proofErr w:type="spellStart"/>
      <w:r w:rsidR="002742C0" w:rsidRPr="006A72B9">
        <w:t>laherparepvec</w:t>
      </w:r>
      <w:proofErr w:type="spellEnd"/>
      <w:r w:rsidR="00E52C5A" w:rsidRPr="006A72B9">
        <w:br/>
        <w:t>I</w:t>
      </w:r>
      <w:r w:rsidR="002742C0" w:rsidRPr="006A72B9">
        <w:t>ntra-</w:t>
      </w:r>
      <w:proofErr w:type="spellStart"/>
      <w:r w:rsidR="002742C0" w:rsidRPr="006A72B9">
        <w:t>lesional</w:t>
      </w:r>
      <w:proofErr w:type="spellEnd"/>
      <w:r w:rsidR="002742C0" w:rsidRPr="006A72B9">
        <w:t xml:space="preserve"> injection</w:t>
      </w:r>
      <w:r w:rsidR="00E52C5A" w:rsidRPr="006A72B9">
        <w:t xml:space="preserve">, </w:t>
      </w:r>
      <w:r w:rsidR="002742C0" w:rsidRPr="006A72B9">
        <w:t>1</w:t>
      </w:r>
      <w:r w:rsidR="00007240" w:rsidRPr="006A72B9">
        <w:t> million</w:t>
      </w:r>
      <w:r w:rsidR="002742C0" w:rsidRPr="006A72B9">
        <w:t xml:space="preserve"> and 10</w:t>
      </w:r>
      <w:r w:rsidR="00007240" w:rsidRPr="006A72B9">
        <w:t>0 million </w:t>
      </w:r>
      <w:r w:rsidR="002742C0" w:rsidRPr="006A72B9">
        <w:t>PFU/mL</w:t>
      </w:r>
      <w:r w:rsidR="00B60939" w:rsidRPr="006A72B9">
        <w:t xml:space="preserve"> </w:t>
      </w:r>
      <w:r w:rsidR="00E52C5A" w:rsidRPr="006A72B9">
        <w:br/>
      </w:r>
      <w:proofErr w:type="spellStart"/>
      <w:r w:rsidR="002742C0" w:rsidRPr="006A72B9">
        <w:t>ImlygicTM</w:t>
      </w:r>
      <w:proofErr w:type="spellEnd"/>
      <w:r w:rsidR="00E52C5A" w:rsidRPr="006A72B9">
        <w:br/>
      </w:r>
      <w:r w:rsidR="002742C0" w:rsidRPr="006A72B9">
        <w:t>Amgen Australia Pty Ltd</w:t>
      </w:r>
      <w:bookmarkEnd w:id="0"/>
    </w:p>
    <w:p w:rsidR="00B60939" w:rsidRDefault="00B60939" w:rsidP="00207D00"/>
    <w:p w:rsidR="00FA2A27" w:rsidRPr="00BE77DA" w:rsidRDefault="00FA2A27" w:rsidP="00207D00"/>
    <w:p w:rsidR="00B50DB8" w:rsidRPr="006A72B9" w:rsidRDefault="00B50DB8" w:rsidP="006A72B9">
      <w:pPr>
        <w:pStyle w:val="Heading1"/>
      </w:pPr>
      <w:bookmarkStart w:id="1" w:name="_Toc451340802"/>
      <w:r w:rsidRPr="006A72B9">
        <w:t>Purpose of Application</w:t>
      </w:r>
      <w:bookmarkEnd w:id="1"/>
    </w:p>
    <w:p w:rsidR="00B60939" w:rsidRPr="00BE77DA" w:rsidRDefault="00B60939" w:rsidP="00B60939">
      <w:pPr>
        <w:rPr>
          <w:szCs w:val="22"/>
        </w:rPr>
      </w:pPr>
    </w:p>
    <w:p w:rsidR="007837ED" w:rsidRPr="00BE77DA" w:rsidRDefault="007837ED" w:rsidP="00ED000E">
      <w:pPr>
        <w:numPr>
          <w:ilvl w:val="1"/>
          <w:numId w:val="1"/>
        </w:numPr>
      </w:pPr>
      <w:r w:rsidRPr="00BE77DA">
        <w:t xml:space="preserve">Section 100 (Efficient Funding of Chemotherapy – Public and Private Hospital) Authority Required </w:t>
      </w:r>
      <w:r w:rsidR="00351F4A" w:rsidRPr="00BE77DA">
        <w:t xml:space="preserve">(Streamlined) </w:t>
      </w:r>
      <w:r w:rsidRPr="00BE77DA">
        <w:t>listing for</w:t>
      </w:r>
      <w:r w:rsidR="00E40F2C" w:rsidRPr="00BE77DA">
        <w:t xml:space="preserve"> the treatment of unresectable stage III or s</w:t>
      </w:r>
      <w:r w:rsidRPr="00BE77DA">
        <w:t>tage IV malignant melanoma without visceral metastases.</w:t>
      </w:r>
    </w:p>
    <w:p w:rsidR="00B60939" w:rsidRPr="00BE77DA" w:rsidRDefault="00B60939" w:rsidP="004B1CB4">
      <w:bookmarkStart w:id="2" w:name="_GoBack"/>
      <w:bookmarkEnd w:id="2"/>
    </w:p>
    <w:p w:rsidR="004E43B2" w:rsidRPr="00BE77DA" w:rsidRDefault="004E43B2" w:rsidP="004B1CB4"/>
    <w:p w:rsidR="00B50DB8" w:rsidRPr="00BE77DA" w:rsidRDefault="00B50DB8" w:rsidP="006A72B9">
      <w:pPr>
        <w:pStyle w:val="Heading1"/>
      </w:pPr>
      <w:bookmarkStart w:id="3" w:name="_Toc451340803"/>
      <w:r w:rsidRPr="00BE77DA">
        <w:t>Requested listing</w:t>
      </w:r>
      <w:bookmarkEnd w:id="3"/>
    </w:p>
    <w:p w:rsidR="00B60939" w:rsidRPr="00BE77DA" w:rsidRDefault="00B60939" w:rsidP="004B1CB4"/>
    <w:p w:rsidR="00617E12" w:rsidRPr="007036D7" w:rsidRDefault="006D520E" w:rsidP="00ED000E">
      <w:pPr>
        <w:pStyle w:val="ListParagraph"/>
        <w:widowControl/>
        <w:numPr>
          <w:ilvl w:val="1"/>
          <w:numId w:val="1"/>
        </w:numPr>
        <w:rPr>
          <w:szCs w:val="22"/>
        </w:rPr>
      </w:pPr>
      <w:r w:rsidRPr="007036D7">
        <w:t>The requested restriction is provided below, including initial and continuing treatment criteria.</w:t>
      </w:r>
      <w:r w:rsidR="00E84DD1" w:rsidRPr="007036D7">
        <w:t xml:space="preserve">  </w:t>
      </w:r>
      <w:r w:rsidR="00E84DD1" w:rsidRPr="007036D7">
        <w:rPr>
          <w:rFonts w:eastAsia="SimSun"/>
          <w:iCs/>
          <w:color w:val="000000"/>
          <w:szCs w:val="22"/>
        </w:rPr>
        <w:t>Suggestions and additions proposed by the Secretariat to the requested listing are added in italics and suggested deletions are crossed out with strikethrough.</w:t>
      </w:r>
    </w:p>
    <w:p w:rsidR="00E84DD1" w:rsidRPr="004C2DCE" w:rsidRDefault="00E84DD1" w:rsidP="00E84DD1">
      <w:pPr>
        <w:widowControl/>
        <w:rPr>
          <w:szCs w:val="22"/>
        </w:rPr>
      </w:pPr>
    </w:p>
    <w:p w:rsidR="00E84DD1" w:rsidRPr="00E84DD1" w:rsidRDefault="00E84DD1" w:rsidP="00E84DD1">
      <w:pPr>
        <w:keepNext/>
        <w:keepLines/>
        <w:spacing w:before="60" w:after="60"/>
        <w:rPr>
          <w:b/>
          <w:sz w:val="20"/>
        </w:rPr>
      </w:pPr>
      <w:proofErr w:type="spellStart"/>
      <w:r w:rsidRPr="00E84DD1">
        <w:rPr>
          <w:b/>
          <w:sz w:val="20"/>
        </w:rPr>
        <w:t>Talimogene</w:t>
      </w:r>
      <w:proofErr w:type="spellEnd"/>
      <w:r w:rsidRPr="00E84DD1">
        <w:rPr>
          <w:b/>
          <w:sz w:val="20"/>
        </w:rPr>
        <w:t xml:space="preserve"> </w:t>
      </w:r>
      <w:proofErr w:type="spellStart"/>
      <w:r w:rsidRPr="00E84DD1">
        <w:rPr>
          <w:b/>
          <w:sz w:val="20"/>
        </w:rPr>
        <w:t>laherparepvec</w:t>
      </w:r>
      <w:proofErr w:type="spellEnd"/>
      <w:r w:rsidRPr="00E84DD1">
        <w:rPr>
          <w:b/>
          <w:sz w:val="20"/>
        </w:rPr>
        <w:t xml:space="preserve"> injection 1 million PFU/mL: initial </w:t>
      </w:r>
      <w:r w:rsidR="00BF551C">
        <w:rPr>
          <w:b/>
          <w:sz w:val="20"/>
        </w:rPr>
        <w:t>treatment</w:t>
      </w:r>
      <w:r w:rsidR="00380C4B">
        <w:rPr>
          <w:b/>
          <w:sz w:val="20"/>
        </w:rPr>
        <w:t xml:space="preserve"> (</w:t>
      </w:r>
      <w:r w:rsidR="00380C4B" w:rsidRPr="00380C4B">
        <w:rPr>
          <w:b/>
          <w:i/>
          <w:sz w:val="20"/>
        </w:rPr>
        <w:t>BRAF</w:t>
      </w:r>
      <w:r w:rsidR="00380C4B">
        <w:rPr>
          <w:b/>
          <w:sz w:val="20"/>
        </w:rPr>
        <w:t xml:space="preserve"> positive)</w:t>
      </w:r>
    </w:p>
    <w:tbl>
      <w:tblPr>
        <w:tblW w:w="5000" w:type="pct"/>
        <w:tblLook w:val="0000" w:firstRow="0" w:lastRow="0" w:firstColumn="0" w:lastColumn="0" w:noHBand="0" w:noVBand="0"/>
      </w:tblPr>
      <w:tblGrid>
        <w:gridCol w:w="3039"/>
        <w:gridCol w:w="1322"/>
        <w:gridCol w:w="850"/>
        <w:gridCol w:w="1701"/>
        <w:gridCol w:w="1063"/>
        <w:gridCol w:w="1224"/>
        <w:gridCol w:w="44"/>
      </w:tblGrid>
      <w:tr w:rsidR="00E84DD1" w:rsidRPr="00FF725B" w:rsidTr="00D66844">
        <w:trPr>
          <w:gridAfter w:val="1"/>
          <w:wAfter w:w="24" w:type="pct"/>
          <w:cantSplit/>
          <w:trHeight w:val="471"/>
        </w:trPr>
        <w:tc>
          <w:tcPr>
            <w:tcW w:w="1644" w:type="pct"/>
            <w:tcBorders>
              <w:bottom w:val="single" w:sz="4" w:space="0" w:color="auto"/>
            </w:tcBorders>
            <w:shd w:val="clear" w:color="auto" w:fill="auto"/>
          </w:tcPr>
          <w:p w:rsidR="00E84DD1" w:rsidRPr="00FF725B" w:rsidRDefault="00E84DD1" w:rsidP="00E84DD1">
            <w:pPr>
              <w:keepLines/>
              <w:spacing w:before="60" w:after="60"/>
              <w:rPr>
                <w:rFonts w:ascii="Arial Narrow" w:hAnsi="Arial Narrow"/>
                <w:b/>
                <w:sz w:val="20"/>
              </w:rPr>
            </w:pPr>
            <w:r w:rsidRPr="00FF725B">
              <w:rPr>
                <w:rFonts w:ascii="Arial Narrow" w:hAnsi="Arial Narrow"/>
                <w:b/>
                <w:sz w:val="20"/>
              </w:rPr>
              <w:t>Name, Restriction,</w:t>
            </w:r>
          </w:p>
          <w:p w:rsidR="00E84DD1" w:rsidRPr="00FF725B" w:rsidRDefault="00E84DD1" w:rsidP="00E84DD1">
            <w:pPr>
              <w:keepLines/>
              <w:spacing w:before="60" w:after="60"/>
              <w:rPr>
                <w:rFonts w:ascii="Arial Narrow" w:hAnsi="Arial Narrow"/>
                <w:b/>
                <w:sz w:val="20"/>
              </w:rPr>
            </w:pPr>
            <w:r w:rsidRPr="00FF725B">
              <w:rPr>
                <w:rFonts w:ascii="Arial Narrow" w:hAnsi="Arial Narrow"/>
                <w:b/>
                <w:sz w:val="20"/>
              </w:rPr>
              <w:t>Manner of administration and form</w:t>
            </w:r>
          </w:p>
        </w:tc>
        <w:tc>
          <w:tcPr>
            <w:tcW w:w="715" w:type="pct"/>
            <w:tcBorders>
              <w:bottom w:val="single" w:sz="4" w:space="0" w:color="auto"/>
            </w:tcBorders>
            <w:shd w:val="clear" w:color="auto" w:fill="auto"/>
          </w:tcPr>
          <w:p w:rsidR="00E84DD1" w:rsidRPr="00FF725B" w:rsidRDefault="00E84DD1" w:rsidP="00D66844">
            <w:pPr>
              <w:keepLines/>
              <w:spacing w:before="60" w:after="60"/>
              <w:jc w:val="center"/>
              <w:rPr>
                <w:rFonts w:ascii="Arial Narrow" w:hAnsi="Arial Narrow"/>
                <w:b/>
                <w:sz w:val="20"/>
              </w:rPr>
            </w:pPr>
            <w:r w:rsidRPr="00FF725B">
              <w:rPr>
                <w:rFonts w:ascii="Arial Narrow" w:hAnsi="Arial Narrow"/>
                <w:b/>
                <w:sz w:val="20"/>
              </w:rPr>
              <w:t>Max</w:t>
            </w:r>
          </w:p>
          <w:p w:rsidR="00E84DD1" w:rsidRPr="00FF725B" w:rsidRDefault="00E84DD1" w:rsidP="00D66844">
            <w:pPr>
              <w:keepLines/>
              <w:spacing w:before="60" w:after="60"/>
              <w:jc w:val="center"/>
              <w:rPr>
                <w:rFonts w:ascii="Arial Narrow" w:hAnsi="Arial Narrow"/>
                <w:b/>
                <w:sz w:val="20"/>
              </w:rPr>
            </w:pPr>
            <w:proofErr w:type="spellStart"/>
            <w:r w:rsidRPr="00FF725B">
              <w:rPr>
                <w:rFonts w:ascii="Arial Narrow" w:hAnsi="Arial Narrow"/>
                <w:b/>
                <w:sz w:val="20"/>
              </w:rPr>
              <w:t>Amnt</w:t>
            </w:r>
            <w:proofErr w:type="spellEnd"/>
          </w:p>
        </w:tc>
        <w:tc>
          <w:tcPr>
            <w:tcW w:w="460" w:type="pct"/>
            <w:tcBorders>
              <w:bottom w:val="single" w:sz="4" w:space="0" w:color="auto"/>
            </w:tcBorders>
            <w:shd w:val="clear" w:color="auto" w:fill="auto"/>
          </w:tcPr>
          <w:p w:rsidR="00E84DD1" w:rsidRPr="00FF725B" w:rsidRDefault="00E84DD1" w:rsidP="00D66844">
            <w:pPr>
              <w:keepLines/>
              <w:spacing w:before="60" w:after="60"/>
              <w:jc w:val="center"/>
              <w:rPr>
                <w:rFonts w:ascii="Arial Narrow" w:hAnsi="Arial Narrow"/>
                <w:b/>
                <w:sz w:val="20"/>
              </w:rPr>
            </w:pPr>
            <w:r w:rsidRPr="00FF725B">
              <w:rPr>
                <w:rFonts w:ascii="Arial Narrow" w:hAnsi="Arial Narrow"/>
                <w:b/>
                <w:sz w:val="20"/>
              </w:rPr>
              <w:t>№.of</w:t>
            </w:r>
          </w:p>
          <w:p w:rsidR="00E84DD1" w:rsidRPr="00FF725B" w:rsidRDefault="00E84DD1" w:rsidP="00D66844">
            <w:pPr>
              <w:keepLines/>
              <w:spacing w:before="60" w:after="60"/>
              <w:jc w:val="center"/>
              <w:rPr>
                <w:rFonts w:ascii="Arial Narrow" w:hAnsi="Arial Narrow"/>
                <w:b/>
                <w:sz w:val="20"/>
              </w:rPr>
            </w:pPr>
            <w:proofErr w:type="spellStart"/>
            <w:r w:rsidRPr="00FF725B">
              <w:rPr>
                <w:rFonts w:ascii="Arial Narrow" w:hAnsi="Arial Narrow"/>
                <w:b/>
                <w:sz w:val="20"/>
              </w:rPr>
              <w:t>Rpts</w:t>
            </w:r>
            <w:proofErr w:type="spellEnd"/>
          </w:p>
        </w:tc>
        <w:tc>
          <w:tcPr>
            <w:tcW w:w="920" w:type="pct"/>
            <w:tcBorders>
              <w:bottom w:val="single" w:sz="4" w:space="0" w:color="auto"/>
            </w:tcBorders>
            <w:shd w:val="clear" w:color="auto" w:fill="auto"/>
          </w:tcPr>
          <w:p w:rsidR="00E84DD1" w:rsidRPr="00FF725B" w:rsidRDefault="00E84DD1" w:rsidP="00D66844">
            <w:pPr>
              <w:keepLines/>
              <w:spacing w:before="60" w:after="60"/>
              <w:jc w:val="center"/>
              <w:rPr>
                <w:rFonts w:ascii="Arial Narrow" w:hAnsi="Arial Narrow"/>
                <w:b/>
                <w:sz w:val="20"/>
              </w:rPr>
            </w:pPr>
            <w:r w:rsidRPr="00FF725B">
              <w:rPr>
                <w:rFonts w:ascii="Arial Narrow" w:hAnsi="Arial Narrow"/>
                <w:b/>
                <w:sz w:val="20"/>
              </w:rPr>
              <w:t>DPMA</w:t>
            </w:r>
          </w:p>
        </w:tc>
        <w:tc>
          <w:tcPr>
            <w:tcW w:w="1237" w:type="pct"/>
            <w:gridSpan w:val="2"/>
            <w:tcBorders>
              <w:bottom w:val="single" w:sz="4" w:space="0" w:color="auto"/>
            </w:tcBorders>
            <w:shd w:val="clear" w:color="auto" w:fill="auto"/>
          </w:tcPr>
          <w:p w:rsidR="00E84DD1" w:rsidRPr="00FF725B" w:rsidRDefault="00E84DD1" w:rsidP="00E84DD1">
            <w:pPr>
              <w:keepLines/>
              <w:spacing w:before="60" w:after="60"/>
              <w:rPr>
                <w:rFonts w:ascii="Arial Narrow" w:hAnsi="Arial Narrow"/>
                <w:b/>
                <w:sz w:val="20"/>
              </w:rPr>
            </w:pPr>
            <w:r w:rsidRPr="00FF725B">
              <w:rPr>
                <w:rFonts w:ascii="Arial Narrow" w:hAnsi="Arial Narrow"/>
                <w:b/>
                <w:sz w:val="20"/>
              </w:rPr>
              <w:t>Brand name and manufacturer</w:t>
            </w:r>
          </w:p>
        </w:tc>
      </w:tr>
      <w:tr w:rsidR="00E84DD1" w:rsidRPr="00FF725B" w:rsidTr="00D66844">
        <w:trPr>
          <w:cantSplit/>
          <w:trHeight w:val="577"/>
        </w:trPr>
        <w:tc>
          <w:tcPr>
            <w:tcW w:w="1644" w:type="pct"/>
          </w:tcPr>
          <w:p w:rsidR="00E84DD1" w:rsidRPr="00FF725B" w:rsidRDefault="00E84DD1" w:rsidP="00E84DD1">
            <w:pPr>
              <w:keepLines/>
              <w:spacing w:before="60" w:after="60"/>
              <w:rPr>
                <w:rFonts w:ascii="Arial Narrow" w:hAnsi="Arial Narrow"/>
                <w:sz w:val="20"/>
              </w:rPr>
            </w:pPr>
            <w:proofErr w:type="spellStart"/>
            <w:r w:rsidRPr="00FF725B">
              <w:rPr>
                <w:rFonts w:ascii="Arial Narrow" w:hAnsi="Arial Narrow"/>
                <w:sz w:val="20"/>
              </w:rPr>
              <w:t>Talimogene</w:t>
            </w:r>
            <w:proofErr w:type="spellEnd"/>
            <w:r w:rsidRPr="00FF725B">
              <w:rPr>
                <w:rFonts w:ascii="Arial Narrow" w:hAnsi="Arial Narrow"/>
                <w:sz w:val="20"/>
              </w:rPr>
              <w:t xml:space="preserve"> </w:t>
            </w:r>
            <w:proofErr w:type="spellStart"/>
            <w:r w:rsidRPr="00FF725B">
              <w:rPr>
                <w:rFonts w:ascii="Arial Narrow" w:hAnsi="Arial Narrow"/>
                <w:sz w:val="20"/>
              </w:rPr>
              <w:t>laherparepvec</w:t>
            </w:r>
            <w:proofErr w:type="spellEnd"/>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t>Injection 1</w:t>
            </w:r>
            <w:r>
              <w:rPr>
                <w:rFonts w:ascii="Arial Narrow" w:hAnsi="Arial Narrow"/>
                <w:sz w:val="20"/>
              </w:rPr>
              <w:t> million </w:t>
            </w:r>
            <w:r w:rsidRPr="00FF725B">
              <w:rPr>
                <w:rFonts w:ascii="Arial Narrow" w:hAnsi="Arial Narrow"/>
                <w:sz w:val="20"/>
              </w:rPr>
              <w:t>PFU/mL, 1</w:t>
            </w:r>
            <w:r>
              <w:rPr>
                <w:rFonts w:ascii="Arial Narrow" w:hAnsi="Arial Narrow"/>
                <w:sz w:val="20"/>
              </w:rPr>
              <w:t> </w:t>
            </w:r>
            <w:r w:rsidRPr="00FF725B">
              <w:rPr>
                <w:rFonts w:ascii="Arial Narrow" w:hAnsi="Arial Narrow"/>
                <w:sz w:val="20"/>
              </w:rPr>
              <w:t>mL vial</w:t>
            </w:r>
          </w:p>
        </w:tc>
        <w:tc>
          <w:tcPr>
            <w:tcW w:w="715" w:type="pct"/>
          </w:tcPr>
          <w:p w:rsidR="00E84DD1" w:rsidRPr="00FF725B" w:rsidRDefault="00E84DD1" w:rsidP="00E84DD1">
            <w:pPr>
              <w:keepLines/>
              <w:spacing w:before="60" w:after="60"/>
              <w:jc w:val="center"/>
              <w:rPr>
                <w:rFonts w:ascii="Arial Narrow" w:hAnsi="Arial Narrow"/>
                <w:sz w:val="20"/>
              </w:rPr>
            </w:pPr>
          </w:p>
          <w:p w:rsidR="00E84DD1" w:rsidRPr="00FF725B" w:rsidRDefault="00E84DD1" w:rsidP="00E84DD1">
            <w:pPr>
              <w:keepLines/>
              <w:spacing w:before="60" w:after="60"/>
              <w:jc w:val="center"/>
              <w:rPr>
                <w:rFonts w:ascii="Arial Narrow" w:hAnsi="Arial Narrow"/>
                <w:sz w:val="20"/>
              </w:rPr>
            </w:pPr>
            <w:r w:rsidRPr="00FF725B">
              <w:rPr>
                <w:rFonts w:ascii="Arial Narrow" w:hAnsi="Arial Narrow"/>
                <w:sz w:val="20"/>
              </w:rPr>
              <w:t>4</w:t>
            </w:r>
            <w:r>
              <w:rPr>
                <w:rFonts w:ascii="Arial Narrow" w:hAnsi="Arial Narrow"/>
                <w:sz w:val="20"/>
              </w:rPr>
              <w:t> million PFU</w:t>
            </w:r>
          </w:p>
        </w:tc>
        <w:tc>
          <w:tcPr>
            <w:tcW w:w="460" w:type="pct"/>
          </w:tcPr>
          <w:p w:rsidR="00E84DD1" w:rsidRPr="00FF725B" w:rsidRDefault="00E84DD1" w:rsidP="00E84DD1">
            <w:pPr>
              <w:keepLines/>
              <w:spacing w:before="60" w:after="60"/>
              <w:jc w:val="center"/>
              <w:rPr>
                <w:rFonts w:ascii="Arial Narrow" w:hAnsi="Arial Narrow"/>
                <w:sz w:val="20"/>
              </w:rPr>
            </w:pPr>
          </w:p>
          <w:p w:rsidR="00E84DD1" w:rsidRPr="00FF725B" w:rsidRDefault="00E84DD1" w:rsidP="00E84DD1">
            <w:pPr>
              <w:keepLines/>
              <w:spacing w:before="60" w:after="60"/>
              <w:jc w:val="center"/>
              <w:rPr>
                <w:rFonts w:ascii="Arial Narrow" w:hAnsi="Arial Narrow"/>
                <w:sz w:val="20"/>
              </w:rPr>
            </w:pPr>
            <w:r w:rsidRPr="00FF725B">
              <w:rPr>
                <w:rFonts w:ascii="Arial Narrow" w:hAnsi="Arial Narrow"/>
                <w:sz w:val="20"/>
              </w:rPr>
              <w:t>0</w:t>
            </w:r>
          </w:p>
        </w:tc>
        <w:tc>
          <w:tcPr>
            <w:tcW w:w="920" w:type="pct"/>
          </w:tcPr>
          <w:p w:rsidR="00E84DD1" w:rsidRPr="00FF725B" w:rsidRDefault="00E84DD1" w:rsidP="00E84DD1">
            <w:pPr>
              <w:keepLines/>
              <w:spacing w:before="60" w:after="60"/>
              <w:jc w:val="center"/>
              <w:rPr>
                <w:rFonts w:ascii="Arial Narrow" w:hAnsi="Arial Narrow"/>
                <w:sz w:val="20"/>
              </w:rPr>
            </w:pP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13,000.95</w:t>
            </w:r>
            <w:r w:rsidRPr="00FF725B">
              <w:rPr>
                <w:rFonts w:ascii="Arial Narrow" w:hAnsi="Arial Narrow"/>
                <w:sz w:val="20"/>
              </w:rPr>
              <w:t xml:space="preserve"> Public</w:t>
            </w: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13,214.33</w:t>
            </w:r>
            <w:r w:rsidRPr="00FF725B">
              <w:rPr>
                <w:rFonts w:ascii="Arial Narrow" w:hAnsi="Arial Narrow"/>
                <w:sz w:val="20"/>
              </w:rPr>
              <w:t xml:space="preserve"> Private</w:t>
            </w:r>
          </w:p>
        </w:tc>
        <w:tc>
          <w:tcPr>
            <w:tcW w:w="575" w:type="pct"/>
          </w:tcPr>
          <w:p w:rsidR="00E84DD1" w:rsidRPr="00FF725B" w:rsidRDefault="00E84DD1" w:rsidP="00E84DD1">
            <w:pPr>
              <w:keepLines/>
              <w:spacing w:before="60" w:after="60"/>
              <w:jc w:val="center"/>
              <w:rPr>
                <w:rFonts w:ascii="Arial Narrow" w:hAnsi="Arial Narrow"/>
                <w:sz w:val="20"/>
              </w:rPr>
            </w:pPr>
          </w:p>
          <w:p w:rsidR="00E84DD1" w:rsidRPr="00FF725B" w:rsidRDefault="00E84DD1" w:rsidP="00E84DD1">
            <w:pPr>
              <w:keepLines/>
              <w:spacing w:before="60" w:after="60"/>
              <w:jc w:val="center"/>
              <w:rPr>
                <w:rFonts w:ascii="Arial Narrow" w:hAnsi="Arial Narrow"/>
                <w:sz w:val="20"/>
              </w:rPr>
            </w:pPr>
            <w:proofErr w:type="spellStart"/>
            <w:r w:rsidRPr="00FF725B">
              <w:rPr>
                <w:rFonts w:ascii="Arial Narrow" w:hAnsi="Arial Narrow"/>
                <w:sz w:val="20"/>
              </w:rPr>
              <w:t>Imlygic</w:t>
            </w:r>
            <w:proofErr w:type="spellEnd"/>
            <w:r w:rsidRPr="00FF725B">
              <w:rPr>
                <w:rFonts w:ascii="Arial Narrow" w:hAnsi="Arial Narrow"/>
                <w:sz w:val="20"/>
              </w:rPr>
              <w:t>™</w:t>
            </w:r>
          </w:p>
        </w:tc>
        <w:tc>
          <w:tcPr>
            <w:tcW w:w="686" w:type="pct"/>
            <w:gridSpan w:val="2"/>
          </w:tcPr>
          <w:p w:rsidR="00E84DD1" w:rsidRPr="00FF725B" w:rsidRDefault="00E84DD1" w:rsidP="00E84DD1">
            <w:pPr>
              <w:keepLines/>
              <w:spacing w:before="60" w:after="60"/>
              <w:jc w:val="center"/>
              <w:rPr>
                <w:rFonts w:ascii="Arial Narrow" w:hAnsi="Arial Narrow"/>
                <w:sz w:val="20"/>
              </w:rPr>
            </w:pPr>
          </w:p>
          <w:p w:rsidR="00E84DD1" w:rsidRPr="00FF725B" w:rsidRDefault="00E84DD1" w:rsidP="00E84DD1">
            <w:pPr>
              <w:keepLines/>
              <w:spacing w:before="60" w:after="60"/>
              <w:jc w:val="center"/>
              <w:rPr>
                <w:rFonts w:ascii="Arial Narrow" w:hAnsi="Arial Narrow"/>
                <w:sz w:val="20"/>
              </w:rPr>
            </w:pPr>
            <w:r w:rsidRPr="00FF725B">
              <w:rPr>
                <w:rFonts w:ascii="Arial Narrow" w:hAnsi="Arial Narrow"/>
                <w:sz w:val="20"/>
              </w:rPr>
              <w:t>AN</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Category / Program</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Section 100 – Efficient funding of chemotherapy</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Prescriber type:</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Dental  </w:t>
            </w:r>
            <w:r w:rsidRPr="00FF725B">
              <w:rPr>
                <w:rFonts w:ascii="Arial Narrow" w:hAnsi="Arial Narrow"/>
                <w:sz w:val="20"/>
              </w:rPr>
              <w:fldChar w:fldCharType="begin">
                <w:ffData>
                  <w:name w:val=""/>
                  <w:enabled/>
                  <w:calcOnExit w:val="0"/>
                  <w:checkBox>
                    <w:sizeAuto/>
                    <w:default w:val="1"/>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Medical Practitioners  </w:t>
            </w: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Nurse practitioners  </w:t>
            </w: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Optometrists</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Midwives</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Severity:</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i/>
                <w:sz w:val="20"/>
              </w:rPr>
            </w:pPr>
            <w:r w:rsidRPr="00FF725B">
              <w:rPr>
                <w:rFonts w:ascii="Arial Narrow" w:hAnsi="Arial Narrow"/>
                <w:i/>
                <w:sz w:val="20"/>
              </w:rPr>
              <w:t xml:space="preserve">Unresectable </w:t>
            </w:r>
            <w:r w:rsidRPr="00FF725B">
              <w:rPr>
                <w:rFonts w:ascii="Arial Narrow" w:hAnsi="Arial Narrow"/>
                <w:sz w:val="20"/>
              </w:rPr>
              <w:t>Stage III or IV</w:t>
            </w:r>
            <w:r w:rsidRPr="00110CB0">
              <w:rPr>
                <w:rFonts w:ascii="Arial Narrow" w:hAnsi="Arial Narrow"/>
                <w:i/>
                <w:sz w:val="20"/>
              </w:rPr>
              <w:t>M1a</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Condition:</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 xml:space="preserve">malignant melanoma </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PBS Indication:</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trike/>
                <w:sz w:val="20"/>
              </w:rPr>
              <w:t xml:space="preserve">Injectable, </w:t>
            </w:r>
            <w:r w:rsidRPr="00FF725B">
              <w:rPr>
                <w:rFonts w:ascii="Arial Narrow" w:hAnsi="Arial Narrow"/>
                <w:sz w:val="20"/>
              </w:rPr>
              <w:t>Unresectable Stage III or Stage IV</w:t>
            </w:r>
            <w:r w:rsidRPr="00110CB0">
              <w:rPr>
                <w:rFonts w:ascii="Arial Narrow" w:hAnsi="Arial Narrow"/>
                <w:i/>
                <w:sz w:val="20"/>
              </w:rPr>
              <w:t>M1a</w:t>
            </w:r>
            <w:r w:rsidRPr="00110CB0">
              <w:rPr>
                <w:rFonts w:ascii="Arial Narrow" w:hAnsi="Arial Narrow"/>
                <w:sz w:val="20"/>
              </w:rPr>
              <w:t xml:space="preserve"> </w:t>
            </w:r>
            <w:r w:rsidRPr="00FF725B">
              <w:rPr>
                <w:rFonts w:ascii="Arial Narrow" w:hAnsi="Arial Narrow"/>
                <w:sz w:val="20"/>
              </w:rPr>
              <w:t xml:space="preserve">malignant melanoma </w:t>
            </w:r>
            <w:r w:rsidRPr="00FF725B">
              <w:rPr>
                <w:rFonts w:ascii="Arial Narrow" w:hAnsi="Arial Narrow"/>
                <w:strike/>
                <w:sz w:val="20"/>
              </w:rPr>
              <w:t>without visceral metastases</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Treatment phase:</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i/>
                <w:sz w:val="20"/>
              </w:rPr>
            </w:pPr>
            <w:r w:rsidRPr="00FF725B">
              <w:rPr>
                <w:rFonts w:ascii="Arial Narrow" w:hAnsi="Arial Narrow"/>
                <w:sz w:val="20"/>
              </w:rPr>
              <w:t>Initial treatment</w:t>
            </w:r>
            <w:r w:rsidRPr="00110CB0">
              <w:rPr>
                <w:rFonts w:ascii="Arial Narrow" w:hAnsi="Arial Narrow"/>
                <w:sz w:val="20"/>
              </w:rPr>
              <w:t xml:space="preserve"> </w:t>
            </w:r>
            <w:r w:rsidRPr="00110CB0">
              <w:rPr>
                <w:rFonts w:ascii="Arial Narrow" w:hAnsi="Arial Narrow"/>
                <w:i/>
                <w:sz w:val="20"/>
              </w:rPr>
              <w:t>1</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t>Restriction Level/Method</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Restricted benefit </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In writing </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Telephone</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Emergency</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Electronic</w:t>
            </w:r>
          </w:p>
          <w:p w:rsidR="00E84DD1" w:rsidRPr="00FF725B" w:rsidRDefault="00E84DD1" w:rsidP="00E84DD1">
            <w:pPr>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1"/>
                  </w:checkBox>
                </w:ffData>
              </w:fldChar>
            </w:r>
            <w:bookmarkStart w:id="4" w:name="Check5"/>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bookmarkEnd w:id="4"/>
            <w:r w:rsidRPr="00FF725B">
              <w:rPr>
                <w:rFonts w:ascii="Arial Narrow" w:hAnsi="Arial Narrow"/>
                <w:sz w:val="20"/>
              </w:rPr>
              <w:t xml:space="preserve"> Streamlined</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Lines/>
              <w:spacing w:before="60" w:after="60"/>
              <w:rPr>
                <w:rFonts w:ascii="Arial Narrow" w:hAnsi="Arial Narrow"/>
                <w:sz w:val="20"/>
              </w:rPr>
            </w:pPr>
            <w:r w:rsidRPr="00FF725B">
              <w:rPr>
                <w:rFonts w:ascii="Arial Narrow" w:hAnsi="Arial Narrow"/>
                <w:sz w:val="20"/>
              </w:rPr>
              <w:lastRenderedPageBreak/>
              <w:t>Clinical criteria:</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3E7A7C" w:rsidRDefault="00E84DD1" w:rsidP="00E84DD1">
            <w:pPr>
              <w:rPr>
                <w:rFonts w:ascii="Arial Narrow" w:hAnsi="Arial Narrow"/>
                <w:i/>
                <w:sz w:val="20"/>
              </w:rPr>
            </w:pPr>
            <w:r w:rsidRPr="003E7A7C">
              <w:rPr>
                <w:rFonts w:ascii="Arial Narrow" w:hAnsi="Arial Narrow"/>
                <w:i/>
                <w:sz w:val="20"/>
              </w:rPr>
              <w:t>Patient must have undergone surgery,</w:t>
            </w:r>
          </w:p>
          <w:p w:rsidR="00E84DD1" w:rsidRPr="003E7A7C" w:rsidRDefault="00E84DD1"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AND</w:t>
            </w:r>
          </w:p>
          <w:p w:rsidR="00E84DD1" w:rsidRPr="003E7A7C" w:rsidRDefault="00E84DD1"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The condition must be positive for a BRAF V600 mutation,</w:t>
            </w:r>
          </w:p>
          <w:p w:rsidR="00E84DD1" w:rsidRPr="003E7A7C" w:rsidRDefault="00E84DD1"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AND</w:t>
            </w:r>
          </w:p>
          <w:p w:rsidR="00E84DD1" w:rsidRPr="003E7A7C" w:rsidRDefault="00E84DD1"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The condition must have progressed following treatment with a BRAF inhibitor (with or without a MEK inhibitor) unless contraindicated or not tolerated according to the TGA approved Product Information,</w:t>
            </w:r>
          </w:p>
          <w:p w:rsidR="00E84DD1" w:rsidRPr="003E7A7C" w:rsidRDefault="00E84DD1"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AND</w:t>
            </w:r>
          </w:p>
          <w:p w:rsidR="00E84DD1" w:rsidRPr="003E7A7C" w:rsidRDefault="00E84DD1" w:rsidP="00E84DD1">
            <w:pPr>
              <w:rPr>
                <w:rFonts w:ascii="Arial Narrow" w:hAnsi="Arial Narrow"/>
                <w:i/>
                <w:sz w:val="20"/>
              </w:rPr>
            </w:pPr>
          </w:p>
          <w:p w:rsidR="004C2DCE" w:rsidRDefault="00E84DD1" w:rsidP="00E84DD1">
            <w:pPr>
              <w:rPr>
                <w:rFonts w:ascii="Arial Narrow" w:hAnsi="Arial Narrow"/>
                <w:i/>
                <w:sz w:val="20"/>
              </w:rPr>
            </w:pPr>
            <w:r w:rsidRPr="003E7A7C">
              <w:rPr>
                <w:rFonts w:ascii="Arial Narrow" w:hAnsi="Arial Narrow"/>
                <w:i/>
                <w:sz w:val="20"/>
              </w:rPr>
              <w:t>Patient must not have received prior treatment with ipilimumab or a PD-1 (programmed cell death-1) inhibitor for this condition,</w:t>
            </w:r>
          </w:p>
          <w:p w:rsidR="004C2DCE" w:rsidRDefault="004C2DCE" w:rsidP="00E84DD1">
            <w:pPr>
              <w:rPr>
                <w:rFonts w:ascii="Arial Narrow" w:hAnsi="Arial Narrow"/>
                <w:i/>
                <w:sz w:val="20"/>
              </w:rPr>
            </w:pPr>
          </w:p>
          <w:p w:rsidR="00E84DD1" w:rsidRPr="003E7A7C" w:rsidRDefault="00E84DD1" w:rsidP="00E84DD1">
            <w:pPr>
              <w:rPr>
                <w:rFonts w:ascii="Arial Narrow" w:hAnsi="Arial Narrow"/>
                <w:i/>
                <w:sz w:val="20"/>
              </w:rPr>
            </w:pPr>
            <w:r w:rsidRPr="003E7A7C">
              <w:rPr>
                <w:rFonts w:ascii="Arial Narrow" w:hAnsi="Arial Narrow"/>
                <w:i/>
                <w:sz w:val="20"/>
              </w:rPr>
              <w:t>AND</w:t>
            </w:r>
          </w:p>
          <w:p w:rsidR="00E84DD1" w:rsidRPr="003E7A7C" w:rsidRDefault="00E84DD1" w:rsidP="00E84DD1">
            <w:pPr>
              <w:rPr>
                <w:rFonts w:ascii="Arial Narrow" w:hAnsi="Arial Narrow"/>
                <w:i/>
                <w:sz w:val="20"/>
              </w:rPr>
            </w:pPr>
          </w:p>
          <w:p w:rsidR="00E84DD1" w:rsidRPr="00FF725B" w:rsidRDefault="00E84DD1" w:rsidP="00E84DD1">
            <w:pPr>
              <w:keepLines/>
              <w:rPr>
                <w:rFonts w:ascii="Arial Narrow" w:hAnsi="Arial Narrow"/>
                <w:sz w:val="20"/>
              </w:rPr>
            </w:pPr>
            <w:r w:rsidRPr="00FF725B">
              <w:rPr>
                <w:rFonts w:ascii="Arial Narrow" w:hAnsi="Arial Narrow"/>
                <w:sz w:val="20"/>
              </w:rPr>
              <w:t>The treatment must be the sole PBS-subsidised therapy for this condition.</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916421" w:rsidRDefault="00E84DD1" w:rsidP="00E84DD1">
            <w:pPr>
              <w:keepLines/>
              <w:spacing w:before="60" w:after="60"/>
              <w:rPr>
                <w:rFonts w:ascii="Arial Narrow" w:hAnsi="Arial Narrow"/>
                <w:i/>
                <w:sz w:val="20"/>
              </w:rPr>
            </w:pPr>
            <w:r w:rsidRPr="00916421">
              <w:rPr>
                <w:rFonts w:ascii="Arial Narrow" w:hAnsi="Arial Narrow"/>
                <w:i/>
                <w:sz w:val="20"/>
              </w:rPr>
              <w:t>Prescriber Instruction</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3E7A7C" w:rsidRDefault="00E84DD1" w:rsidP="00E84DD1">
            <w:pPr>
              <w:keepLines/>
              <w:spacing w:before="60" w:after="60"/>
              <w:rPr>
                <w:rFonts w:ascii="Arial Narrow" w:hAnsi="Arial Narrow"/>
                <w:sz w:val="20"/>
              </w:rPr>
            </w:pPr>
            <w:r w:rsidRPr="003E7A7C">
              <w:rPr>
                <w:rFonts w:ascii="Arial Narrow" w:hAnsi="Arial Narrow"/>
                <w:strike/>
                <w:sz w:val="20"/>
              </w:rPr>
              <w:t>A maximum of 4 mL to be injected (4 x 1 mL)</w:t>
            </w:r>
          </w:p>
          <w:p w:rsidR="00E84DD1" w:rsidRPr="003E7A7C" w:rsidRDefault="00E84DD1" w:rsidP="00E84DD1">
            <w:pPr>
              <w:keepLines/>
              <w:spacing w:before="60" w:after="60"/>
              <w:rPr>
                <w:rFonts w:ascii="Arial Narrow" w:hAnsi="Arial Narrow"/>
                <w:i/>
                <w:sz w:val="20"/>
              </w:rPr>
            </w:pPr>
            <w:r w:rsidRPr="003E7A7C">
              <w:rPr>
                <w:rFonts w:ascii="Arial Narrow" w:hAnsi="Arial Narrow"/>
                <w:i/>
                <w:sz w:val="20"/>
              </w:rPr>
              <w:t>No increase in the maximum number of repeats may be authorised.</w:t>
            </w:r>
          </w:p>
          <w:p w:rsidR="00E84DD1" w:rsidRPr="003E7A7C" w:rsidRDefault="00E84DD1" w:rsidP="00E84DD1">
            <w:pPr>
              <w:keepLines/>
              <w:spacing w:before="60" w:after="60"/>
              <w:rPr>
                <w:rFonts w:ascii="Arial Narrow" w:hAnsi="Arial Narrow"/>
                <w:sz w:val="20"/>
              </w:rPr>
            </w:pPr>
            <w:r w:rsidRPr="003E7A7C">
              <w:rPr>
                <w:rFonts w:ascii="Arial Narrow" w:hAnsi="Arial Narrow"/>
                <w:i/>
                <w:sz w:val="20"/>
              </w:rPr>
              <w:t>No increase in the maximum quantity or number of units may be authorised.</w:t>
            </w:r>
          </w:p>
        </w:tc>
      </w:tr>
      <w:tr w:rsidR="00E84DD1" w:rsidRPr="00FF725B" w:rsidTr="00E84DD1">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2E7B38" w:rsidRDefault="00E84DD1" w:rsidP="00E84DD1">
            <w:pPr>
              <w:keepLines/>
              <w:spacing w:before="60" w:after="60"/>
              <w:rPr>
                <w:rFonts w:ascii="Arial Narrow" w:hAnsi="Arial Narrow"/>
                <w:i/>
                <w:sz w:val="20"/>
              </w:rPr>
            </w:pPr>
            <w:r w:rsidRPr="002E7B38">
              <w:rPr>
                <w:rFonts w:ascii="Arial Narrow" w:hAnsi="Arial Narrow"/>
                <w:i/>
                <w:sz w:val="20"/>
              </w:rPr>
              <w:t>Administrative advice</w:t>
            </w:r>
          </w:p>
        </w:tc>
        <w:tc>
          <w:tcPr>
            <w:tcW w:w="3356" w:type="pct"/>
            <w:gridSpan w:val="6"/>
            <w:tcBorders>
              <w:top w:val="single" w:sz="4" w:space="0" w:color="auto"/>
              <w:left w:val="single" w:sz="4" w:space="0" w:color="auto"/>
              <w:bottom w:val="single" w:sz="4" w:space="0" w:color="auto"/>
              <w:right w:val="single" w:sz="4" w:space="0" w:color="auto"/>
            </w:tcBorders>
            <w:vAlign w:val="center"/>
          </w:tcPr>
          <w:p w:rsidR="00E84DD1" w:rsidRPr="00916421" w:rsidRDefault="00E84DD1" w:rsidP="00E84DD1">
            <w:pPr>
              <w:keepLines/>
              <w:spacing w:before="60" w:after="60"/>
              <w:rPr>
                <w:rFonts w:ascii="Arial Narrow" w:hAnsi="Arial Narrow"/>
                <w:i/>
                <w:sz w:val="20"/>
              </w:rPr>
            </w:pPr>
            <w:r w:rsidRPr="00916421">
              <w:rPr>
                <w:rFonts w:ascii="Arial Narrow" w:hAnsi="Arial Narrow"/>
                <w:i/>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E84DD1" w:rsidRPr="00E84DD1" w:rsidRDefault="00E84DD1" w:rsidP="00E84DD1">
      <w:pPr>
        <w:keepNext/>
        <w:keepLines/>
        <w:spacing w:before="60" w:after="60"/>
        <w:rPr>
          <w:b/>
          <w:sz w:val="20"/>
        </w:rPr>
      </w:pPr>
      <w:proofErr w:type="spellStart"/>
      <w:r w:rsidRPr="00E84DD1">
        <w:rPr>
          <w:b/>
          <w:sz w:val="20"/>
        </w:rPr>
        <w:lastRenderedPageBreak/>
        <w:t>Talimogene</w:t>
      </w:r>
      <w:proofErr w:type="spellEnd"/>
      <w:r w:rsidRPr="00E84DD1">
        <w:rPr>
          <w:b/>
          <w:sz w:val="20"/>
        </w:rPr>
        <w:t xml:space="preserve"> </w:t>
      </w:r>
      <w:proofErr w:type="spellStart"/>
      <w:r w:rsidRPr="00E84DD1">
        <w:rPr>
          <w:b/>
          <w:sz w:val="20"/>
        </w:rPr>
        <w:t>laherparepvec</w:t>
      </w:r>
      <w:proofErr w:type="spellEnd"/>
      <w:r w:rsidRPr="00E84DD1">
        <w:rPr>
          <w:b/>
          <w:sz w:val="20"/>
        </w:rPr>
        <w:t xml:space="preserve"> injection 1 million PFU/mL: initial </w:t>
      </w:r>
      <w:r w:rsidR="00BF551C">
        <w:rPr>
          <w:b/>
          <w:sz w:val="20"/>
        </w:rPr>
        <w:t>treatment</w:t>
      </w:r>
      <w:r w:rsidR="00380C4B">
        <w:rPr>
          <w:b/>
          <w:sz w:val="20"/>
        </w:rPr>
        <w:t xml:space="preserve"> (</w:t>
      </w:r>
      <w:r w:rsidR="00380C4B" w:rsidRPr="00380C4B">
        <w:rPr>
          <w:b/>
          <w:i/>
          <w:sz w:val="20"/>
        </w:rPr>
        <w:t>BRAF</w:t>
      </w:r>
      <w:r w:rsidR="00380C4B">
        <w:rPr>
          <w:b/>
          <w:sz w:val="20"/>
        </w:rPr>
        <w:t xml:space="preserve"> negative)</w:t>
      </w:r>
    </w:p>
    <w:tbl>
      <w:tblPr>
        <w:tblW w:w="5000" w:type="pct"/>
        <w:tblLook w:val="0000" w:firstRow="0" w:lastRow="0" w:firstColumn="0" w:lastColumn="0" w:noHBand="0" w:noVBand="0"/>
      </w:tblPr>
      <w:tblGrid>
        <w:gridCol w:w="3021"/>
        <w:gridCol w:w="1483"/>
        <w:gridCol w:w="850"/>
        <w:gridCol w:w="1701"/>
        <w:gridCol w:w="959"/>
        <w:gridCol w:w="1205"/>
        <w:gridCol w:w="24"/>
      </w:tblGrid>
      <w:tr w:rsidR="00E84DD1" w:rsidRPr="00FF725B" w:rsidTr="007C7800">
        <w:trPr>
          <w:gridAfter w:val="1"/>
          <w:wAfter w:w="13" w:type="pct"/>
          <w:cantSplit/>
          <w:trHeight w:val="471"/>
        </w:trPr>
        <w:tc>
          <w:tcPr>
            <w:tcW w:w="1634" w:type="pct"/>
            <w:tcBorders>
              <w:bottom w:val="single" w:sz="4" w:space="0" w:color="auto"/>
            </w:tcBorders>
            <w:shd w:val="clear" w:color="auto" w:fill="auto"/>
          </w:tcPr>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Name, Restriction,</w:t>
            </w:r>
          </w:p>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Manner of administration and form</w:t>
            </w:r>
          </w:p>
        </w:tc>
        <w:tc>
          <w:tcPr>
            <w:tcW w:w="802"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Max</w:t>
            </w:r>
          </w:p>
          <w:p w:rsidR="00E84DD1" w:rsidRPr="00FF725B" w:rsidRDefault="00E84DD1" w:rsidP="00D66844">
            <w:pPr>
              <w:keepNext/>
              <w:keepLines/>
              <w:spacing w:before="60" w:after="60"/>
              <w:jc w:val="center"/>
              <w:rPr>
                <w:rFonts w:ascii="Arial Narrow" w:hAnsi="Arial Narrow"/>
                <w:b/>
                <w:sz w:val="20"/>
              </w:rPr>
            </w:pPr>
            <w:proofErr w:type="spellStart"/>
            <w:r w:rsidRPr="00FF725B">
              <w:rPr>
                <w:rFonts w:ascii="Arial Narrow" w:hAnsi="Arial Narrow"/>
                <w:b/>
                <w:sz w:val="20"/>
              </w:rPr>
              <w:t>Amnt</w:t>
            </w:r>
            <w:proofErr w:type="spellEnd"/>
          </w:p>
        </w:tc>
        <w:tc>
          <w:tcPr>
            <w:tcW w:w="460"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№.of</w:t>
            </w:r>
          </w:p>
          <w:p w:rsidR="00E84DD1" w:rsidRPr="00FF725B" w:rsidRDefault="00E84DD1" w:rsidP="00D66844">
            <w:pPr>
              <w:keepNext/>
              <w:keepLines/>
              <w:spacing w:before="60" w:after="60"/>
              <w:jc w:val="center"/>
              <w:rPr>
                <w:rFonts w:ascii="Arial Narrow" w:hAnsi="Arial Narrow"/>
                <w:b/>
                <w:sz w:val="20"/>
              </w:rPr>
            </w:pPr>
            <w:proofErr w:type="spellStart"/>
            <w:r w:rsidRPr="00FF725B">
              <w:rPr>
                <w:rFonts w:ascii="Arial Narrow" w:hAnsi="Arial Narrow"/>
                <w:b/>
                <w:sz w:val="20"/>
              </w:rPr>
              <w:t>Rpts</w:t>
            </w:r>
            <w:proofErr w:type="spellEnd"/>
          </w:p>
        </w:tc>
        <w:tc>
          <w:tcPr>
            <w:tcW w:w="920"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DPMA</w:t>
            </w:r>
          </w:p>
        </w:tc>
        <w:tc>
          <w:tcPr>
            <w:tcW w:w="1171" w:type="pct"/>
            <w:gridSpan w:val="2"/>
            <w:tcBorders>
              <w:bottom w:val="single" w:sz="4" w:space="0" w:color="auto"/>
            </w:tcBorders>
            <w:shd w:val="clear" w:color="auto" w:fill="auto"/>
          </w:tcPr>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Brand name and manufacturer</w:t>
            </w:r>
          </w:p>
        </w:tc>
      </w:tr>
      <w:tr w:rsidR="00E84DD1" w:rsidRPr="00FF725B" w:rsidTr="007C7800">
        <w:trPr>
          <w:cantSplit/>
          <w:trHeight w:val="577"/>
        </w:trPr>
        <w:tc>
          <w:tcPr>
            <w:tcW w:w="1634" w:type="pct"/>
          </w:tcPr>
          <w:p w:rsidR="00E84DD1" w:rsidRPr="00FF725B" w:rsidRDefault="00E84DD1" w:rsidP="00E84DD1">
            <w:pPr>
              <w:keepNext/>
              <w:keepLines/>
              <w:spacing w:before="60" w:after="60"/>
              <w:rPr>
                <w:rFonts w:ascii="Arial Narrow" w:hAnsi="Arial Narrow"/>
                <w:sz w:val="20"/>
              </w:rPr>
            </w:pPr>
            <w:proofErr w:type="spellStart"/>
            <w:r w:rsidRPr="00FF725B">
              <w:rPr>
                <w:rFonts w:ascii="Arial Narrow" w:hAnsi="Arial Narrow"/>
                <w:sz w:val="20"/>
              </w:rPr>
              <w:t>Talimogene</w:t>
            </w:r>
            <w:proofErr w:type="spellEnd"/>
            <w:r w:rsidRPr="00FF725B">
              <w:rPr>
                <w:rFonts w:ascii="Arial Narrow" w:hAnsi="Arial Narrow"/>
                <w:sz w:val="20"/>
              </w:rPr>
              <w:t xml:space="preserve"> </w:t>
            </w:r>
            <w:proofErr w:type="spellStart"/>
            <w:r w:rsidRPr="00FF725B">
              <w:rPr>
                <w:rFonts w:ascii="Arial Narrow" w:hAnsi="Arial Narrow"/>
                <w:sz w:val="20"/>
              </w:rPr>
              <w:t>laherparepvec</w:t>
            </w:r>
            <w:proofErr w:type="spellEnd"/>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Injection 1</w:t>
            </w:r>
            <w:r>
              <w:rPr>
                <w:rFonts w:ascii="Arial Narrow" w:hAnsi="Arial Narrow"/>
                <w:sz w:val="20"/>
              </w:rPr>
              <w:t> million </w:t>
            </w:r>
            <w:r w:rsidRPr="00FF725B">
              <w:rPr>
                <w:rFonts w:ascii="Arial Narrow" w:hAnsi="Arial Narrow"/>
                <w:sz w:val="20"/>
              </w:rPr>
              <w:t>PFU/mL, 1</w:t>
            </w:r>
            <w:r>
              <w:rPr>
                <w:rFonts w:ascii="Arial Narrow" w:hAnsi="Arial Narrow"/>
                <w:sz w:val="20"/>
              </w:rPr>
              <w:t> </w:t>
            </w:r>
            <w:r w:rsidRPr="00FF725B">
              <w:rPr>
                <w:rFonts w:ascii="Arial Narrow" w:hAnsi="Arial Narrow"/>
                <w:sz w:val="20"/>
              </w:rPr>
              <w:t>mL vial</w:t>
            </w:r>
          </w:p>
        </w:tc>
        <w:tc>
          <w:tcPr>
            <w:tcW w:w="802"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r w:rsidRPr="00FF725B">
              <w:rPr>
                <w:rFonts w:ascii="Arial Narrow" w:hAnsi="Arial Narrow"/>
                <w:sz w:val="20"/>
              </w:rPr>
              <w:t>4</w:t>
            </w:r>
            <w:r>
              <w:rPr>
                <w:rFonts w:ascii="Arial Narrow" w:hAnsi="Arial Narrow"/>
                <w:sz w:val="20"/>
              </w:rPr>
              <w:t> million PFU</w:t>
            </w:r>
          </w:p>
        </w:tc>
        <w:tc>
          <w:tcPr>
            <w:tcW w:w="460"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r w:rsidRPr="00FF725B">
              <w:rPr>
                <w:rFonts w:ascii="Arial Narrow" w:hAnsi="Arial Narrow"/>
                <w:sz w:val="20"/>
              </w:rPr>
              <w:t>0</w:t>
            </w:r>
          </w:p>
        </w:tc>
        <w:tc>
          <w:tcPr>
            <w:tcW w:w="920"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13,000.95</w:t>
            </w:r>
            <w:r w:rsidRPr="00FF725B">
              <w:rPr>
                <w:rFonts w:ascii="Arial Narrow" w:hAnsi="Arial Narrow"/>
                <w:sz w:val="20"/>
              </w:rPr>
              <w:t xml:space="preserve"> Public</w:t>
            </w: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13,214.33</w:t>
            </w:r>
            <w:r w:rsidRPr="00FF725B">
              <w:rPr>
                <w:rFonts w:ascii="Arial Narrow" w:hAnsi="Arial Narrow"/>
                <w:sz w:val="20"/>
              </w:rPr>
              <w:t xml:space="preserve"> Private</w:t>
            </w:r>
          </w:p>
        </w:tc>
        <w:tc>
          <w:tcPr>
            <w:tcW w:w="519"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proofErr w:type="spellStart"/>
            <w:r w:rsidRPr="00FF725B">
              <w:rPr>
                <w:rFonts w:ascii="Arial Narrow" w:hAnsi="Arial Narrow"/>
                <w:sz w:val="20"/>
              </w:rPr>
              <w:t>Imlygic</w:t>
            </w:r>
            <w:proofErr w:type="spellEnd"/>
            <w:r w:rsidRPr="00FF725B">
              <w:rPr>
                <w:rFonts w:ascii="Arial Narrow" w:hAnsi="Arial Narrow"/>
                <w:sz w:val="20"/>
              </w:rPr>
              <w:t>™</w:t>
            </w:r>
          </w:p>
        </w:tc>
        <w:tc>
          <w:tcPr>
            <w:tcW w:w="665" w:type="pct"/>
            <w:gridSpan w:val="2"/>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r w:rsidRPr="00FF725B">
              <w:rPr>
                <w:rFonts w:ascii="Arial Narrow" w:hAnsi="Arial Narrow"/>
                <w:sz w:val="20"/>
              </w:rPr>
              <w:t>AN</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Category / Program</w:t>
            </w:r>
          </w:p>
        </w:tc>
        <w:tc>
          <w:tcPr>
            <w:tcW w:w="336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Section 100 – Efficient funding of chemotherapy</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Prescriber type:</w:t>
            </w:r>
          </w:p>
        </w:tc>
        <w:tc>
          <w:tcPr>
            <w:tcW w:w="336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Dental  </w:t>
            </w:r>
            <w:r w:rsidRPr="00FF725B">
              <w:rPr>
                <w:rFonts w:ascii="Arial Narrow" w:hAnsi="Arial Narrow"/>
                <w:sz w:val="20"/>
              </w:rPr>
              <w:fldChar w:fldCharType="begin">
                <w:ffData>
                  <w:name w:val=""/>
                  <w:enabled/>
                  <w:calcOnExit w:val="0"/>
                  <w:checkBox>
                    <w:sizeAuto/>
                    <w:default w:val="1"/>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Medical Practitioners  </w:t>
            </w: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Nurse practitioners  </w:t>
            </w: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Optometrists</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Midwives</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Severity:</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i/>
                <w:sz w:val="20"/>
              </w:rPr>
              <w:t xml:space="preserve">Unresectable </w:t>
            </w:r>
            <w:r w:rsidRPr="00FF725B">
              <w:rPr>
                <w:rFonts w:ascii="Arial Narrow" w:hAnsi="Arial Narrow"/>
                <w:sz w:val="20"/>
              </w:rPr>
              <w:t>Stage III or IV</w:t>
            </w:r>
            <w:r w:rsidRPr="00F239EE">
              <w:rPr>
                <w:rFonts w:ascii="Arial Narrow" w:hAnsi="Arial Narrow"/>
                <w:i/>
                <w:sz w:val="20"/>
              </w:rPr>
              <w:t>M1a</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Condition:</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 xml:space="preserve">malignant melanoma </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PBS Indication:</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trike/>
                <w:sz w:val="20"/>
              </w:rPr>
              <w:t xml:space="preserve">Injectable, </w:t>
            </w:r>
            <w:r w:rsidRPr="00FF725B">
              <w:rPr>
                <w:rFonts w:ascii="Arial Narrow" w:hAnsi="Arial Narrow"/>
                <w:sz w:val="20"/>
              </w:rPr>
              <w:t>Unresectable Stage III or Stage IV</w:t>
            </w:r>
            <w:r w:rsidRPr="00F239EE">
              <w:rPr>
                <w:rFonts w:ascii="Arial Narrow" w:hAnsi="Arial Narrow"/>
                <w:i/>
                <w:sz w:val="20"/>
              </w:rPr>
              <w:t>M1a</w:t>
            </w:r>
            <w:r w:rsidRPr="00FF725B">
              <w:rPr>
                <w:rFonts w:ascii="Arial Narrow" w:hAnsi="Arial Narrow"/>
                <w:sz w:val="20"/>
              </w:rPr>
              <w:t xml:space="preserve"> malignant melanoma </w:t>
            </w:r>
            <w:r w:rsidRPr="00FF725B">
              <w:rPr>
                <w:rFonts w:ascii="Arial Narrow" w:hAnsi="Arial Narrow"/>
                <w:strike/>
                <w:sz w:val="20"/>
              </w:rPr>
              <w:t>without visceral metastases</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Treatment phase:</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i/>
                <w:sz w:val="20"/>
              </w:rPr>
            </w:pPr>
            <w:r w:rsidRPr="00FF725B">
              <w:rPr>
                <w:rFonts w:ascii="Arial Narrow" w:hAnsi="Arial Narrow"/>
                <w:sz w:val="20"/>
              </w:rPr>
              <w:t xml:space="preserve">Initial treatment </w:t>
            </w:r>
            <w:r w:rsidRPr="00F239EE">
              <w:rPr>
                <w:rFonts w:ascii="Arial Narrow" w:hAnsi="Arial Narrow"/>
                <w:i/>
                <w:sz w:val="20"/>
              </w:rPr>
              <w:t>2</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Restriction Level/Method</w:t>
            </w:r>
          </w:p>
        </w:tc>
        <w:tc>
          <w:tcPr>
            <w:tcW w:w="336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Restricted benefit </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In writing </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Telephone</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Emergency</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Electronic</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1"/>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Streamlined</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Clinical criteria:</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956FE5" w:rsidRDefault="00E84DD1" w:rsidP="00E84DD1">
            <w:pPr>
              <w:rPr>
                <w:rFonts w:ascii="Arial Narrow" w:hAnsi="Arial Narrow"/>
                <w:i/>
                <w:sz w:val="20"/>
              </w:rPr>
            </w:pPr>
            <w:r w:rsidRPr="00956FE5">
              <w:rPr>
                <w:rFonts w:ascii="Arial Narrow" w:hAnsi="Arial Narrow"/>
                <w:i/>
                <w:sz w:val="20"/>
              </w:rPr>
              <w:t>Patient must have undergone surgery,</w:t>
            </w:r>
          </w:p>
          <w:p w:rsidR="004C2DCE" w:rsidRDefault="004C2DCE" w:rsidP="00E84DD1">
            <w:pPr>
              <w:rPr>
                <w:rFonts w:ascii="Arial Narrow" w:hAnsi="Arial Narrow"/>
                <w:i/>
                <w:sz w:val="20"/>
              </w:rPr>
            </w:pPr>
          </w:p>
          <w:p w:rsidR="00E84DD1" w:rsidRPr="00956FE5" w:rsidRDefault="00E84DD1" w:rsidP="00E84DD1">
            <w:pPr>
              <w:rPr>
                <w:rFonts w:ascii="Arial Narrow" w:hAnsi="Arial Narrow"/>
                <w:i/>
                <w:sz w:val="20"/>
              </w:rPr>
            </w:pPr>
            <w:r w:rsidRPr="00956FE5">
              <w:rPr>
                <w:rFonts w:ascii="Arial Narrow" w:hAnsi="Arial Narrow"/>
                <w:i/>
                <w:sz w:val="20"/>
              </w:rPr>
              <w:t>AND</w:t>
            </w:r>
          </w:p>
          <w:p w:rsidR="00E84DD1" w:rsidRPr="00956FE5" w:rsidRDefault="00E84DD1" w:rsidP="00E84DD1">
            <w:pPr>
              <w:rPr>
                <w:rFonts w:ascii="Arial Narrow" w:hAnsi="Arial Narrow"/>
                <w:i/>
                <w:sz w:val="20"/>
              </w:rPr>
            </w:pPr>
          </w:p>
          <w:p w:rsidR="00E84DD1" w:rsidRPr="00956FE5" w:rsidRDefault="00E84DD1" w:rsidP="00E84DD1">
            <w:pPr>
              <w:rPr>
                <w:rFonts w:ascii="Arial Narrow" w:hAnsi="Arial Narrow"/>
                <w:i/>
                <w:sz w:val="20"/>
              </w:rPr>
            </w:pPr>
            <w:r w:rsidRPr="00956FE5">
              <w:rPr>
                <w:rFonts w:ascii="Arial Narrow" w:hAnsi="Arial Narrow"/>
                <w:i/>
                <w:sz w:val="20"/>
              </w:rPr>
              <w:t>The condition must be negative for a BRAF V600 mutation,</w:t>
            </w:r>
          </w:p>
          <w:p w:rsidR="00E84DD1" w:rsidRPr="00956FE5" w:rsidRDefault="00E84DD1" w:rsidP="00E84DD1">
            <w:pPr>
              <w:rPr>
                <w:rFonts w:ascii="Arial Narrow" w:hAnsi="Arial Narrow"/>
                <w:i/>
                <w:sz w:val="20"/>
              </w:rPr>
            </w:pPr>
          </w:p>
          <w:p w:rsidR="00E84DD1" w:rsidRPr="00956FE5" w:rsidRDefault="00E84DD1" w:rsidP="00E84DD1">
            <w:pPr>
              <w:rPr>
                <w:rFonts w:ascii="Arial Narrow" w:hAnsi="Arial Narrow"/>
                <w:i/>
                <w:sz w:val="20"/>
              </w:rPr>
            </w:pPr>
            <w:r w:rsidRPr="00956FE5">
              <w:rPr>
                <w:rFonts w:ascii="Arial Narrow" w:hAnsi="Arial Narrow"/>
                <w:i/>
                <w:sz w:val="20"/>
              </w:rPr>
              <w:t>AND</w:t>
            </w:r>
          </w:p>
          <w:p w:rsidR="00E84DD1" w:rsidRPr="00956FE5" w:rsidRDefault="00E84DD1" w:rsidP="00E84DD1">
            <w:pPr>
              <w:rPr>
                <w:rFonts w:ascii="Arial Narrow" w:hAnsi="Arial Narrow"/>
                <w:i/>
                <w:sz w:val="20"/>
              </w:rPr>
            </w:pPr>
          </w:p>
          <w:p w:rsidR="004C2DCE" w:rsidRDefault="00E84DD1" w:rsidP="00E84DD1">
            <w:pPr>
              <w:rPr>
                <w:rFonts w:ascii="Arial Narrow" w:hAnsi="Arial Narrow"/>
                <w:i/>
                <w:sz w:val="20"/>
              </w:rPr>
            </w:pPr>
            <w:r w:rsidRPr="00956FE5">
              <w:rPr>
                <w:rFonts w:ascii="Arial Narrow" w:hAnsi="Arial Narrow"/>
                <w:i/>
                <w:sz w:val="20"/>
              </w:rPr>
              <w:t>Patient must not have received prior treatment with ipilimumab or a PD-1 (programmed cell death-1) inhibitor for this condition,</w:t>
            </w:r>
          </w:p>
          <w:p w:rsidR="004C2DCE" w:rsidRDefault="004C2DCE" w:rsidP="00E84DD1">
            <w:pPr>
              <w:rPr>
                <w:rFonts w:ascii="Arial Narrow" w:hAnsi="Arial Narrow"/>
                <w:i/>
                <w:sz w:val="20"/>
              </w:rPr>
            </w:pPr>
          </w:p>
          <w:p w:rsidR="00E84DD1" w:rsidRPr="00956FE5" w:rsidRDefault="00E84DD1" w:rsidP="00E84DD1">
            <w:pPr>
              <w:rPr>
                <w:rFonts w:ascii="Arial Narrow" w:hAnsi="Arial Narrow"/>
                <w:i/>
                <w:sz w:val="20"/>
              </w:rPr>
            </w:pPr>
            <w:r w:rsidRPr="00956FE5">
              <w:rPr>
                <w:rFonts w:ascii="Arial Narrow" w:hAnsi="Arial Narrow"/>
                <w:i/>
                <w:sz w:val="20"/>
              </w:rPr>
              <w:t>AND</w:t>
            </w:r>
          </w:p>
          <w:p w:rsidR="00E84DD1" w:rsidRPr="00956FE5" w:rsidRDefault="00E84DD1" w:rsidP="00E84DD1">
            <w:pPr>
              <w:rPr>
                <w:rFonts w:ascii="Arial Narrow" w:hAnsi="Arial Narrow"/>
                <w:i/>
                <w:sz w:val="20"/>
              </w:rPr>
            </w:pPr>
          </w:p>
          <w:p w:rsidR="00E84DD1" w:rsidRPr="00FF725B" w:rsidRDefault="00E84DD1" w:rsidP="00E84DD1">
            <w:pPr>
              <w:rPr>
                <w:rFonts w:ascii="Arial Narrow" w:hAnsi="Arial Narrow"/>
                <w:sz w:val="20"/>
              </w:rPr>
            </w:pPr>
            <w:r w:rsidRPr="00FF725B">
              <w:rPr>
                <w:rFonts w:ascii="Arial Narrow" w:hAnsi="Arial Narrow"/>
                <w:sz w:val="20"/>
              </w:rPr>
              <w:t>The treatment must be the sole PBS-subsidised therapy for this condition.</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i/>
                <w:sz w:val="20"/>
              </w:rPr>
            </w:pPr>
            <w:r w:rsidRPr="00FF725B">
              <w:rPr>
                <w:rFonts w:ascii="Arial Narrow" w:hAnsi="Arial Narrow"/>
                <w:i/>
                <w:sz w:val="20"/>
              </w:rPr>
              <w:t>Prescriber Instruction</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956FE5" w:rsidRDefault="00E84DD1" w:rsidP="00E84DD1">
            <w:pPr>
              <w:keepNext/>
              <w:keepLines/>
              <w:spacing w:before="60" w:after="60"/>
              <w:rPr>
                <w:rFonts w:ascii="Arial Narrow" w:hAnsi="Arial Narrow"/>
                <w:sz w:val="20"/>
              </w:rPr>
            </w:pPr>
            <w:r w:rsidRPr="00956FE5">
              <w:rPr>
                <w:rFonts w:ascii="Arial Narrow" w:hAnsi="Arial Narrow"/>
                <w:strike/>
                <w:sz w:val="20"/>
              </w:rPr>
              <w:t>A maximum of 4 mL to be injected (4 x 1 mL)</w:t>
            </w:r>
          </w:p>
          <w:p w:rsidR="00E84DD1" w:rsidRPr="00956FE5" w:rsidRDefault="00E84DD1" w:rsidP="00E84DD1">
            <w:pPr>
              <w:keepNext/>
              <w:keepLines/>
              <w:spacing w:before="60" w:after="60"/>
              <w:rPr>
                <w:rFonts w:ascii="Arial Narrow" w:hAnsi="Arial Narrow"/>
                <w:i/>
                <w:sz w:val="20"/>
              </w:rPr>
            </w:pPr>
            <w:r w:rsidRPr="00956FE5">
              <w:rPr>
                <w:rFonts w:ascii="Arial Narrow" w:hAnsi="Arial Narrow"/>
                <w:i/>
                <w:sz w:val="20"/>
              </w:rPr>
              <w:t>No increase in the maximum number of repeats may be authorised.</w:t>
            </w:r>
          </w:p>
          <w:p w:rsidR="00E84DD1" w:rsidRPr="00956FE5" w:rsidRDefault="00E84DD1" w:rsidP="00E84DD1">
            <w:pPr>
              <w:keepNext/>
              <w:keepLines/>
              <w:spacing w:before="60" w:after="60"/>
              <w:rPr>
                <w:rFonts w:ascii="Arial Narrow" w:hAnsi="Arial Narrow"/>
                <w:sz w:val="20"/>
              </w:rPr>
            </w:pPr>
            <w:r w:rsidRPr="00956FE5">
              <w:rPr>
                <w:rFonts w:ascii="Arial Narrow" w:hAnsi="Arial Narrow"/>
                <w:i/>
                <w:sz w:val="20"/>
              </w:rPr>
              <w:t>No increase in the maximum quantity or number of units may be authorised.</w:t>
            </w:r>
          </w:p>
        </w:tc>
      </w:tr>
      <w:tr w:rsidR="00E84DD1" w:rsidRPr="00FF725B" w:rsidTr="00D66844">
        <w:trPr>
          <w:cantSplit/>
          <w:trHeight w:val="360"/>
        </w:trPr>
        <w:tc>
          <w:tcPr>
            <w:tcW w:w="1634" w:type="pct"/>
            <w:tcBorders>
              <w:top w:val="single" w:sz="4" w:space="0" w:color="auto"/>
              <w:left w:val="single" w:sz="4" w:space="0" w:color="auto"/>
              <w:bottom w:val="single" w:sz="4" w:space="0" w:color="auto"/>
              <w:right w:val="single" w:sz="4" w:space="0" w:color="auto"/>
            </w:tcBorders>
            <w:vAlign w:val="center"/>
          </w:tcPr>
          <w:p w:rsidR="00E84DD1" w:rsidRPr="00916421" w:rsidRDefault="00E84DD1" w:rsidP="00E84DD1">
            <w:pPr>
              <w:keepNext/>
              <w:keepLines/>
              <w:spacing w:before="60" w:after="60"/>
              <w:rPr>
                <w:rFonts w:ascii="Arial Narrow" w:hAnsi="Arial Narrow"/>
                <w:i/>
                <w:sz w:val="20"/>
              </w:rPr>
            </w:pPr>
            <w:r w:rsidRPr="00916421">
              <w:rPr>
                <w:rFonts w:ascii="Arial Narrow" w:hAnsi="Arial Narrow"/>
                <w:i/>
                <w:sz w:val="20"/>
              </w:rPr>
              <w:t>Administrative Advice</w:t>
            </w:r>
          </w:p>
        </w:tc>
        <w:tc>
          <w:tcPr>
            <w:tcW w:w="3366" w:type="pct"/>
            <w:gridSpan w:val="6"/>
            <w:tcBorders>
              <w:top w:val="single" w:sz="4" w:space="0" w:color="auto"/>
              <w:left w:val="single" w:sz="4" w:space="0" w:color="auto"/>
              <w:bottom w:val="single" w:sz="4" w:space="0" w:color="auto"/>
              <w:right w:val="single" w:sz="4" w:space="0" w:color="auto"/>
            </w:tcBorders>
            <w:vAlign w:val="center"/>
          </w:tcPr>
          <w:p w:rsidR="00E84DD1" w:rsidRPr="00956FE5" w:rsidRDefault="00E84DD1" w:rsidP="00E84DD1">
            <w:pPr>
              <w:keepNext/>
              <w:keepLines/>
              <w:spacing w:before="60" w:after="60"/>
              <w:rPr>
                <w:rFonts w:ascii="Arial Narrow" w:hAnsi="Arial Narrow"/>
                <w:strike/>
                <w:sz w:val="20"/>
              </w:rPr>
            </w:pPr>
            <w:r w:rsidRPr="00956FE5">
              <w:rPr>
                <w:rFonts w:ascii="Arial Narrow" w:hAnsi="Arial Narrow"/>
                <w:i/>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D52A6D" w:rsidRDefault="00D52A6D" w:rsidP="00380C4B">
      <w:pPr>
        <w:spacing w:before="60" w:after="60"/>
        <w:rPr>
          <w:lang w:val="en-GB"/>
        </w:rPr>
      </w:pPr>
    </w:p>
    <w:p w:rsidR="00D52A6D" w:rsidRDefault="00D52A6D">
      <w:pPr>
        <w:widowControl/>
        <w:jc w:val="left"/>
        <w:rPr>
          <w:lang w:val="en-GB"/>
        </w:rPr>
      </w:pPr>
      <w:r>
        <w:rPr>
          <w:lang w:val="en-GB"/>
        </w:rPr>
        <w:br w:type="page"/>
      </w:r>
    </w:p>
    <w:p w:rsidR="00E84DD1" w:rsidRPr="00E84DD1" w:rsidRDefault="00E84DD1" w:rsidP="00E84DD1">
      <w:pPr>
        <w:keepNext/>
        <w:keepLines/>
        <w:spacing w:before="60" w:after="60"/>
        <w:rPr>
          <w:b/>
          <w:sz w:val="20"/>
        </w:rPr>
      </w:pPr>
      <w:proofErr w:type="spellStart"/>
      <w:r w:rsidRPr="00E84DD1">
        <w:rPr>
          <w:b/>
          <w:sz w:val="20"/>
        </w:rPr>
        <w:t>Talimogene</w:t>
      </w:r>
      <w:proofErr w:type="spellEnd"/>
      <w:r w:rsidRPr="00E84DD1">
        <w:rPr>
          <w:b/>
          <w:sz w:val="20"/>
        </w:rPr>
        <w:t xml:space="preserve"> </w:t>
      </w:r>
      <w:proofErr w:type="spellStart"/>
      <w:r w:rsidRPr="00E84DD1">
        <w:rPr>
          <w:b/>
          <w:sz w:val="20"/>
        </w:rPr>
        <w:t>laherparepvec</w:t>
      </w:r>
      <w:proofErr w:type="spellEnd"/>
      <w:r w:rsidRPr="00E84DD1">
        <w:rPr>
          <w:b/>
          <w:sz w:val="20"/>
        </w:rPr>
        <w:t xml:space="preserve"> injection 100 million PFU/mL: </w:t>
      </w:r>
      <w:r w:rsidR="00BF551C">
        <w:rPr>
          <w:b/>
          <w:sz w:val="20"/>
        </w:rPr>
        <w:t>continuing treatment</w:t>
      </w:r>
    </w:p>
    <w:tbl>
      <w:tblPr>
        <w:tblW w:w="5000" w:type="pct"/>
        <w:tblLook w:val="0000" w:firstRow="0" w:lastRow="0" w:firstColumn="0" w:lastColumn="0" w:noHBand="0" w:noVBand="0"/>
      </w:tblPr>
      <w:tblGrid>
        <w:gridCol w:w="3039"/>
        <w:gridCol w:w="1464"/>
        <w:gridCol w:w="708"/>
        <w:gridCol w:w="1703"/>
        <w:gridCol w:w="1068"/>
        <w:gridCol w:w="1218"/>
        <w:gridCol w:w="43"/>
      </w:tblGrid>
      <w:tr w:rsidR="00E84DD1" w:rsidRPr="00FF725B" w:rsidTr="00D66844">
        <w:trPr>
          <w:gridAfter w:val="1"/>
          <w:wAfter w:w="23" w:type="pct"/>
          <w:cantSplit/>
          <w:trHeight w:val="471"/>
        </w:trPr>
        <w:tc>
          <w:tcPr>
            <w:tcW w:w="1644" w:type="pct"/>
            <w:tcBorders>
              <w:bottom w:val="single" w:sz="4" w:space="0" w:color="auto"/>
            </w:tcBorders>
            <w:shd w:val="clear" w:color="auto" w:fill="auto"/>
          </w:tcPr>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Name, Restriction,</w:t>
            </w:r>
          </w:p>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Manner of administration and form</w:t>
            </w:r>
          </w:p>
        </w:tc>
        <w:tc>
          <w:tcPr>
            <w:tcW w:w="792"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Max</w:t>
            </w:r>
          </w:p>
          <w:p w:rsidR="00E84DD1" w:rsidRPr="00FF725B" w:rsidRDefault="00E84DD1" w:rsidP="00D66844">
            <w:pPr>
              <w:keepNext/>
              <w:keepLines/>
              <w:spacing w:before="60" w:after="60"/>
              <w:jc w:val="center"/>
              <w:rPr>
                <w:rFonts w:ascii="Arial Narrow" w:hAnsi="Arial Narrow"/>
                <w:b/>
                <w:sz w:val="20"/>
              </w:rPr>
            </w:pPr>
            <w:proofErr w:type="spellStart"/>
            <w:r w:rsidRPr="00FF725B">
              <w:rPr>
                <w:rFonts w:ascii="Arial Narrow" w:hAnsi="Arial Narrow"/>
                <w:b/>
                <w:sz w:val="20"/>
              </w:rPr>
              <w:t>Amnt</w:t>
            </w:r>
            <w:proofErr w:type="spellEnd"/>
          </w:p>
        </w:tc>
        <w:tc>
          <w:tcPr>
            <w:tcW w:w="383"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№.of</w:t>
            </w:r>
          </w:p>
          <w:p w:rsidR="00E84DD1" w:rsidRPr="00FF725B" w:rsidRDefault="00E84DD1" w:rsidP="00D66844">
            <w:pPr>
              <w:keepNext/>
              <w:keepLines/>
              <w:spacing w:before="60" w:after="60"/>
              <w:jc w:val="center"/>
              <w:rPr>
                <w:rFonts w:ascii="Arial Narrow" w:hAnsi="Arial Narrow"/>
                <w:b/>
                <w:sz w:val="20"/>
              </w:rPr>
            </w:pPr>
            <w:proofErr w:type="spellStart"/>
            <w:r w:rsidRPr="00FF725B">
              <w:rPr>
                <w:rFonts w:ascii="Arial Narrow" w:hAnsi="Arial Narrow"/>
                <w:b/>
                <w:sz w:val="20"/>
              </w:rPr>
              <w:t>Rpts</w:t>
            </w:r>
            <w:proofErr w:type="spellEnd"/>
          </w:p>
        </w:tc>
        <w:tc>
          <w:tcPr>
            <w:tcW w:w="921" w:type="pct"/>
            <w:tcBorders>
              <w:bottom w:val="single" w:sz="4" w:space="0" w:color="auto"/>
            </w:tcBorders>
            <w:shd w:val="clear" w:color="auto" w:fill="auto"/>
          </w:tcPr>
          <w:p w:rsidR="00E84DD1" w:rsidRPr="00FF725B" w:rsidRDefault="00E84DD1" w:rsidP="00D66844">
            <w:pPr>
              <w:keepNext/>
              <w:keepLines/>
              <w:spacing w:before="60" w:after="60"/>
              <w:jc w:val="center"/>
              <w:rPr>
                <w:rFonts w:ascii="Arial Narrow" w:hAnsi="Arial Narrow"/>
                <w:b/>
                <w:sz w:val="20"/>
              </w:rPr>
            </w:pPr>
            <w:r w:rsidRPr="00FF725B">
              <w:rPr>
                <w:rFonts w:ascii="Arial Narrow" w:hAnsi="Arial Narrow"/>
                <w:b/>
                <w:sz w:val="20"/>
              </w:rPr>
              <w:t>DPMA</w:t>
            </w:r>
          </w:p>
        </w:tc>
        <w:tc>
          <w:tcPr>
            <w:tcW w:w="1237" w:type="pct"/>
            <w:gridSpan w:val="2"/>
            <w:tcBorders>
              <w:bottom w:val="single" w:sz="4" w:space="0" w:color="auto"/>
            </w:tcBorders>
            <w:shd w:val="clear" w:color="auto" w:fill="auto"/>
          </w:tcPr>
          <w:p w:rsidR="00E84DD1" w:rsidRPr="00FF725B" w:rsidRDefault="00E84DD1" w:rsidP="00E84DD1">
            <w:pPr>
              <w:keepNext/>
              <w:keepLines/>
              <w:spacing w:before="60" w:after="60"/>
              <w:rPr>
                <w:rFonts w:ascii="Arial Narrow" w:hAnsi="Arial Narrow"/>
                <w:b/>
                <w:sz w:val="20"/>
              </w:rPr>
            </w:pPr>
            <w:r w:rsidRPr="00FF725B">
              <w:rPr>
                <w:rFonts w:ascii="Arial Narrow" w:hAnsi="Arial Narrow"/>
                <w:b/>
                <w:sz w:val="20"/>
              </w:rPr>
              <w:t>Brand name and manufacturer</w:t>
            </w:r>
          </w:p>
        </w:tc>
      </w:tr>
      <w:tr w:rsidR="00E84DD1" w:rsidRPr="00FF725B" w:rsidTr="00D66844">
        <w:trPr>
          <w:cantSplit/>
          <w:trHeight w:val="577"/>
        </w:trPr>
        <w:tc>
          <w:tcPr>
            <w:tcW w:w="1644" w:type="pct"/>
          </w:tcPr>
          <w:p w:rsidR="00E84DD1" w:rsidRPr="00FF725B" w:rsidRDefault="00E84DD1" w:rsidP="00E84DD1">
            <w:pPr>
              <w:keepNext/>
              <w:keepLines/>
              <w:spacing w:before="60" w:after="60"/>
              <w:rPr>
                <w:rFonts w:ascii="Arial Narrow" w:hAnsi="Arial Narrow"/>
                <w:sz w:val="20"/>
              </w:rPr>
            </w:pPr>
            <w:proofErr w:type="spellStart"/>
            <w:r w:rsidRPr="00FF725B">
              <w:rPr>
                <w:rFonts w:ascii="Arial Narrow" w:hAnsi="Arial Narrow"/>
                <w:sz w:val="20"/>
              </w:rPr>
              <w:t>Talimogene</w:t>
            </w:r>
            <w:proofErr w:type="spellEnd"/>
            <w:r w:rsidRPr="00FF725B">
              <w:rPr>
                <w:rFonts w:ascii="Arial Narrow" w:hAnsi="Arial Narrow"/>
                <w:sz w:val="20"/>
              </w:rPr>
              <w:t xml:space="preserve"> </w:t>
            </w:r>
            <w:proofErr w:type="spellStart"/>
            <w:r w:rsidRPr="00FF725B">
              <w:rPr>
                <w:rFonts w:ascii="Arial Narrow" w:hAnsi="Arial Narrow"/>
                <w:sz w:val="20"/>
              </w:rPr>
              <w:t>laherparepvec</w:t>
            </w:r>
            <w:proofErr w:type="spellEnd"/>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Injection 10</w:t>
            </w:r>
            <w:r>
              <w:rPr>
                <w:rFonts w:ascii="Arial Narrow" w:hAnsi="Arial Narrow"/>
                <w:sz w:val="20"/>
              </w:rPr>
              <w:t>0 million </w:t>
            </w:r>
            <w:r w:rsidRPr="00FF725B">
              <w:rPr>
                <w:rFonts w:ascii="Arial Narrow" w:hAnsi="Arial Narrow"/>
                <w:sz w:val="20"/>
              </w:rPr>
              <w:t>PFU/mL, 1</w:t>
            </w:r>
            <w:r>
              <w:rPr>
                <w:rFonts w:ascii="Arial Narrow" w:hAnsi="Arial Narrow"/>
                <w:sz w:val="20"/>
              </w:rPr>
              <w:t> </w:t>
            </w:r>
            <w:r w:rsidRPr="00FF725B">
              <w:rPr>
                <w:rFonts w:ascii="Arial Narrow" w:hAnsi="Arial Narrow"/>
                <w:sz w:val="20"/>
              </w:rPr>
              <w:t>mL vial</w:t>
            </w:r>
          </w:p>
        </w:tc>
        <w:tc>
          <w:tcPr>
            <w:tcW w:w="792"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D66844">
            <w:pPr>
              <w:keepNext/>
              <w:keepLines/>
              <w:spacing w:before="60" w:after="60"/>
              <w:jc w:val="center"/>
              <w:rPr>
                <w:rFonts w:ascii="Arial Narrow" w:hAnsi="Arial Narrow"/>
                <w:sz w:val="20"/>
              </w:rPr>
            </w:pPr>
            <w:r w:rsidRPr="00FF725B">
              <w:rPr>
                <w:rFonts w:ascii="Arial Narrow" w:hAnsi="Arial Narrow"/>
                <w:sz w:val="20"/>
              </w:rPr>
              <w:t>4</w:t>
            </w:r>
            <w:r>
              <w:rPr>
                <w:rFonts w:ascii="Arial Narrow" w:hAnsi="Arial Narrow"/>
                <w:sz w:val="20"/>
              </w:rPr>
              <w:t>00</w:t>
            </w:r>
            <w:r w:rsidR="00D66844">
              <w:rPr>
                <w:rFonts w:ascii="Arial Narrow" w:hAnsi="Arial Narrow"/>
                <w:sz w:val="20"/>
              </w:rPr>
              <w:t> </w:t>
            </w:r>
            <w:r>
              <w:rPr>
                <w:rFonts w:ascii="Arial Narrow" w:hAnsi="Arial Narrow"/>
                <w:sz w:val="20"/>
              </w:rPr>
              <w:t>million PFU</w:t>
            </w:r>
          </w:p>
        </w:tc>
        <w:tc>
          <w:tcPr>
            <w:tcW w:w="383"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trike/>
                <w:sz w:val="20"/>
              </w:rPr>
            </w:pPr>
            <w:r w:rsidRPr="00FF725B">
              <w:rPr>
                <w:rFonts w:ascii="Arial Narrow" w:hAnsi="Arial Narrow"/>
                <w:strike/>
                <w:sz w:val="20"/>
              </w:rPr>
              <w:t>11</w:t>
            </w:r>
            <w:r w:rsidRPr="00FF725B">
              <w:rPr>
                <w:rFonts w:ascii="Arial Narrow" w:hAnsi="Arial Narrow"/>
                <w:b/>
                <w:i/>
                <w:sz w:val="20"/>
              </w:rPr>
              <w:t>12</w:t>
            </w:r>
          </w:p>
        </w:tc>
        <w:tc>
          <w:tcPr>
            <w:tcW w:w="921"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13,000.95</w:t>
            </w:r>
            <w:r w:rsidRPr="00FF725B">
              <w:rPr>
                <w:rFonts w:ascii="Arial Narrow" w:hAnsi="Arial Narrow"/>
                <w:sz w:val="20"/>
              </w:rPr>
              <w:t xml:space="preserve"> Public</w:t>
            </w:r>
          </w:p>
          <w:p w:rsidR="00E84DD1" w:rsidRPr="00FF725B" w:rsidRDefault="00E84DD1" w:rsidP="00E84DD1">
            <w:pPr>
              <w:spacing w:line="360" w:lineRule="auto"/>
              <w:jc w:val="center"/>
              <w:rPr>
                <w:rFonts w:ascii="Arial Narrow" w:hAnsi="Arial Narrow"/>
                <w:sz w:val="20"/>
              </w:rPr>
            </w:pPr>
            <w:r w:rsidRPr="00FF725B">
              <w:rPr>
                <w:rFonts w:ascii="Arial Narrow" w:hAnsi="Arial Narrow"/>
                <w:sz w:val="20"/>
              </w:rPr>
              <w:t>$</w:t>
            </w:r>
            <w:r w:rsidRPr="007C7800">
              <w:rPr>
                <w:rFonts w:ascii="Arial Narrow" w:hAnsi="Arial Narrow"/>
                <w:sz w:val="20"/>
              </w:rPr>
              <w:t>13,214.33</w:t>
            </w:r>
            <w:r w:rsidRPr="00FF725B">
              <w:rPr>
                <w:rFonts w:ascii="Arial Narrow" w:hAnsi="Arial Narrow"/>
                <w:sz w:val="20"/>
              </w:rPr>
              <w:t xml:space="preserve"> Private</w:t>
            </w:r>
          </w:p>
        </w:tc>
        <w:tc>
          <w:tcPr>
            <w:tcW w:w="578" w:type="pct"/>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proofErr w:type="spellStart"/>
            <w:r w:rsidRPr="00FF725B">
              <w:rPr>
                <w:rFonts w:ascii="Arial Narrow" w:hAnsi="Arial Narrow"/>
                <w:sz w:val="20"/>
              </w:rPr>
              <w:t>Imlygic</w:t>
            </w:r>
            <w:proofErr w:type="spellEnd"/>
            <w:r w:rsidRPr="00FF725B">
              <w:rPr>
                <w:rFonts w:ascii="Arial Narrow" w:hAnsi="Arial Narrow"/>
                <w:sz w:val="20"/>
              </w:rPr>
              <w:t>™</w:t>
            </w:r>
          </w:p>
          <w:p w:rsidR="00E84DD1" w:rsidRPr="00FF725B" w:rsidRDefault="00E84DD1" w:rsidP="00E84DD1">
            <w:pPr>
              <w:keepNext/>
              <w:keepLines/>
              <w:spacing w:before="60" w:after="60"/>
              <w:jc w:val="center"/>
              <w:rPr>
                <w:rFonts w:ascii="Arial Narrow" w:hAnsi="Arial Narrow"/>
                <w:sz w:val="20"/>
              </w:rPr>
            </w:pPr>
          </w:p>
        </w:tc>
        <w:tc>
          <w:tcPr>
            <w:tcW w:w="682" w:type="pct"/>
            <w:gridSpan w:val="2"/>
          </w:tcPr>
          <w:p w:rsidR="00E84DD1" w:rsidRPr="00FF725B" w:rsidRDefault="00E84DD1" w:rsidP="00E84DD1">
            <w:pPr>
              <w:keepNext/>
              <w:keepLines/>
              <w:spacing w:before="60" w:after="60"/>
              <w:jc w:val="center"/>
              <w:rPr>
                <w:rFonts w:ascii="Arial Narrow" w:hAnsi="Arial Narrow"/>
                <w:sz w:val="20"/>
              </w:rPr>
            </w:pPr>
          </w:p>
          <w:p w:rsidR="00E84DD1" w:rsidRPr="00FF725B" w:rsidRDefault="00E84DD1" w:rsidP="00E84DD1">
            <w:pPr>
              <w:keepNext/>
              <w:keepLines/>
              <w:spacing w:before="60" w:after="60"/>
              <w:jc w:val="center"/>
              <w:rPr>
                <w:rFonts w:ascii="Arial Narrow" w:hAnsi="Arial Narrow"/>
                <w:sz w:val="20"/>
              </w:rPr>
            </w:pPr>
            <w:r w:rsidRPr="00FF725B">
              <w:rPr>
                <w:rFonts w:ascii="Arial Narrow" w:hAnsi="Arial Narrow"/>
                <w:sz w:val="20"/>
              </w:rPr>
              <w:t>AN</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Category / Program</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Section 100 – Efficient funding of chemotherapy</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Prescriber type:</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Dental  </w:t>
            </w:r>
            <w:r w:rsidRPr="00FF725B">
              <w:rPr>
                <w:rFonts w:ascii="Arial Narrow" w:hAnsi="Arial Narrow"/>
                <w:sz w:val="20"/>
              </w:rPr>
              <w:fldChar w:fldCharType="begin">
                <w:ffData>
                  <w:name w:val=""/>
                  <w:enabled/>
                  <w:calcOnExit w:val="0"/>
                  <w:checkBox>
                    <w:sizeAuto/>
                    <w:default w:val="1"/>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Medical Practitioners  </w:t>
            </w: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Nurse practitioners  </w:t>
            </w: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Optometrists</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Midwives</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Severity:</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i/>
                <w:sz w:val="20"/>
              </w:rPr>
              <w:t xml:space="preserve">Unresectable </w:t>
            </w:r>
            <w:r w:rsidRPr="00FF725B">
              <w:rPr>
                <w:rFonts w:ascii="Arial Narrow" w:hAnsi="Arial Narrow"/>
                <w:sz w:val="20"/>
              </w:rPr>
              <w:t>Stage III or Stage IV</w:t>
            </w:r>
            <w:r w:rsidRPr="00956FE5">
              <w:rPr>
                <w:rFonts w:ascii="Arial Narrow" w:hAnsi="Arial Narrow"/>
                <w:i/>
                <w:sz w:val="20"/>
              </w:rPr>
              <w:t>M1a</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Condition:</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 xml:space="preserve">Malignant melanoma </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PBS Indication:</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trike/>
                <w:sz w:val="20"/>
              </w:rPr>
              <w:t xml:space="preserve">Injectable, </w:t>
            </w:r>
            <w:r w:rsidRPr="00FF725B">
              <w:rPr>
                <w:rFonts w:ascii="Arial Narrow" w:hAnsi="Arial Narrow"/>
                <w:sz w:val="20"/>
              </w:rPr>
              <w:t>Unresectable Stage III or Stage IV</w:t>
            </w:r>
            <w:r w:rsidRPr="00956FE5">
              <w:rPr>
                <w:rFonts w:ascii="Arial Narrow" w:hAnsi="Arial Narrow"/>
                <w:i/>
                <w:sz w:val="20"/>
              </w:rPr>
              <w:t>M1a</w:t>
            </w:r>
            <w:r w:rsidRPr="00FF725B">
              <w:rPr>
                <w:rFonts w:ascii="Arial Narrow" w:hAnsi="Arial Narrow"/>
                <w:sz w:val="20"/>
              </w:rPr>
              <w:t xml:space="preserve"> malignant melanoma </w:t>
            </w:r>
            <w:r w:rsidRPr="00FF725B">
              <w:rPr>
                <w:rFonts w:ascii="Arial Narrow" w:hAnsi="Arial Narrow"/>
                <w:strike/>
                <w:sz w:val="20"/>
              </w:rPr>
              <w:t>without visceral metastases</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Treatment phase:</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451EFB">
            <w:pPr>
              <w:keepNext/>
              <w:keepLines/>
              <w:spacing w:before="60" w:after="60"/>
              <w:rPr>
                <w:rFonts w:ascii="Arial Narrow" w:hAnsi="Arial Narrow"/>
                <w:sz w:val="20"/>
              </w:rPr>
            </w:pPr>
            <w:r w:rsidRPr="00FF725B">
              <w:rPr>
                <w:rFonts w:ascii="Arial Narrow" w:hAnsi="Arial Narrow"/>
                <w:sz w:val="20"/>
              </w:rPr>
              <w:t>Continuing treatment</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vAlign w:val="center"/>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Restriction Level/Method</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1"/>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Restricted benefit </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In writing </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3"/>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Telephone</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Emergency</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0"/>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Authority required – Electronic</w:t>
            </w:r>
          </w:p>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fldChar w:fldCharType="begin">
                <w:ffData>
                  <w:name w:val="Check5"/>
                  <w:enabled/>
                  <w:calcOnExit w:val="0"/>
                  <w:checkBox>
                    <w:sizeAuto/>
                    <w:default w:val="1"/>
                  </w:checkBox>
                </w:ffData>
              </w:fldChar>
            </w:r>
            <w:r w:rsidRPr="00FF725B">
              <w:rPr>
                <w:rFonts w:ascii="Arial Narrow" w:hAnsi="Arial Narrow"/>
                <w:sz w:val="20"/>
              </w:rPr>
              <w:instrText xml:space="preserve"> FORMCHECKBOX </w:instrText>
            </w:r>
            <w:r w:rsidR="006A72B9">
              <w:rPr>
                <w:rFonts w:ascii="Arial Narrow" w:hAnsi="Arial Narrow"/>
                <w:sz w:val="20"/>
              </w:rPr>
            </w:r>
            <w:r w:rsidR="006A72B9">
              <w:rPr>
                <w:rFonts w:ascii="Arial Narrow" w:hAnsi="Arial Narrow"/>
                <w:sz w:val="20"/>
              </w:rPr>
              <w:fldChar w:fldCharType="separate"/>
            </w:r>
            <w:r w:rsidRPr="00FF725B">
              <w:rPr>
                <w:rFonts w:ascii="Arial Narrow" w:hAnsi="Arial Narrow"/>
                <w:sz w:val="20"/>
              </w:rPr>
              <w:fldChar w:fldCharType="end"/>
            </w:r>
            <w:r w:rsidRPr="00FF725B">
              <w:rPr>
                <w:rFonts w:ascii="Arial Narrow" w:hAnsi="Arial Narrow"/>
                <w:sz w:val="20"/>
              </w:rPr>
              <w:t xml:space="preserve"> Streamlined</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sz w:val="20"/>
              </w:rPr>
              <w:t>Clinical criteria</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rPr>
                <w:rFonts w:ascii="Arial Narrow" w:hAnsi="Arial Narrow"/>
                <w:sz w:val="20"/>
              </w:rPr>
            </w:pPr>
            <w:r w:rsidRPr="00FF725B">
              <w:rPr>
                <w:rFonts w:ascii="Arial Narrow" w:hAnsi="Arial Narrow"/>
                <w:sz w:val="20"/>
              </w:rPr>
              <w:t xml:space="preserve">Patient must have previously been issued with an authority prescription for </w:t>
            </w:r>
            <w:r>
              <w:rPr>
                <w:rFonts w:ascii="Arial Narrow" w:hAnsi="Arial Narrow"/>
                <w:i/>
                <w:sz w:val="20"/>
              </w:rPr>
              <w:t>t</w:t>
            </w:r>
            <w:r w:rsidRPr="00FF725B">
              <w:rPr>
                <w:rFonts w:ascii="Arial Narrow" w:hAnsi="Arial Narrow"/>
                <w:i/>
                <w:sz w:val="20"/>
              </w:rPr>
              <w:t xml:space="preserve">his drug for this condition, </w:t>
            </w:r>
            <w:proofErr w:type="spellStart"/>
            <w:r w:rsidRPr="00FF725B">
              <w:rPr>
                <w:rFonts w:ascii="Arial Narrow" w:hAnsi="Arial Narrow"/>
                <w:strike/>
                <w:sz w:val="20"/>
              </w:rPr>
              <w:t>talimogene</w:t>
            </w:r>
            <w:proofErr w:type="spellEnd"/>
            <w:r w:rsidRPr="00FF725B">
              <w:rPr>
                <w:rFonts w:ascii="Arial Narrow" w:hAnsi="Arial Narrow"/>
                <w:strike/>
                <w:sz w:val="20"/>
              </w:rPr>
              <w:t xml:space="preserve"> </w:t>
            </w:r>
            <w:proofErr w:type="spellStart"/>
            <w:r w:rsidRPr="00FF725B">
              <w:rPr>
                <w:rFonts w:ascii="Arial Narrow" w:hAnsi="Arial Narrow"/>
                <w:strike/>
                <w:sz w:val="20"/>
              </w:rPr>
              <w:t>laherparepvec</w:t>
            </w:r>
            <w:proofErr w:type="spellEnd"/>
            <w:r w:rsidRPr="00FF725B">
              <w:rPr>
                <w:rFonts w:ascii="Arial Narrow" w:hAnsi="Arial Narrow"/>
                <w:strike/>
                <w:sz w:val="20"/>
              </w:rPr>
              <w:t xml:space="preserve"> 10</w:t>
            </w:r>
            <w:r w:rsidRPr="00FF725B">
              <w:rPr>
                <w:rFonts w:ascii="Arial Narrow" w:hAnsi="Arial Narrow"/>
                <w:strike/>
                <w:sz w:val="20"/>
                <w:vertAlign w:val="superscript"/>
              </w:rPr>
              <w:t>6</w:t>
            </w:r>
            <w:r w:rsidRPr="00FF725B">
              <w:rPr>
                <w:rFonts w:ascii="Arial Narrow" w:hAnsi="Arial Narrow"/>
                <w:strike/>
                <w:sz w:val="20"/>
              </w:rPr>
              <w:t xml:space="preserve"> PFU/mL</w:t>
            </w:r>
          </w:p>
          <w:p w:rsidR="00E84DD1" w:rsidRPr="00FF725B" w:rsidRDefault="00E84DD1" w:rsidP="00E84DD1">
            <w:pPr>
              <w:keepNext/>
              <w:keepLines/>
              <w:rPr>
                <w:rFonts w:ascii="Arial Narrow" w:hAnsi="Arial Narrow"/>
                <w:sz w:val="20"/>
              </w:rPr>
            </w:pPr>
          </w:p>
          <w:p w:rsidR="00E84DD1" w:rsidRPr="00FF725B" w:rsidRDefault="00E84DD1" w:rsidP="00E84DD1">
            <w:pPr>
              <w:keepNext/>
              <w:keepLines/>
              <w:rPr>
                <w:rFonts w:ascii="Arial Narrow" w:hAnsi="Arial Narrow"/>
                <w:sz w:val="20"/>
              </w:rPr>
            </w:pPr>
            <w:r w:rsidRPr="00FF725B">
              <w:rPr>
                <w:rFonts w:ascii="Arial Narrow" w:hAnsi="Arial Narrow"/>
                <w:sz w:val="20"/>
              </w:rPr>
              <w:t>AND</w:t>
            </w:r>
          </w:p>
          <w:p w:rsidR="00E84DD1" w:rsidRPr="00FF725B" w:rsidRDefault="00E84DD1" w:rsidP="00E84DD1">
            <w:pPr>
              <w:keepNext/>
              <w:keepLines/>
              <w:rPr>
                <w:rFonts w:ascii="Arial Narrow" w:hAnsi="Arial Narrow"/>
                <w:sz w:val="20"/>
              </w:rPr>
            </w:pPr>
          </w:p>
          <w:p w:rsidR="00E84DD1" w:rsidRDefault="00E84DD1" w:rsidP="00E84DD1">
            <w:pPr>
              <w:keepNext/>
              <w:keepLines/>
              <w:rPr>
                <w:rFonts w:ascii="Arial Narrow" w:hAnsi="Arial Narrow"/>
                <w:sz w:val="20"/>
              </w:rPr>
            </w:pPr>
            <w:r w:rsidRPr="00FF725B">
              <w:rPr>
                <w:rFonts w:ascii="Arial Narrow" w:hAnsi="Arial Narrow"/>
                <w:sz w:val="20"/>
              </w:rPr>
              <w:t>The treatment must be the sole PBS-subsidised therapy for this condition,</w:t>
            </w:r>
          </w:p>
          <w:p w:rsidR="00E84DD1" w:rsidRDefault="00E84DD1" w:rsidP="00E84DD1">
            <w:pPr>
              <w:keepNext/>
              <w:keepLines/>
              <w:rPr>
                <w:rFonts w:ascii="Arial Narrow" w:hAnsi="Arial Narrow"/>
                <w:sz w:val="20"/>
              </w:rPr>
            </w:pPr>
          </w:p>
          <w:p w:rsidR="00E84DD1" w:rsidRPr="00FF725B" w:rsidRDefault="00E84DD1" w:rsidP="00E84DD1">
            <w:pPr>
              <w:keepNext/>
              <w:keepLines/>
              <w:rPr>
                <w:rFonts w:ascii="Arial Narrow" w:hAnsi="Arial Narrow"/>
                <w:sz w:val="20"/>
              </w:rPr>
            </w:pPr>
            <w:r w:rsidRPr="00FF725B">
              <w:rPr>
                <w:rFonts w:ascii="Arial Narrow" w:hAnsi="Arial Narrow"/>
                <w:sz w:val="20"/>
              </w:rPr>
              <w:t>AND</w:t>
            </w:r>
          </w:p>
          <w:p w:rsidR="00E84DD1" w:rsidRPr="00FF725B" w:rsidRDefault="00E84DD1" w:rsidP="00E84DD1">
            <w:pPr>
              <w:keepNext/>
              <w:keepLines/>
              <w:rPr>
                <w:rFonts w:ascii="Arial Narrow" w:hAnsi="Arial Narrow"/>
                <w:sz w:val="20"/>
              </w:rPr>
            </w:pPr>
          </w:p>
          <w:p w:rsidR="00E84DD1" w:rsidRPr="00FC2F2F" w:rsidRDefault="00E84DD1" w:rsidP="00E84DD1">
            <w:pPr>
              <w:keepNext/>
              <w:keepLines/>
              <w:rPr>
                <w:rFonts w:ascii="Arial Narrow" w:hAnsi="Arial Narrow"/>
                <w:b/>
                <w:i/>
                <w:sz w:val="20"/>
              </w:rPr>
            </w:pPr>
            <w:r w:rsidRPr="002E7B38">
              <w:rPr>
                <w:rFonts w:ascii="Arial Narrow" w:hAnsi="Arial Narrow"/>
                <w:i/>
                <w:sz w:val="20"/>
              </w:rPr>
              <w:t>Patient must have stable or responding disease</w:t>
            </w:r>
            <w:r w:rsidRPr="000D1C73">
              <w:rPr>
                <w:rFonts w:ascii="Arial Narrow" w:hAnsi="Arial Narrow"/>
                <w:i/>
                <w:sz w:val="20"/>
              </w:rPr>
              <w:t>.</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FF725B">
              <w:rPr>
                <w:rFonts w:ascii="Arial Narrow" w:hAnsi="Arial Narrow"/>
                <w:i/>
                <w:sz w:val="20"/>
              </w:rPr>
              <w:t>Prescriber Instruction</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2E7B38" w:rsidRDefault="00E84DD1" w:rsidP="00E84DD1">
            <w:pPr>
              <w:keepNext/>
              <w:keepLines/>
              <w:spacing w:before="60" w:after="60"/>
              <w:rPr>
                <w:rFonts w:ascii="Arial Narrow" w:hAnsi="Arial Narrow"/>
                <w:strike/>
                <w:sz w:val="20"/>
              </w:rPr>
            </w:pPr>
            <w:r w:rsidRPr="002E7B38">
              <w:rPr>
                <w:rFonts w:ascii="Arial Narrow" w:hAnsi="Arial Narrow"/>
                <w:strike/>
                <w:sz w:val="20"/>
              </w:rPr>
              <w:t>A maximum of 4 mL to be injected at each visit</w:t>
            </w:r>
          </w:p>
          <w:p w:rsidR="00E84DD1" w:rsidRPr="002E7B38" w:rsidRDefault="00E84DD1" w:rsidP="00E84DD1">
            <w:pPr>
              <w:keepNext/>
              <w:keepLines/>
              <w:spacing w:before="60" w:after="60"/>
              <w:rPr>
                <w:rFonts w:ascii="Arial Narrow" w:hAnsi="Arial Narrow"/>
                <w:sz w:val="20"/>
              </w:rPr>
            </w:pPr>
            <w:r w:rsidRPr="002E7B38">
              <w:rPr>
                <w:rFonts w:ascii="Arial Narrow" w:hAnsi="Arial Narrow"/>
                <w:sz w:val="20"/>
              </w:rPr>
              <w:t xml:space="preserve">No increase in the maximum number of repeats </w:t>
            </w:r>
            <w:proofErr w:type="gramStart"/>
            <w:r w:rsidRPr="002E7B38">
              <w:rPr>
                <w:rFonts w:ascii="Arial Narrow" w:hAnsi="Arial Narrow"/>
                <w:i/>
                <w:sz w:val="20"/>
              </w:rPr>
              <w:t>may</w:t>
            </w:r>
            <w:r w:rsidRPr="002E7B38">
              <w:rPr>
                <w:rFonts w:ascii="Arial Narrow" w:hAnsi="Arial Narrow"/>
                <w:sz w:val="20"/>
              </w:rPr>
              <w:t xml:space="preserve"> </w:t>
            </w:r>
            <w:r w:rsidRPr="002E7B38">
              <w:rPr>
                <w:rFonts w:ascii="Arial Narrow" w:hAnsi="Arial Narrow"/>
                <w:strike/>
                <w:sz w:val="20"/>
              </w:rPr>
              <w:t>will</w:t>
            </w:r>
            <w:proofErr w:type="gramEnd"/>
            <w:r w:rsidRPr="002E7B38">
              <w:rPr>
                <w:rFonts w:ascii="Arial Narrow" w:hAnsi="Arial Narrow"/>
                <w:sz w:val="20"/>
              </w:rPr>
              <w:t xml:space="preserve"> be authorised.</w:t>
            </w:r>
          </w:p>
          <w:p w:rsidR="00E84DD1" w:rsidRPr="000D1C73" w:rsidRDefault="00E84DD1" w:rsidP="00BF551C">
            <w:pPr>
              <w:keepNext/>
              <w:keepLines/>
              <w:spacing w:before="60" w:after="60"/>
              <w:rPr>
                <w:rFonts w:ascii="Arial Narrow" w:hAnsi="Arial Narrow"/>
                <w:i/>
                <w:sz w:val="20"/>
              </w:rPr>
            </w:pPr>
            <w:r w:rsidRPr="002E7B38">
              <w:rPr>
                <w:rFonts w:ascii="Arial Narrow" w:hAnsi="Arial Narrow"/>
                <w:i/>
                <w:sz w:val="20"/>
              </w:rPr>
              <w:t>No increase in the maximum quantity or number of units may be authorised.</w:t>
            </w:r>
          </w:p>
        </w:tc>
      </w:tr>
      <w:tr w:rsidR="00E84DD1" w:rsidRPr="00FF725B" w:rsidTr="00D66844">
        <w:trPr>
          <w:cantSplit/>
          <w:trHeight w:val="360"/>
        </w:trPr>
        <w:tc>
          <w:tcPr>
            <w:tcW w:w="1644" w:type="pct"/>
            <w:tcBorders>
              <w:top w:val="single" w:sz="4" w:space="0" w:color="auto"/>
              <w:left w:val="single" w:sz="4" w:space="0" w:color="auto"/>
              <w:bottom w:val="single" w:sz="4" w:space="0" w:color="auto"/>
              <w:right w:val="single" w:sz="4" w:space="0" w:color="auto"/>
            </w:tcBorders>
          </w:tcPr>
          <w:p w:rsidR="00E84DD1" w:rsidRPr="00FF725B" w:rsidRDefault="00E84DD1" w:rsidP="00E84DD1">
            <w:pPr>
              <w:keepNext/>
              <w:keepLines/>
              <w:spacing w:before="60" w:after="60"/>
              <w:rPr>
                <w:rFonts w:ascii="Arial Narrow" w:hAnsi="Arial Narrow"/>
                <w:sz w:val="20"/>
              </w:rPr>
            </w:pPr>
            <w:r w:rsidRPr="002E7B38">
              <w:rPr>
                <w:rFonts w:ascii="Arial Narrow" w:hAnsi="Arial Narrow"/>
                <w:i/>
                <w:sz w:val="20"/>
              </w:rPr>
              <w:t>Administrative advice</w:t>
            </w:r>
          </w:p>
        </w:tc>
        <w:tc>
          <w:tcPr>
            <w:tcW w:w="3356" w:type="pct"/>
            <w:gridSpan w:val="6"/>
            <w:tcBorders>
              <w:top w:val="single" w:sz="4" w:space="0" w:color="auto"/>
              <w:left w:val="single" w:sz="4" w:space="0" w:color="auto"/>
              <w:bottom w:val="single" w:sz="4" w:space="0" w:color="auto"/>
              <w:right w:val="single" w:sz="4" w:space="0" w:color="auto"/>
            </w:tcBorders>
          </w:tcPr>
          <w:p w:rsidR="00E84DD1" w:rsidRPr="00916421" w:rsidRDefault="00E84DD1" w:rsidP="00E84DD1">
            <w:pPr>
              <w:keepNext/>
              <w:keepLines/>
              <w:spacing w:before="60" w:after="60"/>
              <w:rPr>
                <w:rFonts w:ascii="Arial Narrow" w:hAnsi="Arial Narrow"/>
                <w:i/>
                <w:sz w:val="20"/>
              </w:rPr>
            </w:pPr>
            <w:r w:rsidRPr="00916421">
              <w:rPr>
                <w:rFonts w:ascii="Arial Narrow" w:hAnsi="Arial Narrow"/>
                <w:i/>
                <w:sz w:val="20"/>
              </w:rPr>
              <w:t>In the first few months after start of immunotherapy some patients can have a transient tumour flare with subsequent disease response. When progression is suspected this should be confirmed through a confirmatory scan taken at least 4 weeks later</w:t>
            </w:r>
            <w:r w:rsidR="00380C4B" w:rsidRPr="00916421">
              <w:rPr>
                <w:rFonts w:ascii="Arial Narrow" w:hAnsi="Arial Narrow"/>
                <w:i/>
                <w:sz w:val="20"/>
              </w:rPr>
              <w:t>.</w:t>
            </w:r>
          </w:p>
        </w:tc>
      </w:tr>
    </w:tbl>
    <w:p w:rsidR="00916421" w:rsidRDefault="00916421" w:rsidP="002F2192"/>
    <w:p w:rsidR="00860D9F" w:rsidRDefault="00367CDC" w:rsidP="00D66844">
      <w:pPr>
        <w:pStyle w:val="ListParagraph"/>
        <w:widowControl/>
        <w:numPr>
          <w:ilvl w:val="1"/>
          <w:numId w:val="1"/>
        </w:numPr>
        <w:rPr>
          <w:szCs w:val="22"/>
        </w:rPr>
      </w:pPr>
      <w:r w:rsidRPr="007036D7">
        <w:t>The</w:t>
      </w:r>
      <w:r w:rsidRPr="00860D9F">
        <w:rPr>
          <w:szCs w:val="22"/>
        </w:rPr>
        <w:t xml:space="preserve"> requested PBS </w:t>
      </w:r>
      <w:r w:rsidR="004B0D2F" w:rsidRPr="00860D9F">
        <w:rPr>
          <w:szCs w:val="22"/>
        </w:rPr>
        <w:t>listing was for</w:t>
      </w:r>
      <w:r w:rsidR="00587149" w:rsidRPr="00860D9F">
        <w:rPr>
          <w:szCs w:val="22"/>
        </w:rPr>
        <w:t xml:space="preserve"> patients with </w:t>
      </w:r>
      <w:r w:rsidRPr="00860D9F">
        <w:rPr>
          <w:szCs w:val="22"/>
        </w:rPr>
        <w:t>unresectable melanoma who d</w:t>
      </w:r>
      <w:r w:rsidR="00587149" w:rsidRPr="00860D9F">
        <w:rPr>
          <w:szCs w:val="22"/>
        </w:rPr>
        <w:t>o not have visceral metastases</w:t>
      </w:r>
      <w:r w:rsidR="004A3BDF" w:rsidRPr="00860D9F">
        <w:rPr>
          <w:szCs w:val="22"/>
        </w:rPr>
        <w:t xml:space="preserve">, </w:t>
      </w:r>
      <w:r w:rsidR="00732358" w:rsidRPr="00860D9F">
        <w:rPr>
          <w:szCs w:val="22"/>
        </w:rPr>
        <w:t xml:space="preserve">to correspond to a subgroup analysis of </w:t>
      </w:r>
      <w:r w:rsidR="00732358" w:rsidRPr="007036D7">
        <w:t xml:space="preserve">participants in the key trial </w:t>
      </w:r>
      <w:r w:rsidR="004A3BDF" w:rsidRPr="007036D7">
        <w:t xml:space="preserve">with stage </w:t>
      </w:r>
      <w:proofErr w:type="spellStart"/>
      <w:r w:rsidR="004A3BDF" w:rsidRPr="007036D7">
        <w:t>IIIb</w:t>
      </w:r>
      <w:proofErr w:type="spellEnd"/>
      <w:r w:rsidR="004A3BDF" w:rsidRPr="007036D7">
        <w:t>/c and stage IVM1a melanoma.</w:t>
      </w:r>
      <w:r w:rsidR="00587149" w:rsidRPr="00860D9F">
        <w:rPr>
          <w:szCs w:val="22"/>
        </w:rPr>
        <w:t xml:space="preserve"> </w:t>
      </w:r>
      <w:r w:rsidR="00732358" w:rsidRPr="00860D9F">
        <w:rPr>
          <w:szCs w:val="22"/>
        </w:rPr>
        <w:t xml:space="preserve"> </w:t>
      </w:r>
      <w:r w:rsidR="00587149" w:rsidRPr="00860D9F">
        <w:rPr>
          <w:szCs w:val="22"/>
        </w:rPr>
        <w:t xml:space="preserve">The approved TGA indication for </w:t>
      </w:r>
      <w:proofErr w:type="spellStart"/>
      <w:r w:rsidR="00BB5233" w:rsidRPr="007036D7">
        <w:t>talimogene</w:t>
      </w:r>
      <w:proofErr w:type="spellEnd"/>
      <w:r w:rsidR="00BB5233" w:rsidRPr="007036D7">
        <w:t xml:space="preserve"> </w:t>
      </w:r>
      <w:proofErr w:type="spellStart"/>
      <w:r w:rsidR="00BB5233" w:rsidRPr="007036D7">
        <w:t>laherparepvec</w:t>
      </w:r>
      <w:proofErr w:type="spellEnd"/>
      <w:r w:rsidR="00BB5233" w:rsidRPr="007036D7">
        <w:t xml:space="preserve"> (</w:t>
      </w:r>
      <w:r w:rsidR="00587149" w:rsidRPr="00860D9F">
        <w:rPr>
          <w:szCs w:val="22"/>
        </w:rPr>
        <w:t>T-VEC</w:t>
      </w:r>
      <w:r w:rsidR="00BB5233" w:rsidRPr="00860D9F">
        <w:rPr>
          <w:szCs w:val="22"/>
        </w:rPr>
        <w:t>)</w:t>
      </w:r>
      <w:r w:rsidR="00587149" w:rsidRPr="00860D9F">
        <w:rPr>
          <w:szCs w:val="22"/>
        </w:rPr>
        <w:t xml:space="preserve"> is for </w:t>
      </w:r>
      <w:r w:rsidRPr="00860D9F">
        <w:rPr>
          <w:szCs w:val="22"/>
        </w:rPr>
        <w:t>the treatment of unresectable melanoma in patients with cutaneous, subcutaneous or nodal lesions after initial surgery</w:t>
      </w:r>
      <w:r w:rsidR="00587149" w:rsidRPr="00860D9F">
        <w:rPr>
          <w:szCs w:val="22"/>
        </w:rPr>
        <w:t>.</w:t>
      </w:r>
      <w:r w:rsidR="00BF551C" w:rsidRPr="00860D9F" w:rsidDel="00BF551C">
        <w:rPr>
          <w:szCs w:val="22"/>
        </w:rPr>
        <w:t xml:space="preserve"> </w:t>
      </w:r>
      <w:r w:rsidR="00FD4AF6" w:rsidRPr="00860D9F">
        <w:rPr>
          <w:szCs w:val="22"/>
        </w:rPr>
        <w:t xml:space="preserve"> The ESC considered that, by excluding stage IVM1b and IVM1c, this proposed population would be smaller than that of the nominated comparators.  </w:t>
      </w:r>
      <w:r w:rsidR="00FD4AF6" w:rsidRPr="007036D7">
        <w:rPr>
          <w:szCs w:val="22"/>
        </w:rPr>
        <w:t>Given the usual rate of progression, there would also be only a small window of time between developing unresectable melanoma and then developing visceral metastases</w:t>
      </w:r>
      <w:r w:rsidR="00FD5244" w:rsidRPr="007036D7">
        <w:rPr>
          <w:szCs w:val="22"/>
        </w:rPr>
        <w:t>.  The ESC was concerned with the risk of not identifying subclinical visceral metastases and therefore sub-optimal outcomes from T-VEC therapy</w:t>
      </w:r>
      <w:r w:rsidR="00FD4AF6" w:rsidRPr="007036D7">
        <w:rPr>
          <w:szCs w:val="22"/>
        </w:rPr>
        <w:t>.</w:t>
      </w:r>
      <w:r w:rsidR="0089585D">
        <w:rPr>
          <w:szCs w:val="22"/>
        </w:rPr>
        <w:t xml:space="preserve">  The pre-PBAC response noted that the window of time is variable and patient specific, and that some unresectable will experience a delay to visceral metastases as a result of T-VEC treatment (17% complete responses in the proposed subgroup).</w:t>
      </w:r>
    </w:p>
    <w:p w:rsidR="00860D9F" w:rsidRPr="0089585D" w:rsidRDefault="00860D9F" w:rsidP="00860D9F">
      <w:pPr>
        <w:rPr>
          <w:szCs w:val="22"/>
        </w:rPr>
      </w:pPr>
    </w:p>
    <w:p w:rsidR="00197F63" w:rsidRPr="007036D7" w:rsidRDefault="002742C0" w:rsidP="00ED000E">
      <w:pPr>
        <w:pStyle w:val="ListParagraph"/>
        <w:numPr>
          <w:ilvl w:val="1"/>
          <w:numId w:val="1"/>
        </w:numPr>
        <w:rPr>
          <w:szCs w:val="22"/>
        </w:rPr>
      </w:pPr>
      <w:r w:rsidRPr="007036D7">
        <w:rPr>
          <w:szCs w:val="22"/>
        </w:rPr>
        <w:t xml:space="preserve">The requested listing </w:t>
      </w:r>
      <w:r w:rsidR="00D54832" w:rsidRPr="007036D7">
        <w:rPr>
          <w:szCs w:val="22"/>
        </w:rPr>
        <w:t>d</w:t>
      </w:r>
      <w:r w:rsidR="00EF3825" w:rsidRPr="007036D7">
        <w:rPr>
          <w:szCs w:val="22"/>
        </w:rPr>
        <w:t>id</w:t>
      </w:r>
      <w:r w:rsidR="00D54832" w:rsidRPr="007036D7">
        <w:rPr>
          <w:szCs w:val="22"/>
        </w:rPr>
        <w:t xml:space="preserve"> not include any requirements in relation to prior therapy. This was similar to the ipilimumab PBS restriction for i</w:t>
      </w:r>
      <w:r w:rsidR="00746F04" w:rsidRPr="007036D7">
        <w:rPr>
          <w:szCs w:val="22"/>
        </w:rPr>
        <w:t>nduction treatment</w:t>
      </w:r>
      <w:r w:rsidR="00D54832" w:rsidRPr="007036D7">
        <w:rPr>
          <w:szCs w:val="22"/>
        </w:rPr>
        <w:t xml:space="preserve">, but </w:t>
      </w:r>
      <w:r w:rsidR="00BB28C3" w:rsidRPr="007036D7">
        <w:rPr>
          <w:szCs w:val="22"/>
        </w:rPr>
        <w:t xml:space="preserve">differed </w:t>
      </w:r>
      <w:r w:rsidRPr="007036D7">
        <w:rPr>
          <w:szCs w:val="22"/>
        </w:rPr>
        <w:t xml:space="preserve">from the PBS </w:t>
      </w:r>
      <w:r w:rsidR="00D54832" w:rsidRPr="007036D7">
        <w:rPr>
          <w:szCs w:val="22"/>
        </w:rPr>
        <w:t xml:space="preserve">restrictions for initial treatment with </w:t>
      </w:r>
      <w:proofErr w:type="spellStart"/>
      <w:r w:rsidRPr="007036D7">
        <w:rPr>
          <w:szCs w:val="22"/>
        </w:rPr>
        <w:t>pembrolizumab</w:t>
      </w:r>
      <w:proofErr w:type="spellEnd"/>
      <w:r w:rsidR="00197F63" w:rsidRPr="007036D7">
        <w:rPr>
          <w:szCs w:val="22"/>
        </w:rPr>
        <w:t xml:space="preserve"> and </w:t>
      </w:r>
      <w:proofErr w:type="spellStart"/>
      <w:r w:rsidR="00197F63" w:rsidRPr="007036D7">
        <w:rPr>
          <w:szCs w:val="22"/>
        </w:rPr>
        <w:t>nivolumab</w:t>
      </w:r>
      <w:proofErr w:type="spellEnd"/>
      <w:r w:rsidR="00D54832" w:rsidRPr="007036D7">
        <w:rPr>
          <w:szCs w:val="22"/>
        </w:rPr>
        <w:t>,</w:t>
      </w:r>
      <w:r w:rsidR="00197F63" w:rsidRPr="007036D7">
        <w:rPr>
          <w:szCs w:val="22"/>
        </w:rPr>
        <w:t xml:space="preserve"> </w:t>
      </w:r>
      <w:r w:rsidR="00D54832" w:rsidRPr="007036D7">
        <w:rPr>
          <w:szCs w:val="22"/>
        </w:rPr>
        <w:t xml:space="preserve">which require that patients with a </w:t>
      </w:r>
      <w:r w:rsidR="00D54832" w:rsidRPr="00D66844">
        <w:rPr>
          <w:i/>
          <w:szCs w:val="22"/>
        </w:rPr>
        <w:t>BRAF</w:t>
      </w:r>
      <w:r w:rsidR="00D54832" w:rsidRPr="007036D7">
        <w:rPr>
          <w:szCs w:val="22"/>
        </w:rPr>
        <w:t xml:space="preserve"> V600 mutation must have progressed following </w:t>
      </w:r>
      <w:r w:rsidR="00197F63" w:rsidRPr="007036D7">
        <w:rPr>
          <w:szCs w:val="22"/>
        </w:rPr>
        <w:t>prior treatment with a BRAF inhibitor</w:t>
      </w:r>
      <w:r w:rsidR="00D54832" w:rsidRPr="007036D7">
        <w:rPr>
          <w:szCs w:val="22"/>
        </w:rPr>
        <w:t xml:space="preserve"> (with or without a MEK inhibitor),</w:t>
      </w:r>
      <w:r w:rsidR="00197F63" w:rsidRPr="007036D7">
        <w:rPr>
          <w:szCs w:val="22"/>
        </w:rPr>
        <w:t xml:space="preserve"> </w:t>
      </w:r>
      <w:r w:rsidR="00D54832" w:rsidRPr="007036D7">
        <w:rPr>
          <w:szCs w:val="22"/>
        </w:rPr>
        <w:t xml:space="preserve">and all </w:t>
      </w:r>
      <w:r w:rsidR="00197F63" w:rsidRPr="007036D7">
        <w:rPr>
          <w:szCs w:val="22"/>
        </w:rPr>
        <w:t xml:space="preserve">patients </w:t>
      </w:r>
      <w:r w:rsidR="00D54832" w:rsidRPr="007036D7">
        <w:rPr>
          <w:szCs w:val="22"/>
        </w:rPr>
        <w:t>must not have received prior ipilimumab or PD-1 inhibitor for melanoma</w:t>
      </w:r>
      <w:r w:rsidR="003C6ED6" w:rsidRPr="007036D7">
        <w:rPr>
          <w:szCs w:val="22"/>
        </w:rPr>
        <w:t xml:space="preserve">.  </w:t>
      </w:r>
      <w:r w:rsidR="00197F63" w:rsidRPr="007036D7">
        <w:rPr>
          <w:szCs w:val="22"/>
        </w:rPr>
        <w:t xml:space="preserve">The requested listing </w:t>
      </w:r>
      <w:r w:rsidR="00B67E50" w:rsidRPr="007036D7">
        <w:rPr>
          <w:szCs w:val="22"/>
        </w:rPr>
        <w:t>also differ</w:t>
      </w:r>
      <w:r w:rsidR="003B294E" w:rsidRPr="007036D7">
        <w:rPr>
          <w:szCs w:val="22"/>
        </w:rPr>
        <w:t>ed</w:t>
      </w:r>
      <w:r w:rsidR="00B67E50" w:rsidRPr="007036D7">
        <w:rPr>
          <w:szCs w:val="22"/>
        </w:rPr>
        <w:t xml:space="preserve"> from that for pembrolizumab and </w:t>
      </w:r>
      <w:r w:rsidR="00CD6878" w:rsidRPr="007036D7">
        <w:rPr>
          <w:szCs w:val="22"/>
        </w:rPr>
        <w:t xml:space="preserve">the listing recommended for </w:t>
      </w:r>
      <w:proofErr w:type="spellStart"/>
      <w:r w:rsidR="00B67E50" w:rsidRPr="007036D7">
        <w:rPr>
          <w:szCs w:val="22"/>
        </w:rPr>
        <w:t>nivolumab</w:t>
      </w:r>
      <w:proofErr w:type="spellEnd"/>
      <w:r w:rsidR="00B67E50" w:rsidRPr="007036D7">
        <w:rPr>
          <w:szCs w:val="22"/>
        </w:rPr>
        <w:t xml:space="preserve"> in that it </w:t>
      </w:r>
      <w:r w:rsidR="003B294E" w:rsidRPr="007036D7">
        <w:rPr>
          <w:szCs w:val="22"/>
        </w:rPr>
        <w:t>sought</w:t>
      </w:r>
      <w:r w:rsidR="00B67E50" w:rsidRPr="007036D7">
        <w:rPr>
          <w:szCs w:val="22"/>
        </w:rPr>
        <w:t xml:space="preserve"> to </w:t>
      </w:r>
      <w:r w:rsidR="00197F63" w:rsidRPr="007036D7">
        <w:rPr>
          <w:szCs w:val="22"/>
        </w:rPr>
        <w:t xml:space="preserve">restrict the use of T-VEC to patients </w:t>
      </w:r>
      <w:r w:rsidR="003B294E" w:rsidRPr="007036D7">
        <w:rPr>
          <w:szCs w:val="22"/>
        </w:rPr>
        <w:t>without</w:t>
      </w:r>
      <w:r w:rsidR="00197F63" w:rsidRPr="007036D7">
        <w:rPr>
          <w:szCs w:val="22"/>
        </w:rPr>
        <w:t xml:space="preserve"> visceral metastases, effectively excluding patients with stage IVM1b and IVM1c melanoma.</w:t>
      </w:r>
      <w:r w:rsidR="0006628C" w:rsidRPr="007036D7">
        <w:rPr>
          <w:szCs w:val="22"/>
        </w:rPr>
        <w:t xml:space="preserve">  The </w:t>
      </w:r>
      <w:r w:rsidR="00941608" w:rsidRPr="00941608">
        <w:rPr>
          <w:szCs w:val="22"/>
        </w:rPr>
        <w:t>Pre-Sub-Committee Response (</w:t>
      </w:r>
      <w:r w:rsidR="0006628C" w:rsidRPr="007036D7">
        <w:rPr>
          <w:szCs w:val="22"/>
        </w:rPr>
        <w:t>PSCR</w:t>
      </w:r>
      <w:r w:rsidR="00941608">
        <w:rPr>
          <w:szCs w:val="22"/>
        </w:rPr>
        <w:t>)</w:t>
      </w:r>
      <w:r w:rsidR="0006628C" w:rsidRPr="007036D7">
        <w:rPr>
          <w:szCs w:val="22"/>
        </w:rPr>
        <w:t xml:space="preserve"> agreed with the Secretariat suggestion for separate initial restrictions for patients who are positive and negative for </w:t>
      </w:r>
      <w:r w:rsidR="0006628C" w:rsidRPr="00D66844">
        <w:rPr>
          <w:i/>
          <w:szCs w:val="22"/>
        </w:rPr>
        <w:t>BRAF</w:t>
      </w:r>
      <w:r w:rsidR="0006628C" w:rsidRPr="007036D7">
        <w:rPr>
          <w:szCs w:val="22"/>
        </w:rPr>
        <w:t xml:space="preserve"> V600 mutation.</w:t>
      </w:r>
    </w:p>
    <w:p w:rsidR="002742C0" w:rsidRPr="007036D7" w:rsidRDefault="002742C0" w:rsidP="002742C0">
      <w:pPr>
        <w:widowControl/>
        <w:rPr>
          <w:szCs w:val="22"/>
        </w:rPr>
      </w:pPr>
    </w:p>
    <w:p w:rsidR="002C2775" w:rsidRPr="007036D7" w:rsidRDefault="00BE3921" w:rsidP="00ED000E">
      <w:pPr>
        <w:pStyle w:val="ListParagraph"/>
        <w:widowControl/>
        <w:numPr>
          <w:ilvl w:val="1"/>
          <w:numId w:val="1"/>
        </w:numPr>
        <w:rPr>
          <w:szCs w:val="22"/>
        </w:rPr>
      </w:pPr>
      <w:r w:rsidRPr="007036D7">
        <w:rPr>
          <w:szCs w:val="22"/>
        </w:rPr>
        <w:t>The submission sought listing on the basis of a</w:t>
      </w:r>
      <w:r w:rsidR="0020385F" w:rsidRPr="007036D7">
        <w:rPr>
          <w:szCs w:val="22"/>
        </w:rPr>
        <w:t xml:space="preserve"> </w:t>
      </w:r>
      <w:r w:rsidR="00081DB2" w:rsidRPr="007036D7">
        <w:rPr>
          <w:szCs w:val="22"/>
        </w:rPr>
        <w:t>cost-minimisation analysis of T-VEC compared to ipilimumab (as a proxy for pembrolizumab).</w:t>
      </w:r>
      <w:r w:rsidR="004A3BDF" w:rsidRPr="007036D7">
        <w:rPr>
          <w:szCs w:val="22"/>
        </w:rPr>
        <w:t xml:space="preserve">  </w:t>
      </w:r>
      <w:r w:rsidR="004A3BDF" w:rsidRPr="007036D7">
        <w:t xml:space="preserve">The submission stated that since the comparators are listed on the PBS with a </w:t>
      </w:r>
      <w:r w:rsidR="007D1DD4" w:rsidRPr="007036D7">
        <w:t xml:space="preserve">special pricing arrangement </w:t>
      </w:r>
      <w:r w:rsidR="004A3BDF" w:rsidRPr="007036D7">
        <w:t>(SPA)</w:t>
      </w:r>
      <w:r w:rsidR="00732358" w:rsidRPr="007036D7">
        <w:t>,</w:t>
      </w:r>
      <w:r w:rsidR="004A3BDF" w:rsidRPr="007036D7">
        <w:t xml:space="preserve"> it is anticipated that a confidential rebate for T-VEC will be negotiated with the Department of Health following a positive PBAC recommendation.  The submission did not provide a requested effective price for T-VEC.</w:t>
      </w:r>
      <w:r w:rsidR="00860D9F">
        <w:t xml:space="preserve">  The PBAC considered that there was </w:t>
      </w:r>
      <w:r w:rsidR="00D66844">
        <w:t>insufficient</w:t>
      </w:r>
      <w:r w:rsidR="00860D9F">
        <w:t xml:space="preserve"> basis for the cost-minimisation analysis of T-VEC compared to ipilimumab as the submission did not establish whether T-VEC was inferior</w:t>
      </w:r>
      <w:r w:rsidR="00D66844">
        <w:t xml:space="preserve"> or non-inferior to ipilimumab.</w:t>
      </w:r>
    </w:p>
    <w:p w:rsidR="00F97A78" w:rsidRDefault="00F97A78" w:rsidP="00A35D16">
      <w:pPr>
        <w:widowControl/>
        <w:rPr>
          <w:szCs w:val="22"/>
        </w:rPr>
      </w:pPr>
    </w:p>
    <w:p w:rsidR="007D5221" w:rsidRDefault="007D5221" w:rsidP="00842DA0">
      <w:pPr>
        <w:ind w:left="709"/>
        <w:rPr>
          <w:bCs/>
          <w:szCs w:val="22"/>
        </w:rPr>
      </w:pPr>
      <w:r w:rsidRPr="00176127">
        <w:rPr>
          <w:bCs/>
          <w:i/>
          <w:szCs w:val="22"/>
        </w:rPr>
        <w:t>For more detail on PBAC’s view, see section 7 “PBAC outcome”</w:t>
      </w:r>
      <w:r w:rsidR="00842DA0">
        <w:rPr>
          <w:bCs/>
          <w:i/>
          <w:szCs w:val="22"/>
        </w:rPr>
        <w:t>.</w:t>
      </w:r>
    </w:p>
    <w:p w:rsidR="007D5221" w:rsidRPr="00BE77DA" w:rsidRDefault="007D5221" w:rsidP="00A35D16">
      <w:pPr>
        <w:widowControl/>
        <w:rPr>
          <w:szCs w:val="22"/>
        </w:rPr>
      </w:pPr>
    </w:p>
    <w:p w:rsidR="004E43B2" w:rsidRPr="00BE77DA" w:rsidRDefault="004E43B2" w:rsidP="004B1CB4"/>
    <w:p w:rsidR="00B50DB8" w:rsidRPr="00BE77DA" w:rsidRDefault="00B50DB8" w:rsidP="006A72B9">
      <w:pPr>
        <w:pStyle w:val="Heading1"/>
      </w:pPr>
      <w:bookmarkStart w:id="5" w:name="_Toc451340804"/>
      <w:r w:rsidRPr="00BE77DA">
        <w:t>Background</w:t>
      </w:r>
      <w:bookmarkEnd w:id="5"/>
    </w:p>
    <w:p w:rsidR="00B60939" w:rsidRPr="007036D7" w:rsidRDefault="00B60939" w:rsidP="00B60939">
      <w:pPr>
        <w:rPr>
          <w:szCs w:val="22"/>
        </w:rPr>
      </w:pPr>
    </w:p>
    <w:p w:rsidR="00B60939" w:rsidRPr="00176127" w:rsidRDefault="00081DB2" w:rsidP="00ED000E">
      <w:pPr>
        <w:pStyle w:val="ListParagraph"/>
        <w:widowControl/>
        <w:numPr>
          <w:ilvl w:val="1"/>
          <w:numId w:val="1"/>
        </w:numPr>
        <w:rPr>
          <w:szCs w:val="22"/>
        </w:rPr>
      </w:pPr>
      <w:r w:rsidRPr="00176127">
        <w:rPr>
          <w:szCs w:val="22"/>
        </w:rPr>
        <w:t xml:space="preserve">T-VEC was registered </w:t>
      </w:r>
      <w:r w:rsidR="00D66844">
        <w:rPr>
          <w:szCs w:val="22"/>
        </w:rPr>
        <w:t xml:space="preserve">by the TGA </w:t>
      </w:r>
      <w:r w:rsidRPr="00176127">
        <w:rPr>
          <w:szCs w:val="22"/>
        </w:rPr>
        <w:t>on 21 December 2015 as monotherapy for the treatment of melanoma in patients with unresectable cutaneous, subcutaneous and nodal lesions after initial surgery.</w:t>
      </w:r>
    </w:p>
    <w:p w:rsidR="00B60939" w:rsidRPr="007036D7" w:rsidRDefault="00B60939" w:rsidP="00B60939">
      <w:pPr>
        <w:rPr>
          <w:szCs w:val="22"/>
        </w:rPr>
      </w:pPr>
    </w:p>
    <w:p w:rsidR="00081DB2" w:rsidRPr="007036D7" w:rsidRDefault="00081DB2" w:rsidP="00ED000E">
      <w:pPr>
        <w:numPr>
          <w:ilvl w:val="1"/>
          <w:numId w:val="1"/>
        </w:numPr>
        <w:rPr>
          <w:szCs w:val="22"/>
        </w:rPr>
      </w:pPr>
      <w:r w:rsidRPr="007036D7">
        <w:rPr>
          <w:szCs w:val="22"/>
        </w:rPr>
        <w:t xml:space="preserve">This was the first consideration of T-VEC by the PBAC.  </w:t>
      </w:r>
      <w:r w:rsidR="00732358" w:rsidRPr="007036D7">
        <w:rPr>
          <w:szCs w:val="22"/>
        </w:rPr>
        <w:t xml:space="preserve">The </w:t>
      </w:r>
      <w:r w:rsidRPr="007036D7">
        <w:rPr>
          <w:szCs w:val="22"/>
        </w:rPr>
        <w:t xml:space="preserve">PBAC has recently considered </w:t>
      </w:r>
      <w:proofErr w:type="spellStart"/>
      <w:r w:rsidRPr="007036D7">
        <w:rPr>
          <w:szCs w:val="22"/>
        </w:rPr>
        <w:t>ipilimumab</w:t>
      </w:r>
      <w:proofErr w:type="spellEnd"/>
      <w:r w:rsidRPr="007036D7">
        <w:rPr>
          <w:szCs w:val="22"/>
        </w:rPr>
        <w:t xml:space="preserve"> (November 2012), </w:t>
      </w:r>
      <w:proofErr w:type="spellStart"/>
      <w:r w:rsidRPr="007036D7">
        <w:rPr>
          <w:szCs w:val="22"/>
        </w:rPr>
        <w:t>vemurafenib</w:t>
      </w:r>
      <w:proofErr w:type="spellEnd"/>
      <w:r w:rsidRPr="007036D7">
        <w:rPr>
          <w:szCs w:val="22"/>
        </w:rPr>
        <w:t xml:space="preserve"> (March 2013), </w:t>
      </w:r>
      <w:proofErr w:type="spellStart"/>
      <w:r w:rsidRPr="007036D7">
        <w:rPr>
          <w:szCs w:val="22"/>
        </w:rPr>
        <w:t>dabrafenib</w:t>
      </w:r>
      <w:proofErr w:type="spellEnd"/>
      <w:r w:rsidRPr="007036D7">
        <w:rPr>
          <w:szCs w:val="22"/>
        </w:rPr>
        <w:t xml:space="preserve"> (July 2014), </w:t>
      </w:r>
      <w:proofErr w:type="spellStart"/>
      <w:r w:rsidRPr="007036D7">
        <w:rPr>
          <w:szCs w:val="22"/>
        </w:rPr>
        <w:t>trametinib</w:t>
      </w:r>
      <w:proofErr w:type="spellEnd"/>
      <w:r w:rsidRPr="007036D7">
        <w:rPr>
          <w:szCs w:val="22"/>
        </w:rPr>
        <w:t xml:space="preserve"> (November 2014), pembrolizumab (March 2015) and </w:t>
      </w:r>
      <w:proofErr w:type="spellStart"/>
      <w:r w:rsidRPr="007036D7">
        <w:rPr>
          <w:szCs w:val="22"/>
        </w:rPr>
        <w:t>nivolumab</w:t>
      </w:r>
      <w:proofErr w:type="spellEnd"/>
      <w:r w:rsidRPr="007036D7">
        <w:rPr>
          <w:szCs w:val="22"/>
        </w:rPr>
        <w:t xml:space="preserve"> (November 2015) for</w:t>
      </w:r>
      <w:r w:rsidR="00E40F2C" w:rsidRPr="007036D7">
        <w:rPr>
          <w:szCs w:val="22"/>
        </w:rPr>
        <w:t xml:space="preserve"> the treatment of unresectable s</w:t>
      </w:r>
      <w:r w:rsidRPr="007036D7">
        <w:rPr>
          <w:szCs w:val="22"/>
        </w:rPr>
        <w:t xml:space="preserve">tage III or </w:t>
      </w:r>
      <w:r w:rsidR="00E40F2C" w:rsidRPr="007036D7">
        <w:rPr>
          <w:szCs w:val="22"/>
        </w:rPr>
        <w:t>s</w:t>
      </w:r>
      <w:r w:rsidRPr="007036D7">
        <w:rPr>
          <w:szCs w:val="22"/>
        </w:rPr>
        <w:t>tage IV metastatic melanoma.</w:t>
      </w:r>
    </w:p>
    <w:p w:rsidR="00E55BB5" w:rsidRDefault="00E55BB5" w:rsidP="004B1CB4"/>
    <w:p w:rsidR="00330E84" w:rsidRPr="00BE77DA" w:rsidRDefault="00330E84" w:rsidP="004B1CB4"/>
    <w:p w:rsidR="00B50DB8" w:rsidRPr="00BE77DA" w:rsidRDefault="00B50DB8" w:rsidP="006A72B9">
      <w:pPr>
        <w:pStyle w:val="Heading1"/>
      </w:pPr>
      <w:bookmarkStart w:id="6" w:name="_Toc451340805"/>
      <w:r w:rsidRPr="00BE77DA">
        <w:t>Clinical place for the proposed therapy</w:t>
      </w:r>
      <w:bookmarkEnd w:id="6"/>
    </w:p>
    <w:p w:rsidR="00B60939" w:rsidRPr="007036D7" w:rsidRDefault="00B60939" w:rsidP="00691B8C">
      <w:pPr>
        <w:keepNext/>
        <w:keepLines/>
        <w:rPr>
          <w:szCs w:val="22"/>
        </w:rPr>
      </w:pPr>
    </w:p>
    <w:p w:rsidR="00905AFA" w:rsidRPr="007036D7" w:rsidRDefault="00905AFA" w:rsidP="00842DA0">
      <w:pPr>
        <w:widowControl/>
        <w:numPr>
          <w:ilvl w:val="1"/>
          <w:numId w:val="1"/>
        </w:numPr>
      </w:pPr>
      <w:r w:rsidRPr="007036D7">
        <w:t>The submission report</w:t>
      </w:r>
      <w:r w:rsidR="00262302" w:rsidRPr="007036D7">
        <w:t>ed</w:t>
      </w:r>
      <w:r w:rsidRPr="007036D7">
        <w:t xml:space="preserve"> that unresectable stage III or metastatic stage IV melanoma has a poor prognosis, with median survival of 5 to 24 months depending on </w:t>
      </w:r>
      <w:r w:rsidR="00732358" w:rsidRPr="007036D7">
        <w:t xml:space="preserve">the </w:t>
      </w:r>
      <w:r w:rsidRPr="007036D7">
        <w:t>stage</w:t>
      </w:r>
      <w:r w:rsidR="00732358" w:rsidRPr="007036D7">
        <w:t xml:space="preserve"> of disease,</w:t>
      </w:r>
      <w:r w:rsidRPr="007036D7">
        <w:t xml:space="preserve"> with the lowest survival rate </w:t>
      </w:r>
      <w:r w:rsidR="00732358" w:rsidRPr="007036D7">
        <w:t xml:space="preserve">being </w:t>
      </w:r>
      <w:r w:rsidRPr="007036D7">
        <w:t xml:space="preserve">in patients with stage IVM1c disease.  Survival rates based on the American Joint Committee on Cancer (AJCC) Melanoma Staging Database range from </w:t>
      </w:r>
      <w:r w:rsidR="00732358" w:rsidRPr="007036D7">
        <w:t>24% to 68% for 10-</w:t>
      </w:r>
      <w:r w:rsidRPr="007036D7">
        <w:t xml:space="preserve">year survival for stage III and 10% to 15% for stage IV.  These estimated survival rates pre-date the PBS listing of pembrolizumab, ipilimumab and dabrafenib and consequently may not reflect </w:t>
      </w:r>
      <w:r w:rsidR="00732358" w:rsidRPr="007036D7">
        <w:t xml:space="preserve">the </w:t>
      </w:r>
      <w:r w:rsidRPr="007036D7">
        <w:t>prognosis</w:t>
      </w:r>
      <w:r w:rsidR="00732358" w:rsidRPr="007036D7">
        <w:t xml:space="preserve"> with current treatment</w:t>
      </w:r>
      <w:r w:rsidRPr="007036D7">
        <w:t>.</w:t>
      </w:r>
    </w:p>
    <w:p w:rsidR="00894489" w:rsidRPr="007036D7" w:rsidRDefault="00894489" w:rsidP="00894489">
      <w:pPr>
        <w:widowControl/>
        <w:rPr>
          <w:szCs w:val="22"/>
        </w:rPr>
      </w:pPr>
    </w:p>
    <w:p w:rsidR="006B71B7" w:rsidRPr="007036D7" w:rsidRDefault="00262302" w:rsidP="007448D0">
      <w:pPr>
        <w:pStyle w:val="ListParagraph"/>
        <w:widowControl/>
        <w:numPr>
          <w:ilvl w:val="1"/>
          <w:numId w:val="1"/>
        </w:numPr>
        <w:rPr>
          <w:szCs w:val="22"/>
        </w:rPr>
      </w:pPr>
      <w:r w:rsidRPr="007036D7">
        <w:t>For patien</w:t>
      </w:r>
      <w:r w:rsidR="00B35CE7" w:rsidRPr="007036D7">
        <w:t xml:space="preserve">ts who test negative for a </w:t>
      </w:r>
      <w:r w:rsidR="00B35CE7" w:rsidRPr="00D66844">
        <w:rPr>
          <w:i/>
        </w:rPr>
        <w:t>BRAF</w:t>
      </w:r>
      <w:r w:rsidR="002006AA" w:rsidRPr="007036D7">
        <w:t xml:space="preserve"> </w:t>
      </w:r>
      <w:r w:rsidR="00B35CE7" w:rsidRPr="007036D7">
        <w:t xml:space="preserve">V600 </w:t>
      </w:r>
      <w:r w:rsidRPr="007036D7">
        <w:t>mutation (</w:t>
      </w:r>
      <w:r w:rsidRPr="00D66844">
        <w:rPr>
          <w:i/>
        </w:rPr>
        <w:t>BRAF</w:t>
      </w:r>
      <w:r w:rsidRPr="007036D7">
        <w:t xml:space="preserve"> wild</w:t>
      </w:r>
      <w:r w:rsidR="00B35CE7" w:rsidRPr="007036D7">
        <w:t>-</w:t>
      </w:r>
      <w:r w:rsidRPr="007036D7">
        <w:t xml:space="preserve">type), treatment with </w:t>
      </w:r>
      <w:proofErr w:type="spellStart"/>
      <w:r w:rsidRPr="007036D7">
        <w:t>pembrolizumab</w:t>
      </w:r>
      <w:proofErr w:type="spellEnd"/>
      <w:r w:rsidRPr="007036D7">
        <w:t xml:space="preserve"> or </w:t>
      </w:r>
      <w:proofErr w:type="spellStart"/>
      <w:r w:rsidRPr="007036D7">
        <w:t>nivolu</w:t>
      </w:r>
      <w:r w:rsidR="00B35CE7" w:rsidRPr="007036D7">
        <w:t>m</w:t>
      </w:r>
      <w:r w:rsidRPr="007036D7">
        <w:t>ab</w:t>
      </w:r>
      <w:proofErr w:type="spellEnd"/>
      <w:r w:rsidRPr="007036D7">
        <w:t xml:space="preserve"> (PD-1 inhibitors) </w:t>
      </w:r>
      <w:r w:rsidR="00101763">
        <w:t xml:space="preserve">or </w:t>
      </w:r>
      <w:proofErr w:type="spellStart"/>
      <w:r w:rsidR="00101763">
        <w:t>ipilumumab</w:t>
      </w:r>
      <w:proofErr w:type="spellEnd"/>
      <w:r w:rsidR="00101763">
        <w:t xml:space="preserve"> </w:t>
      </w:r>
      <w:r w:rsidRPr="007036D7">
        <w:t xml:space="preserve">is received as first-line therapy.  For patients who test positive for a </w:t>
      </w:r>
      <w:r w:rsidRPr="00D66844">
        <w:rPr>
          <w:i/>
        </w:rPr>
        <w:t>BRAF</w:t>
      </w:r>
      <w:r w:rsidRPr="007036D7">
        <w:t xml:space="preserve"> mutation, treatment with a BRAF inhibitor </w:t>
      </w:r>
      <w:r w:rsidR="00E75FF3">
        <w:t xml:space="preserve">and MEK inhibitor </w:t>
      </w:r>
      <w:r w:rsidRPr="007036D7">
        <w:t xml:space="preserve">is received as first-line therapy. </w:t>
      </w:r>
      <w:r w:rsidR="006E3209">
        <w:t>For patients with cutaneous and/or subcutaneous lesions without visceral metastases, intra</w:t>
      </w:r>
      <w:r w:rsidR="007F18A2">
        <w:t>-</w:t>
      </w:r>
      <w:proofErr w:type="spellStart"/>
      <w:r w:rsidR="006E3209">
        <w:t>lesional</w:t>
      </w:r>
      <w:proofErr w:type="spellEnd"/>
      <w:r w:rsidR="006E3209">
        <w:t xml:space="preserve"> therapies such as BCG </w:t>
      </w:r>
      <w:r w:rsidR="007448D0">
        <w:t>(</w:t>
      </w:r>
      <w:r w:rsidR="007448D0" w:rsidRPr="007448D0">
        <w:t>Bacillus</w:t>
      </w:r>
      <w:r w:rsidR="007448D0">
        <w:t>,</w:t>
      </w:r>
      <w:r w:rsidR="007448D0" w:rsidRPr="007448D0">
        <w:t xml:space="preserve"> </w:t>
      </w:r>
      <w:proofErr w:type="spellStart"/>
      <w:r w:rsidR="007448D0" w:rsidRPr="007448D0">
        <w:t>Calmette</w:t>
      </w:r>
      <w:proofErr w:type="spellEnd"/>
      <w:r w:rsidR="007448D0" w:rsidRPr="007448D0">
        <w:t xml:space="preserve"> and Guerin</w:t>
      </w:r>
      <w:r w:rsidR="007448D0">
        <w:t xml:space="preserve"> strain of mycobacterium </w:t>
      </w:r>
      <w:proofErr w:type="spellStart"/>
      <w:r w:rsidR="007448D0">
        <w:t>bovis</w:t>
      </w:r>
      <w:proofErr w:type="spellEnd"/>
      <w:r w:rsidR="007448D0">
        <w:t xml:space="preserve">) </w:t>
      </w:r>
      <w:r w:rsidR="006E3209">
        <w:t>can also be used</w:t>
      </w:r>
      <w:r w:rsidR="00216BEA">
        <w:t>; however</w:t>
      </w:r>
      <w:r w:rsidR="00630F63">
        <w:t xml:space="preserve"> </w:t>
      </w:r>
      <w:r w:rsidR="00216BEA">
        <w:t xml:space="preserve">these therapies </w:t>
      </w:r>
      <w:r w:rsidR="00630F63">
        <w:t>are not PBS-</w:t>
      </w:r>
      <w:r w:rsidR="00216BEA">
        <w:t>subsidised</w:t>
      </w:r>
      <w:r w:rsidR="006E3209">
        <w:t xml:space="preserve">. </w:t>
      </w:r>
      <w:r w:rsidRPr="007036D7">
        <w:t xml:space="preserve"> The submission proposed </w:t>
      </w:r>
      <w:r w:rsidR="00061921" w:rsidRPr="007036D7">
        <w:t xml:space="preserve">in </w:t>
      </w:r>
      <w:r w:rsidR="00842DA0">
        <w:t xml:space="preserve">its </w:t>
      </w:r>
      <w:r w:rsidR="00061921" w:rsidRPr="007036D7">
        <w:t xml:space="preserve">Section E.3 </w:t>
      </w:r>
      <w:r w:rsidRPr="007036D7">
        <w:t>that PBS</w:t>
      </w:r>
      <w:r w:rsidR="00842DA0">
        <w:t>-</w:t>
      </w:r>
      <w:r w:rsidR="00B24A61">
        <w:t>subsidised</w:t>
      </w:r>
      <w:r w:rsidRPr="007036D7">
        <w:t xml:space="preserve"> T-VEC would </w:t>
      </w:r>
      <w:r w:rsidR="00061921" w:rsidRPr="007036D7">
        <w:t>mainly substitute for pembrolizumab</w:t>
      </w:r>
      <w:r w:rsidRPr="007036D7">
        <w:t xml:space="preserve">.  </w:t>
      </w:r>
      <w:r w:rsidR="00B35CE7" w:rsidRPr="007036D7">
        <w:t>It is likely that</w:t>
      </w:r>
      <w:r w:rsidR="00B64D46" w:rsidRPr="007036D7">
        <w:t xml:space="preserve"> T-VEC </w:t>
      </w:r>
      <w:r w:rsidR="00B35CE7" w:rsidRPr="007036D7">
        <w:t xml:space="preserve">would be used </w:t>
      </w:r>
      <w:r w:rsidR="002364F8" w:rsidRPr="007036D7">
        <w:t xml:space="preserve">as </w:t>
      </w:r>
      <w:r w:rsidR="00B64D46" w:rsidRPr="007036D7">
        <w:t>first-line</w:t>
      </w:r>
      <w:r w:rsidR="002364F8" w:rsidRPr="007036D7">
        <w:t xml:space="preserve"> therapy</w:t>
      </w:r>
      <w:r w:rsidR="00B64D46" w:rsidRPr="007036D7">
        <w:t xml:space="preserve"> </w:t>
      </w:r>
      <w:r w:rsidR="00732358" w:rsidRPr="007036D7">
        <w:t xml:space="preserve">in patients without a </w:t>
      </w:r>
      <w:r w:rsidR="00B64D46" w:rsidRPr="00D66844">
        <w:rPr>
          <w:i/>
        </w:rPr>
        <w:t>BRAF</w:t>
      </w:r>
      <w:r w:rsidR="00B64D46" w:rsidRPr="007036D7">
        <w:t xml:space="preserve"> </w:t>
      </w:r>
      <w:r w:rsidR="00732358" w:rsidRPr="007036D7">
        <w:t>mutation</w:t>
      </w:r>
      <w:r w:rsidR="00B64D46" w:rsidRPr="007036D7">
        <w:t xml:space="preserve"> and </w:t>
      </w:r>
      <w:r w:rsidR="00EF7243" w:rsidRPr="007036D7">
        <w:t xml:space="preserve">possibly as </w:t>
      </w:r>
      <w:r w:rsidR="00B64D46" w:rsidRPr="007036D7">
        <w:t xml:space="preserve">second-line </w:t>
      </w:r>
      <w:r w:rsidR="002364F8" w:rsidRPr="007036D7">
        <w:t xml:space="preserve">therapy </w:t>
      </w:r>
      <w:r w:rsidR="00B64D46" w:rsidRPr="007036D7">
        <w:t xml:space="preserve">in patients with </w:t>
      </w:r>
      <w:r w:rsidR="00EF7243" w:rsidRPr="007036D7">
        <w:t>a</w:t>
      </w:r>
      <w:r w:rsidR="00B64D46" w:rsidRPr="007036D7">
        <w:t xml:space="preserve"> </w:t>
      </w:r>
      <w:r w:rsidR="00B64D46" w:rsidRPr="00D66844">
        <w:rPr>
          <w:i/>
        </w:rPr>
        <w:t>BRAF</w:t>
      </w:r>
      <w:r w:rsidR="00B64D46" w:rsidRPr="007036D7">
        <w:t xml:space="preserve"> mutation</w:t>
      </w:r>
      <w:r w:rsidR="00B35CE7" w:rsidRPr="007036D7">
        <w:t>.  There</w:t>
      </w:r>
      <w:r w:rsidRPr="007036D7">
        <w:t xml:space="preserve"> </w:t>
      </w:r>
      <w:r w:rsidR="00842DA0">
        <w:t xml:space="preserve">would </w:t>
      </w:r>
      <w:r w:rsidRPr="007036D7">
        <w:t xml:space="preserve">also </w:t>
      </w:r>
      <w:r w:rsidR="00842DA0">
        <w:t>be a</w:t>
      </w:r>
      <w:r w:rsidRPr="007036D7">
        <w:t xml:space="preserve"> potential for first-line use in patients with the </w:t>
      </w:r>
      <w:r w:rsidRPr="00D66844">
        <w:rPr>
          <w:i/>
        </w:rPr>
        <w:t>BRAF</w:t>
      </w:r>
      <w:r w:rsidRPr="007036D7">
        <w:t xml:space="preserve"> mutation</w:t>
      </w:r>
      <w:r w:rsidR="00170FE8" w:rsidRPr="007036D7">
        <w:t xml:space="preserve"> and</w:t>
      </w:r>
      <w:r w:rsidRPr="007036D7">
        <w:t xml:space="preserve"> </w:t>
      </w:r>
      <w:r w:rsidR="00842DA0">
        <w:t>a</w:t>
      </w:r>
      <w:r w:rsidRPr="007036D7">
        <w:t xml:space="preserve"> potential for use following </w:t>
      </w:r>
      <w:proofErr w:type="spellStart"/>
      <w:r w:rsidRPr="007036D7">
        <w:t>pembrolizumab</w:t>
      </w:r>
      <w:proofErr w:type="spellEnd"/>
      <w:r w:rsidRPr="007036D7">
        <w:t xml:space="preserve">, </w:t>
      </w:r>
      <w:proofErr w:type="spellStart"/>
      <w:r w:rsidRPr="007036D7">
        <w:t>nivolumab</w:t>
      </w:r>
      <w:proofErr w:type="spellEnd"/>
      <w:r w:rsidR="00E40F2C" w:rsidRPr="007036D7">
        <w:t xml:space="preserve"> </w:t>
      </w:r>
      <w:r w:rsidRPr="007036D7">
        <w:t xml:space="preserve">or </w:t>
      </w:r>
      <w:proofErr w:type="spellStart"/>
      <w:r w:rsidRPr="007036D7">
        <w:t>ipilimumab</w:t>
      </w:r>
      <w:proofErr w:type="spellEnd"/>
      <w:r w:rsidR="00170FE8" w:rsidRPr="007036D7">
        <w:t>.</w:t>
      </w:r>
    </w:p>
    <w:p w:rsidR="006B71B7" w:rsidRPr="007036D7" w:rsidRDefault="006B71B7" w:rsidP="006B71B7"/>
    <w:p w:rsidR="00262302" w:rsidRPr="007036D7" w:rsidRDefault="0006628C" w:rsidP="00ED000E">
      <w:pPr>
        <w:pStyle w:val="ListParagraph"/>
        <w:widowControl/>
        <w:numPr>
          <w:ilvl w:val="1"/>
          <w:numId w:val="1"/>
        </w:numPr>
        <w:rPr>
          <w:szCs w:val="22"/>
        </w:rPr>
      </w:pPr>
      <w:r w:rsidRPr="007036D7">
        <w:t>The ESC considered that</w:t>
      </w:r>
      <w:r w:rsidR="006B71B7" w:rsidRPr="007036D7">
        <w:t>,</w:t>
      </w:r>
      <w:r w:rsidRPr="007036D7">
        <w:t xml:space="preserve"> in practice, T-VEC </w:t>
      </w:r>
      <w:r w:rsidR="006B71B7" w:rsidRPr="007036D7">
        <w:t xml:space="preserve">would be more complex to </w:t>
      </w:r>
      <w:r w:rsidR="004609F4">
        <w:t>administer</w:t>
      </w:r>
      <w:r w:rsidR="004609F4" w:rsidRPr="007036D7">
        <w:t xml:space="preserve"> </w:t>
      </w:r>
      <w:r w:rsidR="006B71B7" w:rsidRPr="007036D7">
        <w:t xml:space="preserve">than existing therapy options, requiring specialist cancer centres, and additional time in counting, measuring and injecting each set of lesions at each therapy visit, including the use of ultrasound as necessary.  </w:t>
      </w:r>
      <w:r w:rsidR="00860D9F">
        <w:t xml:space="preserve">The </w:t>
      </w:r>
      <w:r w:rsidR="006B71B7" w:rsidRPr="007036D7">
        <w:t>ESC also considered that</w:t>
      </w:r>
      <w:r w:rsidR="003A3F1F" w:rsidRPr="007036D7">
        <w:t>,</w:t>
      </w:r>
      <w:r w:rsidR="006B71B7" w:rsidRPr="007036D7">
        <w:t xml:space="preserve"> although the </w:t>
      </w:r>
      <w:r w:rsidR="003A3F1F" w:rsidRPr="007036D7">
        <w:t>PSCR (p2) confirmed that</w:t>
      </w:r>
      <w:r w:rsidR="00E86FD7" w:rsidRPr="007036D7">
        <w:t xml:space="preserve"> t</w:t>
      </w:r>
      <w:r w:rsidR="003A3F1F" w:rsidRPr="007036D7">
        <w:t>he Office of Gene Technology Regulator (OGTR) had not imposed specific measures to manage any risks in the commercial supply or disposal of T-VEC</w:t>
      </w:r>
      <w:r w:rsidR="006B71B7" w:rsidRPr="007036D7">
        <w:t xml:space="preserve">, standard work health and safety procedures would be invoked </w:t>
      </w:r>
      <w:r w:rsidR="003A3F1F" w:rsidRPr="007036D7">
        <w:t xml:space="preserve">by healthcare facilities. </w:t>
      </w:r>
      <w:r w:rsidR="00216BEA">
        <w:t xml:space="preserve"> </w:t>
      </w:r>
      <w:r w:rsidR="00FA4ABA">
        <w:t>These procedures would include infection control measures to minimise</w:t>
      </w:r>
      <w:r w:rsidR="00FA4ABA" w:rsidRPr="007036D7">
        <w:t xml:space="preserve"> </w:t>
      </w:r>
      <w:r w:rsidR="00FA4ABA">
        <w:t xml:space="preserve">the </w:t>
      </w:r>
      <w:r w:rsidR="00FA4ABA" w:rsidRPr="007036D7">
        <w:t xml:space="preserve">risk of herpetic spread from potential exposure </w:t>
      </w:r>
      <w:r w:rsidR="00FA4ABA">
        <w:t>to</w:t>
      </w:r>
      <w:r w:rsidR="00FA4ABA" w:rsidRPr="007036D7">
        <w:t xml:space="preserve"> T-VEC </w:t>
      </w:r>
      <w:r w:rsidR="00FA4ABA">
        <w:t>as a</w:t>
      </w:r>
      <w:r w:rsidR="00FA4ABA" w:rsidRPr="007036D7">
        <w:t xml:space="preserve"> consequences of viral shedding.</w:t>
      </w:r>
      <w:r w:rsidR="00216BEA">
        <w:t xml:space="preserve"> </w:t>
      </w:r>
      <w:r w:rsidR="003A3F1F" w:rsidRPr="007036D7">
        <w:t xml:space="preserve"> </w:t>
      </w:r>
      <w:r w:rsidR="00FA4ABA">
        <w:t xml:space="preserve">The risk of </w:t>
      </w:r>
      <w:r w:rsidR="00216BEA">
        <w:t xml:space="preserve">potential </w:t>
      </w:r>
      <w:r w:rsidR="00FA4ABA">
        <w:t xml:space="preserve">exposure would apply </w:t>
      </w:r>
      <w:r w:rsidR="00216BEA">
        <w:t xml:space="preserve">to </w:t>
      </w:r>
      <w:r w:rsidR="00FA4ABA" w:rsidRPr="007036D7">
        <w:t xml:space="preserve">immunocompromised patients </w:t>
      </w:r>
      <w:r w:rsidR="00216BEA">
        <w:t>who would attend</w:t>
      </w:r>
      <w:r w:rsidR="00FA4ABA">
        <w:t xml:space="preserve"> the treatment</w:t>
      </w:r>
      <w:r w:rsidR="00FA4ABA" w:rsidRPr="007036D7">
        <w:t xml:space="preserve"> facility</w:t>
      </w:r>
      <w:r w:rsidR="00FA4ABA">
        <w:t xml:space="preserve"> and also to </w:t>
      </w:r>
      <w:r w:rsidR="00E86FD7" w:rsidRPr="007036D7">
        <w:t xml:space="preserve">healthcare workers </w:t>
      </w:r>
      <w:r w:rsidR="00FA4ABA">
        <w:t>who w</w:t>
      </w:r>
      <w:r w:rsidR="00216BEA">
        <w:t>ould handle</w:t>
      </w:r>
      <w:r w:rsidR="00FA4ABA">
        <w:t xml:space="preserve"> T-VEC. Managing these issues </w:t>
      </w:r>
      <w:r w:rsidR="00785622" w:rsidRPr="007036D7">
        <w:t>add</w:t>
      </w:r>
      <w:r w:rsidR="006B71B7" w:rsidRPr="007036D7">
        <w:t xml:space="preserve"> to the complexity of </w:t>
      </w:r>
      <w:r w:rsidR="00FA4ABA">
        <w:t>using T-VEC</w:t>
      </w:r>
      <w:r w:rsidR="00FA4ABA" w:rsidRPr="007036D7">
        <w:t xml:space="preserve"> </w:t>
      </w:r>
      <w:r w:rsidR="006B71B7" w:rsidRPr="007036D7">
        <w:t xml:space="preserve">and </w:t>
      </w:r>
      <w:r w:rsidR="00FA4ABA">
        <w:t>hence the</w:t>
      </w:r>
      <w:r w:rsidR="00FA4ABA" w:rsidRPr="007036D7">
        <w:t xml:space="preserve"> </w:t>
      </w:r>
      <w:r w:rsidR="006B71B7" w:rsidRPr="007036D7">
        <w:t>need for specialist centres</w:t>
      </w:r>
      <w:r w:rsidR="003A3F1F" w:rsidRPr="007036D7">
        <w:t xml:space="preserve"> with dedicated, trained staff and facilities for safe storage and disposal of </w:t>
      </w:r>
      <w:r w:rsidR="00785622" w:rsidRPr="007036D7">
        <w:t>T-VEC</w:t>
      </w:r>
      <w:r w:rsidR="006B71B7" w:rsidRPr="007036D7">
        <w:t>.</w:t>
      </w:r>
      <w:r w:rsidR="00563EB1">
        <w:t xml:space="preserve">  The Pre-PBAC response indicated that the requirements to use T-VEC safely are consistent with standard measures of good clinical practice and universal precautions.</w:t>
      </w:r>
      <w:r w:rsidR="00860D9F">
        <w:t xml:space="preserve">  The PBAC agreed with the ESC’s views</w:t>
      </w:r>
      <w:r w:rsidR="00563EB1">
        <w:t xml:space="preserve"> </w:t>
      </w:r>
      <w:r w:rsidR="004609F4">
        <w:t xml:space="preserve">that </w:t>
      </w:r>
      <w:r w:rsidR="00563EB1">
        <w:t>T-VEC</w:t>
      </w:r>
      <w:r w:rsidR="004609F4">
        <w:t xml:space="preserve"> would be more complex to administer than existing therapy options</w:t>
      </w:r>
      <w:r w:rsidR="00860D9F">
        <w:t>.</w:t>
      </w:r>
    </w:p>
    <w:p w:rsidR="002C2775" w:rsidRDefault="002C2775" w:rsidP="002C2775">
      <w:pPr>
        <w:widowControl/>
        <w:rPr>
          <w:szCs w:val="22"/>
        </w:rPr>
      </w:pPr>
    </w:p>
    <w:p w:rsidR="00B45B49" w:rsidRDefault="00B45B49" w:rsidP="00842DA0">
      <w:pPr>
        <w:ind w:left="709"/>
        <w:rPr>
          <w:bCs/>
          <w:szCs w:val="22"/>
        </w:rPr>
      </w:pPr>
      <w:r w:rsidRPr="00176127">
        <w:rPr>
          <w:bCs/>
          <w:i/>
          <w:szCs w:val="22"/>
        </w:rPr>
        <w:t>For more detail on PBAC’s view, see section 7 “PBAC outcome”</w:t>
      </w:r>
      <w:r w:rsidR="00842DA0">
        <w:rPr>
          <w:bCs/>
          <w:i/>
          <w:szCs w:val="22"/>
        </w:rPr>
        <w:t>.</w:t>
      </w:r>
    </w:p>
    <w:p w:rsidR="00B45B49" w:rsidRPr="00BE77DA" w:rsidRDefault="00B45B49" w:rsidP="002C2775">
      <w:pPr>
        <w:widowControl/>
        <w:rPr>
          <w:szCs w:val="22"/>
        </w:rPr>
      </w:pPr>
    </w:p>
    <w:p w:rsidR="00051969" w:rsidRDefault="00051969">
      <w:pPr>
        <w:widowControl/>
        <w:jc w:val="left"/>
        <w:rPr>
          <w:szCs w:val="22"/>
        </w:rPr>
      </w:pPr>
      <w:r>
        <w:rPr>
          <w:szCs w:val="22"/>
        </w:rPr>
        <w:br w:type="page"/>
      </w:r>
    </w:p>
    <w:p w:rsidR="00B50DB8" w:rsidRPr="00BE77DA" w:rsidRDefault="00B50DB8" w:rsidP="006A72B9">
      <w:pPr>
        <w:pStyle w:val="Heading1"/>
      </w:pPr>
      <w:bookmarkStart w:id="7" w:name="_Toc451340806"/>
      <w:r w:rsidRPr="00BE77DA">
        <w:t>Comparator</w:t>
      </w:r>
      <w:bookmarkEnd w:id="7"/>
    </w:p>
    <w:p w:rsidR="00B60939" w:rsidRPr="00BE77DA" w:rsidRDefault="00B60939" w:rsidP="004B1CB4"/>
    <w:p w:rsidR="002C2775" w:rsidRPr="007036D7" w:rsidRDefault="00A40DED" w:rsidP="00ED000E">
      <w:pPr>
        <w:pStyle w:val="ListParagraph"/>
        <w:widowControl/>
        <w:numPr>
          <w:ilvl w:val="1"/>
          <w:numId w:val="1"/>
        </w:numPr>
        <w:rPr>
          <w:szCs w:val="22"/>
        </w:rPr>
      </w:pPr>
      <w:r w:rsidRPr="007036D7">
        <w:t xml:space="preserve">The submission nominated </w:t>
      </w:r>
      <w:proofErr w:type="spellStart"/>
      <w:r w:rsidRPr="007036D7">
        <w:t>pembrolizumab</w:t>
      </w:r>
      <w:proofErr w:type="spellEnd"/>
      <w:r w:rsidRPr="007036D7">
        <w:t xml:space="preserve">, </w:t>
      </w:r>
      <w:proofErr w:type="spellStart"/>
      <w:r w:rsidRPr="007036D7">
        <w:t>nivolumab</w:t>
      </w:r>
      <w:proofErr w:type="spellEnd"/>
      <w:r w:rsidRPr="007036D7">
        <w:t xml:space="preserve"> and </w:t>
      </w:r>
      <w:proofErr w:type="spellStart"/>
      <w:r w:rsidRPr="007036D7">
        <w:t>ipilimumab</w:t>
      </w:r>
      <w:proofErr w:type="spellEnd"/>
      <w:r w:rsidRPr="007036D7">
        <w:t xml:space="preserve"> as comparators, </w:t>
      </w:r>
      <w:r w:rsidR="002006AA" w:rsidRPr="007036D7">
        <w:t xml:space="preserve">with </w:t>
      </w:r>
      <w:r w:rsidRPr="007036D7">
        <w:t>ipilimumab as the comparator for pricing purposes.</w:t>
      </w:r>
      <w:r w:rsidR="00170FE8" w:rsidRPr="007036D7">
        <w:t xml:space="preserve"> </w:t>
      </w:r>
      <w:r w:rsidRPr="007036D7">
        <w:t xml:space="preserve"> </w:t>
      </w:r>
      <w:r w:rsidR="00170FE8" w:rsidRPr="007036D7">
        <w:t xml:space="preserve">The nominated comparators </w:t>
      </w:r>
      <w:r w:rsidR="00E1468F" w:rsidRPr="007036D7">
        <w:t>we</w:t>
      </w:r>
      <w:r w:rsidR="00170FE8" w:rsidRPr="007036D7">
        <w:t>re appropriate.</w:t>
      </w:r>
      <w:r w:rsidR="006B71B7" w:rsidRPr="007036D7">
        <w:t xml:space="preserve">  The ESC considered that, in practice, T-VEC would likely displace the nominated comparators, rather than replace them.</w:t>
      </w:r>
      <w:r w:rsidR="00860D9F">
        <w:t xml:space="preserve">  The PBAC agreed with the ESC’s views, and considered that </w:t>
      </w:r>
      <w:r w:rsidR="00FA4ABA">
        <w:t xml:space="preserve">BRAF/MEK inhibitors (such as </w:t>
      </w:r>
      <w:proofErr w:type="spellStart"/>
      <w:r w:rsidR="00860D9F">
        <w:t>dabrafenib</w:t>
      </w:r>
      <w:proofErr w:type="spellEnd"/>
      <w:r w:rsidR="00860D9F">
        <w:t xml:space="preserve"> </w:t>
      </w:r>
      <w:r w:rsidR="00842DA0">
        <w:t xml:space="preserve">with </w:t>
      </w:r>
      <w:proofErr w:type="spellStart"/>
      <w:r w:rsidR="00842DA0">
        <w:t>trametinib</w:t>
      </w:r>
      <w:proofErr w:type="spellEnd"/>
      <w:r w:rsidR="00FA4ABA">
        <w:t>)</w:t>
      </w:r>
      <w:r w:rsidR="006A2C5E">
        <w:t xml:space="preserve">, </w:t>
      </w:r>
      <w:r w:rsidR="006E3209">
        <w:t>and intra</w:t>
      </w:r>
      <w:r w:rsidR="00D51667">
        <w:t>-</w:t>
      </w:r>
      <w:proofErr w:type="spellStart"/>
      <w:r w:rsidR="006E3209">
        <w:t>lesional</w:t>
      </w:r>
      <w:proofErr w:type="spellEnd"/>
      <w:r w:rsidR="006E3209">
        <w:t xml:space="preserve"> BCG</w:t>
      </w:r>
      <w:r w:rsidR="00B95E2C">
        <w:t>,</w:t>
      </w:r>
      <w:r w:rsidR="006E3209">
        <w:t xml:space="preserve"> </w:t>
      </w:r>
      <w:r w:rsidR="006A2C5E">
        <w:t xml:space="preserve">were </w:t>
      </w:r>
      <w:r w:rsidR="00860D9F">
        <w:t>also relevant compar</w:t>
      </w:r>
      <w:r w:rsidR="00842DA0">
        <w:t>ator</w:t>
      </w:r>
      <w:r w:rsidR="006A2C5E">
        <w:t>s</w:t>
      </w:r>
      <w:r w:rsidR="00842DA0">
        <w:t>.</w:t>
      </w:r>
    </w:p>
    <w:p w:rsidR="00B60939" w:rsidRPr="007036D7" w:rsidRDefault="00B60939" w:rsidP="00DF5D2B">
      <w:pPr>
        <w:rPr>
          <w:szCs w:val="22"/>
        </w:rPr>
      </w:pPr>
    </w:p>
    <w:p w:rsidR="0089147E" w:rsidRDefault="0089147E" w:rsidP="00842DA0">
      <w:pPr>
        <w:ind w:left="709"/>
        <w:rPr>
          <w:bCs/>
          <w:szCs w:val="22"/>
        </w:rPr>
      </w:pPr>
      <w:r w:rsidRPr="00176127">
        <w:rPr>
          <w:bCs/>
          <w:i/>
          <w:szCs w:val="22"/>
        </w:rPr>
        <w:t>For more detail on PBAC’s view, see section 7 “PBAC outcome”</w:t>
      </w:r>
      <w:r w:rsidR="00842DA0">
        <w:rPr>
          <w:bCs/>
          <w:i/>
          <w:szCs w:val="22"/>
        </w:rPr>
        <w:t>.</w:t>
      </w:r>
    </w:p>
    <w:p w:rsidR="0001039E" w:rsidRDefault="0001039E" w:rsidP="00DF5D2B">
      <w:pPr>
        <w:rPr>
          <w:szCs w:val="22"/>
        </w:rPr>
      </w:pPr>
    </w:p>
    <w:p w:rsidR="00B45B49" w:rsidRPr="007036D7" w:rsidRDefault="00B45B49" w:rsidP="00DF5D2B">
      <w:pPr>
        <w:rPr>
          <w:szCs w:val="22"/>
        </w:rPr>
      </w:pPr>
    </w:p>
    <w:p w:rsidR="00B50DB8" w:rsidRPr="00BE77DA" w:rsidRDefault="00BD6CF3" w:rsidP="006A72B9">
      <w:pPr>
        <w:pStyle w:val="Heading1"/>
      </w:pPr>
      <w:bookmarkStart w:id="8" w:name="_Toc451340807"/>
      <w:r w:rsidRPr="00BE77DA">
        <w:t>C</w:t>
      </w:r>
      <w:r w:rsidR="00B50DB8" w:rsidRPr="00BE77DA">
        <w:t>onsideration of the evidence</w:t>
      </w:r>
      <w:bookmarkEnd w:id="8"/>
    </w:p>
    <w:p w:rsidR="00B60939" w:rsidRDefault="00B60939" w:rsidP="00842DA0">
      <w:pPr>
        <w:widowControl/>
      </w:pPr>
    </w:p>
    <w:p w:rsidR="00810BB9" w:rsidRPr="006A72B9" w:rsidRDefault="00810BB9" w:rsidP="006A72B9">
      <w:pPr>
        <w:pStyle w:val="Heading2"/>
      </w:pPr>
      <w:r w:rsidRPr="006A72B9">
        <w:t>Sponsor hearing</w:t>
      </w:r>
    </w:p>
    <w:p w:rsidR="00842DA0" w:rsidRPr="00842DA0" w:rsidRDefault="00842DA0" w:rsidP="00810BB9">
      <w:pPr>
        <w:rPr>
          <w:bCs/>
          <w:szCs w:val="22"/>
        </w:rPr>
      </w:pPr>
    </w:p>
    <w:p w:rsidR="00810BB9" w:rsidRPr="00176127" w:rsidRDefault="00810BB9" w:rsidP="00842DA0">
      <w:pPr>
        <w:widowControl/>
        <w:numPr>
          <w:ilvl w:val="1"/>
          <w:numId w:val="5"/>
        </w:numPr>
        <w:rPr>
          <w:bCs/>
          <w:szCs w:val="22"/>
        </w:rPr>
      </w:pPr>
      <w:r w:rsidRPr="00176127">
        <w:rPr>
          <w:bCs/>
          <w:szCs w:val="22"/>
        </w:rPr>
        <w:t>There was no hearing for this item.</w:t>
      </w:r>
    </w:p>
    <w:p w:rsidR="00810BB9" w:rsidRPr="00176127" w:rsidRDefault="00810BB9" w:rsidP="00810BB9">
      <w:pPr>
        <w:rPr>
          <w:bCs/>
          <w:szCs w:val="22"/>
        </w:rPr>
      </w:pPr>
    </w:p>
    <w:p w:rsidR="00810BB9" w:rsidRPr="00842DA0" w:rsidRDefault="00810BB9" w:rsidP="006A72B9">
      <w:pPr>
        <w:pStyle w:val="Heading2"/>
      </w:pPr>
      <w:r w:rsidRPr="00842DA0">
        <w:t>Consumer comments</w:t>
      </w:r>
    </w:p>
    <w:p w:rsidR="00842DA0" w:rsidRPr="00842DA0" w:rsidRDefault="00842DA0" w:rsidP="00810BB9">
      <w:pPr>
        <w:rPr>
          <w:bCs/>
          <w:szCs w:val="22"/>
        </w:rPr>
      </w:pPr>
    </w:p>
    <w:p w:rsidR="00810BB9" w:rsidRPr="0074784D" w:rsidRDefault="00810BB9" w:rsidP="001D1B9F">
      <w:pPr>
        <w:widowControl/>
        <w:numPr>
          <w:ilvl w:val="1"/>
          <w:numId w:val="5"/>
        </w:numPr>
        <w:rPr>
          <w:bCs/>
          <w:szCs w:val="22"/>
        </w:rPr>
      </w:pPr>
      <w:r w:rsidRPr="0074784D">
        <w:rPr>
          <w:bCs/>
          <w:szCs w:val="22"/>
        </w:rPr>
        <w:t xml:space="preserve">The PBAC noted and welcomed the input from </w:t>
      </w:r>
      <w:r w:rsidR="0074784D" w:rsidRPr="0074784D">
        <w:rPr>
          <w:bCs/>
          <w:szCs w:val="22"/>
        </w:rPr>
        <w:t>health professionals</w:t>
      </w:r>
      <w:r w:rsidRPr="0074784D">
        <w:rPr>
          <w:bCs/>
          <w:szCs w:val="22"/>
        </w:rPr>
        <w:t xml:space="preserve"> (</w:t>
      </w:r>
      <w:r w:rsidR="0074784D" w:rsidRPr="0074784D">
        <w:rPr>
          <w:bCs/>
          <w:szCs w:val="22"/>
        </w:rPr>
        <w:t>2</w:t>
      </w:r>
      <w:r w:rsidRPr="0074784D">
        <w:rPr>
          <w:bCs/>
          <w:szCs w:val="22"/>
        </w:rPr>
        <w:t>)</w:t>
      </w:r>
      <w:r w:rsidR="0074784D" w:rsidRPr="0074784D">
        <w:rPr>
          <w:bCs/>
          <w:szCs w:val="22"/>
        </w:rPr>
        <w:t xml:space="preserve"> </w:t>
      </w:r>
      <w:r w:rsidRPr="0074784D">
        <w:rPr>
          <w:bCs/>
          <w:szCs w:val="22"/>
        </w:rPr>
        <w:t>and organisations (</w:t>
      </w:r>
      <w:r w:rsidR="0074784D" w:rsidRPr="0074784D">
        <w:rPr>
          <w:bCs/>
          <w:szCs w:val="22"/>
        </w:rPr>
        <w:t>2</w:t>
      </w:r>
      <w:r w:rsidRPr="0074784D">
        <w:rPr>
          <w:bCs/>
          <w:szCs w:val="22"/>
        </w:rPr>
        <w:t>) via the Consumer Comments facility on the PBS website.  The comments described a range of</w:t>
      </w:r>
      <w:r w:rsidR="0074784D" w:rsidRPr="0074784D">
        <w:rPr>
          <w:bCs/>
          <w:szCs w:val="22"/>
        </w:rPr>
        <w:t xml:space="preserve"> perceived</w:t>
      </w:r>
      <w:r w:rsidRPr="0074784D">
        <w:rPr>
          <w:bCs/>
          <w:szCs w:val="22"/>
        </w:rPr>
        <w:t xml:space="preserve"> benefits of treatment with </w:t>
      </w:r>
      <w:r w:rsidR="0074784D" w:rsidRPr="0074784D">
        <w:rPr>
          <w:bCs/>
          <w:szCs w:val="22"/>
        </w:rPr>
        <w:t>T-VEC</w:t>
      </w:r>
      <w:r w:rsidRPr="0074784D">
        <w:rPr>
          <w:bCs/>
          <w:szCs w:val="22"/>
        </w:rPr>
        <w:t xml:space="preserve"> includin</w:t>
      </w:r>
      <w:r w:rsidR="0074784D" w:rsidRPr="0074784D">
        <w:rPr>
          <w:bCs/>
          <w:szCs w:val="22"/>
        </w:rPr>
        <w:t xml:space="preserve">g </w:t>
      </w:r>
      <w:r w:rsidRPr="0074784D">
        <w:rPr>
          <w:bCs/>
          <w:szCs w:val="22"/>
        </w:rPr>
        <w:t>the</w:t>
      </w:r>
      <w:r w:rsidR="0074784D" w:rsidRPr="0074784D">
        <w:rPr>
          <w:bCs/>
          <w:szCs w:val="22"/>
        </w:rPr>
        <w:t xml:space="preserve"> loco-regional control of melanoma, and as an extra treatment option in patient management.</w:t>
      </w:r>
    </w:p>
    <w:p w:rsidR="00810BB9" w:rsidRPr="00176127" w:rsidRDefault="00810BB9" w:rsidP="00842DA0">
      <w:pPr>
        <w:rPr>
          <w:bCs/>
          <w:szCs w:val="22"/>
        </w:rPr>
      </w:pPr>
    </w:p>
    <w:p w:rsidR="00BC62D0" w:rsidRPr="00BC62D0" w:rsidRDefault="00810BB9" w:rsidP="00842DA0">
      <w:pPr>
        <w:widowControl/>
        <w:numPr>
          <w:ilvl w:val="1"/>
          <w:numId w:val="5"/>
        </w:numPr>
        <w:rPr>
          <w:bCs/>
          <w:szCs w:val="22"/>
        </w:rPr>
      </w:pPr>
      <w:r w:rsidRPr="00BC62D0">
        <w:rPr>
          <w:bCs/>
          <w:szCs w:val="22"/>
        </w:rPr>
        <w:t xml:space="preserve">The PBAC noted the </w:t>
      </w:r>
      <w:r w:rsidR="0074784D" w:rsidRPr="00BC62D0">
        <w:rPr>
          <w:bCs/>
          <w:szCs w:val="22"/>
        </w:rPr>
        <w:t>comments</w:t>
      </w:r>
      <w:r w:rsidRPr="00BC62D0">
        <w:rPr>
          <w:bCs/>
          <w:szCs w:val="22"/>
        </w:rPr>
        <w:t xml:space="preserve"> received from </w:t>
      </w:r>
      <w:r w:rsidR="0074784D" w:rsidRPr="00BC62D0">
        <w:rPr>
          <w:bCs/>
          <w:szCs w:val="22"/>
        </w:rPr>
        <w:t xml:space="preserve">the Australia and New Zealand Melanoma Trials Group (ANZMTG) and Melanoma Patients Australia (MPA) </w:t>
      </w:r>
      <w:r w:rsidR="00BC62D0" w:rsidRPr="00BC62D0">
        <w:rPr>
          <w:bCs/>
          <w:szCs w:val="22"/>
        </w:rPr>
        <w:t xml:space="preserve">on the use of T-VEC in clinical practice. </w:t>
      </w:r>
      <w:r w:rsidR="00A66471">
        <w:rPr>
          <w:bCs/>
          <w:szCs w:val="22"/>
        </w:rPr>
        <w:t xml:space="preserve"> </w:t>
      </w:r>
      <w:r w:rsidR="00BC62D0" w:rsidRPr="00BC62D0">
        <w:rPr>
          <w:bCs/>
          <w:szCs w:val="22"/>
        </w:rPr>
        <w:t xml:space="preserve">The PBAC </w:t>
      </w:r>
      <w:r w:rsidR="00A66471">
        <w:rPr>
          <w:bCs/>
          <w:szCs w:val="22"/>
        </w:rPr>
        <w:t xml:space="preserve">particularly </w:t>
      </w:r>
      <w:r w:rsidR="00BC62D0" w:rsidRPr="00BC62D0">
        <w:rPr>
          <w:bCs/>
          <w:szCs w:val="22"/>
        </w:rPr>
        <w:t>noted the comments that the use of T</w:t>
      </w:r>
      <w:r w:rsidR="00A66471">
        <w:rPr>
          <w:bCs/>
          <w:szCs w:val="22"/>
        </w:rPr>
        <w:t>-</w:t>
      </w:r>
      <w:r w:rsidR="00BC62D0" w:rsidRPr="00BC62D0">
        <w:rPr>
          <w:bCs/>
          <w:szCs w:val="22"/>
        </w:rPr>
        <w:t>VEC was well tolerated, and represented a new and different mode of action and treatment option.  The ANZMTG stated that T-VEC had demonstrated overall survival in the proposed (early stage metastatic) PBS populati</w:t>
      </w:r>
      <w:r w:rsidR="00A66471">
        <w:rPr>
          <w:bCs/>
          <w:szCs w:val="22"/>
        </w:rPr>
        <w:t>on.  The MPA noted that, given T-</w:t>
      </w:r>
      <w:r w:rsidR="00BC62D0" w:rsidRPr="00BC62D0">
        <w:rPr>
          <w:bCs/>
          <w:szCs w:val="22"/>
        </w:rPr>
        <w:t>VEC was a live virus, patients would need to be educated on proper handling and wound dressing</w:t>
      </w:r>
      <w:proofErr w:type="gramStart"/>
      <w:r w:rsidR="00BC62D0" w:rsidRPr="00BC62D0">
        <w:rPr>
          <w:bCs/>
          <w:szCs w:val="22"/>
        </w:rPr>
        <w:t xml:space="preserve">.  </w:t>
      </w:r>
      <w:proofErr w:type="gramEnd"/>
      <w:r w:rsidR="00BC62D0" w:rsidRPr="00BC62D0">
        <w:rPr>
          <w:bCs/>
          <w:szCs w:val="22"/>
        </w:rPr>
        <w:t xml:space="preserve">The PBAC noted that the comments received from the health professionals, ANZMTG and MPA were </w:t>
      </w:r>
      <w:r w:rsidR="00A66471">
        <w:rPr>
          <w:bCs/>
          <w:szCs w:val="22"/>
        </w:rPr>
        <w:t xml:space="preserve">consistent with, and complementary to, </w:t>
      </w:r>
      <w:r w:rsidR="00BC62D0" w:rsidRPr="00BC62D0">
        <w:rPr>
          <w:bCs/>
          <w:szCs w:val="22"/>
        </w:rPr>
        <w:t>the evide</w:t>
      </w:r>
      <w:r w:rsidR="00842DA0">
        <w:rPr>
          <w:bCs/>
          <w:szCs w:val="22"/>
        </w:rPr>
        <w:t>nce provided in the submission.</w:t>
      </w:r>
    </w:p>
    <w:p w:rsidR="00BC62D0" w:rsidRPr="00842DA0" w:rsidRDefault="00BC62D0" w:rsidP="00BC62D0">
      <w:pPr>
        <w:rPr>
          <w:bCs/>
          <w:szCs w:val="22"/>
        </w:rPr>
      </w:pPr>
    </w:p>
    <w:p w:rsidR="00B60939" w:rsidRPr="00842DA0" w:rsidRDefault="00B60939" w:rsidP="006A72B9">
      <w:pPr>
        <w:pStyle w:val="Heading2"/>
      </w:pPr>
      <w:bookmarkStart w:id="9" w:name="_Toc451340808"/>
      <w:r w:rsidRPr="00842DA0">
        <w:t>Clinical trials</w:t>
      </w:r>
      <w:bookmarkEnd w:id="9"/>
    </w:p>
    <w:p w:rsidR="00B60939" w:rsidRPr="00BE77DA" w:rsidRDefault="00B60939" w:rsidP="00842DA0">
      <w:pPr>
        <w:widowControl/>
        <w:rPr>
          <w:szCs w:val="22"/>
        </w:rPr>
      </w:pPr>
    </w:p>
    <w:p w:rsidR="007F1017" w:rsidRPr="007036D7" w:rsidRDefault="009F0888" w:rsidP="00842DA0">
      <w:pPr>
        <w:pStyle w:val="ListParagraph"/>
        <w:widowControl/>
        <w:numPr>
          <w:ilvl w:val="1"/>
          <w:numId w:val="1"/>
        </w:numPr>
      </w:pPr>
      <w:r w:rsidRPr="007036D7">
        <w:t>The submission was based on an in</w:t>
      </w:r>
      <w:r w:rsidR="00846C3C" w:rsidRPr="007036D7">
        <w:t>formal</w:t>
      </w:r>
      <w:r w:rsidRPr="007036D7">
        <w:t xml:space="preserve"> comparison of one trial comparing</w:t>
      </w:r>
      <w:r w:rsidR="00846C3C" w:rsidRPr="007036D7">
        <w:t xml:space="preserve"> T-VEC and GM-CSF</w:t>
      </w:r>
      <w:r w:rsidR="00F9360E" w:rsidRPr="007036D7">
        <w:t xml:space="preserve"> </w:t>
      </w:r>
      <w:r w:rsidR="00170FE8" w:rsidRPr="007036D7">
        <w:t>(</w:t>
      </w:r>
      <w:proofErr w:type="spellStart"/>
      <w:r w:rsidR="00170FE8" w:rsidRPr="007036D7">
        <w:t>OPTiM</w:t>
      </w:r>
      <w:proofErr w:type="spellEnd"/>
      <w:r w:rsidR="00170FE8" w:rsidRPr="007036D7">
        <w:t>)</w:t>
      </w:r>
      <w:r w:rsidR="00846C3C" w:rsidRPr="007036D7">
        <w:t>, a second trial comparing</w:t>
      </w:r>
      <w:r w:rsidRPr="007036D7">
        <w:t xml:space="preserve"> </w:t>
      </w:r>
      <w:proofErr w:type="spellStart"/>
      <w:r w:rsidRPr="007036D7">
        <w:t>nivoluma</w:t>
      </w:r>
      <w:r w:rsidR="00846C3C" w:rsidRPr="007036D7">
        <w:t>b</w:t>
      </w:r>
      <w:proofErr w:type="spellEnd"/>
      <w:r w:rsidR="00846C3C" w:rsidRPr="007036D7">
        <w:t xml:space="preserve"> and </w:t>
      </w:r>
      <w:proofErr w:type="spellStart"/>
      <w:r w:rsidR="00846C3C" w:rsidRPr="007036D7">
        <w:t>dacarbazine</w:t>
      </w:r>
      <w:proofErr w:type="spellEnd"/>
      <w:r w:rsidR="00846C3C" w:rsidRPr="007036D7">
        <w:t xml:space="preserve"> (DTIC) </w:t>
      </w:r>
      <w:r w:rsidR="00170FE8" w:rsidRPr="007036D7">
        <w:t xml:space="preserve">(CA209-066), </w:t>
      </w:r>
      <w:r w:rsidR="00846C3C" w:rsidRPr="007036D7">
        <w:t>and a third</w:t>
      </w:r>
      <w:r w:rsidRPr="007036D7">
        <w:t xml:space="preserve"> trial comparing ipilimumab and gp100</w:t>
      </w:r>
      <w:r w:rsidR="00170FE8" w:rsidRPr="007036D7">
        <w:t xml:space="preserve"> (glycoprotein 100) (MDX010-20)</w:t>
      </w:r>
      <w:r w:rsidRPr="007036D7">
        <w:t xml:space="preserve">.  The submission claimed that since </w:t>
      </w:r>
      <w:r w:rsidR="00846C3C" w:rsidRPr="007036D7">
        <w:t xml:space="preserve">GM-CSF, </w:t>
      </w:r>
      <w:r w:rsidRPr="007036D7">
        <w:t>DTIC and gp100 both represent largely ineffective therapies,</w:t>
      </w:r>
      <w:r w:rsidR="0019571D" w:rsidRPr="007036D7">
        <w:t xml:space="preserve"> that these therapies</w:t>
      </w:r>
      <w:r w:rsidRPr="007036D7">
        <w:t xml:space="preserve"> represent a common reference. </w:t>
      </w:r>
      <w:r w:rsidR="00EF7243" w:rsidRPr="007036D7">
        <w:t xml:space="preserve"> </w:t>
      </w:r>
      <w:r w:rsidR="00DF5968" w:rsidRPr="007036D7">
        <w:t xml:space="preserve">The </w:t>
      </w:r>
      <w:r w:rsidR="00A66471">
        <w:t xml:space="preserve">PBAC agreed with the </w:t>
      </w:r>
      <w:r w:rsidR="00DF5968" w:rsidRPr="007036D7">
        <w:t xml:space="preserve">ESC that GM-CSF is ineffective.  </w:t>
      </w:r>
      <w:r w:rsidR="00846C3C" w:rsidRPr="007036D7">
        <w:t>The submission also presented supporting data on T-VEC from a non-comparative trial of T-VEC</w:t>
      </w:r>
      <w:r w:rsidR="00A76717" w:rsidRPr="007036D7">
        <w:t xml:space="preserve"> (study 002/03)</w:t>
      </w:r>
      <w:r w:rsidR="00846C3C" w:rsidRPr="007036D7">
        <w:t>, and from two trials of pembrolizumab; one of these comparing pembrolizumab and ipilimumab</w:t>
      </w:r>
      <w:r w:rsidR="00A76717" w:rsidRPr="007036D7">
        <w:t xml:space="preserve"> (KN-006)</w:t>
      </w:r>
      <w:r w:rsidR="00846C3C" w:rsidRPr="007036D7">
        <w:t>, and the other comparing different doses of pembrolizumab</w:t>
      </w:r>
      <w:r w:rsidR="00A76717" w:rsidRPr="007036D7">
        <w:t xml:space="preserve"> (KN-001)</w:t>
      </w:r>
      <w:r w:rsidR="00846C3C" w:rsidRPr="007036D7">
        <w:t>.</w:t>
      </w:r>
    </w:p>
    <w:p w:rsidR="00862502" w:rsidRPr="007036D7" w:rsidRDefault="00862502" w:rsidP="00862502">
      <w:pPr>
        <w:widowControl/>
        <w:rPr>
          <w:szCs w:val="22"/>
        </w:rPr>
      </w:pPr>
    </w:p>
    <w:p w:rsidR="00862502" w:rsidRPr="007036D7" w:rsidRDefault="00862502" w:rsidP="00ED000E">
      <w:pPr>
        <w:pStyle w:val="ListParagraph"/>
        <w:widowControl/>
        <w:numPr>
          <w:ilvl w:val="1"/>
          <w:numId w:val="1"/>
        </w:numPr>
        <w:rPr>
          <w:szCs w:val="22"/>
        </w:rPr>
      </w:pPr>
      <w:r w:rsidRPr="007036D7">
        <w:rPr>
          <w:szCs w:val="22"/>
        </w:rPr>
        <w:t>Details of the trials presented in the submission ar</w:t>
      </w:r>
      <w:r w:rsidR="00EF7243" w:rsidRPr="007036D7">
        <w:rPr>
          <w:szCs w:val="22"/>
        </w:rPr>
        <w:t xml:space="preserve">e provided in </w:t>
      </w:r>
      <w:r w:rsidR="00FB47D6" w:rsidRPr="007036D7">
        <w:rPr>
          <w:szCs w:val="22"/>
        </w:rPr>
        <w:t>Table 1</w:t>
      </w:r>
      <w:r w:rsidR="00EF7243" w:rsidRPr="007036D7">
        <w:rPr>
          <w:szCs w:val="22"/>
        </w:rPr>
        <w:t>.</w:t>
      </w:r>
    </w:p>
    <w:p w:rsidR="00FC7028" w:rsidRPr="00BE77DA" w:rsidRDefault="00FC7028">
      <w:pPr>
        <w:widowControl/>
        <w:jc w:val="left"/>
        <w:rPr>
          <w:szCs w:val="24"/>
        </w:rPr>
      </w:pPr>
    </w:p>
    <w:p w:rsidR="007217C1" w:rsidRPr="00051969" w:rsidRDefault="007217C1" w:rsidP="00941383">
      <w:pPr>
        <w:pStyle w:val="StyleTableHeaderLeft127cm"/>
        <w:keepLines/>
        <w:rPr>
          <w:rFonts w:ascii="Arial Narrow" w:hAnsi="Arial Narrow"/>
        </w:rPr>
      </w:pPr>
      <w:r w:rsidRPr="00051969">
        <w:rPr>
          <w:rFonts w:ascii="Arial Narrow" w:hAnsi="Arial Narrow"/>
        </w:rPr>
        <w:t xml:space="preserve">Table </w:t>
      </w:r>
      <w:r w:rsidR="00D07F7B" w:rsidRPr="00051969">
        <w:rPr>
          <w:rFonts w:ascii="Arial Narrow" w:hAnsi="Arial Narrow"/>
          <w:noProof/>
        </w:rPr>
        <w:t>1</w:t>
      </w:r>
      <w:r w:rsidRPr="00051969">
        <w:rPr>
          <w:rFonts w:ascii="Arial Narrow" w:hAnsi="Arial Narrow"/>
        </w:rPr>
        <w:t>: Trials (and associated reports) presented in the submission</w:t>
      </w:r>
    </w:p>
    <w:tbl>
      <w:tblPr>
        <w:tblW w:w="4569" w:type="pct"/>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4"/>
        <w:gridCol w:w="993"/>
        <w:gridCol w:w="4694"/>
        <w:gridCol w:w="1429"/>
      </w:tblGrid>
      <w:tr w:rsidR="005E3FD6" w:rsidRPr="00BE77DA" w:rsidTr="00EF7243">
        <w:tc>
          <w:tcPr>
            <w:tcW w:w="713"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b/>
                <w:bCs/>
                <w:snapToGrid/>
                <w:sz w:val="20"/>
                <w:szCs w:val="24"/>
                <w:lang w:eastAsia="en-AU"/>
              </w:rPr>
            </w:pPr>
            <w:r w:rsidRPr="00BE77DA">
              <w:rPr>
                <w:rFonts w:ascii="Arial Narrow" w:hAnsi="Arial Narrow"/>
                <w:b/>
                <w:bCs/>
                <w:snapToGrid/>
                <w:sz w:val="20"/>
                <w:szCs w:val="24"/>
                <w:lang w:eastAsia="en-AU"/>
              </w:rPr>
              <w:t>Trial</w:t>
            </w:r>
          </w:p>
        </w:tc>
        <w:tc>
          <w:tcPr>
            <w:tcW w:w="59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b/>
                <w:bCs/>
                <w:snapToGrid/>
                <w:sz w:val="20"/>
                <w:szCs w:val="24"/>
                <w:lang w:eastAsia="en-AU"/>
              </w:rPr>
            </w:pPr>
            <w:r w:rsidRPr="00BE77DA">
              <w:rPr>
                <w:rFonts w:ascii="Arial Narrow" w:hAnsi="Arial Narrow"/>
                <w:b/>
                <w:bCs/>
                <w:snapToGrid/>
                <w:sz w:val="20"/>
                <w:szCs w:val="24"/>
                <w:lang w:eastAsia="en-AU"/>
              </w:rPr>
              <w:t>Description</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b/>
                <w:bCs/>
                <w:snapToGrid/>
                <w:sz w:val="20"/>
                <w:szCs w:val="24"/>
                <w:lang w:eastAsia="en-AU"/>
              </w:rPr>
            </w:pPr>
            <w:r w:rsidRPr="00BE77DA">
              <w:rPr>
                <w:rFonts w:ascii="Arial Narrow" w:hAnsi="Arial Narrow"/>
                <w:b/>
                <w:bCs/>
                <w:snapToGrid/>
                <w:sz w:val="20"/>
                <w:szCs w:val="24"/>
                <w:lang w:eastAsia="en-AU"/>
              </w:rPr>
              <w:t>Reports</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b/>
                <w:bCs/>
                <w:snapToGrid/>
                <w:sz w:val="20"/>
                <w:szCs w:val="24"/>
                <w:lang w:eastAsia="en-AU"/>
              </w:rPr>
            </w:pPr>
            <w:r w:rsidRPr="00BE77DA">
              <w:rPr>
                <w:rFonts w:ascii="Arial Narrow" w:hAnsi="Arial Narrow"/>
                <w:b/>
                <w:bCs/>
                <w:snapToGrid/>
                <w:sz w:val="20"/>
                <w:szCs w:val="24"/>
                <w:lang w:eastAsia="en-AU"/>
              </w:rPr>
              <w:t>Exchangeable?</w:t>
            </w:r>
          </w:p>
        </w:tc>
      </w:tr>
      <w:tr w:rsidR="005E3FD6" w:rsidRPr="00BE77DA" w:rsidTr="005E3FD6">
        <w:tc>
          <w:tcPr>
            <w:tcW w:w="5000" w:type="pct"/>
            <w:gridSpan w:val="4"/>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iCs/>
                <w:snapToGrid/>
                <w:sz w:val="20"/>
                <w:szCs w:val="24"/>
                <w:lang w:eastAsia="en-AU"/>
              </w:rPr>
            </w:pPr>
            <w:proofErr w:type="spellStart"/>
            <w:r w:rsidRPr="00BE77DA">
              <w:rPr>
                <w:rFonts w:ascii="Arial Narrow" w:hAnsi="Arial Narrow"/>
                <w:iCs/>
                <w:snapToGrid/>
                <w:sz w:val="20"/>
                <w:szCs w:val="24"/>
                <w:lang w:eastAsia="en-AU"/>
              </w:rPr>
              <w:t>Talimogene</w:t>
            </w:r>
            <w:proofErr w:type="spellEnd"/>
            <w:r w:rsidRPr="00BE77DA">
              <w:rPr>
                <w:rFonts w:ascii="Arial Narrow" w:hAnsi="Arial Narrow"/>
                <w:iCs/>
                <w:snapToGrid/>
                <w:sz w:val="20"/>
                <w:szCs w:val="24"/>
                <w:lang w:eastAsia="en-AU"/>
              </w:rPr>
              <w:t xml:space="preserve"> </w:t>
            </w:r>
            <w:proofErr w:type="spellStart"/>
            <w:r w:rsidRPr="00BE77DA">
              <w:rPr>
                <w:rFonts w:ascii="Arial Narrow" w:hAnsi="Arial Narrow"/>
                <w:iCs/>
                <w:snapToGrid/>
                <w:sz w:val="20"/>
                <w:szCs w:val="24"/>
                <w:lang w:eastAsia="en-AU"/>
              </w:rPr>
              <w:t>laherparepvec</w:t>
            </w:r>
            <w:proofErr w:type="spellEnd"/>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proofErr w:type="spellStart"/>
            <w:r w:rsidRPr="00BE77DA">
              <w:rPr>
                <w:rFonts w:ascii="Arial Narrow" w:hAnsi="Arial Narrow"/>
                <w:snapToGrid/>
                <w:sz w:val="20"/>
                <w:szCs w:val="24"/>
                <w:lang w:eastAsia="en-AU"/>
              </w:rPr>
              <w:t>OPTiM</w:t>
            </w:r>
            <w:proofErr w:type="spellEnd"/>
          </w:p>
          <w:p w:rsidR="005E3FD6" w:rsidRPr="00BE77DA" w:rsidRDefault="005E3FD6" w:rsidP="005E3FD6">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(Study 005/05 and 005/05-E)</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 OL, MC </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A Randomized Phase 3 Clinical </w:t>
            </w:r>
            <w:proofErr w:type="gramStart"/>
            <w:r w:rsidRPr="00BE77DA">
              <w:rPr>
                <w:rFonts w:ascii="Arial Narrow" w:hAnsi="Arial Narrow"/>
                <w:snapToGrid/>
                <w:sz w:val="20"/>
                <w:szCs w:val="24"/>
                <w:lang w:eastAsia="en-AU"/>
              </w:rPr>
              <w:t>Trial</w:t>
            </w:r>
            <w:proofErr w:type="gramEnd"/>
            <w:r w:rsidRPr="00BE77DA">
              <w:rPr>
                <w:rFonts w:ascii="Arial Narrow" w:hAnsi="Arial Narrow"/>
                <w:snapToGrid/>
                <w:sz w:val="20"/>
                <w:szCs w:val="24"/>
                <w:lang w:eastAsia="en-AU"/>
              </w:rPr>
              <w:t xml:space="preserve"> to Evaluate the Efficacy and Safety of Treatment with </w:t>
            </w:r>
            <w:proofErr w:type="spellStart"/>
            <w:r w:rsidRPr="00BE77DA">
              <w:rPr>
                <w:rFonts w:ascii="Arial Narrow" w:hAnsi="Arial Narrow"/>
                <w:snapToGrid/>
                <w:sz w:val="20"/>
                <w:szCs w:val="24"/>
                <w:lang w:eastAsia="en-AU"/>
              </w:rPr>
              <w:t>OncoVEX</w:t>
            </w:r>
            <w:r w:rsidRPr="00BE77DA">
              <w:rPr>
                <w:rFonts w:ascii="Arial Narrow" w:hAnsi="Arial Narrow"/>
                <w:snapToGrid/>
                <w:sz w:val="20"/>
                <w:szCs w:val="24"/>
                <w:vertAlign w:val="superscript"/>
                <w:lang w:eastAsia="en-AU"/>
              </w:rPr>
              <w:t>GM</w:t>
            </w:r>
            <w:proofErr w:type="spellEnd"/>
            <w:r w:rsidRPr="00BE77DA">
              <w:rPr>
                <w:rFonts w:ascii="Arial Narrow" w:hAnsi="Arial Narrow"/>
                <w:snapToGrid/>
                <w:sz w:val="20"/>
                <w:szCs w:val="24"/>
                <w:vertAlign w:val="superscript"/>
                <w:lang w:eastAsia="en-AU"/>
              </w:rPr>
              <w:t>-CSF</w:t>
            </w:r>
            <w:r w:rsidRPr="00BE77DA">
              <w:rPr>
                <w:rFonts w:ascii="Arial Narrow" w:hAnsi="Arial Narrow"/>
                <w:snapToGrid/>
                <w:sz w:val="20"/>
                <w:szCs w:val="24"/>
                <w:lang w:eastAsia="en-AU"/>
              </w:rPr>
              <w:t xml:space="preserve"> Compared to Subsequently Administered GM-CSF in Melanoma Patients with Unresectable Stage IIIB, IIIC and IV Disease.</w:t>
            </w:r>
          </w:p>
          <w:p w:rsidR="005E3FD6" w:rsidRPr="00BE77DA" w:rsidRDefault="005E3FD6" w:rsidP="00D7653A">
            <w:pPr>
              <w:widowControl/>
              <w:jc w:val="left"/>
              <w:rPr>
                <w:rFonts w:ascii="Arial Narrow" w:hAnsi="Arial Narrow"/>
                <w:snapToGrid/>
                <w:sz w:val="20"/>
                <w:szCs w:val="24"/>
                <w:lang w:eastAsia="en-AU"/>
              </w:rPr>
            </w:pPr>
          </w:p>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An Extension Protocol to Evaluate the Efficacy and Safety of Extended Use Treatment with </w:t>
            </w:r>
            <w:proofErr w:type="spellStart"/>
            <w:r w:rsidRPr="00BE77DA">
              <w:rPr>
                <w:rFonts w:ascii="Arial Narrow" w:hAnsi="Arial Narrow"/>
                <w:snapToGrid/>
                <w:sz w:val="20"/>
                <w:szCs w:val="24"/>
                <w:lang w:eastAsia="en-AU"/>
              </w:rPr>
              <w:t>OncoVEX</w:t>
            </w:r>
            <w:r w:rsidRPr="00BE77DA">
              <w:rPr>
                <w:rFonts w:ascii="Arial Narrow" w:hAnsi="Arial Narrow"/>
                <w:snapToGrid/>
                <w:sz w:val="20"/>
                <w:szCs w:val="24"/>
                <w:vertAlign w:val="superscript"/>
                <w:lang w:eastAsia="en-AU"/>
              </w:rPr>
              <w:t>GM</w:t>
            </w:r>
            <w:proofErr w:type="spellEnd"/>
            <w:r w:rsidRPr="00BE77DA">
              <w:rPr>
                <w:rFonts w:ascii="Arial Narrow" w:hAnsi="Arial Narrow"/>
                <w:snapToGrid/>
                <w:sz w:val="20"/>
                <w:szCs w:val="24"/>
                <w:vertAlign w:val="superscript"/>
                <w:lang w:eastAsia="en-AU"/>
              </w:rPr>
              <w:t>-CSF</w:t>
            </w:r>
            <w:r w:rsidRPr="00BE77DA">
              <w:rPr>
                <w:rFonts w:ascii="Arial Narrow" w:hAnsi="Arial Narrow"/>
                <w:snapToGrid/>
                <w:sz w:val="20"/>
                <w:szCs w:val="24"/>
                <w:lang w:eastAsia="en-AU"/>
              </w:rPr>
              <w:t xml:space="preserve"> or GM-CSF for Eligible Melanoma Patients Participating in Study 005/05</w:t>
            </w:r>
            <w:r w:rsidR="00EF7243" w:rsidRPr="00BE77DA">
              <w:rPr>
                <w:rFonts w:ascii="Arial Narrow" w:hAnsi="Arial Narrow"/>
                <w:snapToGrid/>
                <w:sz w:val="20"/>
                <w:szCs w:val="24"/>
                <w:lang w:eastAsia="en-AU"/>
              </w:rPr>
              <w:t>.</w:t>
            </w:r>
          </w:p>
          <w:p w:rsidR="005E3FD6" w:rsidRPr="00BE77DA" w:rsidRDefault="005E3FD6" w:rsidP="00D7653A">
            <w:pPr>
              <w:widowControl/>
              <w:jc w:val="left"/>
              <w:rPr>
                <w:rFonts w:ascii="Arial Narrow" w:hAnsi="Arial Narrow"/>
                <w:snapToGrid/>
                <w:sz w:val="20"/>
                <w:szCs w:val="24"/>
                <w:lang w:eastAsia="en-AU"/>
              </w:rPr>
            </w:pPr>
          </w:p>
          <w:p w:rsidR="005E3FD6" w:rsidRPr="00BE77DA" w:rsidRDefault="005E3FD6" w:rsidP="00D7653A">
            <w:pPr>
              <w:widowControl/>
              <w:jc w:val="left"/>
              <w:rPr>
                <w:rFonts w:ascii="Arial Narrow" w:hAnsi="Arial Narrow"/>
                <w:snapToGrid/>
                <w:sz w:val="20"/>
                <w:szCs w:val="24"/>
                <w:lang w:eastAsia="en-AU"/>
              </w:rPr>
            </w:pPr>
            <w:proofErr w:type="spellStart"/>
            <w:r w:rsidRPr="00BE77DA">
              <w:rPr>
                <w:rFonts w:ascii="Arial Narrow" w:hAnsi="Arial Narrow"/>
                <w:snapToGrid/>
                <w:sz w:val="20"/>
                <w:szCs w:val="24"/>
                <w:lang w:eastAsia="en-AU"/>
              </w:rPr>
              <w:t>Andtbacka</w:t>
            </w:r>
            <w:proofErr w:type="spellEnd"/>
            <w:r w:rsidRPr="00BE77DA">
              <w:rPr>
                <w:rFonts w:ascii="Arial Narrow" w:hAnsi="Arial Narrow"/>
                <w:snapToGrid/>
                <w:sz w:val="20"/>
                <w:szCs w:val="24"/>
                <w:lang w:eastAsia="en-AU"/>
              </w:rPr>
              <w:t xml:space="preserve"> RHI, Kaufman HL, </w:t>
            </w:r>
            <w:proofErr w:type="spellStart"/>
            <w:r w:rsidRPr="00BE77DA">
              <w:rPr>
                <w:rFonts w:ascii="Arial Narrow" w:hAnsi="Arial Narrow"/>
                <w:snapToGrid/>
                <w:sz w:val="20"/>
                <w:szCs w:val="24"/>
                <w:lang w:eastAsia="en-AU"/>
              </w:rPr>
              <w:t>Collichio</w:t>
            </w:r>
            <w:proofErr w:type="spellEnd"/>
            <w:r w:rsidRPr="00BE77DA">
              <w:rPr>
                <w:rFonts w:ascii="Arial Narrow" w:hAnsi="Arial Narrow"/>
                <w:snapToGrid/>
                <w:sz w:val="20"/>
                <w:szCs w:val="24"/>
                <w:lang w:eastAsia="en-AU"/>
              </w:rPr>
              <w:t xml:space="preserve"> F et al. </w:t>
            </w:r>
            <w:proofErr w:type="spellStart"/>
            <w:r w:rsidRPr="00BE77DA">
              <w:rPr>
                <w:rFonts w:ascii="Arial Narrow" w:hAnsi="Arial Narrow"/>
                <w:snapToGrid/>
                <w:sz w:val="20"/>
                <w:szCs w:val="24"/>
                <w:lang w:eastAsia="en-AU"/>
              </w:rPr>
              <w:t>Talimogene</w:t>
            </w:r>
            <w:proofErr w:type="spellEnd"/>
            <w:r w:rsidRPr="00BE77DA">
              <w:rPr>
                <w:rFonts w:ascii="Arial Narrow" w:hAnsi="Arial Narrow"/>
                <w:snapToGrid/>
                <w:sz w:val="20"/>
                <w:szCs w:val="24"/>
                <w:lang w:eastAsia="en-AU"/>
              </w:rPr>
              <w:t xml:space="preserve"> </w:t>
            </w:r>
            <w:proofErr w:type="spellStart"/>
            <w:r w:rsidRPr="00BE77DA">
              <w:rPr>
                <w:rFonts w:ascii="Arial Narrow" w:hAnsi="Arial Narrow"/>
                <w:snapToGrid/>
                <w:sz w:val="20"/>
                <w:szCs w:val="24"/>
                <w:lang w:eastAsia="en-AU"/>
              </w:rPr>
              <w:t>laherparepvec</w:t>
            </w:r>
            <w:proofErr w:type="spellEnd"/>
            <w:r w:rsidRPr="00BE77DA">
              <w:rPr>
                <w:rFonts w:ascii="Arial Narrow" w:hAnsi="Arial Narrow"/>
                <w:snapToGrid/>
                <w:sz w:val="20"/>
                <w:szCs w:val="24"/>
                <w:lang w:eastAsia="en-AU"/>
              </w:rPr>
              <w:t xml:space="preserve"> improves durable response rate in patients with advanced melanoma. J </w:t>
            </w:r>
            <w:proofErr w:type="spellStart"/>
            <w:r w:rsidRPr="00BE77DA">
              <w:rPr>
                <w:rFonts w:ascii="Arial Narrow" w:hAnsi="Arial Narrow"/>
                <w:snapToGrid/>
                <w:sz w:val="20"/>
                <w:szCs w:val="24"/>
                <w:lang w:eastAsia="en-AU"/>
              </w:rPr>
              <w:t>Clin</w:t>
            </w:r>
            <w:proofErr w:type="spellEnd"/>
            <w:r w:rsidRPr="00BE77DA">
              <w:rPr>
                <w:rFonts w:ascii="Arial Narrow" w:hAnsi="Arial Narrow"/>
                <w:snapToGrid/>
                <w:sz w:val="20"/>
                <w:szCs w:val="24"/>
                <w:lang w:eastAsia="en-AU"/>
              </w:rPr>
              <w:t xml:space="preserve"> </w:t>
            </w:r>
            <w:proofErr w:type="spellStart"/>
            <w:r w:rsidRPr="00BE77DA">
              <w:rPr>
                <w:rFonts w:ascii="Arial Narrow" w:hAnsi="Arial Narrow"/>
                <w:snapToGrid/>
                <w:sz w:val="20"/>
                <w:szCs w:val="24"/>
                <w:lang w:eastAsia="en-AU"/>
              </w:rPr>
              <w:t>Oncol</w:t>
            </w:r>
            <w:proofErr w:type="spellEnd"/>
            <w:r w:rsidRPr="00BE77DA">
              <w:rPr>
                <w:rFonts w:ascii="Arial Narrow" w:hAnsi="Arial Narrow"/>
                <w:snapToGrid/>
                <w:sz w:val="20"/>
                <w:szCs w:val="24"/>
                <w:lang w:eastAsia="en-AU"/>
              </w:rPr>
              <w:t xml:space="preserve"> 2015</w:t>
            </w:r>
            <w:proofErr w:type="gramStart"/>
            <w:r w:rsidRPr="00BE77DA">
              <w:rPr>
                <w:rFonts w:ascii="Arial Narrow" w:hAnsi="Arial Narrow"/>
                <w:snapToGrid/>
                <w:sz w:val="20"/>
                <w:szCs w:val="24"/>
                <w:lang w:eastAsia="en-AU"/>
              </w:rPr>
              <w:t>;33</w:t>
            </w:r>
            <w:proofErr w:type="gramEnd"/>
            <w:r w:rsidRPr="00BE77DA">
              <w:rPr>
                <w:rFonts w:ascii="Arial Narrow" w:hAnsi="Arial Narrow"/>
                <w:snapToGrid/>
                <w:sz w:val="20"/>
                <w:szCs w:val="24"/>
                <w:lang w:eastAsia="en-AU"/>
              </w:rPr>
              <w:t>(25):2780-2788.</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Study 002/03</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E1468F"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OL</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A Phase 2 Study of the Efficacy, Safety, and Immunogenicity of </w:t>
            </w:r>
            <w:r w:rsidRPr="00BE77DA">
              <w:rPr>
                <w:rFonts w:ascii="Arial Narrow" w:hAnsi="Arial Narrow"/>
                <w:snapToGrid/>
                <w:sz w:val="20"/>
                <w:szCs w:val="24"/>
                <w:lang w:eastAsia="en-AU"/>
              </w:rPr>
              <w:br/>
            </w:r>
            <w:proofErr w:type="spellStart"/>
            <w:r w:rsidRPr="00BE77DA">
              <w:rPr>
                <w:rFonts w:ascii="Arial Narrow" w:hAnsi="Arial Narrow"/>
                <w:snapToGrid/>
                <w:sz w:val="20"/>
                <w:szCs w:val="24"/>
                <w:lang w:eastAsia="en-AU"/>
              </w:rPr>
              <w:t>OncoVEX</w:t>
            </w:r>
            <w:r w:rsidRPr="00BE77DA">
              <w:rPr>
                <w:rFonts w:ascii="Arial Narrow" w:hAnsi="Arial Narrow"/>
                <w:snapToGrid/>
                <w:sz w:val="20"/>
                <w:szCs w:val="24"/>
                <w:vertAlign w:val="superscript"/>
                <w:lang w:eastAsia="en-AU"/>
              </w:rPr>
              <w:t>GM</w:t>
            </w:r>
            <w:proofErr w:type="spellEnd"/>
            <w:r w:rsidRPr="00BE77DA">
              <w:rPr>
                <w:rFonts w:ascii="Arial Narrow" w:hAnsi="Arial Narrow"/>
                <w:snapToGrid/>
                <w:sz w:val="20"/>
                <w:szCs w:val="24"/>
                <w:vertAlign w:val="superscript"/>
                <w:lang w:eastAsia="en-AU"/>
              </w:rPr>
              <w:t>-CSF</w:t>
            </w:r>
            <w:r w:rsidRPr="00BE77DA">
              <w:rPr>
                <w:rFonts w:ascii="Arial Narrow" w:hAnsi="Arial Narrow"/>
                <w:snapToGrid/>
                <w:sz w:val="20"/>
                <w:szCs w:val="24"/>
                <w:lang w:eastAsia="en-AU"/>
              </w:rPr>
              <w:t xml:space="preserve"> in Patients with Stage IIIC and Stage IV Malignant Melanoma.</w:t>
            </w:r>
          </w:p>
          <w:p w:rsidR="005E3FD6" w:rsidRPr="00BE77DA" w:rsidRDefault="005E3FD6" w:rsidP="00D7653A">
            <w:pPr>
              <w:widowControl/>
              <w:jc w:val="left"/>
              <w:rPr>
                <w:rFonts w:ascii="Arial Narrow" w:hAnsi="Arial Narrow"/>
                <w:snapToGrid/>
                <w:sz w:val="20"/>
                <w:szCs w:val="24"/>
                <w:lang w:eastAsia="en-AU"/>
              </w:rPr>
            </w:pPr>
          </w:p>
          <w:p w:rsidR="005E3FD6" w:rsidRPr="00BE77DA" w:rsidRDefault="005E3FD6" w:rsidP="00D7653A">
            <w:pPr>
              <w:widowControl/>
              <w:jc w:val="left"/>
              <w:rPr>
                <w:rFonts w:ascii="Arial Narrow" w:hAnsi="Arial Narrow"/>
                <w:snapToGrid/>
                <w:sz w:val="20"/>
                <w:szCs w:val="24"/>
                <w:lang w:eastAsia="en-AU"/>
              </w:rPr>
            </w:pPr>
            <w:proofErr w:type="spellStart"/>
            <w:r w:rsidRPr="00BE77DA">
              <w:rPr>
                <w:rFonts w:ascii="Arial Narrow" w:hAnsi="Arial Narrow"/>
                <w:snapToGrid/>
                <w:sz w:val="20"/>
                <w:szCs w:val="24"/>
                <w:lang w:eastAsia="en-AU"/>
              </w:rPr>
              <w:t>Senzer</w:t>
            </w:r>
            <w:proofErr w:type="spellEnd"/>
            <w:r w:rsidRPr="00BE77DA">
              <w:rPr>
                <w:rFonts w:ascii="Arial Narrow" w:hAnsi="Arial Narrow"/>
                <w:snapToGrid/>
                <w:sz w:val="20"/>
                <w:szCs w:val="24"/>
                <w:lang w:eastAsia="en-AU"/>
              </w:rPr>
              <w:t xml:space="preserve"> NN, Kaufman H, </w:t>
            </w:r>
            <w:proofErr w:type="spellStart"/>
            <w:r w:rsidRPr="00BE77DA">
              <w:rPr>
                <w:rFonts w:ascii="Arial Narrow" w:hAnsi="Arial Narrow"/>
                <w:snapToGrid/>
                <w:sz w:val="20"/>
                <w:szCs w:val="24"/>
                <w:lang w:eastAsia="en-AU"/>
              </w:rPr>
              <w:t>Amatruda</w:t>
            </w:r>
            <w:proofErr w:type="spellEnd"/>
            <w:r w:rsidRPr="00BE77DA">
              <w:rPr>
                <w:rFonts w:ascii="Arial Narrow" w:hAnsi="Arial Narrow"/>
                <w:snapToGrid/>
                <w:sz w:val="20"/>
                <w:szCs w:val="24"/>
                <w:lang w:eastAsia="en-AU"/>
              </w:rPr>
              <w:t xml:space="preserve"> T et al. Phase II clinical trial with a second generation, GM-CSF encoding, oncolytic herpes</w:t>
            </w:r>
            <w:r w:rsidR="00FB511C" w:rsidRPr="00BE77DA">
              <w:rPr>
                <w:rFonts w:ascii="Arial Narrow" w:hAnsi="Arial Narrow"/>
                <w:snapToGrid/>
                <w:sz w:val="20"/>
                <w:szCs w:val="24"/>
                <w:lang w:eastAsia="en-AU"/>
              </w:rPr>
              <w:t xml:space="preserve"> </w:t>
            </w:r>
            <w:r w:rsidRPr="00BE77DA">
              <w:rPr>
                <w:rFonts w:ascii="Arial Narrow" w:hAnsi="Arial Narrow"/>
                <w:snapToGrid/>
                <w:sz w:val="20"/>
                <w:szCs w:val="24"/>
                <w:lang w:eastAsia="en-AU"/>
              </w:rPr>
              <w:t xml:space="preserve">virus in unresectable metastatic melanoma. J </w:t>
            </w:r>
            <w:proofErr w:type="spellStart"/>
            <w:r w:rsidRPr="00BE77DA">
              <w:rPr>
                <w:rFonts w:ascii="Arial Narrow" w:hAnsi="Arial Narrow"/>
                <w:snapToGrid/>
                <w:sz w:val="20"/>
                <w:szCs w:val="24"/>
                <w:lang w:eastAsia="en-AU"/>
              </w:rPr>
              <w:t>Clin</w:t>
            </w:r>
            <w:proofErr w:type="spellEnd"/>
            <w:r w:rsidRPr="00BE77DA">
              <w:rPr>
                <w:rFonts w:ascii="Arial Narrow" w:hAnsi="Arial Narrow"/>
                <w:snapToGrid/>
                <w:sz w:val="20"/>
                <w:szCs w:val="24"/>
                <w:lang w:eastAsia="en-AU"/>
              </w:rPr>
              <w:t xml:space="preserve"> </w:t>
            </w:r>
            <w:proofErr w:type="spellStart"/>
            <w:r w:rsidRPr="00BE77DA">
              <w:rPr>
                <w:rFonts w:ascii="Arial Narrow" w:hAnsi="Arial Narrow"/>
                <w:snapToGrid/>
                <w:sz w:val="20"/>
                <w:szCs w:val="24"/>
                <w:lang w:eastAsia="en-AU"/>
              </w:rPr>
              <w:t>Oncol</w:t>
            </w:r>
            <w:proofErr w:type="spellEnd"/>
            <w:r w:rsidRPr="00BE77DA">
              <w:rPr>
                <w:rFonts w:ascii="Arial Narrow" w:hAnsi="Arial Narrow"/>
                <w:snapToGrid/>
                <w:sz w:val="20"/>
                <w:szCs w:val="24"/>
                <w:lang w:eastAsia="en-AU"/>
              </w:rPr>
              <w:t xml:space="preserve"> 2009</w:t>
            </w:r>
            <w:proofErr w:type="gramStart"/>
            <w:r w:rsidRPr="00BE77DA">
              <w:rPr>
                <w:rFonts w:ascii="Arial Narrow" w:hAnsi="Arial Narrow"/>
                <w:snapToGrid/>
                <w:sz w:val="20"/>
                <w:szCs w:val="24"/>
                <w:lang w:eastAsia="en-AU"/>
              </w:rPr>
              <w:t>;27</w:t>
            </w:r>
            <w:proofErr w:type="gramEnd"/>
            <w:r w:rsidRPr="00BE77DA">
              <w:rPr>
                <w:rFonts w:ascii="Arial Narrow" w:hAnsi="Arial Narrow"/>
                <w:snapToGrid/>
                <w:sz w:val="20"/>
                <w:szCs w:val="24"/>
                <w:lang w:eastAsia="en-AU"/>
              </w:rPr>
              <w:t>(15):9035.</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r w:rsidR="005E3FD6" w:rsidRPr="00BE77DA" w:rsidTr="005E3FD6">
        <w:tc>
          <w:tcPr>
            <w:tcW w:w="5000" w:type="pct"/>
            <w:gridSpan w:val="4"/>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iCs/>
                <w:snapToGrid/>
                <w:sz w:val="20"/>
                <w:szCs w:val="24"/>
                <w:lang w:eastAsia="en-AU"/>
              </w:rPr>
            </w:pPr>
            <w:r w:rsidRPr="00BE77DA">
              <w:rPr>
                <w:rFonts w:ascii="Arial Narrow" w:hAnsi="Arial Narrow"/>
                <w:iCs/>
                <w:snapToGrid/>
                <w:sz w:val="20"/>
                <w:szCs w:val="24"/>
                <w:lang w:eastAsia="en-AU"/>
              </w:rPr>
              <w:t>Pembrolizumab</w:t>
            </w:r>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KN-001</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5E3FD6" w:rsidP="00EB6949">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OL, </w:t>
            </w:r>
            <w:r w:rsidR="00EB6949" w:rsidRPr="00BE77DA">
              <w:rPr>
                <w:rFonts w:ascii="Arial Narrow" w:hAnsi="Arial Narrow"/>
                <w:snapToGrid/>
                <w:sz w:val="20"/>
                <w:szCs w:val="24"/>
                <w:lang w:eastAsia="en-AU"/>
              </w:rPr>
              <w:t>multi-cohort</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Hamid O, Robert C, </w:t>
            </w:r>
            <w:proofErr w:type="spellStart"/>
            <w:r w:rsidRPr="00BE77DA">
              <w:rPr>
                <w:rFonts w:ascii="Arial Narrow" w:hAnsi="Arial Narrow"/>
                <w:snapToGrid/>
                <w:sz w:val="20"/>
                <w:szCs w:val="24"/>
                <w:lang w:eastAsia="en-AU"/>
              </w:rPr>
              <w:t>Daud</w:t>
            </w:r>
            <w:proofErr w:type="spellEnd"/>
            <w:r w:rsidRPr="00BE77DA">
              <w:rPr>
                <w:rFonts w:ascii="Arial Narrow" w:hAnsi="Arial Narrow"/>
                <w:snapToGrid/>
                <w:sz w:val="20"/>
                <w:szCs w:val="24"/>
                <w:lang w:eastAsia="en-AU"/>
              </w:rPr>
              <w:t xml:space="preserve"> A et al. Safety and </w:t>
            </w:r>
            <w:proofErr w:type="spellStart"/>
            <w:r w:rsidRPr="00BE77DA">
              <w:rPr>
                <w:rFonts w:ascii="Arial Narrow" w:hAnsi="Arial Narrow"/>
                <w:snapToGrid/>
                <w:sz w:val="20"/>
                <w:szCs w:val="24"/>
                <w:lang w:eastAsia="en-AU"/>
              </w:rPr>
              <w:t>Tumor</w:t>
            </w:r>
            <w:proofErr w:type="spellEnd"/>
            <w:r w:rsidRPr="00BE77DA">
              <w:rPr>
                <w:rFonts w:ascii="Arial Narrow" w:hAnsi="Arial Narrow"/>
                <w:snapToGrid/>
                <w:sz w:val="20"/>
                <w:szCs w:val="24"/>
                <w:lang w:eastAsia="en-AU"/>
              </w:rPr>
              <w:t xml:space="preserve"> Responses with </w:t>
            </w:r>
            <w:proofErr w:type="spellStart"/>
            <w:r w:rsidRPr="00BE77DA">
              <w:rPr>
                <w:rFonts w:ascii="Arial Narrow" w:hAnsi="Arial Narrow"/>
                <w:snapToGrid/>
                <w:sz w:val="20"/>
                <w:szCs w:val="24"/>
                <w:lang w:eastAsia="en-AU"/>
              </w:rPr>
              <w:t>Lambrolizumab</w:t>
            </w:r>
            <w:proofErr w:type="spellEnd"/>
            <w:r w:rsidRPr="00BE77DA">
              <w:rPr>
                <w:rFonts w:ascii="Arial Narrow" w:hAnsi="Arial Narrow"/>
                <w:snapToGrid/>
                <w:sz w:val="20"/>
                <w:szCs w:val="24"/>
                <w:lang w:eastAsia="en-AU"/>
              </w:rPr>
              <w:t xml:space="preserve"> (Anti-PD-1) in Melanoma. N </w:t>
            </w:r>
            <w:proofErr w:type="spellStart"/>
            <w:r w:rsidRPr="00BE77DA">
              <w:rPr>
                <w:rFonts w:ascii="Arial Narrow" w:hAnsi="Arial Narrow"/>
                <w:snapToGrid/>
                <w:sz w:val="20"/>
                <w:szCs w:val="24"/>
                <w:lang w:eastAsia="en-AU"/>
              </w:rPr>
              <w:t>Engl</w:t>
            </w:r>
            <w:proofErr w:type="spellEnd"/>
            <w:r w:rsidRPr="00BE77DA">
              <w:rPr>
                <w:rFonts w:ascii="Arial Narrow" w:hAnsi="Arial Narrow"/>
                <w:snapToGrid/>
                <w:sz w:val="20"/>
                <w:szCs w:val="24"/>
                <w:lang w:eastAsia="en-AU"/>
              </w:rPr>
              <w:t xml:space="preserve"> J Med 2013</w:t>
            </w:r>
            <w:proofErr w:type="gramStart"/>
            <w:r w:rsidRPr="00BE77DA">
              <w:rPr>
                <w:rFonts w:ascii="Arial Narrow" w:hAnsi="Arial Narrow"/>
                <w:snapToGrid/>
                <w:sz w:val="20"/>
                <w:szCs w:val="24"/>
                <w:lang w:eastAsia="en-AU"/>
              </w:rPr>
              <w:t>;369:134</w:t>
            </w:r>
            <w:proofErr w:type="gramEnd"/>
            <w:r w:rsidRPr="00BE77DA">
              <w:rPr>
                <w:rFonts w:ascii="Arial Narrow" w:hAnsi="Arial Narrow"/>
                <w:snapToGrid/>
                <w:sz w:val="20"/>
                <w:szCs w:val="24"/>
                <w:lang w:eastAsia="en-AU"/>
              </w:rPr>
              <w:t>-44.</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KN-006</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 DB, MC </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Robert C, </w:t>
            </w:r>
            <w:proofErr w:type="spellStart"/>
            <w:r w:rsidRPr="00BE77DA">
              <w:rPr>
                <w:rFonts w:ascii="Arial Narrow" w:hAnsi="Arial Narrow"/>
                <w:snapToGrid/>
                <w:sz w:val="20"/>
                <w:szCs w:val="24"/>
                <w:lang w:eastAsia="en-AU"/>
              </w:rPr>
              <w:t>Schachter</w:t>
            </w:r>
            <w:proofErr w:type="spellEnd"/>
            <w:r w:rsidRPr="00BE77DA">
              <w:rPr>
                <w:rFonts w:ascii="Arial Narrow" w:hAnsi="Arial Narrow"/>
                <w:snapToGrid/>
                <w:sz w:val="20"/>
                <w:szCs w:val="24"/>
                <w:lang w:eastAsia="en-AU"/>
              </w:rPr>
              <w:t xml:space="preserve"> J, Long G et al. Pembrolizumab versus Ipilimumab in Advanced Melanoma. N </w:t>
            </w:r>
            <w:proofErr w:type="spellStart"/>
            <w:r w:rsidRPr="00BE77DA">
              <w:rPr>
                <w:rFonts w:ascii="Arial Narrow" w:hAnsi="Arial Narrow"/>
                <w:snapToGrid/>
                <w:sz w:val="20"/>
                <w:szCs w:val="24"/>
                <w:lang w:eastAsia="en-AU"/>
              </w:rPr>
              <w:t>Engl</w:t>
            </w:r>
            <w:proofErr w:type="spellEnd"/>
            <w:r w:rsidRPr="00BE77DA">
              <w:rPr>
                <w:rFonts w:ascii="Arial Narrow" w:hAnsi="Arial Narrow"/>
                <w:snapToGrid/>
                <w:sz w:val="20"/>
                <w:szCs w:val="24"/>
                <w:lang w:eastAsia="en-AU"/>
              </w:rPr>
              <w:t xml:space="preserve"> J Med 2015; 372:2521-2532</w:t>
            </w:r>
            <w:r w:rsidR="00EF7243" w:rsidRPr="00BE77DA">
              <w:rPr>
                <w:rFonts w:ascii="Arial Narrow" w:hAnsi="Arial Narrow"/>
                <w:snapToGrid/>
                <w:sz w:val="20"/>
                <w:szCs w:val="24"/>
                <w:lang w:eastAsia="en-AU"/>
              </w:rPr>
              <w:t>.</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r w:rsidR="005E3FD6" w:rsidRPr="00BE77DA" w:rsidTr="005E3FD6">
        <w:tc>
          <w:tcPr>
            <w:tcW w:w="5000" w:type="pct"/>
            <w:gridSpan w:val="4"/>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iCs/>
                <w:snapToGrid/>
                <w:sz w:val="20"/>
                <w:szCs w:val="24"/>
                <w:lang w:eastAsia="en-AU"/>
              </w:rPr>
            </w:pPr>
            <w:proofErr w:type="spellStart"/>
            <w:r w:rsidRPr="00BE77DA">
              <w:rPr>
                <w:rFonts w:ascii="Arial Narrow" w:hAnsi="Arial Narrow"/>
                <w:iCs/>
                <w:snapToGrid/>
                <w:sz w:val="20"/>
                <w:szCs w:val="24"/>
                <w:lang w:eastAsia="en-AU"/>
              </w:rPr>
              <w:t>Nivolumab</w:t>
            </w:r>
            <w:proofErr w:type="spellEnd"/>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CA209-066</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 DB, MC </w:t>
            </w:r>
          </w:p>
        </w:tc>
        <w:tc>
          <w:tcPr>
            <w:tcW w:w="2828"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A Phase 3, Randomized, Double-blind Study of BMS-936558 (</w:t>
            </w:r>
            <w:proofErr w:type="spellStart"/>
            <w:r w:rsidRPr="00BE77DA">
              <w:rPr>
                <w:rFonts w:ascii="Arial Narrow" w:hAnsi="Arial Narrow"/>
                <w:snapToGrid/>
                <w:sz w:val="20"/>
                <w:szCs w:val="24"/>
                <w:lang w:eastAsia="en-AU"/>
              </w:rPr>
              <w:t>Nivolumab</w:t>
            </w:r>
            <w:proofErr w:type="spellEnd"/>
            <w:r w:rsidRPr="00BE77DA">
              <w:rPr>
                <w:rFonts w:ascii="Arial Narrow" w:hAnsi="Arial Narrow"/>
                <w:snapToGrid/>
                <w:sz w:val="20"/>
                <w:szCs w:val="24"/>
                <w:lang w:eastAsia="en-AU"/>
              </w:rPr>
              <w:t xml:space="preserve">) Versus </w:t>
            </w:r>
            <w:proofErr w:type="spellStart"/>
            <w:r w:rsidRPr="00BE77DA">
              <w:rPr>
                <w:rFonts w:ascii="Arial Narrow" w:hAnsi="Arial Narrow"/>
                <w:snapToGrid/>
                <w:sz w:val="20"/>
                <w:szCs w:val="24"/>
                <w:lang w:eastAsia="en-AU"/>
              </w:rPr>
              <w:t>Dacarbazine</w:t>
            </w:r>
            <w:proofErr w:type="spellEnd"/>
            <w:r w:rsidRPr="00BE77DA">
              <w:rPr>
                <w:rFonts w:ascii="Arial Narrow" w:hAnsi="Arial Narrow"/>
                <w:snapToGrid/>
                <w:sz w:val="20"/>
                <w:szCs w:val="24"/>
                <w:lang w:eastAsia="en-AU"/>
              </w:rPr>
              <w:t xml:space="preserve"> in Subjects with Previously Untreated, Unresectable or Metastatic Melanoma. 20-Oct-2014.</w:t>
            </w:r>
          </w:p>
          <w:p w:rsidR="005E3FD6" w:rsidRPr="00BE77DA" w:rsidRDefault="005E3FD6" w:rsidP="00D7653A">
            <w:pPr>
              <w:widowControl/>
              <w:jc w:val="left"/>
              <w:rPr>
                <w:rFonts w:ascii="Arial Narrow" w:hAnsi="Arial Narrow"/>
                <w:snapToGrid/>
                <w:sz w:val="20"/>
                <w:szCs w:val="24"/>
                <w:lang w:eastAsia="en-AU"/>
              </w:rPr>
            </w:pPr>
          </w:p>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Robert C, Long GV, Brady B, et al. </w:t>
            </w:r>
            <w:proofErr w:type="spellStart"/>
            <w:r w:rsidRPr="00BE77DA">
              <w:rPr>
                <w:rFonts w:ascii="Arial Narrow" w:hAnsi="Arial Narrow"/>
                <w:snapToGrid/>
                <w:sz w:val="20"/>
                <w:szCs w:val="24"/>
                <w:lang w:eastAsia="en-AU"/>
              </w:rPr>
              <w:t>Nivolumab</w:t>
            </w:r>
            <w:proofErr w:type="spellEnd"/>
            <w:r w:rsidRPr="00BE77DA">
              <w:rPr>
                <w:rFonts w:ascii="Arial Narrow" w:hAnsi="Arial Narrow"/>
                <w:snapToGrid/>
                <w:sz w:val="20"/>
                <w:szCs w:val="24"/>
                <w:lang w:eastAsia="en-AU"/>
              </w:rPr>
              <w:t xml:space="preserve"> in previously untreated melanoma without BRAF mutation. N </w:t>
            </w:r>
            <w:proofErr w:type="spellStart"/>
            <w:r w:rsidRPr="00BE77DA">
              <w:rPr>
                <w:rFonts w:ascii="Arial Narrow" w:hAnsi="Arial Narrow"/>
                <w:snapToGrid/>
                <w:sz w:val="20"/>
                <w:szCs w:val="24"/>
                <w:lang w:eastAsia="en-AU"/>
              </w:rPr>
              <w:t>Engl</w:t>
            </w:r>
            <w:proofErr w:type="spellEnd"/>
            <w:r w:rsidRPr="00BE77DA">
              <w:rPr>
                <w:rFonts w:ascii="Arial Narrow" w:hAnsi="Arial Narrow"/>
                <w:snapToGrid/>
                <w:sz w:val="20"/>
                <w:szCs w:val="24"/>
                <w:lang w:eastAsia="en-AU"/>
              </w:rPr>
              <w:t xml:space="preserve"> J Med 2015; 372(4):311-9.</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r w:rsidR="005E3FD6" w:rsidRPr="00BE77DA" w:rsidTr="005E3FD6">
        <w:tc>
          <w:tcPr>
            <w:tcW w:w="5000" w:type="pct"/>
            <w:gridSpan w:val="4"/>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left"/>
              <w:rPr>
                <w:rFonts w:ascii="Arial Narrow" w:hAnsi="Arial Narrow"/>
                <w:iCs/>
                <w:snapToGrid/>
                <w:sz w:val="20"/>
                <w:szCs w:val="24"/>
                <w:lang w:eastAsia="en-AU"/>
              </w:rPr>
            </w:pPr>
            <w:r w:rsidRPr="00BE77DA">
              <w:rPr>
                <w:rFonts w:ascii="Arial Narrow" w:hAnsi="Arial Narrow"/>
                <w:iCs/>
                <w:snapToGrid/>
                <w:sz w:val="20"/>
                <w:szCs w:val="24"/>
                <w:lang w:eastAsia="en-AU"/>
              </w:rPr>
              <w:t>Ipilimumab</w:t>
            </w:r>
          </w:p>
        </w:tc>
      </w:tr>
      <w:tr w:rsidR="005E3FD6" w:rsidRPr="00BE77DA" w:rsidTr="00EF7243">
        <w:tc>
          <w:tcPr>
            <w:tcW w:w="713"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MDX010-20</w:t>
            </w:r>
          </w:p>
        </w:tc>
        <w:tc>
          <w:tcPr>
            <w:tcW w:w="598"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R, DB, MC </w:t>
            </w:r>
          </w:p>
        </w:tc>
        <w:tc>
          <w:tcPr>
            <w:tcW w:w="2828" w:type="pct"/>
            <w:tcBorders>
              <w:top w:val="single" w:sz="4" w:space="0" w:color="auto"/>
              <w:left w:val="single" w:sz="4" w:space="0" w:color="auto"/>
              <w:bottom w:val="single" w:sz="4" w:space="0" w:color="auto"/>
              <w:right w:val="single" w:sz="4" w:space="0" w:color="auto"/>
            </w:tcBorders>
          </w:tcPr>
          <w:p w:rsidR="005E3FD6" w:rsidRPr="00BE77DA" w:rsidRDefault="005E3FD6" w:rsidP="00D7653A">
            <w:pPr>
              <w:widowControl/>
              <w:jc w:val="left"/>
              <w:rPr>
                <w:rFonts w:ascii="Arial Narrow" w:hAnsi="Arial Narrow"/>
                <w:snapToGrid/>
                <w:sz w:val="20"/>
                <w:szCs w:val="24"/>
                <w:lang w:eastAsia="en-AU"/>
              </w:rPr>
            </w:pPr>
            <w:r w:rsidRPr="00BE77DA">
              <w:rPr>
                <w:rFonts w:ascii="Arial Narrow" w:hAnsi="Arial Narrow"/>
                <w:snapToGrid/>
                <w:sz w:val="20"/>
                <w:szCs w:val="24"/>
                <w:lang w:eastAsia="en-AU"/>
              </w:rPr>
              <w:t xml:space="preserve">A Randomized, Double-blind </w:t>
            </w:r>
            <w:proofErr w:type="spellStart"/>
            <w:r w:rsidRPr="00BE77DA">
              <w:rPr>
                <w:rFonts w:ascii="Arial Narrow" w:hAnsi="Arial Narrow"/>
                <w:snapToGrid/>
                <w:sz w:val="20"/>
                <w:szCs w:val="24"/>
                <w:lang w:eastAsia="en-AU"/>
              </w:rPr>
              <w:t>Multicenter</w:t>
            </w:r>
            <w:proofErr w:type="spellEnd"/>
            <w:r w:rsidRPr="00BE77DA">
              <w:rPr>
                <w:rFonts w:ascii="Arial Narrow" w:hAnsi="Arial Narrow"/>
                <w:snapToGrid/>
                <w:sz w:val="20"/>
                <w:szCs w:val="24"/>
                <w:lang w:eastAsia="en-AU"/>
              </w:rPr>
              <w:t xml:space="preserve"> Study Comparing MDX-010 Monotherapy, MDX-010 in Combination with a Melanoma Peptide Vaccine, and Melanoma Vaccine Monotherapy in HLA-A*0201-Positive Patients with Previously Treated Unresectable Stage III or IV Melanoma. Mar-2010.</w:t>
            </w:r>
          </w:p>
          <w:p w:rsidR="005E3FD6" w:rsidRPr="00BE77DA" w:rsidRDefault="005E3FD6" w:rsidP="00D7653A">
            <w:pPr>
              <w:widowControl/>
              <w:jc w:val="left"/>
              <w:rPr>
                <w:rFonts w:ascii="Arial Narrow" w:hAnsi="Arial Narrow"/>
                <w:snapToGrid/>
                <w:sz w:val="20"/>
                <w:szCs w:val="24"/>
                <w:lang w:eastAsia="en-AU"/>
              </w:rPr>
            </w:pPr>
          </w:p>
          <w:p w:rsidR="005E3FD6" w:rsidRPr="00BE77DA" w:rsidRDefault="005E3FD6" w:rsidP="00D7653A">
            <w:pPr>
              <w:widowControl/>
              <w:jc w:val="left"/>
              <w:rPr>
                <w:rFonts w:ascii="Arial Narrow" w:hAnsi="Arial Narrow"/>
                <w:snapToGrid/>
                <w:sz w:val="20"/>
                <w:szCs w:val="24"/>
                <w:lang w:eastAsia="en-AU"/>
              </w:rPr>
            </w:pPr>
            <w:proofErr w:type="spellStart"/>
            <w:r w:rsidRPr="00BE77DA">
              <w:rPr>
                <w:rFonts w:ascii="Arial Narrow" w:hAnsi="Arial Narrow"/>
                <w:snapToGrid/>
                <w:sz w:val="20"/>
                <w:szCs w:val="24"/>
                <w:lang w:eastAsia="en-AU"/>
              </w:rPr>
              <w:t>Hodi</w:t>
            </w:r>
            <w:proofErr w:type="spellEnd"/>
            <w:r w:rsidRPr="00BE77DA">
              <w:rPr>
                <w:rFonts w:ascii="Arial Narrow" w:hAnsi="Arial Narrow"/>
                <w:snapToGrid/>
                <w:sz w:val="20"/>
                <w:szCs w:val="24"/>
                <w:lang w:eastAsia="en-AU"/>
              </w:rPr>
              <w:t xml:space="preserve"> FS, </w:t>
            </w:r>
            <w:proofErr w:type="spellStart"/>
            <w:r w:rsidRPr="00BE77DA">
              <w:rPr>
                <w:rFonts w:ascii="Arial Narrow" w:hAnsi="Arial Narrow"/>
                <w:snapToGrid/>
                <w:sz w:val="20"/>
                <w:szCs w:val="24"/>
                <w:lang w:eastAsia="en-AU"/>
              </w:rPr>
              <w:t>O'Day</w:t>
            </w:r>
            <w:proofErr w:type="spellEnd"/>
            <w:r w:rsidRPr="00BE77DA">
              <w:rPr>
                <w:rFonts w:ascii="Arial Narrow" w:hAnsi="Arial Narrow"/>
                <w:snapToGrid/>
                <w:sz w:val="20"/>
                <w:szCs w:val="24"/>
                <w:lang w:eastAsia="en-AU"/>
              </w:rPr>
              <w:t xml:space="preserve"> SJ, McDermott DF et al. Improved survival with ipilimumab in patients with metastatic melanoma. N </w:t>
            </w:r>
            <w:proofErr w:type="spellStart"/>
            <w:r w:rsidRPr="00BE77DA">
              <w:rPr>
                <w:rFonts w:ascii="Arial Narrow" w:hAnsi="Arial Narrow"/>
                <w:snapToGrid/>
                <w:sz w:val="20"/>
                <w:szCs w:val="24"/>
                <w:lang w:eastAsia="en-AU"/>
              </w:rPr>
              <w:t>Engl</w:t>
            </w:r>
            <w:proofErr w:type="spellEnd"/>
            <w:r w:rsidRPr="00BE77DA">
              <w:rPr>
                <w:rFonts w:ascii="Arial Narrow" w:hAnsi="Arial Narrow"/>
                <w:snapToGrid/>
                <w:sz w:val="20"/>
                <w:szCs w:val="24"/>
                <w:lang w:eastAsia="en-AU"/>
              </w:rPr>
              <w:t xml:space="preserve"> J Med. 2010a; 363(8): 711-23.</w:t>
            </w:r>
          </w:p>
        </w:tc>
        <w:tc>
          <w:tcPr>
            <w:tcW w:w="861" w:type="pct"/>
            <w:tcBorders>
              <w:top w:val="single" w:sz="4" w:space="0" w:color="auto"/>
              <w:left w:val="single" w:sz="4" w:space="0" w:color="auto"/>
              <w:bottom w:val="single" w:sz="4" w:space="0" w:color="auto"/>
              <w:right w:val="single" w:sz="4" w:space="0" w:color="auto"/>
            </w:tcBorders>
            <w:vAlign w:val="center"/>
          </w:tcPr>
          <w:p w:rsidR="005E3FD6" w:rsidRPr="00BE77DA" w:rsidRDefault="005E3FD6" w:rsidP="00D7653A">
            <w:pPr>
              <w:widowControl/>
              <w:jc w:val="center"/>
              <w:rPr>
                <w:rFonts w:ascii="Arial Narrow" w:hAnsi="Arial Narrow"/>
                <w:snapToGrid/>
                <w:sz w:val="20"/>
                <w:szCs w:val="24"/>
                <w:lang w:eastAsia="en-AU"/>
              </w:rPr>
            </w:pPr>
            <w:r w:rsidRPr="00BE77DA">
              <w:rPr>
                <w:rFonts w:ascii="Arial Narrow" w:hAnsi="Arial Narrow"/>
                <w:snapToGrid/>
                <w:sz w:val="20"/>
                <w:szCs w:val="24"/>
                <w:lang w:eastAsia="en-AU"/>
              </w:rPr>
              <w:t>No</w:t>
            </w:r>
          </w:p>
        </w:tc>
      </w:tr>
    </w:tbl>
    <w:p w:rsidR="005E3FD6" w:rsidRPr="00BE77DA" w:rsidRDefault="005E3FD6" w:rsidP="005E3FD6">
      <w:pPr>
        <w:ind w:left="720"/>
        <w:rPr>
          <w:rFonts w:ascii="Arial Narrow" w:hAnsi="Arial Narrow"/>
          <w:sz w:val="18"/>
          <w:szCs w:val="16"/>
        </w:rPr>
      </w:pPr>
      <w:r w:rsidRPr="00BE77DA">
        <w:rPr>
          <w:rFonts w:ascii="Arial Narrow" w:hAnsi="Arial Narrow"/>
          <w:sz w:val="18"/>
          <w:szCs w:val="16"/>
        </w:rPr>
        <w:t xml:space="preserve">Source: </w:t>
      </w:r>
      <w:r w:rsidRPr="00843EF3">
        <w:rPr>
          <w:rFonts w:ascii="Arial Narrow" w:hAnsi="Arial Narrow"/>
          <w:sz w:val="18"/>
          <w:szCs w:val="16"/>
        </w:rPr>
        <w:t>Table B.2-4, and Table B.2-6, p40 and p42 of the submission.</w:t>
      </w:r>
    </w:p>
    <w:p w:rsidR="00311B87" w:rsidRPr="00311B87" w:rsidRDefault="005E3FD6" w:rsidP="00311B87">
      <w:pPr>
        <w:ind w:left="720"/>
        <w:rPr>
          <w:szCs w:val="22"/>
        </w:rPr>
      </w:pPr>
      <w:r w:rsidRPr="00BE77DA">
        <w:rPr>
          <w:rFonts w:ascii="Arial Narrow" w:hAnsi="Arial Narrow"/>
          <w:sz w:val="18"/>
          <w:szCs w:val="16"/>
        </w:rPr>
        <w:t>DB=double blind; MC=multicentre; R=randomised; OL=open label</w:t>
      </w:r>
    </w:p>
    <w:p w:rsidR="00311B87" w:rsidRPr="00311B87" w:rsidRDefault="00311B87" w:rsidP="00311B87">
      <w:pPr>
        <w:widowControl/>
        <w:rPr>
          <w:szCs w:val="22"/>
        </w:rPr>
      </w:pPr>
    </w:p>
    <w:p w:rsidR="00211FCF" w:rsidRPr="00311B87" w:rsidRDefault="00311B87" w:rsidP="00ED000E">
      <w:pPr>
        <w:pStyle w:val="ListParagraph"/>
        <w:widowControl/>
        <w:numPr>
          <w:ilvl w:val="1"/>
          <w:numId w:val="1"/>
        </w:numPr>
        <w:rPr>
          <w:szCs w:val="22"/>
        </w:rPr>
      </w:pPr>
      <w:r w:rsidRPr="00311B87">
        <w:rPr>
          <w:szCs w:val="22"/>
        </w:rPr>
        <w:t>The</w:t>
      </w:r>
      <w:r w:rsidRPr="00BE77DA">
        <w:t xml:space="preserve"> key features of the trials presented by the submission are summarised in </w:t>
      </w:r>
      <w:r w:rsidR="00D07F7B">
        <w:t xml:space="preserve">Table </w:t>
      </w:r>
      <w:r w:rsidR="00D07F7B">
        <w:rPr>
          <w:noProof/>
        </w:rPr>
        <w:t>2</w:t>
      </w:r>
      <w:proofErr w:type="gramStart"/>
      <w:r w:rsidRPr="00BE77DA">
        <w:t xml:space="preserve">.  </w:t>
      </w:r>
      <w:proofErr w:type="gramEnd"/>
      <w:r w:rsidRPr="00BE77DA">
        <w:t xml:space="preserve">The </w:t>
      </w:r>
      <w:proofErr w:type="spellStart"/>
      <w:r w:rsidRPr="00BE77DA">
        <w:t>OPTiM</w:t>
      </w:r>
      <w:proofErr w:type="spellEnd"/>
      <w:r w:rsidRPr="00BE77DA">
        <w:t>, CA209-066 and MDX010-20 trials were used for the informal comparison.</w:t>
      </w:r>
    </w:p>
    <w:p w:rsidR="00CD0B59" w:rsidRPr="00BE77DA" w:rsidRDefault="00CD0B59" w:rsidP="00CD0B59">
      <w:pPr>
        <w:widowControl/>
        <w:rPr>
          <w:szCs w:val="22"/>
        </w:rPr>
      </w:pPr>
    </w:p>
    <w:p w:rsidR="007217C1" w:rsidRPr="00051969" w:rsidRDefault="007217C1" w:rsidP="00941383">
      <w:pPr>
        <w:pStyle w:val="TableHeader"/>
        <w:keepNext/>
        <w:keepLines/>
        <w:ind w:left="709"/>
        <w:rPr>
          <w:rFonts w:ascii="Arial Narrow" w:hAnsi="Arial Narrow"/>
        </w:rPr>
      </w:pPr>
      <w:bookmarkStart w:id="10" w:name="_Ref453167773"/>
      <w:r w:rsidRPr="00051969">
        <w:rPr>
          <w:rFonts w:ascii="Arial Narrow" w:hAnsi="Arial Narrow"/>
        </w:rPr>
        <w:t xml:space="preserve">Table </w:t>
      </w:r>
      <w:r w:rsidR="00D07F7B" w:rsidRPr="00051969">
        <w:rPr>
          <w:rFonts w:ascii="Arial Narrow" w:hAnsi="Arial Narrow"/>
          <w:noProof/>
        </w:rPr>
        <w:t>2</w:t>
      </w:r>
      <w:bookmarkEnd w:id="10"/>
      <w:r w:rsidRPr="00051969">
        <w:rPr>
          <w:rFonts w:ascii="Arial Narrow" w:hAnsi="Arial Narrow"/>
        </w:rPr>
        <w:t>: Summary of trials used in the clinical evaluation</w:t>
      </w:r>
    </w:p>
    <w:tbl>
      <w:tblPr>
        <w:tblStyle w:val="TableGrid"/>
        <w:tblW w:w="4604" w:type="pct"/>
        <w:tblInd w:w="737" w:type="dxa"/>
        <w:tblCellMar>
          <w:left w:w="28" w:type="dxa"/>
          <w:right w:w="28" w:type="dxa"/>
        </w:tblCellMar>
        <w:tblLook w:val="04A0" w:firstRow="1" w:lastRow="0" w:firstColumn="1" w:lastColumn="0" w:noHBand="0" w:noVBand="1"/>
        <w:tblCaption w:val="Table 2: Summary of trials used in the clinical evaluation"/>
      </w:tblPr>
      <w:tblGrid>
        <w:gridCol w:w="1134"/>
        <w:gridCol w:w="425"/>
        <w:gridCol w:w="1989"/>
        <w:gridCol w:w="706"/>
        <w:gridCol w:w="1828"/>
        <w:gridCol w:w="2282"/>
      </w:tblGrid>
      <w:tr w:rsidR="00CD0B59" w:rsidRPr="00BE77DA" w:rsidTr="00EF7243">
        <w:trPr>
          <w:tblHeader/>
        </w:trPr>
        <w:tc>
          <w:tcPr>
            <w:tcW w:w="678" w:type="pct"/>
            <w:vAlign w:val="center"/>
          </w:tcPr>
          <w:p w:rsidR="00CD0B59" w:rsidRPr="00BE77DA" w:rsidRDefault="00CD0B59" w:rsidP="00D7653A">
            <w:pPr>
              <w:jc w:val="left"/>
              <w:rPr>
                <w:rFonts w:ascii="Arial Narrow" w:hAnsi="Arial Narrow"/>
                <w:b/>
                <w:sz w:val="20"/>
              </w:rPr>
            </w:pPr>
            <w:r w:rsidRPr="00BE77DA">
              <w:rPr>
                <w:rFonts w:ascii="Arial Narrow" w:hAnsi="Arial Narrow"/>
                <w:b/>
                <w:sz w:val="20"/>
              </w:rPr>
              <w:t>Trial ID</w:t>
            </w:r>
          </w:p>
        </w:tc>
        <w:tc>
          <w:tcPr>
            <w:tcW w:w="254" w:type="pct"/>
            <w:vAlign w:val="center"/>
          </w:tcPr>
          <w:p w:rsidR="00CD0B59" w:rsidRPr="00BE77DA" w:rsidRDefault="00CD0B59" w:rsidP="00D7653A">
            <w:pPr>
              <w:jc w:val="center"/>
              <w:rPr>
                <w:rFonts w:ascii="Arial Narrow" w:hAnsi="Arial Narrow"/>
                <w:b/>
                <w:sz w:val="20"/>
              </w:rPr>
            </w:pPr>
            <w:r w:rsidRPr="00BE77DA">
              <w:rPr>
                <w:rFonts w:ascii="Arial Narrow" w:hAnsi="Arial Narrow"/>
                <w:b/>
                <w:sz w:val="20"/>
              </w:rPr>
              <w:t>N</w:t>
            </w:r>
          </w:p>
        </w:tc>
        <w:tc>
          <w:tcPr>
            <w:tcW w:w="1189" w:type="pct"/>
            <w:vAlign w:val="center"/>
          </w:tcPr>
          <w:p w:rsidR="00CD0B59" w:rsidRPr="00BE77DA" w:rsidRDefault="00B51F03" w:rsidP="00D7653A">
            <w:pPr>
              <w:jc w:val="center"/>
              <w:rPr>
                <w:rFonts w:ascii="Arial Narrow" w:hAnsi="Arial Narrow"/>
                <w:b/>
                <w:sz w:val="20"/>
              </w:rPr>
            </w:pPr>
            <w:r w:rsidRPr="00BE77DA">
              <w:rPr>
                <w:rFonts w:ascii="Arial Narrow" w:hAnsi="Arial Narrow"/>
                <w:b/>
                <w:sz w:val="20"/>
              </w:rPr>
              <w:t>Trial design</w:t>
            </w:r>
          </w:p>
        </w:tc>
        <w:tc>
          <w:tcPr>
            <w:tcW w:w="422" w:type="pct"/>
            <w:vAlign w:val="center"/>
          </w:tcPr>
          <w:p w:rsidR="00CD0B59" w:rsidRPr="00BE77DA" w:rsidRDefault="00B51F03" w:rsidP="00D7653A">
            <w:pPr>
              <w:jc w:val="center"/>
              <w:rPr>
                <w:rFonts w:ascii="Arial Narrow" w:hAnsi="Arial Narrow"/>
                <w:b/>
                <w:sz w:val="20"/>
              </w:rPr>
            </w:pPr>
            <w:r w:rsidRPr="00BE77DA">
              <w:rPr>
                <w:rFonts w:ascii="Arial Narrow" w:hAnsi="Arial Narrow"/>
                <w:b/>
                <w:sz w:val="20"/>
              </w:rPr>
              <w:t>Risk of bias</w:t>
            </w:r>
          </w:p>
        </w:tc>
        <w:tc>
          <w:tcPr>
            <w:tcW w:w="1093" w:type="pct"/>
            <w:vAlign w:val="center"/>
          </w:tcPr>
          <w:p w:rsidR="00CD0B59" w:rsidRPr="00BE77DA" w:rsidRDefault="00CD0B59" w:rsidP="00D7653A">
            <w:pPr>
              <w:jc w:val="center"/>
              <w:rPr>
                <w:rFonts w:ascii="Arial Narrow" w:hAnsi="Arial Narrow"/>
                <w:b/>
                <w:sz w:val="20"/>
              </w:rPr>
            </w:pPr>
            <w:r w:rsidRPr="00BE77DA">
              <w:rPr>
                <w:rFonts w:ascii="Arial Narrow" w:hAnsi="Arial Narrow"/>
                <w:b/>
                <w:sz w:val="20"/>
              </w:rPr>
              <w:t>Primary outcome</w:t>
            </w:r>
          </w:p>
        </w:tc>
        <w:tc>
          <w:tcPr>
            <w:tcW w:w="1364" w:type="pct"/>
            <w:vAlign w:val="center"/>
          </w:tcPr>
          <w:p w:rsidR="00CD0B59" w:rsidRPr="00BE77DA" w:rsidRDefault="00CD0B59" w:rsidP="00D7653A">
            <w:pPr>
              <w:jc w:val="center"/>
              <w:rPr>
                <w:rFonts w:ascii="Arial Narrow" w:hAnsi="Arial Narrow"/>
                <w:b/>
                <w:sz w:val="20"/>
              </w:rPr>
            </w:pPr>
            <w:r w:rsidRPr="00BE77DA">
              <w:rPr>
                <w:rFonts w:ascii="Arial Narrow" w:hAnsi="Arial Narrow"/>
                <w:b/>
                <w:sz w:val="20"/>
              </w:rPr>
              <w:t>Use in the economic evaluation</w:t>
            </w:r>
          </w:p>
        </w:tc>
      </w:tr>
      <w:tr w:rsidR="00DE4906" w:rsidRPr="00BE77DA" w:rsidTr="00D7653A">
        <w:tc>
          <w:tcPr>
            <w:tcW w:w="5000" w:type="pct"/>
            <w:gridSpan w:val="6"/>
            <w:vAlign w:val="center"/>
          </w:tcPr>
          <w:p w:rsidR="00DE4906" w:rsidRPr="00BE77DA" w:rsidRDefault="00DE4906" w:rsidP="00D7653A">
            <w:pPr>
              <w:jc w:val="left"/>
              <w:rPr>
                <w:rFonts w:ascii="Arial Narrow" w:hAnsi="Arial Narrow"/>
                <w:b/>
                <w:sz w:val="20"/>
              </w:rPr>
            </w:pPr>
            <w:r w:rsidRPr="00BE77DA">
              <w:rPr>
                <w:rFonts w:ascii="Arial Narrow" w:hAnsi="Arial Narrow"/>
                <w:b/>
                <w:sz w:val="20"/>
              </w:rPr>
              <w:t>T-VEC vs. GM-CSF</w:t>
            </w:r>
          </w:p>
        </w:tc>
      </w:tr>
      <w:tr w:rsidR="00DE4906" w:rsidRPr="00BE77DA" w:rsidTr="00EF7243">
        <w:tc>
          <w:tcPr>
            <w:tcW w:w="678" w:type="pct"/>
            <w:vAlign w:val="center"/>
          </w:tcPr>
          <w:p w:rsidR="00DE4906" w:rsidRPr="00BE77DA" w:rsidRDefault="00DE4906" w:rsidP="00D7653A">
            <w:pPr>
              <w:jc w:val="left"/>
              <w:rPr>
                <w:rFonts w:ascii="Arial Narrow" w:hAnsi="Arial Narrow"/>
                <w:sz w:val="20"/>
              </w:rPr>
            </w:pPr>
            <w:proofErr w:type="spellStart"/>
            <w:r w:rsidRPr="00BE77DA">
              <w:rPr>
                <w:rFonts w:ascii="Arial Narrow" w:hAnsi="Arial Narrow"/>
                <w:sz w:val="20"/>
              </w:rPr>
              <w:t>OPTiM</w:t>
            </w:r>
            <w:proofErr w:type="spellEnd"/>
          </w:p>
        </w:tc>
        <w:tc>
          <w:tcPr>
            <w:tcW w:w="254" w:type="pct"/>
            <w:vAlign w:val="center"/>
          </w:tcPr>
          <w:p w:rsidR="00DE4906" w:rsidRPr="00BE77DA" w:rsidRDefault="00DE4906" w:rsidP="00D7653A">
            <w:pPr>
              <w:jc w:val="center"/>
              <w:rPr>
                <w:rFonts w:ascii="Arial Narrow" w:hAnsi="Arial Narrow"/>
                <w:sz w:val="20"/>
              </w:rPr>
            </w:pPr>
            <w:r w:rsidRPr="00BE77DA">
              <w:rPr>
                <w:rFonts w:ascii="Arial Narrow" w:hAnsi="Arial Narrow"/>
                <w:sz w:val="20"/>
              </w:rPr>
              <w:t>336</w:t>
            </w:r>
          </w:p>
        </w:tc>
        <w:tc>
          <w:tcPr>
            <w:tcW w:w="1189" w:type="pct"/>
            <w:vAlign w:val="center"/>
          </w:tcPr>
          <w:p w:rsidR="00DE4906" w:rsidRPr="00BE77DA" w:rsidRDefault="00DE4906" w:rsidP="00EF7243">
            <w:pPr>
              <w:jc w:val="center"/>
              <w:rPr>
                <w:rFonts w:ascii="Arial Narrow" w:hAnsi="Arial Narrow"/>
                <w:sz w:val="20"/>
                <w:highlight w:val="yellow"/>
              </w:rPr>
            </w:pPr>
            <w:r w:rsidRPr="00BE77DA">
              <w:rPr>
                <w:rFonts w:ascii="Arial Narrow" w:hAnsi="Arial Narrow"/>
                <w:sz w:val="20"/>
              </w:rPr>
              <w:t>Phase III</w:t>
            </w:r>
            <w:r w:rsidR="00EF7243" w:rsidRPr="00BE77DA">
              <w:rPr>
                <w:rFonts w:ascii="Arial Narrow" w:hAnsi="Arial Narrow"/>
                <w:sz w:val="20"/>
              </w:rPr>
              <w:t>,</w:t>
            </w:r>
            <w:r w:rsidRPr="00BE77DA">
              <w:rPr>
                <w:rFonts w:ascii="Arial Narrow" w:hAnsi="Arial Narrow"/>
                <w:sz w:val="20"/>
              </w:rPr>
              <w:t xml:space="preserve"> R, OL, MC</w:t>
            </w:r>
          </w:p>
        </w:tc>
        <w:tc>
          <w:tcPr>
            <w:tcW w:w="422" w:type="pct"/>
            <w:vAlign w:val="center"/>
          </w:tcPr>
          <w:p w:rsidR="00DE4906" w:rsidRPr="00BE77DA" w:rsidRDefault="007E75DA" w:rsidP="00D7653A">
            <w:pPr>
              <w:jc w:val="center"/>
              <w:rPr>
                <w:rFonts w:ascii="Arial Narrow" w:hAnsi="Arial Narrow"/>
                <w:sz w:val="20"/>
              </w:rPr>
            </w:pPr>
            <w:r w:rsidRPr="00BE77DA">
              <w:rPr>
                <w:rFonts w:ascii="Arial Narrow" w:hAnsi="Arial Narrow"/>
                <w:sz w:val="20"/>
              </w:rPr>
              <w:t>High</w:t>
            </w:r>
          </w:p>
        </w:tc>
        <w:tc>
          <w:tcPr>
            <w:tcW w:w="1093" w:type="pct"/>
            <w:vAlign w:val="center"/>
          </w:tcPr>
          <w:p w:rsidR="00DE4906" w:rsidRPr="00BE77DA" w:rsidRDefault="00DE4906" w:rsidP="00D7653A">
            <w:pPr>
              <w:jc w:val="center"/>
              <w:rPr>
                <w:rFonts w:ascii="Arial Narrow" w:hAnsi="Arial Narrow"/>
                <w:sz w:val="20"/>
              </w:rPr>
            </w:pPr>
            <w:r w:rsidRPr="00BE77DA">
              <w:rPr>
                <w:rFonts w:ascii="Arial Narrow" w:hAnsi="Arial Narrow"/>
                <w:sz w:val="20"/>
              </w:rPr>
              <w:t>Durable response rate</w:t>
            </w:r>
          </w:p>
        </w:tc>
        <w:tc>
          <w:tcPr>
            <w:tcW w:w="1364" w:type="pct"/>
            <w:vAlign w:val="center"/>
          </w:tcPr>
          <w:p w:rsidR="00DE4906" w:rsidRPr="00BE77DA" w:rsidRDefault="00DE4906" w:rsidP="00D7653A">
            <w:pPr>
              <w:jc w:val="center"/>
              <w:rPr>
                <w:rFonts w:ascii="Arial Narrow" w:hAnsi="Arial Narrow"/>
                <w:sz w:val="20"/>
              </w:rPr>
            </w:pPr>
            <w:r w:rsidRPr="00BE77DA">
              <w:rPr>
                <w:rFonts w:ascii="Arial Narrow" w:hAnsi="Arial Narrow"/>
                <w:sz w:val="20"/>
              </w:rPr>
              <w:t>Number of injections</w:t>
            </w:r>
            <w:r w:rsidR="00DC40F3" w:rsidRPr="00BE77DA">
              <w:rPr>
                <w:rFonts w:ascii="Arial Narrow" w:hAnsi="Arial Narrow"/>
                <w:sz w:val="20"/>
              </w:rPr>
              <w:t xml:space="preserve"> and amount per injection</w:t>
            </w:r>
          </w:p>
        </w:tc>
      </w:tr>
      <w:tr w:rsidR="00CD0B59" w:rsidRPr="00BE77DA" w:rsidTr="00D7653A">
        <w:tc>
          <w:tcPr>
            <w:tcW w:w="5000" w:type="pct"/>
            <w:gridSpan w:val="6"/>
            <w:vAlign w:val="center"/>
          </w:tcPr>
          <w:p w:rsidR="00CD0B59" w:rsidRPr="00BE77DA" w:rsidRDefault="00CD0B59" w:rsidP="00D7653A">
            <w:pPr>
              <w:jc w:val="left"/>
              <w:rPr>
                <w:rFonts w:ascii="Arial Narrow" w:hAnsi="Arial Narrow"/>
                <w:b/>
                <w:sz w:val="20"/>
              </w:rPr>
            </w:pPr>
            <w:proofErr w:type="spellStart"/>
            <w:r w:rsidRPr="00BE77DA">
              <w:rPr>
                <w:rFonts w:ascii="Arial Narrow" w:hAnsi="Arial Narrow"/>
                <w:b/>
                <w:sz w:val="20"/>
              </w:rPr>
              <w:t>Nivolumab</w:t>
            </w:r>
            <w:proofErr w:type="spellEnd"/>
            <w:r w:rsidRPr="00BE77DA">
              <w:rPr>
                <w:rFonts w:ascii="Arial Narrow" w:hAnsi="Arial Narrow"/>
                <w:b/>
                <w:sz w:val="20"/>
              </w:rPr>
              <w:t xml:space="preserve"> vs. DTIC</w:t>
            </w:r>
          </w:p>
        </w:tc>
      </w:tr>
      <w:tr w:rsidR="00CD0B59" w:rsidRPr="00BE77DA" w:rsidTr="00EF7243">
        <w:tc>
          <w:tcPr>
            <w:tcW w:w="678" w:type="pct"/>
            <w:vAlign w:val="center"/>
          </w:tcPr>
          <w:p w:rsidR="00CD0B59" w:rsidRPr="00BE77DA" w:rsidRDefault="00CD0B59" w:rsidP="00D7653A">
            <w:pPr>
              <w:jc w:val="left"/>
              <w:rPr>
                <w:rFonts w:ascii="Arial Narrow" w:hAnsi="Arial Narrow"/>
                <w:sz w:val="20"/>
              </w:rPr>
            </w:pPr>
            <w:r w:rsidRPr="00BE77DA">
              <w:rPr>
                <w:rFonts w:ascii="Arial Narrow" w:hAnsi="Arial Narrow"/>
                <w:sz w:val="20"/>
              </w:rPr>
              <w:t>CA209-066</w:t>
            </w:r>
          </w:p>
        </w:tc>
        <w:tc>
          <w:tcPr>
            <w:tcW w:w="254" w:type="pct"/>
            <w:vAlign w:val="center"/>
          </w:tcPr>
          <w:p w:rsidR="00CD0B59" w:rsidRPr="00BE77DA" w:rsidRDefault="00CD0B59" w:rsidP="00D7653A">
            <w:pPr>
              <w:jc w:val="center"/>
              <w:rPr>
                <w:rFonts w:ascii="Arial Narrow" w:hAnsi="Arial Narrow"/>
                <w:sz w:val="20"/>
              </w:rPr>
            </w:pPr>
            <w:r w:rsidRPr="00BE77DA">
              <w:rPr>
                <w:rFonts w:ascii="Arial Narrow" w:hAnsi="Arial Narrow"/>
                <w:sz w:val="20"/>
              </w:rPr>
              <w:t>411</w:t>
            </w:r>
          </w:p>
        </w:tc>
        <w:tc>
          <w:tcPr>
            <w:tcW w:w="1189" w:type="pct"/>
            <w:vAlign w:val="center"/>
          </w:tcPr>
          <w:p w:rsidR="00CD0B59" w:rsidRPr="00BE77DA" w:rsidRDefault="00B51F03" w:rsidP="00EF7243">
            <w:pPr>
              <w:jc w:val="center"/>
              <w:rPr>
                <w:rFonts w:ascii="Arial Narrow" w:hAnsi="Arial Narrow"/>
                <w:sz w:val="20"/>
                <w:highlight w:val="yellow"/>
              </w:rPr>
            </w:pPr>
            <w:r w:rsidRPr="00BE77DA">
              <w:rPr>
                <w:rFonts w:ascii="Arial Narrow" w:hAnsi="Arial Narrow"/>
                <w:sz w:val="20"/>
              </w:rPr>
              <w:t>Phase III</w:t>
            </w:r>
            <w:r w:rsidR="00EF7243" w:rsidRPr="00BE77DA">
              <w:rPr>
                <w:rFonts w:ascii="Arial Narrow" w:hAnsi="Arial Narrow"/>
                <w:sz w:val="20"/>
              </w:rPr>
              <w:t>,</w:t>
            </w:r>
            <w:r w:rsidRPr="00BE77DA">
              <w:rPr>
                <w:rFonts w:ascii="Arial Narrow" w:hAnsi="Arial Narrow"/>
                <w:sz w:val="20"/>
              </w:rPr>
              <w:t xml:space="preserve"> R, DB, MC</w:t>
            </w:r>
          </w:p>
        </w:tc>
        <w:tc>
          <w:tcPr>
            <w:tcW w:w="422" w:type="pct"/>
            <w:vAlign w:val="center"/>
          </w:tcPr>
          <w:p w:rsidR="00CD0B59" w:rsidRPr="00BE77DA" w:rsidRDefault="00B51F03" w:rsidP="00D7653A">
            <w:pPr>
              <w:jc w:val="center"/>
              <w:rPr>
                <w:rFonts w:ascii="Arial Narrow" w:hAnsi="Arial Narrow"/>
                <w:sz w:val="20"/>
              </w:rPr>
            </w:pPr>
            <w:r w:rsidRPr="00BE77DA">
              <w:rPr>
                <w:rFonts w:ascii="Arial Narrow" w:hAnsi="Arial Narrow"/>
                <w:sz w:val="20"/>
              </w:rPr>
              <w:t>Low</w:t>
            </w:r>
          </w:p>
        </w:tc>
        <w:tc>
          <w:tcPr>
            <w:tcW w:w="1093" w:type="pct"/>
            <w:vAlign w:val="center"/>
          </w:tcPr>
          <w:p w:rsidR="00CD0B59" w:rsidRPr="00BE77DA" w:rsidRDefault="00CD0B59" w:rsidP="00D7653A">
            <w:pPr>
              <w:jc w:val="center"/>
              <w:rPr>
                <w:rFonts w:ascii="Arial Narrow" w:hAnsi="Arial Narrow"/>
                <w:sz w:val="20"/>
              </w:rPr>
            </w:pPr>
            <w:r w:rsidRPr="00BE77DA">
              <w:rPr>
                <w:rFonts w:ascii="Arial Narrow" w:hAnsi="Arial Narrow"/>
                <w:sz w:val="20"/>
              </w:rPr>
              <w:t>Overall survival</w:t>
            </w:r>
          </w:p>
        </w:tc>
        <w:tc>
          <w:tcPr>
            <w:tcW w:w="1364" w:type="pct"/>
            <w:vAlign w:val="center"/>
          </w:tcPr>
          <w:p w:rsidR="00CD0B59" w:rsidRPr="00BE77DA" w:rsidRDefault="000C1422" w:rsidP="00D7653A">
            <w:pPr>
              <w:jc w:val="center"/>
              <w:rPr>
                <w:rFonts w:ascii="Arial Narrow" w:hAnsi="Arial Narrow"/>
                <w:sz w:val="20"/>
              </w:rPr>
            </w:pPr>
            <w:r w:rsidRPr="00BE77DA">
              <w:rPr>
                <w:rFonts w:ascii="Arial Narrow" w:hAnsi="Arial Narrow"/>
                <w:sz w:val="20"/>
              </w:rPr>
              <w:t>Not used</w:t>
            </w:r>
          </w:p>
        </w:tc>
      </w:tr>
      <w:tr w:rsidR="00CD0B59" w:rsidRPr="00BE77DA" w:rsidTr="00D7653A">
        <w:tc>
          <w:tcPr>
            <w:tcW w:w="5000" w:type="pct"/>
            <w:gridSpan w:val="6"/>
            <w:vAlign w:val="center"/>
          </w:tcPr>
          <w:p w:rsidR="00CD0B59" w:rsidRPr="00BE77DA" w:rsidRDefault="00CD0B59" w:rsidP="00D7653A">
            <w:pPr>
              <w:jc w:val="left"/>
              <w:rPr>
                <w:rFonts w:ascii="Arial Narrow" w:hAnsi="Arial Narrow"/>
                <w:b/>
                <w:sz w:val="20"/>
              </w:rPr>
            </w:pPr>
            <w:r w:rsidRPr="00BE77DA">
              <w:rPr>
                <w:rFonts w:ascii="Arial Narrow" w:hAnsi="Arial Narrow"/>
                <w:b/>
                <w:sz w:val="20"/>
              </w:rPr>
              <w:t>Ipilimumab vs. gp100</w:t>
            </w:r>
          </w:p>
        </w:tc>
      </w:tr>
      <w:tr w:rsidR="00CD0B59" w:rsidRPr="00BE77DA" w:rsidTr="00EF7243">
        <w:tc>
          <w:tcPr>
            <w:tcW w:w="678" w:type="pct"/>
            <w:vAlign w:val="center"/>
          </w:tcPr>
          <w:p w:rsidR="00CD0B59" w:rsidRPr="00BE77DA" w:rsidRDefault="00CD0B59" w:rsidP="00D7653A">
            <w:pPr>
              <w:jc w:val="left"/>
              <w:rPr>
                <w:rFonts w:ascii="Arial Narrow" w:hAnsi="Arial Narrow"/>
                <w:sz w:val="20"/>
              </w:rPr>
            </w:pPr>
            <w:r w:rsidRPr="00BE77DA">
              <w:rPr>
                <w:rFonts w:ascii="Arial Narrow" w:hAnsi="Arial Narrow"/>
                <w:sz w:val="20"/>
              </w:rPr>
              <w:t>MDX010-20</w:t>
            </w:r>
          </w:p>
        </w:tc>
        <w:tc>
          <w:tcPr>
            <w:tcW w:w="254" w:type="pct"/>
            <w:vAlign w:val="center"/>
          </w:tcPr>
          <w:p w:rsidR="00CD0B59" w:rsidRPr="00BE77DA" w:rsidRDefault="00CD0B59" w:rsidP="00D7653A">
            <w:pPr>
              <w:jc w:val="center"/>
              <w:rPr>
                <w:rFonts w:ascii="Arial Narrow" w:hAnsi="Arial Narrow"/>
                <w:sz w:val="20"/>
              </w:rPr>
            </w:pPr>
            <w:r w:rsidRPr="00BE77DA">
              <w:rPr>
                <w:rFonts w:ascii="Arial Narrow" w:hAnsi="Arial Narrow"/>
                <w:sz w:val="20"/>
              </w:rPr>
              <w:t>676</w:t>
            </w:r>
          </w:p>
        </w:tc>
        <w:tc>
          <w:tcPr>
            <w:tcW w:w="1189" w:type="pct"/>
            <w:vAlign w:val="center"/>
          </w:tcPr>
          <w:p w:rsidR="00CD0B59" w:rsidRPr="00BE77DA" w:rsidRDefault="00B51F03" w:rsidP="00EF7243">
            <w:pPr>
              <w:jc w:val="center"/>
              <w:rPr>
                <w:rFonts w:ascii="Arial Narrow" w:hAnsi="Arial Narrow"/>
                <w:sz w:val="20"/>
              </w:rPr>
            </w:pPr>
            <w:r w:rsidRPr="00BE77DA">
              <w:rPr>
                <w:rFonts w:ascii="Arial Narrow" w:hAnsi="Arial Narrow"/>
                <w:sz w:val="20"/>
              </w:rPr>
              <w:t>Phase III</w:t>
            </w:r>
            <w:r w:rsidR="00EF7243" w:rsidRPr="00BE77DA">
              <w:rPr>
                <w:rFonts w:ascii="Arial Narrow" w:hAnsi="Arial Narrow"/>
                <w:sz w:val="20"/>
              </w:rPr>
              <w:t>,</w:t>
            </w:r>
            <w:r w:rsidRPr="00BE77DA">
              <w:rPr>
                <w:rFonts w:ascii="Arial Narrow" w:hAnsi="Arial Narrow"/>
                <w:sz w:val="20"/>
              </w:rPr>
              <w:t xml:space="preserve"> R, DB, MC</w:t>
            </w:r>
          </w:p>
        </w:tc>
        <w:tc>
          <w:tcPr>
            <w:tcW w:w="422" w:type="pct"/>
            <w:vAlign w:val="center"/>
          </w:tcPr>
          <w:p w:rsidR="00CD0B59" w:rsidRPr="00BE77DA" w:rsidRDefault="00B51F03" w:rsidP="00D7653A">
            <w:pPr>
              <w:jc w:val="center"/>
              <w:rPr>
                <w:rFonts w:ascii="Arial Narrow" w:hAnsi="Arial Narrow"/>
                <w:sz w:val="20"/>
              </w:rPr>
            </w:pPr>
            <w:r w:rsidRPr="00BE77DA">
              <w:rPr>
                <w:rFonts w:ascii="Arial Narrow" w:hAnsi="Arial Narrow"/>
                <w:sz w:val="20"/>
              </w:rPr>
              <w:t>Low</w:t>
            </w:r>
            <w:r w:rsidR="00CD0B59" w:rsidRPr="00BE77DA">
              <w:rPr>
                <w:rFonts w:ascii="Arial Narrow" w:hAnsi="Arial Narrow"/>
                <w:sz w:val="20"/>
              </w:rPr>
              <w:t xml:space="preserve"> </w:t>
            </w:r>
          </w:p>
        </w:tc>
        <w:tc>
          <w:tcPr>
            <w:tcW w:w="1093" w:type="pct"/>
            <w:vAlign w:val="center"/>
          </w:tcPr>
          <w:p w:rsidR="00CD0B59" w:rsidRPr="00BE77DA" w:rsidRDefault="00CD0B59" w:rsidP="00D7653A">
            <w:pPr>
              <w:jc w:val="center"/>
              <w:rPr>
                <w:rFonts w:ascii="Arial Narrow" w:hAnsi="Arial Narrow"/>
                <w:sz w:val="20"/>
              </w:rPr>
            </w:pPr>
            <w:r w:rsidRPr="00BE77DA">
              <w:rPr>
                <w:rFonts w:ascii="Arial Narrow" w:hAnsi="Arial Narrow"/>
                <w:sz w:val="20"/>
              </w:rPr>
              <w:t>Overall survival</w:t>
            </w:r>
          </w:p>
        </w:tc>
        <w:tc>
          <w:tcPr>
            <w:tcW w:w="1364" w:type="pct"/>
            <w:vAlign w:val="center"/>
          </w:tcPr>
          <w:p w:rsidR="00CD0B59" w:rsidRPr="00BE77DA" w:rsidRDefault="000C1422" w:rsidP="00D7653A">
            <w:pPr>
              <w:jc w:val="center"/>
              <w:rPr>
                <w:rFonts w:ascii="Arial Narrow" w:hAnsi="Arial Narrow"/>
                <w:sz w:val="20"/>
              </w:rPr>
            </w:pPr>
            <w:r w:rsidRPr="00BE77DA">
              <w:rPr>
                <w:rFonts w:ascii="Arial Narrow" w:hAnsi="Arial Narrow"/>
                <w:sz w:val="20"/>
              </w:rPr>
              <w:t>Dose and number of cycles for induction and re-induction</w:t>
            </w:r>
          </w:p>
        </w:tc>
      </w:tr>
      <w:tr w:rsidR="00416FAA" w:rsidRPr="00BE77DA" w:rsidTr="00416FAA">
        <w:tc>
          <w:tcPr>
            <w:tcW w:w="5000" w:type="pct"/>
            <w:gridSpan w:val="6"/>
            <w:vAlign w:val="center"/>
          </w:tcPr>
          <w:p w:rsidR="00416FAA" w:rsidRPr="00BE77DA" w:rsidRDefault="00416FAA" w:rsidP="00416FAA">
            <w:pPr>
              <w:jc w:val="left"/>
              <w:rPr>
                <w:rFonts w:ascii="Arial Narrow" w:hAnsi="Arial Narrow"/>
                <w:b/>
                <w:sz w:val="20"/>
              </w:rPr>
            </w:pPr>
            <w:r w:rsidRPr="00BE77DA">
              <w:rPr>
                <w:rFonts w:ascii="Arial Narrow" w:hAnsi="Arial Narrow"/>
                <w:b/>
                <w:sz w:val="20"/>
              </w:rPr>
              <w:t>Pembrolizumab vs. ipilimumab</w:t>
            </w:r>
          </w:p>
        </w:tc>
      </w:tr>
      <w:tr w:rsidR="00416FAA" w:rsidRPr="00BE77DA" w:rsidTr="00EF7243">
        <w:tc>
          <w:tcPr>
            <w:tcW w:w="678" w:type="pct"/>
            <w:vAlign w:val="center"/>
          </w:tcPr>
          <w:p w:rsidR="00416FAA" w:rsidRPr="00BE77DA" w:rsidRDefault="00416FAA" w:rsidP="00416FAA">
            <w:pPr>
              <w:jc w:val="left"/>
              <w:rPr>
                <w:rFonts w:ascii="Arial Narrow" w:hAnsi="Arial Narrow"/>
                <w:sz w:val="20"/>
              </w:rPr>
            </w:pPr>
            <w:r w:rsidRPr="00BE77DA">
              <w:rPr>
                <w:rFonts w:ascii="Arial Narrow" w:hAnsi="Arial Narrow"/>
                <w:sz w:val="20"/>
              </w:rPr>
              <w:t>KN-006</w:t>
            </w:r>
          </w:p>
        </w:tc>
        <w:tc>
          <w:tcPr>
            <w:tcW w:w="254" w:type="pct"/>
            <w:vAlign w:val="center"/>
          </w:tcPr>
          <w:p w:rsidR="00416FAA" w:rsidRPr="00BE77DA" w:rsidRDefault="00744587" w:rsidP="00D7653A">
            <w:pPr>
              <w:jc w:val="center"/>
              <w:rPr>
                <w:rFonts w:ascii="Arial Narrow" w:hAnsi="Arial Narrow"/>
                <w:sz w:val="20"/>
              </w:rPr>
            </w:pPr>
            <w:r w:rsidRPr="00BE77DA">
              <w:rPr>
                <w:rFonts w:ascii="Arial Narrow" w:hAnsi="Arial Narrow"/>
                <w:sz w:val="20"/>
              </w:rPr>
              <w:t>834</w:t>
            </w:r>
          </w:p>
        </w:tc>
        <w:tc>
          <w:tcPr>
            <w:tcW w:w="1189" w:type="pct"/>
            <w:vAlign w:val="center"/>
          </w:tcPr>
          <w:p w:rsidR="00416FAA" w:rsidRPr="00BE77DA" w:rsidRDefault="00416FAA" w:rsidP="00EF7243">
            <w:pPr>
              <w:jc w:val="center"/>
              <w:rPr>
                <w:rFonts w:ascii="Arial Narrow" w:hAnsi="Arial Narrow"/>
                <w:sz w:val="20"/>
              </w:rPr>
            </w:pPr>
            <w:r w:rsidRPr="00BE77DA">
              <w:rPr>
                <w:rFonts w:ascii="Arial Narrow" w:hAnsi="Arial Narrow"/>
                <w:sz w:val="20"/>
              </w:rPr>
              <w:t>Phase III</w:t>
            </w:r>
            <w:r w:rsidR="00EF7243" w:rsidRPr="00BE77DA">
              <w:rPr>
                <w:rFonts w:ascii="Arial Narrow" w:hAnsi="Arial Narrow"/>
                <w:sz w:val="20"/>
              </w:rPr>
              <w:t xml:space="preserve">, </w:t>
            </w:r>
            <w:r w:rsidRPr="00BE77DA">
              <w:rPr>
                <w:rFonts w:ascii="Arial Narrow" w:hAnsi="Arial Narrow"/>
                <w:sz w:val="20"/>
              </w:rPr>
              <w:t xml:space="preserve">R, </w:t>
            </w:r>
            <w:r w:rsidR="00AE1BA0" w:rsidRPr="00BE77DA">
              <w:rPr>
                <w:rFonts w:ascii="Arial Narrow" w:hAnsi="Arial Narrow"/>
                <w:sz w:val="20"/>
              </w:rPr>
              <w:t>OL, MC</w:t>
            </w:r>
          </w:p>
        </w:tc>
        <w:tc>
          <w:tcPr>
            <w:tcW w:w="422" w:type="pct"/>
            <w:vAlign w:val="center"/>
          </w:tcPr>
          <w:p w:rsidR="00416FAA" w:rsidRPr="00BE77DA" w:rsidRDefault="00AE1BA0" w:rsidP="00D7653A">
            <w:pPr>
              <w:jc w:val="center"/>
              <w:rPr>
                <w:rFonts w:ascii="Arial Narrow" w:hAnsi="Arial Narrow"/>
                <w:sz w:val="20"/>
              </w:rPr>
            </w:pPr>
            <w:r w:rsidRPr="00BE77DA">
              <w:rPr>
                <w:rFonts w:ascii="Arial Narrow" w:hAnsi="Arial Narrow"/>
                <w:sz w:val="20"/>
              </w:rPr>
              <w:t>High</w:t>
            </w:r>
          </w:p>
        </w:tc>
        <w:tc>
          <w:tcPr>
            <w:tcW w:w="1093" w:type="pct"/>
            <w:vAlign w:val="center"/>
          </w:tcPr>
          <w:p w:rsidR="00416FAA" w:rsidRPr="00BE77DA" w:rsidRDefault="00416FAA" w:rsidP="00D7653A">
            <w:pPr>
              <w:jc w:val="center"/>
              <w:rPr>
                <w:rFonts w:ascii="Arial Narrow" w:hAnsi="Arial Narrow"/>
                <w:sz w:val="20"/>
              </w:rPr>
            </w:pPr>
            <w:r w:rsidRPr="00BE77DA">
              <w:rPr>
                <w:rFonts w:ascii="Arial Narrow" w:hAnsi="Arial Narrow"/>
                <w:sz w:val="20"/>
              </w:rPr>
              <w:t>Overall survival</w:t>
            </w:r>
          </w:p>
        </w:tc>
        <w:tc>
          <w:tcPr>
            <w:tcW w:w="1364" w:type="pct"/>
            <w:vAlign w:val="center"/>
          </w:tcPr>
          <w:p w:rsidR="00416FAA" w:rsidRPr="00BE77DA" w:rsidRDefault="00416FAA" w:rsidP="00D7653A">
            <w:pPr>
              <w:jc w:val="center"/>
              <w:rPr>
                <w:rFonts w:ascii="Arial Narrow" w:hAnsi="Arial Narrow"/>
                <w:sz w:val="20"/>
              </w:rPr>
            </w:pPr>
            <w:r w:rsidRPr="00BE77DA">
              <w:rPr>
                <w:rFonts w:ascii="Arial Narrow" w:hAnsi="Arial Narrow"/>
                <w:sz w:val="20"/>
              </w:rPr>
              <w:t>Not used</w:t>
            </w:r>
          </w:p>
        </w:tc>
      </w:tr>
      <w:tr w:rsidR="008B5264" w:rsidRPr="00BE77DA" w:rsidTr="008B5264">
        <w:tc>
          <w:tcPr>
            <w:tcW w:w="5000" w:type="pct"/>
            <w:gridSpan w:val="6"/>
            <w:vAlign w:val="center"/>
          </w:tcPr>
          <w:p w:rsidR="008B5264" w:rsidRPr="00BE77DA" w:rsidRDefault="008B5264" w:rsidP="008B5264">
            <w:pPr>
              <w:jc w:val="left"/>
              <w:rPr>
                <w:rFonts w:ascii="Arial Narrow" w:hAnsi="Arial Narrow"/>
                <w:b/>
                <w:sz w:val="20"/>
              </w:rPr>
            </w:pPr>
            <w:r w:rsidRPr="00BE77DA">
              <w:rPr>
                <w:rFonts w:ascii="Arial Narrow" w:hAnsi="Arial Narrow"/>
                <w:b/>
                <w:sz w:val="20"/>
              </w:rPr>
              <w:t>Pembrolizumab: different doses and patient populations</w:t>
            </w:r>
          </w:p>
        </w:tc>
      </w:tr>
      <w:tr w:rsidR="00416FAA" w:rsidRPr="00BE77DA" w:rsidTr="00EF7243">
        <w:tc>
          <w:tcPr>
            <w:tcW w:w="678" w:type="pct"/>
            <w:vAlign w:val="center"/>
          </w:tcPr>
          <w:p w:rsidR="00416FAA" w:rsidRPr="00BE77DA" w:rsidRDefault="008B5264" w:rsidP="00D7653A">
            <w:pPr>
              <w:jc w:val="left"/>
              <w:rPr>
                <w:rFonts w:ascii="Arial Narrow" w:hAnsi="Arial Narrow"/>
                <w:sz w:val="20"/>
              </w:rPr>
            </w:pPr>
            <w:r w:rsidRPr="00BE77DA">
              <w:rPr>
                <w:rFonts w:ascii="Arial Narrow" w:hAnsi="Arial Narrow"/>
                <w:sz w:val="20"/>
              </w:rPr>
              <w:t>KN-001</w:t>
            </w:r>
          </w:p>
        </w:tc>
        <w:tc>
          <w:tcPr>
            <w:tcW w:w="254"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135*</w:t>
            </w:r>
          </w:p>
        </w:tc>
        <w:tc>
          <w:tcPr>
            <w:tcW w:w="1189" w:type="pct"/>
            <w:vAlign w:val="center"/>
          </w:tcPr>
          <w:p w:rsidR="008B5264" w:rsidRPr="00BE77DA" w:rsidRDefault="008B5264" w:rsidP="00EF7243">
            <w:pPr>
              <w:jc w:val="center"/>
              <w:rPr>
                <w:rFonts w:ascii="Arial Narrow" w:hAnsi="Arial Narrow"/>
                <w:sz w:val="20"/>
              </w:rPr>
            </w:pPr>
            <w:r w:rsidRPr="00BE77DA">
              <w:rPr>
                <w:rFonts w:ascii="Arial Narrow" w:hAnsi="Arial Narrow"/>
                <w:sz w:val="20"/>
              </w:rPr>
              <w:t>Phase I</w:t>
            </w:r>
            <w:r w:rsidR="00EF7243" w:rsidRPr="00BE77DA">
              <w:rPr>
                <w:rFonts w:ascii="Arial Narrow" w:hAnsi="Arial Narrow"/>
                <w:sz w:val="20"/>
              </w:rPr>
              <w:t xml:space="preserve">, </w:t>
            </w:r>
            <w:r w:rsidRPr="00BE77DA">
              <w:rPr>
                <w:rFonts w:ascii="Arial Narrow" w:hAnsi="Arial Narrow"/>
                <w:sz w:val="20"/>
              </w:rPr>
              <w:t xml:space="preserve">OL, </w:t>
            </w:r>
            <w:r w:rsidR="002841E9" w:rsidRPr="00BE77DA">
              <w:rPr>
                <w:rFonts w:ascii="Arial Narrow" w:hAnsi="Arial Narrow"/>
                <w:sz w:val="20"/>
              </w:rPr>
              <w:t>multi-cohort</w:t>
            </w:r>
          </w:p>
        </w:tc>
        <w:tc>
          <w:tcPr>
            <w:tcW w:w="422"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High</w:t>
            </w:r>
          </w:p>
        </w:tc>
        <w:tc>
          <w:tcPr>
            <w:tcW w:w="1093" w:type="pct"/>
            <w:vAlign w:val="center"/>
          </w:tcPr>
          <w:p w:rsidR="00416FAA" w:rsidRPr="00BE77DA" w:rsidRDefault="00FE6188" w:rsidP="00D7653A">
            <w:pPr>
              <w:jc w:val="center"/>
              <w:rPr>
                <w:rFonts w:ascii="Arial Narrow" w:hAnsi="Arial Narrow"/>
                <w:sz w:val="20"/>
              </w:rPr>
            </w:pPr>
            <w:r w:rsidRPr="00BE77DA">
              <w:rPr>
                <w:rFonts w:ascii="Arial Narrow" w:hAnsi="Arial Narrow"/>
                <w:sz w:val="20"/>
              </w:rPr>
              <w:t>Overall response rate</w:t>
            </w:r>
          </w:p>
        </w:tc>
        <w:tc>
          <w:tcPr>
            <w:tcW w:w="1364"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Not used</w:t>
            </w:r>
          </w:p>
        </w:tc>
      </w:tr>
      <w:tr w:rsidR="008B5264" w:rsidRPr="00BE77DA" w:rsidTr="008B5264">
        <w:tc>
          <w:tcPr>
            <w:tcW w:w="5000" w:type="pct"/>
            <w:gridSpan w:val="6"/>
            <w:vAlign w:val="center"/>
          </w:tcPr>
          <w:p w:rsidR="008B5264" w:rsidRPr="00BE77DA" w:rsidRDefault="008B5264" w:rsidP="008B5264">
            <w:pPr>
              <w:jc w:val="left"/>
              <w:rPr>
                <w:rFonts w:ascii="Arial Narrow" w:hAnsi="Arial Narrow"/>
                <w:b/>
                <w:sz w:val="20"/>
              </w:rPr>
            </w:pPr>
            <w:r w:rsidRPr="00BE77DA">
              <w:rPr>
                <w:rFonts w:ascii="Arial Narrow" w:hAnsi="Arial Narrow"/>
                <w:b/>
                <w:sz w:val="20"/>
              </w:rPr>
              <w:t>T-VEC: single arm</w:t>
            </w:r>
          </w:p>
        </w:tc>
      </w:tr>
      <w:tr w:rsidR="00416FAA" w:rsidRPr="00BE77DA" w:rsidTr="00EF7243">
        <w:tc>
          <w:tcPr>
            <w:tcW w:w="678" w:type="pct"/>
            <w:vAlign w:val="center"/>
          </w:tcPr>
          <w:p w:rsidR="00416FAA" w:rsidRPr="00BE77DA" w:rsidRDefault="008B5264" w:rsidP="00D7653A">
            <w:pPr>
              <w:jc w:val="left"/>
              <w:rPr>
                <w:rFonts w:ascii="Arial Narrow" w:hAnsi="Arial Narrow"/>
                <w:sz w:val="20"/>
              </w:rPr>
            </w:pPr>
            <w:r w:rsidRPr="00BE77DA">
              <w:rPr>
                <w:rFonts w:ascii="Arial Narrow" w:hAnsi="Arial Narrow"/>
                <w:sz w:val="20"/>
              </w:rPr>
              <w:t>Study 002/03</w:t>
            </w:r>
          </w:p>
        </w:tc>
        <w:tc>
          <w:tcPr>
            <w:tcW w:w="254" w:type="pct"/>
            <w:vAlign w:val="center"/>
          </w:tcPr>
          <w:p w:rsidR="00416FAA" w:rsidRPr="00BE77DA" w:rsidRDefault="002841E9" w:rsidP="00D7653A">
            <w:pPr>
              <w:jc w:val="center"/>
              <w:rPr>
                <w:rFonts w:ascii="Arial Narrow" w:hAnsi="Arial Narrow"/>
                <w:sz w:val="20"/>
              </w:rPr>
            </w:pPr>
            <w:r w:rsidRPr="00BE77DA">
              <w:rPr>
                <w:rFonts w:ascii="Arial Narrow" w:hAnsi="Arial Narrow"/>
                <w:sz w:val="20"/>
              </w:rPr>
              <w:t>50</w:t>
            </w:r>
          </w:p>
        </w:tc>
        <w:tc>
          <w:tcPr>
            <w:tcW w:w="1189" w:type="pct"/>
            <w:vAlign w:val="center"/>
          </w:tcPr>
          <w:p w:rsidR="008B5264" w:rsidRPr="00BE77DA" w:rsidRDefault="008B5264" w:rsidP="00EF7243">
            <w:pPr>
              <w:jc w:val="center"/>
              <w:rPr>
                <w:rFonts w:ascii="Arial Narrow" w:hAnsi="Arial Narrow"/>
                <w:sz w:val="20"/>
              </w:rPr>
            </w:pPr>
            <w:r w:rsidRPr="00BE77DA">
              <w:rPr>
                <w:rFonts w:ascii="Arial Narrow" w:hAnsi="Arial Narrow"/>
                <w:sz w:val="20"/>
              </w:rPr>
              <w:t>Phase II</w:t>
            </w:r>
            <w:r w:rsidR="00EF7243" w:rsidRPr="00BE77DA">
              <w:rPr>
                <w:rFonts w:ascii="Arial Narrow" w:hAnsi="Arial Narrow"/>
                <w:sz w:val="20"/>
              </w:rPr>
              <w:t xml:space="preserve">, </w:t>
            </w:r>
            <w:r w:rsidRPr="00BE77DA">
              <w:rPr>
                <w:rFonts w:ascii="Arial Narrow" w:hAnsi="Arial Narrow"/>
                <w:sz w:val="20"/>
              </w:rPr>
              <w:t>OL</w:t>
            </w:r>
          </w:p>
        </w:tc>
        <w:tc>
          <w:tcPr>
            <w:tcW w:w="422"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High</w:t>
            </w:r>
          </w:p>
        </w:tc>
        <w:tc>
          <w:tcPr>
            <w:tcW w:w="1093"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Objective response rate</w:t>
            </w:r>
          </w:p>
        </w:tc>
        <w:tc>
          <w:tcPr>
            <w:tcW w:w="1364" w:type="pct"/>
            <w:vAlign w:val="center"/>
          </w:tcPr>
          <w:p w:rsidR="00416FAA" w:rsidRPr="00BE77DA" w:rsidRDefault="008B5264" w:rsidP="00D7653A">
            <w:pPr>
              <w:jc w:val="center"/>
              <w:rPr>
                <w:rFonts w:ascii="Arial Narrow" w:hAnsi="Arial Narrow"/>
                <w:sz w:val="20"/>
              </w:rPr>
            </w:pPr>
            <w:r w:rsidRPr="00BE77DA">
              <w:rPr>
                <w:rFonts w:ascii="Arial Narrow" w:hAnsi="Arial Narrow"/>
                <w:sz w:val="20"/>
              </w:rPr>
              <w:t>Not used</w:t>
            </w:r>
          </w:p>
        </w:tc>
      </w:tr>
    </w:tbl>
    <w:p w:rsidR="008B5264" w:rsidRPr="00BE77DA" w:rsidRDefault="008B5264" w:rsidP="00CD0B59">
      <w:pPr>
        <w:ind w:left="709"/>
        <w:rPr>
          <w:rFonts w:ascii="Arial Narrow" w:hAnsi="Arial Narrow"/>
          <w:sz w:val="18"/>
          <w:szCs w:val="18"/>
        </w:rPr>
      </w:pPr>
      <w:r w:rsidRPr="00BE77DA">
        <w:rPr>
          <w:rFonts w:ascii="Arial Narrow" w:hAnsi="Arial Narrow"/>
          <w:sz w:val="18"/>
          <w:szCs w:val="18"/>
        </w:rPr>
        <w:t>*135 patients reported in the Hamid 2013 publication and there were 659 patients overall in the melanoma cohorts B1, B2, B3 and D of KN-001</w:t>
      </w:r>
    </w:p>
    <w:p w:rsidR="00CD0B59" w:rsidRPr="00BE77DA" w:rsidRDefault="00CD0B59" w:rsidP="00CD0B59">
      <w:pPr>
        <w:ind w:left="709"/>
        <w:rPr>
          <w:rFonts w:ascii="Arial Narrow" w:hAnsi="Arial Narrow"/>
          <w:sz w:val="18"/>
          <w:szCs w:val="18"/>
        </w:rPr>
      </w:pPr>
      <w:r w:rsidRPr="00BE77DA">
        <w:rPr>
          <w:rFonts w:ascii="Arial Narrow" w:hAnsi="Arial Narrow"/>
          <w:sz w:val="18"/>
          <w:szCs w:val="18"/>
        </w:rPr>
        <w:t>DB=double blind;</w:t>
      </w:r>
      <w:r w:rsidR="00C95B20" w:rsidRPr="00BE77DA">
        <w:rPr>
          <w:rFonts w:ascii="Arial Narrow" w:hAnsi="Arial Narrow"/>
          <w:sz w:val="18"/>
          <w:szCs w:val="18"/>
        </w:rPr>
        <w:t xml:space="preserve"> OL=open label; </w:t>
      </w:r>
      <w:r w:rsidRPr="00BE77DA">
        <w:rPr>
          <w:rFonts w:ascii="Arial Narrow" w:hAnsi="Arial Narrow"/>
          <w:sz w:val="18"/>
          <w:szCs w:val="18"/>
        </w:rPr>
        <w:t xml:space="preserve">gp100=glycoprotein 100 peptide vaccine; </w:t>
      </w:r>
      <w:r w:rsidR="008A179A" w:rsidRPr="00BE77DA">
        <w:rPr>
          <w:rFonts w:ascii="Arial Narrow" w:hAnsi="Arial Narrow"/>
          <w:sz w:val="18"/>
          <w:szCs w:val="18"/>
        </w:rPr>
        <w:t>DTIC=</w:t>
      </w:r>
      <w:proofErr w:type="spellStart"/>
      <w:r w:rsidR="008A179A" w:rsidRPr="00BE77DA">
        <w:rPr>
          <w:rFonts w:ascii="Arial Narrow" w:hAnsi="Arial Narrow"/>
          <w:sz w:val="18"/>
          <w:szCs w:val="18"/>
        </w:rPr>
        <w:t>dacarbazine</w:t>
      </w:r>
      <w:proofErr w:type="spellEnd"/>
      <w:r w:rsidR="008A179A" w:rsidRPr="00BE77DA">
        <w:rPr>
          <w:rFonts w:ascii="Arial Narrow" w:hAnsi="Arial Narrow"/>
          <w:sz w:val="18"/>
          <w:szCs w:val="18"/>
        </w:rPr>
        <w:t>; T-VEC=</w:t>
      </w:r>
      <w:proofErr w:type="spellStart"/>
      <w:r w:rsidR="008A179A" w:rsidRPr="00BE77DA">
        <w:rPr>
          <w:rFonts w:ascii="Arial Narrow" w:hAnsi="Arial Narrow"/>
          <w:sz w:val="18"/>
          <w:szCs w:val="18"/>
        </w:rPr>
        <w:t>talimogene</w:t>
      </w:r>
      <w:proofErr w:type="spellEnd"/>
      <w:r w:rsidR="008A179A" w:rsidRPr="00BE77DA">
        <w:rPr>
          <w:rFonts w:ascii="Arial Narrow" w:hAnsi="Arial Narrow"/>
          <w:sz w:val="18"/>
          <w:szCs w:val="18"/>
        </w:rPr>
        <w:t xml:space="preserve"> </w:t>
      </w:r>
      <w:proofErr w:type="spellStart"/>
      <w:r w:rsidR="008A179A" w:rsidRPr="00BE77DA">
        <w:rPr>
          <w:rFonts w:ascii="Arial Narrow" w:hAnsi="Arial Narrow"/>
          <w:sz w:val="18"/>
          <w:szCs w:val="18"/>
        </w:rPr>
        <w:t>laherparepvec</w:t>
      </w:r>
      <w:proofErr w:type="spellEnd"/>
      <w:r w:rsidR="008A179A" w:rsidRPr="00BE77DA">
        <w:rPr>
          <w:rFonts w:ascii="Arial Narrow" w:hAnsi="Arial Narrow"/>
          <w:sz w:val="18"/>
          <w:szCs w:val="18"/>
        </w:rPr>
        <w:t xml:space="preserve">; GM-CSF=granulocyte macrophage colony stimulating factor; </w:t>
      </w:r>
      <w:r w:rsidR="00EF7243" w:rsidRPr="00BE77DA">
        <w:rPr>
          <w:rFonts w:ascii="Arial Narrow" w:hAnsi="Arial Narrow"/>
          <w:sz w:val="18"/>
          <w:szCs w:val="18"/>
        </w:rPr>
        <w:t>MC=multicentre; R=randomised</w:t>
      </w:r>
    </w:p>
    <w:p w:rsidR="00CD0B59" w:rsidRPr="00BE77DA" w:rsidRDefault="00CD0B59" w:rsidP="00CD0B59">
      <w:pPr>
        <w:tabs>
          <w:tab w:val="left" w:pos="851"/>
        </w:tabs>
        <w:ind w:left="851" w:hanging="142"/>
      </w:pPr>
      <w:r w:rsidRPr="00BE77DA">
        <w:rPr>
          <w:rFonts w:ascii="Arial Narrow" w:hAnsi="Arial Narrow"/>
          <w:sz w:val="18"/>
          <w:szCs w:val="18"/>
        </w:rPr>
        <w:t>Source: compiled during the evaluation</w:t>
      </w:r>
    </w:p>
    <w:p w:rsidR="002E75BE" w:rsidRPr="00BE77DA" w:rsidRDefault="002E75BE" w:rsidP="007F1017">
      <w:pPr>
        <w:widowControl/>
        <w:rPr>
          <w:szCs w:val="22"/>
        </w:rPr>
      </w:pPr>
    </w:p>
    <w:p w:rsidR="00B60939" w:rsidRPr="00A66471" w:rsidRDefault="00B60939" w:rsidP="006A72B9">
      <w:pPr>
        <w:pStyle w:val="Heading2"/>
      </w:pPr>
      <w:bookmarkStart w:id="11" w:name="_Toc451340809"/>
      <w:r w:rsidRPr="00A66471">
        <w:t>Comparative effectiveness</w:t>
      </w:r>
      <w:bookmarkEnd w:id="11"/>
    </w:p>
    <w:p w:rsidR="00B60939" w:rsidRPr="00BE77DA" w:rsidRDefault="00B60939" w:rsidP="00B60939">
      <w:pPr>
        <w:rPr>
          <w:szCs w:val="22"/>
        </w:rPr>
      </w:pPr>
    </w:p>
    <w:p w:rsidR="0006514A" w:rsidRPr="00BE77DA" w:rsidRDefault="00E347E2" w:rsidP="00ED000E">
      <w:pPr>
        <w:pStyle w:val="ListParagraph"/>
        <w:widowControl/>
        <w:numPr>
          <w:ilvl w:val="1"/>
          <w:numId w:val="1"/>
        </w:numPr>
      </w:pPr>
      <w:r w:rsidRPr="00BE77DA">
        <w:t>The submission stated that an indirect comparison wa</w:t>
      </w:r>
      <w:r w:rsidR="00667E5A" w:rsidRPr="00BE77DA">
        <w:t>s</w:t>
      </w:r>
      <w:r w:rsidRPr="00BE77DA">
        <w:t xml:space="preserve"> </w:t>
      </w:r>
      <w:r w:rsidR="00FA4ABA">
        <w:t>neither</w:t>
      </w:r>
      <w:r w:rsidR="00FA4ABA" w:rsidRPr="00BE77DA">
        <w:t xml:space="preserve"> </w:t>
      </w:r>
      <w:r w:rsidRPr="00BE77DA">
        <w:t xml:space="preserve">possible </w:t>
      </w:r>
      <w:r w:rsidR="007F18A2">
        <w:t>n</w:t>
      </w:r>
      <w:r w:rsidRPr="00BE77DA">
        <w:t xml:space="preserve">or appropriate for the population of patients with stage </w:t>
      </w:r>
      <w:proofErr w:type="spellStart"/>
      <w:r w:rsidRPr="00BE77DA">
        <w:t>IIIb</w:t>
      </w:r>
      <w:proofErr w:type="spellEnd"/>
      <w:r w:rsidRPr="00BE77DA">
        <w:t>/c and stage IVM1a melanoma, because of heterogeneity across trial populations</w:t>
      </w:r>
      <w:r w:rsidR="00F9360E" w:rsidRPr="00BE77DA">
        <w:t>,</w:t>
      </w:r>
      <w:r w:rsidRPr="00BE77DA">
        <w:t xml:space="preserve"> particularly with respect </w:t>
      </w:r>
      <w:r w:rsidR="00F9360E" w:rsidRPr="00BE77DA">
        <w:t xml:space="preserve">to </w:t>
      </w:r>
      <w:r w:rsidRPr="00BE77DA">
        <w:t>disease stage and other prognostic factors, and the absence of comparative data in the requested PBS population.</w:t>
      </w:r>
    </w:p>
    <w:p w:rsidR="004A3BDF" w:rsidRPr="00BE77DA" w:rsidRDefault="004A3BDF" w:rsidP="004A3BDF">
      <w:pPr>
        <w:widowControl/>
      </w:pPr>
    </w:p>
    <w:p w:rsidR="00915101" w:rsidRPr="00BE77DA" w:rsidRDefault="00915101" w:rsidP="00A66471">
      <w:pPr>
        <w:pStyle w:val="ListParagraph"/>
        <w:widowControl/>
        <w:numPr>
          <w:ilvl w:val="1"/>
          <w:numId w:val="1"/>
        </w:numPr>
      </w:pPr>
      <w:r w:rsidRPr="00BE77DA">
        <w:t xml:space="preserve">The </w:t>
      </w:r>
      <w:r w:rsidR="000C5995" w:rsidRPr="00BE77DA">
        <w:t xml:space="preserve">results for </w:t>
      </w:r>
      <w:r w:rsidR="0021181E">
        <w:t xml:space="preserve">the secondary endpoint of </w:t>
      </w:r>
      <w:r w:rsidR="000C5995" w:rsidRPr="00BE77DA">
        <w:t>overall survival</w:t>
      </w:r>
      <w:r w:rsidR="00E2185F" w:rsidRPr="00BE77DA">
        <w:t xml:space="preserve"> (OS)</w:t>
      </w:r>
      <w:r w:rsidR="000C5995" w:rsidRPr="00BE77DA">
        <w:t xml:space="preserve"> </w:t>
      </w:r>
      <w:r w:rsidR="00B5739A" w:rsidRPr="00BE77DA">
        <w:t>for</w:t>
      </w:r>
      <w:r w:rsidR="000C5995" w:rsidRPr="00BE77DA">
        <w:t xml:space="preserve"> </w:t>
      </w:r>
      <w:proofErr w:type="spellStart"/>
      <w:r w:rsidR="000C5995" w:rsidRPr="00BE77DA">
        <w:t>OPTiM</w:t>
      </w:r>
      <w:proofErr w:type="spellEnd"/>
      <w:r w:rsidR="000C5995" w:rsidRPr="00BE77DA">
        <w:t xml:space="preserve"> </w:t>
      </w:r>
      <w:r w:rsidR="0092014C" w:rsidRPr="00BE77DA">
        <w:t>are presented</w:t>
      </w:r>
      <w:r w:rsidR="00E2185F" w:rsidRPr="00BE77DA">
        <w:t xml:space="preserve"> with the OS survival curves for the full cohort of patients</w:t>
      </w:r>
      <w:r w:rsidR="00177D56">
        <w:t>,</w:t>
      </w:r>
      <w:r w:rsidR="00E2185F" w:rsidRPr="00BE77DA">
        <w:t xml:space="preserve"> and </w:t>
      </w:r>
      <w:r w:rsidR="00177D56">
        <w:t xml:space="preserve">a post-hoc analysis </w:t>
      </w:r>
      <w:r w:rsidR="00E2185F" w:rsidRPr="00BE77DA">
        <w:t>by stage of melanoma</w:t>
      </w:r>
      <w:r w:rsidR="00540337">
        <w:t>,</w:t>
      </w:r>
      <w:r w:rsidR="00E2185F" w:rsidRPr="00BE77DA">
        <w:t xml:space="preserve"> in </w:t>
      </w:r>
      <w:r w:rsidR="00D07F7B">
        <w:t xml:space="preserve">Figure </w:t>
      </w:r>
      <w:r w:rsidR="00D07F7B">
        <w:rPr>
          <w:noProof/>
        </w:rPr>
        <w:t>1</w:t>
      </w:r>
      <w:r w:rsidR="00BC40AC">
        <w:t xml:space="preserve"> </w:t>
      </w:r>
      <w:r w:rsidR="002E75BE">
        <w:t xml:space="preserve">and </w:t>
      </w:r>
      <w:r w:rsidR="00D07F7B">
        <w:t xml:space="preserve">Figure </w:t>
      </w:r>
      <w:r w:rsidR="00D07F7B">
        <w:rPr>
          <w:noProof/>
        </w:rPr>
        <w:t>2</w:t>
      </w:r>
      <w:r w:rsidR="00E2185F" w:rsidRPr="00BE77DA">
        <w:t xml:space="preserve"> respectively</w:t>
      </w:r>
      <w:proofErr w:type="gramStart"/>
      <w:r w:rsidR="00E2185F" w:rsidRPr="00BE77DA">
        <w:t xml:space="preserve">. </w:t>
      </w:r>
      <w:r w:rsidR="00EF7243" w:rsidRPr="00BE77DA">
        <w:t xml:space="preserve"> </w:t>
      </w:r>
      <w:proofErr w:type="gramEnd"/>
      <w:r w:rsidR="00E2185F" w:rsidRPr="00BE77DA">
        <w:t>T</w:t>
      </w:r>
      <w:r w:rsidR="0092014C" w:rsidRPr="00BE77DA">
        <w:t>hese are followed by res</w:t>
      </w:r>
      <w:r w:rsidR="000C5995" w:rsidRPr="00BE77DA">
        <w:t>ults of the informal comparis</w:t>
      </w:r>
      <w:r w:rsidR="00EF7243" w:rsidRPr="00BE77DA">
        <w:t>on presented by the submission.</w:t>
      </w:r>
    </w:p>
    <w:p w:rsidR="004E2D02" w:rsidRPr="00BE77DA" w:rsidRDefault="004E2D02">
      <w:pPr>
        <w:widowControl/>
        <w:jc w:val="left"/>
      </w:pPr>
    </w:p>
    <w:p w:rsidR="005E3674" w:rsidRPr="00051969" w:rsidRDefault="005E3674" w:rsidP="00D52A6D">
      <w:pPr>
        <w:pStyle w:val="StyleTableHeaderFirstline127cm"/>
        <w:rPr>
          <w:rFonts w:ascii="Arial Narrow" w:hAnsi="Arial Narrow"/>
        </w:rPr>
      </w:pPr>
      <w:bookmarkStart w:id="12" w:name="_Ref453078610"/>
      <w:r w:rsidRPr="00051969">
        <w:rPr>
          <w:rFonts w:ascii="Arial Narrow" w:hAnsi="Arial Narrow"/>
        </w:rPr>
        <w:t xml:space="preserve">Figure </w:t>
      </w:r>
      <w:r w:rsidR="00D07F7B" w:rsidRPr="00051969">
        <w:rPr>
          <w:rFonts w:ascii="Arial Narrow" w:hAnsi="Arial Narrow"/>
          <w:noProof/>
        </w:rPr>
        <w:t>1</w:t>
      </w:r>
      <w:bookmarkEnd w:id="12"/>
      <w:r w:rsidR="00C415FD" w:rsidRPr="00051969">
        <w:rPr>
          <w:rFonts w:ascii="Arial Narrow" w:hAnsi="Arial Narrow"/>
        </w:rPr>
        <w:t xml:space="preserve">: Overall survival for T-VEC from </w:t>
      </w:r>
      <w:proofErr w:type="spellStart"/>
      <w:r w:rsidR="00C415FD" w:rsidRPr="00051969">
        <w:rPr>
          <w:rFonts w:ascii="Arial Narrow" w:hAnsi="Arial Narrow"/>
        </w:rPr>
        <w:t>OPTiM</w:t>
      </w:r>
      <w:proofErr w:type="spellEnd"/>
      <w:r w:rsidR="00C415FD" w:rsidRPr="00051969">
        <w:rPr>
          <w:rFonts w:ascii="Arial Narrow" w:hAnsi="Arial Narrow"/>
        </w:rPr>
        <w:t>: intention-to-treat (ITT) analysis</w:t>
      </w:r>
    </w:p>
    <w:p w:rsidR="00622A6D" w:rsidRPr="00BE77DA" w:rsidRDefault="00622A6D" w:rsidP="007B0302">
      <w:pPr>
        <w:ind w:left="720"/>
        <w:rPr>
          <w:lang w:eastAsia="ko-KR"/>
        </w:rPr>
      </w:pPr>
      <w:r w:rsidRPr="00BE77DA">
        <w:rPr>
          <w:noProof/>
          <w:lang w:eastAsia="en-AU"/>
        </w:rPr>
        <w:drawing>
          <wp:inline distT="0" distB="0" distL="0" distR="0" wp14:anchorId="7141E236" wp14:editId="07903246">
            <wp:extent cx="5314950" cy="2457450"/>
            <wp:effectExtent l="0" t="0" r="0" b="0"/>
            <wp:docPr id="3" name="Picture 3" title="Figure 1: Overall survival for T-VEC from OPTiM: intention-to-treat (IT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61498" cy="2478972"/>
                    </a:xfrm>
                    <a:prstGeom prst="rect">
                      <a:avLst/>
                    </a:prstGeom>
                  </pic:spPr>
                </pic:pic>
              </a:graphicData>
            </a:graphic>
          </wp:inline>
        </w:drawing>
      </w:r>
    </w:p>
    <w:p w:rsidR="00622A6D" w:rsidRPr="00BE77DA" w:rsidRDefault="00622A6D" w:rsidP="007B0302">
      <w:pPr>
        <w:ind w:firstLine="720"/>
        <w:rPr>
          <w:rFonts w:ascii="Arial Narrow" w:hAnsi="Arial Narrow"/>
          <w:sz w:val="18"/>
          <w:szCs w:val="18"/>
        </w:rPr>
      </w:pPr>
      <w:r w:rsidRPr="00BE77DA">
        <w:rPr>
          <w:rFonts w:ascii="Arial Narrow" w:hAnsi="Arial Narrow"/>
          <w:sz w:val="18"/>
          <w:szCs w:val="18"/>
        </w:rPr>
        <w:t>Source: Figure B.6-1, p95 of the submission</w:t>
      </w:r>
    </w:p>
    <w:p w:rsidR="001B2FA7" w:rsidRPr="00BE77DA" w:rsidRDefault="001B2FA7" w:rsidP="00A66471">
      <w:pPr>
        <w:rPr>
          <w:szCs w:val="24"/>
        </w:rPr>
      </w:pPr>
    </w:p>
    <w:p w:rsidR="00C415FD" w:rsidRPr="00051969" w:rsidRDefault="00C415FD" w:rsidP="00051969">
      <w:pPr>
        <w:pStyle w:val="StyleTableHeaderFirstline127cm"/>
        <w:rPr>
          <w:rFonts w:ascii="Arial Narrow" w:hAnsi="Arial Narrow"/>
        </w:rPr>
      </w:pPr>
      <w:bookmarkStart w:id="13" w:name="_Ref453078614"/>
      <w:bookmarkStart w:id="14" w:name="_Ref453145464"/>
      <w:r w:rsidRPr="00051969">
        <w:rPr>
          <w:rFonts w:ascii="Arial Narrow" w:hAnsi="Arial Narrow"/>
        </w:rPr>
        <w:t xml:space="preserve">Figure </w:t>
      </w:r>
      <w:r w:rsidR="00D07F7B" w:rsidRPr="00051969">
        <w:rPr>
          <w:rFonts w:ascii="Arial Narrow" w:hAnsi="Arial Narrow"/>
        </w:rPr>
        <w:t>2</w:t>
      </w:r>
      <w:bookmarkEnd w:id="13"/>
      <w:r w:rsidRPr="00051969">
        <w:rPr>
          <w:rFonts w:ascii="Arial Narrow" w:hAnsi="Arial Narrow"/>
        </w:rPr>
        <w:t xml:space="preserve">: Overall survival for T-VEC from </w:t>
      </w:r>
      <w:proofErr w:type="spellStart"/>
      <w:r w:rsidRPr="00051969">
        <w:rPr>
          <w:rFonts w:ascii="Arial Narrow" w:hAnsi="Arial Narrow"/>
        </w:rPr>
        <w:t>OPTiM</w:t>
      </w:r>
      <w:proofErr w:type="spellEnd"/>
      <w:r w:rsidRPr="00051969">
        <w:rPr>
          <w:rFonts w:ascii="Arial Narrow" w:hAnsi="Arial Narrow"/>
        </w:rPr>
        <w:t>: subgroup analyses by stage of melanoma</w:t>
      </w:r>
      <w:bookmarkEnd w:id="14"/>
    </w:p>
    <w:p w:rsidR="001B2FA7" w:rsidRPr="00BE77DA" w:rsidRDefault="002B160E" w:rsidP="001B2FA7">
      <w:pPr>
        <w:keepNext/>
        <w:ind w:left="720"/>
        <w:rPr>
          <w:rFonts w:ascii="Arial Narrow" w:hAnsi="Arial Narrow"/>
          <w:sz w:val="18"/>
          <w:szCs w:val="18"/>
        </w:rPr>
      </w:pPr>
      <w:r w:rsidRPr="00BE77DA">
        <w:rPr>
          <w:noProof/>
          <w:lang w:eastAsia="en-AU"/>
        </w:rPr>
        <w:drawing>
          <wp:inline distT="0" distB="0" distL="0" distR="0" wp14:anchorId="41E55643" wp14:editId="162B0FF9">
            <wp:extent cx="5229225" cy="2733675"/>
            <wp:effectExtent l="0" t="0" r="9525" b="9525"/>
            <wp:docPr id="4" name="Picture 4" title="Figure 2: Overall survival for T-VEC from OPTiM: subgroup analyses by stage of mela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4828" cy="2752287"/>
                    </a:xfrm>
                    <a:prstGeom prst="rect">
                      <a:avLst/>
                    </a:prstGeom>
                  </pic:spPr>
                </pic:pic>
              </a:graphicData>
            </a:graphic>
          </wp:inline>
        </w:drawing>
      </w:r>
    </w:p>
    <w:p w:rsidR="0006514A" w:rsidRPr="00BE77DA" w:rsidRDefault="00A428D5" w:rsidP="0006514A">
      <w:pPr>
        <w:widowControl/>
        <w:ind w:left="720"/>
        <w:rPr>
          <w:rFonts w:ascii="Arial Narrow" w:hAnsi="Arial Narrow"/>
          <w:sz w:val="18"/>
          <w:szCs w:val="18"/>
        </w:rPr>
      </w:pPr>
      <w:r w:rsidRPr="00BE77DA">
        <w:rPr>
          <w:rFonts w:ascii="Arial Narrow" w:hAnsi="Arial Narrow"/>
          <w:sz w:val="18"/>
          <w:szCs w:val="18"/>
        </w:rPr>
        <w:t>Source: Figure B.6-2, p96 of the submission</w:t>
      </w:r>
    </w:p>
    <w:p w:rsidR="00A428D5" w:rsidRPr="00BE77DA" w:rsidRDefault="00A428D5" w:rsidP="00F72CE1">
      <w:pPr>
        <w:widowControl/>
      </w:pPr>
    </w:p>
    <w:p w:rsidR="00C415FD" w:rsidRPr="005E6BB6" w:rsidRDefault="000F7176" w:rsidP="00A66471">
      <w:pPr>
        <w:pStyle w:val="ListParagraph"/>
        <w:widowControl/>
        <w:numPr>
          <w:ilvl w:val="1"/>
          <w:numId w:val="1"/>
        </w:numPr>
      </w:pPr>
      <w:r w:rsidRPr="005E6BB6">
        <w:t xml:space="preserve">The results from the </w:t>
      </w:r>
      <w:proofErr w:type="spellStart"/>
      <w:r w:rsidRPr="005E6BB6">
        <w:t>OPTiM</w:t>
      </w:r>
      <w:proofErr w:type="spellEnd"/>
      <w:r w:rsidRPr="005E6BB6">
        <w:t xml:space="preserve"> trial for the entire patient population</w:t>
      </w:r>
      <w:r w:rsidR="0003534E" w:rsidRPr="005E6BB6">
        <w:t xml:space="preserve"> (see </w:t>
      </w:r>
      <w:r w:rsidR="00D07F7B">
        <w:t xml:space="preserve">Figure </w:t>
      </w:r>
      <w:r w:rsidR="00D07F7B">
        <w:rPr>
          <w:noProof/>
        </w:rPr>
        <w:t>1</w:t>
      </w:r>
      <w:r w:rsidR="0003534E" w:rsidRPr="005E6BB6">
        <w:t>)</w:t>
      </w:r>
      <w:r w:rsidRPr="005E6BB6">
        <w:t xml:space="preserve"> show</w:t>
      </w:r>
      <w:r w:rsidR="00561329" w:rsidRPr="005E6BB6">
        <w:t>ed</w:t>
      </w:r>
      <w:r w:rsidRPr="005E6BB6">
        <w:t xml:space="preserve"> that</w:t>
      </w:r>
      <w:r w:rsidR="00561329" w:rsidRPr="005E6BB6">
        <w:t xml:space="preserve"> any advantage for OS wa</w:t>
      </w:r>
      <w:r w:rsidRPr="005E6BB6">
        <w:t xml:space="preserve">s on the limit of </w:t>
      </w:r>
      <w:r w:rsidR="00540337">
        <w:t xml:space="preserve">statistical </w:t>
      </w:r>
      <w:r w:rsidRPr="005E6BB6">
        <w:t xml:space="preserve">significance, with an upper 95% confidence </w:t>
      </w:r>
      <w:r w:rsidR="00033FF2" w:rsidRPr="005E6BB6">
        <w:t>limit</w:t>
      </w:r>
      <w:r w:rsidRPr="005E6BB6">
        <w:t xml:space="preserve"> of 1.00</w:t>
      </w:r>
      <w:proofErr w:type="gramStart"/>
      <w:r w:rsidRPr="005E6BB6">
        <w:t>.</w:t>
      </w:r>
      <w:r w:rsidR="00EB47FD" w:rsidRPr="005E6BB6">
        <w:t xml:space="preserve">  </w:t>
      </w:r>
      <w:proofErr w:type="gramEnd"/>
      <w:r w:rsidR="00EB47FD" w:rsidRPr="005E6BB6">
        <w:t>While the</w:t>
      </w:r>
      <w:r w:rsidR="00BC40AC" w:rsidRPr="005E6BB6">
        <w:t xml:space="preserve"> hazard ratio</w:t>
      </w:r>
      <w:r w:rsidR="00EB47FD" w:rsidRPr="005E6BB6">
        <w:t xml:space="preserve"> </w:t>
      </w:r>
      <w:r w:rsidR="00BC40AC" w:rsidRPr="005E6BB6">
        <w:t>(</w:t>
      </w:r>
      <w:r w:rsidR="00EB47FD" w:rsidRPr="005E6BB6">
        <w:t>HR</w:t>
      </w:r>
      <w:r w:rsidR="00BC40AC" w:rsidRPr="005E6BB6">
        <w:t>)</w:t>
      </w:r>
      <w:r w:rsidR="00EB47FD" w:rsidRPr="005E6BB6">
        <w:t xml:space="preserve"> for the stage </w:t>
      </w:r>
      <w:proofErr w:type="spellStart"/>
      <w:r w:rsidR="00EB47FD" w:rsidRPr="005E6BB6">
        <w:t>IIIb</w:t>
      </w:r>
      <w:proofErr w:type="spellEnd"/>
      <w:r w:rsidR="00EB47FD" w:rsidRPr="005E6BB6">
        <w:t xml:space="preserve">/c and stage IVM1a </w:t>
      </w:r>
      <w:r w:rsidR="00A30DF8" w:rsidRPr="005E6BB6">
        <w:t>subgroup</w:t>
      </w:r>
      <w:r w:rsidR="00EB47FD" w:rsidRPr="005E6BB6">
        <w:t xml:space="preserve"> was lower at 0.56</w:t>
      </w:r>
      <w:r w:rsidR="0003534E" w:rsidRPr="005E6BB6">
        <w:t xml:space="preserve"> (</w:t>
      </w:r>
      <w:r w:rsidR="00C94142" w:rsidRPr="005E6BB6">
        <w:t xml:space="preserve">pre-specified analysis; see </w:t>
      </w:r>
      <w:r w:rsidR="00D07F7B">
        <w:t xml:space="preserve">Figure </w:t>
      </w:r>
      <w:r w:rsidR="00D07F7B">
        <w:rPr>
          <w:noProof/>
        </w:rPr>
        <w:t>2</w:t>
      </w:r>
      <w:r w:rsidR="0003534E" w:rsidRPr="005E6BB6">
        <w:t>)</w:t>
      </w:r>
      <w:r w:rsidR="00EB47FD" w:rsidRPr="005E6BB6">
        <w:t>, the clinical study report</w:t>
      </w:r>
      <w:r w:rsidR="00EA589E" w:rsidRPr="005E6BB6">
        <w:t xml:space="preserve"> (CSR)</w:t>
      </w:r>
      <w:r w:rsidR="00EB47FD" w:rsidRPr="005E6BB6">
        <w:t xml:space="preserve"> for </w:t>
      </w:r>
      <w:proofErr w:type="spellStart"/>
      <w:r w:rsidR="00EB47FD" w:rsidRPr="005E6BB6">
        <w:t>OPTiM</w:t>
      </w:r>
      <w:proofErr w:type="spellEnd"/>
      <w:r w:rsidR="00EB47FD" w:rsidRPr="005E6BB6">
        <w:t xml:space="preserve"> indicated that the result</w:t>
      </w:r>
      <w:r w:rsidR="00EB53FD" w:rsidRPr="005E6BB6">
        <w:t xml:space="preserve"> for analysis by stage of treatment</w:t>
      </w:r>
      <w:r w:rsidR="00EB47FD" w:rsidRPr="005E6BB6">
        <w:t xml:space="preserve"> should be considered descriptive as it was not controlled for type 1 error</w:t>
      </w:r>
      <w:proofErr w:type="gramStart"/>
      <w:r w:rsidR="00EB47FD" w:rsidRPr="005E6BB6">
        <w:t>.</w:t>
      </w:r>
      <w:r w:rsidR="0059616C" w:rsidRPr="005E6BB6">
        <w:t xml:space="preserve">  </w:t>
      </w:r>
      <w:proofErr w:type="gramEnd"/>
      <w:r w:rsidR="0059616C" w:rsidRPr="005E6BB6">
        <w:t xml:space="preserve">The ESC noted </w:t>
      </w:r>
      <w:r w:rsidR="00E62DDC" w:rsidRPr="005E6BB6">
        <w:t xml:space="preserve">that </w:t>
      </w:r>
      <w:r w:rsidR="0059616C" w:rsidRPr="005E6BB6">
        <w:t xml:space="preserve">OS was a secondary endpoint in </w:t>
      </w:r>
      <w:proofErr w:type="spellStart"/>
      <w:r w:rsidR="0059616C" w:rsidRPr="005E6BB6">
        <w:t>OPTiM</w:t>
      </w:r>
      <w:proofErr w:type="spellEnd"/>
      <w:r w:rsidR="0059616C" w:rsidRPr="005E6BB6">
        <w:t xml:space="preserve"> and considered </w:t>
      </w:r>
      <w:r w:rsidR="00E62DDC" w:rsidRPr="005E6BB6">
        <w:t xml:space="preserve">that </w:t>
      </w:r>
      <w:r w:rsidR="0059616C" w:rsidRPr="005E6BB6">
        <w:t>the trial was not adequately powered to demonstrate a benefit in OS.</w:t>
      </w:r>
    </w:p>
    <w:p w:rsidR="00D61059" w:rsidRPr="005E6BB6" w:rsidRDefault="00D61059" w:rsidP="00C415FD"/>
    <w:p w:rsidR="00D61059" w:rsidRPr="005E6BB6" w:rsidRDefault="00C415FD" w:rsidP="00ED000E">
      <w:pPr>
        <w:pStyle w:val="ListParagraph"/>
        <w:numPr>
          <w:ilvl w:val="1"/>
          <w:numId w:val="1"/>
        </w:numPr>
      </w:pPr>
      <w:r w:rsidRPr="005E6BB6">
        <w:t xml:space="preserve">The </w:t>
      </w:r>
      <w:r w:rsidR="00D61059" w:rsidRPr="005E6BB6">
        <w:t>ESC noted that</w:t>
      </w:r>
      <w:r w:rsidR="00033FF2" w:rsidRPr="005E6BB6">
        <w:t>,</w:t>
      </w:r>
      <w:r w:rsidR="00D61059" w:rsidRPr="005E6BB6">
        <w:t xml:space="preserve"> </w:t>
      </w:r>
      <w:r w:rsidR="00A31512" w:rsidRPr="005E6BB6">
        <w:t xml:space="preserve">in </w:t>
      </w:r>
      <w:proofErr w:type="spellStart"/>
      <w:r w:rsidR="00A31512" w:rsidRPr="005E6BB6">
        <w:t>OPTiM</w:t>
      </w:r>
      <w:proofErr w:type="spellEnd"/>
      <w:r w:rsidR="00A31512" w:rsidRPr="005E6BB6">
        <w:t xml:space="preserve">, </w:t>
      </w:r>
      <w:r w:rsidR="00D61059" w:rsidRPr="005E6BB6">
        <w:t>a greater proportion of patients</w:t>
      </w:r>
      <w:r w:rsidR="00D834A5" w:rsidRPr="005E6BB6">
        <w:t xml:space="preserve"> assigned to receive GM-CSF</w:t>
      </w:r>
      <w:r w:rsidR="00D61059" w:rsidRPr="005E6BB6">
        <w:t xml:space="preserve"> were “not treated”</w:t>
      </w:r>
      <w:r w:rsidR="00D834A5" w:rsidRPr="005E6BB6">
        <w:t>,</w:t>
      </w:r>
      <w:r w:rsidR="00D61059" w:rsidRPr="005E6BB6">
        <w:t xml:space="preserve"> or discontinued due to “consent withdrawn” or “physician decision”</w:t>
      </w:r>
      <w:r w:rsidR="00D834A5" w:rsidRPr="005E6BB6">
        <w:t xml:space="preserve"> (9.9%, 8.5% and 3.5% respectively) than in the arm assigned to receive T-VEC (1.4%, 3.4% and 2.0% respectively)</w:t>
      </w:r>
      <w:r w:rsidR="00A31512" w:rsidRPr="005E6BB6">
        <w:t xml:space="preserve"> (see </w:t>
      </w:r>
      <w:r w:rsidR="00D07F7B" w:rsidRPr="005E6BB6">
        <w:t xml:space="preserve">Figure </w:t>
      </w:r>
      <w:r w:rsidR="00D07F7B">
        <w:rPr>
          <w:noProof/>
        </w:rPr>
        <w:t>3</w:t>
      </w:r>
      <w:r w:rsidR="00A31512" w:rsidRPr="005E6BB6">
        <w:t>)</w:t>
      </w:r>
      <w:proofErr w:type="gramStart"/>
      <w:r w:rsidR="00D834A5" w:rsidRPr="005E6BB6">
        <w:t xml:space="preserve">.  </w:t>
      </w:r>
      <w:proofErr w:type="gramEnd"/>
      <w:r w:rsidR="00D834A5" w:rsidRPr="005E6BB6">
        <w:t>This increase</w:t>
      </w:r>
      <w:r w:rsidR="0059616C" w:rsidRPr="005E6BB6">
        <w:t>d</w:t>
      </w:r>
      <w:r w:rsidR="00D834A5" w:rsidRPr="005E6BB6">
        <w:t xml:space="preserve"> the risk of attrition </w:t>
      </w:r>
      <w:r w:rsidR="009C46FA" w:rsidRPr="005E6BB6">
        <w:t xml:space="preserve">bias; however the direction or magnitude of </w:t>
      </w:r>
      <w:r w:rsidR="0059616C" w:rsidRPr="005E6BB6">
        <w:t xml:space="preserve">this </w:t>
      </w:r>
      <w:r w:rsidR="009C46FA" w:rsidRPr="005E6BB6">
        <w:t xml:space="preserve">bias </w:t>
      </w:r>
      <w:r w:rsidR="0059616C" w:rsidRPr="005E6BB6">
        <w:t xml:space="preserve">on the estimate of treatment effect </w:t>
      </w:r>
      <w:r w:rsidR="009C46FA" w:rsidRPr="005E6BB6">
        <w:t>c</w:t>
      </w:r>
      <w:r w:rsidR="00033FF2" w:rsidRPr="005E6BB6">
        <w:t xml:space="preserve">ould </w:t>
      </w:r>
      <w:r w:rsidR="0037569E" w:rsidRPr="005E6BB6">
        <w:t>not be determined.</w:t>
      </w:r>
    </w:p>
    <w:p w:rsidR="00321AA5" w:rsidRPr="0037569E" w:rsidRDefault="00321AA5" w:rsidP="00321AA5">
      <w:pPr>
        <w:pStyle w:val="TableHeader"/>
        <w:rPr>
          <w:b w:val="0"/>
          <w:sz w:val="22"/>
          <w:szCs w:val="22"/>
        </w:rPr>
      </w:pPr>
    </w:p>
    <w:p w:rsidR="00321AA5" w:rsidRPr="00051969" w:rsidRDefault="00321AA5" w:rsidP="00D52A6D">
      <w:pPr>
        <w:pStyle w:val="StyleTableHeaderFirstline127cm"/>
        <w:rPr>
          <w:rFonts w:ascii="Arial Narrow" w:hAnsi="Arial Narrow"/>
        </w:rPr>
      </w:pPr>
      <w:bookmarkStart w:id="15" w:name="_Ref453146760"/>
      <w:r w:rsidRPr="00051969">
        <w:rPr>
          <w:rFonts w:ascii="Arial Narrow" w:hAnsi="Arial Narrow"/>
        </w:rPr>
        <w:t xml:space="preserve">Figure </w:t>
      </w:r>
      <w:r w:rsidR="00D07F7B" w:rsidRPr="00051969">
        <w:rPr>
          <w:rFonts w:ascii="Arial Narrow" w:hAnsi="Arial Narrow"/>
        </w:rPr>
        <w:t>3</w:t>
      </w:r>
      <w:bookmarkEnd w:id="15"/>
      <w:r w:rsidRPr="00051969">
        <w:rPr>
          <w:rFonts w:ascii="Arial Narrow" w:hAnsi="Arial Narrow"/>
        </w:rPr>
        <w:t xml:space="preserve">: Disposition of patients in </w:t>
      </w:r>
      <w:proofErr w:type="spellStart"/>
      <w:r w:rsidRPr="00051969">
        <w:rPr>
          <w:rFonts w:ascii="Arial Narrow" w:hAnsi="Arial Narrow"/>
        </w:rPr>
        <w:t>OPTiM</w:t>
      </w:r>
      <w:proofErr w:type="spellEnd"/>
    </w:p>
    <w:p w:rsidR="00321AA5" w:rsidRDefault="00321AA5" w:rsidP="00321AA5">
      <w:pPr>
        <w:pStyle w:val="ListParagraph"/>
        <w:rPr>
          <w:i/>
        </w:rPr>
      </w:pPr>
      <w:r>
        <w:rPr>
          <w:noProof/>
          <w:snapToGrid/>
          <w:lang w:eastAsia="en-AU"/>
        </w:rPr>
        <w:drawing>
          <wp:inline distT="0" distB="0" distL="0" distR="0" wp14:anchorId="0D108FD0" wp14:editId="4F69D58F">
            <wp:extent cx="5381625" cy="3714750"/>
            <wp:effectExtent l="0" t="0" r="9525" b="0"/>
            <wp:docPr id="1" name="Picture 1" title="Figure 3: Disposition of patients in OP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81625" cy="3714750"/>
                    </a:xfrm>
                    <a:prstGeom prst="rect">
                      <a:avLst/>
                    </a:prstGeom>
                  </pic:spPr>
                </pic:pic>
              </a:graphicData>
            </a:graphic>
          </wp:inline>
        </w:drawing>
      </w:r>
    </w:p>
    <w:p w:rsidR="0074156D" w:rsidRDefault="00321AA5" w:rsidP="00A31512">
      <w:pPr>
        <w:pStyle w:val="TableFooter"/>
        <w:ind w:left="720"/>
        <w:rPr>
          <w:noProof/>
          <w:lang w:val="fr-CA"/>
        </w:rPr>
      </w:pPr>
      <w:r>
        <w:rPr>
          <w:i/>
        </w:rPr>
        <w:t xml:space="preserve">Source: </w:t>
      </w:r>
      <w:r w:rsidR="00A31512" w:rsidRPr="00850F43">
        <w:rPr>
          <w:noProof/>
          <w:lang w:val="fr-CA"/>
        </w:rPr>
        <w:t xml:space="preserve">Andtbacka RHI, Kaufman HL, Collichio F, Amatruda T, Senzer N, Chesney J et al. Talimogene laherparepvec improves durable response rate in patients with advanced melanoma. </w:t>
      </w:r>
      <w:r w:rsidR="00A31512" w:rsidRPr="00850F43">
        <w:rPr>
          <w:i/>
          <w:noProof/>
          <w:lang w:val="fr-CA"/>
        </w:rPr>
        <w:t>J Clin Oncol</w:t>
      </w:r>
      <w:r w:rsidR="00A31512" w:rsidRPr="00850F43">
        <w:rPr>
          <w:noProof/>
          <w:lang w:val="fr-CA"/>
        </w:rPr>
        <w:t xml:space="preserve"> 2015; 33(25):2780-2788.</w:t>
      </w:r>
    </w:p>
    <w:p w:rsidR="00FB47D6" w:rsidRPr="00BE77DA" w:rsidRDefault="00FB47D6">
      <w:pPr>
        <w:widowControl/>
        <w:jc w:val="left"/>
      </w:pPr>
    </w:p>
    <w:p w:rsidR="00574E26" w:rsidRPr="005E6BB6" w:rsidRDefault="002B2B7F" w:rsidP="00ED000E">
      <w:pPr>
        <w:pStyle w:val="ListParagraph"/>
        <w:numPr>
          <w:ilvl w:val="1"/>
          <w:numId w:val="1"/>
        </w:numPr>
      </w:pPr>
      <w:r w:rsidRPr="005E6BB6">
        <w:t xml:space="preserve">The submission </w:t>
      </w:r>
      <w:r w:rsidR="003759C6" w:rsidRPr="005E6BB6">
        <w:t xml:space="preserve">assessed treatment effect variation across </w:t>
      </w:r>
      <w:r w:rsidRPr="005E6BB6">
        <w:t xml:space="preserve">the two subgroups (proposed PBS population and </w:t>
      </w:r>
      <w:r w:rsidR="000B0721" w:rsidRPr="005E6BB6">
        <w:t xml:space="preserve">its complementary </w:t>
      </w:r>
      <w:r w:rsidRPr="005E6BB6">
        <w:t>late-stage population)</w:t>
      </w:r>
      <w:r w:rsidR="003759C6" w:rsidRPr="005E6BB6">
        <w:t>.</w:t>
      </w:r>
      <w:r w:rsidRPr="005E6BB6">
        <w:t xml:space="preserve">  The submission reported that the difference in hazard ratio for patients in the proposed PBS population compared with the remainder of patients in </w:t>
      </w:r>
      <w:proofErr w:type="spellStart"/>
      <w:r w:rsidRPr="005E6BB6">
        <w:t>OPTiM</w:t>
      </w:r>
      <w:proofErr w:type="spellEnd"/>
      <w:r w:rsidRPr="005E6BB6">
        <w:t xml:space="preserve"> was statistically significant (chi</w:t>
      </w:r>
      <w:r w:rsidRPr="005E6BB6">
        <w:rPr>
          <w:vertAlign w:val="superscript"/>
        </w:rPr>
        <w:t>2</w:t>
      </w:r>
      <w:r w:rsidRPr="005E6BB6">
        <w:t xml:space="preserve">=6.00, </w:t>
      </w:r>
      <w:proofErr w:type="spellStart"/>
      <w:proofErr w:type="gramStart"/>
      <w:r w:rsidRPr="005E6BB6">
        <w:t>df</w:t>
      </w:r>
      <w:proofErr w:type="spellEnd"/>
      <w:r w:rsidRPr="005E6BB6">
        <w:t>=</w:t>
      </w:r>
      <w:proofErr w:type="gramEnd"/>
      <w:r w:rsidRPr="005E6BB6">
        <w:t>1, p=0.01, I</w:t>
      </w:r>
      <w:r w:rsidRPr="005E6BB6">
        <w:rPr>
          <w:vertAlign w:val="superscript"/>
        </w:rPr>
        <w:t>2</w:t>
      </w:r>
      <w:r w:rsidRPr="005E6BB6">
        <w:t>=83.3%)</w:t>
      </w:r>
      <w:r w:rsidR="000B0721" w:rsidRPr="005E6BB6">
        <w:t>,</w:t>
      </w:r>
      <w:r w:rsidRPr="005E6BB6">
        <w:t xml:space="preserve"> and claimed </w:t>
      </w:r>
      <w:r w:rsidR="000B0721" w:rsidRPr="005E6BB6">
        <w:t xml:space="preserve">that </w:t>
      </w:r>
      <w:r w:rsidRPr="005E6BB6">
        <w:t>these data demonstrate</w:t>
      </w:r>
      <w:r w:rsidR="000B0721" w:rsidRPr="005E6BB6">
        <w:t>d</w:t>
      </w:r>
      <w:r w:rsidRPr="005E6BB6">
        <w:t xml:space="preserve"> that T-VEC is beneficial in loco-regional disease, consistent with the proposed PBS listing.</w:t>
      </w:r>
    </w:p>
    <w:p w:rsidR="0006514A" w:rsidRPr="00BE77DA" w:rsidRDefault="0006514A" w:rsidP="00574E26">
      <w:pPr>
        <w:rPr>
          <w:rStyle w:val="CommentReference"/>
          <w:rFonts w:ascii="Arial" w:hAnsi="Arial"/>
          <w:b w:val="0"/>
          <w:sz w:val="22"/>
          <w:szCs w:val="20"/>
        </w:rPr>
      </w:pPr>
    </w:p>
    <w:p w:rsidR="00575CFC" w:rsidRPr="005E6BB6" w:rsidRDefault="002B2B7F" w:rsidP="00216BEA">
      <w:pPr>
        <w:pStyle w:val="ListParagraph"/>
        <w:numPr>
          <w:ilvl w:val="1"/>
          <w:numId w:val="1"/>
        </w:numPr>
      </w:pPr>
      <w:r w:rsidRPr="005E6BB6">
        <w:t xml:space="preserve">The CSR provided a test of interaction </w:t>
      </w:r>
      <w:r w:rsidR="00CA122F" w:rsidRPr="005E6BB6">
        <w:t xml:space="preserve">between treatment effect and </w:t>
      </w:r>
      <w:r w:rsidRPr="005E6BB6">
        <w:t xml:space="preserve">stage of disease </w:t>
      </w:r>
      <w:r w:rsidR="00CA122F" w:rsidRPr="005E6BB6">
        <w:t xml:space="preserve">as defined across </w:t>
      </w:r>
      <w:r w:rsidR="00763FD2" w:rsidRPr="005E6BB6">
        <w:t>four</w:t>
      </w:r>
      <w:r w:rsidR="00CA122F" w:rsidRPr="005E6BB6">
        <w:t xml:space="preserve"> subgroups (</w:t>
      </w:r>
      <w:r w:rsidR="0067263C" w:rsidRPr="005E6BB6">
        <w:t xml:space="preserve">stage </w:t>
      </w:r>
      <w:proofErr w:type="spellStart"/>
      <w:r w:rsidR="00CA122F" w:rsidRPr="005E6BB6">
        <w:t>IIIb</w:t>
      </w:r>
      <w:proofErr w:type="spellEnd"/>
      <w:r w:rsidR="00763FD2" w:rsidRPr="005E6BB6">
        <w:t>/</w:t>
      </w:r>
      <w:r w:rsidR="0067263C" w:rsidRPr="005E6BB6">
        <w:t>c</w:t>
      </w:r>
      <w:r w:rsidR="00CA122F" w:rsidRPr="005E6BB6">
        <w:t>,</w:t>
      </w:r>
      <w:r w:rsidR="005A5CCE" w:rsidRPr="005E6BB6">
        <w:t xml:space="preserve"> IVM</w:t>
      </w:r>
      <w:r w:rsidR="0067263C" w:rsidRPr="005E6BB6">
        <w:t>1</w:t>
      </w:r>
      <w:r w:rsidR="005A5CCE" w:rsidRPr="005E6BB6">
        <w:t>a,</w:t>
      </w:r>
      <w:r w:rsidR="00BF171F" w:rsidRPr="005E6BB6">
        <w:t xml:space="preserve"> IVM1b</w:t>
      </w:r>
      <w:r w:rsidR="005A5CCE" w:rsidRPr="005E6BB6">
        <w:t xml:space="preserve"> and IVM</w:t>
      </w:r>
      <w:r w:rsidR="0067263C" w:rsidRPr="005E6BB6">
        <w:t>1</w:t>
      </w:r>
      <w:r w:rsidR="005A5CCE" w:rsidRPr="005E6BB6">
        <w:t>c)</w:t>
      </w:r>
      <w:r w:rsidR="00CA122F" w:rsidRPr="005E6BB6">
        <w:t xml:space="preserve"> </w:t>
      </w:r>
      <w:r w:rsidRPr="005E6BB6">
        <w:t>(p92, primary CSR).  Th</w:t>
      </w:r>
      <w:r w:rsidR="00763FD2" w:rsidRPr="005E6BB6">
        <w:t>e CSR indicated this</w:t>
      </w:r>
      <w:r w:rsidRPr="005E6BB6">
        <w:t xml:space="preserve"> was an ad</w:t>
      </w:r>
      <w:r w:rsidR="00CE5839" w:rsidRPr="005E6BB6">
        <w:t xml:space="preserve"> </w:t>
      </w:r>
      <w:r w:rsidR="000B0721" w:rsidRPr="005E6BB6">
        <w:t>hoc analysis,</w:t>
      </w:r>
      <w:r w:rsidR="00763FD2" w:rsidRPr="005E6BB6">
        <w:t xml:space="preserve"> but did not provide any particulars of the nature of the analysis.  It was assumed to be a post-hoc analysis</w:t>
      </w:r>
      <w:r w:rsidR="004504C3" w:rsidRPr="005E6BB6">
        <w:t>.</w:t>
      </w:r>
      <w:r w:rsidR="00763FD2" w:rsidRPr="005E6BB6">
        <w:t xml:space="preserve">  The analysis</w:t>
      </w:r>
      <w:r w:rsidR="000B0721" w:rsidRPr="005E6BB6">
        <w:t xml:space="preserve"> returned a p-</w:t>
      </w:r>
      <w:r w:rsidRPr="005E6BB6">
        <w:t>value of 0.078, which the CSR claimed suggested that the magnitude of treatment effect on OS varied among different stages of disease.</w:t>
      </w:r>
    </w:p>
    <w:p w:rsidR="00561329" w:rsidRPr="005E6BB6" w:rsidRDefault="00561329" w:rsidP="007F18A2"/>
    <w:p w:rsidR="00561329" w:rsidRPr="005E6BB6" w:rsidRDefault="00F72CE1" w:rsidP="00ED000E">
      <w:pPr>
        <w:pStyle w:val="ListParagraph"/>
        <w:numPr>
          <w:ilvl w:val="1"/>
          <w:numId w:val="1"/>
        </w:numPr>
      </w:pPr>
      <w:r w:rsidRPr="005E6BB6">
        <w:t>Based on t</w:t>
      </w:r>
      <w:r w:rsidR="00561329" w:rsidRPr="005E6BB6">
        <w:t xml:space="preserve">he </w:t>
      </w:r>
      <w:proofErr w:type="spellStart"/>
      <w:r w:rsidR="00561329" w:rsidRPr="005E6BB6">
        <w:t>OPTiM</w:t>
      </w:r>
      <w:proofErr w:type="spellEnd"/>
      <w:r w:rsidR="00561329" w:rsidRPr="005E6BB6">
        <w:t xml:space="preserve"> trial </w:t>
      </w:r>
      <w:r w:rsidRPr="005E6BB6">
        <w:t xml:space="preserve">subgroup analyses, the submission argued </w:t>
      </w:r>
      <w:r w:rsidR="00561329" w:rsidRPr="005E6BB6">
        <w:t>that directly injected and non-visceral lesions respond best to T-VEC</w:t>
      </w:r>
      <w:r w:rsidR="00C95426" w:rsidRPr="005E6BB6">
        <w:t xml:space="preserve"> in the stage </w:t>
      </w:r>
      <w:proofErr w:type="spellStart"/>
      <w:r w:rsidR="00C95426" w:rsidRPr="005E6BB6">
        <w:t>IIIb</w:t>
      </w:r>
      <w:proofErr w:type="spellEnd"/>
      <w:r w:rsidR="00C95426" w:rsidRPr="005E6BB6">
        <w:t xml:space="preserve">/c and stage IVM1a population.  While </w:t>
      </w:r>
      <w:r w:rsidR="00092508" w:rsidRPr="005E6BB6">
        <w:t>it could be argued that the use of T-VEC should be limited</w:t>
      </w:r>
      <w:r w:rsidR="00561329" w:rsidRPr="005E6BB6">
        <w:t xml:space="preserve"> to the patient population where it is most effective, an artefact of this approach was that there is no comparable data in the same stage </w:t>
      </w:r>
      <w:proofErr w:type="spellStart"/>
      <w:r w:rsidR="00561329" w:rsidRPr="005E6BB6">
        <w:t>IIIb</w:t>
      </w:r>
      <w:proofErr w:type="spellEnd"/>
      <w:r w:rsidR="00561329" w:rsidRPr="005E6BB6">
        <w:t xml:space="preserve">/c to stage IVM1a patient population for </w:t>
      </w:r>
      <w:proofErr w:type="spellStart"/>
      <w:r w:rsidR="00561329" w:rsidRPr="005E6BB6">
        <w:t>ipilimumab</w:t>
      </w:r>
      <w:proofErr w:type="spellEnd"/>
      <w:r w:rsidR="00561329" w:rsidRPr="005E6BB6">
        <w:t xml:space="preserve">, </w:t>
      </w:r>
      <w:proofErr w:type="spellStart"/>
      <w:r w:rsidR="00561329" w:rsidRPr="005E6BB6">
        <w:t>nivolumab</w:t>
      </w:r>
      <w:proofErr w:type="spellEnd"/>
      <w:r w:rsidR="00561329" w:rsidRPr="005E6BB6">
        <w:t xml:space="preserve"> or </w:t>
      </w:r>
      <w:proofErr w:type="spellStart"/>
      <w:r w:rsidR="00561329" w:rsidRPr="005E6BB6">
        <w:t>pembrolizumab</w:t>
      </w:r>
      <w:proofErr w:type="spellEnd"/>
      <w:r w:rsidR="00561329" w:rsidRPr="005E6BB6">
        <w:t xml:space="preserve">.  Consequently, no comparison </w:t>
      </w:r>
      <w:r w:rsidR="002C1194">
        <w:t xml:space="preserve">of the </w:t>
      </w:r>
      <w:r w:rsidR="00727227">
        <w:t>effectiveness of T-VEC and ipili</w:t>
      </w:r>
      <w:r w:rsidR="002C1194">
        <w:t xml:space="preserve">mumab </w:t>
      </w:r>
      <w:r w:rsidR="00561329" w:rsidRPr="005E6BB6">
        <w:t xml:space="preserve">could be made across the trials for the </w:t>
      </w:r>
      <w:r w:rsidR="00A30DF8" w:rsidRPr="005E6BB6">
        <w:t>subgroup</w:t>
      </w:r>
      <w:r w:rsidR="00561329" w:rsidRPr="005E6BB6">
        <w:t xml:space="preserve"> of patients proposed for the PBS listing of T-VEC.</w:t>
      </w:r>
      <w:r w:rsidR="004F4905" w:rsidRPr="005E6BB6">
        <w:t xml:space="preserve">  An indirect comparison of T-VEC with </w:t>
      </w:r>
      <w:proofErr w:type="spellStart"/>
      <w:r w:rsidR="004F4905" w:rsidRPr="005E6BB6">
        <w:t>nivolumab</w:t>
      </w:r>
      <w:proofErr w:type="spellEnd"/>
      <w:r w:rsidR="004F4905" w:rsidRPr="005E6BB6">
        <w:t xml:space="preserve"> or </w:t>
      </w:r>
      <w:proofErr w:type="spellStart"/>
      <w:r w:rsidR="004F4905" w:rsidRPr="005E6BB6">
        <w:t>ipilimumab</w:t>
      </w:r>
      <w:proofErr w:type="spellEnd"/>
      <w:r w:rsidR="004F4905" w:rsidRPr="005E6BB6">
        <w:t xml:space="preserve"> using the</w:t>
      </w:r>
      <w:r w:rsidR="00F539E6" w:rsidRPr="005E6BB6">
        <w:t xml:space="preserve"> </w:t>
      </w:r>
      <w:r w:rsidR="004F4905" w:rsidRPr="005E6BB6">
        <w:t xml:space="preserve">intention-to-treat (ITT) results </w:t>
      </w:r>
      <w:r w:rsidR="00F539E6" w:rsidRPr="005E6BB6">
        <w:t xml:space="preserve">of their key trials </w:t>
      </w:r>
      <w:r w:rsidR="004F4905" w:rsidRPr="005E6BB6">
        <w:t xml:space="preserve">was also not possible, since patients enrolled in </w:t>
      </w:r>
      <w:proofErr w:type="spellStart"/>
      <w:r w:rsidR="004F4905" w:rsidRPr="005E6BB6">
        <w:t>OPTiM</w:t>
      </w:r>
      <w:proofErr w:type="spellEnd"/>
      <w:r w:rsidR="004F4905" w:rsidRPr="005E6BB6">
        <w:t xml:space="preserve"> had to have lesions that could be injected, there was no such requirement for patients in the comparator trials, and this is likely to be a treatment effect modifier for each </w:t>
      </w:r>
      <w:r w:rsidR="00092508" w:rsidRPr="005E6BB6">
        <w:t xml:space="preserve">of </w:t>
      </w:r>
      <w:r w:rsidR="004F4905" w:rsidRPr="005E6BB6">
        <w:t>the compared medicines.</w:t>
      </w:r>
    </w:p>
    <w:p w:rsidR="00733B66" w:rsidRPr="005E6BB6" w:rsidRDefault="00733B66" w:rsidP="00733B66"/>
    <w:p w:rsidR="00733B66" w:rsidRPr="005E6BB6" w:rsidRDefault="00733B66" w:rsidP="00ED000E">
      <w:pPr>
        <w:pStyle w:val="ListParagraph"/>
        <w:numPr>
          <w:ilvl w:val="1"/>
          <w:numId w:val="1"/>
        </w:numPr>
      </w:pPr>
      <w:r w:rsidRPr="005E6BB6">
        <w:t>The PSCR stated that disease stage (</w:t>
      </w:r>
      <w:proofErr w:type="spellStart"/>
      <w:r w:rsidRPr="005E6BB6">
        <w:t>IIIb</w:t>
      </w:r>
      <w:proofErr w:type="spellEnd"/>
      <w:r w:rsidRPr="005E6BB6">
        <w:t xml:space="preserve">/c, IVM1a, IVM1b, IVM1c) in </w:t>
      </w:r>
      <w:proofErr w:type="spellStart"/>
      <w:r w:rsidRPr="005E6BB6">
        <w:t>OPTiM</w:t>
      </w:r>
      <w:proofErr w:type="spellEnd"/>
      <w:r w:rsidRPr="005E6BB6">
        <w:t xml:space="preserve"> was pre-specified</w:t>
      </w:r>
      <w:proofErr w:type="gramStart"/>
      <w:r w:rsidRPr="005E6BB6">
        <w:t xml:space="preserve">.  </w:t>
      </w:r>
      <w:proofErr w:type="gramEnd"/>
      <w:r w:rsidRPr="005E6BB6">
        <w:t>The PSCR also provided data on the sub-stage effects across trials (</w:t>
      </w:r>
      <w:proofErr w:type="spellStart"/>
      <w:r w:rsidRPr="005E6BB6">
        <w:t>OPTiM</w:t>
      </w:r>
      <w:proofErr w:type="spellEnd"/>
      <w:r w:rsidRPr="005E6BB6">
        <w:t xml:space="preserve"> and Study 002/03) for response rates, and sub-stage effects for durable response rate and overall survival, and tests for interaction for covariates in </w:t>
      </w:r>
      <w:proofErr w:type="spellStart"/>
      <w:r w:rsidRPr="005E6BB6">
        <w:t>OPTiM</w:t>
      </w:r>
      <w:proofErr w:type="spellEnd"/>
      <w:r w:rsidRPr="005E6BB6">
        <w:t>.  The PSCR argued that these data support the validity of subgroup analyses and are indicative of consistently larger treatment effects in patients with earlier disease.</w:t>
      </w:r>
    </w:p>
    <w:p w:rsidR="00733B66" w:rsidRPr="005E6BB6" w:rsidRDefault="00733B66" w:rsidP="00733B66">
      <w:pPr>
        <w:pStyle w:val="ListParagraph"/>
        <w:ind w:left="0"/>
        <w:rPr>
          <w:iCs/>
        </w:rPr>
      </w:pPr>
    </w:p>
    <w:p w:rsidR="00733B66" w:rsidRPr="005E6BB6" w:rsidRDefault="00733B66" w:rsidP="00ED000E">
      <w:pPr>
        <w:pStyle w:val="ListParagraph"/>
        <w:numPr>
          <w:ilvl w:val="1"/>
          <w:numId w:val="1"/>
        </w:numPr>
        <w:rPr>
          <w:iCs/>
        </w:rPr>
      </w:pPr>
      <w:r w:rsidRPr="005E6BB6">
        <w:rPr>
          <w:iCs/>
          <w:lang w:val="en-US"/>
        </w:rPr>
        <w:t xml:space="preserve">The </w:t>
      </w:r>
      <w:r w:rsidRPr="005E6BB6">
        <w:t>PSCR</w:t>
      </w:r>
      <w:r w:rsidRPr="005E6BB6">
        <w:rPr>
          <w:iCs/>
          <w:lang w:val="en-US"/>
        </w:rPr>
        <w:t xml:space="preserve"> sought to support the biological plausibility of treatment effect variation across </w:t>
      </w:r>
      <w:r w:rsidR="00FB6A6D" w:rsidRPr="005E6BB6">
        <w:rPr>
          <w:iCs/>
          <w:lang w:val="en-US"/>
        </w:rPr>
        <w:t xml:space="preserve">lesion types by </w:t>
      </w:r>
      <w:r w:rsidRPr="005E6BB6">
        <w:rPr>
          <w:iCs/>
          <w:lang w:val="en-US"/>
        </w:rPr>
        <w:t>provid</w:t>
      </w:r>
      <w:r w:rsidR="00FB6A6D" w:rsidRPr="005E6BB6">
        <w:rPr>
          <w:iCs/>
          <w:lang w:val="en-US"/>
        </w:rPr>
        <w:t>ing</w:t>
      </w:r>
      <w:r w:rsidRPr="005E6BB6">
        <w:rPr>
          <w:iCs/>
          <w:lang w:val="en-US"/>
        </w:rPr>
        <w:t xml:space="preserve"> a</w:t>
      </w:r>
      <w:r w:rsidR="00FB6A6D" w:rsidRPr="005E6BB6">
        <w:rPr>
          <w:iCs/>
          <w:lang w:val="en-US"/>
        </w:rPr>
        <w:t xml:space="preserve"> </w:t>
      </w:r>
      <w:r w:rsidRPr="005E6BB6">
        <w:rPr>
          <w:iCs/>
          <w:lang w:val="en-US"/>
        </w:rPr>
        <w:t xml:space="preserve">figure which </w:t>
      </w:r>
      <w:r w:rsidR="00FB6A6D" w:rsidRPr="005E6BB6">
        <w:rPr>
          <w:iCs/>
          <w:lang w:val="en-US"/>
        </w:rPr>
        <w:t xml:space="preserve">presented </w:t>
      </w:r>
      <w:r w:rsidRPr="005E6BB6">
        <w:rPr>
          <w:iCs/>
          <w:lang w:val="en-US"/>
        </w:rPr>
        <w:t xml:space="preserve">the results of T-VEC </w:t>
      </w:r>
      <w:r w:rsidR="00FB6A6D" w:rsidRPr="005E6BB6">
        <w:rPr>
          <w:iCs/>
          <w:lang w:val="en-US"/>
        </w:rPr>
        <w:t xml:space="preserve">treatment </w:t>
      </w:r>
      <w:r w:rsidRPr="005E6BB6">
        <w:rPr>
          <w:iCs/>
          <w:lang w:val="en-US"/>
        </w:rPr>
        <w:t xml:space="preserve">from a source other than the </w:t>
      </w:r>
      <w:proofErr w:type="spellStart"/>
      <w:r w:rsidRPr="005E6BB6">
        <w:rPr>
          <w:iCs/>
          <w:lang w:val="en-US"/>
        </w:rPr>
        <w:t>OPTiM</w:t>
      </w:r>
      <w:proofErr w:type="spellEnd"/>
      <w:r w:rsidRPr="005E6BB6">
        <w:rPr>
          <w:iCs/>
          <w:lang w:val="en-US"/>
        </w:rPr>
        <w:t xml:space="preserve"> trials</w:t>
      </w:r>
      <w:r w:rsidR="00601CFE" w:rsidRPr="005E6BB6">
        <w:rPr>
          <w:iCs/>
          <w:lang w:val="en-US"/>
        </w:rPr>
        <w:t xml:space="preserve"> (see </w:t>
      </w:r>
      <w:r w:rsidR="00D07F7B" w:rsidRPr="005E6BB6">
        <w:t xml:space="preserve">Figure </w:t>
      </w:r>
      <w:r w:rsidR="00D07F7B">
        <w:t>4</w:t>
      </w:r>
      <w:r w:rsidR="00FB6A6D" w:rsidRPr="005E6BB6">
        <w:rPr>
          <w:iCs/>
          <w:lang w:val="en-US"/>
        </w:rPr>
        <w:t>).</w:t>
      </w:r>
    </w:p>
    <w:p w:rsidR="00FB6A6D" w:rsidRPr="00A66471" w:rsidRDefault="00FB6A6D" w:rsidP="00601CFE">
      <w:pPr>
        <w:rPr>
          <w:iCs/>
          <w:szCs w:val="22"/>
        </w:rPr>
      </w:pPr>
    </w:p>
    <w:p w:rsidR="00601CFE" w:rsidRPr="00051969" w:rsidRDefault="00601CFE" w:rsidP="00601CFE">
      <w:pPr>
        <w:pStyle w:val="TableHeader"/>
        <w:keepNext/>
        <w:keepLines/>
        <w:ind w:left="720"/>
        <w:rPr>
          <w:rFonts w:ascii="Arial Narrow" w:hAnsi="Arial Narrow" w:cs="Times New Roman"/>
          <w:bCs/>
        </w:rPr>
      </w:pPr>
      <w:bookmarkStart w:id="16" w:name="_Ref453922211"/>
      <w:r w:rsidRPr="00051969">
        <w:rPr>
          <w:rFonts w:ascii="Arial Narrow" w:hAnsi="Arial Narrow" w:cs="Times New Roman"/>
          <w:bCs/>
        </w:rPr>
        <w:t xml:space="preserve">Figure </w:t>
      </w:r>
      <w:r w:rsidR="00D07F7B" w:rsidRPr="00051969">
        <w:rPr>
          <w:rFonts w:ascii="Arial Narrow" w:hAnsi="Arial Narrow" w:cs="Times New Roman"/>
          <w:bCs/>
        </w:rPr>
        <w:t>4</w:t>
      </w:r>
      <w:bookmarkEnd w:id="16"/>
      <w:r w:rsidRPr="00051969">
        <w:rPr>
          <w:rFonts w:ascii="Arial Narrow" w:hAnsi="Arial Narrow" w:cs="Times New Roman"/>
          <w:bCs/>
        </w:rPr>
        <w:t xml:space="preserve">: Figure 1 from p6 of PSCR </w:t>
      </w:r>
    </w:p>
    <w:p w:rsidR="00601CFE" w:rsidRPr="00FB6A6D" w:rsidRDefault="00601CFE" w:rsidP="00FB6A6D">
      <w:pPr>
        <w:ind w:left="709"/>
        <w:rPr>
          <w:b/>
          <w:i/>
          <w:iCs/>
          <w:sz w:val="20"/>
        </w:rPr>
      </w:pPr>
      <w:r>
        <w:rPr>
          <w:noProof/>
          <w:snapToGrid/>
          <w:lang w:eastAsia="en-AU"/>
        </w:rPr>
        <w:drawing>
          <wp:inline distT="0" distB="0" distL="0" distR="0" wp14:anchorId="2A32B53A" wp14:editId="765F4995">
            <wp:extent cx="5238216" cy="2981325"/>
            <wp:effectExtent l="0" t="0" r="635" b="0"/>
            <wp:docPr id="2" name="Picture 2" title="Figure 4: Figure 1 from p6 of P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43858" cy="2984536"/>
                    </a:xfrm>
                    <a:prstGeom prst="rect">
                      <a:avLst/>
                    </a:prstGeom>
                  </pic:spPr>
                </pic:pic>
              </a:graphicData>
            </a:graphic>
          </wp:inline>
        </w:drawing>
      </w:r>
    </w:p>
    <w:p w:rsidR="00733B66" w:rsidRDefault="00733B66" w:rsidP="00733B66">
      <w:pPr>
        <w:pStyle w:val="ListParagraph"/>
        <w:ind w:left="0"/>
        <w:rPr>
          <w:i/>
          <w:iCs/>
        </w:rPr>
      </w:pPr>
    </w:p>
    <w:p w:rsidR="00733B66" w:rsidRPr="005E6BB6" w:rsidRDefault="00733B66" w:rsidP="00A66471">
      <w:pPr>
        <w:pStyle w:val="ListParagraph"/>
        <w:widowControl/>
        <w:numPr>
          <w:ilvl w:val="1"/>
          <w:numId w:val="1"/>
        </w:numPr>
      </w:pPr>
      <w:r w:rsidRPr="005E6BB6">
        <w:t xml:space="preserve">The ESC noted that, </w:t>
      </w:r>
      <w:r w:rsidR="00FB6A6D" w:rsidRPr="005E6BB6">
        <w:t>from</w:t>
      </w:r>
      <w:r w:rsidRPr="005E6BB6">
        <w:t xml:space="preserve"> </w:t>
      </w:r>
      <w:r w:rsidR="00FB6A6D" w:rsidRPr="005E6BB6">
        <w:t xml:space="preserve">the ITT population of </w:t>
      </w:r>
      <w:proofErr w:type="spellStart"/>
      <w:r w:rsidRPr="005E6BB6">
        <w:t>OPTiM</w:t>
      </w:r>
      <w:proofErr w:type="spellEnd"/>
      <w:r w:rsidRPr="005E6BB6">
        <w:t>, the median time to response among the 78 responding patients in the T-VEC arm was 4.1 months, with a range between 1.2 to 16.7 months.  Th</w:t>
      </w:r>
      <w:r w:rsidR="00FB6A6D" w:rsidRPr="005E6BB6">
        <w:t>ese results were not broken down by lesion type, but are broadly consistent with th</w:t>
      </w:r>
      <w:r w:rsidR="002F46BD" w:rsidRPr="005E6BB6">
        <w:t>e results presented in Figure 1</w:t>
      </w:r>
      <w:r w:rsidR="00FB6A6D" w:rsidRPr="005E6BB6">
        <w:t xml:space="preserve"> from the PSCR.  The ESC considered that the apparent delay of responses </w:t>
      </w:r>
      <w:r w:rsidR="00DF5968" w:rsidRPr="005E6BB6">
        <w:t xml:space="preserve">in visceral lesions </w:t>
      </w:r>
      <w:r w:rsidR="00FB6A6D" w:rsidRPr="005E6BB6">
        <w:t xml:space="preserve">to beyond 6 months </w:t>
      </w:r>
      <w:r w:rsidR="00DF5968" w:rsidRPr="005E6BB6">
        <w:t>did not suggest an obvious treatment effect by T-VEC on visceral lesions, supporting the acceptance</w:t>
      </w:r>
      <w:r w:rsidR="002F46BD" w:rsidRPr="005E6BB6">
        <w:t xml:space="preserve"> of the sub-group analysis focu</w:t>
      </w:r>
      <w:r w:rsidR="00DF5968" w:rsidRPr="005E6BB6">
        <w:t xml:space="preserve">sing </w:t>
      </w:r>
      <w:r w:rsidR="003623DF" w:rsidRPr="005E6BB6">
        <w:t xml:space="preserve">on </w:t>
      </w:r>
      <w:r w:rsidR="00DF5968" w:rsidRPr="005E6BB6">
        <w:t>patient</w:t>
      </w:r>
      <w:r w:rsidR="003623DF" w:rsidRPr="005E6BB6">
        <w:t>s</w:t>
      </w:r>
      <w:r w:rsidR="00DF5968" w:rsidRPr="005E6BB6">
        <w:t xml:space="preserve"> with Stage </w:t>
      </w:r>
      <w:proofErr w:type="spellStart"/>
      <w:r w:rsidR="00DF5968" w:rsidRPr="005E6BB6">
        <w:t>IIIb</w:t>
      </w:r>
      <w:proofErr w:type="spellEnd"/>
      <w:r w:rsidR="00DF5968" w:rsidRPr="005E6BB6">
        <w:t>/c and IVM1a melanoma</w:t>
      </w:r>
      <w:r w:rsidRPr="005E6BB6">
        <w:t>.</w:t>
      </w:r>
    </w:p>
    <w:p w:rsidR="00E347E2" w:rsidRPr="005E6BB6" w:rsidRDefault="00E347E2" w:rsidP="00991D8C"/>
    <w:p w:rsidR="005D13A0" w:rsidRDefault="00F9360E" w:rsidP="00ED000E">
      <w:pPr>
        <w:pStyle w:val="ListParagraph"/>
        <w:widowControl/>
        <w:numPr>
          <w:ilvl w:val="1"/>
          <w:numId w:val="1"/>
        </w:numPr>
      </w:pPr>
      <w:r w:rsidRPr="005E6BB6">
        <w:t>T</w:t>
      </w:r>
      <w:r w:rsidR="00E347E2" w:rsidRPr="005E6BB6">
        <w:t xml:space="preserve">he submission </w:t>
      </w:r>
      <w:r w:rsidR="00733B66" w:rsidRPr="005E6BB6">
        <w:t xml:space="preserve">then </w:t>
      </w:r>
      <w:r w:rsidR="00E347E2" w:rsidRPr="005E6BB6">
        <w:t xml:space="preserve">presented an informal comparison of hazard ratios for comparisons of T-VEC, </w:t>
      </w:r>
      <w:proofErr w:type="spellStart"/>
      <w:r w:rsidR="00E347E2" w:rsidRPr="005E6BB6">
        <w:t>ipilimumab</w:t>
      </w:r>
      <w:proofErr w:type="spellEnd"/>
      <w:r w:rsidR="00E347E2" w:rsidRPr="005E6BB6">
        <w:t xml:space="preserve"> and </w:t>
      </w:r>
      <w:proofErr w:type="spellStart"/>
      <w:r w:rsidR="00E347E2" w:rsidRPr="005E6BB6">
        <w:t>nivolumab</w:t>
      </w:r>
      <w:proofErr w:type="spellEnd"/>
      <w:r w:rsidR="00E347E2" w:rsidRPr="005E6BB6">
        <w:t xml:space="preserve"> to an ineffective control, based on the results of OS from the stage </w:t>
      </w:r>
      <w:proofErr w:type="spellStart"/>
      <w:r w:rsidR="00E347E2" w:rsidRPr="005E6BB6">
        <w:t>IIIb</w:t>
      </w:r>
      <w:proofErr w:type="spellEnd"/>
      <w:r w:rsidR="00E347E2" w:rsidRPr="005E6BB6">
        <w:t xml:space="preserve">/c to stage IVM1a patients in </w:t>
      </w:r>
      <w:proofErr w:type="spellStart"/>
      <w:r w:rsidR="00E347E2" w:rsidRPr="005E6BB6">
        <w:t>OPTiM</w:t>
      </w:r>
      <w:proofErr w:type="spellEnd"/>
      <w:r w:rsidR="00E347E2" w:rsidRPr="005E6BB6">
        <w:t xml:space="preserve"> for T-VEC, </w:t>
      </w:r>
      <w:r w:rsidR="00AB68EB" w:rsidRPr="005E6BB6">
        <w:t xml:space="preserve">and the entire population of patients in </w:t>
      </w:r>
      <w:r w:rsidR="00E347E2" w:rsidRPr="005E6BB6">
        <w:t xml:space="preserve">MDX010-20 for ipilimumab and CA209-066 for </w:t>
      </w:r>
      <w:proofErr w:type="spellStart"/>
      <w:r w:rsidR="00E347E2" w:rsidRPr="005E6BB6">
        <w:t>nivolumab</w:t>
      </w:r>
      <w:proofErr w:type="spellEnd"/>
      <w:r w:rsidR="00E347E2" w:rsidRPr="005E6BB6">
        <w:t xml:space="preserve">.  </w:t>
      </w:r>
      <w:r w:rsidR="00CF4856" w:rsidRPr="005E6BB6">
        <w:t xml:space="preserve">Results for the comparison of T-VEC to pembrolizumab were not presented since a hazard ratio against an “ineffective control” was not reported in the trials.  </w:t>
      </w:r>
      <w:r w:rsidR="00D07F7B" w:rsidRPr="00D52A6D">
        <w:t xml:space="preserve">Table </w:t>
      </w:r>
      <w:r w:rsidR="00D07F7B">
        <w:rPr>
          <w:noProof/>
        </w:rPr>
        <w:t>3</w:t>
      </w:r>
      <w:r w:rsidR="009C46FA" w:rsidRPr="005E6BB6">
        <w:t xml:space="preserve"> </w:t>
      </w:r>
      <w:r w:rsidR="005D13A0" w:rsidRPr="005E6BB6">
        <w:t xml:space="preserve">provides the results of the informal comparison of T-VEC and </w:t>
      </w:r>
      <w:proofErr w:type="spellStart"/>
      <w:r w:rsidR="005D13A0" w:rsidRPr="005E6BB6">
        <w:t>nivolumab</w:t>
      </w:r>
      <w:proofErr w:type="spellEnd"/>
      <w:r w:rsidR="005D13A0" w:rsidRPr="005E6BB6">
        <w:t xml:space="preserve"> and T-VEC and ipilimumab, for</w:t>
      </w:r>
      <w:r w:rsidR="0019571D" w:rsidRPr="005E6BB6">
        <w:t xml:space="preserve"> overall survival</w:t>
      </w:r>
      <w:proofErr w:type="gramStart"/>
      <w:r w:rsidR="005D13A0" w:rsidRPr="005E6BB6">
        <w:t>.</w:t>
      </w:r>
      <w:r w:rsidR="00F539E6" w:rsidRPr="005E6BB6">
        <w:t xml:space="preserve"> </w:t>
      </w:r>
      <w:r w:rsidR="0019571D" w:rsidRPr="005E6BB6">
        <w:t xml:space="preserve"> </w:t>
      </w:r>
      <w:proofErr w:type="gramEnd"/>
      <w:r w:rsidR="0019571D" w:rsidRPr="005E6BB6">
        <w:t xml:space="preserve">Since the primary outcome of durable response rate in </w:t>
      </w:r>
      <w:proofErr w:type="spellStart"/>
      <w:r w:rsidR="0019571D" w:rsidRPr="005E6BB6">
        <w:t>OPTiM</w:t>
      </w:r>
      <w:proofErr w:type="spellEnd"/>
      <w:r w:rsidR="0019571D" w:rsidRPr="005E6BB6">
        <w:t xml:space="preserve"> for T-VEC was not an outcome in the other trials, and since </w:t>
      </w:r>
      <w:proofErr w:type="spellStart"/>
      <w:r w:rsidR="0019571D" w:rsidRPr="005E6BB6">
        <w:t>OPTiM</w:t>
      </w:r>
      <w:proofErr w:type="spellEnd"/>
      <w:r w:rsidR="0019571D" w:rsidRPr="005E6BB6">
        <w:t xml:space="preserve"> did not report on progression free sur</w:t>
      </w:r>
      <w:r w:rsidR="000E445E" w:rsidRPr="005E6BB6">
        <w:t>v</w:t>
      </w:r>
      <w:r w:rsidR="0019571D" w:rsidRPr="005E6BB6">
        <w:t>ival, OS provided the most appropriate outcome for comparison across the trials.</w:t>
      </w:r>
    </w:p>
    <w:p w:rsidR="00851AC8" w:rsidRPr="005E6BB6" w:rsidRDefault="00851AC8" w:rsidP="00851AC8">
      <w:pPr>
        <w:widowControl/>
      </w:pPr>
    </w:p>
    <w:p w:rsidR="007217C1" w:rsidRPr="00051969" w:rsidRDefault="007217C1" w:rsidP="00DF5968">
      <w:pPr>
        <w:pStyle w:val="TableHeader"/>
        <w:keepNext/>
        <w:keepLines/>
        <w:ind w:left="720"/>
        <w:rPr>
          <w:rFonts w:ascii="Arial Narrow" w:hAnsi="Arial Narrow"/>
        </w:rPr>
      </w:pPr>
      <w:bookmarkStart w:id="17" w:name="_Ref453168931"/>
      <w:r w:rsidRPr="00051969">
        <w:rPr>
          <w:rFonts w:ascii="Arial Narrow" w:hAnsi="Arial Narrow"/>
        </w:rPr>
        <w:t xml:space="preserve">Table </w:t>
      </w:r>
      <w:r w:rsidR="00D07F7B" w:rsidRPr="00051969">
        <w:rPr>
          <w:rFonts w:ascii="Arial Narrow" w:hAnsi="Arial Narrow"/>
          <w:noProof/>
        </w:rPr>
        <w:t>3</w:t>
      </w:r>
      <w:bookmarkEnd w:id="17"/>
      <w:r w:rsidRPr="00051969">
        <w:rPr>
          <w:rFonts w:ascii="Arial Narrow" w:hAnsi="Arial Narrow"/>
        </w:rPr>
        <w:t xml:space="preserve">: Informal comparison of OS for T-VEC and </w:t>
      </w:r>
      <w:proofErr w:type="spellStart"/>
      <w:r w:rsidRPr="00051969">
        <w:rPr>
          <w:rFonts w:ascii="Arial Narrow" w:hAnsi="Arial Narrow"/>
        </w:rPr>
        <w:t>nivolumab</w:t>
      </w:r>
      <w:proofErr w:type="spellEnd"/>
      <w:r w:rsidRPr="00051969">
        <w:rPr>
          <w:rFonts w:ascii="Arial Narrow" w:hAnsi="Arial Narrow"/>
        </w:rPr>
        <w:t>, and T-VEC and ipilimumab</w:t>
      </w:r>
    </w:p>
    <w:tbl>
      <w:tblPr>
        <w:tblStyle w:val="TableGridbeth1"/>
        <w:tblW w:w="0" w:type="auto"/>
        <w:tblInd w:w="737" w:type="dxa"/>
        <w:tblLook w:val="04A0" w:firstRow="1" w:lastRow="0" w:firstColumn="1" w:lastColumn="0" w:noHBand="0" w:noVBand="1"/>
        <w:tblCaption w:val="Table 3: Informal comparison of OS for T-VEC and nivolumab, and T-VEC and ipilimumab"/>
      </w:tblPr>
      <w:tblGrid>
        <w:gridCol w:w="2915"/>
        <w:gridCol w:w="1843"/>
        <w:gridCol w:w="1701"/>
        <w:gridCol w:w="1730"/>
      </w:tblGrid>
      <w:tr w:rsidR="002D549E" w:rsidRPr="00BE77DA" w:rsidTr="006A72B9">
        <w:trPr>
          <w:trHeight w:val="161"/>
          <w:tblHeader/>
        </w:trPr>
        <w:tc>
          <w:tcPr>
            <w:tcW w:w="2915" w:type="dxa"/>
          </w:tcPr>
          <w:p w:rsidR="002D549E" w:rsidRPr="00BE77DA" w:rsidRDefault="002D549E" w:rsidP="000A39CF">
            <w:pPr>
              <w:jc w:val="left"/>
              <w:rPr>
                <w:rFonts w:ascii="Arial Narrow" w:hAnsi="Arial Narrow"/>
                <w:b/>
                <w:sz w:val="20"/>
              </w:rPr>
            </w:pPr>
            <w:r w:rsidRPr="00BE77DA">
              <w:rPr>
                <w:rFonts w:ascii="Arial Narrow" w:hAnsi="Arial Narrow"/>
                <w:b/>
                <w:sz w:val="20"/>
              </w:rPr>
              <w:t>Trial</w:t>
            </w:r>
          </w:p>
        </w:tc>
        <w:tc>
          <w:tcPr>
            <w:tcW w:w="1843" w:type="dxa"/>
          </w:tcPr>
          <w:p w:rsidR="002D549E" w:rsidRPr="00BE77DA" w:rsidRDefault="002D549E" w:rsidP="000A39CF">
            <w:pPr>
              <w:jc w:val="center"/>
              <w:rPr>
                <w:rFonts w:ascii="Arial Narrow" w:hAnsi="Arial Narrow"/>
                <w:b/>
                <w:sz w:val="20"/>
              </w:rPr>
            </w:pPr>
            <w:r w:rsidRPr="00BE77DA">
              <w:rPr>
                <w:rFonts w:ascii="Arial Narrow" w:hAnsi="Arial Narrow"/>
                <w:b/>
                <w:sz w:val="20"/>
              </w:rPr>
              <w:t>Active therapy</w:t>
            </w:r>
          </w:p>
        </w:tc>
        <w:tc>
          <w:tcPr>
            <w:tcW w:w="1701" w:type="dxa"/>
          </w:tcPr>
          <w:p w:rsidR="002D549E" w:rsidRPr="00BE77DA" w:rsidRDefault="002D549E" w:rsidP="000A39CF">
            <w:pPr>
              <w:jc w:val="center"/>
              <w:rPr>
                <w:rFonts w:ascii="Arial Narrow" w:hAnsi="Arial Narrow"/>
                <w:b/>
                <w:sz w:val="20"/>
              </w:rPr>
            </w:pPr>
            <w:r w:rsidRPr="00BE77DA">
              <w:rPr>
                <w:rFonts w:ascii="Arial Narrow" w:hAnsi="Arial Narrow"/>
                <w:b/>
                <w:sz w:val="20"/>
              </w:rPr>
              <w:t>Comparator</w:t>
            </w:r>
          </w:p>
        </w:tc>
        <w:tc>
          <w:tcPr>
            <w:tcW w:w="1730" w:type="dxa"/>
          </w:tcPr>
          <w:p w:rsidR="002D549E" w:rsidRPr="00BE77DA" w:rsidRDefault="002D549E" w:rsidP="00BC7804">
            <w:pPr>
              <w:jc w:val="center"/>
              <w:rPr>
                <w:rFonts w:ascii="Arial Narrow" w:hAnsi="Arial Narrow"/>
                <w:b/>
                <w:sz w:val="20"/>
              </w:rPr>
            </w:pPr>
            <w:r w:rsidRPr="00BE77DA">
              <w:rPr>
                <w:rFonts w:ascii="Arial Narrow" w:hAnsi="Arial Narrow"/>
                <w:b/>
                <w:sz w:val="20"/>
              </w:rPr>
              <w:t>HR (95%CI)</w:t>
            </w:r>
          </w:p>
        </w:tc>
      </w:tr>
      <w:tr w:rsidR="002D549E" w:rsidRPr="00BE77DA" w:rsidTr="004F5BE9">
        <w:tc>
          <w:tcPr>
            <w:tcW w:w="2915" w:type="dxa"/>
          </w:tcPr>
          <w:p w:rsidR="002D549E" w:rsidRPr="00BE77DA" w:rsidRDefault="002D549E" w:rsidP="00D7653A">
            <w:pPr>
              <w:jc w:val="left"/>
              <w:rPr>
                <w:rFonts w:ascii="Arial Narrow" w:hAnsi="Arial Narrow"/>
                <w:b/>
                <w:sz w:val="20"/>
              </w:rPr>
            </w:pPr>
            <w:proofErr w:type="spellStart"/>
            <w:r w:rsidRPr="00BE77DA">
              <w:rPr>
                <w:rFonts w:ascii="Arial Narrow" w:hAnsi="Arial Narrow"/>
                <w:b/>
                <w:sz w:val="20"/>
              </w:rPr>
              <w:t>OPTiM</w:t>
            </w:r>
            <w:proofErr w:type="spellEnd"/>
            <w:r w:rsidRPr="00BE77DA">
              <w:rPr>
                <w:rFonts w:ascii="Arial Narrow" w:hAnsi="Arial Narrow"/>
                <w:b/>
                <w:sz w:val="20"/>
              </w:rPr>
              <w:t xml:space="preserve"> – T-VEC</w:t>
            </w:r>
          </w:p>
        </w:tc>
        <w:tc>
          <w:tcPr>
            <w:tcW w:w="1843" w:type="dxa"/>
          </w:tcPr>
          <w:p w:rsidR="002D549E" w:rsidRPr="00BE77DA" w:rsidRDefault="002D549E" w:rsidP="00D059A4">
            <w:pPr>
              <w:jc w:val="center"/>
              <w:rPr>
                <w:rFonts w:ascii="Arial Narrow" w:hAnsi="Arial Narrow"/>
                <w:b/>
                <w:sz w:val="20"/>
              </w:rPr>
            </w:pPr>
            <w:r w:rsidRPr="00BE77DA">
              <w:rPr>
                <w:rFonts w:ascii="Arial Narrow" w:hAnsi="Arial Narrow"/>
                <w:b/>
                <w:sz w:val="20"/>
              </w:rPr>
              <w:t>T-VEC n/N (%)</w:t>
            </w:r>
          </w:p>
        </w:tc>
        <w:tc>
          <w:tcPr>
            <w:tcW w:w="1701" w:type="dxa"/>
          </w:tcPr>
          <w:p w:rsidR="002D549E" w:rsidRPr="00BE77DA" w:rsidRDefault="002D549E" w:rsidP="00D7653A">
            <w:pPr>
              <w:jc w:val="center"/>
              <w:rPr>
                <w:rFonts w:ascii="Arial Narrow" w:hAnsi="Arial Narrow"/>
                <w:b/>
                <w:sz w:val="20"/>
              </w:rPr>
            </w:pPr>
            <w:r w:rsidRPr="00BE77DA">
              <w:rPr>
                <w:rFonts w:ascii="Arial Narrow" w:hAnsi="Arial Narrow"/>
                <w:b/>
                <w:sz w:val="20"/>
              </w:rPr>
              <w:t>GM-CSF n/N (%)</w:t>
            </w:r>
          </w:p>
        </w:tc>
        <w:tc>
          <w:tcPr>
            <w:tcW w:w="1730" w:type="dxa"/>
          </w:tcPr>
          <w:p w:rsidR="002D549E" w:rsidRPr="00BE77DA" w:rsidRDefault="002D549E" w:rsidP="00D7653A">
            <w:pPr>
              <w:jc w:val="center"/>
              <w:rPr>
                <w:rFonts w:ascii="Arial Narrow" w:hAnsi="Arial Narrow"/>
                <w:sz w:val="20"/>
              </w:rPr>
            </w:pP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Death</w:t>
            </w:r>
            <w:r w:rsidR="004F5BE9" w:rsidRPr="00BE77DA">
              <w:rPr>
                <w:rFonts w:ascii="Arial Narrow" w:hAnsi="Arial Narrow"/>
                <w:sz w:val="20"/>
              </w:rPr>
              <w:t xml:space="preserve"> (ITT)</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190/295 (64</w:t>
            </w:r>
            <w:r w:rsidR="00BC7804" w:rsidRPr="00BE77DA">
              <w:rPr>
                <w:rFonts w:ascii="Arial Narrow" w:hAnsi="Arial Narrow"/>
                <w:sz w:val="20"/>
              </w:rPr>
              <w:t>%</w:t>
            </w:r>
            <w:r w:rsidRPr="00BE77DA">
              <w:rPr>
                <w:rFonts w:ascii="Arial Narrow" w:hAnsi="Arial Narrow"/>
                <w:sz w:val="20"/>
              </w:rPr>
              <w:t>)</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101/141 (72</w:t>
            </w:r>
            <w:r w:rsidR="00BC7804" w:rsidRPr="00BE77DA">
              <w:rPr>
                <w:rFonts w:ascii="Arial Narrow" w:hAnsi="Arial Narrow"/>
                <w:sz w:val="20"/>
              </w:rPr>
              <w:t>%</w:t>
            </w:r>
            <w:r w:rsidRPr="00BE77DA">
              <w:rPr>
                <w:rFonts w:ascii="Arial Narrow" w:hAnsi="Arial Narrow"/>
                <w:sz w:val="20"/>
              </w:rPr>
              <w:t>)</w:t>
            </w:r>
          </w:p>
        </w:tc>
        <w:tc>
          <w:tcPr>
            <w:tcW w:w="1730" w:type="dxa"/>
          </w:tcPr>
          <w:p w:rsidR="002D549E" w:rsidRPr="00BE77DA" w:rsidRDefault="002D549E" w:rsidP="002A5389">
            <w:pPr>
              <w:jc w:val="center"/>
              <w:rPr>
                <w:rFonts w:ascii="Arial Narrow" w:hAnsi="Arial Narrow"/>
                <w:sz w:val="20"/>
              </w:rPr>
            </w:pPr>
            <w:r w:rsidRPr="00BE77DA">
              <w:rPr>
                <w:rFonts w:ascii="Arial Narrow" w:hAnsi="Arial Narrow"/>
                <w:sz w:val="20"/>
              </w:rPr>
              <w:t>0.79 (0.62, 1.00)</w:t>
            </w: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 xml:space="preserve">OS median </w:t>
            </w:r>
            <w:r w:rsidR="00BC7804" w:rsidRPr="00BE77DA">
              <w:rPr>
                <w:rFonts w:ascii="Arial Narrow" w:hAnsi="Arial Narrow"/>
                <w:sz w:val="20"/>
              </w:rPr>
              <w:t xml:space="preserve">(95% CI), </w:t>
            </w:r>
            <w:r w:rsidRPr="00BE77DA">
              <w:rPr>
                <w:rFonts w:ascii="Arial Narrow" w:hAnsi="Arial Narrow"/>
                <w:sz w:val="20"/>
              </w:rPr>
              <w:t>months</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23.3 (19.5, 29.6)</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18.9 (16.0, 23.7)</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w:t>
            </w:r>
          </w:p>
        </w:tc>
      </w:tr>
      <w:tr w:rsidR="002D549E" w:rsidRPr="00BE77DA" w:rsidTr="004F5BE9">
        <w:tc>
          <w:tcPr>
            <w:tcW w:w="2915" w:type="dxa"/>
          </w:tcPr>
          <w:p w:rsidR="002D549E" w:rsidRPr="00BE77DA" w:rsidRDefault="002D549E" w:rsidP="004F5BE9">
            <w:pPr>
              <w:jc w:val="left"/>
              <w:rPr>
                <w:rFonts w:ascii="Arial Narrow" w:hAnsi="Arial Narrow"/>
                <w:sz w:val="20"/>
              </w:rPr>
            </w:pPr>
            <w:r w:rsidRPr="00BE77DA">
              <w:rPr>
                <w:rFonts w:ascii="Arial Narrow" w:hAnsi="Arial Narrow"/>
                <w:sz w:val="20"/>
              </w:rPr>
              <w:t>Death</w:t>
            </w:r>
            <w:r w:rsidR="004F5BE9" w:rsidRPr="00BE77DA">
              <w:rPr>
                <w:rFonts w:ascii="Arial Narrow" w:hAnsi="Arial Narrow"/>
                <w:sz w:val="20"/>
              </w:rPr>
              <w:t xml:space="preserve"> (stage </w:t>
            </w:r>
            <w:proofErr w:type="spellStart"/>
            <w:r w:rsidR="004F5BE9" w:rsidRPr="00BE77DA">
              <w:rPr>
                <w:rFonts w:ascii="Arial Narrow" w:hAnsi="Arial Narrow"/>
                <w:sz w:val="20"/>
              </w:rPr>
              <w:t>IIIb</w:t>
            </w:r>
            <w:proofErr w:type="spellEnd"/>
            <w:r w:rsidR="004F5BE9" w:rsidRPr="00BE77DA">
              <w:rPr>
                <w:rFonts w:ascii="Arial Narrow" w:hAnsi="Arial Narrow"/>
                <w:sz w:val="20"/>
              </w:rPr>
              <w:t>/c, IVM1a subgroup)</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80/163 (49</w:t>
            </w:r>
            <w:r w:rsidR="00BC7804" w:rsidRPr="00BE77DA">
              <w:rPr>
                <w:rFonts w:ascii="Arial Narrow" w:hAnsi="Arial Narrow"/>
                <w:sz w:val="20"/>
              </w:rPr>
              <w:t>%</w:t>
            </w:r>
            <w:r w:rsidRPr="00BE77DA">
              <w:rPr>
                <w:rFonts w:ascii="Arial Narrow" w:hAnsi="Arial Narrow"/>
                <w:sz w:val="20"/>
              </w:rPr>
              <w:t>)</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57/86 (66</w:t>
            </w:r>
            <w:r w:rsidR="00BC7804" w:rsidRPr="00BE77DA">
              <w:rPr>
                <w:rFonts w:ascii="Arial Narrow" w:hAnsi="Arial Narrow"/>
                <w:sz w:val="20"/>
              </w:rPr>
              <w:t>%</w:t>
            </w:r>
            <w:r w:rsidRPr="00BE77DA">
              <w:rPr>
                <w:rFonts w:ascii="Arial Narrow" w:hAnsi="Arial Narrow"/>
                <w:sz w:val="20"/>
              </w:rPr>
              <w:t>)</w:t>
            </w:r>
          </w:p>
        </w:tc>
        <w:tc>
          <w:tcPr>
            <w:tcW w:w="1730" w:type="dxa"/>
          </w:tcPr>
          <w:p w:rsidR="002D549E" w:rsidRPr="00BE77DA" w:rsidRDefault="002D549E" w:rsidP="00DD6F0F">
            <w:pPr>
              <w:jc w:val="center"/>
              <w:rPr>
                <w:rFonts w:ascii="Arial Narrow" w:hAnsi="Arial Narrow"/>
                <w:sz w:val="20"/>
              </w:rPr>
            </w:pPr>
            <w:r w:rsidRPr="00BE77DA">
              <w:rPr>
                <w:rFonts w:ascii="Arial Narrow" w:hAnsi="Arial Narrow"/>
                <w:sz w:val="20"/>
              </w:rPr>
              <w:t>0.56 (0.40, 0.79)**</w:t>
            </w: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 xml:space="preserve">OS median </w:t>
            </w:r>
            <w:r w:rsidR="00BC7804" w:rsidRPr="00BE77DA">
              <w:rPr>
                <w:rFonts w:ascii="Arial Narrow" w:hAnsi="Arial Narrow"/>
                <w:sz w:val="20"/>
              </w:rPr>
              <w:t xml:space="preserve">(95% CI), </w:t>
            </w:r>
            <w:r w:rsidRPr="00BE77DA">
              <w:rPr>
                <w:rFonts w:ascii="Arial Narrow" w:hAnsi="Arial Narrow"/>
                <w:sz w:val="20"/>
              </w:rPr>
              <w:t>months</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46.8 (31.0, NE)</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21.5 (17.4, 29.6)</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w:t>
            </w:r>
          </w:p>
        </w:tc>
      </w:tr>
      <w:tr w:rsidR="002D549E" w:rsidRPr="00BE77DA" w:rsidTr="004F5BE9">
        <w:tc>
          <w:tcPr>
            <w:tcW w:w="2915" w:type="dxa"/>
          </w:tcPr>
          <w:p w:rsidR="002D549E" w:rsidRPr="00BE77DA" w:rsidRDefault="002D549E" w:rsidP="00BC7804">
            <w:pPr>
              <w:jc w:val="left"/>
              <w:rPr>
                <w:rFonts w:ascii="Arial Narrow" w:hAnsi="Arial Narrow"/>
                <w:b/>
                <w:sz w:val="20"/>
              </w:rPr>
            </w:pPr>
            <w:r w:rsidRPr="00BE77DA">
              <w:rPr>
                <w:rFonts w:ascii="Arial Narrow" w:hAnsi="Arial Narrow"/>
                <w:b/>
                <w:sz w:val="20"/>
              </w:rPr>
              <w:t xml:space="preserve">CA209-066* </w:t>
            </w:r>
            <w:r w:rsidR="00BC7804" w:rsidRPr="00BE77DA">
              <w:rPr>
                <w:rFonts w:ascii="Arial Narrow" w:hAnsi="Arial Narrow"/>
                <w:b/>
                <w:sz w:val="20"/>
              </w:rPr>
              <w:t>–</w:t>
            </w:r>
            <w:r w:rsidRPr="00BE77DA">
              <w:rPr>
                <w:rFonts w:ascii="Arial Narrow" w:hAnsi="Arial Narrow"/>
                <w:b/>
                <w:sz w:val="20"/>
              </w:rPr>
              <w:t xml:space="preserve"> </w:t>
            </w:r>
            <w:proofErr w:type="spellStart"/>
            <w:r w:rsidRPr="00BE77DA">
              <w:rPr>
                <w:rFonts w:ascii="Arial Narrow" w:hAnsi="Arial Narrow"/>
                <w:b/>
                <w:sz w:val="20"/>
              </w:rPr>
              <w:t>nivo</w:t>
            </w:r>
            <w:proofErr w:type="spellEnd"/>
          </w:p>
        </w:tc>
        <w:tc>
          <w:tcPr>
            <w:tcW w:w="1843" w:type="dxa"/>
          </w:tcPr>
          <w:p w:rsidR="002D549E" w:rsidRPr="00BE77DA" w:rsidRDefault="002D549E" w:rsidP="000A39CF">
            <w:pPr>
              <w:jc w:val="center"/>
              <w:rPr>
                <w:rFonts w:ascii="Arial Narrow" w:hAnsi="Arial Narrow"/>
                <w:b/>
                <w:sz w:val="20"/>
              </w:rPr>
            </w:pPr>
            <w:proofErr w:type="spellStart"/>
            <w:r w:rsidRPr="00BE77DA">
              <w:rPr>
                <w:rFonts w:ascii="Arial Narrow" w:hAnsi="Arial Narrow"/>
                <w:b/>
                <w:sz w:val="20"/>
              </w:rPr>
              <w:t>Nivo</w:t>
            </w:r>
            <w:proofErr w:type="spellEnd"/>
            <w:r w:rsidRPr="00BE77DA">
              <w:rPr>
                <w:rFonts w:ascii="Arial Narrow" w:hAnsi="Arial Narrow"/>
                <w:b/>
                <w:sz w:val="20"/>
              </w:rPr>
              <w:t xml:space="preserve"> n/N (%)</w:t>
            </w:r>
          </w:p>
        </w:tc>
        <w:tc>
          <w:tcPr>
            <w:tcW w:w="1701" w:type="dxa"/>
          </w:tcPr>
          <w:p w:rsidR="002D549E" w:rsidRPr="00BE77DA" w:rsidRDefault="002D549E" w:rsidP="000A39CF">
            <w:pPr>
              <w:jc w:val="center"/>
              <w:rPr>
                <w:rFonts w:ascii="Arial Narrow" w:hAnsi="Arial Narrow"/>
                <w:b/>
                <w:sz w:val="20"/>
              </w:rPr>
            </w:pPr>
            <w:r w:rsidRPr="00BE77DA">
              <w:rPr>
                <w:rFonts w:ascii="Arial Narrow" w:hAnsi="Arial Narrow"/>
                <w:b/>
                <w:sz w:val="20"/>
              </w:rPr>
              <w:t>DTIC n/N (%)</w:t>
            </w:r>
          </w:p>
        </w:tc>
        <w:tc>
          <w:tcPr>
            <w:tcW w:w="1730" w:type="dxa"/>
          </w:tcPr>
          <w:p w:rsidR="002D549E" w:rsidRPr="00BE77DA" w:rsidRDefault="002D549E" w:rsidP="000A39CF">
            <w:pPr>
              <w:jc w:val="center"/>
              <w:rPr>
                <w:rFonts w:ascii="Arial Narrow" w:hAnsi="Arial Narrow"/>
                <w:sz w:val="20"/>
              </w:rPr>
            </w:pP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Death</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50/210 (24%)</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96/208 (46.2%)</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0.42 (0.30, 0.59)</w:t>
            </w: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 xml:space="preserve">OS median </w:t>
            </w:r>
            <w:r w:rsidR="00BC7804" w:rsidRPr="00BE77DA">
              <w:rPr>
                <w:rFonts w:ascii="Arial Narrow" w:hAnsi="Arial Narrow"/>
                <w:sz w:val="20"/>
              </w:rPr>
              <w:t xml:space="preserve">(95% CI), </w:t>
            </w:r>
            <w:r w:rsidRPr="00BE77DA">
              <w:rPr>
                <w:rFonts w:ascii="Arial Narrow" w:hAnsi="Arial Narrow"/>
                <w:sz w:val="20"/>
              </w:rPr>
              <w:t>months</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Not reached</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10.8 (9.3, 12.1)</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w:t>
            </w:r>
          </w:p>
        </w:tc>
      </w:tr>
      <w:tr w:rsidR="002D549E" w:rsidRPr="00BE77DA" w:rsidTr="004F5BE9">
        <w:tc>
          <w:tcPr>
            <w:tcW w:w="2915" w:type="dxa"/>
          </w:tcPr>
          <w:p w:rsidR="002D549E" w:rsidRPr="00BE77DA" w:rsidRDefault="002D549E" w:rsidP="000A39CF">
            <w:pPr>
              <w:jc w:val="left"/>
              <w:rPr>
                <w:rFonts w:ascii="Arial Narrow" w:hAnsi="Arial Narrow"/>
                <w:b/>
                <w:sz w:val="20"/>
              </w:rPr>
            </w:pPr>
            <w:r w:rsidRPr="00BE77DA">
              <w:rPr>
                <w:rFonts w:ascii="Arial Narrow" w:hAnsi="Arial Narrow"/>
                <w:b/>
                <w:sz w:val="20"/>
              </w:rPr>
              <w:t xml:space="preserve">MDX010-20 </w:t>
            </w:r>
            <w:r w:rsidR="00BC7804" w:rsidRPr="00BE77DA">
              <w:rPr>
                <w:rFonts w:ascii="Arial Narrow" w:hAnsi="Arial Narrow"/>
                <w:b/>
                <w:sz w:val="20"/>
              </w:rPr>
              <w:t>–</w:t>
            </w:r>
            <w:r w:rsidRPr="00BE77DA">
              <w:rPr>
                <w:rFonts w:ascii="Arial Narrow" w:hAnsi="Arial Narrow"/>
                <w:b/>
                <w:sz w:val="20"/>
              </w:rPr>
              <w:t xml:space="preserve"> </w:t>
            </w:r>
            <w:proofErr w:type="spellStart"/>
            <w:r w:rsidRPr="00BE77DA">
              <w:rPr>
                <w:rFonts w:ascii="Arial Narrow" w:hAnsi="Arial Narrow"/>
                <w:b/>
                <w:sz w:val="20"/>
              </w:rPr>
              <w:t>ipi</w:t>
            </w:r>
            <w:proofErr w:type="spellEnd"/>
          </w:p>
        </w:tc>
        <w:tc>
          <w:tcPr>
            <w:tcW w:w="1843" w:type="dxa"/>
          </w:tcPr>
          <w:p w:rsidR="002D549E" w:rsidRPr="00BE77DA" w:rsidRDefault="002D549E" w:rsidP="000A39CF">
            <w:pPr>
              <w:jc w:val="center"/>
              <w:rPr>
                <w:rFonts w:ascii="Arial Narrow" w:hAnsi="Arial Narrow"/>
                <w:b/>
                <w:sz w:val="20"/>
              </w:rPr>
            </w:pPr>
            <w:proofErr w:type="spellStart"/>
            <w:r w:rsidRPr="00BE77DA">
              <w:rPr>
                <w:rFonts w:ascii="Arial Narrow" w:hAnsi="Arial Narrow"/>
                <w:b/>
                <w:sz w:val="20"/>
              </w:rPr>
              <w:t>Ipi</w:t>
            </w:r>
            <w:proofErr w:type="spellEnd"/>
            <w:r w:rsidRPr="00BE77DA">
              <w:rPr>
                <w:rFonts w:ascii="Arial Narrow" w:hAnsi="Arial Narrow"/>
                <w:b/>
                <w:sz w:val="20"/>
              </w:rPr>
              <w:t xml:space="preserve"> n/N (%)</w:t>
            </w:r>
          </w:p>
        </w:tc>
        <w:tc>
          <w:tcPr>
            <w:tcW w:w="1701" w:type="dxa"/>
          </w:tcPr>
          <w:p w:rsidR="002D549E" w:rsidRPr="00BE77DA" w:rsidRDefault="002D549E" w:rsidP="000A39CF">
            <w:pPr>
              <w:jc w:val="center"/>
              <w:rPr>
                <w:rFonts w:ascii="Arial Narrow" w:hAnsi="Arial Narrow"/>
                <w:b/>
                <w:sz w:val="20"/>
              </w:rPr>
            </w:pPr>
            <w:proofErr w:type="gramStart"/>
            <w:r w:rsidRPr="00BE77DA">
              <w:rPr>
                <w:rFonts w:ascii="Arial Narrow" w:hAnsi="Arial Narrow"/>
                <w:b/>
                <w:sz w:val="20"/>
              </w:rPr>
              <w:t>gp100</w:t>
            </w:r>
            <w:proofErr w:type="gramEnd"/>
            <w:r w:rsidRPr="00BE77DA">
              <w:rPr>
                <w:rFonts w:ascii="Arial Narrow" w:hAnsi="Arial Narrow"/>
                <w:b/>
                <w:sz w:val="20"/>
              </w:rPr>
              <w:t xml:space="preserve"> n/N (%)</w:t>
            </w:r>
          </w:p>
        </w:tc>
        <w:tc>
          <w:tcPr>
            <w:tcW w:w="1730" w:type="dxa"/>
          </w:tcPr>
          <w:p w:rsidR="002D549E" w:rsidRPr="00BE77DA" w:rsidRDefault="002D549E" w:rsidP="000A39CF">
            <w:pPr>
              <w:jc w:val="center"/>
              <w:rPr>
                <w:rFonts w:ascii="Arial Narrow" w:hAnsi="Arial Narrow"/>
                <w:sz w:val="20"/>
              </w:rPr>
            </w:pP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Death</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100/137 (73%)</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119/136 (88%)</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0.64 (0.49, 0.84)</w:t>
            </w:r>
          </w:p>
        </w:tc>
      </w:tr>
      <w:tr w:rsidR="002D549E" w:rsidRPr="00BE77DA" w:rsidTr="004F5BE9">
        <w:tc>
          <w:tcPr>
            <w:tcW w:w="2915" w:type="dxa"/>
          </w:tcPr>
          <w:p w:rsidR="002D549E" w:rsidRPr="00BE77DA" w:rsidRDefault="002D549E" w:rsidP="000A39CF">
            <w:pPr>
              <w:jc w:val="left"/>
              <w:rPr>
                <w:rFonts w:ascii="Arial Narrow" w:hAnsi="Arial Narrow"/>
                <w:sz w:val="20"/>
              </w:rPr>
            </w:pPr>
            <w:r w:rsidRPr="00BE77DA">
              <w:rPr>
                <w:rFonts w:ascii="Arial Narrow" w:hAnsi="Arial Narrow"/>
                <w:sz w:val="20"/>
              </w:rPr>
              <w:t xml:space="preserve">OS median </w:t>
            </w:r>
            <w:r w:rsidR="00BC7804" w:rsidRPr="00BE77DA">
              <w:rPr>
                <w:rFonts w:ascii="Arial Narrow" w:hAnsi="Arial Narrow"/>
                <w:sz w:val="20"/>
              </w:rPr>
              <w:t xml:space="preserve">(95% CI), </w:t>
            </w:r>
            <w:r w:rsidRPr="00BE77DA">
              <w:rPr>
                <w:rFonts w:ascii="Arial Narrow" w:hAnsi="Arial Narrow"/>
                <w:sz w:val="20"/>
              </w:rPr>
              <w:t>months</w:t>
            </w:r>
          </w:p>
        </w:tc>
        <w:tc>
          <w:tcPr>
            <w:tcW w:w="1843" w:type="dxa"/>
          </w:tcPr>
          <w:p w:rsidR="002D549E" w:rsidRPr="00BE77DA" w:rsidRDefault="002D549E" w:rsidP="000A39CF">
            <w:pPr>
              <w:jc w:val="center"/>
              <w:rPr>
                <w:rFonts w:ascii="Arial Narrow" w:hAnsi="Arial Narrow"/>
                <w:sz w:val="20"/>
              </w:rPr>
            </w:pPr>
            <w:r w:rsidRPr="00BE77DA">
              <w:rPr>
                <w:rFonts w:ascii="Arial Narrow" w:hAnsi="Arial Narrow"/>
                <w:sz w:val="20"/>
              </w:rPr>
              <w:t>10.1 (8.0, 13.8)</w:t>
            </w:r>
          </w:p>
        </w:tc>
        <w:tc>
          <w:tcPr>
            <w:tcW w:w="1701" w:type="dxa"/>
          </w:tcPr>
          <w:p w:rsidR="002D549E" w:rsidRPr="00BE77DA" w:rsidRDefault="002D549E" w:rsidP="000A39CF">
            <w:pPr>
              <w:jc w:val="center"/>
              <w:rPr>
                <w:rFonts w:ascii="Arial Narrow" w:hAnsi="Arial Narrow"/>
                <w:sz w:val="20"/>
              </w:rPr>
            </w:pPr>
            <w:r w:rsidRPr="00BE77DA">
              <w:rPr>
                <w:rFonts w:ascii="Arial Narrow" w:hAnsi="Arial Narrow"/>
                <w:sz w:val="20"/>
              </w:rPr>
              <w:t>6.4 (5.5, 8.7)</w:t>
            </w:r>
          </w:p>
        </w:tc>
        <w:tc>
          <w:tcPr>
            <w:tcW w:w="1730" w:type="dxa"/>
          </w:tcPr>
          <w:p w:rsidR="002D549E" w:rsidRPr="00BE77DA" w:rsidRDefault="002D549E" w:rsidP="000A39CF">
            <w:pPr>
              <w:jc w:val="center"/>
              <w:rPr>
                <w:rFonts w:ascii="Arial Narrow" w:hAnsi="Arial Narrow"/>
                <w:sz w:val="20"/>
              </w:rPr>
            </w:pPr>
            <w:r w:rsidRPr="00BE77DA">
              <w:rPr>
                <w:rFonts w:ascii="Arial Narrow" w:hAnsi="Arial Narrow"/>
                <w:sz w:val="20"/>
              </w:rPr>
              <w:t>-</w:t>
            </w:r>
          </w:p>
        </w:tc>
      </w:tr>
    </w:tbl>
    <w:p w:rsidR="000A39CF" w:rsidRPr="00BE77DA" w:rsidRDefault="000A39CF" w:rsidP="0001020B">
      <w:pPr>
        <w:ind w:left="720"/>
        <w:rPr>
          <w:rFonts w:ascii="Arial Narrow" w:hAnsi="Arial Narrow"/>
          <w:sz w:val="18"/>
          <w:szCs w:val="24"/>
        </w:rPr>
      </w:pPr>
      <w:r w:rsidRPr="00BE77DA">
        <w:rPr>
          <w:rFonts w:ascii="Arial Narrow" w:hAnsi="Arial Narrow"/>
          <w:sz w:val="18"/>
          <w:szCs w:val="24"/>
        </w:rPr>
        <w:t>T-VEC=</w:t>
      </w:r>
      <w:proofErr w:type="spellStart"/>
      <w:r w:rsidRPr="00BE77DA">
        <w:rPr>
          <w:rFonts w:ascii="Arial Narrow" w:hAnsi="Arial Narrow"/>
          <w:sz w:val="18"/>
          <w:szCs w:val="24"/>
        </w:rPr>
        <w:t>talimogene</w:t>
      </w:r>
      <w:proofErr w:type="spellEnd"/>
      <w:r w:rsidRPr="00BE77DA">
        <w:rPr>
          <w:rFonts w:ascii="Arial Narrow" w:hAnsi="Arial Narrow"/>
          <w:sz w:val="18"/>
          <w:szCs w:val="24"/>
        </w:rPr>
        <w:t xml:space="preserve"> </w:t>
      </w:r>
      <w:proofErr w:type="spellStart"/>
      <w:r w:rsidRPr="00BE77DA">
        <w:rPr>
          <w:rFonts w:ascii="Arial Narrow" w:hAnsi="Arial Narrow"/>
          <w:sz w:val="18"/>
          <w:szCs w:val="24"/>
        </w:rPr>
        <w:t>laherparepvec</w:t>
      </w:r>
      <w:proofErr w:type="spellEnd"/>
      <w:r w:rsidRPr="00BE77DA">
        <w:rPr>
          <w:rFonts w:ascii="Arial Narrow" w:hAnsi="Arial Narrow"/>
          <w:sz w:val="18"/>
          <w:szCs w:val="24"/>
        </w:rPr>
        <w:t>; DTIC=</w:t>
      </w:r>
      <w:proofErr w:type="spellStart"/>
      <w:r w:rsidRPr="00BE77DA">
        <w:rPr>
          <w:rFonts w:ascii="Arial Narrow" w:hAnsi="Arial Narrow"/>
          <w:sz w:val="18"/>
          <w:szCs w:val="24"/>
        </w:rPr>
        <w:t>dacarbazine</w:t>
      </w:r>
      <w:proofErr w:type="spellEnd"/>
      <w:r w:rsidRPr="00BE77DA">
        <w:rPr>
          <w:rFonts w:ascii="Arial Narrow" w:hAnsi="Arial Narrow"/>
          <w:sz w:val="18"/>
          <w:szCs w:val="24"/>
        </w:rPr>
        <w:t xml:space="preserve">; HR=hazard ratio; </w:t>
      </w:r>
      <w:proofErr w:type="spellStart"/>
      <w:r w:rsidRPr="00BE77DA">
        <w:rPr>
          <w:rFonts w:ascii="Arial Narrow" w:hAnsi="Arial Narrow"/>
          <w:sz w:val="18"/>
          <w:szCs w:val="24"/>
        </w:rPr>
        <w:t>Ipi</w:t>
      </w:r>
      <w:proofErr w:type="spellEnd"/>
      <w:r w:rsidRPr="00BE77DA">
        <w:rPr>
          <w:rFonts w:ascii="Arial Narrow" w:hAnsi="Arial Narrow"/>
          <w:sz w:val="18"/>
          <w:szCs w:val="24"/>
        </w:rPr>
        <w:t>=</w:t>
      </w:r>
      <w:proofErr w:type="spellStart"/>
      <w:r w:rsidRPr="00BE77DA">
        <w:rPr>
          <w:rFonts w:ascii="Arial Narrow" w:hAnsi="Arial Narrow"/>
          <w:sz w:val="18"/>
          <w:szCs w:val="24"/>
        </w:rPr>
        <w:t>ipilimumab</w:t>
      </w:r>
      <w:proofErr w:type="spellEnd"/>
      <w:r w:rsidRPr="00BE77DA">
        <w:rPr>
          <w:rFonts w:ascii="Arial Narrow" w:hAnsi="Arial Narrow"/>
          <w:sz w:val="18"/>
          <w:szCs w:val="24"/>
        </w:rPr>
        <w:t xml:space="preserve">; </w:t>
      </w:r>
      <w:proofErr w:type="spellStart"/>
      <w:r w:rsidRPr="00BE77DA">
        <w:rPr>
          <w:rFonts w:ascii="Arial Narrow" w:hAnsi="Arial Narrow"/>
          <w:sz w:val="18"/>
          <w:szCs w:val="24"/>
        </w:rPr>
        <w:t>Nivo</w:t>
      </w:r>
      <w:proofErr w:type="spellEnd"/>
      <w:r w:rsidRPr="00BE77DA">
        <w:rPr>
          <w:rFonts w:ascii="Arial Narrow" w:hAnsi="Arial Narrow"/>
          <w:sz w:val="18"/>
          <w:szCs w:val="24"/>
        </w:rPr>
        <w:t>=</w:t>
      </w:r>
      <w:proofErr w:type="spellStart"/>
      <w:r w:rsidRPr="00BE77DA">
        <w:rPr>
          <w:rFonts w:ascii="Arial Narrow" w:hAnsi="Arial Narrow"/>
          <w:sz w:val="18"/>
          <w:szCs w:val="24"/>
        </w:rPr>
        <w:t>nivolumab</w:t>
      </w:r>
      <w:proofErr w:type="spellEnd"/>
      <w:r w:rsidRPr="00BE77DA">
        <w:rPr>
          <w:rFonts w:ascii="Arial Narrow" w:hAnsi="Arial Narrow"/>
          <w:sz w:val="18"/>
          <w:szCs w:val="24"/>
        </w:rPr>
        <w:t>; OS=overall survival</w:t>
      </w:r>
    </w:p>
    <w:p w:rsidR="000A39CF" w:rsidRPr="00BE77DA" w:rsidRDefault="000A39CF" w:rsidP="00D059A4">
      <w:pPr>
        <w:ind w:left="720"/>
        <w:rPr>
          <w:rFonts w:ascii="Arial Narrow" w:hAnsi="Arial Narrow"/>
          <w:sz w:val="18"/>
          <w:szCs w:val="24"/>
        </w:rPr>
      </w:pPr>
      <w:r w:rsidRPr="00BE77DA">
        <w:rPr>
          <w:rFonts w:ascii="Arial Narrow" w:hAnsi="Arial Narrow"/>
          <w:sz w:val="18"/>
          <w:szCs w:val="24"/>
        </w:rPr>
        <w:t xml:space="preserve">*Updated 2-year OS rates based on at least 15.1 months of follow-up from </w:t>
      </w:r>
      <w:r w:rsidRPr="006A72B9">
        <w:rPr>
          <w:rFonts w:ascii="Arial Narrow" w:hAnsi="Arial Narrow"/>
          <w:sz w:val="18"/>
          <w:szCs w:val="24"/>
        </w:rPr>
        <w:t>http://global.onclive.com/conference-coverage/smr-2015/nivolumab-survival-benefit-sustained-in-long-term-melanoma-data</w:t>
      </w:r>
      <w:r w:rsidRPr="00BE77DA">
        <w:rPr>
          <w:rFonts w:ascii="Arial Narrow" w:hAnsi="Arial Narrow"/>
          <w:sz w:val="18"/>
          <w:szCs w:val="24"/>
        </w:rPr>
        <w:t xml:space="preserve"> indicate that median OS had not been reached at 2 years with 57.7% of </w:t>
      </w:r>
      <w:proofErr w:type="spellStart"/>
      <w:r w:rsidRPr="00BE77DA">
        <w:rPr>
          <w:rFonts w:ascii="Arial Narrow" w:hAnsi="Arial Narrow"/>
          <w:sz w:val="18"/>
          <w:szCs w:val="24"/>
        </w:rPr>
        <w:t>nivolumab</w:t>
      </w:r>
      <w:proofErr w:type="spellEnd"/>
      <w:r w:rsidRPr="00BE77DA">
        <w:rPr>
          <w:rFonts w:ascii="Arial Narrow" w:hAnsi="Arial Narrow"/>
          <w:sz w:val="18"/>
          <w:szCs w:val="24"/>
        </w:rPr>
        <w:t xml:space="preserve"> patients and 26.7% of DTIC patients alive at 2 years (HR=0.43 [0.33,0.57])</w:t>
      </w:r>
    </w:p>
    <w:p w:rsidR="00184D5B" w:rsidRPr="00BE77DA" w:rsidRDefault="00DD6F0F" w:rsidP="00F539E6">
      <w:pPr>
        <w:ind w:left="720"/>
        <w:rPr>
          <w:rFonts w:ascii="Arial Narrow" w:hAnsi="Arial Narrow"/>
          <w:sz w:val="18"/>
          <w:szCs w:val="18"/>
        </w:rPr>
      </w:pPr>
      <w:r w:rsidRPr="00BE77DA">
        <w:rPr>
          <w:rFonts w:ascii="Arial Narrow" w:hAnsi="Arial Narrow"/>
          <w:sz w:val="18"/>
          <w:szCs w:val="24"/>
        </w:rPr>
        <w:t>**Based on values cited in Figure 2</w:t>
      </w:r>
      <w:r w:rsidR="00184D5B" w:rsidRPr="00BE77DA">
        <w:rPr>
          <w:rFonts w:ascii="Arial Narrow" w:hAnsi="Arial Narrow"/>
          <w:sz w:val="18"/>
          <w:szCs w:val="18"/>
        </w:rPr>
        <w:t xml:space="preserve"> </w:t>
      </w:r>
    </w:p>
    <w:p w:rsidR="000A39CF" w:rsidRPr="00BE77DA" w:rsidRDefault="000A39CF" w:rsidP="000D68C7">
      <w:pPr>
        <w:ind w:left="720"/>
        <w:rPr>
          <w:rFonts w:ascii="Arial Narrow" w:hAnsi="Arial Narrow"/>
          <w:sz w:val="18"/>
          <w:szCs w:val="24"/>
        </w:rPr>
      </w:pPr>
      <w:r w:rsidRPr="00BE77DA">
        <w:rPr>
          <w:rFonts w:ascii="Arial Narrow" w:hAnsi="Arial Narrow"/>
          <w:sz w:val="18"/>
          <w:szCs w:val="24"/>
        </w:rPr>
        <w:t>Sourc</w:t>
      </w:r>
      <w:r w:rsidRPr="00843EF3">
        <w:rPr>
          <w:rFonts w:ascii="Arial Narrow" w:hAnsi="Arial Narrow"/>
          <w:sz w:val="18"/>
          <w:szCs w:val="24"/>
        </w:rPr>
        <w:t>e:  Table B.6-3 and Table B.6-4, p94 and p104-105 of the submission and Figures B.6-1 and B.6-2, p95-96 of the submission</w:t>
      </w:r>
    </w:p>
    <w:p w:rsidR="0053192B" w:rsidRDefault="0053192B" w:rsidP="00F35510">
      <w:pPr>
        <w:rPr>
          <w:szCs w:val="22"/>
        </w:rPr>
      </w:pPr>
    </w:p>
    <w:p w:rsidR="00CB1D1A" w:rsidRPr="005E6BB6" w:rsidRDefault="00E576AD" w:rsidP="00941608">
      <w:pPr>
        <w:pStyle w:val="ListParagraph"/>
        <w:numPr>
          <w:ilvl w:val="1"/>
          <w:numId w:val="1"/>
        </w:numPr>
        <w:rPr>
          <w:szCs w:val="22"/>
        </w:rPr>
      </w:pPr>
      <w:r w:rsidRPr="005E6BB6">
        <w:rPr>
          <w:szCs w:val="22"/>
        </w:rPr>
        <w:t>N</w:t>
      </w:r>
      <w:r w:rsidR="00CB1D1A" w:rsidRPr="005E6BB6">
        <w:rPr>
          <w:szCs w:val="22"/>
        </w:rPr>
        <w:t>o statistical compar</w:t>
      </w:r>
      <w:r w:rsidR="009B098E" w:rsidRPr="005E6BB6">
        <w:rPr>
          <w:szCs w:val="22"/>
        </w:rPr>
        <w:t>isons of the data were provided</w:t>
      </w:r>
      <w:r w:rsidR="00CB1D1A" w:rsidRPr="005E6BB6">
        <w:rPr>
          <w:szCs w:val="22"/>
        </w:rPr>
        <w:t xml:space="preserve">.  </w:t>
      </w:r>
      <w:r w:rsidRPr="005E6BB6">
        <w:rPr>
          <w:szCs w:val="22"/>
        </w:rPr>
        <w:t xml:space="preserve">The informal comparisons </w:t>
      </w:r>
      <w:r w:rsidR="009B098E" w:rsidRPr="005E6BB6">
        <w:rPr>
          <w:szCs w:val="22"/>
        </w:rPr>
        <w:t xml:space="preserve">did not provide any reliable information </w:t>
      </w:r>
      <w:r w:rsidR="004F4905" w:rsidRPr="005E6BB6">
        <w:rPr>
          <w:szCs w:val="22"/>
        </w:rPr>
        <w:t xml:space="preserve">for decision-making </w:t>
      </w:r>
      <w:r w:rsidR="009B098E" w:rsidRPr="005E6BB6">
        <w:rPr>
          <w:szCs w:val="22"/>
        </w:rPr>
        <w:t xml:space="preserve">on the comparative efficacy of T-VEC </w:t>
      </w:r>
      <w:r w:rsidR="00A13549" w:rsidRPr="005E6BB6">
        <w:rPr>
          <w:szCs w:val="22"/>
        </w:rPr>
        <w:t xml:space="preserve">to </w:t>
      </w:r>
      <w:proofErr w:type="spellStart"/>
      <w:r w:rsidR="009B098E" w:rsidRPr="005E6BB6">
        <w:rPr>
          <w:szCs w:val="22"/>
        </w:rPr>
        <w:t>nivolumab</w:t>
      </w:r>
      <w:proofErr w:type="spellEnd"/>
      <w:r w:rsidR="009B098E" w:rsidRPr="005E6BB6">
        <w:rPr>
          <w:szCs w:val="22"/>
        </w:rPr>
        <w:t xml:space="preserve">, </w:t>
      </w:r>
      <w:proofErr w:type="spellStart"/>
      <w:r w:rsidR="00A13549" w:rsidRPr="005E6BB6">
        <w:rPr>
          <w:szCs w:val="22"/>
        </w:rPr>
        <w:t>i</w:t>
      </w:r>
      <w:r w:rsidR="009B098E" w:rsidRPr="005E6BB6">
        <w:rPr>
          <w:szCs w:val="22"/>
        </w:rPr>
        <w:t>pilimumab</w:t>
      </w:r>
      <w:proofErr w:type="spellEnd"/>
      <w:r w:rsidR="004F4905" w:rsidRPr="005E6BB6">
        <w:rPr>
          <w:szCs w:val="22"/>
        </w:rPr>
        <w:t xml:space="preserve">, or </w:t>
      </w:r>
      <w:proofErr w:type="spellStart"/>
      <w:r w:rsidR="004F4905" w:rsidRPr="005E6BB6">
        <w:rPr>
          <w:szCs w:val="22"/>
        </w:rPr>
        <w:t>pembrolizumab</w:t>
      </w:r>
      <w:proofErr w:type="spellEnd"/>
      <w:r w:rsidR="005B10BD" w:rsidRPr="005E6BB6">
        <w:rPr>
          <w:szCs w:val="22"/>
        </w:rPr>
        <w:t xml:space="preserve">, particularly given that the median duration of follow-up differed considerably across the trials (16 months for CA209-066, 44 months for </w:t>
      </w:r>
      <w:proofErr w:type="spellStart"/>
      <w:r w:rsidR="005B10BD" w:rsidRPr="005E6BB6">
        <w:rPr>
          <w:szCs w:val="22"/>
        </w:rPr>
        <w:t>OPTiM</w:t>
      </w:r>
      <w:proofErr w:type="spellEnd"/>
      <w:r w:rsidR="005B10BD" w:rsidRPr="005E6BB6">
        <w:rPr>
          <w:szCs w:val="22"/>
        </w:rPr>
        <w:t xml:space="preserve"> and 55 months for MDX010-20</w:t>
      </w:r>
      <w:r w:rsidR="00235A5A" w:rsidRPr="005E6BB6">
        <w:rPr>
          <w:szCs w:val="22"/>
        </w:rPr>
        <w:t>)</w:t>
      </w:r>
      <w:r w:rsidR="00953E52">
        <w:rPr>
          <w:szCs w:val="22"/>
        </w:rPr>
        <w:t>; and the populations in each trial were not comparable</w:t>
      </w:r>
      <w:r w:rsidR="00CB1D1A" w:rsidRPr="005E6BB6">
        <w:rPr>
          <w:szCs w:val="22"/>
        </w:rPr>
        <w:t>.</w:t>
      </w:r>
    </w:p>
    <w:p w:rsidR="00F35510" w:rsidRPr="005E6BB6" w:rsidRDefault="00F35510" w:rsidP="00F35510">
      <w:pPr>
        <w:rPr>
          <w:szCs w:val="22"/>
        </w:rPr>
      </w:pPr>
    </w:p>
    <w:p w:rsidR="00F35510" w:rsidRPr="005E6BB6" w:rsidRDefault="00F35510" w:rsidP="00ED000E">
      <w:pPr>
        <w:pStyle w:val="ListParagraph"/>
        <w:numPr>
          <w:ilvl w:val="1"/>
          <w:numId w:val="1"/>
        </w:numPr>
        <w:rPr>
          <w:szCs w:val="22"/>
        </w:rPr>
      </w:pPr>
      <w:r w:rsidRPr="005E6BB6">
        <w:rPr>
          <w:szCs w:val="22"/>
        </w:rPr>
        <w:t>The ESC</w:t>
      </w:r>
      <w:r w:rsidR="003223A4" w:rsidRPr="005E6BB6">
        <w:rPr>
          <w:szCs w:val="22"/>
        </w:rPr>
        <w:t xml:space="preserve"> noted </w:t>
      </w:r>
      <w:r w:rsidR="00941608">
        <w:rPr>
          <w:szCs w:val="22"/>
        </w:rPr>
        <w:t xml:space="preserve">from the PSCR </w:t>
      </w:r>
      <w:r w:rsidR="003223A4" w:rsidRPr="005E6BB6">
        <w:rPr>
          <w:szCs w:val="22"/>
        </w:rPr>
        <w:t>that t</w:t>
      </w:r>
      <w:r w:rsidR="003223A4" w:rsidRPr="005E6BB6">
        <w:t xml:space="preserve">here is unlikely to be any direct evidence comparing T-VEC monotherapy </w:t>
      </w:r>
      <w:r w:rsidR="00555E6B" w:rsidRPr="005E6BB6">
        <w:t>w</w:t>
      </w:r>
      <w:r w:rsidR="003223A4" w:rsidRPr="005E6BB6">
        <w:t xml:space="preserve">ith an appropriate monotherapy comparator, as current on-going trials are investigating T-VEC in combination with active therapies, such as pembrolizumab and ipilimumab. </w:t>
      </w:r>
      <w:r w:rsidR="00555E6B" w:rsidRPr="005E6BB6">
        <w:t xml:space="preserve"> </w:t>
      </w:r>
      <w:r w:rsidR="003223A4" w:rsidRPr="005E6BB6">
        <w:t xml:space="preserve">The ESC therefore advised </w:t>
      </w:r>
      <w:r w:rsidRPr="005E6BB6">
        <w:rPr>
          <w:szCs w:val="22"/>
        </w:rPr>
        <w:t xml:space="preserve">that the proposed clinical place for T-VEC </w:t>
      </w:r>
      <w:r w:rsidR="003223A4" w:rsidRPr="005E6BB6">
        <w:rPr>
          <w:szCs w:val="22"/>
        </w:rPr>
        <w:t xml:space="preserve">monotherapy </w:t>
      </w:r>
      <w:r w:rsidRPr="005E6BB6">
        <w:rPr>
          <w:szCs w:val="22"/>
        </w:rPr>
        <w:t xml:space="preserve">in treatment of metastatic melanoma was difficult to justify in the current disease setting, where systemic agents are available to treat both localised lesions and metastases.  </w:t>
      </w:r>
      <w:r w:rsidR="00FB757A" w:rsidRPr="005E6BB6">
        <w:rPr>
          <w:szCs w:val="22"/>
        </w:rPr>
        <w:t xml:space="preserve">The ESC expressed concern for potential early metastases that </w:t>
      </w:r>
      <w:r w:rsidR="00555E6B" w:rsidRPr="005E6BB6">
        <w:rPr>
          <w:szCs w:val="22"/>
        </w:rPr>
        <w:t>are</w:t>
      </w:r>
      <w:r w:rsidR="00FB757A" w:rsidRPr="005E6BB6">
        <w:rPr>
          <w:szCs w:val="22"/>
        </w:rPr>
        <w:t xml:space="preserve"> not detected (clinical or ultrasound) at the time of patient treatment with T-VEC, which may delay necessary systemic therapy with other agents.  The</w:t>
      </w:r>
      <w:r w:rsidR="00AE19AB" w:rsidRPr="005E6BB6">
        <w:rPr>
          <w:szCs w:val="22"/>
        </w:rPr>
        <w:t xml:space="preserve"> ESC </w:t>
      </w:r>
      <w:r w:rsidR="00555E6B" w:rsidRPr="005E6BB6">
        <w:rPr>
          <w:szCs w:val="22"/>
        </w:rPr>
        <w:t>suggested</w:t>
      </w:r>
      <w:r w:rsidR="00AE19AB" w:rsidRPr="005E6BB6">
        <w:rPr>
          <w:szCs w:val="22"/>
        </w:rPr>
        <w:t xml:space="preserve"> that the</w:t>
      </w:r>
      <w:r w:rsidR="00FB757A" w:rsidRPr="005E6BB6">
        <w:rPr>
          <w:szCs w:val="22"/>
        </w:rPr>
        <w:t xml:space="preserve">re </w:t>
      </w:r>
      <w:r w:rsidR="00555E6B" w:rsidRPr="005E6BB6">
        <w:rPr>
          <w:szCs w:val="22"/>
        </w:rPr>
        <w:t>might</w:t>
      </w:r>
      <w:r w:rsidR="00FB757A" w:rsidRPr="005E6BB6">
        <w:rPr>
          <w:szCs w:val="22"/>
        </w:rPr>
        <w:t xml:space="preserve"> potentially </w:t>
      </w:r>
      <w:r w:rsidR="00555E6B" w:rsidRPr="005E6BB6">
        <w:rPr>
          <w:szCs w:val="22"/>
        </w:rPr>
        <w:t xml:space="preserve">be </w:t>
      </w:r>
      <w:r w:rsidR="00FB757A" w:rsidRPr="005E6BB6">
        <w:rPr>
          <w:szCs w:val="22"/>
        </w:rPr>
        <w:t xml:space="preserve">a place for T-VEC </w:t>
      </w:r>
      <w:r w:rsidR="00555E6B" w:rsidRPr="005E6BB6">
        <w:rPr>
          <w:szCs w:val="22"/>
        </w:rPr>
        <w:t xml:space="preserve">in the future </w:t>
      </w:r>
      <w:r w:rsidR="00FB757A" w:rsidRPr="005E6BB6">
        <w:rPr>
          <w:szCs w:val="22"/>
        </w:rPr>
        <w:t xml:space="preserve">as an add-on therapy for </w:t>
      </w:r>
      <w:r w:rsidR="00555E6B" w:rsidRPr="005E6BB6">
        <w:rPr>
          <w:szCs w:val="22"/>
        </w:rPr>
        <w:t xml:space="preserve">the management of </w:t>
      </w:r>
      <w:r w:rsidR="00FB757A" w:rsidRPr="005E6BB6">
        <w:rPr>
          <w:szCs w:val="22"/>
        </w:rPr>
        <w:t>resistant lesions.</w:t>
      </w:r>
    </w:p>
    <w:p w:rsidR="00B60939" w:rsidRPr="005E6BB6" w:rsidRDefault="00B60939" w:rsidP="00B60939">
      <w:pPr>
        <w:rPr>
          <w:szCs w:val="22"/>
        </w:rPr>
      </w:pPr>
    </w:p>
    <w:p w:rsidR="00B60939" w:rsidRPr="00A66471" w:rsidRDefault="00B60939" w:rsidP="006A72B9">
      <w:pPr>
        <w:pStyle w:val="Heading2"/>
      </w:pPr>
      <w:bookmarkStart w:id="18" w:name="_Toc451340810"/>
      <w:r w:rsidRPr="00A66471">
        <w:t>Comparative harms</w:t>
      </w:r>
      <w:bookmarkEnd w:id="18"/>
    </w:p>
    <w:p w:rsidR="00B60939" w:rsidRPr="00BE77DA" w:rsidRDefault="00B60939" w:rsidP="00A66471">
      <w:pPr>
        <w:widowControl/>
        <w:ind w:left="720" w:hanging="720"/>
        <w:rPr>
          <w:szCs w:val="22"/>
        </w:rPr>
      </w:pPr>
    </w:p>
    <w:p w:rsidR="00DC50DC" w:rsidRPr="005E6BB6" w:rsidRDefault="00B476EA" w:rsidP="00A66471">
      <w:pPr>
        <w:pStyle w:val="ListParagraph"/>
        <w:widowControl/>
        <w:numPr>
          <w:ilvl w:val="1"/>
          <w:numId w:val="1"/>
        </w:numPr>
      </w:pPr>
      <w:r w:rsidRPr="005E6BB6">
        <w:rPr>
          <w:szCs w:val="22"/>
        </w:rPr>
        <w:t xml:space="preserve">The submission presented only a naïve comparison of safety outcomes and claimed that the safety of T-VEC is similar to </w:t>
      </w:r>
      <w:proofErr w:type="spellStart"/>
      <w:r w:rsidRPr="005E6BB6">
        <w:rPr>
          <w:szCs w:val="22"/>
        </w:rPr>
        <w:t>nivolumab</w:t>
      </w:r>
      <w:proofErr w:type="spellEnd"/>
      <w:r w:rsidRPr="005E6BB6">
        <w:rPr>
          <w:szCs w:val="22"/>
        </w:rPr>
        <w:t xml:space="preserve"> and </w:t>
      </w:r>
      <w:proofErr w:type="spellStart"/>
      <w:r w:rsidRPr="005E6BB6">
        <w:rPr>
          <w:szCs w:val="22"/>
        </w:rPr>
        <w:t>pembrolizumab</w:t>
      </w:r>
      <w:proofErr w:type="spellEnd"/>
      <w:r w:rsidRPr="005E6BB6">
        <w:rPr>
          <w:szCs w:val="22"/>
        </w:rPr>
        <w:t xml:space="preserve"> and more favourable than that of ipilimumab.  </w:t>
      </w:r>
      <w:r w:rsidR="00195D8D" w:rsidRPr="005E6BB6">
        <w:t xml:space="preserve">The most common adverse events in </w:t>
      </w:r>
      <w:proofErr w:type="spellStart"/>
      <w:r w:rsidR="00195D8D" w:rsidRPr="005E6BB6">
        <w:t>OPTiM</w:t>
      </w:r>
      <w:proofErr w:type="spellEnd"/>
      <w:r w:rsidR="00195D8D" w:rsidRPr="005E6BB6">
        <w:t xml:space="preserve"> were </w:t>
      </w:r>
      <w:r w:rsidR="00195D8D" w:rsidRPr="005E6BB6">
        <w:rPr>
          <w:lang w:eastAsia="en-AU"/>
        </w:rPr>
        <w:t>chills, pyrexia, influenza-like illness, injection site reactions and cellulitis.  Immune-related adverse events were more common with the other treatments, particularly ipilimumab.  As</w:t>
      </w:r>
      <w:r w:rsidR="00195D8D" w:rsidRPr="005E6BB6">
        <w:t xml:space="preserve"> the submission did not provide either an indirect or a statistical comparison of</w:t>
      </w:r>
      <w:r w:rsidR="00A3137A" w:rsidRPr="005E6BB6">
        <w:t xml:space="preserve"> T-VEC to either </w:t>
      </w:r>
      <w:proofErr w:type="spellStart"/>
      <w:r w:rsidR="00195D8D" w:rsidRPr="005E6BB6">
        <w:t>pembrolizumab</w:t>
      </w:r>
      <w:proofErr w:type="spellEnd"/>
      <w:r w:rsidR="00195D8D" w:rsidRPr="005E6BB6">
        <w:t xml:space="preserve">, </w:t>
      </w:r>
      <w:proofErr w:type="spellStart"/>
      <w:r w:rsidR="00195D8D" w:rsidRPr="005E6BB6">
        <w:t>nivolumab</w:t>
      </w:r>
      <w:proofErr w:type="spellEnd"/>
      <w:r w:rsidR="00195D8D" w:rsidRPr="005E6BB6">
        <w:t xml:space="preserve"> or </w:t>
      </w:r>
      <w:proofErr w:type="spellStart"/>
      <w:r w:rsidR="00195D8D" w:rsidRPr="005E6BB6">
        <w:t>ipilimumab</w:t>
      </w:r>
      <w:proofErr w:type="spellEnd"/>
      <w:r w:rsidR="003342CF" w:rsidRPr="005E6BB6">
        <w:t>,</w:t>
      </w:r>
      <w:r w:rsidR="00195D8D" w:rsidRPr="005E6BB6">
        <w:t xml:space="preserve"> it was not possible to ascertain whether the adverse event profile of T-VEC is different to that of these other treatments</w:t>
      </w:r>
      <w:proofErr w:type="gramStart"/>
      <w:r w:rsidR="00195D8D" w:rsidRPr="005E6BB6">
        <w:t xml:space="preserve">.  </w:t>
      </w:r>
      <w:proofErr w:type="gramEnd"/>
      <w:r w:rsidR="00195D8D" w:rsidRPr="005E6BB6">
        <w:t>It is however clear that there is a risk of herpetic infection with T-VEC</w:t>
      </w:r>
      <w:r w:rsidR="00555E6B" w:rsidRPr="005E6BB6">
        <w:t>,</w:t>
      </w:r>
      <w:r w:rsidR="00195D8D" w:rsidRPr="005E6BB6">
        <w:t xml:space="preserve"> and that</w:t>
      </w:r>
      <w:r w:rsidR="00DC50DC" w:rsidRPr="005E6BB6">
        <w:t xml:space="preserve"> </w:t>
      </w:r>
      <w:r w:rsidR="00195D8D" w:rsidRPr="005E6BB6">
        <w:t>precautions need to be taken to avoid accidental exposure</w:t>
      </w:r>
      <w:proofErr w:type="gramStart"/>
      <w:r w:rsidR="00195D8D" w:rsidRPr="005E6BB6">
        <w:t xml:space="preserve">.  </w:t>
      </w:r>
      <w:proofErr w:type="gramEnd"/>
      <w:r w:rsidR="00195D8D" w:rsidRPr="005E6BB6">
        <w:rPr>
          <w:szCs w:val="22"/>
        </w:rPr>
        <w:t>Overall, t</w:t>
      </w:r>
      <w:r w:rsidR="00C9658C" w:rsidRPr="005E6BB6">
        <w:rPr>
          <w:szCs w:val="22"/>
        </w:rPr>
        <w:t xml:space="preserve">he </w:t>
      </w:r>
      <w:r w:rsidR="00311229" w:rsidRPr="005E6BB6">
        <w:rPr>
          <w:szCs w:val="22"/>
        </w:rPr>
        <w:t>evidence presented by the submission d</w:t>
      </w:r>
      <w:r w:rsidR="003342CF" w:rsidRPr="005E6BB6">
        <w:rPr>
          <w:szCs w:val="22"/>
        </w:rPr>
        <w:t>id</w:t>
      </w:r>
      <w:r w:rsidR="00311229" w:rsidRPr="005E6BB6">
        <w:rPr>
          <w:szCs w:val="22"/>
        </w:rPr>
        <w:t xml:space="preserve"> not allow any conclusion to be drawn on comparative safety</w:t>
      </w:r>
      <w:r w:rsidR="00C9658C" w:rsidRPr="005E6BB6">
        <w:rPr>
          <w:szCs w:val="22"/>
        </w:rPr>
        <w:t>.</w:t>
      </w:r>
    </w:p>
    <w:p w:rsidR="00B60939" w:rsidRPr="00BE77DA" w:rsidRDefault="00B60939" w:rsidP="003342CF">
      <w:pPr>
        <w:pStyle w:val="TableFooter"/>
        <w:tabs>
          <w:tab w:val="left" w:pos="851"/>
        </w:tabs>
        <w:rPr>
          <w:rFonts w:ascii="Arial" w:hAnsi="Arial"/>
          <w:sz w:val="22"/>
          <w:szCs w:val="22"/>
        </w:rPr>
      </w:pPr>
    </w:p>
    <w:p w:rsidR="00B60939" w:rsidRPr="00A66471" w:rsidRDefault="00B60939" w:rsidP="006A72B9">
      <w:pPr>
        <w:pStyle w:val="Heading2"/>
      </w:pPr>
      <w:bookmarkStart w:id="19" w:name="_Toc451340811"/>
      <w:r w:rsidRPr="00A66471">
        <w:t>Clinical claim</w:t>
      </w:r>
      <w:bookmarkEnd w:id="19"/>
    </w:p>
    <w:p w:rsidR="00B60939" w:rsidRPr="00BE77DA" w:rsidRDefault="00B60939" w:rsidP="00B60939">
      <w:pPr>
        <w:ind w:left="720" w:hanging="720"/>
        <w:rPr>
          <w:szCs w:val="22"/>
        </w:rPr>
      </w:pPr>
    </w:p>
    <w:p w:rsidR="003E5679" w:rsidRPr="005E6BB6" w:rsidRDefault="00750917" w:rsidP="00ED000E">
      <w:pPr>
        <w:pStyle w:val="ListParagraph"/>
        <w:widowControl/>
        <w:numPr>
          <w:ilvl w:val="1"/>
          <w:numId w:val="1"/>
        </w:numPr>
        <w:rPr>
          <w:szCs w:val="22"/>
        </w:rPr>
      </w:pPr>
      <w:r w:rsidRPr="005E6BB6">
        <w:rPr>
          <w:szCs w:val="22"/>
        </w:rPr>
        <w:t xml:space="preserve">Based on restricting the use of T-VEC to patients with stage </w:t>
      </w:r>
      <w:proofErr w:type="spellStart"/>
      <w:r w:rsidRPr="005E6BB6">
        <w:rPr>
          <w:szCs w:val="22"/>
        </w:rPr>
        <w:t>IIIb</w:t>
      </w:r>
      <w:proofErr w:type="spellEnd"/>
      <w:r w:rsidRPr="005E6BB6">
        <w:rPr>
          <w:szCs w:val="22"/>
        </w:rPr>
        <w:t xml:space="preserve">/c </w:t>
      </w:r>
      <w:r w:rsidR="00F434A7" w:rsidRPr="005E6BB6">
        <w:rPr>
          <w:szCs w:val="22"/>
        </w:rPr>
        <w:t xml:space="preserve">or </w:t>
      </w:r>
      <w:r w:rsidRPr="005E6BB6">
        <w:rPr>
          <w:szCs w:val="22"/>
        </w:rPr>
        <w:t>stage IVM1a malignant melanoma, the submission described T-VEC as</w:t>
      </w:r>
      <w:r w:rsidR="003E5679" w:rsidRPr="005E6BB6">
        <w:rPr>
          <w:szCs w:val="22"/>
        </w:rPr>
        <w:t>:</w:t>
      </w:r>
    </w:p>
    <w:p w:rsidR="003E5679" w:rsidRPr="005E6BB6" w:rsidRDefault="00750917" w:rsidP="00ED000E">
      <w:pPr>
        <w:pStyle w:val="ListParagraph"/>
        <w:widowControl/>
        <w:numPr>
          <w:ilvl w:val="0"/>
          <w:numId w:val="3"/>
        </w:numPr>
        <w:rPr>
          <w:szCs w:val="22"/>
        </w:rPr>
      </w:pPr>
      <w:r w:rsidRPr="005E6BB6">
        <w:rPr>
          <w:szCs w:val="22"/>
        </w:rPr>
        <w:t xml:space="preserve">similar in terms of comparative efficacy to </w:t>
      </w:r>
      <w:proofErr w:type="spellStart"/>
      <w:r w:rsidRPr="005E6BB6">
        <w:rPr>
          <w:szCs w:val="22"/>
        </w:rPr>
        <w:t>ipilimumab</w:t>
      </w:r>
      <w:proofErr w:type="spellEnd"/>
      <w:r w:rsidR="003342CF" w:rsidRPr="005E6BB6">
        <w:rPr>
          <w:szCs w:val="22"/>
        </w:rPr>
        <w:t xml:space="preserve">, </w:t>
      </w:r>
      <w:proofErr w:type="spellStart"/>
      <w:r w:rsidR="003342CF" w:rsidRPr="005E6BB6">
        <w:rPr>
          <w:szCs w:val="22"/>
        </w:rPr>
        <w:t>pembrolizumab</w:t>
      </w:r>
      <w:proofErr w:type="spellEnd"/>
      <w:r w:rsidR="003342CF" w:rsidRPr="005E6BB6">
        <w:rPr>
          <w:szCs w:val="22"/>
        </w:rPr>
        <w:t xml:space="preserve">, and </w:t>
      </w:r>
      <w:proofErr w:type="spellStart"/>
      <w:r w:rsidR="003342CF" w:rsidRPr="005E6BB6">
        <w:rPr>
          <w:szCs w:val="22"/>
        </w:rPr>
        <w:t>nivolumab</w:t>
      </w:r>
      <w:proofErr w:type="spellEnd"/>
      <w:r w:rsidR="003342CF" w:rsidRPr="005E6BB6">
        <w:rPr>
          <w:szCs w:val="22"/>
        </w:rPr>
        <w:t>;</w:t>
      </w:r>
    </w:p>
    <w:p w:rsidR="003E5679" w:rsidRPr="005E6BB6" w:rsidRDefault="00750917" w:rsidP="00ED000E">
      <w:pPr>
        <w:pStyle w:val="ListParagraph"/>
        <w:widowControl/>
        <w:numPr>
          <w:ilvl w:val="0"/>
          <w:numId w:val="3"/>
        </w:numPr>
        <w:rPr>
          <w:szCs w:val="22"/>
        </w:rPr>
      </w:pPr>
      <w:r w:rsidRPr="005E6BB6">
        <w:rPr>
          <w:szCs w:val="22"/>
        </w:rPr>
        <w:t xml:space="preserve">similar in terms of terms of comparative safety to </w:t>
      </w:r>
      <w:proofErr w:type="spellStart"/>
      <w:r w:rsidRPr="005E6BB6">
        <w:rPr>
          <w:szCs w:val="22"/>
        </w:rPr>
        <w:t>pembrolizumab</w:t>
      </w:r>
      <w:proofErr w:type="spellEnd"/>
      <w:r w:rsidRPr="005E6BB6">
        <w:rPr>
          <w:szCs w:val="22"/>
        </w:rPr>
        <w:t xml:space="preserve"> and </w:t>
      </w:r>
      <w:proofErr w:type="spellStart"/>
      <w:r w:rsidRPr="005E6BB6">
        <w:rPr>
          <w:szCs w:val="22"/>
        </w:rPr>
        <w:t>ni</w:t>
      </w:r>
      <w:r w:rsidR="003342CF" w:rsidRPr="005E6BB6">
        <w:rPr>
          <w:szCs w:val="22"/>
        </w:rPr>
        <w:t>volumab</w:t>
      </w:r>
      <w:proofErr w:type="spellEnd"/>
      <w:r w:rsidR="003342CF" w:rsidRPr="005E6BB6">
        <w:rPr>
          <w:szCs w:val="22"/>
        </w:rPr>
        <w:t>; and</w:t>
      </w:r>
    </w:p>
    <w:p w:rsidR="003E5679" w:rsidRPr="005E6BB6" w:rsidRDefault="00750917" w:rsidP="00ED000E">
      <w:pPr>
        <w:pStyle w:val="ListParagraph"/>
        <w:widowControl/>
        <w:numPr>
          <w:ilvl w:val="0"/>
          <w:numId w:val="3"/>
        </w:numPr>
        <w:rPr>
          <w:szCs w:val="22"/>
        </w:rPr>
      </w:pPr>
      <w:proofErr w:type="gramStart"/>
      <w:r w:rsidRPr="005E6BB6">
        <w:rPr>
          <w:szCs w:val="22"/>
        </w:rPr>
        <w:t>having</w:t>
      </w:r>
      <w:proofErr w:type="gramEnd"/>
      <w:r w:rsidRPr="005E6BB6">
        <w:rPr>
          <w:szCs w:val="22"/>
        </w:rPr>
        <w:t xml:space="preserve"> a favourable safety p</w:t>
      </w:r>
      <w:r w:rsidR="003342CF" w:rsidRPr="005E6BB6">
        <w:rPr>
          <w:szCs w:val="22"/>
        </w:rPr>
        <w:t>rofile compared to ipilimumab.</w:t>
      </w:r>
    </w:p>
    <w:p w:rsidR="003E5679" w:rsidRPr="005E6BB6" w:rsidRDefault="003E5679" w:rsidP="003342CF">
      <w:pPr>
        <w:widowControl/>
        <w:rPr>
          <w:szCs w:val="22"/>
        </w:rPr>
      </w:pPr>
    </w:p>
    <w:p w:rsidR="00A5393C" w:rsidRPr="005E6BB6" w:rsidRDefault="00750917" w:rsidP="00ED000E">
      <w:pPr>
        <w:pStyle w:val="ListParagraph"/>
        <w:widowControl/>
        <w:numPr>
          <w:ilvl w:val="1"/>
          <w:numId w:val="1"/>
        </w:numPr>
        <w:rPr>
          <w:szCs w:val="22"/>
        </w:rPr>
      </w:pPr>
      <w:r w:rsidRPr="005E6BB6">
        <w:rPr>
          <w:szCs w:val="22"/>
        </w:rPr>
        <w:t>The submission’s claim</w:t>
      </w:r>
      <w:r w:rsidR="003342CF" w:rsidRPr="005E6BB6">
        <w:rPr>
          <w:szCs w:val="22"/>
        </w:rPr>
        <w:t>s were</w:t>
      </w:r>
      <w:r w:rsidRPr="005E6BB6">
        <w:rPr>
          <w:szCs w:val="22"/>
        </w:rPr>
        <w:t xml:space="preserve"> not adequately supported</w:t>
      </w:r>
      <w:r w:rsidR="00A127A9" w:rsidRPr="005E6BB6">
        <w:rPr>
          <w:szCs w:val="22"/>
        </w:rPr>
        <w:t xml:space="preserve">.  </w:t>
      </w:r>
      <w:r w:rsidR="00311229" w:rsidRPr="005E6BB6">
        <w:rPr>
          <w:szCs w:val="22"/>
        </w:rPr>
        <w:t>G</w:t>
      </w:r>
      <w:r w:rsidR="00A127A9" w:rsidRPr="005E6BB6">
        <w:rPr>
          <w:szCs w:val="22"/>
        </w:rPr>
        <w:t xml:space="preserve">iven that the submission did not present statistical comparisons and that the trial populations </w:t>
      </w:r>
      <w:r w:rsidR="00CC1569" w:rsidRPr="005E6BB6">
        <w:rPr>
          <w:szCs w:val="22"/>
        </w:rPr>
        <w:t>we</w:t>
      </w:r>
      <w:r w:rsidR="00A127A9" w:rsidRPr="005E6BB6">
        <w:rPr>
          <w:szCs w:val="22"/>
        </w:rPr>
        <w:t>re conside</w:t>
      </w:r>
      <w:r w:rsidR="00CC1569" w:rsidRPr="005E6BB6">
        <w:rPr>
          <w:szCs w:val="22"/>
        </w:rPr>
        <w:t>rably different, it wa</w:t>
      </w:r>
      <w:r w:rsidR="00A127A9" w:rsidRPr="005E6BB6">
        <w:rPr>
          <w:szCs w:val="22"/>
        </w:rPr>
        <w:t xml:space="preserve">s not possible to form any view on the comparative efficacy or safety of T-VEC compared to </w:t>
      </w:r>
      <w:proofErr w:type="spellStart"/>
      <w:r w:rsidR="00A127A9" w:rsidRPr="005E6BB6">
        <w:rPr>
          <w:szCs w:val="22"/>
        </w:rPr>
        <w:t>pembrolizumab</w:t>
      </w:r>
      <w:proofErr w:type="spellEnd"/>
      <w:r w:rsidR="00A127A9" w:rsidRPr="005E6BB6">
        <w:rPr>
          <w:szCs w:val="22"/>
        </w:rPr>
        <w:t xml:space="preserve">, </w:t>
      </w:r>
      <w:proofErr w:type="spellStart"/>
      <w:r w:rsidR="00A127A9" w:rsidRPr="005E6BB6">
        <w:rPr>
          <w:szCs w:val="22"/>
        </w:rPr>
        <w:t>nivolumab</w:t>
      </w:r>
      <w:proofErr w:type="spellEnd"/>
      <w:r w:rsidR="00A127A9" w:rsidRPr="005E6BB6">
        <w:rPr>
          <w:szCs w:val="22"/>
        </w:rPr>
        <w:t xml:space="preserve"> or </w:t>
      </w:r>
      <w:proofErr w:type="spellStart"/>
      <w:r w:rsidR="00A127A9" w:rsidRPr="005E6BB6">
        <w:rPr>
          <w:szCs w:val="22"/>
        </w:rPr>
        <w:t>ipilimumab</w:t>
      </w:r>
      <w:proofErr w:type="spellEnd"/>
      <w:r w:rsidR="00A127A9" w:rsidRPr="005E6BB6">
        <w:rPr>
          <w:szCs w:val="22"/>
        </w:rPr>
        <w:t xml:space="preserve"> from the data presented.</w:t>
      </w:r>
    </w:p>
    <w:p w:rsidR="00B60939" w:rsidRDefault="00B60939" w:rsidP="00B60939">
      <w:pPr>
        <w:ind w:left="720" w:hanging="720"/>
        <w:rPr>
          <w:szCs w:val="22"/>
        </w:rPr>
      </w:pPr>
    </w:p>
    <w:p w:rsidR="0040756E" w:rsidRPr="000D5E35" w:rsidRDefault="0040756E" w:rsidP="00A66471">
      <w:pPr>
        <w:pStyle w:val="ListParagraph"/>
        <w:widowControl/>
        <w:numPr>
          <w:ilvl w:val="1"/>
          <w:numId w:val="1"/>
        </w:numPr>
        <w:rPr>
          <w:bCs/>
        </w:rPr>
      </w:pPr>
      <w:r w:rsidRPr="000D5E35">
        <w:rPr>
          <w:bCs/>
          <w:szCs w:val="22"/>
        </w:rPr>
        <w:t>The PBAC considered that the claim</w:t>
      </w:r>
      <w:r w:rsidR="00A66471">
        <w:rPr>
          <w:bCs/>
          <w:szCs w:val="22"/>
        </w:rPr>
        <w:t>s</w:t>
      </w:r>
      <w:r w:rsidRPr="000D5E35">
        <w:rPr>
          <w:bCs/>
          <w:szCs w:val="22"/>
        </w:rPr>
        <w:t xml:space="preserve"> of non-inferior comparative effectiveness </w:t>
      </w:r>
      <w:r w:rsidR="003934D1">
        <w:rPr>
          <w:bCs/>
          <w:szCs w:val="22"/>
        </w:rPr>
        <w:t xml:space="preserve">and non-inferior comparative safety </w:t>
      </w:r>
      <w:r w:rsidR="00A66471">
        <w:rPr>
          <w:bCs/>
          <w:szCs w:val="22"/>
        </w:rPr>
        <w:t>were</w:t>
      </w:r>
      <w:r w:rsidRPr="000D5E35">
        <w:rPr>
          <w:bCs/>
          <w:szCs w:val="22"/>
        </w:rPr>
        <w:t xml:space="preserve"> not adequately supported by the data</w:t>
      </w:r>
      <w:r w:rsidR="00A66471">
        <w:rPr>
          <w:bCs/>
          <w:szCs w:val="22"/>
        </w:rPr>
        <w:t xml:space="preserve"> provided</w:t>
      </w:r>
      <w:r w:rsidRPr="000D5E35">
        <w:rPr>
          <w:bCs/>
          <w:szCs w:val="22"/>
        </w:rPr>
        <w:t>.</w:t>
      </w:r>
      <w:r w:rsidR="003934D1">
        <w:rPr>
          <w:bCs/>
          <w:szCs w:val="22"/>
        </w:rPr>
        <w:t xml:space="preserve">  Given that only an informal comparison of </w:t>
      </w:r>
      <w:r w:rsidR="009F7842">
        <w:rPr>
          <w:bCs/>
          <w:szCs w:val="22"/>
        </w:rPr>
        <w:t>T-VEC</w:t>
      </w:r>
      <w:r w:rsidR="003934D1">
        <w:rPr>
          <w:bCs/>
          <w:szCs w:val="22"/>
        </w:rPr>
        <w:t xml:space="preserve"> with </w:t>
      </w:r>
      <w:r w:rsidR="00A66471">
        <w:rPr>
          <w:bCs/>
          <w:szCs w:val="22"/>
        </w:rPr>
        <w:t>its</w:t>
      </w:r>
      <w:r w:rsidR="003934D1">
        <w:rPr>
          <w:bCs/>
          <w:szCs w:val="22"/>
        </w:rPr>
        <w:t xml:space="preserve"> nominated comparators was conducted, comparative efficacy and safety could not be determined.</w:t>
      </w:r>
    </w:p>
    <w:p w:rsidR="0040756E" w:rsidRDefault="0040756E" w:rsidP="003934D1">
      <w:pPr>
        <w:rPr>
          <w:szCs w:val="22"/>
        </w:rPr>
      </w:pPr>
    </w:p>
    <w:p w:rsidR="00B60939" w:rsidRPr="00A66471" w:rsidRDefault="00B60939" w:rsidP="006A72B9">
      <w:pPr>
        <w:pStyle w:val="Heading2"/>
      </w:pPr>
      <w:bookmarkStart w:id="20" w:name="_Toc451340812"/>
      <w:r w:rsidRPr="00A66471">
        <w:t>Economic analysis</w:t>
      </w:r>
      <w:bookmarkEnd w:id="20"/>
    </w:p>
    <w:p w:rsidR="00B60939" w:rsidRPr="00BE77DA" w:rsidRDefault="00B60939" w:rsidP="00B60939">
      <w:pPr>
        <w:ind w:left="720" w:hanging="720"/>
        <w:rPr>
          <w:szCs w:val="22"/>
        </w:rPr>
      </w:pPr>
    </w:p>
    <w:p w:rsidR="00D110BD" w:rsidRPr="005E6BB6" w:rsidRDefault="00181ABF" w:rsidP="00ED000E">
      <w:pPr>
        <w:pStyle w:val="ListParagraph"/>
        <w:widowControl/>
        <w:numPr>
          <w:ilvl w:val="1"/>
          <w:numId w:val="1"/>
        </w:numPr>
      </w:pPr>
      <w:r w:rsidRPr="005E6BB6">
        <w:t>The submission presented a cost-minimisation analysis of T-VEC compared to ipilimumab</w:t>
      </w:r>
      <w:r w:rsidR="00187A95" w:rsidRPr="005E6BB6">
        <w:t xml:space="preserve"> using the full published price for ipilimumab and </w:t>
      </w:r>
      <w:r w:rsidR="0024146B" w:rsidRPr="005E6BB6">
        <w:t xml:space="preserve">the </w:t>
      </w:r>
      <w:r w:rsidR="00187A95" w:rsidRPr="005E6BB6">
        <w:t xml:space="preserve">proposed published price for T-VEC.  The submission </w:t>
      </w:r>
      <w:r w:rsidR="00522AC4" w:rsidRPr="005E6BB6">
        <w:t xml:space="preserve">anticipated that the effective T-VEC price would be agreed upon if there was a positive PBAC recommendation, with the submission proposing to </w:t>
      </w:r>
      <w:r w:rsidR="00187A95" w:rsidRPr="005E6BB6">
        <w:t xml:space="preserve">negotiate an effective price for T-VEC based on cost-minimisation to match the effective price of </w:t>
      </w:r>
      <w:proofErr w:type="spellStart"/>
      <w:r w:rsidR="00187A95" w:rsidRPr="005E6BB6">
        <w:t>ipilimumab</w:t>
      </w:r>
      <w:proofErr w:type="spellEnd"/>
      <w:proofErr w:type="gramStart"/>
      <w:r w:rsidRPr="005E6BB6">
        <w:t xml:space="preserve">. </w:t>
      </w:r>
      <w:r w:rsidR="003D6285" w:rsidRPr="005E6BB6">
        <w:t xml:space="preserve"> </w:t>
      </w:r>
      <w:proofErr w:type="gramEnd"/>
      <w:r w:rsidR="003D6285" w:rsidRPr="005E6BB6">
        <w:t xml:space="preserve">As the non-statistical informal comparison presented by the submission did not establish whether T-VEC is inferior or non-inferior to the comparator, there was no </w:t>
      </w:r>
      <w:r w:rsidR="003342CF" w:rsidRPr="005E6BB6">
        <w:t xml:space="preserve">evidentiary </w:t>
      </w:r>
      <w:r w:rsidR="003D6285" w:rsidRPr="005E6BB6">
        <w:t xml:space="preserve">basis for a cost-minimisation analysis.  Nonetheless, the </w:t>
      </w:r>
      <w:r w:rsidR="003342CF" w:rsidRPr="005E6BB6">
        <w:t xml:space="preserve">claimed </w:t>
      </w:r>
      <w:proofErr w:type="spellStart"/>
      <w:r w:rsidR="003D6285" w:rsidRPr="005E6BB6">
        <w:t>equi</w:t>
      </w:r>
      <w:proofErr w:type="spellEnd"/>
      <w:r w:rsidR="003D6285" w:rsidRPr="005E6BB6">
        <w:t>-effective doses and the cost-minimisation analysis provided by the submission are presented below.</w:t>
      </w:r>
    </w:p>
    <w:p w:rsidR="00A86E8B" w:rsidRPr="005E6BB6" w:rsidRDefault="00A86E8B" w:rsidP="00A86E8B">
      <w:pPr>
        <w:widowControl/>
        <w:rPr>
          <w:szCs w:val="22"/>
        </w:rPr>
      </w:pPr>
    </w:p>
    <w:p w:rsidR="00DE668C" w:rsidRPr="001E2CD5" w:rsidRDefault="00A86E8B" w:rsidP="00A66471">
      <w:pPr>
        <w:pStyle w:val="ListParagraph"/>
        <w:widowControl/>
        <w:numPr>
          <w:ilvl w:val="1"/>
          <w:numId w:val="1"/>
        </w:numPr>
        <w:rPr>
          <w:szCs w:val="22"/>
        </w:rPr>
      </w:pPr>
      <w:r w:rsidRPr="001E2CD5">
        <w:t xml:space="preserve">The </w:t>
      </w:r>
      <w:r w:rsidR="003342CF" w:rsidRPr="001E2CD5">
        <w:t xml:space="preserve">claimed </w:t>
      </w:r>
      <w:proofErr w:type="spellStart"/>
      <w:r w:rsidRPr="001E2CD5">
        <w:t>equi</w:t>
      </w:r>
      <w:proofErr w:type="spellEnd"/>
      <w:r w:rsidRPr="001E2CD5">
        <w:t xml:space="preserve">-effective doses </w:t>
      </w:r>
      <w:r w:rsidR="005854A6" w:rsidRPr="001E2CD5">
        <w:t>we</w:t>
      </w:r>
      <w:r w:rsidRPr="001E2CD5">
        <w:t xml:space="preserve">re estimated as </w:t>
      </w:r>
      <w:r w:rsidR="005854A6" w:rsidRPr="001E2CD5">
        <w:t>T-VEC 1</w:t>
      </w:r>
      <w:r w:rsidR="003342CF" w:rsidRPr="001E2CD5">
        <w:t> </w:t>
      </w:r>
      <w:r w:rsidR="005854A6" w:rsidRPr="001E2CD5">
        <w:t xml:space="preserve">mL and </w:t>
      </w:r>
      <w:proofErr w:type="spellStart"/>
      <w:r w:rsidR="005854A6" w:rsidRPr="001E2CD5">
        <w:t>ipilimumab</w:t>
      </w:r>
      <w:proofErr w:type="spellEnd"/>
      <w:r w:rsidR="005854A6" w:rsidRPr="001E2CD5">
        <w:t xml:space="preserve"> 5.78</w:t>
      </w:r>
      <w:r w:rsidR="003342CF" w:rsidRPr="001E2CD5">
        <w:t> </w:t>
      </w:r>
      <w:proofErr w:type="spellStart"/>
      <w:r w:rsidR="005854A6" w:rsidRPr="001E2CD5">
        <w:t>mL.</w:t>
      </w:r>
      <w:proofErr w:type="spellEnd"/>
      <w:r w:rsidR="00DE668C" w:rsidRPr="001E2CD5">
        <w:t xml:space="preserve">  </w:t>
      </w:r>
      <w:r w:rsidR="00DE668C" w:rsidRPr="001E2CD5">
        <w:rPr>
          <w:szCs w:val="22"/>
        </w:rPr>
        <w:t>Details of the calculation</w:t>
      </w:r>
      <w:r w:rsidR="003342CF" w:rsidRPr="001E2CD5">
        <w:rPr>
          <w:szCs w:val="22"/>
        </w:rPr>
        <w:t>s</w:t>
      </w:r>
      <w:r w:rsidR="00DE668C" w:rsidRPr="001E2CD5">
        <w:rPr>
          <w:szCs w:val="22"/>
        </w:rPr>
        <w:t xml:space="preserve"> are shown in Table </w:t>
      </w:r>
      <w:r w:rsidR="006942C1" w:rsidRPr="001E2CD5">
        <w:rPr>
          <w:szCs w:val="22"/>
        </w:rPr>
        <w:t>4</w:t>
      </w:r>
      <w:r w:rsidR="003342CF" w:rsidRPr="001E2CD5">
        <w:rPr>
          <w:szCs w:val="22"/>
        </w:rPr>
        <w:t>.</w:t>
      </w:r>
    </w:p>
    <w:p w:rsidR="00CE58AB" w:rsidRPr="00051969" w:rsidRDefault="00CE58AB" w:rsidP="00051969">
      <w:pPr>
        <w:pStyle w:val="TableHeader"/>
        <w:keepNext/>
        <w:keepLines/>
        <w:ind w:left="720"/>
        <w:rPr>
          <w:rFonts w:ascii="Arial Narrow" w:hAnsi="Arial Narrow" w:cs="Times New Roman"/>
          <w:bCs/>
        </w:rPr>
      </w:pPr>
    </w:p>
    <w:p w:rsidR="007217C1" w:rsidRPr="00051969" w:rsidRDefault="007217C1" w:rsidP="00051969">
      <w:pPr>
        <w:pStyle w:val="TableHeader"/>
        <w:keepNext/>
        <w:keepLines/>
        <w:ind w:left="720"/>
        <w:rPr>
          <w:rFonts w:ascii="Arial Narrow" w:hAnsi="Arial Narrow" w:cs="Times New Roman"/>
          <w:bCs/>
        </w:rPr>
      </w:pPr>
      <w:r w:rsidRPr="00051969">
        <w:rPr>
          <w:rFonts w:ascii="Arial Narrow" w:hAnsi="Arial Narrow" w:cs="Times New Roman"/>
          <w:bCs/>
        </w:rPr>
        <w:t xml:space="preserve">Table </w:t>
      </w:r>
      <w:r w:rsidR="00D07F7B" w:rsidRPr="00051969">
        <w:rPr>
          <w:rFonts w:ascii="Arial Narrow" w:hAnsi="Arial Narrow" w:cs="Times New Roman"/>
          <w:bCs/>
        </w:rPr>
        <w:t>4</w:t>
      </w:r>
      <w:r w:rsidRPr="00051969">
        <w:rPr>
          <w:rFonts w:ascii="Arial Narrow" w:hAnsi="Arial Narrow" w:cs="Times New Roman"/>
          <w:bCs/>
        </w:rPr>
        <w:t xml:space="preserve">: Calculation of </w:t>
      </w:r>
      <w:proofErr w:type="spellStart"/>
      <w:r w:rsidRPr="00051969">
        <w:rPr>
          <w:rFonts w:ascii="Arial Narrow" w:hAnsi="Arial Narrow" w:cs="Times New Roman"/>
          <w:bCs/>
        </w:rPr>
        <w:t>equi</w:t>
      </w:r>
      <w:proofErr w:type="spellEnd"/>
      <w:r w:rsidRPr="00051969">
        <w:rPr>
          <w:rFonts w:ascii="Arial Narrow" w:hAnsi="Arial Narrow" w:cs="Times New Roman"/>
          <w:bCs/>
        </w:rPr>
        <w:t>-effective dose for T-VEC compared to ipilimumab</w:t>
      </w:r>
    </w:p>
    <w:tbl>
      <w:tblPr>
        <w:tblStyle w:val="TableGrid"/>
        <w:tblW w:w="4594" w:type="pct"/>
        <w:tblInd w:w="737" w:type="dxa"/>
        <w:tblLayout w:type="fixed"/>
        <w:tblCellMar>
          <w:left w:w="28" w:type="dxa"/>
          <w:right w:w="28" w:type="dxa"/>
        </w:tblCellMar>
        <w:tblLook w:val="04A0" w:firstRow="1" w:lastRow="0" w:firstColumn="1" w:lastColumn="0" w:noHBand="0" w:noVBand="1"/>
        <w:tblCaption w:val="Table 4: Calculation of equi-effective dose for T-VEC compared to ipilimumab"/>
      </w:tblPr>
      <w:tblGrid>
        <w:gridCol w:w="969"/>
        <w:gridCol w:w="2280"/>
        <w:gridCol w:w="2988"/>
        <w:gridCol w:w="1275"/>
        <w:gridCol w:w="833"/>
      </w:tblGrid>
      <w:tr w:rsidR="00DE668C" w:rsidRPr="00BE77DA" w:rsidTr="006A72B9">
        <w:trPr>
          <w:tblHeader/>
        </w:trPr>
        <w:tc>
          <w:tcPr>
            <w:tcW w:w="581" w:type="pct"/>
            <w:vAlign w:val="center"/>
          </w:tcPr>
          <w:p w:rsidR="00DE668C" w:rsidRPr="00BE77DA" w:rsidRDefault="00DE668C" w:rsidP="00FD182E">
            <w:pPr>
              <w:jc w:val="left"/>
              <w:rPr>
                <w:rFonts w:ascii="Arial Narrow" w:hAnsi="Arial Narrow"/>
                <w:b/>
                <w:sz w:val="20"/>
              </w:rPr>
            </w:pPr>
            <w:r w:rsidRPr="00BE77DA">
              <w:rPr>
                <w:rFonts w:ascii="Arial Narrow" w:hAnsi="Arial Narrow"/>
                <w:b/>
                <w:sz w:val="20"/>
              </w:rPr>
              <w:t>Parameter</w:t>
            </w:r>
          </w:p>
        </w:tc>
        <w:tc>
          <w:tcPr>
            <w:tcW w:w="1366" w:type="pct"/>
            <w:vAlign w:val="center"/>
          </w:tcPr>
          <w:p w:rsidR="00DE668C" w:rsidRPr="00BE77DA" w:rsidRDefault="00DE668C" w:rsidP="00FD182E">
            <w:pPr>
              <w:jc w:val="center"/>
              <w:rPr>
                <w:rFonts w:ascii="Arial Narrow" w:hAnsi="Arial Narrow"/>
                <w:b/>
                <w:sz w:val="20"/>
              </w:rPr>
            </w:pPr>
            <w:r w:rsidRPr="00BE77DA">
              <w:rPr>
                <w:rFonts w:ascii="Arial Narrow" w:hAnsi="Arial Narrow"/>
                <w:b/>
                <w:sz w:val="20"/>
              </w:rPr>
              <w:t>Source</w:t>
            </w:r>
          </w:p>
        </w:tc>
        <w:tc>
          <w:tcPr>
            <w:tcW w:w="1790" w:type="pct"/>
            <w:vAlign w:val="center"/>
          </w:tcPr>
          <w:p w:rsidR="00DE668C" w:rsidRPr="00BE77DA" w:rsidRDefault="00DE668C" w:rsidP="00FD182E">
            <w:pPr>
              <w:jc w:val="center"/>
              <w:rPr>
                <w:rFonts w:ascii="Arial Narrow" w:hAnsi="Arial Narrow"/>
                <w:b/>
                <w:sz w:val="20"/>
              </w:rPr>
            </w:pPr>
            <w:r w:rsidRPr="00BE77DA">
              <w:rPr>
                <w:rFonts w:ascii="Arial Narrow" w:hAnsi="Arial Narrow"/>
                <w:b/>
                <w:sz w:val="20"/>
              </w:rPr>
              <w:t>Number of vials and doses</w:t>
            </w:r>
          </w:p>
        </w:tc>
        <w:tc>
          <w:tcPr>
            <w:tcW w:w="764" w:type="pct"/>
            <w:vAlign w:val="center"/>
          </w:tcPr>
          <w:p w:rsidR="00DE668C" w:rsidRPr="00BE77DA" w:rsidRDefault="00DE668C" w:rsidP="003342CF">
            <w:pPr>
              <w:jc w:val="center"/>
              <w:rPr>
                <w:rFonts w:ascii="Arial Narrow" w:hAnsi="Arial Narrow"/>
                <w:b/>
                <w:sz w:val="20"/>
              </w:rPr>
            </w:pPr>
            <w:r w:rsidRPr="00BE77DA">
              <w:rPr>
                <w:rFonts w:ascii="Arial Narrow" w:hAnsi="Arial Narrow"/>
                <w:b/>
                <w:sz w:val="20"/>
              </w:rPr>
              <w:t>Total dose per patient lifetime</w:t>
            </w:r>
          </w:p>
        </w:tc>
        <w:tc>
          <w:tcPr>
            <w:tcW w:w="499" w:type="pct"/>
            <w:vAlign w:val="center"/>
          </w:tcPr>
          <w:p w:rsidR="00DE668C" w:rsidRPr="00BE77DA" w:rsidRDefault="00DE668C" w:rsidP="00DE668C">
            <w:pPr>
              <w:jc w:val="center"/>
              <w:rPr>
                <w:rFonts w:ascii="Arial Narrow" w:hAnsi="Arial Narrow"/>
                <w:b/>
                <w:sz w:val="20"/>
              </w:rPr>
            </w:pPr>
            <w:r w:rsidRPr="00BE77DA">
              <w:rPr>
                <w:rFonts w:ascii="Arial Narrow" w:hAnsi="Arial Narrow"/>
                <w:b/>
                <w:sz w:val="20"/>
              </w:rPr>
              <w:t>Dose relativity</w:t>
            </w:r>
          </w:p>
        </w:tc>
      </w:tr>
      <w:tr w:rsidR="00DE668C" w:rsidRPr="00BE77DA" w:rsidTr="00DE668C">
        <w:tc>
          <w:tcPr>
            <w:tcW w:w="5000" w:type="pct"/>
            <w:gridSpan w:val="5"/>
            <w:vAlign w:val="center"/>
          </w:tcPr>
          <w:p w:rsidR="00DE668C" w:rsidRPr="00BE77DA" w:rsidRDefault="00DE668C" w:rsidP="00FD182E">
            <w:pPr>
              <w:jc w:val="left"/>
              <w:rPr>
                <w:rFonts w:ascii="Arial Narrow" w:hAnsi="Arial Narrow"/>
                <w:b/>
                <w:sz w:val="20"/>
              </w:rPr>
            </w:pPr>
            <w:r w:rsidRPr="00BE77DA">
              <w:rPr>
                <w:rFonts w:ascii="Arial Narrow" w:hAnsi="Arial Narrow"/>
                <w:b/>
                <w:sz w:val="20"/>
              </w:rPr>
              <w:t>T-VEC</w:t>
            </w:r>
          </w:p>
        </w:tc>
      </w:tr>
      <w:tr w:rsidR="00DE668C" w:rsidRPr="00BE77DA" w:rsidTr="00411A56">
        <w:tc>
          <w:tcPr>
            <w:tcW w:w="581" w:type="pct"/>
            <w:vAlign w:val="center"/>
          </w:tcPr>
          <w:p w:rsidR="00DE668C" w:rsidRPr="00BE77DA" w:rsidRDefault="00DE668C" w:rsidP="00FD182E">
            <w:pPr>
              <w:jc w:val="left"/>
              <w:rPr>
                <w:rFonts w:ascii="Arial Narrow" w:hAnsi="Arial Narrow"/>
                <w:sz w:val="20"/>
              </w:rPr>
            </w:pPr>
            <w:r w:rsidRPr="00BE77DA">
              <w:rPr>
                <w:rFonts w:ascii="Arial Narrow" w:hAnsi="Arial Narrow"/>
                <w:sz w:val="20"/>
              </w:rPr>
              <w:t>Doses per patient</w:t>
            </w:r>
          </w:p>
        </w:tc>
        <w:tc>
          <w:tcPr>
            <w:tcW w:w="1366" w:type="pct"/>
            <w:vAlign w:val="center"/>
          </w:tcPr>
          <w:p w:rsidR="00DE668C" w:rsidRPr="00BE77DA" w:rsidRDefault="00DE668C" w:rsidP="00FD182E">
            <w:pPr>
              <w:jc w:val="center"/>
              <w:rPr>
                <w:rFonts w:ascii="Arial Narrow" w:hAnsi="Arial Narrow"/>
                <w:sz w:val="20"/>
              </w:rPr>
            </w:pPr>
            <w:proofErr w:type="spellStart"/>
            <w:r w:rsidRPr="00BE77DA">
              <w:rPr>
                <w:rFonts w:ascii="Arial Narrow" w:hAnsi="Arial Narrow"/>
                <w:sz w:val="20"/>
              </w:rPr>
              <w:t>OPTiM</w:t>
            </w:r>
            <w:proofErr w:type="spellEnd"/>
            <w:r w:rsidRPr="00BE77DA">
              <w:rPr>
                <w:rFonts w:ascii="Arial Narrow" w:hAnsi="Arial Narrow"/>
                <w:sz w:val="20"/>
              </w:rPr>
              <w:t>: mean injections per patient</w:t>
            </w:r>
            <w:r w:rsidR="002A7B56" w:rsidRPr="00BE77DA">
              <w:rPr>
                <w:rFonts w:ascii="Arial Narrow" w:hAnsi="Arial Narrow"/>
                <w:sz w:val="20"/>
              </w:rPr>
              <w:t>*</w:t>
            </w:r>
          </w:p>
        </w:tc>
        <w:tc>
          <w:tcPr>
            <w:tcW w:w="1790" w:type="pct"/>
            <w:vAlign w:val="center"/>
          </w:tcPr>
          <w:p w:rsidR="00DE668C" w:rsidRPr="00BE77DA" w:rsidRDefault="00DE668C" w:rsidP="003342CF">
            <w:pPr>
              <w:jc w:val="center"/>
              <w:rPr>
                <w:rFonts w:ascii="Arial Narrow" w:hAnsi="Arial Narrow"/>
                <w:sz w:val="20"/>
              </w:rPr>
            </w:pPr>
            <w:r w:rsidRPr="00BE77DA">
              <w:rPr>
                <w:rFonts w:ascii="Arial Narrow" w:hAnsi="Arial Narrow"/>
                <w:sz w:val="20"/>
              </w:rPr>
              <w:t>1 dose of 1</w:t>
            </w:r>
            <w:r w:rsidR="003342CF" w:rsidRPr="00BE77DA">
              <w:rPr>
                <w:rFonts w:ascii="Arial Narrow" w:hAnsi="Arial Narrow"/>
                <w:sz w:val="20"/>
              </w:rPr>
              <w:t> million </w:t>
            </w:r>
            <w:r w:rsidRPr="00BE77DA">
              <w:rPr>
                <w:rFonts w:ascii="Arial Narrow" w:hAnsi="Arial Narrow"/>
                <w:sz w:val="20"/>
              </w:rPr>
              <w:t xml:space="preserve">PFU/mL and </w:t>
            </w:r>
            <w:r w:rsidR="006A72B9">
              <w:rPr>
                <w:rFonts w:ascii="Arial Narrow" w:hAnsi="Arial Narrow"/>
                <w:noProof/>
                <w:color w:val="000000"/>
                <w:sz w:val="20"/>
                <w:highlight w:val="black"/>
              </w:rPr>
              <w:t>''''''''''''''</w:t>
            </w:r>
            <w:r w:rsidRPr="00BE77DA">
              <w:rPr>
                <w:rFonts w:ascii="Arial Narrow" w:hAnsi="Arial Narrow"/>
                <w:sz w:val="20"/>
              </w:rPr>
              <w:t xml:space="preserve"> doses of 10</w:t>
            </w:r>
            <w:r w:rsidR="003342CF" w:rsidRPr="00BE77DA">
              <w:rPr>
                <w:rFonts w:ascii="Arial Narrow" w:hAnsi="Arial Narrow"/>
                <w:sz w:val="20"/>
              </w:rPr>
              <w:t>0 million </w:t>
            </w:r>
            <w:r w:rsidRPr="00BE77DA">
              <w:rPr>
                <w:rFonts w:ascii="Arial Narrow" w:hAnsi="Arial Narrow"/>
                <w:sz w:val="20"/>
              </w:rPr>
              <w:t>PFU/mL</w:t>
            </w:r>
          </w:p>
        </w:tc>
        <w:tc>
          <w:tcPr>
            <w:tcW w:w="764" w:type="pct"/>
            <w:vMerge w:val="restart"/>
            <w:vAlign w:val="center"/>
          </w:tcPr>
          <w:p w:rsidR="00DE668C" w:rsidRPr="00BE77DA" w:rsidRDefault="006A72B9" w:rsidP="00FD182E">
            <w:pPr>
              <w:jc w:val="center"/>
              <w:rPr>
                <w:rFonts w:ascii="Arial Narrow" w:hAnsi="Arial Narrow"/>
                <w:sz w:val="20"/>
              </w:rPr>
            </w:pPr>
            <w:r>
              <w:rPr>
                <w:rFonts w:ascii="Arial Narrow" w:hAnsi="Arial Narrow"/>
                <w:noProof/>
                <w:color w:val="000000"/>
                <w:sz w:val="20"/>
                <w:highlight w:val="black"/>
              </w:rPr>
              <w:t>''''''''''''</w:t>
            </w:r>
            <w:r w:rsidR="003342CF" w:rsidRPr="00BE77DA">
              <w:rPr>
                <w:rFonts w:ascii="Arial Narrow" w:hAnsi="Arial Narrow"/>
                <w:sz w:val="20"/>
              </w:rPr>
              <w:t> </w:t>
            </w:r>
            <w:r w:rsidR="00DE668C" w:rsidRPr="00BE77DA">
              <w:rPr>
                <w:rFonts w:ascii="Arial Narrow" w:hAnsi="Arial Narrow"/>
                <w:sz w:val="20"/>
              </w:rPr>
              <w:t>mL</w:t>
            </w:r>
          </w:p>
        </w:tc>
        <w:tc>
          <w:tcPr>
            <w:tcW w:w="499" w:type="pct"/>
            <w:vMerge w:val="restart"/>
            <w:vAlign w:val="center"/>
          </w:tcPr>
          <w:p w:rsidR="00DE668C" w:rsidRPr="00BE77DA" w:rsidRDefault="006A72B9" w:rsidP="00FD182E">
            <w:pPr>
              <w:jc w:val="center"/>
              <w:rPr>
                <w:rFonts w:ascii="Arial Narrow" w:hAnsi="Arial Narrow"/>
                <w:sz w:val="20"/>
              </w:rPr>
            </w:pPr>
            <w:r>
              <w:rPr>
                <w:rFonts w:ascii="Arial Narrow" w:hAnsi="Arial Narrow"/>
                <w:noProof/>
                <w:color w:val="000000"/>
                <w:sz w:val="20"/>
                <w:highlight w:val="black"/>
              </w:rPr>
              <w:t>'''</w:t>
            </w:r>
            <w:r w:rsidR="003342CF" w:rsidRPr="00BE77DA">
              <w:rPr>
                <w:rFonts w:ascii="Arial Narrow" w:hAnsi="Arial Narrow"/>
                <w:sz w:val="20"/>
              </w:rPr>
              <w:t> mL</w:t>
            </w:r>
          </w:p>
        </w:tc>
      </w:tr>
      <w:tr w:rsidR="00DE668C" w:rsidRPr="00BE77DA" w:rsidTr="00411A56">
        <w:trPr>
          <w:trHeight w:val="70"/>
        </w:trPr>
        <w:tc>
          <w:tcPr>
            <w:tcW w:w="581" w:type="pct"/>
            <w:vAlign w:val="center"/>
          </w:tcPr>
          <w:p w:rsidR="00DE668C" w:rsidRPr="00BE77DA" w:rsidRDefault="00DE668C" w:rsidP="00FD182E">
            <w:pPr>
              <w:jc w:val="left"/>
              <w:rPr>
                <w:rFonts w:ascii="Arial Narrow" w:hAnsi="Arial Narrow"/>
                <w:sz w:val="20"/>
              </w:rPr>
            </w:pPr>
            <w:r w:rsidRPr="00BE77DA">
              <w:rPr>
                <w:rFonts w:ascii="Arial Narrow" w:hAnsi="Arial Narrow"/>
                <w:sz w:val="20"/>
              </w:rPr>
              <w:t>Vials per admin</w:t>
            </w:r>
          </w:p>
        </w:tc>
        <w:tc>
          <w:tcPr>
            <w:tcW w:w="1366" w:type="pct"/>
            <w:vAlign w:val="center"/>
          </w:tcPr>
          <w:p w:rsidR="00DE668C" w:rsidRPr="00BE77DA" w:rsidRDefault="00DE668C" w:rsidP="00FD182E">
            <w:pPr>
              <w:jc w:val="center"/>
              <w:rPr>
                <w:rFonts w:ascii="Arial Narrow" w:hAnsi="Arial Narrow"/>
                <w:sz w:val="20"/>
              </w:rPr>
            </w:pPr>
            <w:proofErr w:type="spellStart"/>
            <w:r w:rsidRPr="00BE77DA">
              <w:rPr>
                <w:rFonts w:ascii="Arial Narrow" w:hAnsi="Arial Narrow"/>
                <w:sz w:val="20"/>
              </w:rPr>
              <w:t>OPTiM</w:t>
            </w:r>
            <w:proofErr w:type="spellEnd"/>
            <w:r w:rsidRPr="00BE77DA">
              <w:rPr>
                <w:rFonts w:ascii="Arial Narrow" w:hAnsi="Arial Narrow"/>
                <w:sz w:val="20"/>
              </w:rPr>
              <w:t>: not including rounding up to whole vials to account for wastage</w:t>
            </w:r>
            <w:r w:rsidR="002A7B56" w:rsidRPr="00BE77DA">
              <w:rPr>
                <w:rFonts w:ascii="Arial Narrow" w:hAnsi="Arial Narrow"/>
                <w:sz w:val="20"/>
              </w:rPr>
              <w:t>**</w:t>
            </w:r>
          </w:p>
        </w:tc>
        <w:tc>
          <w:tcPr>
            <w:tcW w:w="1790" w:type="pct"/>
            <w:vAlign w:val="center"/>
          </w:tcPr>
          <w:p w:rsidR="00DE668C" w:rsidRPr="00BE77DA" w:rsidRDefault="006A72B9" w:rsidP="003342CF">
            <w:pPr>
              <w:jc w:val="center"/>
              <w:rPr>
                <w:rFonts w:ascii="Arial Narrow" w:hAnsi="Arial Narrow"/>
                <w:sz w:val="20"/>
              </w:rPr>
            </w:pPr>
            <w:r>
              <w:rPr>
                <w:rFonts w:ascii="Arial Narrow" w:hAnsi="Arial Narrow"/>
                <w:noProof/>
                <w:color w:val="000000"/>
                <w:sz w:val="20"/>
                <w:highlight w:val="black"/>
              </w:rPr>
              <w:t>''''''''''</w:t>
            </w:r>
            <w:r w:rsidR="00DE668C" w:rsidRPr="00BE77DA">
              <w:rPr>
                <w:rFonts w:ascii="Arial Narrow" w:hAnsi="Arial Narrow"/>
                <w:sz w:val="20"/>
              </w:rPr>
              <w:t xml:space="preserve"> × 1</w:t>
            </w:r>
            <w:r w:rsidR="003342CF" w:rsidRPr="00BE77DA">
              <w:rPr>
                <w:rFonts w:ascii="Arial Narrow" w:hAnsi="Arial Narrow"/>
                <w:sz w:val="20"/>
              </w:rPr>
              <w:t> </w:t>
            </w:r>
            <w:r w:rsidR="00DE668C" w:rsidRPr="00BE77DA">
              <w:rPr>
                <w:rFonts w:ascii="Arial Narrow" w:hAnsi="Arial Narrow"/>
                <w:sz w:val="20"/>
              </w:rPr>
              <w:t>mL of 1</w:t>
            </w:r>
            <w:r w:rsidR="003342CF" w:rsidRPr="00BE77DA">
              <w:rPr>
                <w:rFonts w:ascii="Arial Narrow" w:hAnsi="Arial Narrow"/>
                <w:sz w:val="20"/>
              </w:rPr>
              <w:t> million </w:t>
            </w:r>
            <w:r w:rsidR="00DE668C" w:rsidRPr="00BE77DA">
              <w:rPr>
                <w:rFonts w:ascii="Arial Narrow" w:hAnsi="Arial Narrow"/>
                <w:sz w:val="20"/>
              </w:rPr>
              <w:t xml:space="preserve">PFU/mL and </w:t>
            </w:r>
            <w:r>
              <w:rPr>
                <w:rFonts w:ascii="Arial Narrow" w:hAnsi="Arial Narrow"/>
                <w:noProof/>
                <w:color w:val="000000"/>
                <w:sz w:val="20"/>
                <w:highlight w:val="black"/>
              </w:rPr>
              <w:t>''''''''''</w:t>
            </w:r>
            <w:r w:rsidR="00DE668C" w:rsidRPr="00BE77DA">
              <w:rPr>
                <w:rFonts w:ascii="Arial Narrow" w:hAnsi="Arial Narrow"/>
                <w:sz w:val="20"/>
              </w:rPr>
              <w:t xml:space="preserve"> × 1</w:t>
            </w:r>
            <w:r w:rsidR="003342CF" w:rsidRPr="00BE77DA">
              <w:rPr>
                <w:rFonts w:ascii="Arial Narrow" w:hAnsi="Arial Narrow"/>
                <w:sz w:val="20"/>
              </w:rPr>
              <w:t> </w:t>
            </w:r>
            <w:r w:rsidR="00DE668C" w:rsidRPr="00BE77DA">
              <w:rPr>
                <w:rFonts w:ascii="Arial Narrow" w:hAnsi="Arial Narrow"/>
                <w:sz w:val="20"/>
              </w:rPr>
              <w:t>mL of 1</w:t>
            </w:r>
            <w:r w:rsidR="003342CF" w:rsidRPr="00BE77DA">
              <w:rPr>
                <w:rFonts w:ascii="Arial Narrow" w:hAnsi="Arial Narrow"/>
                <w:sz w:val="20"/>
              </w:rPr>
              <w:t>0</w:t>
            </w:r>
            <w:r w:rsidR="00DE668C" w:rsidRPr="00BE77DA">
              <w:rPr>
                <w:rFonts w:ascii="Arial Narrow" w:hAnsi="Arial Narrow"/>
                <w:sz w:val="20"/>
              </w:rPr>
              <w:t>0</w:t>
            </w:r>
            <w:r w:rsidR="003342CF" w:rsidRPr="00BE77DA">
              <w:rPr>
                <w:rFonts w:ascii="Arial Narrow" w:hAnsi="Arial Narrow"/>
                <w:sz w:val="20"/>
              </w:rPr>
              <w:t> million</w:t>
            </w:r>
            <w:r w:rsidR="00411A56" w:rsidRPr="00BE77DA">
              <w:rPr>
                <w:rFonts w:ascii="Arial Narrow" w:hAnsi="Arial Narrow"/>
                <w:sz w:val="20"/>
              </w:rPr>
              <w:t> </w:t>
            </w:r>
            <w:r w:rsidR="00DE668C" w:rsidRPr="00BE77DA">
              <w:rPr>
                <w:rFonts w:ascii="Arial Narrow" w:hAnsi="Arial Narrow"/>
                <w:sz w:val="20"/>
              </w:rPr>
              <w:t>PFU/mL</w:t>
            </w:r>
          </w:p>
        </w:tc>
        <w:tc>
          <w:tcPr>
            <w:tcW w:w="764" w:type="pct"/>
            <w:vMerge/>
            <w:vAlign w:val="center"/>
          </w:tcPr>
          <w:p w:rsidR="00DE668C" w:rsidRPr="00BE77DA" w:rsidRDefault="00DE668C" w:rsidP="00FD182E">
            <w:pPr>
              <w:jc w:val="center"/>
              <w:rPr>
                <w:rFonts w:ascii="Arial Narrow" w:hAnsi="Arial Narrow"/>
                <w:sz w:val="20"/>
              </w:rPr>
            </w:pPr>
          </w:p>
        </w:tc>
        <w:tc>
          <w:tcPr>
            <w:tcW w:w="499" w:type="pct"/>
            <w:vMerge/>
            <w:vAlign w:val="center"/>
          </w:tcPr>
          <w:p w:rsidR="00DE668C" w:rsidRPr="00BE77DA" w:rsidRDefault="00DE668C" w:rsidP="00FD182E">
            <w:pPr>
              <w:jc w:val="center"/>
              <w:rPr>
                <w:rFonts w:ascii="Arial Narrow" w:hAnsi="Arial Narrow"/>
                <w:sz w:val="20"/>
              </w:rPr>
            </w:pPr>
          </w:p>
        </w:tc>
      </w:tr>
      <w:tr w:rsidR="00DE668C" w:rsidRPr="00BE77DA" w:rsidTr="00DE668C">
        <w:tc>
          <w:tcPr>
            <w:tcW w:w="5000" w:type="pct"/>
            <w:gridSpan w:val="5"/>
            <w:vAlign w:val="center"/>
          </w:tcPr>
          <w:p w:rsidR="00DE668C" w:rsidRPr="00BE77DA" w:rsidRDefault="00DE668C" w:rsidP="00FD182E">
            <w:pPr>
              <w:jc w:val="left"/>
              <w:rPr>
                <w:rFonts w:ascii="Arial Narrow" w:hAnsi="Arial Narrow"/>
                <w:b/>
                <w:sz w:val="20"/>
              </w:rPr>
            </w:pPr>
            <w:r w:rsidRPr="00BE77DA">
              <w:rPr>
                <w:rFonts w:ascii="Arial Narrow" w:hAnsi="Arial Narrow"/>
                <w:b/>
                <w:sz w:val="20"/>
              </w:rPr>
              <w:t>Ipilimumab</w:t>
            </w:r>
          </w:p>
        </w:tc>
      </w:tr>
      <w:tr w:rsidR="00DE668C" w:rsidRPr="00BE77DA" w:rsidTr="00411A56">
        <w:tc>
          <w:tcPr>
            <w:tcW w:w="581" w:type="pct"/>
            <w:vAlign w:val="center"/>
          </w:tcPr>
          <w:p w:rsidR="00DE668C" w:rsidRPr="00BE77DA" w:rsidRDefault="00DE668C" w:rsidP="00FD182E">
            <w:pPr>
              <w:jc w:val="left"/>
              <w:rPr>
                <w:rFonts w:ascii="Arial Narrow" w:hAnsi="Arial Narrow"/>
                <w:sz w:val="20"/>
              </w:rPr>
            </w:pPr>
            <w:r w:rsidRPr="00BE77DA">
              <w:rPr>
                <w:rFonts w:ascii="Arial Narrow" w:hAnsi="Arial Narrow"/>
                <w:sz w:val="20"/>
              </w:rPr>
              <w:t>Doses per patient</w:t>
            </w:r>
          </w:p>
        </w:tc>
        <w:tc>
          <w:tcPr>
            <w:tcW w:w="1366" w:type="pct"/>
            <w:vAlign w:val="center"/>
          </w:tcPr>
          <w:p w:rsidR="00DE668C" w:rsidRPr="00BE77DA" w:rsidRDefault="00DE668C" w:rsidP="00411A56">
            <w:pPr>
              <w:jc w:val="center"/>
              <w:rPr>
                <w:rFonts w:ascii="Arial Narrow" w:hAnsi="Arial Narrow"/>
                <w:sz w:val="20"/>
              </w:rPr>
            </w:pPr>
            <w:r w:rsidRPr="00BE77DA">
              <w:rPr>
                <w:rFonts w:ascii="Arial Narrow" w:hAnsi="Arial Narrow"/>
                <w:sz w:val="20"/>
              </w:rPr>
              <w:t>MDX010-20</w:t>
            </w:r>
          </w:p>
        </w:tc>
        <w:tc>
          <w:tcPr>
            <w:tcW w:w="1790" w:type="pct"/>
            <w:vAlign w:val="center"/>
          </w:tcPr>
          <w:p w:rsidR="00DE668C" w:rsidRPr="00BE77DA" w:rsidRDefault="00DE668C" w:rsidP="00FD182E">
            <w:pPr>
              <w:jc w:val="center"/>
              <w:rPr>
                <w:rFonts w:ascii="Arial Narrow" w:hAnsi="Arial Narrow"/>
                <w:sz w:val="20"/>
              </w:rPr>
            </w:pPr>
            <w:r w:rsidRPr="00BE77DA">
              <w:rPr>
                <w:rFonts w:ascii="Arial Narrow" w:hAnsi="Arial Narrow"/>
                <w:sz w:val="20"/>
              </w:rPr>
              <w:t>3.73 doses</w:t>
            </w:r>
          </w:p>
        </w:tc>
        <w:tc>
          <w:tcPr>
            <w:tcW w:w="764" w:type="pct"/>
            <w:vMerge w:val="restart"/>
            <w:vAlign w:val="center"/>
          </w:tcPr>
          <w:p w:rsidR="00DE668C" w:rsidRPr="00BE77DA" w:rsidRDefault="00DE668C" w:rsidP="00FD182E">
            <w:pPr>
              <w:jc w:val="center"/>
              <w:rPr>
                <w:rFonts w:ascii="Arial Narrow" w:hAnsi="Arial Narrow"/>
                <w:sz w:val="20"/>
              </w:rPr>
            </w:pPr>
            <w:r w:rsidRPr="00BE77DA">
              <w:rPr>
                <w:rFonts w:ascii="Arial Narrow" w:hAnsi="Arial Narrow"/>
                <w:sz w:val="20"/>
              </w:rPr>
              <w:t>964.73</w:t>
            </w:r>
            <w:r w:rsidR="003342CF" w:rsidRPr="00BE77DA">
              <w:rPr>
                <w:rFonts w:ascii="Arial Narrow" w:hAnsi="Arial Narrow"/>
                <w:sz w:val="20"/>
              </w:rPr>
              <w:t> </w:t>
            </w:r>
            <w:r w:rsidRPr="00BE77DA">
              <w:rPr>
                <w:rFonts w:ascii="Arial Narrow" w:hAnsi="Arial Narrow"/>
                <w:sz w:val="20"/>
              </w:rPr>
              <w:t>mg (192.95</w:t>
            </w:r>
            <w:r w:rsidR="003342CF" w:rsidRPr="00BE77DA">
              <w:rPr>
                <w:rFonts w:ascii="Arial Narrow" w:hAnsi="Arial Narrow"/>
                <w:sz w:val="20"/>
              </w:rPr>
              <w:t> </w:t>
            </w:r>
            <w:r w:rsidRPr="00BE77DA">
              <w:rPr>
                <w:rFonts w:ascii="Arial Narrow" w:hAnsi="Arial Narrow"/>
                <w:sz w:val="20"/>
              </w:rPr>
              <w:t>mL)</w:t>
            </w:r>
          </w:p>
        </w:tc>
        <w:tc>
          <w:tcPr>
            <w:tcW w:w="499" w:type="pct"/>
            <w:vMerge w:val="restart"/>
            <w:vAlign w:val="center"/>
          </w:tcPr>
          <w:p w:rsidR="00DE668C" w:rsidRPr="00BE77DA" w:rsidRDefault="006A72B9" w:rsidP="00DE668C">
            <w:pPr>
              <w:jc w:val="center"/>
              <w:rPr>
                <w:rFonts w:ascii="Arial Narrow" w:hAnsi="Arial Narrow"/>
                <w:sz w:val="20"/>
              </w:rPr>
            </w:pPr>
            <w:r>
              <w:rPr>
                <w:rFonts w:ascii="Arial Narrow" w:hAnsi="Arial Narrow"/>
                <w:noProof/>
                <w:color w:val="000000"/>
                <w:sz w:val="20"/>
                <w:highlight w:val="black"/>
              </w:rPr>
              <w:t>'''''''''''</w:t>
            </w:r>
            <w:r w:rsidR="003342CF" w:rsidRPr="00BE77DA">
              <w:rPr>
                <w:rFonts w:ascii="Arial Narrow" w:hAnsi="Arial Narrow"/>
                <w:sz w:val="20"/>
              </w:rPr>
              <w:t> mL</w:t>
            </w:r>
          </w:p>
        </w:tc>
      </w:tr>
      <w:tr w:rsidR="00DE668C" w:rsidRPr="00BE77DA" w:rsidTr="00411A56">
        <w:tc>
          <w:tcPr>
            <w:tcW w:w="581" w:type="pct"/>
            <w:vAlign w:val="center"/>
          </w:tcPr>
          <w:p w:rsidR="00DE668C" w:rsidRPr="00BE77DA" w:rsidRDefault="00DE668C" w:rsidP="00FD182E">
            <w:pPr>
              <w:jc w:val="left"/>
              <w:rPr>
                <w:rFonts w:ascii="Arial Narrow" w:hAnsi="Arial Narrow"/>
                <w:sz w:val="20"/>
              </w:rPr>
            </w:pPr>
            <w:r w:rsidRPr="00BE77DA">
              <w:rPr>
                <w:rFonts w:ascii="Arial Narrow" w:hAnsi="Arial Narrow"/>
                <w:sz w:val="20"/>
              </w:rPr>
              <w:t>Vials per admin</w:t>
            </w:r>
          </w:p>
        </w:tc>
        <w:tc>
          <w:tcPr>
            <w:tcW w:w="1366" w:type="pct"/>
            <w:vAlign w:val="center"/>
          </w:tcPr>
          <w:p w:rsidR="00DE668C" w:rsidRPr="00BE77DA" w:rsidRDefault="00DE668C" w:rsidP="00FD182E">
            <w:pPr>
              <w:jc w:val="center"/>
              <w:rPr>
                <w:rFonts w:ascii="Arial Narrow" w:hAnsi="Arial Narrow"/>
                <w:sz w:val="20"/>
              </w:rPr>
            </w:pPr>
            <w:r w:rsidRPr="00BE77DA">
              <w:rPr>
                <w:rFonts w:ascii="Arial Narrow" w:hAnsi="Arial Narrow"/>
                <w:sz w:val="20"/>
              </w:rPr>
              <w:t>Based on patient weight of: 86.13</w:t>
            </w:r>
            <w:r w:rsidR="00411A56" w:rsidRPr="00BE77DA">
              <w:rPr>
                <w:rFonts w:ascii="Arial Narrow" w:hAnsi="Arial Narrow"/>
                <w:sz w:val="20"/>
              </w:rPr>
              <w:t> </w:t>
            </w:r>
            <w:r w:rsidRPr="00BE77DA">
              <w:rPr>
                <w:rFonts w:ascii="Arial Narrow" w:hAnsi="Arial Narrow"/>
                <w:sz w:val="20"/>
              </w:rPr>
              <w:t>kg from MDX010-20 and 3</w:t>
            </w:r>
            <w:r w:rsidR="00411A56" w:rsidRPr="00BE77DA">
              <w:rPr>
                <w:rFonts w:ascii="Arial Narrow" w:hAnsi="Arial Narrow"/>
                <w:sz w:val="20"/>
              </w:rPr>
              <w:t> </w:t>
            </w:r>
            <w:r w:rsidRPr="00BE77DA">
              <w:rPr>
                <w:rFonts w:ascii="Arial Narrow" w:hAnsi="Arial Narrow"/>
                <w:sz w:val="20"/>
              </w:rPr>
              <w:t>mg/kg</w:t>
            </w:r>
          </w:p>
        </w:tc>
        <w:tc>
          <w:tcPr>
            <w:tcW w:w="1790" w:type="pct"/>
            <w:vAlign w:val="center"/>
          </w:tcPr>
          <w:p w:rsidR="00DE668C" w:rsidRPr="00BE77DA" w:rsidRDefault="00DE668C" w:rsidP="00FD182E">
            <w:pPr>
              <w:jc w:val="center"/>
              <w:rPr>
                <w:rFonts w:ascii="Arial Narrow" w:hAnsi="Arial Narrow"/>
                <w:sz w:val="20"/>
              </w:rPr>
            </w:pPr>
            <w:r w:rsidRPr="00BE77DA">
              <w:rPr>
                <w:rFonts w:ascii="Arial Narrow" w:hAnsi="Arial Narrow"/>
                <w:sz w:val="20"/>
              </w:rPr>
              <w:t>50</w:t>
            </w:r>
            <w:r w:rsidR="00411A56" w:rsidRPr="00BE77DA">
              <w:rPr>
                <w:rFonts w:ascii="Arial Narrow" w:hAnsi="Arial Narrow"/>
                <w:sz w:val="20"/>
              </w:rPr>
              <w:t> </w:t>
            </w:r>
            <w:r w:rsidRPr="00BE77DA">
              <w:rPr>
                <w:rFonts w:ascii="Arial Narrow" w:hAnsi="Arial Narrow"/>
                <w:sz w:val="20"/>
              </w:rPr>
              <w:t>mg/10</w:t>
            </w:r>
            <w:r w:rsidR="00411A56" w:rsidRPr="00BE77DA">
              <w:rPr>
                <w:rFonts w:ascii="Arial Narrow" w:hAnsi="Arial Narrow"/>
                <w:sz w:val="20"/>
              </w:rPr>
              <w:t> </w:t>
            </w:r>
            <w:r w:rsidRPr="00BE77DA">
              <w:rPr>
                <w:rFonts w:ascii="Arial Narrow" w:hAnsi="Arial Narrow"/>
                <w:sz w:val="20"/>
              </w:rPr>
              <w:t>mL: 1.35 vials;</w:t>
            </w:r>
          </w:p>
          <w:p w:rsidR="00DE668C" w:rsidRPr="00BE77DA" w:rsidRDefault="00DE668C" w:rsidP="00FD182E">
            <w:pPr>
              <w:jc w:val="center"/>
              <w:rPr>
                <w:rFonts w:ascii="Arial Narrow" w:hAnsi="Arial Narrow"/>
                <w:sz w:val="20"/>
              </w:rPr>
            </w:pPr>
            <w:r w:rsidRPr="00BE77DA">
              <w:rPr>
                <w:rFonts w:ascii="Arial Narrow" w:hAnsi="Arial Narrow"/>
                <w:sz w:val="20"/>
              </w:rPr>
              <w:t>200</w:t>
            </w:r>
            <w:r w:rsidR="00411A56" w:rsidRPr="00BE77DA">
              <w:rPr>
                <w:rFonts w:ascii="Arial Narrow" w:hAnsi="Arial Narrow"/>
                <w:sz w:val="20"/>
              </w:rPr>
              <w:t> </w:t>
            </w:r>
            <w:r w:rsidRPr="00BE77DA">
              <w:rPr>
                <w:rFonts w:ascii="Arial Narrow" w:hAnsi="Arial Narrow"/>
                <w:sz w:val="20"/>
              </w:rPr>
              <w:t>mg/40</w:t>
            </w:r>
            <w:r w:rsidR="00411A56" w:rsidRPr="00BE77DA">
              <w:rPr>
                <w:rFonts w:ascii="Arial Narrow" w:hAnsi="Arial Narrow"/>
                <w:sz w:val="20"/>
              </w:rPr>
              <w:t> </w:t>
            </w:r>
            <w:r w:rsidRPr="00BE77DA">
              <w:rPr>
                <w:rFonts w:ascii="Arial Narrow" w:hAnsi="Arial Narrow"/>
                <w:sz w:val="20"/>
              </w:rPr>
              <w:t>mL: 1.01 vials</w:t>
            </w:r>
          </w:p>
          <w:p w:rsidR="00DE668C" w:rsidRPr="00BE77DA" w:rsidRDefault="00DE668C" w:rsidP="00FD182E">
            <w:pPr>
              <w:jc w:val="center"/>
              <w:rPr>
                <w:rFonts w:ascii="Arial Narrow" w:hAnsi="Arial Narrow"/>
                <w:sz w:val="20"/>
              </w:rPr>
            </w:pPr>
            <w:r w:rsidRPr="00BE77DA">
              <w:rPr>
                <w:rFonts w:ascii="Arial Narrow" w:hAnsi="Arial Narrow"/>
                <w:sz w:val="20"/>
              </w:rPr>
              <w:t>(</w:t>
            </w:r>
            <w:r w:rsidR="00411A56" w:rsidRPr="00BE77DA">
              <w:rPr>
                <w:rFonts w:ascii="Arial Narrow" w:hAnsi="Arial Narrow"/>
                <w:sz w:val="20"/>
              </w:rPr>
              <w:t xml:space="preserve">= </w:t>
            </w:r>
            <w:r w:rsidRPr="00BE77DA">
              <w:rPr>
                <w:rFonts w:ascii="Arial Narrow" w:hAnsi="Arial Narrow"/>
                <w:sz w:val="20"/>
              </w:rPr>
              <w:t>258.4</w:t>
            </w:r>
            <w:r w:rsidR="00411A56" w:rsidRPr="00BE77DA">
              <w:rPr>
                <w:rFonts w:ascii="Arial Narrow" w:hAnsi="Arial Narrow"/>
                <w:sz w:val="20"/>
              </w:rPr>
              <w:t> </w:t>
            </w:r>
            <w:r w:rsidRPr="00BE77DA">
              <w:rPr>
                <w:rFonts w:ascii="Arial Narrow" w:hAnsi="Arial Narrow"/>
                <w:sz w:val="20"/>
              </w:rPr>
              <w:t>mg)</w:t>
            </w:r>
          </w:p>
        </w:tc>
        <w:tc>
          <w:tcPr>
            <w:tcW w:w="764" w:type="pct"/>
            <w:vMerge/>
            <w:vAlign w:val="center"/>
          </w:tcPr>
          <w:p w:rsidR="00DE668C" w:rsidRPr="00BE77DA" w:rsidRDefault="00DE668C" w:rsidP="00FD182E">
            <w:pPr>
              <w:jc w:val="center"/>
              <w:rPr>
                <w:rFonts w:ascii="Arial Narrow" w:hAnsi="Arial Narrow"/>
                <w:sz w:val="20"/>
              </w:rPr>
            </w:pPr>
          </w:p>
        </w:tc>
        <w:tc>
          <w:tcPr>
            <w:tcW w:w="499" w:type="pct"/>
            <w:vMerge/>
            <w:vAlign w:val="center"/>
          </w:tcPr>
          <w:p w:rsidR="00DE668C" w:rsidRPr="00BE77DA" w:rsidRDefault="00DE668C" w:rsidP="00FD182E">
            <w:pPr>
              <w:jc w:val="center"/>
              <w:rPr>
                <w:rFonts w:ascii="Arial Narrow" w:hAnsi="Arial Narrow"/>
                <w:sz w:val="20"/>
              </w:rPr>
            </w:pPr>
          </w:p>
        </w:tc>
      </w:tr>
    </w:tbl>
    <w:p w:rsidR="002A7B56" w:rsidRPr="00BE77DA" w:rsidRDefault="002A7B56" w:rsidP="002A7B56">
      <w:pPr>
        <w:ind w:left="720"/>
        <w:rPr>
          <w:rFonts w:ascii="Arial Narrow" w:hAnsi="Arial Narrow"/>
          <w:sz w:val="18"/>
        </w:rPr>
      </w:pPr>
      <w:r w:rsidRPr="00BE77DA">
        <w:rPr>
          <w:rFonts w:ascii="Arial Narrow" w:hAnsi="Arial Narrow"/>
          <w:sz w:val="18"/>
        </w:rPr>
        <w:t xml:space="preserve">* Based on the mean dose of T-VEC from the stage </w:t>
      </w:r>
      <w:proofErr w:type="spellStart"/>
      <w:r w:rsidRPr="00BE77DA">
        <w:rPr>
          <w:rFonts w:ascii="Arial Narrow" w:hAnsi="Arial Narrow"/>
          <w:sz w:val="18"/>
        </w:rPr>
        <w:t>IIIb</w:t>
      </w:r>
      <w:proofErr w:type="spellEnd"/>
      <w:r w:rsidRPr="00BE77DA">
        <w:rPr>
          <w:rFonts w:ascii="Arial Narrow" w:hAnsi="Arial Narrow"/>
          <w:sz w:val="18"/>
        </w:rPr>
        <w:t xml:space="preserve">/c and stage IVM1a </w:t>
      </w:r>
      <w:r w:rsidR="00A30DF8" w:rsidRPr="00BE77DA">
        <w:rPr>
          <w:rFonts w:ascii="Arial Narrow" w:hAnsi="Arial Narrow"/>
          <w:sz w:val="18"/>
        </w:rPr>
        <w:t>subgroup</w:t>
      </w:r>
      <w:r w:rsidRPr="00BE77DA">
        <w:rPr>
          <w:rFonts w:ascii="Arial Narrow" w:hAnsi="Arial Narrow"/>
          <w:sz w:val="18"/>
        </w:rPr>
        <w:t xml:space="preserve">, excluding doses given as accelerated doses, excluding doses given during the extension phase of the trial, and there was an assumption that the proposed PBS continuation rules for PR, CR </w:t>
      </w:r>
      <w:r w:rsidR="00411A56" w:rsidRPr="00BE77DA">
        <w:rPr>
          <w:rFonts w:ascii="Arial Narrow" w:hAnsi="Arial Narrow"/>
          <w:sz w:val="18"/>
        </w:rPr>
        <w:t>or SD at 6 months would apply.</w:t>
      </w:r>
    </w:p>
    <w:p w:rsidR="002A7B56" w:rsidRPr="00BE77DA" w:rsidRDefault="002A7B56" w:rsidP="002A7B56">
      <w:pPr>
        <w:ind w:left="720"/>
        <w:rPr>
          <w:rFonts w:ascii="Arial Narrow" w:hAnsi="Arial Narrow"/>
          <w:sz w:val="18"/>
        </w:rPr>
      </w:pPr>
      <w:r w:rsidRPr="00BE77DA">
        <w:rPr>
          <w:rFonts w:ascii="Arial Narrow" w:hAnsi="Arial Narrow"/>
          <w:sz w:val="18"/>
        </w:rPr>
        <w:t>**While the dose relativity calculation does not include wastage, wastage is accounted for in the cost-minimisation analysis</w:t>
      </w:r>
      <w:r w:rsidR="00411A56" w:rsidRPr="00BE77DA">
        <w:rPr>
          <w:rFonts w:ascii="Arial Narrow" w:hAnsi="Arial Narrow"/>
          <w:sz w:val="18"/>
        </w:rPr>
        <w:t>.</w:t>
      </w:r>
    </w:p>
    <w:p w:rsidR="00DE668C" w:rsidRPr="00BE77DA" w:rsidRDefault="00E50489" w:rsidP="00DE668C">
      <w:pPr>
        <w:ind w:firstLine="720"/>
        <w:rPr>
          <w:rFonts w:ascii="Arial Narrow" w:hAnsi="Arial Narrow"/>
          <w:sz w:val="18"/>
        </w:rPr>
      </w:pPr>
      <w:r w:rsidRPr="00BE77DA">
        <w:rPr>
          <w:rFonts w:ascii="Arial Narrow" w:hAnsi="Arial Narrow"/>
          <w:sz w:val="18"/>
          <w:szCs w:val="18"/>
        </w:rPr>
        <w:t xml:space="preserve">PFU=plaque forming units; </w:t>
      </w:r>
      <w:r w:rsidR="00DE668C" w:rsidRPr="00BE77DA">
        <w:rPr>
          <w:rFonts w:ascii="Arial Narrow" w:hAnsi="Arial Narrow"/>
          <w:sz w:val="18"/>
        </w:rPr>
        <w:t>T-VEC=</w:t>
      </w:r>
      <w:proofErr w:type="spellStart"/>
      <w:r w:rsidR="00DE668C" w:rsidRPr="00BE77DA">
        <w:rPr>
          <w:rFonts w:ascii="Arial Narrow" w:hAnsi="Arial Narrow"/>
          <w:sz w:val="18"/>
        </w:rPr>
        <w:t>talimogene</w:t>
      </w:r>
      <w:proofErr w:type="spellEnd"/>
      <w:r w:rsidR="00DE668C" w:rsidRPr="00BE77DA">
        <w:rPr>
          <w:rFonts w:ascii="Arial Narrow" w:hAnsi="Arial Narrow"/>
          <w:sz w:val="18"/>
        </w:rPr>
        <w:t xml:space="preserve"> </w:t>
      </w:r>
      <w:proofErr w:type="spellStart"/>
      <w:r w:rsidR="00DE668C" w:rsidRPr="00BE77DA">
        <w:rPr>
          <w:rFonts w:ascii="Arial Narrow" w:hAnsi="Arial Narrow"/>
          <w:sz w:val="18"/>
        </w:rPr>
        <w:t>laherparepvec</w:t>
      </w:r>
      <w:proofErr w:type="spellEnd"/>
    </w:p>
    <w:p w:rsidR="00DE668C" w:rsidRPr="00BE77DA" w:rsidRDefault="00DE668C" w:rsidP="00DE668C">
      <w:pPr>
        <w:ind w:firstLine="720"/>
        <w:rPr>
          <w:highlight w:val="yellow"/>
        </w:rPr>
      </w:pPr>
      <w:r w:rsidRPr="00BE77DA">
        <w:rPr>
          <w:rFonts w:ascii="Arial Narrow" w:hAnsi="Arial Narrow"/>
          <w:sz w:val="18"/>
        </w:rPr>
        <w:t>Source: compiled during the evaluation</w:t>
      </w:r>
    </w:p>
    <w:p w:rsidR="00DE668C" w:rsidRPr="00BE77DA" w:rsidRDefault="00DE668C" w:rsidP="00411A56"/>
    <w:p w:rsidR="00DB0156" w:rsidRPr="005E6BB6" w:rsidRDefault="005854A6" w:rsidP="00ED000E">
      <w:pPr>
        <w:pStyle w:val="ListParagraph"/>
        <w:widowControl/>
        <w:numPr>
          <w:ilvl w:val="1"/>
          <w:numId w:val="1"/>
        </w:numPr>
      </w:pPr>
      <w:r w:rsidRPr="005E6BB6">
        <w:t>The</w:t>
      </w:r>
      <w:r w:rsidR="002A7B56" w:rsidRPr="005E6BB6">
        <w:t xml:space="preserve"> dose relativity was calculated</w:t>
      </w:r>
      <w:r w:rsidRPr="005E6BB6">
        <w:t xml:space="preserve"> based on </w:t>
      </w:r>
      <w:r w:rsidR="00B93501" w:rsidRPr="005E6BB6">
        <w:t>mean total drug use over a patient lifetime for T-</w:t>
      </w:r>
      <w:r w:rsidR="00A56DE2" w:rsidRPr="005E6BB6">
        <w:t>VEC and</w:t>
      </w:r>
      <w:r w:rsidR="00B93501" w:rsidRPr="005E6BB6">
        <w:t xml:space="preserve"> ipilimumab based on the doses and cycles and patient weight for T-VEC in </w:t>
      </w:r>
      <w:proofErr w:type="spellStart"/>
      <w:r w:rsidR="00B93501" w:rsidRPr="005E6BB6">
        <w:t>OPTiM</w:t>
      </w:r>
      <w:proofErr w:type="spellEnd"/>
      <w:r w:rsidR="00B93501" w:rsidRPr="005E6BB6">
        <w:t xml:space="preserve"> and </w:t>
      </w:r>
      <w:proofErr w:type="spellStart"/>
      <w:r w:rsidR="00B93501" w:rsidRPr="005E6BB6">
        <w:t>ipilimumab</w:t>
      </w:r>
      <w:proofErr w:type="spellEnd"/>
      <w:r w:rsidR="00B93501" w:rsidRPr="005E6BB6">
        <w:t xml:space="preserve"> in MDX010-20.</w:t>
      </w:r>
    </w:p>
    <w:p w:rsidR="00DB0156" w:rsidRPr="005E6BB6" w:rsidRDefault="00DB0156" w:rsidP="00DB0156">
      <w:pPr>
        <w:widowControl/>
      </w:pPr>
    </w:p>
    <w:p w:rsidR="00A86E8B" w:rsidRPr="005E6BB6" w:rsidRDefault="00F730C7" w:rsidP="00ED000E">
      <w:pPr>
        <w:pStyle w:val="ListParagraph"/>
        <w:widowControl/>
        <w:numPr>
          <w:ilvl w:val="1"/>
          <w:numId w:val="1"/>
        </w:numPr>
        <w:rPr>
          <w:szCs w:val="22"/>
        </w:rPr>
      </w:pPr>
      <w:r w:rsidRPr="005E6BB6">
        <w:t xml:space="preserve">Given the truncated follow-up of the </w:t>
      </w:r>
      <w:proofErr w:type="spellStart"/>
      <w:r w:rsidRPr="005E6BB6">
        <w:t>OPTiM</w:t>
      </w:r>
      <w:proofErr w:type="spellEnd"/>
      <w:r w:rsidRPr="005E6BB6">
        <w:t xml:space="preserve"> </w:t>
      </w:r>
      <w:r w:rsidR="007178AB" w:rsidRPr="005E6BB6">
        <w:t xml:space="preserve">trial, </w:t>
      </w:r>
      <w:r w:rsidRPr="005E6BB6">
        <w:t xml:space="preserve">the </w:t>
      </w:r>
      <w:r w:rsidR="00641804" w:rsidRPr="005E6BB6">
        <w:t xml:space="preserve">duration of therapy with T-VEC may be greater than that reported in </w:t>
      </w:r>
      <w:proofErr w:type="spellStart"/>
      <w:r w:rsidR="00641804" w:rsidRPr="005E6BB6">
        <w:t>OPTiM</w:t>
      </w:r>
      <w:proofErr w:type="spellEnd"/>
      <w:r w:rsidRPr="005E6BB6">
        <w:t xml:space="preserve"> (</w:t>
      </w:r>
      <w:r w:rsidR="006675C0" w:rsidRPr="005E6BB6">
        <w:t>i.e.</w:t>
      </w:r>
      <w:r w:rsidRPr="005E6BB6">
        <w:t xml:space="preserve"> without any extrapolation beyond the trial horizon)</w:t>
      </w:r>
      <w:r w:rsidR="00641804" w:rsidRPr="005E6BB6">
        <w:t xml:space="preserve">, increasing the mean number of mg of T-VEC used per patient lifetime.  </w:t>
      </w:r>
      <w:r w:rsidRPr="005E6BB6">
        <w:t>In contrast, u</w:t>
      </w:r>
      <w:r w:rsidR="007178AB" w:rsidRPr="005E6BB6">
        <w:t>se</w:t>
      </w:r>
      <w:r w:rsidR="001E1930" w:rsidRPr="005E6BB6">
        <w:t xml:space="preserve"> of</w:t>
      </w:r>
      <w:r w:rsidR="00641804" w:rsidRPr="005E6BB6">
        <w:t xml:space="preserve"> ipilimumab</w:t>
      </w:r>
      <w:r w:rsidR="001E1930" w:rsidRPr="005E6BB6">
        <w:t xml:space="preserve"> </w:t>
      </w:r>
      <w:r w:rsidR="007178AB" w:rsidRPr="005E6BB6">
        <w:t xml:space="preserve">in clinical practice is </w:t>
      </w:r>
      <w:r w:rsidR="001E1930" w:rsidRPr="005E6BB6">
        <w:t>lower</w:t>
      </w:r>
      <w:r w:rsidR="00736644" w:rsidRPr="005E6BB6">
        <w:t xml:space="preserve"> </w:t>
      </w:r>
      <w:r w:rsidR="00641804" w:rsidRPr="005E6BB6">
        <w:t>than that reported in MDX010-20.</w:t>
      </w:r>
      <w:r w:rsidR="0049494F" w:rsidRPr="005E6BB6">
        <w:t xml:space="preserve">  </w:t>
      </w:r>
      <w:r w:rsidR="00A74613" w:rsidRPr="005E6BB6">
        <w:t xml:space="preserve">An alternate calculation of the </w:t>
      </w:r>
      <w:r w:rsidR="00411A56" w:rsidRPr="005E6BB6">
        <w:t>“</w:t>
      </w:r>
      <w:proofErr w:type="spellStart"/>
      <w:r w:rsidR="00A74613" w:rsidRPr="005E6BB6">
        <w:t>equi</w:t>
      </w:r>
      <w:proofErr w:type="spellEnd"/>
      <w:r w:rsidR="00A74613" w:rsidRPr="005E6BB6">
        <w:t>-effective</w:t>
      </w:r>
      <w:r w:rsidR="00411A56" w:rsidRPr="005E6BB6">
        <w:t>”</w:t>
      </w:r>
      <w:r w:rsidR="00A74613" w:rsidRPr="005E6BB6">
        <w:t xml:space="preserve"> doses conducted during the evaluation</w:t>
      </w:r>
      <w:r w:rsidR="00411A56" w:rsidRPr="005E6BB6">
        <w:t>,</w:t>
      </w:r>
      <w:r w:rsidR="00A74613" w:rsidRPr="005E6BB6">
        <w:t xml:space="preserve"> </w:t>
      </w:r>
      <w:r w:rsidR="000E719A" w:rsidRPr="005E6BB6">
        <w:t xml:space="preserve">using the actual unadjusted mean trial based usage of T-VEC of </w:t>
      </w:r>
      <w:r w:rsidR="006A72B9">
        <w:rPr>
          <w:noProof/>
          <w:color w:val="000000"/>
          <w:highlight w:val="black"/>
        </w:rPr>
        <w:t>''''''''''</w:t>
      </w:r>
      <w:r w:rsidR="000E719A" w:rsidRPr="005E6BB6">
        <w:t xml:space="preserve"> injections and the mean number of cycles of ipilimumab derived from the submission’s 10% PBS</w:t>
      </w:r>
      <w:r w:rsidR="002A7B56" w:rsidRPr="005E6BB6">
        <w:t xml:space="preserve"> sample of 3.18</w:t>
      </w:r>
      <w:r w:rsidR="00411A56" w:rsidRPr="005E6BB6">
        <w:t xml:space="preserve"> (and also noting that there are no outcomes data associated with PBS data at all)</w:t>
      </w:r>
      <w:r w:rsidR="000E719A" w:rsidRPr="005E6BB6">
        <w:t xml:space="preserve">, resulted in a dose relativity of </w:t>
      </w:r>
      <w:r w:rsidR="006A72B9">
        <w:rPr>
          <w:noProof/>
          <w:color w:val="000000"/>
          <w:highlight w:val="black"/>
        </w:rPr>
        <w:t>''''''''''''''</w:t>
      </w:r>
      <w:r w:rsidR="00411A56" w:rsidRPr="005E6BB6">
        <w:t> </w:t>
      </w:r>
      <w:r w:rsidR="006C47CF" w:rsidRPr="005E6BB6">
        <w:t>mL of T-VEC = 820</w:t>
      </w:r>
      <w:r w:rsidR="00411A56" w:rsidRPr="005E6BB6">
        <w:t> </w:t>
      </w:r>
      <w:r w:rsidR="006C47CF" w:rsidRPr="005E6BB6">
        <w:t>mg of ipilimumab (164</w:t>
      </w:r>
      <w:r w:rsidR="00411A56" w:rsidRPr="005E6BB6">
        <w:t> </w:t>
      </w:r>
      <w:r w:rsidR="006C47CF" w:rsidRPr="005E6BB6">
        <w:t xml:space="preserve">mL): </w:t>
      </w:r>
      <w:r w:rsidR="000E719A" w:rsidRPr="005E6BB6">
        <w:t xml:space="preserve">T-VEC </w:t>
      </w:r>
      <w:r w:rsidR="006A72B9">
        <w:rPr>
          <w:noProof/>
          <w:color w:val="000000"/>
          <w:highlight w:val="black"/>
        </w:rPr>
        <w:t>'''</w:t>
      </w:r>
      <w:r w:rsidR="00411A56" w:rsidRPr="005E6BB6">
        <w:t> </w:t>
      </w:r>
      <w:r w:rsidR="000E719A" w:rsidRPr="005E6BB6">
        <w:t xml:space="preserve">mL = </w:t>
      </w:r>
      <w:proofErr w:type="spellStart"/>
      <w:r w:rsidR="000E719A" w:rsidRPr="005E6BB6">
        <w:t>ipilimumab</w:t>
      </w:r>
      <w:proofErr w:type="spellEnd"/>
      <w:r w:rsidR="000E719A" w:rsidRPr="005E6BB6">
        <w:t xml:space="preserve"> </w:t>
      </w:r>
      <w:r w:rsidR="006A72B9">
        <w:rPr>
          <w:noProof/>
          <w:color w:val="000000"/>
          <w:highlight w:val="black"/>
        </w:rPr>
        <w:t>''''''''''''</w:t>
      </w:r>
      <w:r w:rsidR="00411A56" w:rsidRPr="005E6BB6">
        <w:t> </w:t>
      </w:r>
      <w:proofErr w:type="spellStart"/>
      <w:r w:rsidR="000E719A" w:rsidRPr="005E6BB6">
        <w:t>mL.</w:t>
      </w:r>
      <w:proofErr w:type="spellEnd"/>
    </w:p>
    <w:p w:rsidR="00A67FA8" w:rsidRPr="005E6BB6" w:rsidRDefault="00A67FA8" w:rsidP="00A67FA8">
      <w:pPr>
        <w:rPr>
          <w:szCs w:val="22"/>
        </w:rPr>
      </w:pPr>
    </w:p>
    <w:p w:rsidR="00056AF8" w:rsidRPr="005E6BB6" w:rsidRDefault="000715D9" w:rsidP="00ED000E">
      <w:pPr>
        <w:pStyle w:val="ListParagraph"/>
        <w:widowControl/>
        <w:numPr>
          <w:ilvl w:val="1"/>
          <w:numId w:val="1"/>
        </w:numPr>
        <w:rPr>
          <w:szCs w:val="22"/>
        </w:rPr>
      </w:pPr>
      <w:r w:rsidRPr="005E6BB6">
        <w:rPr>
          <w:szCs w:val="22"/>
        </w:rPr>
        <w:t xml:space="preserve">The cost-minimisation analysis presented by the submission is shown in Table </w:t>
      </w:r>
      <w:r w:rsidR="006942C1" w:rsidRPr="005E6BB6">
        <w:rPr>
          <w:szCs w:val="22"/>
        </w:rPr>
        <w:t>5</w:t>
      </w:r>
      <w:r w:rsidRPr="005E6BB6">
        <w:rPr>
          <w:szCs w:val="22"/>
        </w:rPr>
        <w:t xml:space="preserve">.  </w:t>
      </w:r>
      <w:r w:rsidR="00056AF8" w:rsidRPr="005E6BB6">
        <w:rPr>
          <w:szCs w:val="22"/>
        </w:rPr>
        <w:t xml:space="preserve">While the calculation of </w:t>
      </w:r>
      <w:proofErr w:type="spellStart"/>
      <w:r w:rsidR="00056AF8" w:rsidRPr="005E6BB6">
        <w:rPr>
          <w:szCs w:val="22"/>
        </w:rPr>
        <w:t>equi</w:t>
      </w:r>
      <w:proofErr w:type="spellEnd"/>
      <w:r w:rsidR="00056AF8" w:rsidRPr="005E6BB6">
        <w:rPr>
          <w:szCs w:val="22"/>
        </w:rPr>
        <w:t>-effective doses did not account for wastage, the cost-minimisation analysis included wastage costs for T-VEC, by applying the T-VEC vial price to the mean number of whole vials per injection day rather than to the number of whole vials required to deliver the mean dose.  This was appropriate.</w:t>
      </w:r>
    </w:p>
    <w:p w:rsidR="00235A5A" w:rsidRPr="005E6BB6" w:rsidRDefault="00235A5A" w:rsidP="00235A5A">
      <w:pPr>
        <w:rPr>
          <w:szCs w:val="22"/>
        </w:rPr>
      </w:pPr>
    </w:p>
    <w:p w:rsidR="00235A5A" w:rsidRDefault="00235A5A" w:rsidP="00ED000E">
      <w:pPr>
        <w:pStyle w:val="ListParagraph"/>
        <w:numPr>
          <w:ilvl w:val="1"/>
          <w:numId w:val="1"/>
        </w:numPr>
        <w:rPr>
          <w:szCs w:val="22"/>
        </w:rPr>
      </w:pPr>
      <w:r w:rsidRPr="005E6BB6">
        <w:rPr>
          <w:szCs w:val="22"/>
        </w:rPr>
        <w:t>The submission did not include any difference in the cost of adverse events for T</w:t>
      </w:r>
      <w:r w:rsidR="00D07F7B">
        <w:rPr>
          <w:szCs w:val="22"/>
        </w:rPr>
        <w:t>-</w:t>
      </w:r>
      <w:r w:rsidRPr="005E6BB6">
        <w:rPr>
          <w:szCs w:val="22"/>
        </w:rPr>
        <w:t>VEC or for the comparators in the cost-minimisation analysis.  As the submission did not provide any statistical evidence that adverse events were the same or whether they differed between the therapies, it is not possible to determine</w:t>
      </w:r>
      <w:r w:rsidRPr="00BE77DA">
        <w:rPr>
          <w:szCs w:val="22"/>
        </w:rPr>
        <w:t xml:space="preserve"> whether cost differences due to adverse events should have been included.</w:t>
      </w:r>
    </w:p>
    <w:p w:rsidR="00A66471" w:rsidRPr="00A66471" w:rsidRDefault="00A66471" w:rsidP="00A66471">
      <w:pPr>
        <w:rPr>
          <w:szCs w:val="22"/>
        </w:rPr>
      </w:pPr>
    </w:p>
    <w:p w:rsidR="007217C1" w:rsidRPr="00051969" w:rsidRDefault="007217C1" w:rsidP="00051969">
      <w:pPr>
        <w:pStyle w:val="TableHeader"/>
        <w:keepNext/>
        <w:keepLines/>
        <w:ind w:left="720"/>
        <w:rPr>
          <w:rFonts w:ascii="Arial Narrow" w:hAnsi="Arial Narrow" w:cs="Times New Roman"/>
          <w:bCs/>
        </w:rPr>
      </w:pPr>
      <w:r w:rsidRPr="00051969">
        <w:rPr>
          <w:rFonts w:ascii="Arial Narrow" w:hAnsi="Arial Narrow" w:cs="Times New Roman"/>
          <w:bCs/>
        </w:rPr>
        <w:t xml:space="preserve">Table </w:t>
      </w:r>
      <w:r w:rsidR="00D07F7B" w:rsidRPr="00051969">
        <w:rPr>
          <w:rFonts w:ascii="Arial Narrow" w:hAnsi="Arial Narrow" w:cs="Times New Roman"/>
          <w:bCs/>
        </w:rPr>
        <w:t>5</w:t>
      </w:r>
      <w:r w:rsidRPr="00051969">
        <w:rPr>
          <w:rFonts w:ascii="Arial Narrow" w:hAnsi="Arial Narrow" w:cs="Times New Roman"/>
          <w:bCs/>
        </w:rPr>
        <w:t>: Cost-minimisation analysis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39"/>
        <w:gridCol w:w="2977"/>
        <w:gridCol w:w="1843"/>
        <w:gridCol w:w="1254"/>
      </w:tblGrid>
      <w:tr w:rsidR="002F3156" w:rsidRPr="00BE77DA" w:rsidTr="00411A56">
        <w:tc>
          <w:tcPr>
            <w:tcW w:w="2239" w:type="dxa"/>
            <w:shd w:val="clear" w:color="auto" w:fill="FFFFFF"/>
            <w:vAlign w:val="center"/>
          </w:tcPr>
          <w:p w:rsidR="002F3156" w:rsidRPr="00BE77DA" w:rsidRDefault="002F3156" w:rsidP="002F3156">
            <w:pPr>
              <w:rPr>
                <w:rFonts w:ascii="Arial Narrow" w:hAnsi="Arial Narrow"/>
                <w:sz w:val="20"/>
              </w:rPr>
            </w:pPr>
          </w:p>
        </w:tc>
        <w:tc>
          <w:tcPr>
            <w:tcW w:w="2977" w:type="dxa"/>
            <w:shd w:val="clear" w:color="auto" w:fill="FFFFFF"/>
            <w:vAlign w:val="center"/>
          </w:tcPr>
          <w:p w:rsidR="002F3156" w:rsidRPr="00BE77DA" w:rsidRDefault="002F3156" w:rsidP="002F3156">
            <w:pPr>
              <w:jc w:val="center"/>
              <w:rPr>
                <w:rFonts w:ascii="Arial Narrow" w:hAnsi="Arial Narrow"/>
                <w:b/>
                <w:sz w:val="20"/>
              </w:rPr>
            </w:pPr>
            <w:r w:rsidRPr="00BE77DA">
              <w:rPr>
                <w:rFonts w:ascii="Arial Narrow" w:hAnsi="Arial Narrow"/>
                <w:b/>
                <w:sz w:val="20"/>
              </w:rPr>
              <w:t>T-VEC</w:t>
            </w:r>
            <w:r w:rsidR="00F06124" w:rsidRPr="00BE77DA">
              <w:rPr>
                <w:rFonts w:ascii="Arial Narrow" w:hAnsi="Arial Narrow"/>
                <w:b/>
                <w:sz w:val="20"/>
              </w:rPr>
              <w:t>**</w:t>
            </w:r>
          </w:p>
        </w:tc>
        <w:tc>
          <w:tcPr>
            <w:tcW w:w="1843" w:type="dxa"/>
            <w:shd w:val="clear" w:color="auto" w:fill="FFFFFF"/>
            <w:vAlign w:val="center"/>
          </w:tcPr>
          <w:p w:rsidR="002F3156" w:rsidRPr="00BE77DA" w:rsidRDefault="002F3156" w:rsidP="002F3156">
            <w:pPr>
              <w:jc w:val="center"/>
              <w:rPr>
                <w:rFonts w:ascii="Arial Narrow" w:hAnsi="Arial Narrow"/>
                <w:b/>
                <w:sz w:val="20"/>
              </w:rPr>
            </w:pPr>
            <w:r w:rsidRPr="00BE77DA">
              <w:rPr>
                <w:rFonts w:ascii="Arial Narrow" w:hAnsi="Arial Narrow"/>
                <w:b/>
                <w:sz w:val="20"/>
              </w:rPr>
              <w:t>Ipilimumab</w:t>
            </w:r>
            <w:r w:rsidR="00F06124" w:rsidRPr="00BE77DA">
              <w:rPr>
                <w:rFonts w:ascii="Arial Narrow" w:hAnsi="Arial Narrow"/>
                <w:b/>
                <w:sz w:val="20"/>
              </w:rPr>
              <w:t>*</w:t>
            </w:r>
          </w:p>
        </w:tc>
        <w:tc>
          <w:tcPr>
            <w:tcW w:w="1254" w:type="dxa"/>
            <w:shd w:val="clear" w:color="auto" w:fill="FFFFFF"/>
            <w:vAlign w:val="center"/>
          </w:tcPr>
          <w:p w:rsidR="002F3156" w:rsidRPr="00BE77DA" w:rsidRDefault="002F3156" w:rsidP="002F3156">
            <w:pPr>
              <w:jc w:val="center"/>
              <w:rPr>
                <w:rFonts w:ascii="Arial Narrow" w:hAnsi="Arial Narrow"/>
                <w:b/>
                <w:sz w:val="20"/>
              </w:rPr>
            </w:pPr>
            <w:r w:rsidRPr="00BE77DA">
              <w:rPr>
                <w:rFonts w:ascii="Arial Narrow" w:hAnsi="Arial Narrow"/>
                <w:b/>
                <w:sz w:val="20"/>
              </w:rPr>
              <w:t>Difference</w:t>
            </w:r>
          </w:p>
        </w:tc>
      </w:tr>
      <w:tr w:rsidR="002F3156" w:rsidRPr="00BE77DA" w:rsidTr="00203F6C">
        <w:trPr>
          <w:trHeight w:val="381"/>
        </w:trPr>
        <w:tc>
          <w:tcPr>
            <w:tcW w:w="2239" w:type="dxa"/>
            <w:shd w:val="clear" w:color="auto" w:fill="FFFFFF"/>
            <w:vAlign w:val="center"/>
          </w:tcPr>
          <w:p w:rsidR="002F3156" w:rsidRPr="00BE77DA" w:rsidRDefault="002F3156" w:rsidP="002F3156">
            <w:pPr>
              <w:rPr>
                <w:rFonts w:ascii="Arial Narrow" w:hAnsi="Arial Narrow"/>
                <w:sz w:val="20"/>
              </w:rPr>
            </w:pPr>
            <w:r w:rsidRPr="00BE77DA">
              <w:rPr>
                <w:rFonts w:ascii="Arial Narrow" w:hAnsi="Arial Narrow"/>
                <w:sz w:val="20"/>
              </w:rPr>
              <w:t>Mean total vials</w:t>
            </w:r>
          </w:p>
        </w:tc>
        <w:tc>
          <w:tcPr>
            <w:tcW w:w="2977" w:type="dxa"/>
            <w:shd w:val="clear" w:color="auto" w:fill="FFFFFF"/>
            <w:vAlign w:val="center"/>
          </w:tcPr>
          <w:p w:rsidR="002F3156" w:rsidRPr="00BE77DA" w:rsidRDefault="006A72B9" w:rsidP="002F3156">
            <w:pPr>
              <w:jc w:val="center"/>
              <w:rPr>
                <w:rFonts w:ascii="Arial Narrow" w:hAnsi="Arial Narrow"/>
                <w:sz w:val="20"/>
              </w:rPr>
            </w:pPr>
            <w:r>
              <w:rPr>
                <w:rFonts w:ascii="Arial Narrow" w:hAnsi="Arial Narrow"/>
                <w:noProof/>
                <w:color w:val="000000"/>
                <w:sz w:val="20"/>
                <w:highlight w:val="black"/>
              </w:rPr>
              <w:t>''''''''''</w:t>
            </w:r>
            <w:r w:rsidR="002F3156" w:rsidRPr="00BE77DA">
              <w:rPr>
                <w:rFonts w:ascii="Arial Narrow" w:hAnsi="Arial Narrow"/>
                <w:sz w:val="20"/>
              </w:rPr>
              <w:t xml:space="preserve"> × 1</w:t>
            </w:r>
            <w:r w:rsidR="00411A56" w:rsidRPr="00BE77DA">
              <w:rPr>
                <w:rFonts w:ascii="Arial Narrow" w:hAnsi="Arial Narrow"/>
                <w:sz w:val="20"/>
              </w:rPr>
              <w:t> million </w:t>
            </w:r>
            <w:r w:rsidR="002F3156" w:rsidRPr="00BE77DA">
              <w:rPr>
                <w:rFonts w:ascii="Arial Narrow" w:hAnsi="Arial Narrow"/>
                <w:sz w:val="20"/>
              </w:rPr>
              <w:t>PFU/mL, 1</w:t>
            </w:r>
            <w:r w:rsidR="00411A56" w:rsidRPr="00BE77DA">
              <w:rPr>
                <w:rFonts w:ascii="Arial Narrow" w:hAnsi="Arial Narrow"/>
                <w:sz w:val="20"/>
              </w:rPr>
              <w:t> </w:t>
            </w:r>
            <w:r w:rsidR="002F3156" w:rsidRPr="00BE77DA">
              <w:rPr>
                <w:rFonts w:ascii="Arial Narrow" w:hAnsi="Arial Narrow"/>
                <w:sz w:val="20"/>
              </w:rPr>
              <w:t>mL</w:t>
            </w:r>
          </w:p>
          <w:p w:rsidR="002F3156" w:rsidRPr="00BE77DA" w:rsidRDefault="002F3156" w:rsidP="00411A56">
            <w:pPr>
              <w:jc w:val="center"/>
              <w:rPr>
                <w:rFonts w:ascii="Arial Narrow" w:hAnsi="Arial Narrow"/>
                <w:sz w:val="20"/>
              </w:rPr>
            </w:pPr>
            <w:r w:rsidRPr="00BE77DA">
              <w:rPr>
                <w:rFonts w:ascii="Arial Narrow" w:hAnsi="Arial Narrow"/>
                <w:sz w:val="20"/>
              </w:rPr>
              <w:t>33.61 x 10</w:t>
            </w:r>
            <w:r w:rsidR="00411A56" w:rsidRPr="00BE77DA">
              <w:rPr>
                <w:rFonts w:ascii="Arial Narrow" w:hAnsi="Arial Narrow"/>
                <w:sz w:val="20"/>
              </w:rPr>
              <w:t>0 million </w:t>
            </w:r>
            <w:r w:rsidRPr="00BE77DA">
              <w:rPr>
                <w:rFonts w:ascii="Arial Narrow" w:hAnsi="Arial Narrow"/>
                <w:sz w:val="20"/>
              </w:rPr>
              <w:t>PFU/mL, 1</w:t>
            </w:r>
            <w:r w:rsidR="00411A56" w:rsidRPr="00BE77DA">
              <w:rPr>
                <w:rFonts w:ascii="Arial Narrow" w:hAnsi="Arial Narrow"/>
                <w:sz w:val="20"/>
              </w:rPr>
              <w:t> </w:t>
            </w:r>
            <w:r w:rsidRPr="00BE77DA">
              <w:rPr>
                <w:rFonts w:ascii="Arial Narrow" w:hAnsi="Arial Narrow"/>
                <w:sz w:val="20"/>
              </w:rPr>
              <w:t>mL</w:t>
            </w:r>
          </w:p>
        </w:tc>
        <w:tc>
          <w:tcPr>
            <w:tcW w:w="1843" w:type="dxa"/>
            <w:shd w:val="clear" w:color="auto" w:fill="FFFFFF"/>
            <w:vAlign w:val="center"/>
          </w:tcPr>
          <w:p w:rsidR="002F3156" w:rsidRPr="00BE77DA" w:rsidRDefault="002F3156" w:rsidP="002F3156">
            <w:pPr>
              <w:jc w:val="center"/>
              <w:rPr>
                <w:rFonts w:ascii="Arial Narrow" w:hAnsi="Arial Narrow"/>
                <w:sz w:val="20"/>
              </w:rPr>
            </w:pPr>
            <w:r w:rsidRPr="00BE77DA">
              <w:rPr>
                <w:rFonts w:ascii="Arial Narrow" w:hAnsi="Arial Narrow"/>
                <w:sz w:val="20"/>
              </w:rPr>
              <w:t>3.77 × 40</w:t>
            </w:r>
            <w:r w:rsidR="00411A56" w:rsidRPr="00BE77DA">
              <w:rPr>
                <w:rFonts w:ascii="Arial Narrow" w:hAnsi="Arial Narrow"/>
                <w:sz w:val="20"/>
              </w:rPr>
              <w:t> </w:t>
            </w:r>
            <w:r w:rsidRPr="00BE77DA">
              <w:rPr>
                <w:rFonts w:ascii="Arial Narrow" w:hAnsi="Arial Narrow"/>
                <w:sz w:val="20"/>
              </w:rPr>
              <w:t>mL</w:t>
            </w:r>
          </w:p>
          <w:p w:rsidR="002F3156" w:rsidRPr="00BE77DA" w:rsidRDefault="002F3156" w:rsidP="002F3156">
            <w:pPr>
              <w:jc w:val="center"/>
              <w:rPr>
                <w:rFonts w:ascii="Arial Narrow" w:hAnsi="Arial Narrow"/>
                <w:sz w:val="20"/>
              </w:rPr>
            </w:pPr>
            <w:r w:rsidRPr="00BE77DA">
              <w:rPr>
                <w:rFonts w:ascii="Arial Narrow" w:hAnsi="Arial Narrow"/>
                <w:sz w:val="20"/>
              </w:rPr>
              <w:t>5.04 × 10</w:t>
            </w:r>
            <w:r w:rsidR="00411A56" w:rsidRPr="00BE77DA">
              <w:rPr>
                <w:rFonts w:ascii="Arial Narrow" w:hAnsi="Arial Narrow"/>
                <w:sz w:val="20"/>
              </w:rPr>
              <w:t> </w:t>
            </w:r>
            <w:r w:rsidRPr="00BE77DA">
              <w:rPr>
                <w:rFonts w:ascii="Arial Narrow" w:hAnsi="Arial Narrow"/>
                <w:sz w:val="20"/>
              </w:rPr>
              <w:t>mL</w:t>
            </w:r>
          </w:p>
        </w:tc>
        <w:tc>
          <w:tcPr>
            <w:tcW w:w="1254" w:type="dxa"/>
            <w:shd w:val="clear" w:color="auto" w:fill="FFFFFF"/>
            <w:vAlign w:val="center"/>
          </w:tcPr>
          <w:p w:rsidR="002F3156" w:rsidRPr="00BE77DA" w:rsidRDefault="002F3156" w:rsidP="002F3156">
            <w:pPr>
              <w:jc w:val="center"/>
              <w:rPr>
                <w:rFonts w:ascii="Arial Narrow" w:hAnsi="Arial Narrow"/>
                <w:sz w:val="20"/>
              </w:rPr>
            </w:pPr>
            <w:r w:rsidRPr="00BE77DA">
              <w:rPr>
                <w:rFonts w:ascii="Arial Narrow" w:hAnsi="Arial Narrow"/>
                <w:sz w:val="20"/>
              </w:rPr>
              <w:t>-</w:t>
            </w:r>
          </w:p>
        </w:tc>
      </w:tr>
      <w:tr w:rsidR="00F06124" w:rsidRPr="00BE77DA" w:rsidTr="00411A56">
        <w:tc>
          <w:tcPr>
            <w:tcW w:w="2239" w:type="dxa"/>
            <w:shd w:val="clear" w:color="auto" w:fill="FFFFFF"/>
            <w:vAlign w:val="center"/>
          </w:tcPr>
          <w:p w:rsidR="00F06124" w:rsidRPr="00BE77DA" w:rsidRDefault="0084777B" w:rsidP="0084777B">
            <w:pPr>
              <w:rPr>
                <w:rFonts w:ascii="Arial Narrow" w:hAnsi="Arial Narrow"/>
                <w:sz w:val="20"/>
              </w:rPr>
            </w:pPr>
            <w:r w:rsidRPr="00BE77DA">
              <w:rPr>
                <w:rFonts w:ascii="Arial Narrow" w:hAnsi="Arial Narrow"/>
                <w:sz w:val="20"/>
              </w:rPr>
              <w:t>Mean d</w:t>
            </w:r>
            <w:r w:rsidR="00F06124" w:rsidRPr="00BE77DA">
              <w:rPr>
                <w:rFonts w:ascii="Arial Narrow" w:hAnsi="Arial Narrow"/>
                <w:sz w:val="20"/>
              </w:rPr>
              <w:t>rug cost***</w:t>
            </w:r>
          </w:p>
        </w:tc>
        <w:tc>
          <w:tcPr>
            <w:tcW w:w="2977" w:type="dxa"/>
            <w:shd w:val="clear" w:color="auto" w:fill="FFFFFF"/>
            <w:vAlign w:val="center"/>
          </w:tcPr>
          <w:p w:rsidR="00F06124" w:rsidRPr="00BE77DA" w:rsidRDefault="00F06124" w:rsidP="002F3156">
            <w:pPr>
              <w:jc w:val="center"/>
              <w:rPr>
                <w:rFonts w:ascii="Arial Narrow" w:hAnsi="Arial Narrow"/>
                <w:sz w:val="20"/>
              </w:rPr>
            </w:pPr>
            <w:r w:rsidRPr="00BE77DA">
              <w:rPr>
                <w:rFonts w:ascii="Arial Narrow" w:hAnsi="Arial Narrow"/>
                <w:sz w:val="20"/>
              </w:rPr>
              <w:t>$</w:t>
            </w:r>
            <w:r w:rsidRPr="007C7800">
              <w:rPr>
                <w:rFonts w:ascii="Arial Narrow" w:hAnsi="Arial Narrow"/>
                <w:sz w:val="20"/>
              </w:rPr>
              <w:t>119,886</w:t>
            </w:r>
          </w:p>
        </w:tc>
        <w:tc>
          <w:tcPr>
            <w:tcW w:w="1843" w:type="dxa"/>
            <w:shd w:val="clear" w:color="auto" w:fill="FFFFFF"/>
            <w:vAlign w:val="center"/>
          </w:tcPr>
          <w:p w:rsidR="00F06124" w:rsidRPr="00BE77DA" w:rsidRDefault="00F06124" w:rsidP="002F3156">
            <w:pPr>
              <w:jc w:val="center"/>
              <w:rPr>
                <w:rFonts w:ascii="Arial Narrow" w:hAnsi="Arial Narrow"/>
                <w:sz w:val="20"/>
              </w:rPr>
            </w:pPr>
            <w:r w:rsidRPr="00BE77DA">
              <w:rPr>
                <w:rFonts w:ascii="Arial Narrow" w:hAnsi="Arial Narrow"/>
                <w:sz w:val="20"/>
              </w:rPr>
              <w:t>$120,644</w:t>
            </w:r>
          </w:p>
        </w:tc>
        <w:tc>
          <w:tcPr>
            <w:tcW w:w="1254" w:type="dxa"/>
            <w:shd w:val="clear" w:color="auto" w:fill="FFFFFF"/>
            <w:vAlign w:val="center"/>
          </w:tcPr>
          <w:p w:rsidR="00F06124" w:rsidRPr="00BE77DA" w:rsidRDefault="00F06124" w:rsidP="002F3156">
            <w:pPr>
              <w:jc w:val="center"/>
              <w:rPr>
                <w:rFonts w:ascii="Arial Narrow" w:hAnsi="Arial Narrow"/>
                <w:sz w:val="20"/>
              </w:rPr>
            </w:pPr>
            <w:r w:rsidRPr="00BE77DA">
              <w:rPr>
                <w:rFonts w:ascii="Arial Narrow" w:hAnsi="Arial Narrow"/>
                <w:sz w:val="20"/>
              </w:rPr>
              <w:t>-$</w:t>
            </w:r>
            <w:r w:rsidRPr="007C7800">
              <w:rPr>
                <w:rFonts w:ascii="Arial Narrow" w:hAnsi="Arial Narrow"/>
                <w:sz w:val="20"/>
              </w:rPr>
              <w:t>759</w:t>
            </w:r>
          </w:p>
        </w:tc>
      </w:tr>
      <w:tr w:rsidR="002F3156" w:rsidRPr="00BE77DA" w:rsidTr="00411A56">
        <w:tc>
          <w:tcPr>
            <w:tcW w:w="2239" w:type="dxa"/>
            <w:shd w:val="clear" w:color="auto" w:fill="FFFFFF"/>
            <w:vAlign w:val="center"/>
          </w:tcPr>
          <w:p w:rsidR="002F3156" w:rsidRPr="00BE77DA" w:rsidRDefault="002F3156" w:rsidP="002F3156">
            <w:pPr>
              <w:rPr>
                <w:rFonts w:ascii="Arial Narrow" w:hAnsi="Arial Narrow"/>
                <w:sz w:val="20"/>
              </w:rPr>
            </w:pPr>
            <w:r w:rsidRPr="00BE77DA">
              <w:rPr>
                <w:rFonts w:ascii="Arial Narrow" w:hAnsi="Arial Narrow"/>
                <w:sz w:val="20"/>
              </w:rPr>
              <w:t>Total administration cost</w:t>
            </w:r>
          </w:p>
        </w:tc>
        <w:tc>
          <w:tcPr>
            <w:tcW w:w="2977" w:type="dxa"/>
            <w:shd w:val="clear" w:color="auto" w:fill="FFFFFF"/>
            <w:vAlign w:val="center"/>
          </w:tcPr>
          <w:p w:rsidR="002F3156" w:rsidRPr="00BE77DA" w:rsidRDefault="00F06124" w:rsidP="002F3156">
            <w:pPr>
              <w:jc w:val="center"/>
              <w:rPr>
                <w:rFonts w:ascii="Arial Narrow" w:hAnsi="Arial Narrow"/>
                <w:sz w:val="20"/>
              </w:rPr>
            </w:pPr>
            <w:r w:rsidRPr="00BE77DA">
              <w:rPr>
                <w:rFonts w:ascii="Arial Narrow" w:hAnsi="Arial Narrow"/>
                <w:sz w:val="20"/>
              </w:rPr>
              <w:t>$</w:t>
            </w:r>
            <w:r w:rsidRPr="007C7800">
              <w:rPr>
                <w:rFonts w:ascii="Arial Narrow" w:hAnsi="Arial Narrow"/>
                <w:sz w:val="20"/>
              </w:rPr>
              <w:t>1,238</w:t>
            </w:r>
          </w:p>
        </w:tc>
        <w:tc>
          <w:tcPr>
            <w:tcW w:w="1843" w:type="dxa"/>
            <w:shd w:val="clear" w:color="auto" w:fill="FFFFFF"/>
            <w:vAlign w:val="center"/>
          </w:tcPr>
          <w:p w:rsidR="002F3156" w:rsidRPr="00BE77DA" w:rsidRDefault="00F06124" w:rsidP="002F3156">
            <w:pPr>
              <w:jc w:val="center"/>
              <w:rPr>
                <w:rFonts w:ascii="Arial Narrow" w:hAnsi="Arial Narrow"/>
                <w:sz w:val="20"/>
              </w:rPr>
            </w:pPr>
            <w:r w:rsidRPr="00BE77DA">
              <w:rPr>
                <w:rFonts w:ascii="Arial Narrow" w:hAnsi="Arial Narrow"/>
                <w:sz w:val="20"/>
              </w:rPr>
              <w:t>$366</w:t>
            </w:r>
          </w:p>
        </w:tc>
        <w:tc>
          <w:tcPr>
            <w:tcW w:w="1254" w:type="dxa"/>
            <w:shd w:val="clear" w:color="auto" w:fill="FFFFFF"/>
            <w:vAlign w:val="center"/>
          </w:tcPr>
          <w:p w:rsidR="002F3156" w:rsidRPr="00BE77DA" w:rsidRDefault="002F3156" w:rsidP="002F3156">
            <w:pPr>
              <w:jc w:val="center"/>
              <w:rPr>
                <w:rFonts w:ascii="Arial Narrow" w:hAnsi="Arial Narrow"/>
                <w:sz w:val="20"/>
              </w:rPr>
            </w:pPr>
            <w:r w:rsidRPr="00BE77DA">
              <w:rPr>
                <w:rFonts w:ascii="Arial Narrow" w:hAnsi="Arial Narrow"/>
                <w:sz w:val="20"/>
              </w:rPr>
              <w:t>$</w:t>
            </w:r>
            <w:r w:rsidRPr="007C7800">
              <w:rPr>
                <w:rFonts w:ascii="Arial Narrow" w:hAnsi="Arial Narrow"/>
                <w:sz w:val="20"/>
              </w:rPr>
              <w:t>872</w:t>
            </w:r>
          </w:p>
        </w:tc>
      </w:tr>
      <w:tr w:rsidR="002F3156" w:rsidRPr="00BE77DA" w:rsidTr="00411A56">
        <w:tc>
          <w:tcPr>
            <w:tcW w:w="2239" w:type="dxa"/>
            <w:vAlign w:val="center"/>
          </w:tcPr>
          <w:p w:rsidR="002F3156" w:rsidRPr="00BE77DA" w:rsidRDefault="002F3156" w:rsidP="002F3156">
            <w:pPr>
              <w:rPr>
                <w:rFonts w:ascii="Arial Narrow" w:hAnsi="Arial Narrow"/>
                <w:sz w:val="20"/>
              </w:rPr>
            </w:pPr>
            <w:r w:rsidRPr="00BE77DA">
              <w:rPr>
                <w:rFonts w:ascii="Arial Narrow" w:hAnsi="Arial Narrow"/>
                <w:sz w:val="20"/>
              </w:rPr>
              <w:t>Total cost</w:t>
            </w:r>
          </w:p>
        </w:tc>
        <w:tc>
          <w:tcPr>
            <w:tcW w:w="2977" w:type="dxa"/>
            <w:shd w:val="clear" w:color="auto" w:fill="auto"/>
            <w:vAlign w:val="center"/>
          </w:tcPr>
          <w:p w:rsidR="002F3156" w:rsidRPr="00BE77DA" w:rsidRDefault="002F3156" w:rsidP="00B90316">
            <w:pPr>
              <w:jc w:val="center"/>
              <w:rPr>
                <w:rFonts w:ascii="Arial Narrow" w:hAnsi="Arial Narrow"/>
                <w:sz w:val="20"/>
              </w:rPr>
            </w:pPr>
            <w:r w:rsidRPr="00BE77DA">
              <w:rPr>
                <w:rFonts w:ascii="Arial Narrow" w:hAnsi="Arial Narrow"/>
                <w:sz w:val="20"/>
              </w:rPr>
              <w:t>$</w:t>
            </w:r>
            <w:r w:rsidRPr="007C7800">
              <w:rPr>
                <w:rFonts w:ascii="Arial Narrow" w:hAnsi="Arial Narrow"/>
                <w:sz w:val="20"/>
              </w:rPr>
              <w:t>12</w:t>
            </w:r>
            <w:r w:rsidR="00056AF8" w:rsidRPr="007C7800">
              <w:rPr>
                <w:rFonts w:ascii="Arial Narrow" w:hAnsi="Arial Narrow"/>
                <w:sz w:val="20"/>
              </w:rPr>
              <w:t>1</w:t>
            </w:r>
            <w:r w:rsidRPr="007C7800">
              <w:rPr>
                <w:rFonts w:ascii="Arial Narrow" w:hAnsi="Arial Narrow"/>
                <w:sz w:val="20"/>
              </w:rPr>
              <w:t>,</w:t>
            </w:r>
            <w:r w:rsidR="00B90316" w:rsidRPr="007C7800">
              <w:rPr>
                <w:rFonts w:ascii="Arial Narrow" w:hAnsi="Arial Narrow"/>
                <w:sz w:val="20"/>
              </w:rPr>
              <w:t>123</w:t>
            </w:r>
          </w:p>
        </w:tc>
        <w:tc>
          <w:tcPr>
            <w:tcW w:w="1843" w:type="dxa"/>
            <w:vAlign w:val="center"/>
          </w:tcPr>
          <w:p w:rsidR="002F3156" w:rsidRPr="00BE77DA" w:rsidRDefault="002F3156" w:rsidP="002F3156">
            <w:pPr>
              <w:jc w:val="center"/>
              <w:rPr>
                <w:rFonts w:ascii="Arial Narrow" w:hAnsi="Arial Narrow"/>
                <w:sz w:val="20"/>
              </w:rPr>
            </w:pPr>
            <w:r w:rsidRPr="00BE77DA">
              <w:rPr>
                <w:rFonts w:ascii="Arial Narrow" w:hAnsi="Arial Narrow"/>
                <w:sz w:val="20"/>
              </w:rPr>
              <w:t>$121,010</w:t>
            </w:r>
          </w:p>
        </w:tc>
        <w:tc>
          <w:tcPr>
            <w:tcW w:w="1254" w:type="dxa"/>
            <w:vAlign w:val="center"/>
          </w:tcPr>
          <w:p w:rsidR="002F3156" w:rsidRPr="00BE77DA" w:rsidRDefault="002F3156" w:rsidP="00B90316">
            <w:pPr>
              <w:jc w:val="center"/>
              <w:rPr>
                <w:rFonts w:ascii="Arial Narrow" w:hAnsi="Arial Narrow"/>
                <w:sz w:val="20"/>
              </w:rPr>
            </w:pPr>
            <w:r w:rsidRPr="00BE77DA">
              <w:rPr>
                <w:rFonts w:ascii="Arial Narrow" w:hAnsi="Arial Narrow"/>
                <w:sz w:val="20"/>
              </w:rPr>
              <w:t>$</w:t>
            </w:r>
            <w:r w:rsidR="00B90316" w:rsidRPr="007C7800">
              <w:rPr>
                <w:rFonts w:ascii="Arial Narrow" w:hAnsi="Arial Narrow"/>
                <w:sz w:val="20"/>
              </w:rPr>
              <w:t>113</w:t>
            </w:r>
          </w:p>
        </w:tc>
      </w:tr>
    </w:tbl>
    <w:p w:rsidR="002F3156" w:rsidRPr="00BE77DA" w:rsidRDefault="002F3156" w:rsidP="002F3156">
      <w:pPr>
        <w:ind w:firstLine="720"/>
        <w:rPr>
          <w:rFonts w:ascii="Arial Narrow" w:hAnsi="Arial Narrow"/>
          <w:sz w:val="18"/>
          <w:szCs w:val="18"/>
        </w:rPr>
      </w:pPr>
      <w:r w:rsidRPr="00BE77DA">
        <w:rPr>
          <w:rFonts w:ascii="Arial Narrow" w:hAnsi="Arial Narrow"/>
          <w:sz w:val="18"/>
          <w:szCs w:val="18"/>
        </w:rPr>
        <w:t xml:space="preserve">*Based on </w:t>
      </w:r>
      <w:r w:rsidR="00411A56" w:rsidRPr="00BE77DA">
        <w:rPr>
          <w:rFonts w:ascii="Arial Narrow" w:hAnsi="Arial Narrow"/>
          <w:sz w:val="18"/>
          <w:szCs w:val="18"/>
        </w:rPr>
        <w:t xml:space="preserve">fee for </w:t>
      </w:r>
      <w:r w:rsidRPr="00BE77DA">
        <w:rPr>
          <w:rFonts w:ascii="Arial Narrow" w:hAnsi="Arial Narrow"/>
          <w:sz w:val="18"/>
          <w:szCs w:val="18"/>
        </w:rPr>
        <w:t>MBS item 14245 of $97.95 ×3.73 cycles</w:t>
      </w:r>
    </w:p>
    <w:p w:rsidR="002F3156" w:rsidRPr="00BE77DA" w:rsidRDefault="002F3156" w:rsidP="002F3156">
      <w:pPr>
        <w:ind w:firstLine="720"/>
        <w:rPr>
          <w:rFonts w:ascii="Arial Narrow" w:hAnsi="Arial Narrow"/>
          <w:sz w:val="18"/>
          <w:szCs w:val="18"/>
        </w:rPr>
      </w:pPr>
      <w:r w:rsidRPr="00BE77DA">
        <w:rPr>
          <w:rFonts w:ascii="Arial Narrow" w:hAnsi="Arial Narrow"/>
          <w:sz w:val="18"/>
          <w:szCs w:val="18"/>
        </w:rPr>
        <w:t xml:space="preserve">**Based on </w:t>
      </w:r>
      <w:r w:rsidR="00411A56" w:rsidRPr="00BE77DA">
        <w:rPr>
          <w:rFonts w:ascii="Arial Narrow" w:hAnsi="Arial Narrow"/>
          <w:sz w:val="18"/>
          <w:szCs w:val="18"/>
        </w:rPr>
        <w:t xml:space="preserve">fees for </w:t>
      </w:r>
      <w:r w:rsidRPr="00BE77DA">
        <w:rPr>
          <w:rFonts w:ascii="Arial Narrow" w:hAnsi="Arial Narrow"/>
          <w:sz w:val="18"/>
          <w:szCs w:val="18"/>
        </w:rPr>
        <w:t>MBS item</w:t>
      </w:r>
      <w:r w:rsidR="008A0374" w:rsidRPr="00BE77DA">
        <w:rPr>
          <w:rFonts w:ascii="Arial Narrow" w:hAnsi="Arial Narrow"/>
          <w:sz w:val="18"/>
          <w:szCs w:val="18"/>
        </w:rPr>
        <w:t>s</w:t>
      </w:r>
      <w:r w:rsidRPr="00BE77DA">
        <w:rPr>
          <w:rFonts w:ascii="Arial Narrow" w:hAnsi="Arial Narrow"/>
          <w:sz w:val="18"/>
          <w:szCs w:val="18"/>
        </w:rPr>
        <w:t xml:space="preserve"> 30207 of $44.60 and 105 </w:t>
      </w:r>
      <w:r w:rsidR="00411A56" w:rsidRPr="00BE77DA">
        <w:rPr>
          <w:rFonts w:ascii="Arial Narrow" w:hAnsi="Arial Narrow"/>
          <w:sz w:val="18"/>
          <w:szCs w:val="18"/>
        </w:rPr>
        <w:t xml:space="preserve">of </w:t>
      </w:r>
      <w:r w:rsidRPr="00BE77DA">
        <w:rPr>
          <w:rFonts w:ascii="Arial Narrow" w:hAnsi="Arial Narrow"/>
          <w:sz w:val="18"/>
          <w:szCs w:val="18"/>
        </w:rPr>
        <w:t xml:space="preserve">$43 x </w:t>
      </w:r>
      <w:r w:rsidR="006A72B9">
        <w:rPr>
          <w:rFonts w:ascii="Arial Narrow" w:hAnsi="Arial Narrow"/>
          <w:noProof/>
          <w:color w:val="000000"/>
          <w:sz w:val="18"/>
          <w:szCs w:val="18"/>
          <w:highlight w:val="black"/>
        </w:rPr>
        <w:t>'''''''''''''</w:t>
      </w:r>
      <w:r w:rsidRPr="00BE77DA">
        <w:rPr>
          <w:rFonts w:ascii="Arial Narrow" w:hAnsi="Arial Narrow"/>
          <w:sz w:val="18"/>
          <w:szCs w:val="18"/>
        </w:rPr>
        <w:t xml:space="preserve"> injections</w:t>
      </w:r>
    </w:p>
    <w:p w:rsidR="00F06124" w:rsidRPr="00BE77DA" w:rsidRDefault="00F06124" w:rsidP="002F3156">
      <w:pPr>
        <w:ind w:firstLine="720"/>
        <w:rPr>
          <w:rFonts w:ascii="Arial Narrow" w:hAnsi="Arial Narrow"/>
          <w:sz w:val="18"/>
          <w:szCs w:val="18"/>
        </w:rPr>
      </w:pPr>
      <w:r w:rsidRPr="00BE77DA">
        <w:rPr>
          <w:rFonts w:ascii="Arial Narrow" w:hAnsi="Arial Narrow"/>
          <w:sz w:val="18"/>
          <w:szCs w:val="18"/>
        </w:rPr>
        <w:t xml:space="preserve">***Refer to Table </w:t>
      </w:r>
      <w:r w:rsidR="004F5BE9" w:rsidRPr="00BE77DA">
        <w:rPr>
          <w:rFonts w:ascii="Arial Narrow" w:hAnsi="Arial Narrow"/>
          <w:sz w:val="18"/>
          <w:szCs w:val="18"/>
        </w:rPr>
        <w:t>6</w:t>
      </w:r>
    </w:p>
    <w:p w:rsidR="002F3156" w:rsidRPr="00BE77DA" w:rsidRDefault="002F3156" w:rsidP="002F3156">
      <w:pPr>
        <w:ind w:left="720"/>
        <w:rPr>
          <w:rFonts w:ascii="Arial Narrow" w:hAnsi="Arial Narrow"/>
          <w:sz w:val="18"/>
          <w:szCs w:val="18"/>
        </w:rPr>
      </w:pPr>
      <w:r w:rsidRPr="00BE77DA">
        <w:rPr>
          <w:rFonts w:ascii="Arial Narrow" w:hAnsi="Arial Narrow"/>
          <w:sz w:val="18"/>
          <w:szCs w:val="18"/>
        </w:rPr>
        <w:t xml:space="preserve">The total cost of T-VEC and ipilimumab were modified during the evaluation to take into account a preparation fee of $102.67 rather than the $82.67 used </w:t>
      </w:r>
      <w:r w:rsidR="007259D1" w:rsidRPr="00BE77DA">
        <w:rPr>
          <w:rFonts w:ascii="Arial Narrow" w:hAnsi="Arial Narrow"/>
          <w:sz w:val="18"/>
          <w:szCs w:val="18"/>
        </w:rPr>
        <w:t>by the submission</w:t>
      </w:r>
    </w:p>
    <w:p w:rsidR="002F3156" w:rsidRPr="00BE77DA" w:rsidRDefault="002F3156" w:rsidP="002F3156">
      <w:pPr>
        <w:ind w:firstLine="720"/>
        <w:rPr>
          <w:rFonts w:ascii="Arial Narrow" w:hAnsi="Arial Narrow"/>
          <w:sz w:val="18"/>
          <w:szCs w:val="18"/>
        </w:rPr>
      </w:pPr>
      <w:r w:rsidRPr="00BE77DA">
        <w:rPr>
          <w:rFonts w:ascii="Arial Narrow" w:hAnsi="Arial Narrow"/>
          <w:sz w:val="18"/>
          <w:szCs w:val="18"/>
        </w:rPr>
        <w:t xml:space="preserve">PFU=plaque forming units; T-VEC = </w:t>
      </w:r>
      <w:proofErr w:type="spellStart"/>
      <w:r w:rsidRPr="00BE77DA">
        <w:rPr>
          <w:rFonts w:ascii="Arial Narrow" w:hAnsi="Arial Narrow"/>
          <w:sz w:val="18"/>
          <w:szCs w:val="18"/>
        </w:rPr>
        <w:t>talimogene</w:t>
      </w:r>
      <w:proofErr w:type="spellEnd"/>
      <w:r w:rsidRPr="00BE77DA">
        <w:rPr>
          <w:rFonts w:ascii="Arial Narrow" w:hAnsi="Arial Narrow"/>
          <w:sz w:val="18"/>
          <w:szCs w:val="18"/>
        </w:rPr>
        <w:t xml:space="preserve"> </w:t>
      </w:r>
      <w:proofErr w:type="spellStart"/>
      <w:r w:rsidRPr="00BE77DA">
        <w:rPr>
          <w:rFonts w:ascii="Arial Narrow" w:hAnsi="Arial Narrow"/>
          <w:sz w:val="18"/>
          <w:szCs w:val="18"/>
        </w:rPr>
        <w:t>laherparepvec</w:t>
      </w:r>
      <w:proofErr w:type="spellEnd"/>
    </w:p>
    <w:p w:rsidR="002F3156" w:rsidRPr="00BE77DA" w:rsidRDefault="002F3156" w:rsidP="002F3156">
      <w:pPr>
        <w:ind w:firstLine="720"/>
        <w:rPr>
          <w:rFonts w:ascii="Arial Narrow" w:hAnsi="Arial Narrow"/>
          <w:sz w:val="18"/>
          <w:szCs w:val="18"/>
        </w:rPr>
      </w:pPr>
      <w:r w:rsidRPr="00843EF3">
        <w:rPr>
          <w:rFonts w:ascii="Arial Narrow" w:hAnsi="Arial Narrow"/>
          <w:sz w:val="18"/>
          <w:szCs w:val="18"/>
        </w:rPr>
        <w:t>Source: Table D.2-5, p136 of the submission</w:t>
      </w:r>
    </w:p>
    <w:p w:rsidR="00A67FA8" w:rsidRPr="00BE77DA" w:rsidRDefault="00A67FA8" w:rsidP="00411A56">
      <w:pPr>
        <w:rPr>
          <w:szCs w:val="22"/>
        </w:rPr>
      </w:pPr>
    </w:p>
    <w:p w:rsidR="0075551E" w:rsidRPr="005E6BB6" w:rsidRDefault="00A67FA8" w:rsidP="00ED000E">
      <w:pPr>
        <w:pStyle w:val="ListParagraph"/>
        <w:widowControl/>
        <w:numPr>
          <w:ilvl w:val="1"/>
          <w:numId w:val="1"/>
        </w:numPr>
        <w:rPr>
          <w:szCs w:val="22"/>
        </w:rPr>
      </w:pPr>
      <w:r w:rsidRPr="005E6BB6">
        <w:t>Based on administration costs of $</w:t>
      </w:r>
      <w:r w:rsidRPr="007C7800">
        <w:t>87.60</w:t>
      </w:r>
      <w:r w:rsidRPr="005E6BB6">
        <w:t xml:space="preserve"> for T-VEC and $97.</w:t>
      </w:r>
      <w:r w:rsidR="00184D5B" w:rsidRPr="005E6BB6">
        <w:t>95</w:t>
      </w:r>
      <w:r w:rsidRPr="005E6BB6">
        <w:t xml:space="preserve"> for ipilimumab, and no difference in costs for adverse events, </w:t>
      </w:r>
      <w:r w:rsidR="00390447" w:rsidRPr="005E6BB6">
        <w:t xml:space="preserve">and </w:t>
      </w:r>
      <w:r w:rsidRPr="005E6BB6">
        <w:t>the submission</w:t>
      </w:r>
      <w:r w:rsidR="00390447" w:rsidRPr="005E6BB6">
        <w:t xml:space="preserve">’s estimates for dose and number of doses </w:t>
      </w:r>
      <w:r w:rsidR="0092014C" w:rsidRPr="005E6BB6">
        <w:t xml:space="preserve">of ipilimumab and T-VEC </w:t>
      </w:r>
      <w:r w:rsidR="00390447" w:rsidRPr="005E6BB6">
        <w:t>per patient lifetime</w:t>
      </w:r>
      <w:r w:rsidR="0092014C" w:rsidRPr="005E6BB6">
        <w:t xml:space="preserve"> (</w:t>
      </w:r>
      <w:r w:rsidR="00390447" w:rsidRPr="005E6BB6">
        <w:t>adjusted for the $</w:t>
      </w:r>
      <w:r w:rsidR="00390447" w:rsidRPr="007C7800">
        <w:t>102.67</w:t>
      </w:r>
      <w:r w:rsidR="00390447" w:rsidRPr="005E6BB6">
        <w:t xml:space="preserve"> preparation fee instead of an $</w:t>
      </w:r>
      <w:r w:rsidR="00390447" w:rsidRPr="007C7800">
        <w:t>82.67</w:t>
      </w:r>
      <w:r w:rsidR="00390447" w:rsidRPr="005E6BB6">
        <w:t xml:space="preserve"> preparation fee</w:t>
      </w:r>
      <w:r w:rsidR="0092014C" w:rsidRPr="005E6BB6">
        <w:t>)</w:t>
      </w:r>
      <w:r w:rsidR="00390447" w:rsidRPr="005E6BB6">
        <w:t xml:space="preserve">, there was a </w:t>
      </w:r>
      <w:r w:rsidRPr="005E6BB6">
        <w:t>net difference of $</w:t>
      </w:r>
      <w:r w:rsidR="00A07ACA" w:rsidRPr="007C7800">
        <w:t>113</w:t>
      </w:r>
      <w:r w:rsidRPr="005E6BB6">
        <w:t xml:space="preserve"> per patient lifetime for the use of T-VEC</w:t>
      </w:r>
      <w:r w:rsidR="0092014C" w:rsidRPr="005E6BB6">
        <w:t xml:space="preserve"> compared to ipilimumab</w:t>
      </w:r>
      <w:proofErr w:type="gramStart"/>
      <w:r w:rsidRPr="005E6BB6">
        <w:t xml:space="preserve">. </w:t>
      </w:r>
      <w:r w:rsidR="00180CE3" w:rsidRPr="005E6BB6">
        <w:t xml:space="preserve"> </w:t>
      </w:r>
      <w:proofErr w:type="gramEnd"/>
      <w:r w:rsidR="00180CE3" w:rsidRPr="005E6BB6">
        <w:t xml:space="preserve">As the submission did not include the cost of ultrasound guidance, which may be required for T-VEC, or the cost of preventing herpetic spread, the </w:t>
      </w:r>
      <w:r w:rsidR="0092014C" w:rsidRPr="005E6BB6">
        <w:t>total cost of using T-VEC was considered to be underestimated.</w:t>
      </w:r>
    </w:p>
    <w:p w:rsidR="0075551E" w:rsidRPr="005E6BB6" w:rsidRDefault="0075551E" w:rsidP="0075551E">
      <w:pPr>
        <w:widowControl/>
        <w:rPr>
          <w:szCs w:val="22"/>
        </w:rPr>
      </w:pPr>
    </w:p>
    <w:p w:rsidR="0075551E" w:rsidRPr="005E6BB6" w:rsidRDefault="0075551E" w:rsidP="00ED000E">
      <w:pPr>
        <w:pStyle w:val="ListParagraph"/>
        <w:widowControl/>
        <w:numPr>
          <w:ilvl w:val="1"/>
          <w:numId w:val="1"/>
        </w:numPr>
        <w:rPr>
          <w:szCs w:val="22"/>
        </w:rPr>
      </w:pPr>
      <w:r w:rsidRPr="005E6BB6">
        <w:rPr>
          <w:szCs w:val="22"/>
        </w:rPr>
        <w:t xml:space="preserve">The PSCR  provided proportions of patients who may require ultrasound guidance, based on the T-VEC arm of the </w:t>
      </w:r>
      <w:proofErr w:type="spellStart"/>
      <w:r w:rsidRPr="005E6BB6">
        <w:rPr>
          <w:szCs w:val="22"/>
        </w:rPr>
        <w:t>OPTiM</w:t>
      </w:r>
      <w:proofErr w:type="spellEnd"/>
      <w:r w:rsidRPr="005E6BB6">
        <w:rPr>
          <w:szCs w:val="22"/>
        </w:rPr>
        <w:t xml:space="preserve"> trial</w:t>
      </w:r>
      <w:r w:rsidR="00D11FB8" w:rsidRPr="005E6BB6">
        <w:rPr>
          <w:szCs w:val="22"/>
        </w:rPr>
        <w:t xml:space="preserve"> (</w:t>
      </w:r>
      <w:r w:rsidR="00D07F7B" w:rsidRPr="005E6BB6">
        <w:t xml:space="preserve">Table </w:t>
      </w:r>
      <w:r w:rsidR="00D07F7B">
        <w:rPr>
          <w:noProof/>
        </w:rPr>
        <w:t>6</w:t>
      </w:r>
      <w:r w:rsidR="00D11FB8" w:rsidRPr="005E6BB6">
        <w:rPr>
          <w:szCs w:val="22"/>
        </w:rPr>
        <w:t>)</w:t>
      </w:r>
      <w:proofErr w:type="gramStart"/>
      <w:r w:rsidR="00D11FB8" w:rsidRPr="005E6BB6">
        <w:rPr>
          <w:szCs w:val="22"/>
        </w:rPr>
        <w:t xml:space="preserve">.  </w:t>
      </w:r>
      <w:proofErr w:type="gramEnd"/>
      <w:r w:rsidR="00583B01" w:rsidRPr="005E6BB6">
        <w:rPr>
          <w:szCs w:val="22"/>
        </w:rPr>
        <w:t xml:space="preserve">The ESC noted that the need for </w:t>
      </w:r>
      <w:r w:rsidR="00B2607D" w:rsidRPr="005E6BB6">
        <w:rPr>
          <w:szCs w:val="22"/>
        </w:rPr>
        <w:t>ultrasound</w:t>
      </w:r>
      <w:r w:rsidR="00583B01" w:rsidRPr="005E6BB6">
        <w:rPr>
          <w:szCs w:val="22"/>
        </w:rPr>
        <w:t xml:space="preserve"> guidance may potentially be close to half of patient cases (48%) with certain lesion types.</w:t>
      </w:r>
    </w:p>
    <w:p w:rsidR="0075551E" w:rsidRPr="005E6BB6" w:rsidRDefault="0075551E" w:rsidP="0075551E">
      <w:pPr>
        <w:rPr>
          <w:szCs w:val="22"/>
        </w:rPr>
      </w:pPr>
    </w:p>
    <w:p w:rsidR="003D4FC2" w:rsidRPr="00051969" w:rsidRDefault="003D4FC2" w:rsidP="00051969">
      <w:pPr>
        <w:pStyle w:val="TableHeader"/>
        <w:keepNext/>
        <w:keepLines/>
        <w:ind w:left="720"/>
        <w:rPr>
          <w:rFonts w:ascii="Arial Narrow" w:hAnsi="Arial Narrow" w:cs="Times New Roman"/>
          <w:bCs/>
        </w:rPr>
      </w:pPr>
      <w:bookmarkStart w:id="21" w:name="_Ref453170796"/>
      <w:r w:rsidRPr="00051969">
        <w:rPr>
          <w:rFonts w:ascii="Arial Narrow" w:hAnsi="Arial Narrow" w:cs="Times New Roman"/>
          <w:bCs/>
        </w:rPr>
        <w:t xml:space="preserve">Table </w:t>
      </w:r>
      <w:r w:rsidR="00D07F7B" w:rsidRPr="00051969">
        <w:rPr>
          <w:rFonts w:ascii="Arial Narrow" w:hAnsi="Arial Narrow" w:cs="Times New Roman"/>
          <w:bCs/>
        </w:rPr>
        <w:t>6</w:t>
      </w:r>
      <w:bookmarkEnd w:id="21"/>
      <w:r w:rsidRPr="00051969">
        <w:rPr>
          <w:rFonts w:ascii="Arial Narrow" w:hAnsi="Arial Narrow" w:cs="Times New Roman"/>
          <w:bCs/>
        </w:rPr>
        <w:t>: Location of lesions in patients in T-VEC arm by measurement modality</w:t>
      </w:r>
    </w:p>
    <w:tbl>
      <w:tblPr>
        <w:tblStyle w:val="TableGrid"/>
        <w:tblW w:w="0" w:type="auto"/>
        <w:tblInd w:w="720" w:type="dxa"/>
        <w:tblCellMar>
          <w:top w:w="28" w:type="dxa"/>
          <w:left w:w="28" w:type="dxa"/>
          <w:bottom w:w="28" w:type="dxa"/>
          <w:right w:w="28" w:type="dxa"/>
        </w:tblCellMar>
        <w:tblLook w:val="04A0" w:firstRow="1" w:lastRow="0" w:firstColumn="1" w:lastColumn="0" w:noHBand="0" w:noVBand="1"/>
        <w:tblCaption w:val="Table 6: Location of lesions in patients in T-VEC arm by measurement modality"/>
      </w:tblPr>
      <w:tblGrid>
        <w:gridCol w:w="2090"/>
        <w:gridCol w:w="2091"/>
        <w:gridCol w:w="2924"/>
        <w:gridCol w:w="1258"/>
      </w:tblGrid>
      <w:tr w:rsidR="003D4FC2" w:rsidRPr="00931224" w:rsidTr="006A72B9">
        <w:trPr>
          <w:trHeight w:val="118"/>
          <w:tblHeader/>
        </w:trPr>
        <w:tc>
          <w:tcPr>
            <w:tcW w:w="2090" w:type="dxa"/>
            <w:vAlign w:val="center"/>
          </w:tcPr>
          <w:p w:rsidR="003D4FC2" w:rsidRPr="005E6BB6" w:rsidRDefault="003D4FC2" w:rsidP="00941383">
            <w:pPr>
              <w:pStyle w:val="TableText1"/>
              <w:spacing w:before="0" w:after="0"/>
              <w:jc w:val="left"/>
              <w:rPr>
                <w:rFonts w:ascii="Arial Narrow" w:hAnsi="Arial Narrow"/>
                <w:b/>
                <w:sz w:val="20"/>
              </w:rPr>
            </w:pPr>
            <w:r w:rsidRPr="005E6BB6">
              <w:rPr>
                <w:rFonts w:ascii="Arial Narrow" w:hAnsi="Arial Narrow"/>
                <w:b/>
                <w:sz w:val="20"/>
              </w:rPr>
              <w:t>Injected lesions type</w:t>
            </w:r>
          </w:p>
        </w:tc>
        <w:tc>
          <w:tcPr>
            <w:tcW w:w="2091" w:type="dxa"/>
            <w:vAlign w:val="center"/>
          </w:tcPr>
          <w:p w:rsidR="003D4FC2" w:rsidRPr="005E6BB6" w:rsidRDefault="003D4FC2" w:rsidP="00941383">
            <w:pPr>
              <w:pStyle w:val="TableText1"/>
              <w:spacing w:before="0" w:after="0"/>
              <w:jc w:val="center"/>
              <w:rPr>
                <w:rFonts w:ascii="Arial Narrow" w:hAnsi="Arial Narrow"/>
                <w:b/>
                <w:sz w:val="20"/>
              </w:rPr>
            </w:pPr>
            <w:r w:rsidRPr="005E6BB6">
              <w:rPr>
                <w:rFonts w:ascii="Arial Narrow" w:hAnsi="Arial Narrow"/>
                <w:b/>
                <w:sz w:val="20"/>
              </w:rPr>
              <w:t>N</w:t>
            </w:r>
            <w:r w:rsidR="00931224" w:rsidRPr="005E6BB6">
              <w:rPr>
                <w:rFonts w:ascii="Arial Narrow" w:hAnsi="Arial Narrow"/>
                <w:b/>
                <w:sz w:val="20"/>
              </w:rPr>
              <w:t xml:space="preserve"> </w:t>
            </w:r>
            <w:r w:rsidRPr="005E6BB6">
              <w:rPr>
                <w:rFonts w:ascii="Arial Narrow" w:hAnsi="Arial Narrow"/>
                <w:b/>
                <w:sz w:val="20"/>
              </w:rPr>
              <w:t>=</w:t>
            </w:r>
            <w:r w:rsidR="00931224" w:rsidRPr="005E6BB6">
              <w:rPr>
                <w:rFonts w:ascii="Arial Narrow" w:hAnsi="Arial Narrow"/>
                <w:b/>
                <w:sz w:val="20"/>
              </w:rPr>
              <w:t xml:space="preserve"> </w:t>
            </w:r>
            <w:r w:rsidRPr="005E6BB6">
              <w:rPr>
                <w:rFonts w:ascii="Arial Narrow" w:hAnsi="Arial Narrow"/>
                <w:b/>
                <w:sz w:val="20"/>
              </w:rPr>
              <w:t>291, n (%)</w:t>
            </w:r>
          </w:p>
        </w:tc>
        <w:tc>
          <w:tcPr>
            <w:tcW w:w="4182" w:type="dxa"/>
            <w:gridSpan w:val="2"/>
            <w:vAlign w:val="center"/>
          </w:tcPr>
          <w:p w:rsidR="003D4FC2" w:rsidRPr="005E6BB6" w:rsidRDefault="003D4FC2" w:rsidP="00941383">
            <w:pPr>
              <w:pStyle w:val="TableText1"/>
              <w:spacing w:before="0" w:after="0"/>
              <w:jc w:val="center"/>
              <w:rPr>
                <w:rFonts w:ascii="Arial Narrow" w:hAnsi="Arial Narrow"/>
                <w:b/>
                <w:sz w:val="20"/>
              </w:rPr>
            </w:pPr>
            <w:r w:rsidRPr="005E6BB6">
              <w:rPr>
                <w:rFonts w:ascii="Arial Narrow" w:hAnsi="Arial Narrow"/>
                <w:b/>
                <w:sz w:val="20"/>
              </w:rPr>
              <w:t>Measurement modality, n (%)</w:t>
            </w:r>
          </w:p>
        </w:tc>
      </w:tr>
      <w:tr w:rsidR="00C971B4" w:rsidRPr="00931224" w:rsidTr="00941383">
        <w:trPr>
          <w:trHeight w:val="121"/>
        </w:trPr>
        <w:tc>
          <w:tcPr>
            <w:tcW w:w="2090" w:type="dxa"/>
            <w:vMerge w:val="restart"/>
            <w:vAlign w:val="center"/>
          </w:tcPr>
          <w:p w:rsidR="00C971B4" w:rsidRPr="005E6BB6" w:rsidRDefault="00C971B4" w:rsidP="00941383">
            <w:pPr>
              <w:pStyle w:val="TableText1"/>
              <w:spacing w:before="0" w:after="0"/>
              <w:jc w:val="left"/>
              <w:rPr>
                <w:rFonts w:ascii="Arial Narrow" w:hAnsi="Arial Narrow"/>
                <w:sz w:val="20"/>
              </w:rPr>
            </w:pPr>
            <w:r w:rsidRPr="005E6BB6">
              <w:rPr>
                <w:rFonts w:ascii="Arial Narrow" w:hAnsi="Arial Narrow"/>
                <w:sz w:val="20"/>
              </w:rPr>
              <w:t>Cutaneous or subcutaneous lesion only</w:t>
            </w:r>
          </w:p>
        </w:tc>
        <w:tc>
          <w:tcPr>
            <w:tcW w:w="2091" w:type="dxa"/>
            <w:vMerge w:val="restart"/>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179 (61.5%)</w:t>
            </w: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Clinical</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169 (94)</w:t>
            </w:r>
          </w:p>
        </w:tc>
      </w:tr>
      <w:tr w:rsidR="00C971B4" w:rsidRPr="00931224" w:rsidTr="00785622">
        <w:trPr>
          <w:trHeight w:val="231"/>
        </w:trPr>
        <w:tc>
          <w:tcPr>
            <w:tcW w:w="2090" w:type="dxa"/>
            <w:vMerge/>
            <w:vAlign w:val="center"/>
          </w:tcPr>
          <w:p w:rsidR="00C971B4" w:rsidRPr="005E6BB6" w:rsidRDefault="00C971B4" w:rsidP="00941383">
            <w:pPr>
              <w:pStyle w:val="TableText1"/>
              <w:spacing w:before="0" w:after="0"/>
              <w:jc w:val="left"/>
              <w:rPr>
                <w:rFonts w:ascii="Arial Narrow" w:hAnsi="Arial Narrow"/>
                <w:sz w:val="20"/>
              </w:rPr>
            </w:pPr>
          </w:p>
        </w:tc>
        <w:tc>
          <w:tcPr>
            <w:tcW w:w="2091" w:type="dxa"/>
            <w:vMerge/>
            <w:vAlign w:val="center"/>
          </w:tcPr>
          <w:p w:rsidR="00C971B4" w:rsidRPr="005E6BB6" w:rsidRDefault="00C971B4" w:rsidP="00941383">
            <w:pPr>
              <w:pStyle w:val="TableText1"/>
              <w:spacing w:before="0" w:after="0"/>
              <w:jc w:val="center"/>
              <w:rPr>
                <w:rFonts w:ascii="Arial Narrow" w:hAnsi="Arial Narrow"/>
                <w:sz w:val="20"/>
              </w:rPr>
            </w:pP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U</w:t>
            </w:r>
            <w:r w:rsidR="00785622" w:rsidRPr="005E6BB6">
              <w:rPr>
                <w:rFonts w:ascii="Arial Narrow" w:hAnsi="Arial Narrow"/>
                <w:sz w:val="20"/>
              </w:rPr>
              <w:t>ltrasound</w:t>
            </w:r>
            <w:r w:rsidRPr="005E6BB6">
              <w:rPr>
                <w:rFonts w:ascii="Arial Narrow" w:hAnsi="Arial Narrow"/>
                <w:sz w:val="20"/>
              </w:rPr>
              <w:t xml:space="preserve"> guidance</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20 (11)</w:t>
            </w:r>
          </w:p>
        </w:tc>
      </w:tr>
      <w:tr w:rsidR="00C971B4" w:rsidRPr="00931224" w:rsidTr="00785622">
        <w:trPr>
          <w:trHeight w:val="116"/>
        </w:trPr>
        <w:tc>
          <w:tcPr>
            <w:tcW w:w="2090" w:type="dxa"/>
            <w:vMerge w:val="restart"/>
            <w:vAlign w:val="center"/>
          </w:tcPr>
          <w:p w:rsidR="00C971B4" w:rsidRPr="005E6BB6" w:rsidRDefault="00C971B4" w:rsidP="00941383">
            <w:pPr>
              <w:pStyle w:val="TableText1"/>
              <w:spacing w:before="0" w:after="0"/>
              <w:jc w:val="left"/>
              <w:rPr>
                <w:rFonts w:ascii="Arial Narrow" w:hAnsi="Arial Narrow"/>
                <w:sz w:val="20"/>
              </w:rPr>
            </w:pPr>
            <w:r w:rsidRPr="005E6BB6">
              <w:rPr>
                <w:rFonts w:ascii="Arial Narrow" w:hAnsi="Arial Narrow"/>
                <w:sz w:val="20"/>
              </w:rPr>
              <w:t>Nodal lesions only</w:t>
            </w:r>
          </w:p>
        </w:tc>
        <w:tc>
          <w:tcPr>
            <w:tcW w:w="2091" w:type="dxa"/>
            <w:vMerge w:val="restart"/>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36 (12.4%)</w:t>
            </w: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Clinical</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21 (58)</w:t>
            </w:r>
          </w:p>
        </w:tc>
      </w:tr>
      <w:tr w:rsidR="00C971B4" w:rsidRPr="00931224" w:rsidTr="00785622">
        <w:trPr>
          <w:trHeight w:val="115"/>
        </w:trPr>
        <w:tc>
          <w:tcPr>
            <w:tcW w:w="2090" w:type="dxa"/>
            <w:vMerge/>
            <w:vAlign w:val="center"/>
          </w:tcPr>
          <w:p w:rsidR="00C971B4" w:rsidRPr="005E6BB6" w:rsidRDefault="00C971B4" w:rsidP="00941383">
            <w:pPr>
              <w:pStyle w:val="TableText1"/>
              <w:spacing w:before="0" w:after="0"/>
              <w:jc w:val="left"/>
              <w:rPr>
                <w:rFonts w:ascii="Arial Narrow" w:hAnsi="Arial Narrow"/>
                <w:sz w:val="20"/>
              </w:rPr>
            </w:pPr>
          </w:p>
        </w:tc>
        <w:tc>
          <w:tcPr>
            <w:tcW w:w="2091" w:type="dxa"/>
            <w:vMerge/>
            <w:vAlign w:val="center"/>
          </w:tcPr>
          <w:p w:rsidR="00C971B4" w:rsidRPr="005E6BB6" w:rsidRDefault="00C971B4" w:rsidP="00941383">
            <w:pPr>
              <w:pStyle w:val="TableText1"/>
              <w:spacing w:before="0" w:after="0"/>
              <w:jc w:val="center"/>
              <w:rPr>
                <w:rFonts w:ascii="Arial Narrow" w:hAnsi="Arial Narrow"/>
                <w:sz w:val="20"/>
              </w:rPr>
            </w:pP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U</w:t>
            </w:r>
            <w:r w:rsidR="00785622" w:rsidRPr="005E6BB6">
              <w:rPr>
                <w:rFonts w:ascii="Arial Narrow" w:hAnsi="Arial Narrow"/>
                <w:sz w:val="20"/>
              </w:rPr>
              <w:t>ltrasound</w:t>
            </w:r>
            <w:r w:rsidRPr="005E6BB6">
              <w:rPr>
                <w:rFonts w:ascii="Arial Narrow" w:hAnsi="Arial Narrow"/>
                <w:sz w:val="20"/>
              </w:rPr>
              <w:t xml:space="preserve"> guidance</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13 (36)</w:t>
            </w:r>
          </w:p>
        </w:tc>
      </w:tr>
      <w:tr w:rsidR="00C971B4" w:rsidRPr="00931224" w:rsidTr="00785622">
        <w:trPr>
          <w:trHeight w:val="231"/>
        </w:trPr>
        <w:tc>
          <w:tcPr>
            <w:tcW w:w="2090" w:type="dxa"/>
            <w:vMerge w:val="restart"/>
            <w:vAlign w:val="center"/>
          </w:tcPr>
          <w:p w:rsidR="00C971B4" w:rsidRPr="005E6BB6" w:rsidRDefault="00C971B4" w:rsidP="00941383">
            <w:pPr>
              <w:pStyle w:val="TableText1"/>
              <w:spacing w:before="0" w:after="0"/>
              <w:jc w:val="left"/>
              <w:rPr>
                <w:rFonts w:ascii="Arial Narrow" w:hAnsi="Arial Narrow"/>
                <w:sz w:val="20"/>
              </w:rPr>
            </w:pPr>
            <w:r w:rsidRPr="005E6BB6">
              <w:rPr>
                <w:rFonts w:ascii="Arial Narrow" w:hAnsi="Arial Narrow"/>
                <w:sz w:val="20"/>
              </w:rPr>
              <w:t>Cutaneous/subcutaneous and nodal</w:t>
            </w:r>
          </w:p>
        </w:tc>
        <w:tc>
          <w:tcPr>
            <w:tcW w:w="2091" w:type="dxa"/>
            <w:vMerge w:val="restart"/>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67 (23%)</w:t>
            </w: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Clinical</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56 (84)</w:t>
            </w:r>
          </w:p>
        </w:tc>
      </w:tr>
      <w:tr w:rsidR="00C971B4" w:rsidRPr="00931224" w:rsidTr="00785622">
        <w:trPr>
          <w:trHeight w:val="231"/>
        </w:trPr>
        <w:tc>
          <w:tcPr>
            <w:tcW w:w="2090" w:type="dxa"/>
            <w:vMerge/>
          </w:tcPr>
          <w:p w:rsidR="00C971B4" w:rsidRPr="005E6BB6" w:rsidRDefault="00C971B4" w:rsidP="00941383">
            <w:pPr>
              <w:pStyle w:val="TableText1"/>
              <w:spacing w:before="0" w:after="0"/>
              <w:jc w:val="left"/>
              <w:rPr>
                <w:rFonts w:ascii="Arial Narrow" w:hAnsi="Arial Narrow"/>
                <w:sz w:val="20"/>
              </w:rPr>
            </w:pPr>
          </w:p>
        </w:tc>
        <w:tc>
          <w:tcPr>
            <w:tcW w:w="2091" w:type="dxa"/>
            <w:vMerge/>
            <w:vAlign w:val="center"/>
          </w:tcPr>
          <w:p w:rsidR="00C971B4" w:rsidRPr="005E6BB6" w:rsidRDefault="00C971B4" w:rsidP="00941383">
            <w:pPr>
              <w:pStyle w:val="TableText1"/>
              <w:spacing w:before="0" w:after="0"/>
              <w:jc w:val="center"/>
              <w:rPr>
                <w:rFonts w:ascii="Arial Narrow" w:hAnsi="Arial Narrow"/>
                <w:sz w:val="20"/>
              </w:rPr>
            </w:pPr>
          </w:p>
        </w:tc>
        <w:tc>
          <w:tcPr>
            <w:tcW w:w="2924" w:type="dxa"/>
            <w:vAlign w:val="center"/>
          </w:tcPr>
          <w:p w:rsidR="00C971B4" w:rsidRPr="005E6BB6" w:rsidRDefault="00C971B4" w:rsidP="00941383">
            <w:pPr>
              <w:pStyle w:val="TableText1"/>
              <w:spacing w:before="0" w:after="0"/>
              <w:jc w:val="center"/>
              <w:rPr>
                <w:rFonts w:ascii="Arial Narrow" w:hAnsi="Arial Narrow"/>
                <w:sz w:val="20"/>
              </w:rPr>
            </w:pPr>
            <w:r w:rsidRPr="005E6BB6">
              <w:rPr>
                <w:rFonts w:ascii="Arial Narrow" w:hAnsi="Arial Narrow"/>
                <w:sz w:val="20"/>
              </w:rPr>
              <w:t>U</w:t>
            </w:r>
            <w:r w:rsidR="00785622" w:rsidRPr="005E6BB6">
              <w:rPr>
                <w:rFonts w:ascii="Arial Narrow" w:hAnsi="Arial Narrow"/>
                <w:sz w:val="20"/>
              </w:rPr>
              <w:t>ltrasound</w:t>
            </w:r>
            <w:r w:rsidRPr="005E6BB6">
              <w:rPr>
                <w:rFonts w:ascii="Arial Narrow" w:hAnsi="Arial Narrow"/>
                <w:sz w:val="20"/>
              </w:rPr>
              <w:t xml:space="preserve"> guidance</w:t>
            </w:r>
          </w:p>
        </w:tc>
        <w:tc>
          <w:tcPr>
            <w:tcW w:w="1258" w:type="dxa"/>
            <w:vAlign w:val="center"/>
          </w:tcPr>
          <w:p w:rsidR="00C971B4" w:rsidRPr="005E6BB6" w:rsidRDefault="003D4FC2" w:rsidP="00941383">
            <w:pPr>
              <w:pStyle w:val="TableText1"/>
              <w:spacing w:before="0" w:after="0"/>
              <w:jc w:val="center"/>
              <w:rPr>
                <w:rFonts w:ascii="Arial Narrow" w:hAnsi="Arial Narrow"/>
                <w:sz w:val="20"/>
              </w:rPr>
            </w:pPr>
            <w:r w:rsidRPr="005E6BB6">
              <w:rPr>
                <w:rFonts w:ascii="Arial Narrow" w:hAnsi="Arial Narrow"/>
                <w:sz w:val="20"/>
              </w:rPr>
              <w:t>32 (48)</w:t>
            </w:r>
          </w:p>
        </w:tc>
      </w:tr>
    </w:tbl>
    <w:p w:rsidR="00C25D9C" w:rsidRPr="00BE77DA" w:rsidRDefault="00C25D9C" w:rsidP="00C25D9C">
      <w:pPr>
        <w:widowControl/>
        <w:rPr>
          <w:szCs w:val="22"/>
        </w:rPr>
      </w:pPr>
    </w:p>
    <w:p w:rsidR="00C25D9C" w:rsidRPr="00691B8C" w:rsidRDefault="00C25D9C" w:rsidP="006A72B9">
      <w:pPr>
        <w:pStyle w:val="Heading2"/>
      </w:pPr>
      <w:bookmarkStart w:id="22" w:name="_Toc451340813"/>
      <w:r w:rsidRPr="0042061C">
        <w:t>Drug cost/patient/</w:t>
      </w:r>
      <w:r w:rsidR="00AA0637" w:rsidRPr="0042061C">
        <w:t>lifetime</w:t>
      </w:r>
      <w:r w:rsidRPr="0042061C">
        <w:t>:</w:t>
      </w:r>
      <w:r w:rsidRPr="00691B8C">
        <w:t xml:space="preserve"> $</w:t>
      </w:r>
      <w:r w:rsidR="00AA0637" w:rsidRPr="007C7800">
        <w:t>1</w:t>
      </w:r>
      <w:r w:rsidR="00706BB2" w:rsidRPr="007C7800">
        <w:t>19,8</w:t>
      </w:r>
      <w:r w:rsidR="00FD182E" w:rsidRPr="007C7800">
        <w:t>86</w:t>
      </w:r>
      <w:r w:rsidRPr="00691B8C">
        <w:t>.</w:t>
      </w:r>
      <w:bookmarkEnd w:id="22"/>
    </w:p>
    <w:p w:rsidR="00C25D9C" w:rsidRPr="00BE77DA" w:rsidRDefault="00C25D9C" w:rsidP="00C25D9C">
      <w:pPr>
        <w:widowControl/>
        <w:rPr>
          <w:szCs w:val="22"/>
        </w:rPr>
      </w:pPr>
    </w:p>
    <w:p w:rsidR="00706BB2" w:rsidRPr="00BE77DA" w:rsidRDefault="00706BB2" w:rsidP="00ED000E">
      <w:pPr>
        <w:pStyle w:val="ListParagraph"/>
        <w:widowControl/>
        <w:numPr>
          <w:ilvl w:val="1"/>
          <w:numId w:val="1"/>
        </w:numPr>
        <w:rPr>
          <w:szCs w:val="22"/>
        </w:rPr>
      </w:pPr>
      <w:r w:rsidRPr="00BE77DA">
        <w:rPr>
          <w:szCs w:val="22"/>
        </w:rPr>
        <w:t xml:space="preserve">The cost of T-VEC per patient lifetime </w:t>
      </w:r>
      <w:r w:rsidR="00CB549A" w:rsidRPr="00BE77DA">
        <w:rPr>
          <w:szCs w:val="22"/>
        </w:rPr>
        <w:t xml:space="preserve">was calculated to be </w:t>
      </w:r>
      <w:r w:rsidRPr="00BE77DA">
        <w:rPr>
          <w:szCs w:val="22"/>
        </w:rPr>
        <w:t>$</w:t>
      </w:r>
      <w:r w:rsidRPr="007C7800">
        <w:rPr>
          <w:szCs w:val="22"/>
        </w:rPr>
        <w:t>119,8</w:t>
      </w:r>
      <w:r w:rsidR="00FD182E" w:rsidRPr="007C7800">
        <w:rPr>
          <w:szCs w:val="22"/>
        </w:rPr>
        <w:t>86</w:t>
      </w:r>
      <w:r w:rsidRPr="00BE77DA">
        <w:rPr>
          <w:szCs w:val="22"/>
        </w:rPr>
        <w:t xml:space="preserve">.  </w:t>
      </w:r>
      <w:r w:rsidR="00CB549A" w:rsidRPr="00BE77DA">
        <w:rPr>
          <w:szCs w:val="22"/>
        </w:rPr>
        <w:t>Details of the calculation</w:t>
      </w:r>
      <w:r w:rsidR="00057B38" w:rsidRPr="00BE77DA">
        <w:rPr>
          <w:szCs w:val="22"/>
        </w:rPr>
        <w:t>s</w:t>
      </w:r>
      <w:r w:rsidR="00CB549A" w:rsidRPr="00BE77DA">
        <w:rPr>
          <w:szCs w:val="22"/>
        </w:rPr>
        <w:t xml:space="preserve"> are </w:t>
      </w:r>
      <w:r w:rsidR="00E347DF" w:rsidRPr="00BE77DA">
        <w:rPr>
          <w:szCs w:val="22"/>
        </w:rPr>
        <w:t xml:space="preserve">shown in </w:t>
      </w:r>
      <w:r w:rsidR="00D07F7B">
        <w:t xml:space="preserve">Table </w:t>
      </w:r>
      <w:r w:rsidR="00D07F7B">
        <w:rPr>
          <w:noProof/>
        </w:rPr>
        <w:t>7</w:t>
      </w:r>
      <w:r w:rsidR="00D53F82" w:rsidRPr="00BE77DA">
        <w:rPr>
          <w:szCs w:val="22"/>
        </w:rPr>
        <w:t>.</w:t>
      </w:r>
    </w:p>
    <w:p w:rsidR="00D4492D" w:rsidRDefault="00D4492D">
      <w:pPr>
        <w:widowControl/>
        <w:jc w:val="left"/>
        <w:rPr>
          <w:szCs w:val="22"/>
        </w:rPr>
      </w:pPr>
      <w:r>
        <w:rPr>
          <w:szCs w:val="22"/>
        </w:rPr>
        <w:br w:type="page"/>
      </w:r>
    </w:p>
    <w:p w:rsidR="007217C1" w:rsidRPr="00051969" w:rsidRDefault="007217C1" w:rsidP="00051969">
      <w:pPr>
        <w:pStyle w:val="TableHeader"/>
        <w:keepNext/>
        <w:keepLines/>
        <w:ind w:left="720"/>
        <w:rPr>
          <w:rFonts w:ascii="Arial Narrow" w:hAnsi="Arial Narrow" w:cs="Times New Roman"/>
          <w:bCs/>
        </w:rPr>
      </w:pPr>
      <w:bookmarkStart w:id="23" w:name="_Ref453084246"/>
      <w:r w:rsidRPr="00051969">
        <w:rPr>
          <w:rFonts w:ascii="Arial Narrow" w:hAnsi="Arial Narrow" w:cs="Times New Roman"/>
          <w:bCs/>
        </w:rPr>
        <w:t xml:space="preserve">Table </w:t>
      </w:r>
      <w:r w:rsidR="00D07F7B" w:rsidRPr="00051969">
        <w:rPr>
          <w:rFonts w:ascii="Arial Narrow" w:hAnsi="Arial Narrow" w:cs="Times New Roman"/>
          <w:bCs/>
        </w:rPr>
        <w:t>7</w:t>
      </w:r>
      <w:bookmarkEnd w:id="23"/>
      <w:r w:rsidRPr="00051969">
        <w:rPr>
          <w:rFonts w:ascii="Arial Narrow" w:hAnsi="Arial Narrow" w:cs="Times New Roman"/>
          <w:bCs/>
        </w:rPr>
        <w:t>: Summary of drug costs/patient/lifetime for T-VEC and ipilimumab</w:t>
      </w:r>
    </w:p>
    <w:tbl>
      <w:tblPr>
        <w:tblStyle w:val="TableGrid"/>
        <w:tblW w:w="4594" w:type="pct"/>
        <w:tblInd w:w="737" w:type="dxa"/>
        <w:tblCellMar>
          <w:left w:w="28" w:type="dxa"/>
          <w:right w:w="28" w:type="dxa"/>
        </w:tblCellMar>
        <w:tblLook w:val="04A0" w:firstRow="1" w:lastRow="0" w:firstColumn="1" w:lastColumn="0" w:noHBand="0" w:noVBand="1"/>
        <w:tblCaption w:val="Table 7: Summary of drug costs/patient/lifetime for T-VEC and ipilimumab"/>
      </w:tblPr>
      <w:tblGrid>
        <w:gridCol w:w="982"/>
        <w:gridCol w:w="1994"/>
        <w:gridCol w:w="2690"/>
        <w:gridCol w:w="1068"/>
        <w:gridCol w:w="1611"/>
      </w:tblGrid>
      <w:tr w:rsidR="00706BB2" w:rsidRPr="00BE77DA" w:rsidTr="006A72B9">
        <w:trPr>
          <w:tblHeader/>
        </w:trPr>
        <w:tc>
          <w:tcPr>
            <w:tcW w:w="588" w:type="pct"/>
            <w:vAlign w:val="center"/>
          </w:tcPr>
          <w:p w:rsidR="00706BB2" w:rsidRPr="00BE77DA" w:rsidRDefault="00706BB2" w:rsidP="00FD182E">
            <w:pPr>
              <w:jc w:val="left"/>
              <w:rPr>
                <w:rFonts w:ascii="Arial Narrow" w:hAnsi="Arial Narrow"/>
                <w:b/>
                <w:sz w:val="20"/>
              </w:rPr>
            </w:pPr>
            <w:r w:rsidRPr="00BE77DA">
              <w:rPr>
                <w:rFonts w:ascii="Arial Narrow" w:hAnsi="Arial Narrow"/>
                <w:b/>
                <w:sz w:val="20"/>
              </w:rPr>
              <w:t>Parameter</w:t>
            </w:r>
          </w:p>
        </w:tc>
        <w:tc>
          <w:tcPr>
            <w:tcW w:w="1195" w:type="pct"/>
            <w:vAlign w:val="center"/>
          </w:tcPr>
          <w:p w:rsidR="00706BB2" w:rsidRPr="00BE77DA" w:rsidRDefault="00706BB2" w:rsidP="00FD182E">
            <w:pPr>
              <w:jc w:val="center"/>
              <w:rPr>
                <w:rFonts w:ascii="Arial Narrow" w:hAnsi="Arial Narrow"/>
                <w:b/>
                <w:sz w:val="20"/>
              </w:rPr>
            </w:pPr>
            <w:r w:rsidRPr="00BE77DA">
              <w:rPr>
                <w:rFonts w:ascii="Arial Narrow" w:hAnsi="Arial Narrow"/>
                <w:b/>
                <w:sz w:val="20"/>
              </w:rPr>
              <w:t>Source</w:t>
            </w:r>
          </w:p>
        </w:tc>
        <w:tc>
          <w:tcPr>
            <w:tcW w:w="1612" w:type="pct"/>
            <w:vAlign w:val="center"/>
          </w:tcPr>
          <w:p w:rsidR="00706BB2" w:rsidRPr="00BE77DA" w:rsidRDefault="00706BB2" w:rsidP="00FD182E">
            <w:pPr>
              <w:jc w:val="center"/>
              <w:rPr>
                <w:rFonts w:ascii="Arial Narrow" w:hAnsi="Arial Narrow"/>
                <w:b/>
                <w:sz w:val="20"/>
              </w:rPr>
            </w:pPr>
            <w:r w:rsidRPr="00BE77DA">
              <w:rPr>
                <w:rFonts w:ascii="Arial Narrow" w:hAnsi="Arial Narrow"/>
                <w:b/>
                <w:sz w:val="20"/>
              </w:rPr>
              <w:t>Number of vials and doses</w:t>
            </w:r>
          </w:p>
        </w:tc>
        <w:tc>
          <w:tcPr>
            <w:tcW w:w="640" w:type="pct"/>
            <w:vAlign w:val="center"/>
          </w:tcPr>
          <w:p w:rsidR="00706BB2" w:rsidRPr="00BE77DA" w:rsidRDefault="00706BB2" w:rsidP="00FD182E">
            <w:pPr>
              <w:jc w:val="center"/>
              <w:rPr>
                <w:rFonts w:ascii="Arial Narrow" w:hAnsi="Arial Narrow"/>
                <w:b/>
                <w:sz w:val="20"/>
              </w:rPr>
            </w:pPr>
            <w:r w:rsidRPr="00BE77DA">
              <w:rPr>
                <w:rFonts w:ascii="Arial Narrow" w:hAnsi="Arial Narrow"/>
                <w:b/>
                <w:sz w:val="20"/>
              </w:rPr>
              <w:t>Drug cost/admin</w:t>
            </w:r>
          </w:p>
        </w:tc>
        <w:tc>
          <w:tcPr>
            <w:tcW w:w="965" w:type="pct"/>
            <w:vAlign w:val="center"/>
          </w:tcPr>
          <w:p w:rsidR="00706BB2" w:rsidRPr="00BE77DA" w:rsidRDefault="00706BB2" w:rsidP="00FD182E">
            <w:pPr>
              <w:jc w:val="center"/>
              <w:rPr>
                <w:rFonts w:ascii="Arial Narrow" w:hAnsi="Arial Narrow"/>
                <w:b/>
                <w:sz w:val="20"/>
              </w:rPr>
            </w:pPr>
            <w:r w:rsidRPr="00BE77DA">
              <w:rPr>
                <w:rFonts w:ascii="Arial Narrow" w:hAnsi="Arial Narrow"/>
                <w:b/>
                <w:sz w:val="20"/>
              </w:rPr>
              <w:t>Drug cost/patient/lifetime</w:t>
            </w:r>
          </w:p>
        </w:tc>
      </w:tr>
      <w:tr w:rsidR="00706BB2" w:rsidRPr="00BE77DA" w:rsidTr="00FD182E">
        <w:tc>
          <w:tcPr>
            <w:tcW w:w="5000" w:type="pct"/>
            <w:gridSpan w:val="5"/>
            <w:vAlign w:val="center"/>
          </w:tcPr>
          <w:p w:rsidR="00706BB2" w:rsidRPr="00BE77DA" w:rsidRDefault="00706BB2" w:rsidP="00FD182E">
            <w:pPr>
              <w:jc w:val="left"/>
              <w:rPr>
                <w:rFonts w:ascii="Arial Narrow" w:hAnsi="Arial Narrow"/>
                <w:b/>
                <w:sz w:val="20"/>
              </w:rPr>
            </w:pPr>
            <w:r w:rsidRPr="00BE77DA">
              <w:rPr>
                <w:rFonts w:ascii="Arial Narrow" w:hAnsi="Arial Narrow"/>
                <w:b/>
                <w:sz w:val="20"/>
              </w:rPr>
              <w:t>T-VEC</w:t>
            </w:r>
          </w:p>
        </w:tc>
      </w:tr>
      <w:tr w:rsidR="00706BB2" w:rsidRPr="00BE77DA" w:rsidTr="007217C1">
        <w:tc>
          <w:tcPr>
            <w:tcW w:w="588" w:type="pct"/>
            <w:vAlign w:val="center"/>
          </w:tcPr>
          <w:p w:rsidR="00706BB2" w:rsidRPr="00BE77DA" w:rsidRDefault="00706BB2" w:rsidP="00FD182E">
            <w:pPr>
              <w:jc w:val="left"/>
              <w:rPr>
                <w:rFonts w:ascii="Arial Narrow" w:hAnsi="Arial Narrow"/>
                <w:sz w:val="20"/>
              </w:rPr>
            </w:pPr>
            <w:r w:rsidRPr="00BE77DA">
              <w:rPr>
                <w:rFonts w:ascii="Arial Narrow" w:hAnsi="Arial Narrow"/>
                <w:sz w:val="20"/>
              </w:rPr>
              <w:t>Doses per patient</w:t>
            </w:r>
          </w:p>
        </w:tc>
        <w:tc>
          <w:tcPr>
            <w:tcW w:w="1195" w:type="pct"/>
            <w:vAlign w:val="center"/>
          </w:tcPr>
          <w:p w:rsidR="00706BB2" w:rsidRPr="00BE77DA" w:rsidRDefault="00706BB2" w:rsidP="00FD182E">
            <w:pPr>
              <w:jc w:val="center"/>
              <w:rPr>
                <w:rFonts w:ascii="Arial Narrow" w:hAnsi="Arial Narrow"/>
                <w:sz w:val="20"/>
              </w:rPr>
            </w:pPr>
            <w:proofErr w:type="spellStart"/>
            <w:r w:rsidRPr="00BE77DA">
              <w:rPr>
                <w:rFonts w:ascii="Arial Narrow" w:hAnsi="Arial Narrow"/>
                <w:sz w:val="20"/>
              </w:rPr>
              <w:t>OPT</w:t>
            </w:r>
            <w:r w:rsidR="00D53F82" w:rsidRPr="00BE77DA">
              <w:rPr>
                <w:rFonts w:ascii="Arial Narrow" w:hAnsi="Arial Narrow"/>
                <w:sz w:val="20"/>
              </w:rPr>
              <w:t>iM</w:t>
            </w:r>
            <w:proofErr w:type="spellEnd"/>
            <w:r w:rsidR="00D53F82" w:rsidRPr="00BE77DA">
              <w:rPr>
                <w:rFonts w:ascii="Arial Narrow" w:hAnsi="Arial Narrow"/>
                <w:sz w:val="20"/>
              </w:rPr>
              <w:t>: mean injections per patient</w:t>
            </w:r>
          </w:p>
        </w:tc>
        <w:tc>
          <w:tcPr>
            <w:tcW w:w="1612" w:type="pct"/>
            <w:vAlign w:val="center"/>
          </w:tcPr>
          <w:p w:rsidR="00706BB2" w:rsidRPr="00BE77DA" w:rsidRDefault="006A72B9" w:rsidP="00D53F82">
            <w:pPr>
              <w:jc w:val="center"/>
              <w:rPr>
                <w:rFonts w:ascii="Arial Narrow" w:hAnsi="Arial Narrow"/>
                <w:sz w:val="20"/>
              </w:rPr>
            </w:pPr>
            <w:r>
              <w:rPr>
                <w:rFonts w:ascii="Arial Narrow" w:hAnsi="Arial Narrow"/>
                <w:noProof/>
                <w:color w:val="000000"/>
                <w:sz w:val="20"/>
                <w:highlight w:val="black"/>
              </w:rPr>
              <w:t>''''</w:t>
            </w:r>
            <w:r w:rsidR="0084777B" w:rsidRPr="00BE77DA">
              <w:rPr>
                <w:rFonts w:ascii="Arial Narrow" w:hAnsi="Arial Narrow"/>
                <w:sz w:val="20"/>
              </w:rPr>
              <w:t xml:space="preserve"> dose of 1</w:t>
            </w:r>
            <w:r w:rsidR="00D53F82" w:rsidRPr="00BE77DA">
              <w:rPr>
                <w:rFonts w:ascii="Arial Narrow" w:hAnsi="Arial Narrow"/>
                <w:sz w:val="20"/>
              </w:rPr>
              <w:t> million </w:t>
            </w:r>
            <w:r w:rsidR="0084777B" w:rsidRPr="00BE77DA">
              <w:rPr>
                <w:rFonts w:ascii="Arial Narrow" w:hAnsi="Arial Narrow"/>
                <w:sz w:val="20"/>
              </w:rPr>
              <w:t xml:space="preserve">PFU/mL and </w:t>
            </w:r>
            <w:r>
              <w:rPr>
                <w:rFonts w:ascii="Arial Narrow" w:hAnsi="Arial Narrow"/>
                <w:noProof/>
                <w:color w:val="000000"/>
                <w:sz w:val="20"/>
                <w:highlight w:val="black"/>
              </w:rPr>
              <w:t>'''''''''''''''</w:t>
            </w:r>
            <w:r w:rsidR="0084777B" w:rsidRPr="00BE77DA">
              <w:rPr>
                <w:rFonts w:ascii="Arial Narrow" w:hAnsi="Arial Narrow"/>
                <w:sz w:val="20"/>
              </w:rPr>
              <w:t xml:space="preserve"> doses of 1</w:t>
            </w:r>
            <w:r w:rsidR="00D53F82" w:rsidRPr="00BE77DA">
              <w:rPr>
                <w:rFonts w:ascii="Arial Narrow" w:hAnsi="Arial Narrow"/>
                <w:sz w:val="20"/>
              </w:rPr>
              <w:t>00 million </w:t>
            </w:r>
            <w:r w:rsidR="0084777B" w:rsidRPr="00BE77DA">
              <w:rPr>
                <w:rFonts w:ascii="Arial Narrow" w:hAnsi="Arial Narrow"/>
                <w:sz w:val="20"/>
              </w:rPr>
              <w:t>PFU/mL (14.13 doses in total)</w:t>
            </w:r>
          </w:p>
        </w:tc>
        <w:tc>
          <w:tcPr>
            <w:tcW w:w="640" w:type="pct"/>
            <w:vMerge w:val="restar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w:t>
            </w:r>
            <w:r w:rsidRPr="007C7800">
              <w:rPr>
                <w:rFonts w:ascii="Arial Narrow" w:hAnsi="Arial Narrow"/>
                <w:sz w:val="20"/>
              </w:rPr>
              <w:t>8,4</w:t>
            </w:r>
            <w:r w:rsidR="00FD182E" w:rsidRPr="007C7800">
              <w:rPr>
                <w:rFonts w:ascii="Arial Narrow" w:hAnsi="Arial Narrow"/>
                <w:sz w:val="20"/>
              </w:rPr>
              <w:t>84.50</w:t>
            </w:r>
            <w:r w:rsidRPr="00BE77DA">
              <w:rPr>
                <w:rFonts w:ascii="Arial Narrow" w:hAnsi="Arial Narrow"/>
                <w:sz w:val="20"/>
              </w:rPr>
              <w:t>*</w:t>
            </w:r>
          </w:p>
        </w:tc>
        <w:tc>
          <w:tcPr>
            <w:tcW w:w="965" w:type="pct"/>
            <w:vMerge w:val="restar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w:t>
            </w:r>
            <w:r w:rsidRPr="007C7800">
              <w:rPr>
                <w:rFonts w:ascii="Arial Narrow" w:hAnsi="Arial Narrow"/>
                <w:sz w:val="20"/>
              </w:rPr>
              <w:t>119,8</w:t>
            </w:r>
            <w:r w:rsidR="00FD182E" w:rsidRPr="007C7800">
              <w:rPr>
                <w:rFonts w:ascii="Arial Narrow" w:hAnsi="Arial Narrow"/>
                <w:sz w:val="20"/>
              </w:rPr>
              <w:t>86</w:t>
            </w:r>
          </w:p>
        </w:tc>
      </w:tr>
      <w:tr w:rsidR="00706BB2" w:rsidRPr="00BE77DA" w:rsidTr="007217C1">
        <w:trPr>
          <w:trHeight w:val="70"/>
        </w:trPr>
        <w:tc>
          <w:tcPr>
            <w:tcW w:w="588" w:type="pct"/>
            <w:vAlign w:val="center"/>
          </w:tcPr>
          <w:p w:rsidR="00706BB2" w:rsidRPr="00BE77DA" w:rsidRDefault="00706BB2" w:rsidP="00FD182E">
            <w:pPr>
              <w:jc w:val="left"/>
              <w:rPr>
                <w:rFonts w:ascii="Arial Narrow" w:hAnsi="Arial Narrow"/>
                <w:sz w:val="20"/>
              </w:rPr>
            </w:pPr>
            <w:r w:rsidRPr="00BE77DA">
              <w:rPr>
                <w:rFonts w:ascii="Arial Narrow" w:hAnsi="Arial Narrow"/>
                <w:sz w:val="20"/>
              </w:rPr>
              <w:t>Vials per admin</w:t>
            </w:r>
          </w:p>
        </w:tc>
        <w:tc>
          <w:tcPr>
            <w:tcW w:w="1195" w:type="pct"/>
            <w:vAlign w:val="center"/>
          </w:tcPr>
          <w:p w:rsidR="00706BB2" w:rsidRPr="00BE77DA" w:rsidRDefault="00706BB2" w:rsidP="00FD182E">
            <w:pPr>
              <w:jc w:val="center"/>
              <w:rPr>
                <w:rFonts w:ascii="Arial Narrow" w:hAnsi="Arial Narrow"/>
                <w:sz w:val="20"/>
              </w:rPr>
            </w:pPr>
            <w:proofErr w:type="spellStart"/>
            <w:r w:rsidRPr="00BE77DA">
              <w:rPr>
                <w:rFonts w:ascii="Arial Narrow" w:hAnsi="Arial Narrow"/>
                <w:sz w:val="20"/>
              </w:rPr>
              <w:t>OPTiM</w:t>
            </w:r>
            <w:proofErr w:type="spellEnd"/>
            <w:r w:rsidRPr="00BE77DA">
              <w:rPr>
                <w:rFonts w:ascii="Arial Narrow" w:hAnsi="Arial Narrow"/>
                <w:sz w:val="20"/>
              </w:rPr>
              <w:t>: including rounding up to whole vials to account for wastage</w:t>
            </w:r>
          </w:p>
        </w:tc>
        <w:tc>
          <w:tcPr>
            <w:tcW w:w="1612" w:type="pct"/>
            <w:vAlign w:val="center"/>
          </w:tcPr>
          <w:p w:rsidR="00706BB2" w:rsidRPr="00BE77DA" w:rsidRDefault="006A72B9" w:rsidP="00D53F82">
            <w:pPr>
              <w:jc w:val="center"/>
              <w:rPr>
                <w:rFonts w:ascii="Arial Narrow" w:hAnsi="Arial Narrow"/>
                <w:sz w:val="20"/>
              </w:rPr>
            </w:pPr>
            <w:r>
              <w:rPr>
                <w:rFonts w:ascii="Arial Narrow" w:hAnsi="Arial Narrow"/>
                <w:noProof/>
                <w:color w:val="000000"/>
                <w:sz w:val="20"/>
                <w:highlight w:val="black"/>
              </w:rPr>
              <w:t>''''''''''</w:t>
            </w:r>
            <w:r w:rsidR="00706BB2" w:rsidRPr="00BE77DA">
              <w:rPr>
                <w:rFonts w:ascii="Arial Narrow" w:hAnsi="Arial Narrow"/>
                <w:sz w:val="20"/>
              </w:rPr>
              <w:t xml:space="preserve"> × 1</w:t>
            </w:r>
            <w:r w:rsidR="00D53F82" w:rsidRPr="00BE77DA">
              <w:rPr>
                <w:rFonts w:ascii="Arial Narrow" w:hAnsi="Arial Narrow"/>
                <w:sz w:val="20"/>
              </w:rPr>
              <w:t> </w:t>
            </w:r>
            <w:r w:rsidR="00706BB2" w:rsidRPr="00BE77DA">
              <w:rPr>
                <w:rFonts w:ascii="Arial Narrow" w:hAnsi="Arial Narrow"/>
                <w:sz w:val="20"/>
              </w:rPr>
              <w:t>mL of 1</w:t>
            </w:r>
            <w:r w:rsidR="00D53F82" w:rsidRPr="00BE77DA">
              <w:rPr>
                <w:rFonts w:ascii="Arial Narrow" w:hAnsi="Arial Narrow"/>
                <w:sz w:val="20"/>
              </w:rPr>
              <w:t> million </w:t>
            </w:r>
            <w:r w:rsidR="00706BB2" w:rsidRPr="00BE77DA">
              <w:rPr>
                <w:rFonts w:ascii="Arial Narrow" w:hAnsi="Arial Narrow"/>
                <w:sz w:val="20"/>
              </w:rPr>
              <w:t xml:space="preserve">PFU/mL and </w:t>
            </w:r>
            <w:r>
              <w:rPr>
                <w:rFonts w:ascii="Arial Narrow" w:hAnsi="Arial Narrow"/>
                <w:noProof/>
                <w:color w:val="000000"/>
                <w:sz w:val="20"/>
                <w:highlight w:val="black"/>
              </w:rPr>
              <w:t>'''''''''''</w:t>
            </w:r>
            <w:r w:rsidR="00706BB2" w:rsidRPr="00BE77DA">
              <w:rPr>
                <w:rFonts w:ascii="Arial Narrow" w:hAnsi="Arial Narrow"/>
                <w:sz w:val="20"/>
              </w:rPr>
              <w:t xml:space="preserve"> × 1</w:t>
            </w:r>
            <w:r w:rsidR="00D53F82" w:rsidRPr="00BE77DA">
              <w:rPr>
                <w:rFonts w:ascii="Arial Narrow" w:hAnsi="Arial Narrow"/>
                <w:sz w:val="20"/>
              </w:rPr>
              <w:t> </w:t>
            </w:r>
            <w:r w:rsidR="00706BB2" w:rsidRPr="00BE77DA">
              <w:rPr>
                <w:rFonts w:ascii="Arial Narrow" w:hAnsi="Arial Narrow"/>
                <w:sz w:val="20"/>
              </w:rPr>
              <w:t>mL of 10</w:t>
            </w:r>
            <w:r w:rsidR="00D53F82" w:rsidRPr="00BE77DA">
              <w:rPr>
                <w:rFonts w:ascii="Arial Narrow" w:hAnsi="Arial Narrow"/>
                <w:sz w:val="20"/>
              </w:rPr>
              <w:t>0 million </w:t>
            </w:r>
            <w:r w:rsidR="00706BB2" w:rsidRPr="00BE77DA">
              <w:rPr>
                <w:rFonts w:ascii="Arial Narrow" w:hAnsi="Arial Narrow"/>
                <w:sz w:val="20"/>
              </w:rPr>
              <w:t>PFU/mL</w:t>
            </w:r>
          </w:p>
        </w:tc>
        <w:tc>
          <w:tcPr>
            <w:tcW w:w="640" w:type="pct"/>
            <w:vMerge/>
            <w:vAlign w:val="center"/>
          </w:tcPr>
          <w:p w:rsidR="00706BB2" w:rsidRPr="00BE77DA" w:rsidRDefault="00706BB2" w:rsidP="00FD182E">
            <w:pPr>
              <w:jc w:val="center"/>
              <w:rPr>
                <w:rFonts w:ascii="Arial Narrow" w:hAnsi="Arial Narrow"/>
                <w:sz w:val="20"/>
              </w:rPr>
            </w:pPr>
          </w:p>
        </w:tc>
        <w:tc>
          <w:tcPr>
            <w:tcW w:w="965" w:type="pct"/>
            <w:vMerge/>
            <w:vAlign w:val="center"/>
          </w:tcPr>
          <w:p w:rsidR="00706BB2" w:rsidRPr="00BE77DA" w:rsidRDefault="00706BB2" w:rsidP="00FD182E">
            <w:pPr>
              <w:jc w:val="center"/>
              <w:rPr>
                <w:rFonts w:ascii="Arial Narrow" w:hAnsi="Arial Narrow"/>
                <w:sz w:val="20"/>
              </w:rPr>
            </w:pPr>
          </w:p>
        </w:tc>
      </w:tr>
      <w:tr w:rsidR="00706BB2" w:rsidRPr="00BE77DA" w:rsidTr="00FD182E">
        <w:tc>
          <w:tcPr>
            <w:tcW w:w="5000" w:type="pct"/>
            <w:gridSpan w:val="5"/>
            <w:vAlign w:val="center"/>
          </w:tcPr>
          <w:p w:rsidR="00706BB2" w:rsidRPr="00BE77DA" w:rsidRDefault="00706BB2" w:rsidP="00FD182E">
            <w:pPr>
              <w:jc w:val="left"/>
              <w:rPr>
                <w:rFonts w:ascii="Arial Narrow" w:hAnsi="Arial Narrow"/>
                <w:b/>
                <w:sz w:val="20"/>
              </w:rPr>
            </w:pPr>
            <w:r w:rsidRPr="00BE77DA">
              <w:rPr>
                <w:rFonts w:ascii="Arial Narrow" w:hAnsi="Arial Narrow"/>
                <w:b/>
                <w:sz w:val="20"/>
              </w:rPr>
              <w:t>Ipilimumab</w:t>
            </w:r>
          </w:p>
        </w:tc>
      </w:tr>
      <w:tr w:rsidR="00706BB2" w:rsidRPr="00BE77DA" w:rsidTr="007217C1">
        <w:tc>
          <w:tcPr>
            <w:tcW w:w="588" w:type="pct"/>
            <w:vAlign w:val="center"/>
          </w:tcPr>
          <w:p w:rsidR="00706BB2" w:rsidRPr="00BE77DA" w:rsidRDefault="00706BB2" w:rsidP="00FD182E">
            <w:pPr>
              <w:jc w:val="left"/>
              <w:rPr>
                <w:rFonts w:ascii="Arial Narrow" w:hAnsi="Arial Narrow"/>
                <w:sz w:val="20"/>
              </w:rPr>
            </w:pPr>
            <w:r w:rsidRPr="00BE77DA">
              <w:rPr>
                <w:rFonts w:ascii="Arial Narrow" w:hAnsi="Arial Narrow"/>
                <w:sz w:val="20"/>
              </w:rPr>
              <w:t>Doses per patient</w:t>
            </w:r>
          </w:p>
        </w:tc>
        <w:tc>
          <w:tcPr>
            <w:tcW w:w="1195" w:type="pc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 xml:space="preserve">MDX010-20 </w:t>
            </w:r>
          </w:p>
        </w:tc>
        <w:tc>
          <w:tcPr>
            <w:tcW w:w="1612" w:type="pct"/>
            <w:vAlign w:val="center"/>
          </w:tcPr>
          <w:p w:rsidR="00706BB2" w:rsidRPr="00BE77DA" w:rsidRDefault="00706BB2" w:rsidP="0084777B">
            <w:pPr>
              <w:jc w:val="center"/>
              <w:rPr>
                <w:rFonts w:ascii="Arial Narrow" w:hAnsi="Arial Narrow"/>
                <w:sz w:val="20"/>
              </w:rPr>
            </w:pPr>
            <w:r w:rsidRPr="00BE77DA">
              <w:rPr>
                <w:rFonts w:ascii="Arial Narrow" w:hAnsi="Arial Narrow"/>
                <w:sz w:val="20"/>
              </w:rPr>
              <w:t>3.73 doses</w:t>
            </w:r>
          </w:p>
        </w:tc>
        <w:tc>
          <w:tcPr>
            <w:tcW w:w="640" w:type="pct"/>
            <w:vMerge w:val="restar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$32,313.06</w:t>
            </w:r>
          </w:p>
        </w:tc>
        <w:tc>
          <w:tcPr>
            <w:tcW w:w="965" w:type="pct"/>
            <w:vMerge w:val="restar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$120,644</w:t>
            </w:r>
          </w:p>
        </w:tc>
      </w:tr>
      <w:tr w:rsidR="00706BB2" w:rsidRPr="00BE77DA" w:rsidTr="007217C1">
        <w:tc>
          <w:tcPr>
            <w:tcW w:w="588" w:type="pct"/>
            <w:vAlign w:val="center"/>
          </w:tcPr>
          <w:p w:rsidR="00706BB2" w:rsidRPr="00BE77DA" w:rsidRDefault="00706BB2" w:rsidP="00FD182E">
            <w:pPr>
              <w:jc w:val="left"/>
              <w:rPr>
                <w:rFonts w:ascii="Arial Narrow" w:hAnsi="Arial Narrow"/>
                <w:sz w:val="20"/>
              </w:rPr>
            </w:pPr>
            <w:r w:rsidRPr="00BE77DA">
              <w:rPr>
                <w:rFonts w:ascii="Arial Narrow" w:hAnsi="Arial Narrow"/>
                <w:sz w:val="20"/>
              </w:rPr>
              <w:t>Vials per admin</w:t>
            </w:r>
          </w:p>
        </w:tc>
        <w:tc>
          <w:tcPr>
            <w:tcW w:w="1195" w:type="pct"/>
            <w:vAlign w:val="center"/>
          </w:tcPr>
          <w:p w:rsidR="00706BB2" w:rsidRPr="00BE77DA" w:rsidRDefault="00706BB2" w:rsidP="00FD182E">
            <w:pPr>
              <w:jc w:val="center"/>
              <w:rPr>
                <w:rFonts w:ascii="Arial Narrow" w:hAnsi="Arial Narrow"/>
                <w:sz w:val="20"/>
              </w:rPr>
            </w:pPr>
            <w:r w:rsidRPr="00BE77DA">
              <w:rPr>
                <w:rFonts w:ascii="Arial Narrow" w:hAnsi="Arial Narrow"/>
                <w:sz w:val="20"/>
              </w:rPr>
              <w:t>Based on patient weight of: 86.13</w:t>
            </w:r>
            <w:r w:rsidR="00D53F82" w:rsidRPr="00BE77DA">
              <w:rPr>
                <w:rFonts w:ascii="Arial Narrow" w:hAnsi="Arial Narrow"/>
                <w:sz w:val="20"/>
              </w:rPr>
              <w:t> </w:t>
            </w:r>
            <w:r w:rsidRPr="00BE77DA">
              <w:rPr>
                <w:rFonts w:ascii="Arial Narrow" w:hAnsi="Arial Narrow"/>
                <w:sz w:val="20"/>
              </w:rPr>
              <w:t>kg from MDX010-20 and 3</w:t>
            </w:r>
            <w:r w:rsidR="00D53F82" w:rsidRPr="00BE77DA">
              <w:rPr>
                <w:rFonts w:ascii="Arial Narrow" w:hAnsi="Arial Narrow"/>
                <w:sz w:val="20"/>
              </w:rPr>
              <w:t> </w:t>
            </w:r>
            <w:r w:rsidRPr="00BE77DA">
              <w:rPr>
                <w:rFonts w:ascii="Arial Narrow" w:hAnsi="Arial Narrow"/>
                <w:sz w:val="20"/>
              </w:rPr>
              <w:t>mg/kg</w:t>
            </w:r>
          </w:p>
        </w:tc>
        <w:tc>
          <w:tcPr>
            <w:tcW w:w="1612" w:type="pct"/>
            <w:vAlign w:val="center"/>
          </w:tcPr>
          <w:p w:rsidR="0084777B" w:rsidRPr="00BE77DA" w:rsidRDefault="0084777B" w:rsidP="00FD182E">
            <w:pPr>
              <w:jc w:val="center"/>
              <w:rPr>
                <w:rFonts w:ascii="Arial Narrow" w:hAnsi="Arial Narrow"/>
                <w:sz w:val="20"/>
              </w:rPr>
            </w:pPr>
            <w:r w:rsidRPr="00BE77DA">
              <w:rPr>
                <w:rFonts w:ascii="Arial Narrow" w:hAnsi="Arial Narrow"/>
                <w:sz w:val="20"/>
              </w:rPr>
              <w:t>258.4</w:t>
            </w:r>
            <w:r w:rsidR="00D53F82" w:rsidRPr="00BE77DA">
              <w:rPr>
                <w:rFonts w:ascii="Arial Narrow" w:hAnsi="Arial Narrow"/>
                <w:sz w:val="20"/>
              </w:rPr>
              <w:t> </w:t>
            </w:r>
            <w:r w:rsidRPr="00BE77DA">
              <w:rPr>
                <w:rFonts w:ascii="Arial Narrow" w:hAnsi="Arial Narrow"/>
                <w:sz w:val="20"/>
              </w:rPr>
              <w:t>mg per dose</w:t>
            </w:r>
          </w:p>
          <w:p w:rsidR="00706BB2" w:rsidRPr="00BE77DA" w:rsidRDefault="00706BB2" w:rsidP="00FD182E">
            <w:pPr>
              <w:jc w:val="center"/>
              <w:rPr>
                <w:rFonts w:ascii="Arial Narrow" w:hAnsi="Arial Narrow"/>
                <w:sz w:val="20"/>
              </w:rPr>
            </w:pPr>
            <w:r w:rsidRPr="00BE77DA">
              <w:rPr>
                <w:rFonts w:ascii="Arial Narrow" w:hAnsi="Arial Narrow"/>
                <w:sz w:val="20"/>
              </w:rPr>
              <w:t>50</w:t>
            </w:r>
            <w:r w:rsidR="00D53F82" w:rsidRPr="00BE77DA">
              <w:rPr>
                <w:rFonts w:ascii="Arial Narrow" w:hAnsi="Arial Narrow"/>
                <w:sz w:val="20"/>
              </w:rPr>
              <w:t> </w:t>
            </w:r>
            <w:r w:rsidRPr="00BE77DA">
              <w:rPr>
                <w:rFonts w:ascii="Arial Narrow" w:hAnsi="Arial Narrow"/>
                <w:sz w:val="20"/>
              </w:rPr>
              <w:t>mg/10</w:t>
            </w:r>
            <w:r w:rsidR="00D53F82" w:rsidRPr="00BE77DA">
              <w:rPr>
                <w:rFonts w:ascii="Arial Narrow" w:hAnsi="Arial Narrow"/>
                <w:sz w:val="20"/>
              </w:rPr>
              <w:t> </w:t>
            </w:r>
            <w:r w:rsidRPr="00BE77DA">
              <w:rPr>
                <w:rFonts w:ascii="Arial Narrow" w:hAnsi="Arial Narrow"/>
                <w:sz w:val="20"/>
              </w:rPr>
              <w:t>mL: 1.35 vials;</w:t>
            </w:r>
          </w:p>
          <w:p w:rsidR="00706BB2" w:rsidRPr="00BE77DA" w:rsidRDefault="00706BB2" w:rsidP="00FD182E">
            <w:pPr>
              <w:jc w:val="center"/>
              <w:rPr>
                <w:rFonts w:ascii="Arial Narrow" w:hAnsi="Arial Narrow"/>
                <w:sz w:val="20"/>
              </w:rPr>
            </w:pPr>
            <w:r w:rsidRPr="00BE77DA">
              <w:rPr>
                <w:rFonts w:ascii="Arial Narrow" w:hAnsi="Arial Narrow"/>
                <w:sz w:val="20"/>
              </w:rPr>
              <w:t>200</w:t>
            </w:r>
            <w:r w:rsidR="00D53F82" w:rsidRPr="00BE77DA">
              <w:rPr>
                <w:rFonts w:ascii="Arial Narrow" w:hAnsi="Arial Narrow"/>
                <w:sz w:val="20"/>
              </w:rPr>
              <w:t> </w:t>
            </w:r>
            <w:r w:rsidRPr="00BE77DA">
              <w:rPr>
                <w:rFonts w:ascii="Arial Narrow" w:hAnsi="Arial Narrow"/>
                <w:sz w:val="20"/>
              </w:rPr>
              <w:t>mg/40</w:t>
            </w:r>
            <w:r w:rsidR="00D53F82" w:rsidRPr="00BE77DA">
              <w:rPr>
                <w:rFonts w:ascii="Arial Narrow" w:hAnsi="Arial Narrow"/>
                <w:sz w:val="20"/>
              </w:rPr>
              <w:t> </w:t>
            </w:r>
            <w:r w:rsidRPr="00BE77DA">
              <w:rPr>
                <w:rFonts w:ascii="Arial Narrow" w:hAnsi="Arial Narrow"/>
                <w:sz w:val="20"/>
              </w:rPr>
              <w:t>mL: 1.01 vials</w:t>
            </w:r>
          </w:p>
        </w:tc>
        <w:tc>
          <w:tcPr>
            <w:tcW w:w="640" w:type="pct"/>
            <w:vMerge/>
            <w:vAlign w:val="center"/>
          </w:tcPr>
          <w:p w:rsidR="00706BB2" w:rsidRPr="00BE77DA" w:rsidRDefault="00706BB2" w:rsidP="00FD182E">
            <w:pPr>
              <w:jc w:val="center"/>
              <w:rPr>
                <w:rFonts w:ascii="Arial Narrow" w:hAnsi="Arial Narrow"/>
                <w:sz w:val="20"/>
              </w:rPr>
            </w:pPr>
          </w:p>
        </w:tc>
        <w:tc>
          <w:tcPr>
            <w:tcW w:w="965" w:type="pct"/>
            <w:vMerge/>
            <w:vAlign w:val="center"/>
          </w:tcPr>
          <w:p w:rsidR="00706BB2" w:rsidRPr="00BE77DA" w:rsidRDefault="00706BB2" w:rsidP="00FD182E">
            <w:pPr>
              <w:jc w:val="center"/>
              <w:rPr>
                <w:rFonts w:ascii="Arial Narrow" w:hAnsi="Arial Narrow"/>
                <w:sz w:val="20"/>
              </w:rPr>
            </w:pPr>
          </w:p>
        </w:tc>
      </w:tr>
    </w:tbl>
    <w:p w:rsidR="00B322E7" w:rsidRPr="00BE77DA" w:rsidRDefault="00B322E7" w:rsidP="00B322E7">
      <w:pPr>
        <w:ind w:left="720"/>
        <w:rPr>
          <w:rFonts w:ascii="Arial Narrow" w:hAnsi="Arial Narrow"/>
          <w:sz w:val="18"/>
        </w:rPr>
      </w:pPr>
      <w:r w:rsidRPr="00BE77DA">
        <w:rPr>
          <w:rFonts w:ascii="Arial Narrow" w:hAnsi="Arial Narrow"/>
          <w:sz w:val="18"/>
        </w:rPr>
        <w:t>These costs include a preparation fee of $</w:t>
      </w:r>
      <w:r w:rsidRPr="007C7800">
        <w:rPr>
          <w:rFonts w:ascii="Arial Narrow" w:hAnsi="Arial Narrow"/>
          <w:sz w:val="18"/>
        </w:rPr>
        <w:t>102.67</w:t>
      </w:r>
      <w:r w:rsidRPr="00BE77DA">
        <w:rPr>
          <w:rFonts w:ascii="Arial Narrow" w:hAnsi="Arial Narrow"/>
          <w:sz w:val="18"/>
        </w:rPr>
        <w:t xml:space="preserve"> rather than the $</w:t>
      </w:r>
      <w:r w:rsidRPr="007C7800">
        <w:rPr>
          <w:rFonts w:ascii="Arial Narrow" w:hAnsi="Arial Narrow"/>
          <w:sz w:val="18"/>
        </w:rPr>
        <w:t>82.67</w:t>
      </w:r>
      <w:r w:rsidRPr="00BE77DA">
        <w:rPr>
          <w:rFonts w:ascii="Arial Narrow" w:hAnsi="Arial Narrow"/>
          <w:sz w:val="18"/>
        </w:rPr>
        <w:t xml:space="preserve"> that is assumed to be the preparation fee by the submission</w:t>
      </w:r>
      <w:r w:rsidR="00426999" w:rsidRPr="00BE77DA">
        <w:rPr>
          <w:rFonts w:ascii="Arial Narrow" w:hAnsi="Arial Narrow"/>
          <w:sz w:val="18"/>
        </w:rPr>
        <w:t>.</w:t>
      </w:r>
    </w:p>
    <w:p w:rsidR="00B322E7" w:rsidRPr="00BE77DA" w:rsidRDefault="00B322E7" w:rsidP="00B322E7">
      <w:pPr>
        <w:ind w:left="720"/>
        <w:rPr>
          <w:rFonts w:ascii="Arial Narrow" w:hAnsi="Arial Narrow"/>
          <w:sz w:val="18"/>
        </w:rPr>
      </w:pPr>
      <w:r w:rsidRPr="00BE77DA">
        <w:rPr>
          <w:rFonts w:ascii="Arial Narrow" w:hAnsi="Arial Narrow"/>
          <w:sz w:val="18"/>
        </w:rPr>
        <w:t>The costs assume a 40/60 public/private split of prescriptions</w:t>
      </w:r>
    </w:p>
    <w:p w:rsidR="00706BB2" w:rsidRPr="00BE77DA" w:rsidRDefault="00706BB2" w:rsidP="00CB549A">
      <w:pPr>
        <w:ind w:left="720"/>
        <w:rPr>
          <w:rFonts w:ascii="Arial Narrow" w:hAnsi="Arial Narrow"/>
          <w:sz w:val="18"/>
        </w:rPr>
      </w:pPr>
      <w:r w:rsidRPr="00BE77DA">
        <w:rPr>
          <w:rFonts w:ascii="Arial Narrow" w:hAnsi="Arial Narrow"/>
          <w:sz w:val="20"/>
          <w:vertAlign w:val="superscript"/>
        </w:rPr>
        <w:t>*</w:t>
      </w:r>
      <w:r w:rsidRPr="00BE77DA">
        <w:rPr>
          <w:rFonts w:ascii="Arial Narrow" w:hAnsi="Arial Narrow"/>
          <w:sz w:val="18"/>
        </w:rPr>
        <w:t>Assuming a weighted DPMA of $</w:t>
      </w:r>
      <w:r w:rsidR="006A72B9">
        <w:rPr>
          <w:rFonts w:ascii="Arial Narrow" w:hAnsi="Arial Narrow"/>
          <w:noProof/>
          <w:color w:val="000000"/>
          <w:sz w:val="18"/>
          <w:highlight w:val="black"/>
        </w:rPr>
        <w:t>'''''''''''''''''''''''</w:t>
      </w:r>
      <w:r w:rsidRPr="00BE77DA">
        <w:rPr>
          <w:rFonts w:ascii="Arial Narrow" w:hAnsi="Arial Narrow"/>
          <w:sz w:val="18"/>
        </w:rPr>
        <w:t xml:space="preserve"> per 1mL vial for T-VEC</w:t>
      </w:r>
      <w:r w:rsidR="00CB549A" w:rsidRPr="00BE77DA">
        <w:rPr>
          <w:rFonts w:ascii="Arial Narrow" w:hAnsi="Arial Narrow"/>
          <w:sz w:val="18"/>
        </w:rPr>
        <w:t xml:space="preserve"> (the weighted DPMA used in the submission</w:t>
      </w:r>
      <w:r w:rsidR="00B322E7" w:rsidRPr="00BE77DA">
        <w:rPr>
          <w:rFonts w:ascii="Arial Narrow" w:hAnsi="Arial Narrow"/>
          <w:sz w:val="18"/>
        </w:rPr>
        <w:t xml:space="preserve"> after adjustment for the $</w:t>
      </w:r>
      <w:r w:rsidR="00B322E7" w:rsidRPr="007C7800">
        <w:rPr>
          <w:rFonts w:ascii="Arial Narrow" w:hAnsi="Arial Narrow"/>
          <w:sz w:val="18"/>
        </w:rPr>
        <w:t>102.67</w:t>
      </w:r>
      <w:r w:rsidR="00B322E7" w:rsidRPr="00BE77DA">
        <w:rPr>
          <w:rFonts w:ascii="Arial Narrow" w:hAnsi="Arial Narrow"/>
          <w:sz w:val="18"/>
        </w:rPr>
        <w:t xml:space="preserve"> preparation fee instead of the $</w:t>
      </w:r>
      <w:r w:rsidR="00B322E7" w:rsidRPr="007C7800">
        <w:rPr>
          <w:rFonts w:ascii="Arial Narrow" w:hAnsi="Arial Narrow"/>
          <w:sz w:val="18"/>
        </w:rPr>
        <w:t>82.67</w:t>
      </w:r>
      <w:r w:rsidR="00B322E7" w:rsidRPr="00BE77DA">
        <w:rPr>
          <w:rFonts w:ascii="Arial Narrow" w:hAnsi="Arial Narrow"/>
          <w:sz w:val="18"/>
        </w:rPr>
        <w:t xml:space="preserve"> used by the submission</w:t>
      </w:r>
      <w:r w:rsidR="00CB549A" w:rsidRPr="00BE77DA">
        <w:rPr>
          <w:rFonts w:ascii="Arial Narrow" w:hAnsi="Arial Narrow"/>
          <w:sz w:val="18"/>
        </w:rPr>
        <w:t>)</w:t>
      </w:r>
      <w:r w:rsidR="00426999" w:rsidRPr="00BE77DA">
        <w:rPr>
          <w:rFonts w:ascii="Arial Narrow" w:hAnsi="Arial Narrow"/>
          <w:sz w:val="18"/>
        </w:rPr>
        <w:t>.</w:t>
      </w:r>
    </w:p>
    <w:p w:rsidR="00706BB2" w:rsidRPr="00BE77DA" w:rsidRDefault="00E50489" w:rsidP="00706BB2">
      <w:pPr>
        <w:ind w:firstLine="720"/>
        <w:rPr>
          <w:rFonts w:ascii="Arial Narrow" w:hAnsi="Arial Narrow"/>
          <w:sz w:val="18"/>
        </w:rPr>
      </w:pPr>
      <w:r w:rsidRPr="00BE77DA">
        <w:rPr>
          <w:rFonts w:ascii="Arial Narrow" w:hAnsi="Arial Narrow"/>
          <w:sz w:val="18"/>
          <w:szCs w:val="18"/>
        </w:rPr>
        <w:t xml:space="preserve">PFU=plaque forming units; </w:t>
      </w:r>
      <w:r w:rsidR="00706BB2" w:rsidRPr="00BE77DA">
        <w:rPr>
          <w:rFonts w:ascii="Arial Narrow" w:hAnsi="Arial Narrow"/>
          <w:sz w:val="18"/>
        </w:rPr>
        <w:t>T-VEC=</w:t>
      </w:r>
      <w:proofErr w:type="spellStart"/>
      <w:r w:rsidR="00706BB2" w:rsidRPr="00BE77DA">
        <w:rPr>
          <w:rFonts w:ascii="Arial Narrow" w:hAnsi="Arial Narrow"/>
          <w:sz w:val="18"/>
        </w:rPr>
        <w:t>talimogene</w:t>
      </w:r>
      <w:proofErr w:type="spellEnd"/>
      <w:r w:rsidR="00706BB2" w:rsidRPr="00BE77DA">
        <w:rPr>
          <w:rFonts w:ascii="Arial Narrow" w:hAnsi="Arial Narrow"/>
          <w:sz w:val="18"/>
        </w:rPr>
        <w:t xml:space="preserve"> </w:t>
      </w:r>
      <w:proofErr w:type="spellStart"/>
      <w:r w:rsidR="00706BB2" w:rsidRPr="00BE77DA">
        <w:rPr>
          <w:rFonts w:ascii="Arial Narrow" w:hAnsi="Arial Narrow"/>
          <w:sz w:val="18"/>
        </w:rPr>
        <w:t>laherparepvec</w:t>
      </w:r>
      <w:proofErr w:type="spellEnd"/>
    </w:p>
    <w:p w:rsidR="00706BB2" w:rsidRPr="00BE77DA" w:rsidRDefault="00706BB2" w:rsidP="00706BB2">
      <w:pPr>
        <w:ind w:firstLine="720"/>
      </w:pPr>
      <w:r w:rsidRPr="00BE77DA">
        <w:rPr>
          <w:rFonts w:ascii="Arial Narrow" w:hAnsi="Arial Narrow"/>
          <w:sz w:val="18"/>
        </w:rPr>
        <w:t>Source: compiled during the evaluation</w:t>
      </w:r>
    </w:p>
    <w:p w:rsidR="00706BB2" w:rsidRPr="00BE77DA" w:rsidRDefault="00706BB2" w:rsidP="00706BB2">
      <w:pPr>
        <w:widowControl/>
        <w:rPr>
          <w:szCs w:val="22"/>
        </w:rPr>
      </w:pPr>
    </w:p>
    <w:p w:rsidR="00A5200E" w:rsidRPr="005E6BB6" w:rsidRDefault="00AA0637" w:rsidP="00ED000E">
      <w:pPr>
        <w:pStyle w:val="ListParagraph"/>
        <w:numPr>
          <w:ilvl w:val="1"/>
          <w:numId w:val="1"/>
        </w:numPr>
      </w:pPr>
      <w:r w:rsidRPr="005E6BB6">
        <w:rPr>
          <w:szCs w:val="22"/>
        </w:rPr>
        <w:t>The cost of T-VEC per patient li</w:t>
      </w:r>
      <w:r w:rsidR="003D6285" w:rsidRPr="005E6BB6">
        <w:rPr>
          <w:szCs w:val="22"/>
        </w:rPr>
        <w:t>fetime was calculated based on</w:t>
      </w:r>
      <w:r w:rsidRPr="005E6BB6">
        <w:rPr>
          <w:szCs w:val="22"/>
        </w:rPr>
        <w:t xml:space="preserve"> the mean number of vials per injection used in </w:t>
      </w:r>
      <w:proofErr w:type="spellStart"/>
      <w:r w:rsidRPr="005E6BB6">
        <w:rPr>
          <w:szCs w:val="22"/>
        </w:rPr>
        <w:t>OPTiM</w:t>
      </w:r>
      <w:proofErr w:type="spellEnd"/>
      <w:r w:rsidRPr="005E6BB6">
        <w:rPr>
          <w:szCs w:val="22"/>
        </w:rPr>
        <w:t xml:space="preserve"> and the mean number of injections per patient, excluding accelerated dosing, excluding patients who entered the extension phase of the trial, and assuming that the </w:t>
      </w:r>
      <w:r w:rsidRPr="005E6BB6">
        <w:t>proposed PBS continuation rules for</w:t>
      </w:r>
      <w:r w:rsidR="0034756B" w:rsidRPr="005E6BB6">
        <w:t xml:space="preserve"> partial response (</w:t>
      </w:r>
      <w:r w:rsidRPr="005E6BB6">
        <w:t>PR</w:t>
      </w:r>
      <w:r w:rsidR="0034756B" w:rsidRPr="005E6BB6">
        <w:t>)</w:t>
      </w:r>
      <w:r w:rsidRPr="005E6BB6">
        <w:t xml:space="preserve">, </w:t>
      </w:r>
      <w:r w:rsidR="0034756B" w:rsidRPr="005E6BB6">
        <w:t>complete response (</w:t>
      </w:r>
      <w:r w:rsidRPr="005E6BB6">
        <w:t>CR</w:t>
      </w:r>
      <w:r w:rsidR="0034756B" w:rsidRPr="005E6BB6">
        <w:t>)</w:t>
      </w:r>
      <w:r w:rsidRPr="005E6BB6">
        <w:t xml:space="preserve"> or </w:t>
      </w:r>
      <w:r w:rsidR="0034756B" w:rsidRPr="005E6BB6">
        <w:t>stable disease (</w:t>
      </w:r>
      <w:r w:rsidRPr="005E6BB6">
        <w:t>SD</w:t>
      </w:r>
      <w:r w:rsidR="0034756B" w:rsidRPr="005E6BB6">
        <w:t>)</w:t>
      </w:r>
      <w:r w:rsidRPr="005E6BB6">
        <w:t xml:space="preserve"> at 6 months would apply.  </w:t>
      </w:r>
      <w:r w:rsidR="00C42F91" w:rsidRPr="005E6BB6">
        <w:t xml:space="preserve">This equated to </w:t>
      </w:r>
      <w:r w:rsidR="006A72B9">
        <w:rPr>
          <w:noProof/>
          <w:color w:val="000000"/>
          <w:highlight w:val="black"/>
        </w:rPr>
        <w:t>'''''''''''''</w:t>
      </w:r>
      <w:r w:rsidR="00D53F82" w:rsidRPr="005E6BB6">
        <w:t> </w:t>
      </w:r>
      <w:r w:rsidR="00C42F91" w:rsidRPr="005E6BB6">
        <w:t>mL of T-VEC per patient lifetime</w:t>
      </w:r>
      <w:r w:rsidR="00FF3436" w:rsidRPr="005E6BB6">
        <w:t xml:space="preserve"> (</w:t>
      </w:r>
      <w:r w:rsidR="006A72B9">
        <w:rPr>
          <w:noProof/>
          <w:color w:val="000000"/>
          <w:highlight w:val="black"/>
        </w:rPr>
        <w:t>''''''''''</w:t>
      </w:r>
      <w:r w:rsidR="00057B38" w:rsidRPr="005E6BB6">
        <w:t> </w:t>
      </w:r>
      <w:r w:rsidR="00FF3436" w:rsidRPr="005E6BB6">
        <w:t>mL of 1</w:t>
      </w:r>
      <w:r w:rsidR="00057B38" w:rsidRPr="005E6BB6">
        <w:t> million </w:t>
      </w:r>
      <w:r w:rsidR="00FF3436" w:rsidRPr="005E6BB6">
        <w:t xml:space="preserve">PFU/mL and </w:t>
      </w:r>
      <w:r w:rsidR="006A72B9">
        <w:rPr>
          <w:noProof/>
          <w:color w:val="000000"/>
          <w:highlight w:val="black"/>
        </w:rPr>
        <w:t>''''''''''''''</w:t>
      </w:r>
      <w:r w:rsidR="00FF3436" w:rsidRPr="005E6BB6">
        <w:t xml:space="preserve"> injections of </w:t>
      </w:r>
      <w:r w:rsidR="006A72B9">
        <w:rPr>
          <w:noProof/>
          <w:color w:val="000000"/>
          <w:highlight w:val="black"/>
        </w:rPr>
        <w:t>''''''''''</w:t>
      </w:r>
      <w:r w:rsidR="00057B38" w:rsidRPr="005E6BB6">
        <w:t> </w:t>
      </w:r>
      <w:r w:rsidR="00FF3436" w:rsidRPr="005E6BB6">
        <w:t>mL of 10</w:t>
      </w:r>
      <w:r w:rsidR="00057B38" w:rsidRPr="005E6BB6">
        <w:t>0 million </w:t>
      </w:r>
      <w:r w:rsidR="00FF3436" w:rsidRPr="005E6BB6">
        <w:t>PFU/mL)</w:t>
      </w:r>
      <w:r w:rsidR="00065480" w:rsidRPr="005E6BB6">
        <w:t>, noting that there are minor differences in the drug cost/patient/lifetime due to rounding</w:t>
      </w:r>
      <w:r w:rsidR="00C42F91" w:rsidRPr="005E6BB6">
        <w:t>.</w:t>
      </w:r>
    </w:p>
    <w:p w:rsidR="00A5200E" w:rsidRPr="005E6BB6" w:rsidRDefault="00A5200E" w:rsidP="00A5200E"/>
    <w:p w:rsidR="00B60939" w:rsidRPr="005E6BB6" w:rsidRDefault="00AA0637" w:rsidP="00ED000E">
      <w:pPr>
        <w:pStyle w:val="ListParagraph"/>
        <w:numPr>
          <w:ilvl w:val="1"/>
          <w:numId w:val="1"/>
        </w:numPr>
        <w:rPr>
          <w:szCs w:val="22"/>
        </w:rPr>
      </w:pPr>
      <w:r w:rsidRPr="005E6BB6">
        <w:t xml:space="preserve">There was no allowance for re-treatment with T-VEC in the future should new lesions develop.  In clinical practice, patients may remain on therapy with T-VEC for longer than </w:t>
      </w:r>
      <w:r w:rsidR="000715D9" w:rsidRPr="005E6BB6">
        <w:t xml:space="preserve">assumed by the submission.  As such, the cost per patient lifetime is considered to be underestimated. </w:t>
      </w:r>
      <w:r w:rsidR="00257AD5" w:rsidRPr="005E6BB6">
        <w:t xml:space="preserve"> </w:t>
      </w:r>
      <w:r w:rsidR="00A63589" w:rsidRPr="005E6BB6">
        <w:t>The PSCR stated that the Sponsor does not intend to allow re</w:t>
      </w:r>
      <w:r w:rsidR="00583B01" w:rsidRPr="005E6BB6">
        <w:t>-</w:t>
      </w:r>
      <w:r w:rsidR="00A63589" w:rsidRPr="005E6BB6">
        <w:t xml:space="preserve">treatment </w:t>
      </w:r>
      <w:r w:rsidR="00215973">
        <w:t xml:space="preserve">with T-VEC </w:t>
      </w:r>
      <w:r w:rsidR="00A63589" w:rsidRPr="005E6BB6">
        <w:t xml:space="preserve">in patients in whom new lesions arise, on the basis that there is no evidence for retreatment.  </w:t>
      </w:r>
      <w:r w:rsidR="00583B01" w:rsidRPr="005E6BB6">
        <w:t xml:space="preserve">The </w:t>
      </w:r>
      <w:r w:rsidR="00A63589" w:rsidRPr="005E6BB6">
        <w:t>ESC considered that r</w:t>
      </w:r>
      <w:r w:rsidR="00A63589" w:rsidRPr="005E6BB6">
        <w:rPr>
          <w:iCs/>
          <w:lang w:val="en-US"/>
        </w:rPr>
        <w:t>e-treatment of new lesions would be theoretically beneficial and patients could potentially have multiple episodes of re-treatment.</w:t>
      </w:r>
      <w:r w:rsidR="00583B01" w:rsidRPr="005E6BB6">
        <w:rPr>
          <w:iCs/>
          <w:lang w:val="en-US"/>
        </w:rPr>
        <w:t xml:space="preserve">  Given that the median time to response ranged from 1.2 to 16.7 months in </w:t>
      </w:r>
      <w:proofErr w:type="spellStart"/>
      <w:r w:rsidR="00583B01" w:rsidRPr="005E6BB6">
        <w:rPr>
          <w:iCs/>
          <w:lang w:val="en-US"/>
        </w:rPr>
        <w:t>OPTiM</w:t>
      </w:r>
      <w:proofErr w:type="spellEnd"/>
      <w:r w:rsidR="00583B01" w:rsidRPr="005E6BB6">
        <w:rPr>
          <w:iCs/>
          <w:lang w:val="en-US"/>
        </w:rPr>
        <w:t>, there is the potential that some patients may receive a longer duration of treatment.</w:t>
      </w:r>
    </w:p>
    <w:p w:rsidR="00941383" w:rsidRPr="00941383" w:rsidRDefault="00941383" w:rsidP="006A72B9">
      <w:bookmarkStart w:id="24" w:name="_Toc451340814"/>
    </w:p>
    <w:p w:rsidR="00B60939" w:rsidRPr="00941383" w:rsidRDefault="00B60939" w:rsidP="006A72B9">
      <w:pPr>
        <w:pStyle w:val="Heading2"/>
      </w:pPr>
      <w:r w:rsidRPr="00941383">
        <w:t>Estimated PBS usage &amp; financial implications</w:t>
      </w:r>
      <w:bookmarkEnd w:id="24"/>
    </w:p>
    <w:p w:rsidR="00B60939" w:rsidRPr="00BE77DA" w:rsidRDefault="00B60939" w:rsidP="00941383">
      <w:pPr>
        <w:widowControl/>
        <w:ind w:left="720" w:hanging="720"/>
        <w:rPr>
          <w:szCs w:val="22"/>
        </w:rPr>
      </w:pPr>
    </w:p>
    <w:p w:rsidR="005D688C" w:rsidRPr="005E6BB6" w:rsidRDefault="00C25D9C" w:rsidP="00941383">
      <w:pPr>
        <w:pStyle w:val="ListParagraph"/>
        <w:widowControl/>
        <w:numPr>
          <w:ilvl w:val="1"/>
          <w:numId w:val="1"/>
        </w:numPr>
      </w:pPr>
      <w:r w:rsidRPr="005E6BB6">
        <w:t xml:space="preserve">This submission </w:t>
      </w:r>
      <w:r w:rsidR="001C7D99" w:rsidRPr="005E6BB6">
        <w:t>wa</w:t>
      </w:r>
      <w:r w:rsidR="009F2CA4" w:rsidRPr="005E6BB6">
        <w:t xml:space="preserve">s not </w:t>
      </w:r>
      <w:r w:rsidRPr="005E6BB6">
        <w:t xml:space="preserve">considered by DUSC.  </w:t>
      </w:r>
      <w:r w:rsidR="00C36295" w:rsidRPr="005E6BB6">
        <w:t xml:space="preserve">The submission used </w:t>
      </w:r>
      <w:r w:rsidR="00C63E3C" w:rsidRPr="005E6BB6">
        <w:rPr>
          <w:snapToGrid/>
          <w:lang w:val="en-US" w:eastAsia="en-AU"/>
        </w:rPr>
        <w:t xml:space="preserve">a combined epidemiological/market share approach to </w:t>
      </w:r>
      <w:r w:rsidR="00431823" w:rsidRPr="005E6BB6">
        <w:rPr>
          <w:snapToGrid/>
          <w:lang w:val="en-US" w:eastAsia="en-AU"/>
        </w:rPr>
        <w:t>estimate the extent of use and financial implications of listing T-VEC for the treatment of unresectable malignant melanoma without visceral metastases.</w:t>
      </w:r>
    </w:p>
    <w:p w:rsidR="00C63E3C" w:rsidRPr="005E6BB6" w:rsidRDefault="00C63E3C" w:rsidP="005D688C">
      <w:pPr>
        <w:widowControl/>
      </w:pPr>
    </w:p>
    <w:p w:rsidR="005D688C" w:rsidRPr="005E6BB6" w:rsidRDefault="005D688C" w:rsidP="00ED000E">
      <w:pPr>
        <w:pStyle w:val="ListParagraph"/>
        <w:widowControl/>
        <w:numPr>
          <w:ilvl w:val="1"/>
          <w:numId w:val="1"/>
        </w:numPr>
        <w:rPr>
          <w:szCs w:val="22"/>
        </w:rPr>
      </w:pPr>
      <w:r w:rsidRPr="005E6BB6">
        <w:t xml:space="preserve">The submission used the cost </w:t>
      </w:r>
      <w:r w:rsidR="00122AC6" w:rsidRPr="005E6BB6">
        <w:t xml:space="preserve">per patient to the PBS </w:t>
      </w:r>
      <w:r w:rsidRPr="005E6BB6">
        <w:t xml:space="preserve">of ipilimumab as a proxy for the </w:t>
      </w:r>
      <w:r w:rsidR="00122AC6" w:rsidRPr="005E6BB6">
        <w:t xml:space="preserve">corresponding </w:t>
      </w:r>
      <w:r w:rsidRPr="005E6BB6">
        <w:t>cost</w:t>
      </w:r>
      <w:r w:rsidR="00122AC6" w:rsidRPr="005E6BB6">
        <w:t>s</w:t>
      </w:r>
      <w:r w:rsidRPr="005E6BB6">
        <w:t xml:space="preserve"> of </w:t>
      </w:r>
      <w:proofErr w:type="spellStart"/>
      <w:r w:rsidRPr="005E6BB6">
        <w:t>pembrolizumab</w:t>
      </w:r>
      <w:proofErr w:type="spellEnd"/>
      <w:r w:rsidRPr="005E6BB6">
        <w:t xml:space="preserve"> and </w:t>
      </w:r>
      <w:proofErr w:type="spellStart"/>
      <w:r w:rsidRPr="005E6BB6">
        <w:t>nivolumab</w:t>
      </w:r>
      <w:proofErr w:type="spellEnd"/>
      <w:r w:rsidRPr="005E6BB6">
        <w:t>, since the submission stated that th</w:t>
      </w:r>
      <w:r w:rsidR="00122AC6" w:rsidRPr="005E6BB6">
        <w:t>is</w:t>
      </w:r>
      <w:r w:rsidRPr="005E6BB6">
        <w:t xml:space="preserve"> cost of ipilimumab with its fixed number of treatment cycles c</w:t>
      </w:r>
      <w:r w:rsidR="00CB549A" w:rsidRPr="005E6BB6">
        <w:t>ould</w:t>
      </w:r>
      <w:r w:rsidRPr="005E6BB6">
        <w:t xml:space="preserve"> be calculated more reliably than for </w:t>
      </w:r>
      <w:proofErr w:type="spellStart"/>
      <w:r w:rsidRPr="005E6BB6">
        <w:t>pembrolizumab</w:t>
      </w:r>
      <w:proofErr w:type="spellEnd"/>
      <w:r w:rsidRPr="005E6BB6">
        <w:t xml:space="preserve"> or </w:t>
      </w:r>
      <w:proofErr w:type="spellStart"/>
      <w:r w:rsidRPr="005E6BB6">
        <w:t>nivolumab</w:t>
      </w:r>
      <w:proofErr w:type="spellEnd"/>
      <w:r w:rsidRPr="005E6BB6">
        <w:t xml:space="preserve">, which are given until disease progression. </w:t>
      </w:r>
      <w:r w:rsidR="00057B38" w:rsidRPr="005E6BB6">
        <w:t xml:space="preserve"> </w:t>
      </w:r>
      <w:r w:rsidRPr="005E6BB6">
        <w:t xml:space="preserve">The submission used the published price of ipilimumab in estimating the financial impact of listing T-VEC on the PBS.  This approach was reasonable since the submission proposed a reduced effective price for T-VEC to match the effective price of </w:t>
      </w:r>
      <w:r w:rsidR="006675C0" w:rsidRPr="005E6BB6">
        <w:t>ipilimumab</w:t>
      </w:r>
      <w:r w:rsidRPr="005E6BB6">
        <w:t>.</w:t>
      </w:r>
    </w:p>
    <w:p w:rsidR="009F2CA4" w:rsidRPr="005E6BB6" w:rsidRDefault="009F2CA4" w:rsidP="009F2CA4">
      <w:pPr>
        <w:widowControl/>
      </w:pPr>
    </w:p>
    <w:p w:rsidR="009F2CA4" w:rsidRPr="005E6BB6" w:rsidRDefault="00CB549A" w:rsidP="00ED000E">
      <w:pPr>
        <w:pStyle w:val="ListParagraph"/>
        <w:widowControl/>
        <w:numPr>
          <w:ilvl w:val="1"/>
          <w:numId w:val="1"/>
        </w:numPr>
      </w:pPr>
      <w:r w:rsidRPr="005E6BB6">
        <w:t>The estimated use and financial implications of listing T-VEC on the PBS are shown i</w:t>
      </w:r>
      <w:r w:rsidR="00E347DF" w:rsidRPr="005E6BB6">
        <w:t xml:space="preserve">n </w:t>
      </w:r>
      <w:r w:rsidR="00D07F7B" w:rsidRPr="007217C1">
        <w:t xml:space="preserve">Table </w:t>
      </w:r>
      <w:r w:rsidR="00D07F7B">
        <w:rPr>
          <w:noProof/>
        </w:rPr>
        <w:t>8</w:t>
      </w:r>
      <w:r w:rsidR="00BF145B" w:rsidRPr="005E6BB6">
        <w:t>.</w:t>
      </w:r>
    </w:p>
    <w:p w:rsidR="00C63E3C" w:rsidRPr="005E6BB6" w:rsidRDefault="00C63E3C" w:rsidP="00057B38">
      <w:pPr>
        <w:widowControl/>
      </w:pPr>
    </w:p>
    <w:p w:rsidR="007217C1" w:rsidRPr="00051969" w:rsidRDefault="007217C1" w:rsidP="00051969">
      <w:pPr>
        <w:pStyle w:val="TableHeader"/>
        <w:keepNext/>
        <w:keepLines/>
        <w:ind w:left="720"/>
        <w:rPr>
          <w:rFonts w:ascii="Arial Narrow" w:hAnsi="Arial Narrow" w:cs="Times New Roman"/>
          <w:bCs/>
        </w:rPr>
      </w:pPr>
      <w:bookmarkStart w:id="25" w:name="_Ref453171356"/>
      <w:r w:rsidRPr="00051969">
        <w:rPr>
          <w:rFonts w:ascii="Arial Narrow" w:hAnsi="Arial Narrow" w:cs="Times New Roman"/>
          <w:bCs/>
        </w:rPr>
        <w:t xml:space="preserve">Table </w:t>
      </w:r>
      <w:r w:rsidR="00D07F7B" w:rsidRPr="00051969">
        <w:rPr>
          <w:rFonts w:ascii="Arial Narrow" w:hAnsi="Arial Narrow" w:cs="Times New Roman"/>
          <w:bCs/>
        </w:rPr>
        <w:t>8</w:t>
      </w:r>
      <w:bookmarkEnd w:id="25"/>
      <w:r w:rsidRPr="00051969">
        <w:rPr>
          <w:rFonts w:ascii="Arial Narrow" w:hAnsi="Arial Narrow" w:cs="Times New Roman"/>
          <w:bCs/>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25D9C" w:rsidRPr="00BE77DA" w:rsidTr="005D044D">
        <w:trPr>
          <w:tblHeader/>
        </w:trPr>
        <w:tc>
          <w:tcPr>
            <w:tcW w:w="1359" w:type="pct"/>
            <w:shd w:val="clear" w:color="auto" w:fill="auto"/>
            <w:vAlign w:val="center"/>
          </w:tcPr>
          <w:p w:rsidR="00C25D9C" w:rsidRPr="00BE77DA"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BE77DA" w:rsidRDefault="00C25D9C" w:rsidP="00B8649C">
            <w:pPr>
              <w:jc w:val="center"/>
              <w:rPr>
                <w:rFonts w:ascii="Arial Narrow" w:hAnsi="Arial Narrow"/>
                <w:b/>
                <w:sz w:val="20"/>
              </w:rPr>
            </w:pPr>
            <w:r w:rsidRPr="00BE77DA">
              <w:rPr>
                <w:rFonts w:ascii="Arial Narrow" w:hAnsi="Arial Narrow"/>
                <w:b/>
                <w:sz w:val="20"/>
              </w:rPr>
              <w:t>Year 1</w:t>
            </w:r>
          </w:p>
        </w:tc>
        <w:tc>
          <w:tcPr>
            <w:tcW w:w="679" w:type="pct"/>
            <w:shd w:val="clear" w:color="auto" w:fill="auto"/>
            <w:vAlign w:val="center"/>
          </w:tcPr>
          <w:p w:rsidR="00C25D9C" w:rsidRPr="00BE77DA" w:rsidRDefault="00C25D9C" w:rsidP="00B8649C">
            <w:pPr>
              <w:jc w:val="center"/>
              <w:rPr>
                <w:rFonts w:ascii="Arial Narrow" w:hAnsi="Arial Narrow"/>
                <w:b/>
                <w:sz w:val="20"/>
              </w:rPr>
            </w:pPr>
            <w:r w:rsidRPr="00BE77DA">
              <w:rPr>
                <w:rFonts w:ascii="Arial Narrow" w:hAnsi="Arial Narrow"/>
                <w:b/>
                <w:sz w:val="20"/>
              </w:rPr>
              <w:t>Year 2</w:t>
            </w:r>
          </w:p>
        </w:tc>
        <w:tc>
          <w:tcPr>
            <w:tcW w:w="764" w:type="pct"/>
            <w:shd w:val="clear" w:color="auto" w:fill="auto"/>
            <w:vAlign w:val="center"/>
          </w:tcPr>
          <w:p w:rsidR="00C25D9C" w:rsidRPr="00BE77DA" w:rsidRDefault="00C25D9C" w:rsidP="00B8649C">
            <w:pPr>
              <w:jc w:val="center"/>
              <w:rPr>
                <w:rFonts w:ascii="Arial Narrow" w:hAnsi="Arial Narrow"/>
                <w:b/>
                <w:sz w:val="20"/>
              </w:rPr>
            </w:pPr>
            <w:r w:rsidRPr="00BE77DA">
              <w:rPr>
                <w:rFonts w:ascii="Arial Narrow" w:hAnsi="Arial Narrow"/>
                <w:b/>
                <w:sz w:val="20"/>
              </w:rPr>
              <w:t>Year 3</w:t>
            </w:r>
          </w:p>
        </w:tc>
        <w:tc>
          <w:tcPr>
            <w:tcW w:w="764" w:type="pct"/>
            <w:shd w:val="clear" w:color="auto" w:fill="auto"/>
            <w:vAlign w:val="center"/>
          </w:tcPr>
          <w:p w:rsidR="00C25D9C" w:rsidRPr="00BE77DA" w:rsidRDefault="00C25D9C" w:rsidP="00B8649C">
            <w:pPr>
              <w:jc w:val="center"/>
              <w:rPr>
                <w:rFonts w:ascii="Arial Narrow" w:hAnsi="Arial Narrow"/>
                <w:b/>
                <w:sz w:val="20"/>
              </w:rPr>
            </w:pPr>
            <w:r w:rsidRPr="00BE77DA">
              <w:rPr>
                <w:rFonts w:ascii="Arial Narrow" w:hAnsi="Arial Narrow"/>
                <w:b/>
                <w:sz w:val="20"/>
              </w:rPr>
              <w:t>Year 4</w:t>
            </w:r>
          </w:p>
        </w:tc>
        <w:tc>
          <w:tcPr>
            <w:tcW w:w="755" w:type="pct"/>
            <w:shd w:val="clear" w:color="auto" w:fill="auto"/>
            <w:vAlign w:val="center"/>
          </w:tcPr>
          <w:p w:rsidR="00C25D9C" w:rsidRPr="00BE77DA" w:rsidRDefault="00C25D9C" w:rsidP="00B8649C">
            <w:pPr>
              <w:jc w:val="center"/>
              <w:rPr>
                <w:rFonts w:ascii="Arial Narrow" w:hAnsi="Arial Narrow"/>
                <w:b/>
                <w:sz w:val="20"/>
              </w:rPr>
            </w:pPr>
            <w:r w:rsidRPr="00BE77DA">
              <w:rPr>
                <w:rFonts w:ascii="Arial Narrow" w:hAnsi="Arial Narrow"/>
                <w:b/>
                <w:sz w:val="20"/>
              </w:rPr>
              <w:t>Year 5</w:t>
            </w:r>
          </w:p>
        </w:tc>
      </w:tr>
      <w:tr w:rsidR="00673416" w:rsidRPr="00BE77DA" w:rsidTr="005D044D">
        <w:tc>
          <w:tcPr>
            <w:tcW w:w="1359" w:type="pct"/>
            <w:shd w:val="clear" w:color="auto" w:fill="auto"/>
            <w:vAlign w:val="center"/>
          </w:tcPr>
          <w:p w:rsidR="00673416" w:rsidRPr="00BE77DA" w:rsidRDefault="00F1649C" w:rsidP="00F1649C">
            <w:pPr>
              <w:tabs>
                <w:tab w:val="left" w:pos="142"/>
              </w:tabs>
              <w:jc w:val="left"/>
              <w:rPr>
                <w:rFonts w:ascii="Arial Narrow" w:hAnsi="Arial Narrow"/>
                <w:sz w:val="20"/>
              </w:rPr>
            </w:pPr>
            <w:r w:rsidRPr="00BE77DA">
              <w:rPr>
                <w:rFonts w:ascii="Arial Narrow" w:hAnsi="Arial Narrow"/>
                <w:sz w:val="20"/>
              </w:rPr>
              <w:t>T-VEC</w:t>
            </w:r>
            <w:r w:rsidR="00673416" w:rsidRPr="00BE77DA">
              <w:rPr>
                <w:rFonts w:ascii="Arial Narrow" w:hAnsi="Arial Narrow"/>
                <w:sz w:val="20"/>
              </w:rPr>
              <w:t xml:space="preserve"> treated</w:t>
            </w:r>
            <w:r w:rsidRPr="00BE77DA">
              <w:rPr>
                <w:rFonts w:ascii="Arial Narrow" w:hAnsi="Arial Narrow"/>
                <w:sz w:val="20"/>
              </w:rPr>
              <w:t xml:space="preserve"> patients</w:t>
            </w:r>
            <w:r w:rsidR="005D688C" w:rsidRPr="00BE77DA">
              <w:rPr>
                <w:rFonts w:ascii="Arial Narrow" w:hAnsi="Arial Narrow"/>
                <w:sz w:val="20"/>
              </w:rPr>
              <w:t>*</w:t>
            </w:r>
          </w:p>
        </w:tc>
        <w:tc>
          <w:tcPr>
            <w:tcW w:w="679" w:type="pct"/>
            <w:shd w:val="clear" w:color="auto" w:fill="auto"/>
            <w:vAlign w:val="center"/>
          </w:tcPr>
          <w:p w:rsidR="00673416" w:rsidRPr="006A72B9" w:rsidRDefault="006A72B9" w:rsidP="00673416">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73416" w:rsidRPr="006A72B9" w:rsidRDefault="006A72B9" w:rsidP="00E6330F">
            <w:pPr>
              <w:tabs>
                <w:tab w:val="left" w:pos="284"/>
              </w:tab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673416" w:rsidRPr="006A72B9" w:rsidRDefault="006A72B9" w:rsidP="00673416">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673416" w:rsidRPr="006A72B9" w:rsidRDefault="006A72B9" w:rsidP="00673416">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673416" w:rsidRPr="006A72B9" w:rsidRDefault="006A72B9" w:rsidP="00673416">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F1649C" w:rsidRPr="00BE77DA" w:rsidTr="006C4BA4">
        <w:tc>
          <w:tcPr>
            <w:tcW w:w="1359" w:type="pct"/>
            <w:tcBorders>
              <w:bottom w:val="single" w:sz="4" w:space="0" w:color="auto"/>
              <w:right w:val="single" w:sz="4" w:space="0" w:color="auto"/>
            </w:tcBorders>
            <w:shd w:val="clear" w:color="auto" w:fill="auto"/>
            <w:vAlign w:val="center"/>
          </w:tcPr>
          <w:p w:rsidR="00F1649C" w:rsidRPr="00BE77DA" w:rsidRDefault="00F1649C" w:rsidP="00F1649C">
            <w:pPr>
              <w:tabs>
                <w:tab w:val="left" w:pos="142"/>
              </w:tabs>
              <w:jc w:val="left"/>
              <w:rPr>
                <w:rFonts w:ascii="Arial Narrow" w:hAnsi="Arial Narrow"/>
                <w:sz w:val="20"/>
              </w:rPr>
            </w:pPr>
            <w:r w:rsidRPr="00BE77DA">
              <w:rPr>
                <w:rFonts w:ascii="Arial Narrow" w:hAnsi="Arial Narrow" w:cs="Times New Roman"/>
                <w:snapToGrid/>
                <w:sz w:val="20"/>
                <w:lang w:eastAsia="en-AU"/>
              </w:rPr>
              <w:t>Total number of 1</w:t>
            </w:r>
            <w:r w:rsidR="00203F6C" w:rsidRPr="00BE77DA">
              <w:rPr>
                <w:rFonts w:ascii="Arial Narrow" w:hAnsi="Arial Narrow" w:cs="Times New Roman"/>
                <w:snapToGrid/>
                <w:sz w:val="20"/>
                <w:lang w:eastAsia="en-AU"/>
              </w:rPr>
              <w:t> </w:t>
            </w:r>
            <w:r w:rsidRPr="00BE77DA">
              <w:rPr>
                <w:rFonts w:ascii="Arial Narrow" w:hAnsi="Arial Narrow" w:cs="Times New Roman"/>
                <w:snapToGrid/>
                <w:sz w:val="20"/>
                <w:lang w:eastAsia="en-AU"/>
              </w:rPr>
              <w:t>mL vials*</w:t>
            </w:r>
            <w:r w:rsidR="005D688C" w:rsidRPr="00BE77DA">
              <w:rPr>
                <w:rFonts w:ascii="Arial Narrow" w:hAnsi="Arial Narrow" w:cs="Times New Roman"/>
                <w:snapToGrid/>
                <w:sz w:val="20"/>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F1649C" w:rsidRPr="006A72B9" w:rsidRDefault="006A72B9" w:rsidP="00F1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tcBorders>
              <w:left w:val="single" w:sz="4" w:space="0" w:color="auto"/>
              <w:bottom w:val="single" w:sz="4" w:space="0" w:color="auto"/>
              <w:right w:val="single" w:sz="4" w:space="0" w:color="auto"/>
            </w:tcBorders>
            <w:shd w:val="clear" w:color="auto" w:fill="auto"/>
            <w:vAlign w:val="center"/>
          </w:tcPr>
          <w:p w:rsidR="00F1649C" w:rsidRPr="006A72B9" w:rsidRDefault="006A72B9" w:rsidP="00F1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tcBorders>
              <w:left w:val="single" w:sz="4" w:space="0" w:color="auto"/>
              <w:bottom w:val="single" w:sz="4" w:space="0" w:color="auto"/>
              <w:right w:val="single" w:sz="4" w:space="0" w:color="auto"/>
            </w:tcBorders>
            <w:shd w:val="clear" w:color="auto" w:fill="auto"/>
            <w:vAlign w:val="center"/>
          </w:tcPr>
          <w:p w:rsidR="00F1649C" w:rsidRPr="006A72B9" w:rsidRDefault="006A72B9" w:rsidP="00F1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tcBorders>
              <w:left w:val="single" w:sz="4" w:space="0" w:color="auto"/>
              <w:bottom w:val="single" w:sz="4" w:space="0" w:color="auto"/>
              <w:right w:val="single" w:sz="4" w:space="0" w:color="auto"/>
            </w:tcBorders>
            <w:shd w:val="clear" w:color="auto" w:fill="auto"/>
            <w:vAlign w:val="center"/>
          </w:tcPr>
          <w:p w:rsidR="00F1649C" w:rsidRPr="006A72B9" w:rsidRDefault="006A72B9" w:rsidP="00F1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tcBorders>
              <w:left w:val="single" w:sz="4" w:space="0" w:color="auto"/>
              <w:bottom w:val="single" w:sz="4" w:space="0" w:color="auto"/>
              <w:right w:val="single" w:sz="4" w:space="0" w:color="auto"/>
            </w:tcBorders>
            <w:shd w:val="clear" w:color="auto" w:fill="auto"/>
            <w:vAlign w:val="center"/>
          </w:tcPr>
          <w:p w:rsidR="00F1649C" w:rsidRPr="006A72B9" w:rsidRDefault="006A72B9" w:rsidP="00F1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E40FDE" w:rsidRPr="00BE77DA" w:rsidTr="006C4BA4">
        <w:tc>
          <w:tcPr>
            <w:tcW w:w="1359" w:type="pct"/>
            <w:shd w:val="clear" w:color="auto" w:fill="auto"/>
            <w:vAlign w:val="center"/>
          </w:tcPr>
          <w:p w:rsidR="00E40FDE" w:rsidRPr="00BE77DA" w:rsidRDefault="00E40FDE" w:rsidP="00E40FDE">
            <w:pPr>
              <w:tabs>
                <w:tab w:val="left" w:pos="142"/>
              </w:tabs>
              <w:jc w:val="left"/>
              <w:rPr>
                <w:rFonts w:ascii="Arial Narrow" w:hAnsi="Arial Narrow"/>
                <w:sz w:val="20"/>
              </w:rPr>
            </w:pPr>
            <w:r w:rsidRPr="00BE77DA">
              <w:rPr>
                <w:rFonts w:ascii="Arial Narrow" w:hAnsi="Arial Narrow"/>
                <w:sz w:val="20"/>
              </w:rPr>
              <w:t>T-VEC cost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679"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755"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r>
      <w:tr w:rsidR="00E40FDE" w:rsidRPr="00BE77DA" w:rsidTr="00D7653A">
        <w:tc>
          <w:tcPr>
            <w:tcW w:w="1359" w:type="pct"/>
            <w:shd w:val="clear" w:color="auto" w:fill="auto"/>
            <w:vAlign w:val="center"/>
          </w:tcPr>
          <w:p w:rsidR="00E40FDE" w:rsidRPr="00BE77DA" w:rsidRDefault="00761611" w:rsidP="00E40FDE">
            <w:pPr>
              <w:tabs>
                <w:tab w:val="left" w:pos="142"/>
              </w:tabs>
              <w:jc w:val="left"/>
              <w:rPr>
                <w:rFonts w:ascii="Arial Narrow" w:hAnsi="Arial Narrow"/>
                <w:sz w:val="20"/>
              </w:rPr>
            </w:pPr>
            <w:r w:rsidRPr="00BE77DA">
              <w:rPr>
                <w:rFonts w:ascii="Arial Narrow" w:hAnsi="Arial Narrow"/>
                <w:sz w:val="20"/>
              </w:rPr>
              <w:t>Cost of substituted therapies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p>
        </w:tc>
        <w:tc>
          <w:tcPr>
            <w:tcW w:w="679"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p>
        </w:tc>
        <w:tc>
          <w:tcPr>
            <w:tcW w:w="755"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p>
        </w:tc>
      </w:tr>
      <w:tr w:rsidR="00E40FDE" w:rsidRPr="00BE77DA" w:rsidTr="00D7653A">
        <w:tc>
          <w:tcPr>
            <w:tcW w:w="1359" w:type="pct"/>
            <w:shd w:val="clear" w:color="auto" w:fill="auto"/>
            <w:vAlign w:val="center"/>
          </w:tcPr>
          <w:p w:rsidR="00E40FDE" w:rsidRPr="00BE77DA" w:rsidRDefault="00E40FDE" w:rsidP="00E40FDE">
            <w:pPr>
              <w:tabs>
                <w:tab w:val="left" w:pos="142"/>
              </w:tabs>
              <w:jc w:val="left"/>
              <w:rPr>
                <w:rFonts w:ascii="Arial Narrow" w:hAnsi="Arial Narrow"/>
                <w:sz w:val="20"/>
              </w:rPr>
            </w:pPr>
            <w:r w:rsidRPr="00BE77DA">
              <w:rPr>
                <w:rFonts w:ascii="Arial Narrow" w:hAnsi="Arial Narrow" w:cs="Times New Roman"/>
                <w:sz w:val="20"/>
                <w:lang w:eastAsia="en-AU"/>
              </w:rPr>
              <w:t>Net cost to the PBS/RPBS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sz w:val="20"/>
              </w:rPr>
              <w:t>-$</w:t>
            </w:r>
            <w:r w:rsidR="006A72B9">
              <w:rPr>
                <w:rFonts w:ascii="Arial Narrow" w:hAnsi="Arial Narrow"/>
                <w:noProof/>
                <w:color w:val="000000"/>
                <w:sz w:val="20"/>
                <w:highlight w:val="black"/>
              </w:rPr>
              <w:t>''''''''''''''''</w:t>
            </w:r>
          </w:p>
        </w:tc>
        <w:tc>
          <w:tcPr>
            <w:tcW w:w="679"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sz w:val="20"/>
              </w:rPr>
              <w:t>-$</w:t>
            </w:r>
            <w:r w:rsidR="006A72B9">
              <w:rPr>
                <w:rFonts w:ascii="Arial Narrow" w:hAnsi="Arial Narrow"/>
                <w:noProof/>
                <w:color w:val="000000"/>
                <w:sz w:val="20"/>
                <w:highlight w:val="black"/>
              </w:rPr>
              <w:t>'''''''''''''''''</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sz w:val="20"/>
              </w:rPr>
              <w:t>-$</w:t>
            </w:r>
            <w:r w:rsidR="006A72B9">
              <w:rPr>
                <w:rFonts w:ascii="Arial Narrow" w:hAnsi="Arial Narrow"/>
                <w:noProof/>
                <w:color w:val="000000"/>
                <w:sz w:val="20"/>
                <w:highlight w:val="black"/>
              </w:rPr>
              <w:t>''''''''''''''''</w:t>
            </w:r>
          </w:p>
        </w:tc>
        <w:tc>
          <w:tcPr>
            <w:tcW w:w="764"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sz w:val="20"/>
              </w:rPr>
              <w:t>-$</w:t>
            </w:r>
            <w:r w:rsidR="006A72B9">
              <w:rPr>
                <w:rFonts w:ascii="Arial Narrow" w:hAnsi="Arial Narrow"/>
                <w:noProof/>
                <w:color w:val="000000"/>
                <w:sz w:val="20"/>
                <w:highlight w:val="black"/>
              </w:rPr>
              <w:t>'''''''''''''''</w:t>
            </w:r>
          </w:p>
        </w:tc>
        <w:tc>
          <w:tcPr>
            <w:tcW w:w="755" w:type="pct"/>
            <w:tcBorders>
              <w:top w:val="single" w:sz="4" w:space="0" w:color="auto"/>
              <w:left w:val="nil"/>
              <w:bottom w:val="single" w:sz="4" w:space="0" w:color="auto"/>
              <w:right w:val="single" w:sz="4" w:space="0" w:color="auto"/>
            </w:tcBorders>
            <w:shd w:val="clear" w:color="auto" w:fill="auto"/>
            <w:vAlign w:val="center"/>
          </w:tcPr>
          <w:p w:rsidR="00E40FDE" w:rsidRPr="00BE77DA" w:rsidRDefault="00E40FDE" w:rsidP="00E40FDE">
            <w:pPr>
              <w:jc w:val="center"/>
              <w:rPr>
                <w:rFonts w:ascii="Arial Narrow" w:hAnsi="Arial Narrow"/>
                <w:bCs/>
                <w:color w:val="000000"/>
                <w:sz w:val="20"/>
              </w:rPr>
            </w:pPr>
            <w:r w:rsidRPr="00BE77DA">
              <w:rPr>
                <w:rFonts w:ascii="Arial Narrow" w:hAnsi="Arial Narrow"/>
                <w:sz w:val="20"/>
              </w:rPr>
              <w:t>-$</w:t>
            </w:r>
            <w:r w:rsidR="006A72B9">
              <w:rPr>
                <w:rFonts w:ascii="Arial Narrow" w:hAnsi="Arial Narrow"/>
                <w:noProof/>
                <w:color w:val="000000"/>
                <w:sz w:val="20"/>
                <w:highlight w:val="black"/>
              </w:rPr>
              <w:t>''''''''''''''''</w:t>
            </w:r>
          </w:p>
        </w:tc>
      </w:tr>
      <w:tr w:rsidR="003B487A" w:rsidRPr="00BE77DA" w:rsidTr="006C4BA4">
        <w:tc>
          <w:tcPr>
            <w:tcW w:w="1359" w:type="pct"/>
            <w:shd w:val="clear" w:color="auto" w:fill="auto"/>
            <w:vAlign w:val="center"/>
          </w:tcPr>
          <w:p w:rsidR="003B487A" w:rsidRPr="00BE77DA" w:rsidRDefault="003B487A" w:rsidP="003B487A">
            <w:pPr>
              <w:tabs>
                <w:tab w:val="left" w:pos="142"/>
              </w:tabs>
              <w:jc w:val="left"/>
              <w:rPr>
                <w:rFonts w:ascii="Arial Narrow" w:hAnsi="Arial Narrow"/>
                <w:sz w:val="19"/>
                <w:szCs w:val="19"/>
              </w:rPr>
            </w:pPr>
            <w:r w:rsidRPr="00BE77DA">
              <w:rPr>
                <w:rFonts w:ascii="Arial Narrow" w:hAnsi="Arial Narrow" w:cs="Times New Roman"/>
                <w:sz w:val="20"/>
                <w:lang w:eastAsia="en-AU"/>
              </w:rPr>
              <w:t>Net administration costs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bottom"/>
          </w:tcPr>
          <w:p w:rsidR="003B487A" w:rsidRPr="00BE77DA" w:rsidRDefault="003B487A" w:rsidP="003B487A">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bottom"/>
          </w:tcPr>
          <w:p w:rsidR="003B487A" w:rsidRPr="00BE77DA" w:rsidRDefault="003B487A" w:rsidP="003B487A">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bottom"/>
          </w:tcPr>
          <w:p w:rsidR="003B487A" w:rsidRPr="00BE77DA" w:rsidRDefault="003B487A" w:rsidP="003B487A">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bottom"/>
          </w:tcPr>
          <w:p w:rsidR="003B487A" w:rsidRPr="00BE77DA" w:rsidRDefault="003B487A" w:rsidP="003B487A">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 xml:space="preserve">''''''''''''''''' </w:t>
            </w: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tcPr>
          <w:p w:rsidR="003B487A" w:rsidRPr="00BE77DA" w:rsidRDefault="003B487A" w:rsidP="003B487A">
            <w:pPr>
              <w:jc w:val="center"/>
              <w:rPr>
                <w:rFonts w:ascii="Arial Narrow" w:hAnsi="Arial Narrow"/>
                <w:bCs/>
                <w:color w:val="000000"/>
                <w:sz w:val="20"/>
              </w:rPr>
            </w:pPr>
            <w:r w:rsidRPr="00BE77DA">
              <w:rPr>
                <w:rFonts w:ascii="Arial Narrow" w:hAnsi="Arial Narrow"/>
                <w:color w:val="000000"/>
                <w:sz w:val="20"/>
              </w:rPr>
              <w:t>$</w:t>
            </w:r>
            <w:r w:rsidR="006A72B9">
              <w:rPr>
                <w:rFonts w:ascii="Arial Narrow" w:hAnsi="Arial Narrow"/>
                <w:noProof/>
                <w:color w:val="000000"/>
                <w:sz w:val="20"/>
                <w:highlight w:val="black"/>
              </w:rPr>
              <w:t>''''''''''''''''</w:t>
            </w:r>
            <w:r w:rsidRPr="00BE77DA">
              <w:rPr>
                <w:rFonts w:ascii="Arial Narrow" w:hAnsi="Arial Narrow"/>
                <w:color w:val="000000"/>
                <w:sz w:val="20"/>
              </w:rPr>
              <w:t xml:space="preserve"> </w:t>
            </w:r>
          </w:p>
        </w:tc>
      </w:tr>
      <w:tr w:rsidR="005C508C" w:rsidRPr="00BE77DA" w:rsidTr="00D7653A">
        <w:tc>
          <w:tcPr>
            <w:tcW w:w="1359" w:type="pct"/>
            <w:shd w:val="clear" w:color="auto" w:fill="auto"/>
            <w:vAlign w:val="center"/>
          </w:tcPr>
          <w:p w:rsidR="005C508C" w:rsidRPr="00BE77DA" w:rsidRDefault="005C508C" w:rsidP="005C508C">
            <w:pPr>
              <w:tabs>
                <w:tab w:val="left" w:pos="142"/>
              </w:tabs>
              <w:jc w:val="left"/>
              <w:rPr>
                <w:rFonts w:ascii="Arial Narrow" w:hAnsi="Arial Narrow"/>
                <w:sz w:val="20"/>
              </w:rPr>
            </w:pPr>
            <w:r w:rsidRPr="00BE77DA">
              <w:rPr>
                <w:rFonts w:ascii="Arial Narrow" w:hAnsi="Arial Narrow" w:cs="Times New Roman"/>
                <w:b/>
                <w:sz w:val="20"/>
                <w:lang w:eastAsia="en-AU"/>
              </w:rPr>
              <w:t>Net cost to health budget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C508C" w:rsidRPr="00BE77DA" w:rsidRDefault="005C508C" w:rsidP="005C508C">
            <w:pPr>
              <w:jc w:val="center"/>
              <w:rPr>
                <w:rFonts w:ascii="Arial Narrow" w:hAnsi="Arial Narrow"/>
                <w:b/>
                <w:bCs/>
                <w:color w:val="000000"/>
                <w:sz w:val="20"/>
              </w:rPr>
            </w:pPr>
            <w:r w:rsidRPr="00BE77DA">
              <w:rPr>
                <w:rFonts w:ascii="Arial Narrow" w:hAnsi="Arial Narrow"/>
                <w:b/>
                <w:color w:val="000000"/>
                <w:sz w:val="20"/>
              </w:rPr>
              <w:t>$</w:t>
            </w:r>
            <w:r w:rsidR="006A72B9">
              <w:rPr>
                <w:rFonts w:ascii="Arial Narrow" w:hAnsi="Arial Narrow"/>
                <w:b/>
                <w:noProof/>
                <w:color w:val="000000"/>
                <w:sz w:val="20"/>
                <w:highlight w:val="black"/>
              </w:rPr>
              <w:t>''''''''''</w:t>
            </w:r>
            <w:r w:rsidRPr="00BE77DA">
              <w:rPr>
                <w:rFonts w:ascii="Arial Narrow" w:hAnsi="Arial Narrow"/>
                <w:b/>
                <w:color w:val="000000"/>
                <w:sz w:val="20"/>
              </w:rPr>
              <w:t xml:space="preserve"> </w:t>
            </w:r>
          </w:p>
        </w:tc>
        <w:tc>
          <w:tcPr>
            <w:tcW w:w="679" w:type="pct"/>
            <w:tcBorders>
              <w:top w:val="single" w:sz="4" w:space="0" w:color="auto"/>
              <w:left w:val="nil"/>
              <w:bottom w:val="single" w:sz="4" w:space="0" w:color="auto"/>
              <w:right w:val="single" w:sz="4" w:space="0" w:color="auto"/>
            </w:tcBorders>
            <w:shd w:val="clear" w:color="auto" w:fill="auto"/>
            <w:vAlign w:val="center"/>
          </w:tcPr>
          <w:p w:rsidR="005C508C" w:rsidRPr="00BE77DA" w:rsidRDefault="005C508C" w:rsidP="005C508C">
            <w:pPr>
              <w:jc w:val="center"/>
              <w:rPr>
                <w:rFonts w:ascii="Arial Narrow" w:hAnsi="Arial Narrow"/>
                <w:b/>
                <w:bCs/>
                <w:color w:val="000000"/>
                <w:sz w:val="20"/>
              </w:rPr>
            </w:pPr>
            <w:r w:rsidRPr="00BE77DA">
              <w:rPr>
                <w:rFonts w:ascii="Arial Narrow" w:hAnsi="Arial Narrow"/>
                <w:b/>
                <w:color w:val="000000"/>
                <w:sz w:val="20"/>
              </w:rPr>
              <w:t>$</w:t>
            </w:r>
            <w:r w:rsidR="006A72B9">
              <w:rPr>
                <w:rFonts w:ascii="Arial Narrow" w:hAnsi="Arial Narrow"/>
                <w:b/>
                <w:noProof/>
                <w:color w:val="000000"/>
                <w:sz w:val="20"/>
                <w:highlight w:val="black"/>
              </w:rPr>
              <w:t>'''''''''''</w:t>
            </w:r>
            <w:r w:rsidRPr="00BE77DA">
              <w:rPr>
                <w:rFonts w:ascii="Arial Narrow" w:hAnsi="Arial Narrow"/>
                <w:b/>
                <w:color w:val="000000"/>
                <w:sz w:val="20"/>
              </w:rPr>
              <w:t xml:space="preserve"> </w:t>
            </w:r>
          </w:p>
        </w:tc>
        <w:tc>
          <w:tcPr>
            <w:tcW w:w="764" w:type="pct"/>
            <w:tcBorders>
              <w:top w:val="single" w:sz="4" w:space="0" w:color="auto"/>
              <w:left w:val="nil"/>
              <w:bottom w:val="single" w:sz="4" w:space="0" w:color="auto"/>
              <w:right w:val="single" w:sz="4" w:space="0" w:color="auto"/>
            </w:tcBorders>
            <w:shd w:val="clear" w:color="auto" w:fill="auto"/>
            <w:vAlign w:val="center"/>
          </w:tcPr>
          <w:p w:rsidR="005C508C" w:rsidRPr="00BE77DA" w:rsidRDefault="005C508C" w:rsidP="005C508C">
            <w:pPr>
              <w:jc w:val="center"/>
              <w:rPr>
                <w:rFonts w:ascii="Arial Narrow" w:hAnsi="Arial Narrow"/>
                <w:b/>
                <w:bCs/>
                <w:color w:val="000000"/>
                <w:sz w:val="20"/>
              </w:rPr>
            </w:pPr>
            <w:r w:rsidRPr="00BE77DA">
              <w:rPr>
                <w:rFonts w:ascii="Arial Narrow" w:hAnsi="Arial Narrow"/>
                <w:b/>
                <w:color w:val="000000"/>
                <w:sz w:val="20"/>
              </w:rPr>
              <w:t>$</w:t>
            </w:r>
            <w:r w:rsidR="006A72B9">
              <w:rPr>
                <w:rFonts w:ascii="Arial Narrow" w:hAnsi="Arial Narrow"/>
                <w:b/>
                <w:noProof/>
                <w:color w:val="000000"/>
                <w:sz w:val="20"/>
                <w:highlight w:val="black"/>
              </w:rPr>
              <w:t>''''''''''</w:t>
            </w:r>
            <w:r w:rsidRPr="00BE77DA">
              <w:rPr>
                <w:rFonts w:ascii="Arial Narrow" w:hAnsi="Arial Narrow"/>
                <w:b/>
                <w:color w:val="000000"/>
                <w:sz w:val="20"/>
              </w:rPr>
              <w:t xml:space="preserve"> </w:t>
            </w:r>
          </w:p>
        </w:tc>
        <w:tc>
          <w:tcPr>
            <w:tcW w:w="764" w:type="pct"/>
            <w:tcBorders>
              <w:top w:val="single" w:sz="4" w:space="0" w:color="auto"/>
              <w:left w:val="nil"/>
              <w:bottom w:val="single" w:sz="4" w:space="0" w:color="auto"/>
              <w:right w:val="single" w:sz="4" w:space="0" w:color="auto"/>
            </w:tcBorders>
            <w:shd w:val="clear" w:color="auto" w:fill="auto"/>
            <w:vAlign w:val="center"/>
          </w:tcPr>
          <w:p w:rsidR="005C508C" w:rsidRPr="00BE77DA" w:rsidRDefault="005C508C" w:rsidP="005C508C">
            <w:pPr>
              <w:jc w:val="center"/>
              <w:rPr>
                <w:rFonts w:ascii="Arial Narrow" w:hAnsi="Arial Narrow"/>
                <w:b/>
                <w:bCs/>
                <w:color w:val="000000"/>
                <w:sz w:val="20"/>
              </w:rPr>
            </w:pPr>
            <w:r w:rsidRPr="00BE77DA">
              <w:rPr>
                <w:rFonts w:ascii="Arial Narrow" w:hAnsi="Arial Narrow"/>
                <w:b/>
                <w:color w:val="000000"/>
                <w:sz w:val="20"/>
              </w:rPr>
              <w:t>$</w:t>
            </w:r>
            <w:r w:rsidR="006A72B9">
              <w:rPr>
                <w:rFonts w:ascii="Arial Narrow" w:hAnsi="Arial Narrow"/>
                <w:b/>
                <w:noProof/>
                <w:color w:val="000000"/>
                <w:sz w:val="20"/>
                <w:highlight w:val="black"/>
              </w:rPr>
              <w:t>'''''''''''''</w:t>
            </w:r>
            <w:r w:rsidRPr="00BE77DA">
              <w:rPr>
                <w:rFonts w:ascii="Arial Narrow" w:hAnsi="Arial Narrow"/>
                <w:b/>
                <w:color w:val="000000"/>
                <w:sz w:val="20"/>
              </w:rPr>
              <w:t xml:space="preserve"> </w:t>
            </w:r>
          </w:p>
        </w:tc>
        <w:tc>
          <w:tcPr>
            <w:tcW w:w="755" w:type="pct"/>
            <w:tcBorders>
              <w:top w:val="single" w:sz="4" w:space="0" w:color="auto"/>
              <w:left w:val="nil"/>
              <w:bottom w:val="single" w:sz="4" w:space="0" w:color="auto"/>
              <w:right w:val="single" w:sz="4" w:space="0" w:color="auto"/>
            </w:tcBorders>
            <w:shd w:val="clear" w:color="auto" w:fill="auto"/>
            <w:vAlign w:val="center"/>
          </w:tcPr>
          <w:p w:rsidR="005C508C" w:rsidRPr="00BE77DA" w:rsidRDefault="005C508C" w:rsidP="005C508C">
            <w:pPr>
              <w:jc w:val="center"/>
              <w:rPr>
                <w:rFonts w:ascii="Arial Narrow" w:hAnsi="Arial Narrow"/>
                <w:b/>
                <w:bCs/>
                <w:color w:val="000000"/>
                <w:sz w:val="20"/>
              </w:rPr>
            </w:pPr>
            <w:r w:rsidRPr="00BE77DA">
              <w:rPr>
                <w:rFonts w:ascii="Arial Narrow" w:hAnsi="Arial Narrow"/>
                <w:b/>
                <w:color w:val="000000"/>
                <w:sz w:val="20"/>
              </w:rPr>
              <w:t>$</w:t>
            </w:r>
            <w:r w:rsidR="006A72B9">
              <w:rPr>
                <w:rFonts w:ascii="Arial Narrow" w:hAnsi="Arial Narrow"/>
                <w:b/>
                <w:noProof/>
                <w:color w:val="000000"/>
                <w:sz w:val="20"/>
                <w:highlight w:val="black"/>
              </w:rPr>
              <w:t>'''''''''''''</w:t>
            </w:r>
            <w:r w:rsidRPr="00BE77DA">
              <w:rPr>
                <w:rFonts w:ascii="Arial Narrow" w:hAnsi="Arial Narrow"/>
                <w:b/>
                <w:color w:val="000000"/>
                <w:sz w:val="20"/>
              </w:rPr>
              <w:t xml:space="preserve"> </w:t>
            </w:r>
          </w:p>
        </w:tc>
      </w:tr>
    </w:tbl>
    <w:p w:rsidR="005D688C" w:rsidRPr="00BE77DA" w:rsidRDefault="005D688C" w:rsidP="005D688C">
      <w:pPr>
        <w:pStyle w:val="TableFooter"/>
        <w:ind w:left="720"/>
      </w:pPr>
      <w:r w:rsidRPr="00BE77DA">
        <w:t xml:space="preserve">*An uptake rate of </w:t>
      </w:r>
      <w:r w:rsidR="00706BB2" w:rsidRPr="00BE77DA">
        <w:t>5</w:t>
      </w:r>
      <w:r w:rsidRPr="00BE77DA">
        <w:t xml:space="preserve">% in year 1 increasing to 20% in year 5 was assumed for </w:t>
      </w:r>
      <w:r w:rsidRPr="00BF551C">
        <w:rPr>
          <w:i/>
        </w:rPr>
        <w:t>BRAF</w:t>
      </w:r>
      <w:r w:rsidRPr="00BE77DA">
        <w:t xml:space="preserve"> wild-type patients, and 3% in year 1 increasing to 10% in year 5 for patients with the </w:t>
      </w:r>
      <w:r w:rsidRPr="00BF551C">
        <w:rPr>
          <w:i/>
        </w:rPr>
        <w:t>BRAF</w:t>
      </w:r>
      <w:r w:rsidRPr="00BE77DA">
        <w:t xml:space="preserve"> mutation</w:t>
      </w:r>
    </w:p>
    <w:p w:rsidR="00C25D9C" w:rsidRPr="00BE77DA" w:rsidRDefault="005D688C" w:rsidP="00057B38">
      <w:pPr>
        <w:pStyle w:val="TableFooter"/>
        <w:ind w:left="720"/>
      </w:pPr>
      <w:r w:rsidRPr="00BE77DA">
        <w:t>*</w:t>
      </w:r>
      <w:r w:rsidR="00DE7720" w:rsidRPr="00BE77DA">
        <w:t>*</w:t>
      </w:r>
      <w:r w:rsidR="00C25D9C" w:rsidRPr="00BE77DA">
        <w:t xml:space="preserve"> Assuming </w:t>
      </w:r>
      <w:r w:rsidR="00275E36" w:rsidRPr="00BE77DA">
        <w:t>one script for 2.86 vials of 1</w:t>
      </w:r>
      <w:r w:rsidR="00057B38" w:rsidRPr="00BE77DA">
        <w:t> million </w:t>
      </w:r>
      <w:r w:rsidR="00275E36" w:rsidRPr="00BE77DA">
        <w:t>PFU/mL and 13.1</w:t>
      </w:r>
      <w:r w:rsidR="00614301" w:rsidRPr="00BE77DA">
        <w:t>3</w:t>
      </w:r>
      <w:r w:rsidR="00275E36" w:rsidRPr="00BE77DA">
        <w:t xml:space="preserve"> scripts for 2.56 vials of 1</w:t>
      </w:r>
      <w:r w:rsidR="00057B38" w:rsidRPr="00BE77DA">
        <w:t>00 million </w:t>
      </w:r>
      <w:r w:rsidR="00275E36" w:rsidRPr="00BE77DA">
        <w:t>PFU/mL of T-VEC</w:t>
      </w:r>
      <w:r w:rsidR="00057B38" w:rsidRPr="00BE77DA">
        <w:t xml:space="preserve"> per patient</w:t>
      </w:r>
    </w:p>
    <w:p w:rsidR="00275E36" w:rsidRPr="00BE77DA" w:rsidRDefault="00E50489" w:rsidP="000462E1">
      <w:pPr>
        <w:pStyle w:val="TableFooter"/>
        <w:ind w:left="720"/>
        <w:rPr>
          <w:sz w:val="16"/>
          <w:szCs w:val="18"/>
        </w:rPr>
      </w:pPr>
      <w:r w:rsidRPr="00BE77DA">
        <w:rPr>
          <w:szCs w:val="18"/>
        </w:rPr>
        <w:t xml:space="preserve">PFU=plaque forming units; </w:t>
      </w:r>
      <w:r w:rsidR="00C71029" w:rsidRPr="00BE77DA">
        <w:t>T-VEC=</w:t>
      </w:r>
      <w:proofErr w:type="spellStart"/>
      <w:r w:rsidR="00C71029" w:rsidRPr="00BE77DA">
        <w:t>talimogene</w:t>
      </w:r>
      <w:proofErr w:type="spellEnd"/>
      <w:r w:rsidR="00C71029" w:rsidRPr="00BE77DA">
        <w:t xml:space="preserve"> </w:t>
      </w:r>
      <w:proofErr w:type="spellStart"/>
      <w:r w:rsidR="00C71029" w:rsidRPr="00BE77DA">
        <w:t>laherparepvec</w:t>
      </w:r>
      <w:proofErr w:type="spellEnd"/>
    </w:p>
    <w:p w:rsidR="00C25D9C" w:rsidRDefault="00C25D9C" w:rsidP="005D044D">
      <w:pPr>
        <w:pStyle w:val="TableFooter"/>
        <w:ind w:firstLine="720"/>
        <w:rPr>
          <w:szCs w:val="18"/>
        </w:rPr>
      </w:pPr>
      <w:r w:rsidRPr="00843EF3">
        <w:rPr>
          <w:szCs w:val="18"/>
        </w:rPr>
        <w:t xml:space="preserve">Source: </w:t>
      </w:r>
      <w:r w:rsidR="00F1649C" w:rsidRPr="00843EF3">
        <w:rPr>
          <w:szCs w:val="18"/>
        </w:rPr>
        <w:t xml:space="preserve">Table E.2.2-1, p150, </w:t>
      </w:r>
      <w:r w:rsidR="00C570E0" w:rsidRPr="00843EF3">
        <w:rPr>
          <w:szCs w:val="18"/>
        </w:rPr>
        <w:t xml:space="preserve">Table E.4.1-1, p152, </w:t>
      </w:r>
      <w:r w:rsidR="00F1649C" w:rsidRPr="00843EF3">
        <w:rPr>
          <w:szCs w:val="18"/>
        </w:rPr>
        <w:t>Table</w:t>
      </w:r>
      <w:r w:rsidR="003B487A" w:rsidRPr="00843EF3">
        <w:rPr>
          <w:szCs w:val="18"/>
        </w:rPr>
        <w:t>s</w:t>
      </w:r>
      <w:r w:rsidR="00F1649C" w:rsidRPr="00843EF3">
        <w:rPr>
          <w:szCs w:val="18"/>
        </w:rPr>
        <w:t xml:space="preserve"> E.5.</w:t>
      </w:r>
      <w:r w:rsidR="003B487A" w:rsidRPr="00843EF3">
        <w:rPr>
          <w:szCs w:val="18"/>
        </w:rPr>
        <w:t>1 to E.5.-3</w:t>
      </w:r>
      <w:r w:rsidR="00F1649C" w:rsidRPr="00843EF3">
        <w:rPr>
          <w:szCs w:val="18"/>
        </w:rPr>
        <w:t>, p15</w:t>
      </w:r>
      <w:r w:rsidR="003B487A" w:rsidRPr="00843EF3">
        <w:rPr>
          <w:szCs w:val="18"/>
        </w:rPr>
        <w:t>2-15</w:t>
      </w:r>
      <w:r w:rsidR="00F1649C" w:rsidRPr="00843EF3">
        <w:rPr>
          <w:szCs w:val="18"/>
        </w:rPr>
        <w:t>4 of the submission</w:t>
      </w:r>
    </w:p>
    <w:p w:rsidR="009650DB" w:rsidRDefault="009650DB" w:rsidP="005D044D">
      <w:pPr>
        <w:pStyle w:val="TableFooter"/>
        <w:ind w:firstLine="720"/>
        <w:rPr>
          <w:szCs w:val="18"/>
        </w:rPr>
      </w:pPr>
    </w:p>
    <w:p w:rsidR="009650DB" w:rsidRPr="009650DB" w:rsidRDefault="009650DB" w:rsidP="009650DB">
      <w:pPr>
        <w:pStyle w:val="TableFooter"/>
        <w:ind w:left="709"/>
        <w:rPr>
          <w:rFonts w:ascii="Arial" w:hAnsi="Arial"/>
          <w:sz w:val="22"/>
          <w:szCs w:val="22"/>
        </w:rPr>
      </w:pPr>
      <w:r w:rsidRPr="009650DB">
        <w:rPr>
          <w:rFonts w:ascii="Arial" w:hAnsi="Arial"/>
          <w:sz w:val="22"/>
          <w:szCs w:val="22"/>
        </w:rPr>
        <w:t>The redacted table shows that at year 5, the estimated number of T-VEC treated patients w</w:t>
      </w:r>
      <w:r>
        <w:rPr>
          <w:rFonts w:ascii="Arial" w:hAnsi="Arial"/>
          <w:sz w:val="22"/>
          <w:szCs w:val="22"/>
        </w:rPr>
        <w:t>ould be</w:t>
      </w:r>
      <w:r w:rsidRPr="009650DB">
        <w:rPr>
          <w:rFonts w:ascii="Arial" w:hAnsi="Arial"/>
          <w:sz w:val="22"/>
          <w:szCs w:val="22"/>
        </w:rPr>
        <w:t xml:space="preserve"> less than 10,000 per year and the net </w:t>
      </w:r>
      <w:r w:rsidR="00AC4D83">
        <w:rPr>
          <w:rFonts w:ascii="Arial" w:hAnsi="Arial"/>
          <w:sz w:val="22"/>
          <w:szCs w:val="22"/>
        </w:rPr>
        <w:t>saving</w:t>
      </w:r>
      <w:r w:rsidRPr="009650DB">
        <w:rPr>
          <w:rFonts w:ascii="Arial" w:hAnsi="Arial"/>
          <w:sz w:val="22"/>
          <w:szCs w:val="22"/>
        </w:rPr>
        <w:t xml:space="preserve"> to the PBS would be less than $10 million per year.</w:t>
      </w:r>
    </w:p>
    <w:p w:rsidR="00C25D9C" w:rsidRPr="00BE77DA" w:rsidRDefault="00C25D9C" w:rsidP="00C25D9C">
      <w:pPr>
        <w:widowControl/>
        <w:rPr>
          <w:szCs w:val="22"/>
        </w:rPr>
      </w:pPr>
    </w:p>
    <w:p w:rsidR="009352BF" w:rsidRPr="005E6BB6" w:rsidRDefault="00225F17" w:rsidP="00ED000E">
      <w:pPr>
        <w:pStyle w:val="ListParagraph"/>
        <w:widowControl/>
        <w:numPr>
          <w:ilvl w:val="1"/>
          <w:numId w:val="1"/>
        </w:numPr>
        <w:rPr>
          <w:szCs w:val="22"/>
        </w:rPr>
      </w:pPr>
      <w:r w:rsidRPr="005E6BB6">
        <w:rPr>
          <w:szCs w:val="22"/>
        </w:rPr>
        <w:t xml:space="preserve">Patient numbers were considered to be substantially underestimated </w:t>
      </w:r>
      <w:r w:rsidR="00CF4A4F" w:rsidRPr="005E6BB6">
        <w:rPr>
          <w:szCs w:val="22"/>
        </w:rPr>
        <w:t xml:space="preserve">as </w:t>
      </w:r>
      <w:r w:rsidR="008C4C93" w:rsidRPr="005E6BB6">
        <w:rPr>
          <w:szCs w:val="22"/>
        </w:rPr>
        <w:t>a result of underestimation of the growth rate of the market</w:t>
      </w:r>
      <w:r w:rsidR="003738BF" w:rsidRPr="005E6BB6">
        <w:rPr>
          <w:szCs w:val="22"/>
        </w:rPr>
        <w:t>, failure to consider prevalent patients</w:t>
      </w:r>
      <w:r w:rsidR="005621E7">
        <w:rPr>
          <w:szCs w:val="22"/>
        </w:rPr>
        <w:t>,</w:t>
      </w:r>
      <w:r w:rsidR="008C4C93" w:rsidRPr="005E6BB6">
        <w:rPr>
          <w:szCs w:val="22"/>
        </w:rPr>
        <w:t xml:space="preserve"> and</w:t>
      </w:r>
      <w:r w:rsidR="003738BF" w:rsidRPr="005E6BB6">
        <w:rPr>
          <w:szCs w:val="22"/>
        </w:rPr>
        <w:t xml:space="preserve"> underestimation of</w:t>
      </w:r>
      <w:r w:rsidR="008C4C93" w:rsidRPr="005E6BB6">
        <w:rPr>
          <w:szCs w:val="22"/>
        </w:rPr>
        <w:t xml:space="preserve"> the uptake rate.</w:t>
      </w:r>
    </w:p>
    <w:p w:rsidR="00225F17" w:rsidRPr="005E6BB6" w:rsidRDefault="00225F17" w:rsidP="00225F17">
      <w:pPr>
        <w:widowControl/>
        <w:rPr>
          <w:szCs w:val="22"/>
        </w:rPr>
      </w:pPr>
    </w:p>
    <w:p w:rsidR="00275E36" w:rsidRPr="005E6BB6" w:rsidRDefault="00D7653A" w:rsidP="00ED000E">
      <w:pPr>
        <w:pStyle w:val="ListParagraph"/>
        <w:widowControl/>
        <w:numPr>
          <w:ilvl w:val="1"/>
          <w:numId w:val="1"/>
        </w:numPr>
        <w:rPr>
          <w:szCs w:val="22"/>
        </w:rPr>
      </w:pPr>
      <w:r w:rsidRPr="005E6BB6">
        <w:rPr>
          <w:szCs w:val="22"/>
        </w:rPr>
        <w:t xml:space="preserve">While the submission </w:t>
      </w:r>
      <w:r w:rsidR="00A01FF0" w:rsidRPr="005E6BB6">
        <w:rPr>
          <w:szCs w:val="22"/>
        </w:rPr>
        <w:t xml:space="preserve">accounted for wastage of T-VEC by rounding up </w:t>
      </w:r>
      <w:r w:rsidR="00CF4A4F" w:rsidRPr="005E6BB6">
        <w:rPr>
          <w:szCs w:val="22"/>
        </w:rPr>
        <w:t xml:space="preserve">the dose </w:t>
      </w:r>
      <w:r w:rsidR="00A01FF0" w:rsidRPr="005E6BB6">
        <w:rPr>
          <w:szCs w:val="22"/>
        </w:rPr>
        <w:t>to the next whole number of vials required, the mean number of injections per patient lifetime was considered to be underestimated</w:t>
      </w:r>
      <w:r w:rsidR="00CF4A4F" w:rsidRPr="005E6BB6">
        <w:rPr>
          <w:szCs w:val="22"/>
        </w:rPr>
        <w:t>.  T</w:t>
      </w:r>
      <w:r w:rsidR="00A01FF0" w:rsidRPr="005E6BB6">
        <w:rPr>
          <w:szCs w:val="22"/>
        </w:rPr>
        <w:t xml:space="preserve">he submission excluded the doses given to patients in the extension phase of the trial as well as doses given to patients who had </w:t>
      </w:r>
      <w:r w:rsidR="001611DD" w:rsidRPr="005E6BB6">
        <w:rPr>
          <w:szCs w:val="22"/>
        </w:rPr>
        <w:t>progressive disease after 6 months</w:t>
      </w:r>
      <w:r w:rsidR="00A01FF0" w:rsidRPr="005E6BB6">
        <w:rPr>
          <w:szCs w:val="22"/>
        </w:rPr>
        <w:t xml:space="preserve">.  </w:t>
      </w:r>
      <w:r w:rsidR="001611DD" w:rsidRPr="005E6BB6">
        <w:rPr>
          <w:szCs w:val="22"/>
        </w:rPr>
        <w:t>I</w:t>
      </w:r>
      <w:r w:rsidR="006C6078" w:rsidRPr="005E6BB6">
        <w:rPr>
          <w:szCs w:val="22"/>
        </w:rPr>
        <w:t xml:space="preserve">f T-VEC is listed on the PBS, </w:t>
      </w:r>
      <w:r w:rsidR="001611DD" w:rsidRPr="005E6BB6">
        <w:rPr>
          <w:szCs w:val="22"/>
        </w:rPr>
        <w:t>despite a requirement for CR, PR or SD for continued use, use may still occur in patients with progressive disease</w:t>
      </w:r>
      <w:r w:rsidR="00057B38" w:rsidRPr="005E6BB6">
        <w:rPr>
          <w:szCs w:val="22"/>
        </w:rPr>
        <w:t xml:space="preserve"> after this 6-</w:t>
      </w:r>
      <w:r w:rsidR="00BD631C" w:rsidRPr="005E6BB6">
        <w:rPr>
          <w:szCs w:val="22"/>
        </w:rPr>
        <w:t>month time point</w:t>
      </w:r>
      <w:r w:rsidR="001611DD" w:rsidRPr="005E6BB6">
        <w:rPr>
          <w:szCs w:val="22"/>
        </w:rPr>
        <w:t xml:space="preserve">.  In addition, </w:t>
      </w:r>
      <w:r w:rsidR="00CF4A4F" w:rsidRPr="005E6BB6">
        <w:rPr>
          <w:szCs w:val="22"/>
        </w:rPr>
        <w:t xml:space="preserve">there was an artificial treatment cut-off point for patients as a result of the trial environment.  In practice, </w:t>
      </w:r>
      <w:r w:rsidR="001611DD" w:rsidRPr="005E6BB6">
        <w:rPr>
          <w:szCs w:val="22"/>
        </w:rPr>
        <w:t xml:space="preserve">patients may still have lesions that can be injected </w:t>
      </w:r>
      <w:r w:rsidR="00CF4A4F" w:rsidRPr="005E6BB6">
        <w:rPr>
          <w:szCs w:val="22"/>
        </w:rPr>
        <w:t xml:space="preserve">for substantially longer than </w:t>
      </w:r>
      <w:r w:rsidR="0069257B" w:rsidRPr="005E6BB6">
        <w:rPr>
          <w:szCs w:val="22"/>
        </w:rPr>
        <w:t xml:space="preserve">the 18-month duration of the </w:t>
      </w:r>
      <w:proofErr w:type="spellStart"/>
      <w:r w:rsidR="002C3058" w:rsidRPr="005E6BB6">
        <w:rPr>
          <w:szCs w:val="22"/>
        </w:rPr>
        <w:t>OPT</w:t>
      </w:r>
      <w:r w:rsidR="00CF4A4F" w:rsidRPr="005E6BB6">
        <w:rPr>
          <w:szCs w:val="22"/>
        </w:rPr>
        <w:t>iM</w:t>
      </w:r>
      <w:proofErr w:type="spellEnd"/>
      <w:r w:rsidR="0069257B" w:rsidRPr="005E6BB6">
        <w:rPr>
          <w:szCs w:val="22"/>
        </w:rPr>
        <w:t xml:space="preserve"> trial (non-extension phase)</w:t>
      </w:r>
      <w:r w:rsidR="00CF4A4F" w:rsidRPr="005E6BB6">
        <w:rPr>
          <w:szCs w:val="22"/>
        </w:rPr>
        <w:t>, as well as new lesions that may develop.</w:t>
      </w:r>
      <w:r w:rsidR="0069257B" w:rsidRPr="005E6BB6">
        <w:rPr>
          <w:szCs w:val="22"/>
        </w:rPr>
        <w:t xml:space="preserve"> </w:t>
      </w:r>
      <w:r w:rsidR="00CF4A4F" w:rsidRPr="005E6BB6">
        <w:rPr>
          <w:szCs w:val="22"/>
        </w:rPr>
        <w:t xml:space="preserve"> Consequently, as t</w:t>
      </w:r>
      <w:r w:rsidR="00A01FF0" w:rsidRPr="005E6BB6">
        <w:rPr>
          <w:szCs w:val="22"/>
        </w:rPr>
        <w:t>he mean duration of treatment with T-VEC in clinical practice is likely to b</w:t>
      </w:r>
      <w:r w:rsidR="00CF4A4F" w:rsidRPr="005E6BB6">
        <w:rPr>
          <w:szCs w:val="22"/>
        </w:rPr>
        <w:t>e longer than that assumed for the financial estimates, the total cost of T-VEC to the PBS may be more than estimated in the submission</w:t>
      </w:r>
      <w:r w:rsidR="00A01FF0" w:rsidRPr="005E6BB6">
        <w:rPr>
          <w:szCs w:val="22"/>
        </w:rPr>
        <w:t>.</w:t>
      </w:r>
      <w:r w:rsidR="00AA4D50" w:rsidRPr="005E6BB6">
        <w:rPr>
          <w:szCs w:val="22"/>
        </w:rPr>
        <w:t xml:space="preserve">  The sponsor has signalled a willingness to enter into discussion around a risk share arrangement to address uncertainty surrounding the number of vials of T-VEC required per patient lifetime.</w:t>
      </w:r>
    </w:p>
    <w:p w:rsidR="00275E36" w:rsidRPr="005E6BB6" w:rsidRDefault="00275E36" w:rsidP="00275E36"/>
    <w:p w:rsidR="0073296B" w:rsidRPr="005E6BB6" w:rsidRDefault="0073296B" w:rsidP="00ED000E">
      <w:pPr>
        <w:pStyle w:val="ListParagraph"/>
        <w:widowControl/>
        <w:numPr>
          <w:ilvl w:val="1"/>
          <w:numId w:val="1"/>
        </w:numPr>
        <w:rPr>
          <w:szCs w:val="22"/>
        </w:rPr>
      </w:pPr>
      <w:r w:rsidRPr="005E6BB6">
        <w:t>The submission estimated that</w:t>
      </w:r>
      <w:r w:rsidR="00203F6C" w:rsidRPr="005E6BB6">
        <w:t>,</w:t>
      </w:r>
      <w:r w:rsidRPr="005E6BB6">
        <w:t xml:space="preserve"> should T-VEC be listed </w:t>
      </w:r>
      <w:r w:rsidR="00203F6C" w:rsidRPr="005E6BB6">
        <w:t>i</w:t>
      </w:r>
      <w:r w:rsidRPr="005E6BB6">
        <w:t>n the PBS</w:t>
      </w:r>
      <w:r w:rsidR="00203F6C" w:rsidRPr="005E6BB6">
        <w:t>,</w:t>
      </w:r>
      <w:r w:rsidRPr="005E6BB6">
        <w:t xml:space="preserve"> the</w:t>
      </w:r>
      <w:r w:rsidR="006769C1" w:rsidRPr="005E6BB6">
        <w:t xml:space="preserve"> number of patients that would be treated with T-VEC would be equal to the same </w:t>
      </w:r>
      <w:r w:rsidRPr="005E6BB6">
        <w:t xml:space="preserve">number of patients </w:t>
      </w:r>
      <w:r w:rsidR="006769C1" w:rsidRPr="005E6BB6">
        <w:t xml:space="preserve">who would </w:t>
      </w:r>
      <w:r w:rsidRPr="005E6BB6">
        <w:t>no longer</w:t>
      </w:r>
      <w:r w:rsidR="006675C0" w:rsidRPr="005E6BB6">
        <w:t xml:space="preserve"> be</w:t>
      </w:r>
      <w:r w:rsidRPr="005E6BB6">
        <w:t xml:space="preserve"> treated with </w:t>
      </w:r>
      <w:r w:rsidR="00203F6C" w:rsidRPr="005E6BB6">
        <w:t>its</w:t>
      </w:r>
      <w:r w:rsidRPr="005E6BB6">
        <w:t xml:space="preserve"> comparators.  </w:t>
      </w:r>
      <w:r w:rsidR="0000492C" w:rsidRPr="005E6BB6">
        <w:t xml:space="preserve">It is more likely that there will be some displacement of the comparators into later lines of therapy, and therefore the submission’s estimate of </w:t>
      </w:r>
      <w:r w:rsidR="00884F01" w:rsidRPr="005E6BB6">
        <w:t>reduced costs to the PBS are considered to be overestimated</w:t>
      </w:r>
      <w:r w:rsidR="0000492C" w:rsidRPr="005E6BB6">
        <w:t>.</w:t>
      </w:r>
      <w:r w:rsidR="00A5200E" w:rsidRPr="005E6BB6">
        <w:t xml:space="preserve">  The ESC </w:t>
      </w:r>
      <w:r w:rsidR="00785622" w:rsidRPr="005E6BB6">
        <w:t>reiterated</w:t>
      </w:r>
      <w:r w:rsidR="00A5200E" w:rsidRPr="005E6BB6">
        <w:t xml:space="preserve"> that the nominated comparators would still likely be used following treatment with T-VEC</w:t>
      </w:r>
      <w:r w:rsidR="00785622" w:rsidRPr="005E6BB6">
        <w:t>, or possibly in combination with T-VEC outside the intention of the requested restriction for T-VEC</w:t>
      </w:r>
      <w:r w:rsidR="00A5200E" w:rsidRPr="005E6BB6">
        <w:t>.</w:t>
      </w:r>
    </w:p>
    <w:p w:rsidR="00225F17" w:rsidRPr="005E6BB6" w:rsidRDefault="00225F17" w:rsidP="00225F17"/>
    <w:p w:rsidR="00283269" w:rsidRPr="005E6BB6" w:rsidRDefault="00F730C7" w:rsidP="00ED000E">
      <w:pPr>
        <w:pStyle w:val="ListParagraph"/>
        <w:widowControl/>
        <w:numPr>
          <w:ilvl w:val="1"/>
          <w:numId w:val="1"/>
        </w:numPr>
        <w:rPr>
          <w:szCs w:val="22"/>
        </w:rPr>
      </w:pPr>
      <w:r w:rsidRPr="005E6BB6">
        <w:rPr>
          <w:szCs w:val="22"/>
        </w:rPr>
        <w:t>As in its economic evaluation, t</w:t>
      </w:r>
      <w:r w:rsidR="00283269" w:rsidRPr="005E6BB6">
        <w:rPr>
          <w:szCs w:val="22"/>
        </w:rPr>
        <w:t xml:space="preserve">he submission did not include any difference in the cost of adverse events for T-VEC or for </w:t>
      </w:r>
      <w:r w:rsidRPr="005E6BB6">
        <w:rPr>
          <w:szCs w:val="22"/>
        </w:rPr>
        <w:t xml:space="preserve">its </w:t>
      </w:r>
      <w:r w:rsidR="00283269" w:rsidRPr="005E6BB6">
        <w:rPr>
          <w:szCs w:val="22"/>
        </w:rPr>
        <w:t>comparators</w:t>
      </w:r>
      <w:r w:rsidRPr="005E6BB6">
        <w:rPr>
          <w:szCs w:val="22"/>
        </w:rPr>
        <w:t xml:space="preserve"> in the</w:t>
      </w:r>
      <w:r w:rsidR="00B86D3F" w:rsidRPr="005E6BB6">
        <w:rPr>
          <w:szCs w:val="22"/>
        </w:rPr>
        <w:t xml:space="preserve"> </w:t>
      </w:r>
      <w:r w:rsidRPr="005E6BB6">
        <w:rPr>
          <w:szCs w:val="22"/>
        </w:rPr>
        <w:t>financial analyses</w:t>
      </w:r>
      <w:r w:rsidR="00C25857" w:rsidRPr="005E6BB6">
        <w:rPr>
          <w:szCs w:val="22"/>
        </w:rPr>
        <w:t>.</w:t>
      </w:r>
    </w:p>
    <w:p w:rsidR="00283269" w:rsidRPr="005E6BB6" w:rsidRDefault="00283269" w:rsidP="00283269">
      <w:pPr>
        <w:rPr>
          <w:szCs w:val="22"/>
        </w:rPr>
      </w:pPr>
    </w:p>
    <w:p w:rsidR="00283269" w:rsidRPr="005E6BB6" w:rsidRDefault="00283269" w:rsidP="00ED000E">
      <w:pPr>
        <w:pStyle w:val="ListParagraph"/>
        <w:widowControl/>
        <w:numPr>
          <w:ilvl w:val="1"/>
          <w:numId w:val="1"/>
        </w:numPr>
        <w:rPr>
          <w:szCs w:val="22"/>
        </w:rPr>
      </w:pPr>
      <w:r w:rsidRPr="005E6BB6">
        <w:rPr>
          <w:szCs w:val="22"/>
        </w:rPr>
        <w:t xml:space="preserve">The </w:t>
      </w:r>
      <w:r w:rsidR="002F3030" w:rsidRPr="005E6BB6">
        <w:rPr>
          <w:szCs w:val="22"/>
        </w:rPr>
        <w:t xml:space="preserve">submission assumed that the </w:t>
      </w:r>
      <w:r w:rsidRPr="005E6BB6">
        <w:rPr>
          <w:szCs w:val="22"/>
        </w:rPr>
        <w:t>net cost to the MBS</w:t>
      </w:r>
      <w:r w:rsidR="00F671C1" w:rsidRPr="005E6BB6">
        <w:rPr>
          <w:szCs w:val="22"/>
        </w:rPr>
        <w:t xml:space="preserve"> w</w:t>
      </w:r>
      <w:r w:rsidR="002F3030" w:rsidRPr="005E6BB6">
        <w:rPr>
          <w:szCs w:val="22"/>
        </w:rPr>
        <w:t>ould be</w:t>
      </w:r>
      <w:r w:rsidR="00F671C1" w:rsidRPr="005E6BB6">
        <w:rPr>
          <w:szCs w:val="22"/>
        </w:rPr>
        <w:t xml:space="preserve"> limited to the cost of administration</w:t>
      </w:r>
      <w:r w:rsidR="002F3030" w:rsidRPr="005E6BB6">
        <w:rPr>
          <w:szCs w:val="22"/>
        </w:rPr>
        <w:t xml:space="preserve">, with the </w:t>
      </w:r>
      <w:r w:rsidR="00F671C1" w:rsidRPr="005E6BB6">
        <w:rPr>
          <w:szCs w:val="22"/>
        </w:rPr>
        <w:t xml:space="preserve">cost to administer T-VEC </w:t>
      </w:r>
      <w:r w:rsidR="002F3030" w:rsidRPr="005E6BB6">
        <w:rPr>
          <w:szCs w:val="22"/>
        </w:rPr>
        <w:t>being</w:t>
      </w:r>
      <w:r w:rsidR="00C21115" w:rsidRPr="005E6BB6">
        <w:rPr>
          <w:szCs w:val="22"/>
        </w:rPr>
        <w:t xml:space="preserve"> 85% of the fee for</w:t>
      </w:r>
      <w:r w:rsidR="00F671C1" w:rsidRPr="005E6BB6">
        <w:rPr>
          <w:szCs w:val="22"/>
        </w:rPr>
        <w:t xml:space="preserve"> MBS30207 (the code for multiple injections of hydrocortisone, or similar preparations) and MBS105 for a specialist consultation.  The cost to administer T-VEC is unclear.  There is the need for ultrasound guidance in some cases, and with measures required to prevent herpetic spread, the cost of administration may be higher than estimated in the submission.</w:t>
      </w:r>
      <w:r w:rsidR="009F1DE4" w:rsidRPr="005E6BB6">
        <w:rPr>
          <w:szCs w:val="22"/>
        </w:rPr>
        <w:t xml:space="preserve">  There is also a cost to store T-VEC appropriately at -</w:t>
      </w:r>
      <w:r w:rsidR="00E34ACE" w:rsidRPr="005E6BB6">
        <w:rPr>
          <w:szCs w:val="22"/>
        </w:rPr>
        <w:t>9</w:t>
      </w:r>
      <w:r w:rsidR="009F1DE4" w:rsidRPr="005E6BB6">
        <w:rPr>
          <w:szCs w:val="22"/>
        </w:rPr>
        <w:t>0 to -</w:t>
      </w:r>
      <w:r w:rsidR="00E34ACE" w:rsidRPr="005E6BB6">
        <w:rPr>
          <w:szCs w:val="22"/>
        </w:rPr>
        <w:t>7</w:t>
      </w:r>
      <w:r w:rsidR="009F1DE4" w:rsidRPr="005E6BB6">
        <w:rPr>
          <w:szCs w:val="22"/>
        </w:rPr>
        <w:t xml:space="preserve">0 degrees </w:t>
      </w:r>
      <w:r w:rsidR="006675C0" w:rsidRPr="005E6BB6">
        <w:rPr>
          <w:szCs w:val="22"/>
        </w:rPr>
        <w:t>Celsius;</w:t>
      </w:r>
      <w:r w:rsidR="009F1DE4" w:rsidRPr="005E6BB6">
        <w:rPr>
          <w:szCs w:val="22"/>
        </w:rPr>
        <w:t xml:space="preserve"> however this cost is likely to be incurred outside the PBS and </w:t>
      </w:r>
      <w:r w:rsidR="00941383">
        <w:rPr>
          <w:szCs w:val="22"/>
        </w:rPr>
        <w:t xml:space="preserve">the </w:t>
      </w:r>
      <w:r w:rsidR="009F1DE4" w:rsidRPr="005E6BB6">
        <w:rPr>
          <w:szCs w:val="22"/>
        </w:rPr>
        <w:t>MBS.</w:t>
      </w:r>
    </w:p>
    <w:p w:rsidR="00283269" w:rsidRPr="005E6BB6" w:rsidRDefault="00283269" w:rsidP="00283269"/>
    <w:p w:rsidR="00C25D9C" w:rsidRPr="005E6BB6" w:rsidRDefault="00225F17" w:rsidP="00ED000E">
      <w:pPr>
        <w:pStyle w:val="ListParagraph"/>
        <w:widowControl/>
        <w:numPr>
          <w:ilvl w:val="1"/>
          <w:numId w:val="1"/>
        </w:numPr>
        <w:rPr>
          <w:szCs w:val="22"/>
        </w:rPr>
      </w:pPr>
      <w:r w:rsidRPr="005E6BB6">
        <w:t xml:space="preserve">Sensitivity analyses indicated </w:t>
      </w:r>
      <w:r w:rsidR="00D95995" w:rsidRPr="005E6BB6">
        <w:t xml:space="preserve">the financial estimates </w:t>
      </w:r>
      <w:r w:rsidR="00631FEB" w:rsidRPr="005E6BB6">
        <w:t>we</w:t>
      </w:r>
      <w:r w:rsidR="00D95995" w:rsidRPr="005E6BB6">
        <w:t>re most sensitive to the number of vials of T-VEC used per patient.</w:t>
      </w:r>
    </w:p>
    <w:p w:rsidR="00691B8C" w:rsidRPr="00BE77DA" w:rsidRDefault="00691B8C" w:rsidP="00576972">
      <w:pPr>
        <w:widowControl/>
        <w:rPr>
          <w:szCs w:val="22"/>
        </w:rPr>
      </w:pPr>
    </w:p>
    <w:p w:rsidR="00BD7795" w:rsidRPr="00941383" w:rsidRDefault="00BD7795" w:rsidP="006A72B9">
      <w:pPr>
        <w:pStyle w:val="Heading2"/>
      </w:pPr>
      <w:bookmarkStart w:id="26" w:name="_Toc451340815"/>
      <w:r w:rsidRPr="00941383">
        <w:t>Quality Use of Medicines</w:t>
      </w:r>
      <w:bookmarkEnd w:id="26"/>
    </w:p>
    <w:p w:rsidR="00BD7795" w:rsidRPr="00BE77DA" w:rsidRDefault="00BD7795" w:rsidP="00BD7795">
      <w:pPr>
        <w:widowControl/>
        <w:rPr>
          <w:szCs w:val="22"/>
        </w:rPr>
      </w:pPr>
    </w:p>
    <w:p w:rsidR="00BD7795" w:rsidRPr="005E6BB6" w:rsidRDefault="00BD7795" w:rsidP="00ED000E">
      <w:pPr>
        <w:pStyle w:val="ListParagraph"/>
        <w:widowControl/>
        <w:numPr>
          <w:ilvl w:val="1"/>
          <w:numId w:val="1"/>
        </w:numPr>
        <w:rPr>
          <w:szCs w:val="22"/>
        </w:rPr>
      </w:pPr>
      <w:r w:rsidRPr="005E6BB6">
        <w:t xml:space="preserve">The submission proposed a number of activities to support the quality use of medicines, including </w:t>
      </w:r>
      <w:r w:rsidR="00233089" w:rsidRPr="005E6BB6">
        <w:t>education by the sponsor for health care professionals to ensure appropriate handling of T-VEC and care of injection sites and for patients to prevent of inadvertent transfer of the virus.</w:t>
      </w:r>
    </w:p>
    <w:p w:rsidR="00BD7795" w:rsidRPr="00BE77DA" w:rsidRDefault="00BD7795" w:rsidP="00BD7795">
      <w:pPr>
        <w:widowControl/>
        <w:rPr>
          <w:szCs w:val="22"/>
        </w:rPr>
      </w:pPr>
    </w:p>
    <w:p w:rsidR="00576972" w:rsidRPr="00941383" w:rsidRDefault="00576972" w:rsidP="006A72B9">
      <w:pPr>
        <w:pStyle w:val="Heading2"/>
      </w:pPr>
      <w:bookmarkStart w:id="27" w:name="_Toc451340816"/>
      <w:r w:rsidRPr="00941383">
        <w:t>Financial Management – Risk Sharing Arrangements</w:t>
      </w:r>
      <w:bookmarkEnd w:id="27"/>
    </w:p>
    <w:p w:rsidR="00C25D9C" w:rsidRPr="00BE77DA" w:rsidRDefault="00C25D9C" w:rsidP="00576972">
      <w:pPr>
        <w:widowControl/>
        <w:rPr>
          <w:szCs w:val="22"/>
        </w:rPr>
      </w:pPr>
    </w:p>
    <w:p w:rsidR="00C25D9C" w:rsidRPr="005E6BB6" w:rsidRDefault="00B17BAD" w:rsidP="00ED000E">
      <w:pPr>
        <w:pStyle w:val="ListParagraph"/>
        <w:widowControl/>
        <w:numPr>
          <w:ilvl w:val="1"/>
          <w:numId w:val="1"/>
        </w:numPr>
        <w:rPr>
          <w:szCs w:val="22"/>
        </w:rPr>
      </w:pPr>
      <w:r w:rsidRPr="005E6BB6">
        <w:t>T</w:t>
      </w:r>
      <w:r w:rsidR="00576972" w:rsidRPr="005E6BB6">
        <w:t xml:space="preserve">he sponsor </w:t>
      </w:r>
      <w:r w:rsidRPr="005E6BB6">
        <w:t xml:space="preserve">indicated a willingness </w:t>
      </w:r>
      <w:r w:rsidR="00576972" w:rsidRPr="005E6BB6">
        <w:t>to undert</w:t>
      </w:r>
      <w:r w:rsidRPr="005E6BB6">
        <w:t>ake a risk sharing arrangement to account for the uncertainty surrounding the av</w:t>
      </w:r>
      <w:r w:rsidR="00E40E86" w:rsidRPr="005E6BB6">
        <w:t xml:space="preserve">erage number of vials of T-VEC that will be </w:t>
      </w:r>
      <w:r w:rsidRPr="005E6BB6">
        <w:t>used in clinical practice.  The submission did not provide any details of the potential risk sharing arrangement.</w:t>
      </w:r>
    </w:p>
    <w:p w:rsidR="0088242F" w:rsidRDefault="0088242F" w:rsidP="009C6644"/>
    <w:p w:rsidR="0046793B" w:rsidRDefault="0046793B" w:rsidP="00941383">
      <w:pPr>
        <w:ind w:left="709"/>
        <w:rPr>
          <w:bCs/>
          <w:szCs w:val="22"/>
        </w:rPr>
      </w:pPr>
      <w:r w:rsidRPr="001E2CD5">
        <w:rPr>
          <w:bCs/>
          <w:i/>
          <w:szCs w:val="22"/>
        </w:rPr>
        <w:t>For more detail on PBAC’s view, see section 7 “PBAC outcome”</w:t>
      </w:r>
      <w:r w:rsidR="00941383">
        <w:rPr>
          <w:bCs/>
          <w:i/>
          <w:szCs w:val="22"/>
        </w:rPr>
        <w:t>.</w:t>
      </w:r>
    </w:p>
    <w:p w:rsidR="0088242F" w:rsidRDefault="0088242F" w:rsidP="009C6644"/>
    <w:p w:rsidR="00A04AEA" w:rsidRDefault="00A04AEA" w:rsidP="009C6644"/>
    <w:p w:rsidR="00ED000E" w:rsidRPr="00CF6243" w:rsidRDefault="00ED000E" w:rsidP="006A72B9">
      <w:pPr>
        <w:pStyle w:val="Heading1"/>
      </w:pPr>
      <w:r w:rsidRPr="00CF6243">
        <w:t>PBAC Outcome</w:t>
      </w:r>
    </w:p>
    <w:p w:rsidR="00ED000E" w:rsidRPr="00941383" w:rsidRDefault="00ED000E" w:rsidP="00ED000E">
      <w:pPr>
        <w:rPr>
          <w:bCs/>
          <w:lang w:val="en-GB"/>
        </w:rPr>
      </w:pPr>
    </w:p>
    <w:p w:rsidR="00CF6243" w:rsidRDefault="00CF6243" w:rsidP="00ED000E">
      <w:pPr>
        <w:numPr>
          <w:ilvl w:val="1"/>
          <w:numId w:val="5"/>
        </w:numPr>
        <w:rPr>
          <w:bCs/>
          <w:lang w:val="en-GB"/>
        </w:rPr>
      </w:pPr>
      <w:r>
        <w:rPr>
          <w:bCs/>
          <w:lang w:val="en-GB"/>
        </w:rPr>
        <w:t>The PBAC rejected the listing of</w:t>
      </w:r>
      <w:r w:rsidR="007537D1">
        <w:rPr>
          <w:bCs/>
          <w:lang w:val="en-GB"/>
        </w:rPr>
        <w:t xml:space="preserve"> </w:t>
      </w:r>
      <w:r w:rsidR="00377440">
        <w:rPr>
          <w:bCs/>
          <w:lang w:val="en-GB"/>
        </w:rPr>
        <w:t>T-VEC on the basis of highly uncertain</w:t>
      </w:r>
      <w:r w:rsidR="00CE3B54">
        <w:rPr>
          <w:bCs/>
          <w:lang w:val="en-GB"/>
        </w:rPr>
        <w:t xml:space="preserve"> magnitude of</w:t>
      </w:r>
      <w:r w:rsidR="00377440">
        <w:rPr>
          <w:bCs/>
          <w:lang w:val="en-GB"/>
        </w:rPr>
        <w:t xml:space="preserve"> clinical benefit</w:t>
      </w:r>
      <w:r w:rsidR="00470395">
        <w:rPr>
          <w:bCs/>
          <w:lang w:val="en-GB"/>
        </w:rPr>
        <w:t>,</w:t>
      </w:r>
      <w:r w:rsidR="00377440">
        <w:rPr>
          <w:bCs/>
          <w:lang w:val="en-GB"/>
        </w:rPr>
        <w:t xml:space="preserve"> and </w:t>
      </w:r>
      <w:r w:rsidR="00F006E4">
        <w:rPr>
          <w:bCs/>
          <w:lang w:val="en-GB"/>
        </w:rPr>
        <w:t xml:space="preserve">thus </w:t>
      </w:r>
      <w:r w:rsidR="00377440">
        <w:rPr>
          <w:bCs/>
          <w:lang w:val="en-GB"/>
        </w:rPr>
        <w:t>highly uncertain cost effectiveness compared</w:t>
      </w:r>
      <w:r w:rsidR="0073796C">
        <w:rPr>
          <w:bCs/>
          <w:lang w:val="en-GB"/>
        </w:rPr>
        <w:t xml:space="preserve"> to its nominated comparators (</w:t>
      </w:r>
      <w:proofErr w:type="spellStart"/>
      <w:r w:rsidR="0073796C">
        <w:rPr>
          <w:bCs/>
          <w:lang w:val="en-GB"/>
        </w:rPr>
        <w:t>pembrolizumab</w:t>
      </w:r>
      <w:proofErr w:type="spellEnd"/>
      <w:r w:rsidR="0073796C">
        <w:rPr>
          <w:bCs/>
          <w:lang w:val="en-GB"/>
        </w:rPr>
        <w:t xml:space="preserve">, </w:t>
      </w:r>
      <w:proofErr w:type="spellStart"/>
      <w:r w:rsidR="0073796C">
        <w:rPr>
          <w:bCs/>
          <w:lang w:val="en-GB"/>
        </w:rPr>
        <w:t>nivolumab</w:t>
      </w:r>
      <w:proofErr w:type="spellEnd"/>
      <w:r w:rsidR="0073796C">
        <w:rPr>
          <w:bCs/>
          <w:lang w:val="en-GB"/>
        </w:rPr>
        <w:t xml:space="preserve"> and </w:t>
      </w:r>
      <w:proofErr w:type="spellStart"/>
      <w:r w:rsidR="0073796C">
        <w:rPr>
          <w:bCs/>
          <w:lang w:val="en-GB"/>
        </w:rPr>
        <w:t>ipilimumab</w:t>
      </w:r>
      <w:proofErr w:type="spellEnd"/>
      <w:r w:rsidR="0073796C">
        <w:rPr>
          <w:bCs/>
          <w:lang w:val="en-GB"/>
        </w:rPr>
        <w:t>).</w:t>
      </w:r>
    </w:p>
    <w:p w:rsidR="00A2685D" w:rsidRDefault="00A2685D" w:rsidP="00941383">
      <w:pPr>
        <w:rPr>
          <w:bCs/>
          <w:lang w:val="en-GB"/>
        </w:rPr>
      </w:pPr>
    </w:p>
    <w:p w:rsidR="00F006E4" w:rsidRDefault="00F006E4" w:rsidP="00F006E4">
      <w:pPr>
        <w:numPr>
          <w:ilvl w:val="1"/>
          <w:numId w:val="5"/>
        </w:numPr>
        <w:rPr>
          <w:bCs/>
          <w:lang w:val="en-GB"/>
        </w:rPr>
      </w:pPr>
      <w:r>
        <w:rPr>
          <w:bCs/>
          <w:lang w:val="en-GB"/>
        </w:rPr>
        <w:t xml:space="preserve">The PBAC acknowledged that there may be </w:t>
      </w:r>
      <w:r w:rsidR="00141F28">
        <w:rPr>
          <w:bCs/>
          <w:lang w:val="en-GB"/>
        </w:rPr>
        <w:t xml:space="preserve">some </w:t>
      </w:r>
      <w:r w:rsidR="00B01EFC">
        <w:rPr>
          <w:bCs/>
          <w:lang w:val="en-GB"/>
        </w:rPr>
        <w:t xml:space="preserve">short-term </w:t>
      </w:r>
      <w:r w:rsidR="00141F28">
        <w:rPr>
          <w:bCs/>
          <w:lang w:val="en-GB"/>
        </w:rPr>
        <w:t>unmet</w:t>
      </w:r>
      <w:r>
        <w:rPr>
          <w:bCs/>
          <w:lang w:val="en-GB"/>
        </w:rPr>
        <w:t xml:space="preserve"> clinical need </w:t>
      </w:r>
      <w:r w:rsidR="00B24A61">
        <w:rPr>
          <w:bCs/>
          <w:lang w:val="en-GB"/>
        </w:rPr>
        <w:t xml:space="preserve">for additional therapies beyond current PBS-subsidised medicines </w:t>
      </w:r>
      <w:r w:rsidR="00B01EFC">
        <w:rPr>
          <w:bCs/>
          <w:lang w:val="en-GB"/>
        </w:rPr>
        <w:t xml:space="preserve">in </w:t>
      </w:r>
      <w:r w:rsidR="00D610D3">
        <w:rPr>
          <w:bCs/>
          <w:lang w:val="en-GB"/>
        </w:rPr>
        <w:t xml:space="preserve">a small subgroup of previously untreated </w:t>
      </w:r>
      <w:r w:rsidR="00B01EFC">
        <w:rPr>
          <w:bCs/>
          <w:lang w:val="en-GB"/>
        </w:rPr>
        <w:t xml:space="preserve">patients with </w:t>
      </w:r>
      <w:r w:rsidR="00B24A61">
        <w:rPr>
          <w:bCs/>
          <w:lang w:val="en-GB"/>
        </w:rPr>
        <w:t xml:space="preserve">stage </w:t>
      </w:r>
      <w:proofErr w:type="spellStart"/>
      <w:r w:rsidR="00B24A61">
        <w:rPr>
          <w:bCs/>
          <w:lang w:val="en-GB"/>
        </w:rPr>
        <w:t>IIIb</w:t>
      </w:r>
      <w:proofErr w:type="spellEnd"/>
      <w:r w:rsidR="00B95E2C">
        <w:rPr>
          <w:bCs/>
          <w:lang w:val="en-GB"/>
        </w:rPr>
        <w:t>/</w:t>
      </w:r>
      <w:r w:rsidR="00B24A61">
        <w:rPr>
          <w:bCs/>
          <w:lang w:val="en-GB"/>
        </w:rPr>
        <w:t>c</w:t>
      </w:r>
      <w:r w:rsidR="00B95E2C">
        <w:rPr>
          <w:bCs/>
          <w:lang w:val="en-GB"/>
        </w:rPr>
        <w:t xml:space="preserve"> and stage IVM1a melanoma</w:t>
      </w:r>
      <w:r>
        <w:rPr>
          <w:bCs/>
          <w:lang w:val="en-GB"/>
        </w:rPr>
        <w:t>.</w:t>
      </w:r>
      <w:r w:rsidR="003676E2">
        <w:rPr>
          <w:bCs/>
          <w:lang w:val="en-GB"/>
        </w:rPr>
        <w:t xml:space="preserve"> </w:t>
      </w:r>
      <w:r w:rsidR="00B24A61">
        <w:rPr>
          <w:bCs/>
          <w:lang w:val="en-GB"/>
        </w:rPr>
        <w:t xml:space="preserve"> </w:t>
      </w:r>
      <w:r w:rsidR="003676E2">
        <w:rPr>
          <w:bCs/>
          <w:lang w:val="en-GB"/>
        </w:rPr>
        <w:t>The PBAC also noted that current clinica</w:t>
      </w:r>
      <w:r w:rsidR="006C62BF">
        <w:rPr>
          <w:bCs/>
          <w:lang w:val="en-GB"/>
        </w:rPr>
        <w:t>l trials were evaluating the ro</w:t>
      </w:r>
      <w:r w:rsidR="003676E2">
        <w:rPr>
          <w:bCs/>
          <w:lang w:val="en-GB"/>
        </w:rPr>
        <w:t>l</w:t>
      </w:r>
      <w:r w:rsidR="006C62BF">
        <w:rPr>
          <w:bCs/>
          <w:lang w:val="en-GB"/>
        </w:rPr>
        <w:t>e</w:t>
      </w:r>
      <w:r w:rsidR="003676E2">
        <w:rPr>
          <w:bCs/>
          <w:lang w:val="en-GB"/>
        </w:rPr>
        <w:t xml:space="preserve"> of T-VEC as an add-on therapy </w:t>
      </w:r>
      <w:r w:rsidR="006C62BF">
        <w:rPr>
          <w:bCs/>
          <w:lang w:val="en-GB"/>
        </w:rPr>
        <w:t>to current PBS</w:t>
      </w:r>
      <w:r w:rsidR="00B24A61">
        <w:rPr>
          <w:bCs/>
          <w:lang w:val="en-GB"/>
        </w:rPr>
        <w:t>-subsidised</w:t>
      </w:r>
      <w:r w:rsidR="00666507">
        <w:rPr>
          <w:bCs/>
          <w:lang w:val="en-GB"/>
        </w:rPr>
        <w:t xml:space="preserve"> </w:t>
      </w:r>
      <w:r w:rsidR="006C62BF">
        <w:rPr>
          <w:bCs/>
          <w:lang w:val="en-GB"/>
        </w:rPr>
        <w:t>medicines.</w:t>
      </w:r>
    </w:p>
    <w:p w:rsidR="00F006E4" w:rsidRPr="00941383" w:rsidRDefault="00F006E4" w:rsidP="00F006E4">
      <w:pPr>
        <w:rPr>
          <w:bCs/>
          <w:lang w:val="en-GB"/>
        </w:rPr>
      </w:pPr>
    </w:p>
    <w:p w:rsidR="0073796C" w:rsidRDefault="00A2685D" w:rsidP="00A2685D">
      <w:pPr>
        <w:numPr>
          <w:ilvl w:val="1"/>
          <w:numId w:val="5"/>
        </w:numPr>
        <w:rPr>
          <w:bCs/>
          <w:lang w:val="en-GB"/>
        </w:rPr>
      </w:pPr>
      <w:r>
        <w:rPr>
          <w:bCs/>
          <w:lang w:val="en-GB"/>
        </w:rPr>
        <w:t xml:space="preserve">The PBAC accepted that </w:t>
      </w:r>
      <w:proofErr w:type="spellStart"/>
      <w:r>
        <w:rPr>
          <w:bCs/>
          <w:lang w:val="en-GB"/>
        </w:rPr>
        <w:t>pembrolizumab</w:t>
      </w:r>
      <w:proofErr w:type="spellEnd"/>
      <w:r>
        <w:rPr>
          <w:bCs/>
          <w:lang w:val="en-GB"/>
        </w:rPr>
        <w:t xml:space="preserve">, </w:t>
      </w:r>
      <w:proofErr w:type="spellStart"/>
      <w:r>
        <w:rPr>
          <w:bCs/>
          <w:lang w:val="en-GB"/>
        </w:rPr>
        <w:t>nivolumab</w:t>
      </w:r>
      <w:proofErr w:type="spellEnd"/>
      <w:r>
        <w:rPr>
          <w:bCs/>
          <w:lang w:val="en-GB"/>
        </w:rPr>
        <w:t xml:space="preserve"> and </w:t>
      </w:r>
      <w:proofErr w:type="spellStart"/>
      <w:r>
        <w:rPr>
          <w:bCs/>
          <w:lang w:val="en-GB"/>
        </w:rPr>
        <w:t>ipilimumab</w:t>
      </w:r>
      <w:proofErr w:type="spellEnd"/>
      <w:r>
        <w:rPr>
          <w:bCs/>
          <w:lang w:val="en-GB"/>
        </w:rPr>
        <w:t xml:space="preserve"> were appropriate comparators</w:t>
      </w:r>
      <w:r w:rsidR="00F006E4">
        <w:rPr>
          <w:bCs/>
          <w:lang w:val="en-GB"/>
        </w:rPr>
        <w:t>.  The PBAC considered that</w:t>
      </w:r>
      <w:r w:rsidR="00B24A61">
        <w:rPr>
          <w:bCs/>
          <w:lang w:val="en-GB"/>
        </w:rPr>
        <w:t xml:space="preserve"> BRAF/MEK inhibitors (such as </w:t>
      </w:r>
      <w:proofErr w:type="spellStart"/>
      <w:r w:rsidR="00F006E4">
        <w:rPr>
          <w:bCs/>
          <w:lang w:val="en-GB"/>
        </w:rPr>
        <w:t>dabrafenib</w:t>
      </w:r>
      <w:proofErr w:type="spellEnd"/>
      <w:r w:rsidR="00F006E4">
        <w:rPr>
          <w:bCs/>
          <w:lang w:val="en-GB"/>
        </w:rPr>
        <w:t xml:space="preserve"> </w:t>
      </w:r>
      <w:r w:rsidR="00083CC1">
        <w:rPr>
          <w:bCs/>
          <w:lang w:val="en-GB"/>
        </w:rPr>
        <w:t xml:space="preserve">with </w:t>
      </w:r>
      <w:proofErr w:type="spellStart"/>
      <w:r w:rsidR="00083CC1">
        <w:rPr>
          <w:bCs/>
          <w:lang w:val="en-GB"/>
        </w:rPr>
        <w:t>trametinib</w:t>
      </w:r>
      <w:proofErr w:type="spellEnd"/>
      <w:r w:rsidR="00B91359">
        <w:rPr>
          <w:bCs/>
          <w:lang w:val="en-GB"/>
        </w:rPr>
        <w:t>)</w:t>
      </w:r>
      <w:r w:rsidR="00E83B51">
        <w:rPr>
          <w:bCs/>
          <w:lang w:val="en-GB"/>
        </w:rPr>
        <w:t>, and intra-</w:t>
      </w:r>
      <w:proofErr w:type="spellStart"/>
      <w:r w:rsidR="00E83B51">
        <w:rPr>
          <w:bCs/>
          <w:lang w:val="en-GB"/>
        </w:rPr>
        <w:t>lesional</w:t>
      </w:r>
      <w:proofErr w:type="spellEnd"/>
      <w:r w:rsidR="00E83B51">
        <w:rPr>
          <w:bCs/>
          <w:lang w:val="en-GB"/>
        </w:rPr>
        <w:t xml:space="preserve"> BCG,</w:t>
      </w:r>
      <w:r w:rsidR="00083CC1">
        <w:rPr>
          <w:bCs/>
          <w:lang w:val="en-GB"/>
        </w:rPr>
        <w:t xml:space="preserve"> </w:t>
      </w:r>
      <w:r w:rsidR="00E83B51">
        <w:rPr>
          <w:bCs/>
          <w:lang w:val="en-GB"/>
        </w:rPr>
        <w:t xml:space="preserve">were </w:t>
      </w:r>
      <w:r w:rsidR="00F006E4">
        <w:rPr>
          <w:bCs/>
          <w:lang w:val="en-GB"/>
        </w:rPr>
        <w:t>also relevant comparator</w:t>
      </w:r>
      <w:r w:rsidR="00E83B51">
        <w:rPr>
          <w:bCs/>
          <w:lang w:val="en-GB"/>
        </w:rPr>
        <w:t>s</w:t>
      </w:r>
      <w:r w:rsidR="00CD6348">
        <w:rPr>
          <w:bCs/>
          <w:lang w:val="en-GB"/>
        </w:rPr>
        <w:t>, however noted that the latter was not PBS</w:t>
      </w:r>
      <w:r w:rsidR="00B91359">
        <w:rPr>
          <w:bCs/>
          <w:lang w:val="en-GB"/>
        </w:rPr>
        <w:t>-subsidised</w:t>
      </w:r>
      <w:r w:rsidR="00F006E4">
        <w:rPr>
          <w:bCs/>
          <w:lang w:val="en-GB"/>
        </w:rPr>
        <w:t>.</w:t>
      </w:r>
    </w:p>
    <w:p w:rsidR="00475823" w:rsidRPr="00941383" w:rsidRDefault="00475823" w:rsidP="00475823">
      <w:pPr>
        <w:rPr>
          <w:bCs/>
          <w:lang w:val="en-GB"/>
        </w:rPr>
      </w:pPr>
    </w:p>
    <w:p w:rsidR="00475823" w:rsidRDefault="00475823" w:rsidP="00A2685D">
      <w:pPr>
        <w:numPr>
          <w:ilvl w:val="1"/>
          <w:numId w:val="5"/>
        </w:numPr>
        <w:rPr>
          <w:bCs/>
          <w:lang w:val="en-GB"/>
        </w:rPr>
      </w:pPr>
      <w:r>
        <w:rPr>
          <w:bCs/>
          <w:lang w:val="en-GB"/>
        </w:rPr>
        <w:t xml:space="preserve">The PBAC considered that </w:t>
      </w:r>
      <w:r w:rsidR="00EF3B49">
        <w:rPr>
          <w:bCs/>
          <w:lang w:val="en-GB"/>
        </w:rPr>
        <w:t>intra-</w:t>
      </w:r>
      <w:proofErr w:type="spellStart"/>
      <w:r w:rsidR="00EF3B49">
        <w:rPr>
          <w:bCs/>
          <w:lang w:val="en-GB"/>
        </w:rPr>
        <w:t>lesional</w:t>
      </w:r>
      <w:proofErr w:type="spellEnd"/>
      <w:r w:rsidR="00EF3B49">
        <w:rPr>
          <w:bCs/>
          <w:lang w:val="en-GB"/>
        </w:rPr>
        <w:t xml:space="preserve"> </w:t>
      </w:r>
      <w:r>
        <w:rPr>
          <w:bCs/>
          <w:lang w:val="en-GB"/>
        </w:rPr>
        <w:t>T-VEC was likely to displace, rather than replace, its comparators.</w:t>
      </w:r>
      <w:r w:rsidR="00B91359">
        <w:rPr>
          <w:bCs/>
          <w:lang w:val="en-GB"/>
        </w:rPr>
        <w:t xml:space="preserve">  It may also be used as concomitant therapy, whether added to other non-PBS-subsidised therapies</w:t>
      </w:r>
      <w:r w:rsidR="007448D0">
        <w:rPr>
          <w:bCs/>
          <w:lang w:val="en-GB"/>
        </w:rPr>
        <w:t>,</w:t>
      </w:r>
      <w:r w:rsidR="00B91359">
        <w:rPr>
          <w:bCs/>
          <w:lang w:val="en-GB"/>
        </w:rPr>
        <w:t xml:space="preserve"> or used beyond the requested restriction with its comparators.</w:t>
      </w:r>
    </w:p>
    <w:p w:rsidR="00A2685D" w:rsidRPr="00941383" w:rsidRDefault="00A2685D" w:rsidP="00A2685D">
      <w:pPr>
        <w:rPr>
          <w:bCs/>
          <w:lang w:val="en-GB"/>
        </w:rPr>
      </w:pPr>
    </w:p>
    <w:p w:rsidR="003A4B62" w:rsidRPr="003A4B62" w:rsidRDefault="00A2685D" w:rsidP="003A4B62">
      <w:pPr>
        <w:numPr>
          <w:ilvl w:val="1"/>
          <w:numId w:val="5"/>
        </w:numPr>
        <w:rPr>
          <w:bCs/>
          <w:lang w:val="en-GB"/>
        </w:rPr>
      </w:pPr>
      <w:r>
        <w:rPr>
          <w:bCs/>
          <w:lang w:val="en-GB"/>
        </w:rPr>
        <w:t xml:space="preserve">The PBAC considered that durable response rate, the primary </w:t>
      </w:r>
      <w:r w:rsidR="00860D8A">
        <w:rPr>
          <w:bCs/>
          <w:lang w:val="en-GB"/>
        </w:rPr>
        <w:t xml:space="preserve">endpoint </w:t>
      </w:r>
      <w:r>
        <w:rPr>
          <w:bCs/>
          <w:lang w:val="en-GB"/>
        </w:rPr>
        <w:t xml:space="preserve">in </w:t>
      </w:r>
      <w:r w:rsidR="00141F28">
        <w:rPr>
          <w:bCs/>
          <w:lang w:val="en-GB"/>
        </w:rPr>
        <w:t>the key trial (</w:t>
      </w:r>
      <w:proofErr w:type="spellStart"/>
      <w:r>
        <w:rPr>
          <w:bCs/>
          <w:lang w:val="en-GB"/>
        </w:rPr>
        <w:t>OPTiM</w:t>
      </w:r>
      <w:proofErr w:type="spellEnd"/>
      <w:r w:rsidR="00141F28">
        <w:rPr>
          <w:bCs/>
          <w:lang w:val="en-GB"/>
        </w:rPr>
        <w:t>)</w:t>
      </w:r>
      <w:r>
        <w:rPr>
          <w:bCs/>
          <w:lang w:val="en-GB"/>
        </w:rPr>
        <w:t>, was not a validated endpoint, as it was clinician assessed, and allowed patients to be counted as having durable response despite having</w:t>
      </w:r>
      <w:r w:rsidR="006E463E">
        <w:rPr>
          <w:bCs/>
          <w:lang w:val="en-GB"/>
        </w:rPr>
        <w:t xml:space="preserve"> disease</w:t>
      </w:r>
      <w:r>
        <w:rPr>
          <w:bCs/>
          <w:lang w:val="en-GB"/>
        </w:rPr>
        <w:t xml:space="preserve"> relapse or disease progression after 6 months.</w:t>
      </w:r>
      <w:r w:rsidR="005933A2">
        <w:rPr>
          <w:bCs/>
          <w:lang w:val="en-GB"/>
        </w:rPr>
        <w:t xml:space="preserve">  There was no quality-of-life data reported from this trial</w:t>
      </w:r>
      <w:r w:rsidR="00D54DD9">
        <w:rPr>
          <w:bCs/>
          <w:lang w:val="en-GB"/>
        </w:rPr>
        <w:t xml:space="preserve"> in the submission</w:t>
      </w:r>
      <w:r w:rsidR="005933A2">
        <w:rPr>
          <w:bCs/>
          <w:lang w:val="en-GB"/>
        </w:rPr>
        <w:t>.</w:t>
      </w:r>
      <w:r w:rsidR="00EA5A87">
        <w:rPr>
          <w:bCs/>
          <w:lang w:val="en-GB"/>
        </w:rPr>
        <w:t xml:space="preserve"> </w:t>
      </w:r>
      <w:r w:rsidR="007448D0">
        <w:rPr>
          <w:bCs/>
          <w:lang w:val="en-GB"/>
        </w:rPr>
        <w:t xml:space="preserve"> </w:t>
      </w:r>
      <w:r w:rsidR="00EA5A87">
        <w:rPr>
          <w:bCs/>
          <w:lang w:val="en-GB"/>
        </w:rPr>
        <w:t xml:space="preserve">The PBAC considered that the magnitude of survival benefit of T-VEC in the stage </w:t>
      </w:r>
      <w:proofErr w:type="spellStart"/>
      <w:r w:rsidR="00EA5A87">
        <w:rPr>
          <w:bCs/>
          <w:lang w:val="en-GB"/>
        </w:rPr>
        <w:t>III</w:t>
      </w:r>
      <w:r w:rsidR="00B24A61">
        <w:rPr>
          <w:bCs/>
          <w:lang w:val="en-GB"/>
        </w:rPr>
        <w:t>b</w:t>
      </w:r>
      <w:proofErr w:type="spellEnd"/>
      <w:r w:rsidR="00EA5A87">
        <w:rPr>
          <w:bCs/>
          <w:lang w:val="en-GB"/>
        </w:rPr>
        <w:t>/</w:t>
      </w:r>
      <w:r w:rsidR="00B24A61">
        <w:rPr>
          <w:bCs/>
          <w:lang w:val="en-GB"/>
        </w:rPr>
        <w:t>c</w:t>
      </w:r>
      <w:r w:rsidR="00EA5A87">
        <w:rPr>
          <w:bCs/>
          <w:lang w:val="en-GB"/>
        </w:rPr>
        <w:t xml:space="preserve"> and stage IVM1a subgroups was highly uncertain, given the data was derived from an exploratory </w:t>
      </w:r>
      <w:r w:rsidR="00177D56">
        <w:rPr>
          <w:bCs/>
          <w:lang w:val="en-GB"/>
        </w:rPr>
        <w:t xml:space="preserve">post-hoc </w:t>
      </w:r>
      <w:r w:rsidR="00EA5A87">
        <w:rPr>
          <w:bCs/>
          <w:lang w:val="en-GB"/>
        </w:rPr>
        <w:t xml:space="preserve">subgroup analysis of a secondary endpoint of the </w:t>
      </w:r>
      <w:proofErr w:type="spellStart"/>
      <w:r w:rsidR="00EA5A87">
        <w:rPr>
          <w:bCs/>
          <w:lang w:val="en-GB"/>
        </w:rPr>
        <w:t>OPTiM</w:t>
      </w:r>
      <w:proofErr w:type="spellEnd"/>
      <w:r w:rsidR="00EA5A87">
        <w:rPr>
          <w:bCs/>
          <w:lang w:val="en-GB"/>
        </w:rPr>
        <w:t xml:space="preserve"> trial</w:t>
      </w:r>
      <w:r w:rsidR="00ED6EFF">
        <w:rPr>
          <w:bCs/>
          <w:lang w:val="en-GB"/>
        </w:rPr>
        <w:t>, and that the survival benefit in the whole population was of borderline statistical significance</w:t>
      </w:r>
      <w:r w:rsidR="00EA5A87">
        <w:rPr>
          <w:bCs/>
          <w:lang w:val="en-GB"/>
        </w:rPr>
        <w:t>.</w:t>
      </w:r>
    </w:p>
    <w:p w:rsidR="00CE3B54" w:rsidRPr="00941383" w:rsidRDefault="00CE3B54" w:rsidP="00CE3B54">
      <w:pPr>
        <w:rPr>
          <w:bCs/>
          <w:lang w:val="en-GB"/>
        </w:rPr>
      </w:pPr>
    </w:p>
    <w:p w:rsidR="00083CC1" w:rsidRDefault="00083CC1" w:rsidP="00ED000E">
      <w:pPr>
        <w:numPr>
          <w:ilvl w:val="1"/>
          <w:numId w:val="5"/>
        </w:numPr>
        <w:rPr>
          <w:bCs/>
          <w:lang w:val="en-GB"/>
        </w:rPr>
      </w:pPr>
      <w:r>
        <w:rPr>
          <w:bCs/>
          <w:lang w:val="en-GB"/>
        </w:rPr>
        <w:t>The PBAC considered that the comparative effectiveness and safety of T-VEC versus its comparators could not be determined with sufficient confidence using the data presented in the submission.  The PBAC noted that the available trials differed markedly in their comparators, participant eligibility, baseline disease characteristics, tria</w:t>
      </w:r>
      <w:r w:rsidR="00D90674">
        <w:rPr>
          <w:bCs/>
          <w:lang w:val="en-GB"/>
        </w:rPr>
        <w:t>l outcomes and length of follow-</w:t>
      </w:r>
      <w:r>
        <w:rPr>
          <w:bCs/>
          <w:lang w:val="en-GB"/>
        </w:rPr>
        <w:t xml:space="preserve">up.  As each of these </w:t>
      </w:r>
      <w:r w:rsidR="007537D1">
        <w:rPr>
          <w:bCs/>
          <w:lang w:val="en-GB"/>
        </w:rPr>
        <w:t xml:space="preserve">differences </w:t>
      </w:r>
      <w:r>
        <w:rPr>
          <w:bCs/>
          <w:lang w:val="en-GB"/>
        </w:rPr>
        <w:t xml:space="preserve">is likely to modify the comparative treatment effects of T-VEC, </w:t>
      </w:r>
      <w:proofErr w:type="spellStart"/>
      <w:r>
        <w:rPr>
          <w:bCs/>
          <w:lang w:val="en-GB"/>
        </w:rPr>
        <w:t>pembrolizumab</w:t>
      </w:r>
      <w:proofErr w:type="spellEnd"/>
      <w:r>
        <w:rPr>
          <w:bCs/>
          <w:lang w:val="en-GB"/>
        </w:rPr>
        <w:t xml:space="preserve">, </w:t>
      </w:r>
      <w:proofErr w:type="spellStart"/>
      <w:r>
        <w:rPr>
          <w:bCs/>
          <w:lang w:val="en-GB"/>
        </w:rPr>
        <w:t>nivolumab</w:t>
      </w:r>
      <w:proofErr w:type="spellEnd"/>
      <w:r>
        <w:rPr>
          <w:bCs/>
          <w:lang w:val="en-GB"/>
        </w:rPr>
        <w:t xml:space="preserve"> and </w:t>
      </w:r>
      <w:proofErr w:type="spellStart"/>
      <w:r>
        <w:rPr>
          <w:bCs/>
          <w:lang w:val="en-GB"/>
        </w:rPr>
        <w:t>ipilimumab</w:t>
      </w:r>
      <w:proofErr w:type="spellEnd"/>
      <w:r>
        <w:rPr>
          <w:bCs/>
          <w:lang w:val="en-GB"/>
        </w:rPr>
        <w:t xml:space="preserve"> against their comparators</w:t>
      </w:r>
      <w:r w:rsidR="005933A2">
        <w:rPr>
          <w:bCs/>
          <w:lang w:val="en-GB"/>
        </w:rPr>
        <w:t xml:space="preserve"> (with particular emphasis on the effect of T-VEC being modified by the staging of melanoma despite some evidence of an attrition bias)</w:t>
      </w:r>
      <w:r>
        <w:rPr>
          <w:bCs/>
          <w:lang w:val="en-GB"/>
        </w:rPr>
        <w:t xml:space="preserve">, the assumption of transitivity across these effects was unlikely to hold, and thus any indirect comparison of T-VEC and its comparators could not be relied upon.  </w:t>
      </w:r>
      <w:r w:rsidR="00965A46">
        <w:rPr>
          <w:bCs/>
          <w:lang w:val="en-GB"/>
        </w:rPr>
        <w:t>The PBAC also noted the lack of a formal statistical indirect comparison between T-VEC and its comp</w:t>
      </w:r>
      <w:r w:rsidR="00EE231C">
        <w:rPr>
          <w:bCs/>
          <w:lang w:val="en-GB"/>
        </w:rPr>
        <w:t>a</w:t>
      </w:r>
      <w:r w:rsidR="00965A46">
        <w:rPr>
          <w:bCs/>
          <w:lang w:val="en-GB"/>
        </w:rPr>
        <w:t xml:space="preserve">rators. </w:t>
      </w:r>
      <w:r w:rsidR="007448D0">
        <w:rPr>
          <w:bCs/>
          <w:lang w:val="en-GB"/>
        </w:rPr>
        <w:t xml:space="preserve"> </w:t>
      </w:r>
      <w:r>
        <w:rPr>
          <w:bCs/>
          <w:lang w:val="en-GB"/>
        </w:rPr>
        <w:t>Therefore, there was also inadequate basis for the cost-minimisation analysis of T-VEC versus ipilimumab</w:t>
      </w:r>
      <w:r w:rsidR="005933A2">
        <w:rPr>
          <w:bCs/>
          <w:lang w:val="en-GB"/>
        </w:rPr>
        <w:t xml:space="preserve"> at its effective price</w:t>
      </w:r>
      <w:r>
        <w:rPr>
          <w:bCs/>
          <w:lang w:val="en-GB"/>
        </w:rPr>
        <w:t xml:space="preserve">, as the submission did not establish whether T-VEC was inferior or non-inferior to </w:t>
      </w:r>
      <w:r w:rsidR="005933A2">
        <w:rPr>
          <w:bCs/>
          <w:lang w:val="en-GB"/>
        </w:rPr>
        <w:t xml:space="preserve">any of </w:t>
      </w:r>
      <w:r>
        <w:rPr>
          <w:bCs/>
          <w:lang w:val="en-GB"/>
        </w:rPr>
        <w:t>its comparators.</w:t>
      </w:r>
    </w:p>
    <w:p w:rsidR="003F1478" w:rsidRPr="003F1478" w:rsidRDefault="003F1478" w:rsidP="003F1478">
      <w:pPr>
        <w:rPr>
          <w:bCs/>
          <w:lang w:val="en-GB"/>
        </w:rPr>
      </w:pPr>
    </w:p>
    <w:p w:rsidR="003F1478" w:rsidRPr="003F1478" w:rsidRDefault="000E7AF3" w:rsidP="000E7AF3">
      <w:pPr>
        <w:numPr>
          <w:ilvl w:val="1"/>
          <w:numId w:val="5"/>
        </w:numPr>
        <w:rPr>
          <w:bCs/>
          <w:lang w:val="en-GB"/>
        </w:rPr>
      </w:pPr>
      <w:r w:rsidRPr="000E7AF3">
        <w:rPr>
          <w:bCs/>
          <w:lang w:val="en-GB"/>
        </w:rPr>
        <w:t xml:space="preserve">The PBAC noted that the </w:t>
      </w:r>
      <w:r>
        <w:rPr>
          <w:bCs/>
          <w:lang w:val="en-GB"/>
        </w:rPr>
        <w:t xml:space="preserve">estimates of the </w:t>
      </w:r>
      <w:r w:rsidRPr="000E7AF3">
        <w:rPr>
          <w:bCs/>
          <w:lang w:val="en-GB"/>
        </w:rPr>
        <w:t xml:space="preserve">comparative treatment effects </w:t>
      </w:r>
      <w:r w:rsidR="00D90674">
        <w:rPr>
          <w:bCs/>
          <w:lang w:val="en-GB"/>
        </w:rPr>
        <w:t xml:space="preserve">(for example, on durable response rates or overall survival) </w:t>
      </w:r>
      <w:r w:rsidRPr="000E7AF3">
        <w:rPr>
          <w:bCs/>
          <w:lang w:val="en-GB"/>
        </w:rPr>
        <w:t xml:space="preserve">may be subject to bias due to differences across trials which result in effect modification. </w:t>
      </w:r>
      <w:r w:rsidR="00D90674">
        <w:rPr>
          <w:bCs/>
          <w:lang w:val="en-GB"/>
        </w:rPr>
        <w:t xml:space="preserve"> </w:t>
      </w:r>
      <w:r w:rsidRPr="000E7AF3">
        <w:rPr>
          <w:bCs/>
          <w:lang w:val="en-GB"/>
        </w:rPr>
        <w:t>T</w:t>
      </w:r>
      <w:r w:rsidR="00D90674">
        <w:rPr>
          <w:bCs/>
          <w:lang w:val="en-GB"/>
        </w:rPr>
        <w:t>he t</w:t>
      </w:r>
      <w:r w:rsidRPr="000E7AF3">
        <w:rPr>
          <w:bCs/>
          <w:lang w:val="en-GB"/>
        </w:rPr>
        <w:t xml:space="preserve">rials </w:t>
      </w:r>
      <w:r w:rsidR="00D90674">
        <w:rPr>
          <w:bCs/>
          <w:lang w:val="en-GB"/>
        </w:rPr>
        <w:t xml:space="preserve">forming a “transitivity analysis” to estimate the comparison of these effects </w:t>
      </w:r>
      <w:r w:rsidRPr="000E7AF3">
        <w:rPr>
          <w:bCs/>
          <w:lang w:val="en-GB"/>
        </w:rPr>
        <w:t>may differ in comparators, participant eligibility, baseline participant and disease characteristics, t</w:t>
      </w:r>
      <w:r w:rsidR="00D90674">
        <w:rPr>
          <w:bCs/>
          <w:lang w:val="en-GB"/>
        </w:rPr>
        <w:t>rial outcomes, length of follow-</w:t>
      </w:r>
      <w:r w:rsidRPr="000E7AF3">
        <w:rPr>
          <w:bCs/>
          <w:lang w:val="en-GB"/>
        </w:rPr>
        <w:t xml:space="preserve">up, and other unknown factors. </w:t>
      </w:r>
      <w:r>
        <w:rPr>
          <w:bCs/>
          <w:lang w:val="en-GB"/>
        </w:rPr>
        <w:t xml:space="preserve"> </w:t>
      </w:r>
      <w:r w:rsidRPr="000E7AF3">
        <w:rPr>
          <w:bCs/>
          <w:lang w:val="en-GB"/>
        </w:rPr>
        <w:t>These differences in the trials may not be known and where known may not be reported.  However</w:t>
      </w:r>
      <w:r>
        <w:rPr>
          <w:bCs/>
          <w:lang w:val="en-GB"/>
        </w:rPr>
        <w:t xml:space="preserve">, </w:t>
      </w:r>
      <w:r w:rsidRPr="000E7AF3">
        <w:rPr>
          <w:bCs/>
          <w:lang w:val="en-GB"/>
        </w:rPr>
        <w:t>they confound the results of the common reference which forms the “anchor treatment” of the transitivity analysis, to the extent that (a) they modify the comparative treatment effect, and (b) their distributions vary across the identified trials. In so doing, they generate a treatment by trial interaction.</w:t>
      </w:r>
      <w:r>
        <w:rPr>
          <w:bCs/>
          <w:lang w:val="en-GB"/>
        </w:rPr>
        <w:t xml:space="preserve">  </w:t>
      </w:r>
      <w:r w:rsidR="003F1478" w:rsidRPr="003F1478">
        <w:rPr>
          <w:bCs/>
          <w:lang w:val="en-GB"/>
        </w:rPr>
        <w:t xml:space="preserve">The PBAC noted that this emphasis on assessing </w:t>
      </w:r>
      <w:r w:rsidR="003F1478">
        <w:rPr>
          <w:bCs/>
          <w:lang w:val="en-GB"/>
        </w:rPr>
        <w:t xml:space="preserve">the assumption of </w:t>
      </w:r>
      <w:r w:rsidR="003F1478" w:rsidRPr="003F1478">
        <w:rPr>
          <w:bCs/>
          <w:lang w:val="en-GB"/>
        </w:rPr>
        <w:t xml:space="preserve">“transitivity” is narrower than assessing </w:t>
      </w:r>
      <w:r w:rsidR="003F1478">
        <w:rPr>
          <w:bCs/>
          <w:lang w:val="en-GB"/>
        </w:rPr>
        <w:t xml:space="preserve">the assumption of </w:t>
      </w:r>
      <w:r w:rsidR="003F1478" w:rsidRPr="003F1478">
        <w:rPr>
          <w:bCs/>
          <w:lang w:val="en-GB"/>
        </w:rPr>
        <w:t>“exchangeability” (which had followed the work of the Indirect Comparisons Working Group), because it focusses on those differences across trials which are expected to vary the comparative treatment effect.</w:t>
      </w:r>
    </w:p>
    <w:p w:rsidR="00083CC1" w:rsidRPr="00083CC1" w:rsidRDefault="00083CC1" w:rsidP="00083CC1">
      <w:pPr>
        <w:rPr>
          <w:bCs/>
          <w:lang w:val="en-GB"/>
        </w:rPr>
      </w:pPr>
    </w:p>
    <w:p w:rsidR="00083CC1" w:rsidRDefault="00083CC1" w:rsidP="00ED000E">
      <w:pPr>
        <w:numPr>
          <w:ilvl w:val="1"/>
          <w:numId w:val="5"/>
        </w:numPr>
        <w:rPr>
          <w:bCs/>
          <w:lang w:val="en-GB"/>
        </w:rPr>
      </w:pPr>
      <w:r>
        <w:rPr>
          <w:bCs/>
          <w:lang w:val="en-GB"/>
        </w:rPr>
        <w:t xml:space="preserve">The PBAC noted that the submission assumed no difference in the costs of managing potential adverse events, and did not include costs of T-VEC administration beyond a simple injection, such as ultrasound guidance and precautions to prevent herpetic spread.  The PBAC considered that the exclusion of these potential costs from the economic evaluation was inappropriate.  </w:t>
      </w:r>
      <w:r w:rsidR="003D0065">
        <w:rPr>
          <w:bCs/>
          <w:lang w:val="en-GB"/>
        </w:rPr>
        <w:t xml:space="preserve">The likely underestimation of costs associated with T-VEC contributed to PBAC’s concern that </w:t>
      </w:r>
      <w:r>
        <w:rPr>
          <w:bCs/>
          <w:lang w:val="en-GB"/>
        </w:rPr>
        <w:t>the cost-effectiveness of T-VEC was highly uncertain.</w:t>
      </w:r>
    </w:p>
    <w:p w:rsidR="00083CC1" w:rsidRPr="00083CC1" w:rsidRDefault="00083CC1" w:rsidP="00083CC1">
      <w:pPr>
        <w:rPr>
          <w:bCs/>
          <w:lang w:val="en-GB"/>
        </w:rPr>
      </w:pPr>
    </w:p>
    <w:p w:rsidR="0010208C" w:rsidRDefault="0010208C" w:rsidP="00ED000E">
      <w:pPr>
        <w:numPr>
          <w:ilvl w:val="1"/>
          <w:numId w:val="5"/>
        </w:numPr>
        <w:rPr>
          <w:bCs/>
          <w:lang w:val="en-GB"/>
        </w:rPr>
      </w:pPr>
      <w:r>
        <w:rPr>
          <w:bCs/>
          <w:lang w:val="en-GB"/>
        </w:rPr>
        <w:t xml:space="preserve">The PBAC considered that </w:t>
      </w:r>
      <w:r w:rsidR="00D060E8">
        <w:rPr>
          <w:bCs/>
          <w:lang w:val="en-GB"/>
        </w:rPr>
        <w:t>the</w:t>
      </w:r>
      <w:r>
        <w:rPr>
          <w:bCs/>
          <w:lang w:val="en-GB"/>
        </w:rPr>
        <w:t xml:space="preserve"> total financial impact was </w:t>
      </w:r>
      <w:r w:rsidR="008B21A8">
        <w:rPr>
          <w:bCs/>
          <w:lang w:val="en-GB"/>
        </w:rPr>
        <w:t xml:space="preserve">uncertain and </w:t>
      </w:r>
      <w:r>
        <w:rPr>
          <w:bCs/>
          <w:lang w:val="en-GB"/>
        </w:rPr>
        <w:t xml:space="preserve">likely underestimated, given the assumed low uptake </w:t>
      </w:r>
      <w:r w:rsidR="00475823">
        <w:rPr>
          <w:bCs/>
          <w:lang w:val="en-GB"/>
        </w:rPr>
        <w:t xml:space="preserve">and market growth </w:t>
      </w:r>
      <w:r>
        <w:rPr>
          <w:bCs/>
          <w:lang w:val="en-GB"/>
        </w:rPr>
        <w:t>rate</w:t>
      </w:r>
      <w:r w:rsidR="00475823">
        <w:rPr>
          <w:bCs/>
          <w:lang w:val="en-GB"/>
        </w:rPr>
        <w:t xml:space="preserve"> of T-VEC</w:t>
      </w:r>
      <w:r w:rsidR="00215973">
        <w:rPr>
          <w:bCs/>
          <w:lang w:val="en-GB"/>
        </w:rPr>
        <w:t xml:space="preserve"> and</w:t>
      </w:r>
      <w:r>
        <w:rPr>
          <w:bCs/>
          <w:lang w:val="en-GB"/>
        </w:rPr>
        <w:t xml:space="preserve"> uncertain number of </w:t>
      </w:r>
      <w:r w:rsidR="00475823">
        <w:rPr>
          <w:bCs/>
          <w:lang w:val="en-GB"/>
        </w:rPr>
        <w:t>T</w:t>
      </w:r>
      <w:r w:rsidR="00083CC1">
        <w:rPr>
          <w:bCs/>
          <w:lang w:val="en-GB"/>
        </w:rPr>
        <w:t>-</w:t>
      </w:r>
      <w:r w:rsidR="00475823">
        <w:rPr>
          <w:bCs/>
          <w:lang w:val="en-GB"/>
        </w:rPr>
        <w:t xml:space="preserve">VEC </w:t>
      </w:r>
      <w:r>
        <w:rPr>
          <w:bCs/>
          <w:lang w:val="en-GB"/>
        </w:rPr>
        <w:t>vials used per patient lifetime.</w:t>
      </w:r>
    </w:p>
    <w:p w:rsidR="008C3158" w:rsidRPr="00D060E8" w:rsidRDefault="008C3158" w:rsidP="00D060E8">
      <w:pPr>
        <w:rPr>
          <w:bCs/>
          <w:lang w:val="en-GB"/>
        </w:rPr>
      </w:pPr>
    </w:p>
    <w:p w:rsidR="003F1478" w:rsidRDefault="008C3158" w:rsidP="00354BC5">
      <w:pPr>
        <w:numPr>
          <w:ilvl w:val="1"/>
          <w:numId w:val="5"/>
        </w:numPr>
        <w:rPr>
          <w:bCs/>
          <w:lang w:val="en-GB"/>
        </w:rPr>
      </w:pPr>
      <w:r>
        <w:rPr>
          <w:bCs/>
          <w:lang w:val="en-GB"/>
        </w:rPr>
        <w:t>The PBAC advised that</w:t>
      </w:r>
      <w:r w:rsidR="00A3390A">
        <w:rPr>
          <w:bCs/>
          <w:lang w:val="en-GB"/>
        </w:rPr>
        <w:t>,</w:t>
      </w:r>
      <w:r w:rsidR="004964DF">
        <w:rPr>
          <w:bCs/>
          <w:lang w:val="en-GB"/>
        </w:rPr>
        <w:t xml:space="preserve"> for any future resubmission,</w:t>
      </w:r>
      <w:r>
        <w:rPr>
          <w:bCs/>
          <w:lang w:val="en-GB"/>
        </w:rPr>
        <w:t xml:space="preserve"> any </w:t>
      </w:r>
      <w:r w:rsidR="003F1478">
        <w:rPr>
          <w:bCs/>
          <w:lang w:val="en-GB"/>
        </w:rPr>
        <w:t xml:space="preserve">indirect comparison </w:t>
      </w:r>
      <w:r>
        <w:rPr>
          <w:bCs/>
          <w:lang w:val="en-GB"/>
        </w:rPr>
        <w:t xml:space="preserve">of T-VEC versus its nominated comparator(s) would require </w:t>
      </w:r>
      <w:r w:rsidR="008B21A8">
        <w:rPr>
          <w:bCs/>
          <w:lang w:val="en-GB"/>
        </w:rPr>
        <w:t xml:space="preserve">cross-trial indirect </w:t>
      </w:r>
      <w:r>
        <w:rPr>
          <w:bCs/>
          <w:lang w:val="en-GB"/>
        </w:rPr>
        <w:t>statistical comparison</w:t>
      </w:r>
      <w:r w:rsidR="008B21A8">
        <w:rPr>
          <w:bCs/>
          <w:lang w:val="en-GB"/>
        </w:rPr>
        <w:t>s</w:t>
      </w:r>
      <w:r>
        <w:rPr>
          <w:bCs/>
          <w:lang w:val="en-GB"/>
        </w:rPr>
        <w:t xml:space="preserve"> of both the specified subgroups and the whole population</w:t>
      </w:r>
      <w:r w:rsidR="00A3390A">
        <w:rPr>
          <w:bCs/>
          <w:lang w:val="en-GB"/>
        </w:rPr>
        <w:t xml:space="preserve"> in order to better inform some of the </w:t>
      </w:r>
      <w:r w:rsidR="003F1478">
        <w:rPr>
          <w:bCs/>
          <w:lang w:val="en-GB"/>
        </w:rPr>
        <w:t xml:space="preserve">treatment effect modifiers affecting </w:t>
      </w:r>
      <w:r w:rsidR="00A3390A">
        <w:rPr>
          <w:bCs/>
          <w:lang w:val="en-GB"/>
        </w:rPr>
        <w:t>the transitivity assumption</w:t>
      </w:r>
      <w:r w:rsidR="003F1478">
        <w:rPr>
          <w:bCs/>
          <w:lang w:val="en-GB"/>
        </w:rPr>
        <w:t xml:space="preserve"> </w:t>
      </w:r>
      <w:r w:rsidR="000649E9">
        <w:rPr>
          <w:bCs/>
          <w:lang w:val="en-GB"/>
        </w:rPr>
        <w:t xml:space="preserve">and thus appropriate </w:t>
      </w:r>
      <w:r w:rsidR="00451EFB">
        <w:rPr>
          <w:bCs/>
          <w:lang w:val="en-GB"/>
        </w:rPr>
        <w:t>adjustment of the analyse</w:t>
      </w:r>
      <w:r w:rsidR="003F1478">
        <w:rPr>
          <w:bCs/>
          <w:lang w:val="en-GB"/>
        </w:rPr>
        <w:t>s</w:t>
      </w:r>
      <w:r>
        <w:rPr>
          <w:bCs/>
          <w:lang w:val="en-GB"/>
        </w:rPr>
        <w:t>.</w:t>
      </w:r>
      <w:r w:rsidR="004964DF">
        <w:rPr>
          <w:bCs/>
          <w:lang w:val="en-GB"/>
        </w:rPr>
        <w:t xml:space="preserve">  </w:t>
      </w:r>
      <w:r w:rsidR="000649E9">
        <w:rPr>
          <w:bCs/>
          <w:lang w:val="en-GB"/>
        </w:rPr>
        <w:t xml:space="preserve">Any economic evaluation would need to justify the comparative costs of T-VEC against its comparators, including by adequately accounting for potential adverse events and the full costs of T-VEC administration.  </w:t>
      </w:r>
      <w:r w:rsidR="00354BC5">
        <w:rPr>
          <w:bCs/>
          <w:lang w:val="en-GB"/>
        </w:rPr>
        <w:t xml:space="preserve">The PBAC </w:t>
      </w:r>
      <w:r w:rsidR="000649E9">
        <w:rPr>
          <w:bCs/>
          <w:lang w:val="en-GB"/>
        </w:rPr>
        <w:t xml:space="preserve">also </w:t>
      </w:r>
      <w:r w:rsidR="00354BC5">
        <w:rPr>
          <w:bCs/>
          <w:lang w:val="en-GB"/>
        </w:rPr>
        <w:t>considered that a</w:t>
      </w:r>
      <w:r w:rsidR="004964DF">
        <w:rPr>
          <w:bCs/>
          <w:lang w:val="en-GB"/>
        </w:rPr>
        <w:t xml:space="preserve"> financial cap would be required given the uncertainty of treatment durati</w:t>
      </w:r>
      <w:r w:rsidR="00354BC5">
        <w:rPr>
          <w:bCs/>
          <w:lang w:val="en-GB"/>
        </w:rPr>
        <w:t>on with T</w:t>
      </w:r>
      <w:r w:rsidR="00A3390A">
        <w:rPr>
          <w:bCs/>
          <w:lang w:val="en-GB"/>
        </w:rPr>
        <w:t>-</w:t>
      </w:r>
      <w:r w:rsidR="00354BC5">
        <w:rPr>
          <w:bCs/>
          <w:lang w:val="en-GB"/>
        </w:rPr>
        <w:t xml:space="preserve">VEC; </w:t>
      </w:r>
      <w:r w:rsidR="004964DF">
        <w:rPr>
          <w:bCs/>
          <w:lang w:val="en-GB"/>
        </w:rPr>
        <w:t xml:space="preserve">treatment may need to be restricted to patients with a </w:t>
      </w:r>
      <w:r w:rsidR="00451EFB">
        <w:rPr>
          <w:bCs/>
          <w:lang w:val="en-GB"/>
        </w:rPr>
        <w:t>p</w:t>
      </w:r>
      <w:r w:rsidR="004964DF">
        <w:rPr>
          <w:bCs/>
          <w:lang w:val="en-GB"/>
        </w:rPr>
        <w:t xml:space="preserve">erformance </w:t>
      </w:r>
      <w:r w:rsidR="00451EFB">
        <w:rPr>
          <w:bCs/>
          <w:lang w:val="en-GB"/>
        </w:rPr>
        <w:t>s</w:t>
      </w:r>
      <w:r w:rsidR="004964DF">
        <w:rPr>
          <w:bCs/>
          <w:lang w:val="en-GB"/>
        </w:rPr>
        <w:t>tatus ≤ 1</w:t>
      </w:r>
      <w:r w:rsidR="00A034B3">
        <w:rPr>
          <w:bCs/>
          <w:lang w:val="en-GB"/>
        </w:rPr>
        <w:t>;</w:t>
      </w:r>
      <w:r w:rsidR="00354BC5">
        <w:rPr>
          <w:bCs/>
          <w:lang w:val="en-GB"/>
        </w:rPr>
        <w:t xml:space="preserve"> and </w:t>
      </w:r>
      <w:r w:rsidR="000649E9">
        <w:rPr>
          <w:bCs/>
          <w:lang w:val="en-GB"/>
        </w:rPr>
        <w:t xml:space="preserve">any </w:t>
      </w:r>
      <w:r w:rsidR="00A034B3">
        <w:rPr>
          <w:bCs/>
          <w:lang w:val="en-GB"/>
        </w:rPr>
        <w:t>PBS</w:t>
      </w:r>
      <w:r w:rsidR="00354BC5">
        <w:rPr>
          <w:bCs/>
          <w:lang w:val="en-GB"/>
        </w:rPr>
        <w:t xml:space="preserve"> </w:t>
      </w:r>
      <w:r w:rsidR="000649E9">
        <w:rPr>
          <w:bCs/>
          <w:lang w:val="en-GB"/>
        </w:rPr>
        <w:t xml:space="preserve">listing </w:t>
      </w:r>
      <w:r w:rsidR="00A034B3">
        <w:rPr>
          <w:bCs/>
          <w:lang w:val="en-GB"/>
        </w:rPr>
        <w:t>would require</w:t>
      </w:r>
      <w:r w:rsidR="00354BC5">
        <w:rPr>
          <w:bCs/>
          <w:lang w:val="en-GB"/>
        </w:rPr>
        <w:t xml:space="preserve"> a continuation </w:t>
      </w:r>
      <w:r w:rsidR="000649E9">
        <w:rPr>
          <w:bCs/>
          <w:lang w:val="en-GB"/>
        </w:rPr>
        <w:t>restriction.</w:t>
      </w:r>
      <w:r w:rsidR="006B2F89">
        <w:rPr>
          <w:bCs/>
          <w:lang w:val="en-GB"/>
        </w:rPr>
        <w:t xml:space="preserve"> </w:t>
      </w:r>
      <w:r w:rsidR="007448D0">
        <w:rPr>
          <w:bCs/>
          <w:lang w:val="en-GB"/>
        </w:rPr>
        <w:t xml:space="preserve"> </w:t>
      </w:r>
      <w:r w:rsidR="006B2F89">
        <w:rPr>
          <w:bCs/>
          <w:lang w:val="en-GB"/>
        </w:rPr>
        <w:t>Alternatively</w:t>
      </w:r>
      <w:r w:rsidR="007448D0">
        <w:rPr>
          <w:bCs/>
          <w:lang w:val="en-GB"/>
        </w:rPr>
        <w:t>, the</w:t>
      </w:r>
      <w:r w:rsidR="006B2F89">
        <w:rPr>
          <w:bCs/>
          <w:lang w:val="en-GB"/>
        </w:rPr>
        <w:t xml:space="preserve"> PBAC suggested that the sponsor may wish to compare T-VEC with other intra-</w:t>
      </w:r>
      <w:proofErr w:type="spellStart"/>
      <w:r w:rsidR="006B2F89">
        <w:rPr>
          <w:bCs/>
          <w:lang w:val="en-GB"/>
        </w:rPr>
        <w:t>lesional</w:t>
      </w:r>
      <w:proofErr w:type="spellEnd"/>
      <w:r w:rsidR="006B2F89">
        <w:rPr>
          <w:bCs/>
          <w:lang w:val="en-GB"/>
        </w:rPr>
        <w:t xml:space="preserve"> therapy such as BCG. </w:t>
      </w:r>
      <w:r w:rsidR="007448D0">
        <w:rPr>
          <w:bCs/>
          <w:lang w:val="en-GB"/>
        </w:rPr>
        <w:t xml:space="preserve"> </w:t>
      </w:r>
      <w:r w:rsidR="006B2F89">
        <w:rPr>
          <w:bCs/>
          <w:lang w:val="en-GB"/>
        </w:rPr>
        <w:t xml:space="preserve">The latter approach would offer the opportunity to compare </w:t>
      </w:r>
      <w:r w:rsidR="003F5F5B">
        <w:rPr>
          <w:bCs/>
          <w:lang w:val="en-GB"/>
        </w:rPr>
        <w:t xml:space="preserve">products with </w:t>
      </w:r>
      <w:r w:rsidR="006B2F89">
        <w:rPr>
          <w:bCs/>
          <w:lang w:val="en-GB"/>
        </w:rPr>
        <w:t xml:space="preserve">similar </w:t>
      </w:r>
      <w:r w:rsidR="003F5F5B">
        <w:rPr>
          <w:bCs/>
          <w:lang w:val="en-GB"/>
        </w:rPr>
        <w:t xml:space="preserve">manners </w:t>
      </w:r>
      <w:r w:rsidR="006B2F89">
        <w:rPr>
          <w:bCs/>
          <w:lang w:val="en-GB"/>
        </w:rPr>
        <w:t xml:space="preserve">of administration </w:t>
      </w:r>
      <w:r w:rsidR="003F5F5B">
        <w:rPr>
          <w:bCs/>
          <w:lang w:val="en-GB"/>
        </w:rPr>
        <w:t xml:space="preserve">in trials with likely more similar patient populations, </w:t>
      </w:r>
      <w:r w:rsidR="006B2F89">
        <w:rPr>
          <w:bCs/>
          <w:lang w:val="en-GB"/>
        </w:rPr>
        <w:t xml:space="preserve">and </w:t>
      </w:r>
      <w:r w:rsidR="003F5F5B">
        <w:rPr>
          <w:bCs/>
          <w:lang w:val="en-GB"/>
        </w:rPr>
        <w:t>possibly more similar common references</w:t>
      </w:r>
      <w:r w:rsidR="00E351AB">
        <w:rPr>
          <w:bCs/>
          <w:lang w:val="en-GB"/>
        </w:rPr>
        <w:t xml:space="preserve"> and trial outcomes</w:t>
      </w:r>
      <w:r w:rsidR="006B2F89">
        <w:rPr>
          <w:bCs/>
          <w:lang w:val="en-GB"/>
        </w:rPr>
        <w:t>.</w:t>
      </w:r>
      <w:r w:rsidR="003F5F5B">
        <w:rPr>
          <w:bCs/>
          <w:lang w:val="en-GB"/>
        </w:rPr>
        <w:t xml:space="preserve">  However, this approach would also require some basis for considering the cost-effectiveness of BCG.</w:t>
      </w:r>
    </w:p>
    <w:p w:rsidR="003F1478" w:rsidRPr="000649E9" w:rsidRDefault="003F1478" w:rsidP="003F1478">
      <w:pPr>
        <w:rPr>
          <w:bCs/>
          <w:lang w:val="en-GB"/>
        </w:rPr>
      </w:pPr>
    </w:p>
    <w:p w:rsidR="004964DF" w:rsidRPr="00354BC5" w:rsidRDefault="00C2239F" w:rsidP="00354BC5">
      <w:pPr>
        <w:numPr>
          <w:ilvl w:val="1"/>
          <w:numId w:val="5"/>
        </w:numPr>
        <w:rPr>
          <w:bCs/>
          <w:lang w:val="en-GB"/>
        </w:rPr>
      </w:pPr>
      <w:r>
        <w:rPr>
          <w:bCs/>
          <w:lang w:val="en-GB"/>
        </w:rPr>
        <w:t xml:space="preserve">The PBAC noted that current trials of T-VEC as an add-on therapy is underway, and expressed interest for a </w:t>
      </w:r>
      <w:r w:rsidR="00142C03">
        <w:rPr>
          <w:bCs/>
          <w:lang w:val="en-GB"/>
        </w:rPr>
        <w:t xml:space="preserve">major </w:t>
      </w:r>
      <w:r>
        <w:rPr>
          <w:bCs/>
          <w:lang w:val="en-GB"/>
        </w:rPr>
        <w:t xml:space="preserve">submission of T-VEC as an add-on </w:t>
      </w:r>
      <w:r w:rsidRPr="00142C03">
        <w:rPr>
          <w:bCs/>
          <w:lang w:val="en-GB"/>
        </w:rPr>
        <w:t xml:space="preserve">therapy </w:t>
      </w:r>
      <w:r w:rsidR="008B21A8">
        <w:rPr>
          <w:bCs/>
          <w:lang w:val="en-GB"/>
        </w:rPr>
        <w:t xml:space="preserve">if positive clinical </w:t>
      </w:r>
      <w:r w:rsidRPr="00142C03">
        <w:rPr>
          <w:bCs/>
          <w:lang w:val="en-GB"/>
        </w:rPr>
        <w:t>trial results become available</w:t>
      </w:r>
      <w:r w:rsidR="003F1478">
        <w:rPr>
          <w:bCs/>
          <w:lang w:val="en-GB"/>
        </w:rPr>
        <w:t xml:space="preserve"> and an application to TGA in this setting is underway</w:t>
      </w:r>
      <w:r w:rsidRPr="00142C03">
        <w:rPr>
          <w:bCs/>
          <w:lang w:val="en-GB"/>
        </w:rPr>
        <w:t>.</w:t>
      </w:r>
    </w:p>
    <w:p w:rsidR="00ED000E" w:rsidRPr="00142C03" w:rsidRDefault="00ED000E" w:rsidP="00ED000E">
      <w:pPr>
        <w:rPr>
          <w:bCs/>
          <w:lang w:val="en-GB"/>
        </w:rPr>
      </w:pPr>
    </w:p>
    <w:p w:rsidR="00ED000E" w:rsidRPr="00142C03" w:rsidRDefault="00ED000E" w:rsidP="001E2CD5">
      <w:pPr>
        <w:numPr>
          <w:ilvl w:val="1"/>
          <w:numId w:val="5"/>
        </w:numPr>
        <w:rPr>
          <w:b/>
          <w:bCs/>
          <w:lang w:val="en-GB"/>
        </w:rPr>
      </w:pPr>
      <w:r w:rsidRPr="00142C03">
        <w:rPr>
          <w:bCs/>
          <w:lang w:val="en-GB"/>
        </w:rPr>
        <w:t>The PBAC noted that this submission is</w:t>
      </w:r>
      <w:r w:rsidR="001E2CD5" w:rsidRPr="00142C03">
        <w:rPr>
          <w:bCs/>
          <w:lang w:val="en-GB"/>
        </w:rPr>
        <w:t xml:space="preserve"> </w:t>
      </w:r>
      <w:r w:rsidRPr="00142C03">
        <w:rPr>
          <w:bCs/>
          <w:lang w:val="en-GB"/>
        </w:rPr>
        <w:t>elig</w:t>
      </w:r>
      <w:r w:rsidR="00941383">
        <w:rPr>
          <w:bCs/>
          <w:lang w:val="en-GB"/>
        </w:rPr>
        <w:t>ible for an Independent Review.</w:t>
      </w:r>
    </w:p>
    <w:p w:rsidR="00ED000E" w:rsidRPr="00941383" w:rsidRDefault="00ED000E" w:rsidP="00ED000E">
      <w:pPr>
        <w:rPr>
          <w:lang w:val="en-GB"/>
        </w:rPr>
      </w:pPr>
    </w:p>
    <w:p w:rsidR="00ED000E" w:rsidRPr="00941383" w:rsidRDefault="00ED000E" w:rsidP="00ED000E">
      <w:pPr>
        <w:rPr>
          <w:bCs/>
          <w:lang w:val="en-GB"/>
        </w:rPr>
      </w:pPr>
    </w:p>
    <w:p w:rsidR="001E2CD5" w:rsidRPr="001E2CD5" w:rsidRDefault="00ED000E" w:rsidP="00ED000E">
      <w:pPr>
        <w:rPr>
          <w:b/>
          <w:bCs/>
          <w:lang w:val="en-GB"/>
        </w:rPr>
      </w:pPr>
      <w:r w:rsidRPr="001E2CD5">
        <w:rPr>
          <w:b/>
          <w:bCs/>
          <w:lang w:val="en-GB"/>
        </w:rPr>
        <w:t>Outcome:</w:t>
      </w:r>
    </w:p>
    <w:p w:rsidR="00ED000E" w:rsidRDefault="00ED000E" w:rsidP="00ED000E">
      <w:pPr>
        <w:rPr>
          <w:bCs/>
          <w:lang w:val="en-GB"/>
        </w:rPr>
      </w:pPr>
      <w:r w:rsidRPr="001E2CD5">
        <w:rPr>
          <w:bCs/>
          <w:lang w:val="en-GB"/>
        </w:rPr>
        <w:t xml:space="preserve">Rejected </w:t>
      </w:r>
    </w:p>
    <w:p w:rsidR="005E72C2" w:rsidRDefault="005E72C2" w:rsidP="00ED000E">
      <w:pPr>
        <w:rPr>
          <w:bCs/>
          <w:lang w:val="en-GB"/>
        </w:rPr>
      </w:pPr>
    </w:p>
    <w:p w:rsidR="005E72C2" w:rsidRPr="00867481" w:rsidRDefault="005E72C2" w:rsidP="006A72B9">
      <w:pPr>
        <w:pStyle w:val="Heading1"/>
      </w:pPr>
      <w:r w:rsidRPr="00867481">
        <w:t>Context for Decision</w:t>
      </w:r>
    </w:p>
    <w:p w:rsidR="005E72C2" w:rsidRDefault="005E72C2" w:rsidP="005E72C2">
      <w:pPr>
        <w:ind w:left="720"/>
        <w:rPr>
          <w:bCs/>
        </w:rPr>
      </w:pPr>
    </w:p>
    <w:p w:rsidR="005E72C2" w:rsidRDefault="005E72C2" w:rsidP="005E72C2">
      <w:pPr>
        <w:ind w:left="720"/>
        <w:rPr>
          <w:bCs/>
        </w:rPr>
      </w:pPr>
      <w:r>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E72C2" w:rsidRPr="00867481" w:rsidRDefault="005E72C2" w:rsidP="005E72C2">
      <w:pPr>
        <w:ind w:left="720"/>
        <w:rPr>
          <w:bCs/>
        </w:rPr>
      </w:pPr>
    </w:p>
    <w:p w:rsidR="005E72C2" w:rsidRPr="00867481" w:rsidRDefault="005E72C2" w:rsidP="006A72B9">
      <w:pPr>
        <w:pStyle w:val="Heading1"/>
      </w:pPr>
      <w:r w:rsidRPr="00867481">
        <w:t>Sponsor’s Comment</w:t>
      </w:r>
      <w:r w:rsidRPr="00867481">
        <w:tab/>
      </w:r>
    </w:p>
    <w:p w:rsidR="000058CB" w:rsidRDefault="000058CB" w:rsidP="006A72B9"/>
    <w:p w:rsidR="000058CB" w:rsidRPr="000058CB" w:rsidRDefault="000058CB" w:rsidP="006A72B9">
      <w:pPr>
        <w:ind w:left="709"/>
        <w:rPr>
          <w:b/>
        </w:rPr>
      </w:pPr>
      <w:r w:rsidRPr="000058CB">
        <w:t xml:space="preserve">Despite a number of promising melanoma therapies recently being recommended by the PBAC, Australia still has one of the highest incidences of melanoma in the world and there remains a clinical need for alternative treatment options. </w:t>
      </w:r>
      <w:proofErr w:type="spellStart"/>
      <w:r w:rsidRPr="000058CB">
        <w:t>Talimogene</w:t>
      </w:r>
      <w:proofErr w:type="spellEnd"/>
      <w:r w:rsidRPr="000058CB">
        <w:t xml:space="preserve"> </w:t>
      </w:r>
      <w:proofErr w:type="spellStart"/>
      <w:r w:rsidRPr="000058CB">
        <w:t>laherparepvec</w:t>
      </w:r>
      <w:proofErr w:type="spellEnd"/>
      <w:r w:rsidRPr="000058CB">
        <w:t xml:space="preserve"> (IMLYGIC) is effective and well tolerated while offering a new and different mode of action that provides a useful addition to existing therapies. Amgen looks forward to continuing to work with the PBAC to ensure that Australian patients with melanoma are able to access treatment with </w:t>
      </w:r>
      <w:proofErr w:type="spellStart"/>
      <w:r w:rsidRPr="000058CB">
        <w:t>talimogene</w:t>
      </w:r>
      <w:proofErr w:type="spellEnd"/>
      <w:r w:rsidRPr="000058CB">
        <w:t xml:space="preserve"> </w:t>
      </w:r>
      <w:proofErr w:type="spellStart"/>
      <w:r w:rsidRPr="000058CB">
        <w:t>laherparepvec</w:t>
      </w:r>
      <w:proofErr w:type="spellEnd"/>
      <w:r w:rsidRPr="000058CB">
        <w:t>.</w:t>
      </w:r>
    </w:p>
    <w:p w:rsidR="005E72C2" w:rsidRDefault="005E72C2" w:rsidP="005E72C2"/>
    <w:p w:rsidR="005E72C2" w:rsidRDefault="005E72C2" w:rsidP="00ED000E">
      <w:pPr>
        <w:rPr>
          <w:bCs/>
          <w:highlight w:val="yellow"/>
          <w:lang w:val="en-GB"/>
        </w:rPr>
      </w:pPr>
    </w:p>
    <w:sectPr w:rsidR="005E72C2" w:rsidSect="0030551F">
      <w:headerReference w:type="default" r:id="rId13"/>
      <w:footerReference w:type="default" r:id="rId14"/>
      <w:pgSz w:w="11907" w:h="16840" w:code="9"/>
      <w:pgMar w:top="1440" w:right="1440" w:bottom="1440" w:left="1440" w:header="1417"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E5046D" w15:done="0"/>
  <w15:commentEx w15:paraId="4A5699A7" w15:done="0"/>
  <w15:commentEx w15:paraId="3EA52BCA" w15:done="0"/>
  <w15:commentEx w15:paraId="618DC03E" w15:done="0"/>
  <w15:commentEx w15:paraId="406B9C01" w15:done="0"/>
  <w15:commentEx w15:paraId="3E98CE75" w15:done="0"/>
  <w15:commentEx w15:paraId="07353008" w15:done="0"/>
  <w15:commentEx w15:paraId="03B55496" w15:done="0"/>
  <w15:commentEx w15:paraId="5E7ABBDB" w15:done="0"/>
  <w15:commentEx w15:paraId="0C5DD0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2B9" w:rsidRDefault="006A72B9" w:rsidP="00124A51">
      <w:r>
        <w:separator/>
      </w:r>
    </w:p>
  </w:endnote>
  <w:endnote w:type="continuationSeparator" w:id="0">
    <w:p w:rsidR="006A72B9" w:rsidRDefault="006A72B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B9" w:rsidRDefault="006A72B9">
    <w:pPr>
      <w:pStyle w:val="Footer"/>
      <w:jc w:val="center"/>
    </w:pPr>
  </w:p>
  <w:p w:rsidR="006A72B9" w:rsidRDefault="006A72B9">
    <w:pPr>
      <w:pStyle w:val="Footer"/>
      <w:jc w:val="center"/>
    </w:pPr>
    <w:sdt>
      <w:sdtPr>
        <w:id w:val="-71666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164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2B9" w:rsidRDefault="006A72B9" w:rsidP="00124A51">
      <w:r>
        <w:separator/>
      </w:r>
    </w:p>
  </w:footnote>
  <w:footnote w:type="continuationSeparator" w:id="0">
    <w:p w:rsidR="006A72B9" w:rsidRDefault="006A72B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B9" w:rsidRDefault="006A72B9" w:rsidP="008832F4">
    <w:pPr>
      <w:pStyle w:val="Header"/>
      <w:ind w:left="360"/>
      <w:jc w:val="center"/>
      <w:rPr>
        <w:i/>
        <w:color w:val="808080"/>
      </w:rPr>
    </w:pPr>
    <w:r>
      <w:rPr>
        <w:i/>
        <w:color w:val="808080"/>
      </w:rPr>
      <w:t>Public Summary Document – July 2016 PBAC Meeting</w:t>
    </w:r>
  </w:p>
  <w:p w:rsidR="006A72B9" w:rsidRPr="008832F4" w:rsidRDefault="006A72B9" w:rsidP="00883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59152D"/>
    <w:multiLevelType w:val="hybridMultilevel"/>
    <w:tmpl w:val="5142C8A6"/>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F232ED"/>
    <w:multiLevelType w:val="hybridMultilevel"/>
    <w:tmpl w:val="D2769C14"/>
    <w:lvl w:ilvl="0" w:tplc="CF964E8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EA854E8"/>
    <w:multiLevelType w:val="hybridMultilevel"/>
    <w:tmpl w:val="0B9A50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60F72FEA"/>
    <w:multiLevelType w:val="multilevel"/>
    <w:tmpl w:val="07B023D8"/>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84D033C"/>
    <w:multiLevelType w:val="multilevel"/>
    <w:tmpl w:val="7796430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5"/>
  </w:num>
  <w:num w:numId="4">
    <w:abstractNumId w:val="7"/>
  </w:num>
  <w:num w:numId="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E7"/>
    <w:rsid w:val="00000241"/>
    <w:rsid w:val="000003C7"/>
    <w:rsid w:val="00000790"/>
    <w:rsid w:val="00000FE4"/>
    <w:rsid w:val="0000110B"/>
    <w:rsid w:val="0000117F"/>
    <w:rsid w:val="000018AB"/>
    <w:rsid w:val="00001EC6"/>
    <w:rsid w:val="0000338B"/>
    <w:rsid w:val="00003499"/>
    <w:rsid w:val="000039BA"/>
    <w:rsid w:val="00003BE9"/>
    <w:rsid w:val="0000492C"/>
    <w:rsid w:val="00004CAB"/>
    <w:rsid w:val="00004EF2"/>
    <w:rsid w:val="000057FA"/>
    <w:rsid w:val="000058CB"/>
    <w:rsid w:val="00005EC2"/>
    <w:rsid w:val="00006919"/>
    <w:rsid w:val="00007240"/>
    <w:rsid w:val="000072CD"/>
    <w:rsid w:val="0001020B"/>
    <w:rsid w:val="0001039E"/>
    <w:rsid w:val="000104A9"/>
    <w:rsid w:val="00012EE9"/>
    <w:rsid w:val="00013247"/>
    <w:rsid w:val="00014B43"/>
    <w:rsid w:val="00015886"/>
    <w:rsid w:val="000162C7"/>
    <w:rsid w:val="000162EF"/>
    <w:rsid w:val="0001640C"/>
    <w:rsid w:val="00020372"/>
    <w:rsid w:val="00020B67"/>
    <w:rsid w:val="0002225F"/>
    <w:rsid w:val="00023763"/>
    <w:rsid w:val="000242AE"/>
    <w:rsid w:val="00024CBD"/>
    <w:rsid w:val="00024F18"/>
    <w:rsid w:val="000263C8"/>
    <w:rsid w:val="000269C8"/>
    <w:rsid w:val="00027B3F"/>
    <w:rsid w:val="000307AA"/>
    <w:rsid w:val="00030E54"/>
    <w:rsid w:val="0003254A"/>
    <w:rsid w:val="00033A3B"/>
    <w:rsid w:val="00033BC6"/>
    <w:rsid w:val="00033CBC"/>
    <w:rsid w:val="00033FF2"/>
    <w:rsid w:val="000351EA"/>
    <w:rsid w:val="0003534E"/>
    <w:rsid w:val="00035DFE"/>
    <w:rsid w:val="00040895"/>
    <w:rsid w:val="0004208A"/>
    <w:rsid w:val="0004357A"/>
    <w:rsid w:val="00043A02"/>
    <w:rsid w:val="00043C37"/>
    <w:rsid w:val="00043CEA"/>
    <w:rsid w:val="00043D41"/>
    <w:rsid w:val="000462D2"/>
    <w:rsid w:val="000462E1"/>
    <w:rsid w:val="00046455"/>
    <w:rsid w:val="00046521"/>
    <w:rsid w:val="00047C19"/>
    <w:rsid w:val="000500C7"/>
    <w:rsid w:val="00051969"/>
    <w:rsid w:val="000526E4"/>
    <w:rsid w:val="0005380E"/>
    <w:rsid w:val="000546D7"/>
    <w:rsid w:val="00055495"/>
    <w:rsid w:val="00055B6A"/>
    <w:rsid w:val="00056AF8"/>
    <w:rsid w:val="00057ACF"/>
    <w:rsid w:val="00057AF7"/>
    <w:rsid w:val="00057B38"/>
    <w:rsid w:val="000607E9"/>
    <w:rsid w:val="00060B15"/>
    <w:rsid w:val="00060D9A"/>
    <w:rsid w:val="0006118C"/>
    <w:rsid w:val="00061921"/>
    <w:rsid w:val="000649E9"/>
    <w:rsid w:val="00064F99"/>
    <w:rsid w:val="0006514A"/>
    <w:rsid w:val="00065480"/>
    <w:rsid w:val="0006628C"/>
    <w:rsid w:val="00070135"/>
    <w:rsid w:val="00070189"/>
    <w:rsid w:val="00070743"/>
    <w:rsid w:val="00071248"/>
    <w:rsid w:val="000712D5"/>
    <w:rsid w:val="000715D9"/>
    <w:rsid w:val="00071A14"/>
    <w:rsid w:val="000720B9"/>
    <w:rsid w:val="00073758"/>
    <w:rsid w:val="00074C37"/>
    <w:rsid w:val="00080419"/>
    <w:rsid w:val="00080AE5"/>
    <w:rsid w:val="00080B57"/>
    <w:rsid w:val="000812CA"/>
    <w:rsid w:val="00081DB2"/>
    <w:rsid w:val="00082913"/>
    <w:rsid w:val="0008372E"/>
    <w:rsid w:val="0008390F"/>
    <w:rsid w:val="00083CC1"/>
    <w:rsid w:val="00083D5F"/>
    <w:rsid w:val="00083EFB"/>
    <w:rsid w:val="000842A7"/>
    <w:rsid w:val="00084637"/>
    <w:rsid w:val="00084A9E"/>
    <w:rsid w:val="000853DD"/>
    <w:rsid w:val="00085A3B"/>
    <w:rsid w:val="0008764F"/>
    <w:rsid w:val="00090A60"/>
    <w:rsid w:val="00090C7E"/>
    <w:rsid w:val="00090CBF"/>
    <w:rsid w:val="00090F6B"/>
    <w:rsid w:val="00092508"/>
    <w:rsid w:val="00092B69"/>
    <w:rsid w:val="00092E43"/>
    <w:rsid w:val="0009446C"/>
    <w:rsid w:val="000945B1"/>
    <w:rsid w:val="000A016D"/>
    <w:rsid w:val="000A1500"/>
    <w:rsid w:val="000A21EF"/>
    <w:rsid w:val="000A2E97"/>
    <w:rsid w:val="000A39CF"/>
    <w:rsid w:val="000A5C31"/>
    <w:rsid w:val="000A6291"/>
    <w:rsid w:val="000A69F9"/>
    <w:rsid w:val="000A6AD3"/>
    <w:rsid w:val="000A6E3D"/>
    <w:rsid w:val="000A7DB9"/>
    <w:rsid w:val="000A7DC5"/>
    <w:rsid w:val="000B0311"/>
    <w:rsid w:val="000B0721"/>
    <w:rsid w:val="000B11E9"/>
    <w:rsid w:val="000B1BEB"/>
    <w:rsid w:val="000B2048"/>
    <w:rsid w:val="000B2A2C"/>
    <w:rsid w:val="000B7FDB"/>
    <w:rsid w:val="000C1422"/>
    <w:rsid w:val="000C2B6D"/>
    <w:rsid w:val="000C30B4"/>
    <w:rsid w:val="000C317E"/>
    <w:rsid w:val="000C4246"/>
    <w:rsid w:val="000C593C"/>
    <w:rsid w:val="000C5995"/>
    <w:rsid w:val="000C60D5"/>
    <w:rsid w:val="000D1BFC"/>
    <w:rsid w:val="000D3062"/>
    <w:rsid w:val="000D4204"/>
    <w:rsid w:val="000D4D1F"/>
    <w:rsid w:val="000D4E45"/>
    <w:rsid w:val="000D5D64"/>
    <w:rsid w:val="000D5E35"/>
    <w:rsid w:val="000D68C7"/>
    <w:rsid w:val="000D75BD"/>
    <w:rsid w:val="000E0244"/>
    <w:rsid w:val="000E037E"/>
    <w:rsid w:val="000E0CC9"/>
    <w:rsid w:val="000E1A9D"/>
    <w:rsid w:val="000E312E"/>
    <w:rsid w:val="000E4046"/>
    <w:rsid w:val="000E445E"/>
    <w:rsid w:val="000E5233"/>
    <w:rsid w:val="000E5892"/>
    <w:rsid w:val="000E675C"/>
    <w:rsid w:val="000E719A"/>
    <w:rsid w:val="000E76E3"/>
    <w:rsid w:val="000E7AF3"/>
    <w:rsid w:val="000F1793"/>
    <w:rsid w:val="000F192A"/>
    <w:rsid w:val="000F25DD"/>
    <w:rsid w:val="000F2853"/>
    <w:rsid w:val="000F28BB"/>
    <w:rsid w:val="000F4BB8"/>
    <w:rsid w:val="000F52BD"/>
    <w:rsid w:val="000F5BC3"/>
    <w:rsid w:val="000F6883"/>
    <w:rsid w:val="000F7127"/>
    <w:rsid w:val="000F7176"/>
    <w:rsid w:val="000F7838"/>
    <w:rsid w:val="0010053F"/>
    <w:rsid w:val="00100F8A"/>
    <w:rsid w:val="001013AF"/>
    <w:rsid w:val="00101763"/>
    <w:rsid w:val="00101B85"/>
    <w:rsid w:val="0010208C"/>
    <w:rsid w:val="001038B0"/>
    <w:rsid w:val="00103D5D"/>
    <w:rsid w:val="00106FC7"/>
    <w:rsid w:val="001100E0"/>
    <w:rsid w:val="0011032E"/>
    <w:rsid w:val="00110A28"/>
    <w:rsid w:val="00112789"/>
    <w:rsid w:val="0011348B"/>
    <w:rsid w:val="0011548F"/>
    <w:rsid w:val="0011683D"/>
    <w:rsid w:val="001170B0"/>
    <w:rsid w:val="001176BE"/>
    <w:rsid w:val="00117D6C"/>
    <w:rsid w:val="0012036F"/>
    <w:rsid w:val="00121799"/>
    <w:rsid w:val="001222FC"/>
    <w:rsid w:val="00122AC6"/>
    <w:rsid w:val="00123752"/>
    <w:rsid w:val="00124A51"/>
    <w:rsid w:val="00126621"/>
    <w:rsid w:val="00127D4C"/>
    <w:rsid w:val="001301E9"/>
    <w:rsid w:val="001302AF"/>
    <w:rsid w:val="00131E83"/>
    <w:rsid w:val="00135D80"/>
    <w:rsid w:val="00135E05"/>
    <w:rsid w:val="00137645"/>
    <w:rsid w:val="0014015A"/>
    <w:rsid w:val="00140842"/>
    <w:rsid w:val="00140E99"/>
    <w:rsid w:val="00141139"/>
    <w:rsid w:val="00141E17"/>
    <w:rsid w:val="00141F28"/>
    <w:rsid w:val="0014234C"/>
    <w:rsid w:val="00142955"/>
    <w:rsid w:val="00142C03"/>
    <w:rsid w:val="001435B8"/>
    <w:rsid w:val="001436B4"/>
    <w:rsid w:val="00145540"/>
    <w:rsid w:val="001456B0"/>
    <w:rsid w:val="00147805"/>
    <w:rsid w:val="001479DC"/>
    <w:rsid w:val="00151003"/>
    <w:rsid w:val="00151C61"/>
    <w:rsid w:val="00152371"/>
    <w:rsid w:val="00152BE7"/>
    <w:rsid w:val="00153D96"/>
    <w:rsid w:val="00154C7A"/>
    <w:rsid w:val="00154F65"/>
    <w:rsid w:val="00156BE8"/>
    <w:rsid w:val="00157130"/>
    <w:rsid w:val="001577EE"/>
    <w:rsid w:val="00160099"/>
    <w:rsid w:val="00160CDF"/>
    <w:rsid w:val="00160E39"/>
    <w:rsid w:val="001611DD"/>
    <w:rsid w:val="00162913"/>
    <w:rsid w:val="001633BC"/>
    <w:rsid w:val="00163D51"/>
    <w:rsid w:val="00163EFF"/>
    <w:rsid w:val="0016417F"/>
    <w:rsid w:val="001658CC"/>
    <w:rsid w:val="00165FF1"/>
    <w:rsid w:val="00166011"/>
    <w:rsid w:val="001661FB"/>
    <w:rsid w:val="00167ECA"/>
    <w:rsid w:val="00167F88"/>
    <w:rsid w:val="00170FE8"/>
    <w:rsid w:val="0017123B"/>
    <w:rsid w:val="001722F2"/>
    <w:rsid w:val="00172A1C"/>
    <w:rsid w:val="001742C4"/>
    <w:rsid w:val="00176127"/>
    <w:rsid w:val="00176639"/>
    <w:rsid w:val="00176E14"/>
    <w:rsid w:val="00177D56"/>
    <w:rsid w:val="00177FD0"/>
    <w:rsid w:val="00180CE3"/>
    <w:rsid w:val="00181ABF"/>
    <w:rsid w:val="0018285E"/>
    <w:rsid w:val="00183570"/>
    <w:rsid w:val="00183859"/>
    <w:rsid w:val="00183A71"/>
    <w:rsid w:val="00184D5B"/>
    <w:rsid w:val="0018596E"/>
    <w:rsid w:val="0018661C"/>
    <w:rsid w:val="00186B87"/>
    <w:rsid w:val="00186FBE"/>
    <w:rsid w:val="0018752F"/>
    <w:rsid w:val="00187A95"/>
    <w:rsid w:val="001941EE"/>
    <w:rsid w:val="00194BDB"/>
    <w:rsid w:val="00195222"/>
    <w:rsid w:val="0019568C"/>
    <w:rsid w:val="0019571D"/>
    <w:rsid w:val="0019590C"/>
    <w:rsid w:val="00195D8D"/>
    <w:rsid w:val="00196416"/>
    <w:rsid w:val="001974D0"/>
    <w:rsid w:val="001975D8"/>
    <w:rsid w:val="00197F63"/>
    <w:rsid w:val="001A1B76"/>
    <w:rsid w:val="001A285B"/>
    <w:rsid w:val="001A3856"/>
    <w:rsid w:val="001A43B2"/>
    <w:rsid w:val="001A4A60"/>
    <w:rsid w:val="001A5753"/>
    <w:rsid w:val="001A5F31"/>
    <w:rsid w:val="001A69E7"/>
    <w:rsid w:val="001B014E"/>
    <w:rsid w:val="001B1003"/>
    <w:rsid w:val="001B28A4"/>
    <w:rsid w:val="001B2FA7"/>
    <w:rsid w:val="001B3443"/>
    <w:rsid w:val="001B5A25"/>
    <w:rsid w:val="001B5BA5"/>
    <w:rsid w:val="001B5FB6"/>
    <w:rsid w:val="001B6000"/>
    <w:rsid w:val="001C0DFB"/>
    <w:rsid w:val="001C0F1C"/>
    <w:rsid w:val="001C2F3F"/>
    <w:rsid w:val="001C3F33"/>
    <w:rsid w:val="001C5F2A"/>
    <w:rsid w:val="001C61CC"/>
    <w:rsid w:val="001C6214"/>
    <w:rsid w:val="001C6E66"/>
    <w:rsid w:val="001C7D99"/>
    <w:rsid w:val="001D02AD"/>
    <w:rsid w:val="001D071E"/>
    <w:rsid w:val="001D077D"/>
    <w:rsid w:val="001D0915"/>
    <w:rsid w:val="001D0B64"/>
    <w:rsid w:val="001D1671"/>
    <w:rsid w:val="001D16D7"/>
    <w:rsid w:val="001D1B9F"/>
    <w:rsid w:val="001D3633"/>
    <w:rsid w:val="001D58C8"/>
    <w:rsid w:val="001D704E"/>
    <w:rsid w:val="001E081F"/>
    <w:rsid w:val="001E1930"/>
    <w:rsid w:val="001E238E"/>
    <w:rsid w:val="001E252D"/>
    <w:rsid w:val="001E2B1E"/>
    <w:rsid w:val="001E2CD5"/>
    <w:rsid w:val="001E52EB"/>
    <w:rsid w:val="001E69C6"/>
    <w:rsid w:val="001E740C"/>
    <w:rsid w:val="001F1235"/>
    <w:rsid w:val="001F1AB0"/>
    <w:rsid w:val="001F1CB3"/>
    <w:rsid w:val="001F1E1F"/>
    <w:rsid w:val="001F4AE1"/>
    <w:rsid w:val="001F5231"/>
    <w:rsid w:val="001F5E54"/>
    <w:rsid w:val="001F7361"/>
    <w:rsid w:val="001F78E6"/>
    <w:rsid w:val="001F7959"/>
    <w:rsid w:val="002006AA"/>
    <w:rsid w:val="0020385F"/>
    <w:rsid w:val="00203DA4"/>
    <w:rsid w:val="00203F6C"/>
    <w:rsid w:val="002057A6"/>
    <w:rsid w:val="002061D2"/>
    <w:rsid w:val="00206D92"/>
    <w:rsid w:val="00207021"/>
    <w:rsid w:val="002079EB"/>
    <w:rsid w:val="00207D00"/>
    <w:rsid w:val="00210139"/>
    <w:rsid w:val="002105C1"/>
    <w:rsid w:val="00210817"/>
    <w:rsid w:val="0021181E"/>
    <w:rsid w:val="00211FCF"/>
    <w:rsid w:val="002121D2"/>
    <w:rsid w:val="00213391"/>
    <w:rsid w:val="00214434"/>
    <w:rsid w:val="0021456C"/>
    <w:rsid w:val="00215503"/>
    <w:rsid w:val="00215973"/>
    <w:rsid w:val="00216BEA"/>
    <w:rsid w:val="002202C6"/>
    <w:rsid w:val="002227F7"/>
    <w:rsid w:val="00222FA4"/>
    <w:rsid w:val="00222FF1"/>
    <w:rsid w:val="0022355F"/>
    <w:rsid w:val="00223A3A"/>
    <w:rsid w:val="00223B49"/>
    <w:rsid w:val="00223CE9"/>
    <w:rsid w:val="00224DD4"/>
    <w:rsid w:val="00224E11"/>
    <w:rsid w:val="00225F17"/>
    <w:rsid w:val="00226C60"/>
    <w:rsid w:val="00227E3E"/>
    <w:rsid w:val="0023088A"/>
    <w:rsid w:val="002309CC"/>
    <w:rsid w:val="0023202B"/>
    <w:rsid w:val="00233089"/>
    <w:rsid w:val="0023528C"/>
    <w:rsid w:val="00235A5A"/>
    <w:rsid w:val="002360B5"/>
    <w:rsid w:val="002364F8"/>
    <w:rsid w:val="00237F39"/>
    <w:rsid w:val="00241168"/>
    <w:rsid w:val="00241423"/>
    <w:rsid w:val="0024146B"/>
    <w:rsid w:val="002431EA"/>
    <w:rsid w:val="00245430"/>
    <w:rsid w:val="00245472"/>
    <w:rsid w:val="00245582"/>
    <w:rsid w:val="00246520"/>
    <w:rsid w:val="002479D7"/>
    <w:rsid w:val="00247CF8"/>
    <w:rsid w:val="00250E43"/>
    <w:rsid w:val="00251876"/>
    <w:rsid w:val="00254DCF"/>
    <w:rsid w:val="0025534B"/>
    <w:rsid w:val="00255BB7"/>
    <w:rsid w:val="00256995"/>
    <w:rsid w:val="00256E90"/>
    <w:rsid w:val="00257AD5"/>
    <w:rsid w:val="002607B6"/>
    <w:rsid w:val="00260E1F"/>
    <w:rsid w:val="00261D69"/>
    <w:rsid w:val="00262302"/>
    <w:rsid w:val="00262A87"/>
    <w:rsid w:val="0026530E"/>
    <w:rsid w:val="00265481"/>
    <w:rsid w:val="0026671D"/>
    <w:rsid w:val="002675E1"/>
    <w:rsid w:val="00270C22"/>
    <w:rsid w:val="0027179B"/>
    <w:rsid w:val="00271A57"/>
    <w:rsid w:val="002731BD"/>
    <w:rsid w:val="002742C0"/>
    <w:rsid w:val="00274C6F"/>
    <w:rsid w:val="00275C5A"/>
    <w:rsid w:val="00275E36"/>
    <w:rsid w:val="0028016F"/>
    <w:rsid w:val="00281014"/>
    <w:rsid w:val="00282091"/>
    <w:rsid w:val="0028287A"/>
    <w:rsid w:val="0028299B"/>
    <w:rsid w:val="00283269"/>
    <w:rsid w:val="00283B4D"/>
    <w:rsid w:val="002841E9"/>
    <w:rsid w:val="00286152"/>
    <w:rsid w:val="00286210"/>
    <w:rsid w:val="00290019"/>
    <w:rsid w:val="002918B1"/>
    <w:rsid w:val="002919DA"/>
    <w:rsid w:val="00291D70"/>
    <w:rsid w:val="002929C0"/>
    <w:rsid w:val="00292BAC"/>
    <w:rsid w:val="00293D04"/>
    <w:rsid w:val="00294729"/>
    <w:rsid w:val="00295612"/>
    <w:rsid w:val="002964B2"/>
    <w:rsid w:val="00296842"/>
    <w:rsid w:val="0029767E"/>
    <w:rsid w:val="002A14AB"/>
    <w:rsid w:val="002A3716"/>
    <w:rsid w:val="002A5389"/>
    <w:rsid w:val="002A5E58"/>
    <w:rsid w:val="002A6959"/>
    <w:rsid w:val="002A76EF"/>
    <w:rsid w:val="002A7B56"/>
    <w:rsid w:val="002B122E"/>
    <w:rsid w:val="002B160E"/>
    <w:rsid w:val="002B1C1F"/>
    <w:rsid w:val="002B2458"/>
    <w:rsid w:val="002B2589"/>
    <w:rsid w:val="002B2B7F"/>
    <w:rsid w:val="002B2DB5"/>
    <w:rsid w:val="002B432F"/>
    <w:rsid w:val="002B4562"/>
    <w:rsid w:val="002B6A64"/>
    <w:rsid w:val="002B6CCE"/>
    <w:rsid w:val="002B7DFD"/>
    <w:rsid w:val="002C1194"/>
    <w:rsid w:val="002C2775"/>
    <w:rsid w:val="002C27C1"/>
    <w:rsid w:val="002C3058"/>
    <w:rsid w:val="002C4A0B"/>
    <w:rsid w:val="002C5A85"/>
    <w:rsid w:val="002C5EDA"/>
    <w:rsid w:val="002C606E"/>
    <w:rsid w:val="002D26D3"/>
    <w:rsid w:val="002D3D9D"/>
    <w:rsid w:val="002D549E"/>
    <w:rsid w:val="002D5DEB"/>
    <w:rsid w:val="002E01EB"/>
    <w:rsid w:val="002E0242"/>
    <w:rsid w:val="002E0667"/>
    <w:rsid w:val="002E0742"/>
    <w:rsid w:val="002E13C6"/>
    <w:rsid w:val="002E1897"/>
    <w:rsid w:val="002E1BA0"/>
    <w:rsid w:val="002E2C86"/>
    <w:rsid w:val="002E38FB"/>
    <w:rsid w:val="002E41C3"/>
    <w:rsid w:val="002E570D"/>
    <w:rsid w:val="002E6EFB"/>
    <w:rsid w:val="002E7158"/>
    <w:rsid w:val="002E75BE"/>
    <w:rsid w:val="002F094E"/>
    <w:rsid w:val="002F1185"/>
    <w:rsid w:val="002F2192"/>
    <w:rsid w:val="002F3030"/>
    <w:rsid w:val="002F3079"/>
    <w:rsid w:val="002F3156"/>
    <w:rsid w:val="002F382E"/>
    <w:rsid w:val="002F3CA4"/>
    <w:rsid w:val="002F46BD"/>
    <w:rsid w:val="002F674B"/>
    <w:rsid w:val="002F7203"/>
    <w:rsid w:val="00300B69"/>
    <w:rsid w:val="00301017"/>
    <w:rsid w:val="00301B54"/>
    <w:rsid w:val="00301D77"/>
    <w:rsid w:val="00304FA8"/>
    <w:rsid w:val="0030551F"/>
    <w:rsid w:val="00305A9B"/>
    <w:rsid w:val="003062DD"/>
    <w:rsid w:val="00306CE7"/>
    <w:rsid w:val="003074F0"/>
    <w:rsid w:val="0030786C"/>
    <w:rsid w:val="00307A3F"/>
    <w:rsid w:val="0031031A"/>
    <w:rsid w:val="00310981"/>
    <w:rsid w:val="00310A42"/>
    <w:rsid w:val="00311229"/>
    <w:rsid w:val="00311B87"/>
    <w:rsid w:val="003135BE"/>
    <w:rsid w:val="00313ECE"/>
    <w:rsid w:val="00314866"/>
    <w:rsid w:val="00315498"/>
    <w:rsid w:val="003164AC"/>
    <w:rsid w:val="00316CDA"/>
    <w:rsid w:val="003200B5"/>
    <w:rsid w:val="0032070A"/>
    <w:rsid w:val="003215FC"/>
    <w:rsid w:val="00321785"/>
    <w:rsid w:val="00321AA5"/>
    <w:rsid w:val="003223A4"/>
    <w:rsid w:val="0032290A"/>
    <w:rsid w:val="00322C31"/>
    <w:rsid w:val="003264DD"/>
    <w:rsid w:val="0032662D"/>
    <w:rsid w:val="0032737D"/>
    <w:rsid w:val="00327835"/>
    <w:rsid w:val="00330E84"/>
    <w:rsid w:val="0033286F"/>
    <w:rsid w:val="003342CF"/>
    <w:rsid w:val="003346A2"/>
    <w:rsid w:val="003366C9"/>
    <w:rsid w:val="00336877"/>
    <w:rsid w:val="003371B0"/>
    <w:rsid w:val="003434F5"/>
    <w:rsid w:val="00345B09"/>
    <w:rsid w:val="00345CD5"/>
    <w:rsid w:val="00346526"/>
    <w:rsid w:val="0034756B"/>
    <w:rsid w:val="003500EB"/>
    <w:rsid w:val="00351CA2"/>
    <w:rsid w:val="00351F4A"/>
    <w:rsid w:val="003528E0"/>
    <w:rsid w:val="00352A92"/>
    <w:rsid w:val="00352E2E"/>
    <w:rsid w:val="0035458D"/>
    <w:rsid w:val="00354BC5"/>
    <w:rsid w:val="0035619A"/>
    <w:rsid w:val="0035620E"/>
    <w:rsid w:val="003602F0"/>
    <w:rsid w:val="00360606"/>
    <w:rsid w:val="00361CD2"/>
    <w:rsid w:val="00361FE3"/>
    <w:rsid w:val="003623DF"/>
    <w:rsid w:val="00364BE8"/>
    <w:rsid w:val="003670D2"/>
    <w:rsid w:val="003676E2"/>
    <w:rsid w:val="00367BC8"/>
    <w:rsid w:val="00367CDC"/>
    <w:rsid w:val="003704DD"/>
    <w:rsid w:val="00373627"/>
    <w:rsid w:val="003738BF"/>
    <w:rsid w:val="0037466B"/>
    <w:rsid w:val="00374B21"/>
    <w:rsid w:val="00374E89"/>
    <w:rsid w:val="0037569E"/>
    <w:rsid w:val="003759C6"/>
    <w:rsid w:val="00375DFD"/>
    <w:rsid w:val="00376233"/>
    <w:rsid w:val="003772FE"/>
    <w:rsid w:val="00377440"/>
    <w:rsid w:val="00377F5E"/>
    <w:rsid w:val="00380C4B"/>
    <w:rsid w:val="003810CA"/>
    <w:rsid w:val="00381D74"/>
    <w:rsid w:val="0038365C"/>
    <w:rsid w:val="003838A9"/>
    <w:rsid w:val="00383963"/>
    <w:rsid w:val="00384A53"/>
    <w:rsid w:val="003867CE"/>
    <w:rsid w:val="00390447"/>
    <w:rsid w:val="00391C5D"/>
    <w:rsid w:val="003934D1"/>
    <w:rsid w:val="00393F2C"/>
    <w:rsid w:val="00394203"/>
    <w:rsid w:val="00394EC4"/>
    <w:rsid w:val="003954E8"/>
    <w:rsid w:val="00396FD0"/>
    <w:rsid w:val="00397038"/>
    <w:rsid w:val="0039790E"/>
    <w:rsid w:val="003A0693"/>
    <w:rsid w:val="003A1A7A"/>
    <w:rsid w:val="003A279D"/>
    <w:rsid w:val="003A2F7C"/>
    <w:rsid w:val="003A2F9E"/>
    <w:rsid w:val="003A3A49"/>
    <w:rsid w:val="003A3DC4"/>
    <w:rsid w:val="003A3F1F"/>
    <w:rsid w:val="003A404D"/>
    <w:rsid w:val="003A44B1"/>
    <w:rsid w:val="003A4B62"/>
    <w:rsid w:val="003A4DE7"/>
    <w:rsid w:val="003A579A"/>
    <w:rsid w:val="003A57E3"/>
    <w:rsid w:val="003A6037"/>
    <w:rsid w:val="003A6822"/>
    <w:rsid w:val="003A6F3E"/>
    <w:rsid w:val="003A738E"/>
    <w:rsid w:val="003B294E"/>
    <w:rsid w:val="003B2BA2"/>
    <w:rsid w:val="003B36AE"/>
    <w:rsid w:val="003B43A6"/>
    <w:rsid w:val="003B487A"/>
    <w:rsid w:val="003B4E2F"/>
    <w:rsid w:val="003C032F"/>
    <w:rsid w:val="003C193C"/>
    <w:rsid w:val="003C1F84"/>
    <w:rsid w:val="003C2198"/>
    <w:rsid w:val="003C2683"/>
    <w:rsid w:val="003C40EC"/>
    <w:rsid w:val="003C59ED"/>
    <w:rsid w:val="003C6ED6"/>
    <w:rsid w:val="003D0065"/>
    <w:rsid w:val="003D0361"/>
    <w:rsid w:val="003D0CCA"/>
    <w:rsid w:val="003D11A0"/>
    <w:rsid w:val="003D1828"/>
    <w:rsid w:val="003D2422"/>
    <w:rsid w:val="003D25B3"/>
    <w:rsid w:val="003D4018"/>
    <w:rsid w:val="003D4754"/>
    <w:rsid w:val="003D4B0A"/>
    <w:rsid w:val="003D4FC2"/>
    <w:rsid w:val="003D5002"/>
    <w:rsid w:val="003D6285"/>
    <w:rsid w:val="003D7981"/>
    <w:rsid w:val="003E05DB"/>
    <w:rsid w:val="003E176A"/>
    <w:rsid w:val="003E2693"/>
    <w:rsid w:val="003E2906"/>
    <w:rsid w:val="003E46AC"/>
    <w:rsid w:val="003E4824"/>
    <w:rsid w:val="003E5679"/>
    <w:rsid w:val="003E5C1D"/>
    <w:rsid w:val="003E67A7"/>
    <w:rsid w:val="003E6EFD"/>
    <w:rsid w:val="003E7438"/>
    <w:rsid w:val="003F10FA"/>
    <w:rsid w:val="003F1478"/>
    <w:rsid w:val="003F1C9F"/>
    <w:rsid w:val="003F4156"/>
    <w:rsid w:val="003F4E2A"/>
    <w:rsid w:val="003F53A1"/>
    <w:rsid w:val="003F5429"/>
    <w:rsid w:val="003F5F5B"/>
    <w:rsid w:val="003F676D"/>
    <w:rsid w:val="003F67AD"/>
    <w:rsid w:val="003F7104"/>
    <w:rsid w:val="00401797"/>
    <w:rsid w:val="004024BF"/>
    <w:rsid w:val="00402586"/>
    <w:rsid w:val="00403BAB"/>
    <w:rsid w:val="0040461F"/>
    <w:rsid w:val="00406522"/>
    <w:rsid w:val="0040756E"/>
    <w:rsid w:val="00410511"/>
    <w:rsid w:val="00410638"/>
    <w:rsid w:val="00410708"/>
    <w:rsid w:val="00410875"/>
    <w:rsid w:val="00410EC7"/>
    <w:rsid w:val="00411A56"/>
    <w:rsid w:val="00414476"/>
    <w:rsid w:val="00414C59"/>
    <w:rsid w:val="00415B82"/>
    <w:rsid w:val="00416FAA"/>
    <w:rsid w:val="004173B7"/>
    <w:rsid w:val="0042061C"/>
    <w:rsid w:val="0042067B"/>
    <w:rsid w:val="00420B9F"/>
    <w:rsid w:val="00422DD0"/>
    <w:rsid w:val="00423118"/>
    <w:rsid w:val="0042315A"/>
    <w:rsid w:val="00423F69"/>
    <w:rsid w:val="004256BC"/>
    <w:rsid w:val="00426999"/>
    <w:rsid w:val="00430622"/>
    <w:rsid w:val="00430C40"/>
    <w:rsid w:val="00431489"/>
    <w:rsid w:val="00431823"/>
    <w:rsid w:val="004319F8"/>
    <w:rsid w:val="00431F54"/>
    <w:rsid w:val="00432009"/>
    <w:rsid w:val="00433044"/>
    <w:rsid w:val="00433DE2"/>
    <w:rsid w:val="004348B0"/>
    <w:rsid w:val="004355DB"/>
    <w:rsid w:val="00435E11"/>
    <w:rsid w:val="004371CD"/>
    <w:rsid w:val="004424D7"/>
    <w:rsid w:val="00442B0B"/>
    <w:rsid w:val="004443A7"/>
    <w:rsid w:val="00444452"/>
    <w:rsid w:val="00444DFE"/>
    <w:rsid w:val="004464EB"/>
    <w:rsid w:val="0044700F"/>
    <w:rsid w:val="00447FF8"/>
    <w:rsid w:val="004504C3"/>
    <w:rsid w:val="00450D3D"/>
    <w:rsid w:val="00451C8D"/>
    <w:rsid w:val="00451EFB"/>
    <w:rsid w:val="0045370C"/>
    <w:rsid w:val="00455D45"/>
    <w:rsid w:val="004564EA"/>
    <w:rsid w:val="004574A4"/>
    <w:rsid w:val="004609F4"/>
    <w:rsid w:val="00461EE4"/>
    <w:rsid w:val="00461F36"/>
    <w:rsid w:val="004641D3"/>
    <w:rsid w:val="00464595"/>
    <w:rsid w:val="004648BE"/>
    <w:rsid w:val="0046531B"/>
    <w:rsid w:val="004660F5"/>
    <w:rsid w:val="00466FB3"/>
    <w:rsid w:val="004678F2"/>
    <w:rsid w:val="0046793B"/>
    <w:rsid w:val="00470395"/>
    <w:rsid w:val="004706A5"/>
    <w:rsid w:val="004708D1"/>
    <w:rsid w:val="00470DDC"/>
    <w:rsid w:val="00472D27"/>
    <w:rsid w:val="00475823"/>
    <w:rsid w:val="00480397"/>
    <w:rsid w:val="004845CD"/>
    <w:rsid w:val="00484BD5"/>
    <w:rsid w:val="00485134"/>
    <w:rsid w:val="00485D2B"/>
    <w:rsid w:val="00485EE1"/>
    <w:rsid w:val="004862B6"/>
    <w:rsid w:val="004867E2"/>
    <w:rsid w:val="00490BCC"/>
    <w:rsid w:val="00491B3A"/>
    <w:rsid w:val="004928A9"/>
    <w:rsid w:val="00492CFD"/>
    <w:rsid w:val="0049494F"/>
    <w:rsid w:val="00494B1D"/>
    <w:rsid w:val="00495013"/>
    <w:rsid w:val="004962D2"/>
    <w:rsid w:val="004964DF"/>
    <w:rsid w:val="00496930"/>
    <w:rsid w:val="00497137"/>
    <w:rsid w:val="00497145"/>
    <w:rsid w:val="004A0C24"/>
    <w:rsid w:val="004A0DA1"/>
    <w:rsid w:val="004A138D"/>
    <w:rsid w:val="004A3BDF"/>
    <w:rsid w:val="004A43CB"/>
    <w:rsid w:val="004A6597"/>
    <w:rsid w:val="004A7B19"/>
    <w:rsid w:val="004B0D2F"/>
    <w:rsid w:val="004B0F78"/>
    <w:rsid w:val="004B13C7"/>
    <w:rsid w:val="004B1CB4"/>
    <w:rsid w:val="004B2A59"/>
    <w:rsid w:val="004B2F18"/>
    <w:rsid w:val="004B34BC"/>
    <w:rsid w:val="004B3DDB"/>
    <w:rsid w:val="004B44FD"/>
    <w:rsid w:val="004B50D4"/>
    <w:rsid w:val="004B5CFC"/>
    <w:rsid w:val="004B60CF"/>
    <w:rsid w:val="004C0489"/>
    <w:rsid w:val="004C0FCD"/>
    <w:rsid w:val="004C1045"/>
    <w:rsid w:val="004C1838"/>
    <w:rsid w:val="004C2DCE"/>
    <w:rsid w:val="004C32F3"/>
    <w:rsid w:val="004C391A"/>
    <w:rsid w:val="004C4AED"/>
    <w:rsid w:val="004C55D7"/>
    <w:rsid w:val="004C61C5"/>
    <w:rsid w:val="004C766D"/>
    <w:rsid w:val="004D0754"/>
    <w:rsid w:val="004D0AFA"/>
    <w:rsid w:val="004D2625"/>
    <w:rsid w:val="004D35F3"/>
    <w:rsid w:val="004D4279"/>
    <w:rsid w:val="004D432E"/>
    <w:rsid w:val="004D512D"/>
    <w:rsid w:val="004D5ECC"/>
    <w:rsid w:val="004D6122"/>
    <w:rsid w:val="004D7386"/>
    <w:rsid w:val="004E0EB8"/>
    <w:rsid w:val="004E1F2B"/>
    <w:rsid w:val="004E2ADC"/>
    <w:rsid w:val="004E2D02"/>
    <w:rsid w:val="004E2E7C"/>
    <w:rsid w:val="004E39B3"/>
    <w:rsid w:val="004E405A"/>
    <w:rsid w:val="004E414A"/>
    <w:rsid w:val="004E43B2"/>
    <w:rsid w:val="004E50AB"/>
    <w:rsid w:val="004E617D"/>
    <w:rsid w:val="004E6EF9"/>
    <w:rsid w:val="004F1153"/>
    <w:rsid w:val="004F12F9"/>
    <w:rsid w:val="004F1582"/>
    <w:rsid w:val="004F1A52"/>
    <w:rsid w:val="004F1D02"/>
    <w:rsid w:val="004F2435"/>
    <w:rsid w:val="004F2679"/>
    <w:rsid w:val="004F2F84"/>
    <w:rsid w:val="004F37B3"/>
    <w:rsid w:val="004F4905"/>
    <w:rsid w:val="004F4CF3"/>
    <w:rsid w:val="004F5BE9"/>
    <w:rsid w:val="004F6F91"/>
    <w:rsid w:val="004F7865"/>
    <w:rsid w:val="00501C5D"/>
    <w:rsid w:val="005036BD"/>
    <w:rsid w:val="00503C94"/>
    <w:rsid w:val="00504BE8"/>
    <w:rsid w:val="005050D5"/>
    <w:rsid w:val="00506928"/>
    <w:rsid w:val="00506FFE"/>
    <w:rsid w:val="00507FA7"/>
    <w:rsid w:val="005113AE"/>
    <w:rsid w:val="00513A30"/>
    <w:rsid w:val="00514EEC"/>
    <w:rsid w:val="005152B5"/>
    <w:rsid w:val="0051538A"/>
    <w:rsid w:val="00515448"/>
    <w:rsid w:val="00515664"/>
    <w:rsid w:val="005158BE"/>
    <w:rsid w:val="00521319"/>
    <w:rsid w:val="00522AC4"/>
    <w:rsid w:val="00523C28"/>
    <w:rsid w:val="0052692F"/>
    <w:rsid w:val="0052753E"/>
    <w:rsid w:val="0053192B"/>
    <w:rsid w:val="00531EB8"/>
    <w:rsid w:val="00532640"/>
    <w:rsid w:val="00536526"/>
    <w:rsid w:val="00536E70"/>
    <w:rsid w:val="00540337"/>
    <w:rsid w:val="00541B0E"/>
    <w:rsid w:val="005426E5"/>
    <w:rsid w:val="00542CED"/>
    <w:rsid w:val="0054553F"/>
    <w:rsid w:val="00545CCE"/>
    <w:rsid w:val="00547B3D"/>
    <w:rsid w:val="0055043A"/>
    <w:rsid w:val="00551FBD"/>
    <w:rsid w:val="0055281E"/>
    <w:rsid w:val="00552BD3"/>
    <w:rsid w:val="0055409D"/>
    <w:rsid w:val="00555109"/>
    <w:rsid w:val="00555242"/>
    <w:rsid w:val="00555E6B"/>
    <w:rsid w:val="0055649C"/>
    <w:rsid w:val="00556AB4"/>
    <w:rsid w:val="00561329"/>
    <w:rsid w:val="00561CE0"/>
    <w:rsid w:val="00561CF5"/>
    <w:rsid w:val="005621E7"/>
    <w:rsid w:val="00563EB1"/>
    <w:rsid w:val="00564497"/>
    <w:rsid w:val="00564CFF"/>
    <w:rsid w:val="0056696F"/>
    <w:rsid w:val="00567DF3"/>
    <w:rsid w:val="0057045E"/>
    <w:rsid w:val="00570DD5"/>
    <w:rsid w:val="00571009"/>
    <w:rsid w:val="0057178F"/>
    <w:rsid w:val="00574E26"/>
    <w:rsid w:val="00575CFC"/>
    <w:rsid w:val="00575D8D"/>
    <w:rsid w:val="00576910"/>
    <w:rsid w:val="00576972"/>
    <w:rsid w:val="005779BF"/>
    <w:rsid w:val="005804B0"/>
    <w:rsid w:val="00582202"/>
    <w:rsid w:val="00582337"/>
    <w:rsid w:val="00583699"/>
    <w:rsid w:val="00583B01"/>
    <w:rsid w:val="00583B97"/>
    <w:rsid w:val="005854A6"/>
    <w:rsid w:val="00587149"/>
    <w:rsid w:val="005873B3"/>
    <w:rsid w:val="0059021B"/>
    <w:rsid w:val="00591478"/>
    <w:rsid w:val="00592841"/>
    <w:rsid w:val="00592CC6"/>
    <w:rsid w:val="005933A2"/>
    <w:rsid w:val="00593E87"/>
    <w:rsid w:val="00594238"/>
    <w:rsid w:val="0059496D"/>
    <w:rsid w:val="005950D8"/>
    <w:rsid w:val="0059616C"/>
    <w:rsid w:val="005967D1"/>
    <w:rsid w:val="005968C6"/>
    <w:rsid w:val="005A0839"/>
    <w:rsid w:val="005A13DF"/>
    <w:rsid w:val="005A2E56"/>
    <w:rsid w:val="005A457F"/>
    <w:rsid w:val="005A58BA"/>
    <w:rsid w:val="005A5CCE"/>
    <w:rsid w:val="005A6C30"/>
    <w:rsid w:val="005A7B6C"/>
    <w:rsid w:val="005B032E"/>
    <w:rsid w:val="005B0D36"/>
    <w:rsid w:val="005B1039"/>
    <w:rsid w:val="005B10BD"/>
    <w:rsid w:val="005B335D"/>
    <w:rsid w:val="005B3CBB"/>
    <w:rsid w:val="005B5857"/>
    <w:rsid w:val="005B6EB7"/>
    <w:rsid w:val="005C01EE"/>
    <w:rsid w:val="005C1722"/>
    <w:rsid w:val="005C1B83"/>
    <w:rsid w:val="005C346B"/>
    <w:rsid w:val="005C3B29"/>
    <w:rsid w:val="005C508C"/>
    <w:rsid w:val="005D044D"/>
    <w:rsid w:val="005D0C7B"/>
    <w:rsid w:val="005D13A0"/>
    <w:rsid w:val="005D1780"/>
    <w:rsid w:val="005D18AD"/>
    <w:rsid w:val="005D1A6C"/>
    <w:rsid w:val="005D200B"/>
    <w:rsid w:val="005D3443"/>
    <w:rsid w:val="005D4142"/>
    <w:rsid w:val="005D5009"/>
    <w:rsid w:val="005D688C"/>
    <w:rsid w:val="005D7186"/>
    <w:rsid w:val="005D71AD"/>
    <w:rsid w:val="005E3674"/>
    <w:rsid w:val="005E3FD6"/>
    <w:rsid w:val="005E463E"/>
    <w:rsid w:val="005E6247"/>
    <w:rsid w:val="005E6BB6"/>
    <w:rsid w:val="005E72C2"/>
    <w:rsid w:val="005E73C0"/>
    <w:rsid w:val="005E75F7"/>
    <w:rsid w:val="005F2706"/>
    <w:rsid w:val="005F2CEF"/>
    <w:rsid w:val="005F2FFE"/>
    <w:rsid w:val="005F47AF"/>
    <w:rsid w:val="005F4F2A"/>
    <w:rsid w:val="005F605A"/>
    <w:rsid w:val="005F6A8F"/>
    <w:rsid w:val="005F7156"/>
    <w:rsid w:val="005F7BB9"/>
    <w:rsid w:val="00601945"/>
    <w:rsid w:val="00601CFE"/>
    <w:rsid w:val="00603914"/>
    <w:rsid w:val="00603BC0"/>
    <w:rsid w:val="00604807"/>
    <w:rsid w:val="006049FD"/>
    <w:rsid w:val="00604A99"/>
    <w:rsid w:val="00604E21"/>
    <w:rsid w:val="006057CB"/>
    <w:rsid w:val="00607669"/>
    <w:rsid w:val="00610745"/>
    <w:rsid w:val="00610ACA"/>
    <w:rsid w:val="00610B63"/>
    <w:rsid w:val="00611670"/>
    <w:rsid w:val="00611C6F"/>
    <w:rsid w:val="00612F97"/>
    <w:rsid w:val="00614301"/>
    <w:rsid w:val="00615024"/>
    <w:rsid w:val="00616802"/>
    <w:rsid w:val="00616946"/>
    <w:rsid w:val="00617E12"/>
    <w:rsid w:val="00617F21"/>
    <w:rsid w:val="00620A64"/>
    <w:rsid w:val="006210AB"/>
    <w:rsid w:val="00621477"/>
    <w:rsid w:val="00621E31"/>
    <w:rsid w:val="00622A6D"/>
    <w:rsid w:val="00622C58"/>
    <w:rsid w:val="006278F2"/>
    <w:rsid w:val="00627919"/>
    <w:rsid w:val="00630011"/>
    <w:rsid w:val="006304F2"/>
    <w:rsid w:val="00630F63"/>
    <w:rsid w:val="00631D6B"/>
    <w:rsid w:val="00631FEB"/>
    <w:rsid w:val="00632656"/>
    <w:rsid w:val="0063449A"/>
    <w:rsid w:val="0063479F"/>
    <w:rsid w:val="00634DC0"/>
    <w:rsid w:val="00634DD5"/>
    <w:rsid w:val="0063582A"/>
    <w:rsid w:val="00635F01"/>
    <w:rsid w:val="006364A1"/>
    <w:rsid w:val="00636A2F"/>
    <w:rsid w:val="00637703"/>
    <w:rsid w:val="00637BFD"/>
    <w:rsid w:val="00640F94"/>
    <w:rsid w:val="00641804"/>
    <w:rsid w:val="00641901"/>
    <w:rsid w:val="006419AA"/>
    <w:rsid w:val="00641D5A"/>
    <w:rsid w:val="00641EBF"/>
    <w:rsid w:val="00642290"/>
    <w:rsid w:val="00644EE6"/>
    <w:rsid w:val="00645A61"/>
    <w:rsid w:val="00645FA8"/>
    <w:rsid w:val="0064653E"/>
    <w:rsid w:val="006471CC"/>
    <w:rsid w:val="00647742"/>
    <w:rsid w:val="00647B7D"/>
    <w:rsid w:val="0065005C"/>
    <w:rsid w:val="0065079F"/>
    <w:rsid w:val="0065512A"/>
    <w:rsid w:val="00660C9C"/>
    <w:rsid w:val="00661602"/>
    <w:rsid w:val="00663348"/>
    <w:rsid w:val="00663D0F"/>
    <w:rsid w:val="006651A4"/>
    <w:rsid w:val="00666507"/>
    <w:rsid w:val="006675C0"/>
    <w:rsid w:val="00667E5A"/>
    <w:rsid w:val="00667E65"/>
    <w:rsid w:val="006703AE"/>
    <w:rsid w:val="0067237F"/>
    <w:rsid w:val="0067241F"/>
    <w:rsid w:val="0067263C"/>
    <w:rsid w:val="006729C9"/>
    <w:rsid w:val="0067304B"/>
    <w:rsid w:val="00673416"/>
    <w:rsid w:val="00673634"/>
    <w:rsid w:val="00673F04"/>
    <w:rsid w:val="00674C2E"/>
    <w:rsid w:val="00674E42"/>
    <w:rsid w:val="0067600C"/>
    <w:rsid w:val="006769C1"/>
    <w:rsid w:val="00677EC5"/>
    <w:rsid w:val="006819E3"/>
    <w:rsid w:val="00682112"/>
    <w:rsid w:val="00682675"/>
    <w:rsid w:val="006829B6"/>
    <w:rsid w:val="00683E55"/>
    <w:rsid w:val="00686D89"/>
    <w:rsid w:val="00687220"/>
    <w:rsid w:val="006872BA"/>
    <w:rsid w:val="00687904"/>
    <w:rsid w:val="00690096"/>
    <w:rsid w:val="00691639"/>
    <w:rsid w:val="006917D7"/>
    <w:rsid w:val="00691B8C"/>
    <w:rsid w:val="006921FE"/>
    <w:rsid w:val="0069257B"/>
    <w:rsid w:val="006931C6"/>
    <w:rsid w:val="006942C1"/>
    <w:rsid w:val="00694F44"/>
    <w:rsid w:val="00695927"/>
    <w:rsid w:val="006961EA"/>
    <w:rsid w:val="006A0A09"/>
    <w:rsid w:val="006A184F"/>
    <w:rsid w:val="006A2618"/>
    <w:rsid w:val="006A2C5E"/>
    <w:rsid w:val="006A2F4B"/>
    <w:rsid w:val="006A46E0"/>
    <w:rsid w:val="006A4974"/>
    <w:rsid w:val="006A67DF"/>
    <w:rsid w:val="006A72B9"/>
    <w:rsid w:val="006B09C4"/>
    <w:rsid w:val="006B0B2E"/>
    <w:rsid w:val="006B2F89"/>
    <w:rsid w:val="006B2FE0"/>
    <w:rsid w:val="006B4084"/>
    <w:rsid w:val="006B5872"/>
    <w:rsid w:val="006B69ED"/>
    <w:rsid w:val="006B71B7"/>
    <w:rsid w:val="006C0F46"/>
    <w:rsid w:val="006C1272"/>
    <w:rsid w:val="006C1709"/>
    <w:rsid w:val="006C1C88"/>
    <w:rsid w:val="006C2053"/>
    <w:rsid w:val="006C2A8E"/>
    <w:rsid w:val="006C47CF"/>
    <w:rsid w:val="006C4BA4"/>
    <w:rsid w:val="006C6078"/>
    <w:rsid w:val="006C6243"/>
    <w:rsid w:val="006C62BF"/>
    <w:rsid w:val="006C6975"/>
    <w:rsid w:val="006C6CA1"/>
    <w:rsid w:val="006C6D3C"/>
    <w:rsid w:val="006C7CFB"/>
    <w:rsid w:val="006C7F9E"/>
    <w:rsid w:val="006D0EC3"/>
    <w:rsid w:val="006D27F1"/>
    <w:rsid w:val="006D3C7D"/>
    <w:rsid w:val="006D520E"/>
    <w:rsid w:val="006D569E"/>
    <w:rsid w:val="006D5D5F"/>
    <w:rsid w:val="006D5EE8"/>
    <w:rsid w:val="006D765B"/>
    <w:rsid w:val="006D7907"/>
    <w:rsid w:val="006E24B6"/>
    <w:rsid w:val="006E2D31"/>
    <w:rsid w:val="006E3209"/>
    <w:rsid w:val="006E463E"/>
    <w:rsid w:val="006F07B7"/>
    <w:rsid w:val="006F240D"/>
    <w:rsid w:val="006F445C"/>
    <w:rsid w:val="006F63A5"/>
    <w:rsid w:val="007017F9"/>
    <w:rsid w:val="0070276E"/>
    <w:rsid w:val="00702F8F"/>
    <w:rsid w:val="007036D7"/>
    <w:rsid w:val="00703A7D"/>
    <w:rsid w:val="00704137"/>
    <w:rsid w:val="00704C7B"/>
    <w:rsid w:val="00704FDE"/>
    <w:rsid w:val="00705432"/>
    <w:rsid w:val="00706A62"/>
    <w:rsid w:val="00706BB2"/>
    <w:rsid w:val="00707DE4"/>
    <w:rsid w:val="007110B9"/>
    <w:rsid w:val="00711A36"/>
    <w:rsid w:val="00712AAB"/>
    <w:rsid w:val="00712E66"/>
    <w:rsid w:val="00713917"/>
    <w:rsid w:val="00714CFD"/>
    <w:rsid w:val="00715DFC"/>
    <w:rsid w:val="007160A4"/>
    <w:rsid w:val="00716606"/>
    <w:rsid w:val="007172AD"/>
    <w:rsid w:val="007178AB"/>
    <w:rsid w:val="00717A4F"/>
    <w:rsid w:val="007217C1"/>
    <w:rsid w:val="00722E15"/>
    <w:rsid w:val="0072416F"/>
    <w:rsid w:val="0072421A"/>
    <w:rsid w:val="007259D1"/>
    <w:rsid w:val="00727227"/>
    <w:rsid w:val="00727651"/>
    <w:rsid w:val="00730249"/>
    <w:rsid w:val="00732358"/>
    <w:rsid w:val="00732474"/>
    <w:rsid w:val="0073296B"/>
    <w:rsid w:val="007334AC"/>
    <w:rsid w:val="00733B66"/>
    <w:rsid w:val="00735328"/>
    <w:rsid w:val="0073539B"/>
    <w:rsid w:val="00736644"/>
    <w:rsid w:val="0073685B"/>
    <w:rsid w:val="0073796C"/>
    <w:rsid w:val="007409DB"/>
    <w:rsid w:val="0074105D"/>
    <w:rsid w:val="0074156D"/>
    <w:rsid w:val="00742E5E"/>
    <w:rsid w:val="00742FD4"/>
    <w:rsid w:val="0074392B"/>
    <w:rsid w:val="00743D6E"/>
    <w:rsid w:val="00744587"/>
    <w:rsid w:val="007445CD"/>
    <w:rsid w:val="007448D0"/>
    <w:rsid w:val="00744FDF"/>
    <w:rsid w:val="00746F04"/>
    <w:rsid w:val="0074784D"/>
    <w:rsid w:val="00750047"/>
    <w:rsid w:val="00750840"/>
    <w:rsid w:val="00750917"/>
    <w:rsid w:val="00750AC9"/>
    <w:rsid w:val="0075153E"/>
    <w:rsid w:val="007517BA"/>
    <w:rsid w:val="007537D1"/>
    <w:rsid w:val="0075551E"/>
    <w:rsid w:val="00756A3B"/>
    <w:rsid w:val="00756D6E"/>
    <w:rsid w:val="0075734A"/>
    <w:rsid w:val="00757C3E"/>
    <w:rsid w:val="00761611"/>
    <w:rsid w:val="00761F36"/>
    <w:rsid w:val="007630A9"/>
    <w:rsid w:val="007634AA"/>
    <w:rsid w:val="00763BA8"/>
    <w:rsid w:val="00763FD2"/>
    <w:rsid w:val="00764E1C"/>
    <w:rsid w:val="007654A8"/>
    <w:rsid w:val="00766E32"/>
    <w:rsid w:val="00772D7A"/>
    <w:rsid w:val="00773632"/>
    <w:rsid w:val="0077377A"/>
    <w:rsid w:val="00777101"/>
    <w:rsid w:val="007825DE"/>
    <w:rsid w:val="00782C76"/>
    <w:rsid w:val="00783371"/>
    <w:rsid w:val="007837ED"/>
    <w:rsid w:val="00785622"/>
    <w:rsid w:val="00785BD3"/>
    <w:rsid w:val="00785C7C"/>
    <w:rsid w:val="00786ACC"/>
    <w:rsid w:val="00787ADB"/>
    <w:rsid w:val="00790405"/>
    <w:rsid w:val="00791172"/>
    <w:rsid w:val="00791F6C"/>
    <w:rsid w:val="00794416"/>
    <w:rsid w:val="00794C3A"/>
    <w:rsid w:val="007959CD"/>
    <w:rsid w:val="00796E0E"/>
    <w:rsid w:val="007A0A12"/>
    <w:rsid w:val="007A14AF"/>
    <w:rsid w:val="007A24D9"/>
    <w:rsid w:val="007A2FC5"/>
    <w:rsid w:val="007A3DD6"/>
    <w:rsid w:val="007A5BBF"/>
    <w:rsid w:val="007A5F58"/>
    <w:rsid w:val="007A76D6"/>
    <w:rsid w:val="007A7A27"/>
    <w:rsid w:val="007B0175"/>
    <w:rsid w:val="007B02BE"/>
    <w:rsid w:val="007B0302"/>
    <w:rsid w:val="007B1103"/>
    <w:rsid w:val="007B1F98"/>
    <w:rsid w:val="007B251D"/>
    <w:rsid w:val="007B2829"/>
    <w:rsid w:val="007B28EA"/>
    <w:rsid w:val="007B309F"/>
    <w:rsid w:val="007B4A2C"/>
    <w:rsid w:val="007B4E20"/>
    <w:rsid w:val="007B6CEE"/>
    <w:rsid w:val="007B77D1"/>
    <w:rsid w:val="007B7F2A"/>
    <w:rsid w:val="007C00C8"/>
    <w:rsid w:val="007C13CB"/>
    <w:rsid w:val="007C1D36"/>
    <w:rsid w:val="007C2D2A"/>
    <w:rsid w:val="007C300B"/>
    <w:rsid w:val="007C361D"/>
    <w:rsid w:val="007C42DC"/>
    <w:rsid w:val="007C458D"/>
    <w:rsid w:val="007C4988"/>
    <w:rsid w:val="007C7800"/>
    <w:rsid w:val="007D0B38"/>
    <w:rsid w:val="007D0E49"/>
    <w:rsid w:val="007D11EC"/>
    <w:rsid w:val="007D1DD4"/>
    <w:rsid w:val="007D37FF"/>
    <w:rsid w:val="007D50BB"/>
    <w:rsid w:val="007D5221"/>
    <w:rsid w:val="007D5B33"/>
    <w:rsid w:val="007D5E5C"/>
    <w:rsid w:val="007E0390"/>
    <w:rsid w:val="007E1B34"/>
    <w:rsid w:val="007E3E1F"/>
    <w:rsid w:val="007E463F"/>
    <w:rsid w:val="007E49C6"/>
    <w:rsid w:val="007E6AF3"/>
    <w:rsid w:val="007E731B"/>
    <w:rsid w:val="007E75DA"/>
    <w:rsid w:val="007E770D"/>
    <w:rsid w:val="007F0A16"/>
    <w:rsid w:val="007F1017"/>
    <w:rsid w:val="007F18A2"/>
    <w:rsid w:val="007F3033"/>
    <w:rsid w:val="007F3643"/>
    <w:rsid w:val="007F3A31"/>
    <w:rsid w:val="007F3F51"/>
    <w:rsid w:val="007F4A3F"/>
    <w:rsid w:val="007F4F0B"/>
    <w:rsid w:val="007F5B53"/>
    <w:rsid w:val="007F7654"/>
    <w:rsid w:val="007F7D43"/>
    <w:rsid w:val="00800257"/>
    <w:rsid w:val="008016D7"/>
    <w:rsid w:val="0080182E"/>
    <w:rsid w:val="00803DF1"/>
    <w:rsid w:val="00805142"/>
    <w:rsid w:val="00805455"/>
    <w:rsid w:val="00805A74"/>
    <w:rsid w:val="00807A8B"/>
    <w:rsid w:val="00807B5A"/>
    <w:rsid w:val="00810BB9"/>
    <w:rsid w:val="00812149"/>
    <w:rsid w:val="0081483E"/>
    <w:rsid w:val="00814A73"/>
    <w:rsid w:val="00814ED6"/>
    <w:rsid w:val="008166EF"/>
    <w:rsid w:val="00816AB3"/>
    <w:rsid w:val="00817A09"/>
    <w:rsid w:val="00820EAF"/>
    <w:rsid w:val="00821FAD"/>
    <w:rsid w:val="00822FFF"/>
    <w:rsid w:val="008236BF"/>
    <w:rsid w:val="008237E0"/>
    <w:rsid w:val="00824371"/>
    <w:rsid w:val="00825915"/>
    <w:rsid w:val="008264EB"/>
    <w:rsid w:val="00830531"/>
    <w:rsid w:val="008318C9"/>
    <w:rsid w:val="00832683"/>
    <w:rsid w:val="008329D9"/>
    <w:rsid w:val="00832AB9"/>
    <w:rsid w:val="00833B05"/>
    <w:rsid w:val="00834822"/>
    <w:rsid w:val="00834C90"/>
    <w:rsid w:val="0083656B"/>
    <w:rsid w:val="008366B2"/>
    <w:rsid w:val="00836C1A"/>
    <w:rsid w:val="00837125"/>
    <w:rsid w:val="00837D45"/>
    <w:rsid w:val="00840CA2"/>
    <w:rsid w:val="00842DA0"/>
    <w:rsid w:val="00843ACA"/>
    <w:rsid w:val="00843EF3"/>
    <w:rsid w:val="00844697"/>
    <w:rsid w:val="00846553"/>
    <w:rsid w:val="00846C3C"/>
    <w:rsid w:val="0084777B"/>
    <w:rsid w:val="008479D7"/>
    <w:rsid w:val="00851AC8"/>
    <w:rsid w:val="00854717"/>
    <w:rsid w:val="00854B40"/>
    <w:rsid w:val="0085559E"/>
    <w:rsid w:val="0085604A"/>
    <w:rsid w:val="00856E9A"/>
    <w:rsid w:val="00860CAE"/>
    <w:rsid w:val="00860D8A"/>
    <w:rsid w:val="00860D9F"/>
    <w:rsid w:val="00862502"/>
    <w:rsid w:val="008649D3"/>
    <w:rsid w:val="00864BFE"/>
    <w:rsid w:val="00864EAE"/>
    <w:rsid w:val="008708B8"/>
    <w:rsid w:val="00870CAB"/>
    <w:rsid w:val="0087140D"/>
    <w:rsid w:val="008721D1"/>
    <w:rsid w:val="008730FD"/>
    <w:rsid w:val="00873BBB"/>
    <w:rsid w:val="00873CF8"/>
    <w:rsid w:val="008751BF"/>
    <w:rsid w:val="008752D3"/>
    <w:rsid w:val="00876AC6"/>
    <w:rsid w:val="00876D81"/>
    <w:rsid w:val="00877244"/>
    <w:rsid w:val="0088061F"/>
    <w:rsid w:val="0088242F"/>
    <w:rsid w:val="00882874"/>
    <w:rsid w:val="00882B78"/>
    <w:rsid w:val="008832F4"/>
    <w:rsid w:val="008833DA"/>
    <w:rsid w:val="00883787"/>
    <w:rsid w:val="00883E67"/>
    <w:rsid w:val="00884F01"/>
    <w:rsid w:val="00886419"/>
    <w:rsid w:val="00886E00"/>
    <w:rsid w:val="0088791E"/>
    <w:rsid w:val="00890E39"/>
    <w:rsid w:val="0089147E"/>
    <w:rsid w:val="00891A08"/>
    <w:rsid w:val="00892805"/>
    <w:rsid w:val="00892B1F"/>
    <w:rsid w:val="00893F58"/>
    <w:rsid w:val="0089402C"/>
    <w:rsid w:val="00894489"/>
    <w:rsid w:val="00894AAD"/>
    <w:rsid w:val="0089524D"/>
    <w:rsid w:val="00895596"/>
    <w:rsid w:val="0089585D"/>
    <w:rsid w:val="008963A5"/>
    <w:rsid w:val="008A001B"/>
    <w:rsid w:val="008A0374"/>
    <w:rsid w:val="008A179A"/>
    <w:rsid w:val="008A1DA3"/>
    <w:rsid w:val="008A350C"/>
    <w:rsid w:val="008A3C3E"/>
    <w:rsid w:val="008A40FF"/>
    <w:rsid w:val="008A46D8"/>
    <w:rsid w:val="008A4DF0"/>
    <w:rsid w:val="008A4E71"/>
    <w:rsid w:val="008A5B29"/>
    <w:rsid w:val="008A5E68"/>
    <w:rsid w:val="008A6C46"/>
    <w:rsid w:val="008A7657"/>
    <w:rsid w:val="008A79DE"/>
    <w:rsid w:val="008B1F8F"/>
    <w:rsid w:val="008B21A8"/>
    <w:rsid w:val="008B345D"/>
    <w:rsid w:val="008B3DE6"/>
    <w:rsid w:val="008B426A"/>
    <w:rsid w:val="008B4C57"/>
    <w:rsid w:val="008B5264"/>
    <w:rsid w:val="008B5B04"/>
    <w:rsid w:val="008B7D7E"/>
    <w:rsid w:val="008C0BFA"/>
    <w:rsid w:val="008C2357"/>
    <w:rsid w:val="008C295E"/>
    <w:rsid w:val="008C3158"/>
    <w:rsid w:val="008C4C93"/>
    <w:rsid w:val="008C4E25"/>
    <w:rsid w:val="008C5A98"/>
    <w:rsid w:val="008C7A1A"/>
    <w:rsid w:val="008C7ECB"/>
    <w:rsid w:val="008D1229"/>
    <w:rsid w:val="008D2BBD"/>
    <w:rsid w:val="008D2CA5"/>
    <w:rsid w:val="008D2CAB"/>
    <w:rsid w:val="008D499F"/>
    <w:rsid w:val="008D5056"/>
    <w:rsid w:val="008D5A79"/>
    <w:rsid w:val="008D5C27"/>
    <w:rsid w:val="008E0D10"/>
    <w:rsid w:val="008E1B9E"/>
    <w:rsid w:val="008E5885"/>
    <w:rsid w:val="008E7B45"/>
    <w:rsid w:val="008F01AE"/>
    <w:rsid w:val="008F0A1F"/>
    <w:rsid w:val="008F0CEB"/>
    <w:rsid w:val="008F120A"/>
    <w:rsid w:val="008F2634"/>
    <w:rsid w:val="008F48EB"/>
    <w:rsid w:val="008F4F0B"/>
    <w:rsid w:val="008F51D8"/>
    <w:rsid w:val="008F69E6"/>
    <w:rsid w:val="008F7264"/>
    <w:rsid w:val="009005D2"/>
    <w:rsid w:val="00900906"/>
    <w:rsid w:val="00902912"/>
    <w:rsid w:val="00902CB5"/>
    <w:rsid w:val="009042E3"/>
    <w:rsid w:val="00904983"/>
    <w:rsid w:val="00905AFA"/>
    <w:rsid w:val="009062A5"/>
    <w:rsid w:val="0090650F"/>
    <w:rsid w:val="00906736"/>
    <w:rsid w:val="0090685E"/>
    <w:rsid w:val="00906EBF"/>
    <w:rsid w:val="00910288"/>
    <w:rsid w:val="00911272"/>
    <w:rsid w:val="0091179E"/>
    <w:rsid w:val="00911BB6"/>
    <w:rsid w:val="00915101"/>
    <w:rsid w:val="00915F2A"/>
    <w:rsid w:val="00916421"/>
    <w:rsid w:val="00916C87"/>
    <w:rsid w:val="00917A6D"/>
    <w:rsid w:val="0092014C"/>
    <w:rsid w:val="00921F35"/>
    <w:rsid w:val="009251C7"/>
    <w:rsid w:val="00926517"/>
    <w:rsid w:val="00926F0A"/>
    <w:rsid w:val="0092718C"/>
    <w:rsid w:val="009272DE"/>
    <w:rsid w:val="00930696"/>
    <w:rsid w:val="00931224"/>
    <w:rsid w:val="00932461"/>
    <w:rsid w:val="009338A5"/>
    <w:rsid w:val="00933B75"/>
    <w:rsid w:val="009352BF"/>
    <w:rsid w:val="00936B54"/>
    <w:rsid w:val="00941383"/>
    <w:rsid w:val="00941608"/>
    <w:rsid w:val="00943725"/>
    <w:rsid w:val="00943FF7"/>
    <w:rsid w:val="0094409A"/>
    <w:rsid w:val="0094434A"/>
    <w:rsid w:val="0094474A"/>
    <w:rsid w:val="009450A1"/>
    <w:rsid w:val="0095049C"/>
    <w:rsid w:val="00952539"/>
    <w:rsid w:val="00952AE0"/>
    <w:rsid w:val="00953954"/>
    <w:rsid w:val="00953E52"/>
    <w:rsid w:val="00954DDB"/>
    <w:rsid w:val="00956E6B"/>
    <w:rsid w:val="00961182"/>
    <w:rsid w:val="00961647"/>
    <w:rsid w:val="00962CB9"/>
    <w:rsid w:val="00962E27"/>
    <w:rsid w:val="00964312"/>
    <w:rsid w:val="009643D0"/>
    <w:rsid w:val="00964D42"/>
    <w:rsid w:val="009650DB"/>
    <w:rsid w:val="00965A46"/>
    <w:rsid w:val="00965ABD"/>
    <w:rsid w:val="00965DE8"/>
    <w:rsid w:val="00966A9B"/>
    <w:rsid w:val="00970B1F"/>
    <w:rsid w:val="00971D2E"/>
    <w:rsid w:val="00972BEB"/>
    <w:rsid w:val="00976ACA"/>
    <w:rsid w:val="0098156B"/>
    <w:rsid w:val="00981A38"/>
    <w:rsid w:val="0098219E"/>
    <w:rsid w:val="00983E57"/>
    <w:rsid w:val="0098483C"/>
    <w:rsid w:val="0099122B"/>
    <w:rsid w:val="00991D8C"/>
    <w:rsid w:val="009924D9"/>
    <w:rsid w:val="00993B8C"/>
    <w:rsid w:val="00995FDE"/>
    <w:rsid w:val="00996B1A"/>
    <w:rsid w:val="00996DA3"/>
    <w:rsid w:val="0099714D"/>
    <w:rsid w:val="009A1A9B"/>
    <w:rsid w:val="009A1DF5"/>
    <w:rsid w:val="009A2335"/>
    <w:rsid w:val="009A2473"/>
    <w:rsid w:val="009A3CEE"/>
    <w:rsid w:val="009A3DC8"/>
    <w:rsid w:val="009A5441"/>
    <w:rsid w:val="009A613F"/>
    <w:rsid w:val="009A6168"/>
    <w:rsid w:val="009A6CCE"/>
    <w:rsid w:val="009A7B4D"/>
    <w:rsid w:val="009A7FD9"/>
    <w:rsid w:val="009B0901"/>
    <w:rsid w:val="009B098E"/>
    <w:rsid w:val="009B15F9"/>
    <w:rsid w:val="009B3E26"/>
    <w:rsid w:val="009B44AB"/>
    <w:rsid w:val="009B4DDC"/>
    <w:rsid w:val="009B6D01"/>
    <w:rsid w:val="009B75B0"/>
    <w:rsid w:val="009C0707"/>
    <w:rsid w:val="009C0847"/>
    <w:rsid w:val="009C1590"/>
    <w:rsid w:val="009C2316"/>
    <w:rsid w:val="009C4107"/>
    <w:rsid w:val="009C46FA"/>
    <w:rsid w:val="009C6644"/>
    <w:rsid w:val="009D0476"/>
    <w:rsid w:val="009D0DB8"/>
    <w:rsid w:val="009D185D"/>
    <w:rsid w:val="009D223B"/>
    <w:rsid w:val="009D2C15"/>
    <w:rsid w:val="009D2DF1"/>
    <w:rsid w:val="009D5B91"/>
    <w:rsid w:val="009D73B2"/>
    <w:rsid w:val="009D78AB"/>
    <w:rsid w:val="009E066B"/>
    <w:rsid w:val="009E26B4"/>
    <w:rsid w:val="009E36E2"/>
    <w:rsid w:val="009E4C07"/>
    <w:rsid w:val="009E4C2C"/>
    <w:rsid w:val="009E5380"/>
    <w:rsid w:val="009E702C"/>
    <w:rsid w:val="009E744D"/>
    <w:rsid w:val="009E7542"/>
    <w:rsid w:val="009F0888"/>
    <w:rsid w:val="009F1DE4"/>
    <w:rsid w:val="009F23B2"/>
    <w:rsid w:val="009F293B"/>
    <w:rsid w:val="009F2CA4"/>
    <w:rsid w:val="009F4411"/>
    <w:rsid w:val="009F4993"/>
    <w:rsid w:val="009F53FB"/>
    <w:rsid w:val="009F6649"/>
    <w:rsid w:val="009F675E"/>
    <w:rsid w:val="009F7518"/>
    <w:rsid w:val="009F7842"/>
    <w:rsid w:val="00A01E5C"/>
    <w:rsid w:val="00A01FF0"/>
    <w:rsid w:val="00A034B3"/>
    <w:rsid w:val="00A03D43"/>
    <w:rsid w:val="00A04380"/>
    <w:rsid w:val="00A04AEA"/>
    <w:rsid w:val="00A04EA1"/>
    <w:rsid w:val="00A078D6"/>
    <w:rsid w:val="00A07ACA"/>
    <w:rsid w:val="00A1192A"/>
    <w:rsid w:val="00A127A9"/>
    <w:rsid w:val="00A13549"/>
    <w:rsid w:val="00A13948"/>
    <w:rsid w:val="00A14CF5"/>
    <w:rsid w:val="00A16F3C"/>
    <w:rsid w:val="00A17A7C"/>
    <w:rsid w:val="00A2547B"/>
    <w:rsid w:val="00A2568F"/>
    <w:rsid w:val="00A2599B"/>
    <w:rsid w:val="00A25FD1"/>
    <w:rsid w:val="00A266CC"/>
    <w:rsid w:val="00A2685D"/>
    <w:rsid w:val="00A27AEC"/>
    <w:rsid w:val="00A301C3"/>
    <w:rsid w:val="00A30DF8"/>
    <w:rsid w:val="00A3137A"/>
    <w:rsid w:val="00A31512"/>
    <w:rsid w:val="00A3390A"/>
    <w:rsid w:val="00A33B4A"/>
    <w:rsid w:val="00A347D2"/>
    <w:rsid w:val="00A356DA"/>
    <w:rsid w:val="00A35D16"/>
    <w:rsid w:val="00A366ED"/>
    <w:rsid w:val="00A37460"/>
    <w:rsid w:val="00A40DED"/>
    <w:rsid w:val="00A428D5"/>
    <w:rsid w:val="00A43BA2"/>
    <w:rsid w:val="00A43C59"/>
    <w:rsid w:val="00A45204"/>
    <w:rsid w:val="00A471F4"/>
    <w:rsid w:val="00A5000C"/>
    <w:rsid w:val="00A50ECD"/>
    <w:rsid w:val="00A5200E"/>
    <w:rsid w:val="00A52729"/>
    <w:rsid w:val="00A53675"/>
    <w:rsid w:val="00A5393C"/>
    <w:rsid w:val="00A53B8E"/>
    <w:rsid w:val="00A53F53"/>
    <w:rsid w:val="00A54CFF"/>
    <w:rsid w:val="00A55162"/>
    <w:rsid w:val="00A55E5C"/>
    <w:rsid w:val="00A5638D"/>
    <w:rsid w:val="00A56B6A"/>
    <w:rsid w:val="00A56DE2"/>
    <w:rsid w:val="00A578DC"/>
    <w:rsid w:val="00A57E5C"/>
    <w:rsid w:val="00A60A03"/>
    <w:rsid w:val="00A623E8"/>
    <w:rsid w:val="00A6257B"/>
    <w:rsid w:val="00A63589"/>
    <w:rsid w:val="00A66471"/>
    <w:rsid w:val="00A66D42"/>
    <w:rsid w:val="00A6705D"/>
    <w:rsid w:val="00A6725B"/>
    <w:rsid w:val="00A67A86"/>
    <w:rsid w:val="00A67FA8"/>
    <w:rsid w:val="00A70D41"/>
    <w:rsid w:val="00A73FAB"/>
    <w:rsid w:val="00A74613"/>
    <w:rsid w:val="00A74C5D"/>
    <w:rsid w:val="00A76717"/>
    <w:rsid w:val="00A76E9E"/>
    <w:rsid w:val="00A8002E"/>
    <w:rsid w:val="00A810A1"/>
    <w:rsid w:val="00A81124"/>
    <w:rsid w:val="00A813C7"/>
    <w:rsid w:val="00A81A72"/>
    <w:rsid w:val="00A823FC"/>
    <w:rsid w:val="00A82801"/>
    <w:rsid w:val="00A82AF9"/>
    <w:rsid w:val="00A83508"/>
    <w:rsid w:val="00A83A1C"/>
    <w:rsid w:val="00A867C3"/>
    <w:rsid w:val="00A86E8B"/>
    <w:rsid w:val="00A91053"/>
    <w:rsid w:val="00A91580"/>
    <w:rsid w:val="00A93072"/>
    <w:rsid w:val="00A9491D"/>
    <w:rsid w:val="00A959D8"/>
    <w:rsid w:val="00A966F6"/>
    <w:rsid w:val="00A96A17"/>
    <w:rsid w:val="00A97159"/>
    <w:rsid w:val="00A97669"/>
    <w:rsid w:val="00A97B9D"/>
    <w:rsid w:val="00A97EF2"/>
    <w:rsid w:val="00AA0286"/>
    <w:rsid w:val="00AA0405"/>
    <w:rsid w:val="00AA0637"/>
    <w:rsid w:val="00AA26D4"/>
    <w:rsid w:val="00AA2D32"/>
    <w:rsid w:val="00AA2DB7"/>
    <w:rsid w:val="00AA30E4"/>
    <w:rsid w:val="00AA31F3"/>
    <w:rsid w:val="00AA436E"/>
    <w:rsid w:val="00AA49D4"/>
    <w:rsid w:val="00AA4D00"/>
    <w:rsid w:val="00AA4D3A"/>
    <w:rsid w:val="00AA4D50"/>
    <w:rsid w:val="00AA5168"/>
    <w:rsid w:val="00AA667A"/>
    <w:rsid w:val="00AB042A"/>
    <w:rsid w:val="00AB1458"/>
    <w:rsid w:val="00AB17F0"/>
    <w:rsid w:val="00AB2152"/>
    <w:rsid w:val="00AB2D34"/>
    <w:rsid w:val="00AB31D5"/>
    <w:rsid w:val="00AB3430"/>
    <w:rsid w:val="00AB3658"/>
    <w:rsid w:val="00AB3FF3"/>
    <w:rsid w:val="00AB48BD"/>
    <w:rsid w:val="00AB52D8"/>
    <w:rsid w:val="00AB571C"/>
    <w:rsid w:val="00AB68EB"/>
    <w:rsid w:val="00AB738C"/>
    <w:rsid w:val="00AB7CFA"/>
    <w:rsid w:val="00AC1C84"/>
    <w:rsid w:val="00AC4D83"/>
    <w:rsid w:val="00AC65DB"/>
    <w:rsid w:val="00AD082C"/>
    <w:rsid w:val="00AD08D3"/>
    <w:rsid w:val="00AD43B9"/>
    <w:rsid w:val="00AD4546"/>
    <w:rsid w:val="00AD5EFB"/>
    <w:rsid w:val="00AD617F"/>
    <w:rsid w:val="00AD6BE2"/>
    <w:rsid w:val="00AD6C75"/>
    <w:rsid w:val="00AD6D33"/>
    <w:rsid w:val="00AD79F8"/>
    <w:rsid w:val="00AE066A"/>
    <w:rsid w:val="00AE089F"/>
    <w:rsid w:val="00AE1651"/>
    <w:rsid w:val="00AE19AB"/>
    <w:rsid w:val="00AE1A87"/>
    <w:rsid w:val="00AE1BA0"/>
    <w:rsid w:val="00AE3A4B"/>
    <w:rsid w:val="00AE3D9C"/>
    <w:rsid w:val="00AE5286"/>
    <w:rsid w:val="00AE571A"/>
    <w:rsid w:val="00AE5833"/>
    <w:rsid w:val="00AE59B4"/>
    <w:rsid w:val="00AE7488"/>
    <w:rsid w:val="00AE756A"/>
    <w:rsid w:val="00B01EFC"/>
    <w:rsid w:val="00B02F4F"/>
    <w:rsid w:val="00B04F97"/>
    <w:rsid w:val="00B0616A"/>
    <w:rsid w:val="00B068BE"/>
    <w:rsid w:val="00B07DFD"/>
    <w:rsid w:val="00B11C4D"/>
    <w:rsid w:val="00B1411F"/>
    <w:rsid w:val="00B153EB"/>
    <w:rsid w:val="00B1725A"/>
    <w:rsid w:val="00B17BAD"/>
    <w:rsid w:val="00B201A4"/>
    <w:rsid w:val="00B21E33"/>
    <w:rsid w:val="00B21F0F"/>
    <w:rsid w:val="00B23B58"/>
    <w:rsid w:val="00B24A61"/>
    <w:rsid w:val="00B25069"/>
    <w:rsid w:val="00B2526D"/>
    <w:rsid w:val="00B257BE"/>
    <w:rsid w:val="00B2607D"/>
    <w:rsid w:val="00B262E7"/>
    <w:rsid w:val="00B26A63"/>
    <w:rsid w:val="00B2791D"/>
    <w:rsid w:val="00B322E7"/>
    <w:rsid w:val="00B32CDA"/>
    <w:rsid w:val="00B337DF"/>
    <w:rsid w:val="00B33AEF"/>
    <w:rsid w:val="00B33C5F"/>
    <w:rsid w:val="00B33CA3"/>
    <w:rsid w:val="00B35CE7"/>
    <w:rsid w:val="00B3703D"/>
    <w:rsid w:val="00B3727D"/>
    <w:rsid w:val="00B3747C"/>
    <w:rsid w:val="00B3751D"/>
    <w:rsid w:val="00B3762A"/>
    <w:rsid w:val="00B379D9"/>
    <w:rsid w:val="00B4234D"/>
    <w:rsid w:val="00B4253A"/>
    <w:rsid w:val="00B42851"/>
    <w:rsid w:val="00B438DF"/>
    <w:rsid w:val="00B44B70"/>
    <w:rsid w:val="00B45B49"/>
    <w:rsid w:val="00B46F42"/>
    <w:rsid w:val="00B476EA"/>
    <w:rsid w:val="00B5044F"/>
    <w:rsid w:val="00B50DB8"/>
    <w:rsid w:val="00B50F93"/>
    <w:rsid w:val="00B512ED"/>
    <w:rsid w:val="00B51F03"/>
    <w:rsid w:val="00B52C2C"/>
    <w:rsid w:val="00B53905"/>
    <w:rsid w:val="00B53A01"/>
    <w:rsid w:val="00B54B5B"/>
    <w:rsid w:val="00B5562E"/>
    <w:rsid w:val="00B57000"/>
    <w:rsid w:val="00B5739A"/>
    <w:rsid w:val="00B5740D"/>
    <w:rsid w:val="00B60939"/>
    <w:rsid w:val="00B60AFD"/>
    <w:rsid w:val="00B60D44"/>
    <w:rsid w:val="00B62715"/>
    <w:rsid w:val="00B630C2"/>
    <w:rsid w:val="00B64D46"/>
    <w:rsid w:val="00B65540"/>
    <w:rsid w:val="00B66AD4"/>
    <w:rsid w:val="00B67E50"/>
    <w:rsid w:val="00B70313"/>
    <w:rsid w:val="00B705AE"/>
    <w:rsid w:val="00B71F01"/>
    <w:rsid w:val="00B73A39"/>
    <w:rsid w:val="00B751F0"/>
    <w:rsid w:val="00B818A4"/>
    <w:rsid w:val="00B8445C"/>
    <w:rsid w:val="00B847B5"/>
    <w:rsid w:val="00B85D1F"/>
    <w:rsid w:val="00B8649C"/>
    <w:rsid w:val="00B86A74"/>
    <w:rsid w:val="00B86D3F"/>
    <w:rsid w:val="00B87929"/>
    <w:rsid w:val="00B87FD4"/>
    <w:rsid w:val="00B90316"/>
    <w:rsid w:val="00B9064A"/>
    <w:rsid w:val="00B91359"/>
    <w:rsid w:val="00B92035"/>
    <w:rsid w:val="00B9234F"/>
    <w:rsid w:val="00B92D0B"/>
    <w:rsid w:val="00B93501"/>
    <w:rsid w:val="00B938E4"/>
    <w:rsid w:val="00B94945"/>
    <w:rsid w:val="00B95D09"/>
    <w:rsid w:val="00B95E2C"/>
    <w:rsid w:val="00B962E1"/>
    <w:rsid w:val="00B96C8C"/>
    <w:rsid w:val="00B96F88"/>
    <w:rsid w:val="00B9711F"/>
    <w:rsid w:val="00BA14F7"/>
    <w:rsid w:val="00BA214B"/>
    <w:rsid w:val="00BA6E47"/>
    <w:rsid w:val="00BA7F65"/>
    <w:rsid w:val="00BB13CB"/>
    <w:rsid w:val="00BB1A84"/>
    <w:rsid w:val="00BB25DA"/>
    <w:rsid w:val="00BB28C3"/>
    <w:rsid w:val="00BB29C1"/>
    <w:rsid w:val="00BB312D"/>
    <w:rsid w:val="00BB325C"/>
    <w:rsid w:val="00BB33EB"/>
    <w:rsid w:val="00BB37AB"/>
    <w:rsid w:val="00BB42ED"/>
    <w:rsid w:val="00BB5233"/>
    <w:rsid w:val="00BB7405"/>
    <w:rsid w:val="00BB7F3B"/>
    <w:rsid w:val="00BC0F4C"/>
    <w:rsid w:val="00BC16EE"/>
    <w:rsid w:val="00BC2000"/>
    <w:rsid w:val="00BC371A"/>
    <w:rsid w:val="00BC40AC"/>
    <w:rsid w:val="00BC62D0"/>
    <w:rsid w:val="00BC670A"/>
    <w:rsid w:val="00BC6C94"/>
    <w:rsid w:val="00BC7804"/>
    <w:rsid w:val="00BD25AE"/>
    <w:rsid w:val="00BD5342"/>
    <w:rsid w:val="00BD5519"/>
    <w:rsid w:val="00BD5BA4"/>
    <w:rsid w:val="00BD631C"/>
    <w:rsid w:val="00BD6CF3"/>
    <w:rsid w:val="00BD7795"/>
    <w:rsid w:val="00BD7957"/>
    <w:rsid w:val="00BD7B3E"/>
    <w:rsid w:val="00BE0C61"/>
    <w:rsid w:val="00BE2180"/>
    <w:rsid w:val="00BE26CE"/>
    <w:rsid w:val="00BE34D1"/>
    <w:rsid w:val="00BE3921"/>
    <w:rsid w:val="00BE3FAB"/>
    <w:rsid w:val="00BE4275"/>
    <w:rsid w:val="00BE55D7"/>
    <w:rsid w:val="00BE59F2"/>
    <w:rsid w:val="00BE721F"/>
    <w:rsid w:val="00BE77DA"/>
    <w:rsid w:val="00BE7ECD"/>
    <w:rsid w:val="00BF03E1"/>
    <w:rsid w:val="00BF072B"/>
    <w:rsid w:val="00BF08B7"/>
    <w:rsid w:val="00BF0CB3"/>
    <w:rsid w:val="00BF0DBE"/>
    <w:rsid w:val="00BF145B"/>
    <w:rsid w:val="00BF171F"/>
    <w:rsid w:val="00BF1CDF"/>
    <w:rsid w:val="00BF2433"/>
    <w:rsid w:val="00BF3418"/>
    <w:rsid w:val="00BF37A0"/>
    <w:rsid w:val="00BF4211"/>
    <w:rsid w:val="00BF44B6"/>
    <w:rsid w:val="00BF551C"/>
    <w:rsid w:val="00BF5DC2"/>
    <w:rsid w:val="00BF61C9"/>
    <w:rsid w:val="00C02E77"/>
    <w:rsid w:val="00C04311"/>
    <w:rsid w:val="00C046B8"/>
    <w:rsid w:val="00C06DE3"/>
    <w:rsid w:val="00C161E9"/>
    <w:rsid w:val="00C20579"/>
    <w:rsid w:val="00C2057B"/>
    <w:rsid w:val="00C21115"/>
    <w:rsid w:val="00C21DA0"/>
    <w:rsid w:val="00C2239F"/>
    <w:rsid w:val="00C23B15"/>
    <w:rsid w:val="00C25418"/>
    <w:rsid w:val="00C25857"/>
    <w:rsid w:val="00C25B70"/>
    <w:rsid w:val="00C25D9C"/>
    <w:rsid w:val="00C26497"/>
    <w:rsid w:val="00C270E0"/>
    <w:rsid w:val="00C27E22"/>
    <w:rsid w:val="00C31649"/>
    <w:rsid w:val="00C32CB7"/>
    <w:rsid w:val="00C32F89"/>
    <w:rsid w:val="00C339F6"/>
    <w:rsid w:val="00C343B6"/>
    <w:rsid w:val="00C35B5D"/>
    <w:rsid w:val="00C35E74"/>
    <w:rsid w:val="00C36295"/>
    <w:rsid w:val="00C37A13"/>
    <w:rsid w:val="00C40385"/>
    <w:rsid w:val="00C415FD"/>
    <w:rsid w:val="00C417EA"/>
    <w:rsid w:val="00C4182D"/>
    <w:rsid w:val="00C41AEF"/>
    <w:rsid w:val="00C41C4A"/>
    <w:rsid w:val="00C4205D"/>
    <w:rsid w:val="00C42F91"/>
    <w:rsid w:val="00C43150"/>
    <w:rsid w:val="00C438CC"/>
    <w:rsid w:val="00C4571D"/>
    <w:rsid w:val="00C46817"/>
    <w:rsid w:val="00C47D29"/>
    <w:rsid w:val="00C5298C"/>
    <w:rsid w:val="00C5397F"/>
    <w:rsid w:val="00C551CA"/>
    <w:rsid w:val="00C55437"/>
    <w:rsid w:val="00C570E0"/>
    <w:rsid w:val="00C5735A"/>
    <w:rsid w:val="00C57849"/>
    <w:rsid w:val="00C61C1F"/>
    <w:rsid w:val="00C620DF"/>
    <w:rsid w:val="00C62113"/>
    <w:rsid w:val="00C623F5"/>
    <w:rsid w:val="00C63339"/>
    <w:rsid w:val="00C63E3C"/>
    <w:rsid w:val="00C64957"/>
    <w:rsid w:val="00C65576"/>
    <w:rsid w:val="00C66165"/>
    <w:rsid w:val="00C66F7F"/>
    <w:rsid w:val="00C6722D"/>
    <w:rsid w:val="00C70D40"/>
    <w:rsid w:val="00C71029"/>
    <w:rsid w:val="00C7372C"/>
    <w:rsid w:val="00C73996"/>
    <w:rsid w:val="00C73BEE"/>
    <w:rsid w:val="00C740E9"/>
    <w:rsid w:val="00C750C8"/>
    <w:rsid w:val="00C75758"/>
    <w:rsid w:val="00C759A8"/>
    <w:rsid w:val="00C769FC"/>
    <w:rsid w:val="00C7792A"/>
    <w:rsid w:val="00C77A6C"/>
    <w:rsid w:val="00C77FAD"/>
    <w:rsid w:val="00C80018"/>
    <w:rsid w:val="00C80538"/>
    <w:rsid w:val="00C80768"/>
    <w:rsid w:val="00C80E3E"/>
    <w:rsid w:val="00C8122A"/>
    <w:rsid w:val="00C8213F"/>
    <w:rsid w:val="00C82754"/>
    <w:rsid w:val="00C828A0"/>
    <w:rsid w:val="00C83EB3"/>
    <w:rsid w:val="00C83F9C"/>
    <w:rsid w:val="00C844BE"/>
    <w:rsid w:val="00C8561E"/>
    <w:rsid w:val="00C87394"/>
    <w:rsid w:val="00C8797A"/>
    <w:rsid w:val="00C87F49"/>
    <w:rsid w:val="00C908A5"/>
    <w:rsid w:val="00C927F4"/>
    <w:rsid w:val="00C929E8"/>
    <w:rsid w:val="00C938CF"/>
    <w:rsid w:val="00C94142"/>
    <w:rsid w:val="00C9466A"/>
    <w:rsid w:val="00C94D4C"/>
    <w:rsid w:val="00C94E64"/>
    <w:rsid w:val="00C95426"/>
    <w:rsid w:val="00C95B0F"/>
    <w:rsid w:val="00C95B20"/>
    <w:rsid w:val="00C9658C"/>
    <w:rsid w:val="00C97190"/>
    <w:rsid w:val="00C971B4"/>
    <w:rsid w:val="00CA067A"/>
    <w:rsid w:val="00CA0BE4"/>
    <w:rsid w:val="00CA122F"/>
    <w:rsid w:val="00CA18FD"/>
    <w:rsid w:val="00CA21B7"/>
    <w:rsid w:val="00CA2F5A"/>
    <w:rsid w:val="00CA5245"/>
    <w:rsid w:val="00CA7797"/>
    <w:rsid w:val="00CA7B09"/>
    <w:rsid w:val="00CB1D1A"/>
    <w:rsid w:val="00CB1E9C"/>
    <w:rsid w:val="00CB4429"/>
    <w:rsid w:val="00CB549A"/>
    <w:rsid w:val="00CB5B1A"/>
    <w:rsid w:val="00CB625B"/>
    <w:rsid w:val="00CC1569"/>
    <w:rsid w:val="00CC2B39"/>
    <w:rsid w:val="00CC4716"/>
    <w:rsid w:val="00CC7C5A"/>
    <w:rsid w:val="00CC7D1F"/>
    <w:rsid w:val="00CD0B59"/>
    <w:rsid w:val="00CD1629"/>
    <w:rsid w:val="00CD434E"/>
    <w:rsid w:val="00CD4E8C"/>
    <w:rsid w:val="00CD6348"/>
    <w:rsid w:val="00CD6878"/>
    <w:rsid w:val="00CD6ADC"/>
    <w:rsid w:val="00CD700F"/>
    <w:rsid w:val="00CE00B8"/>
    <w:rsid w:val="00CE085B"/>
    <w:rsid w:val="00CE1B61"/>
    <w:rsid w:val="00CE1FC2"/>
    <w:rsid w:val="00CE22FB"/>
    <w:rsid w:val="00CE23D6"/>
    <w:rsid w:val="00CE2BD8"/>
    <w:rsid w:val="00CE3B54"/>
    <w:rsid w:val="00CE4278"/>
    <w:rsid w:val="00CE4B71"/>
    <w:rsid w:val="00CE5839"/>
    <w:rsid w:val="00CE58AB"/>
    <w:rsid w:val="00CE5CA1"/>
    <w:rsid w:val="00CE6274"/>
    <w:rsid w:val="00CE6C59"/>
    <w:rsid w:val="00CF0BE3"/>
    <w:rsid w:val="00CF2CFD"/>
    <w:rsid w:val="00CF3761"/>
    <w:rsid w:val="00CF38AE"/>
    <w:rsid w:val="00CF4020"/>
    <w:rsid w:val="00CF456B"/>
    <w:rsid w:val="00CF4856"/>
    <w:rsid w:val="00CF4A4F"/>
    <w:rsid w:val="00CF5A22"/>
    <w:rsid w:val="00CF6243"/>
    <w:rsid w:val="00D005FA"/>
    <w:rsid w:val="00D01505"/>
    <w:rsid w:val="00D016F5"/>
    <w:rsid w:val="00D02467"/>
    <w:rsid w:val="00D0262E"/>
    <w:rsid w:val="00D04DCF"/>
    <w:rsid w:val="00D059A4"/>
    <w:rsid w:val="00D060E8"/>
    <w:rsid w:val="00D07207"/>
    <w:rsid w:val="00D07F7B"/>
    <w:rsid w:val="00D110BD"/>
    <w:rsid w:val="00D11FB8"/>
    <w:rsid w:val="00D13D17"/>
    <w:rsid w:val="00D14CA3"/>
    <w:rsid w:val="00D16B3A"/>
    <w:rsid w:val="00D1717C"/>
    <w:rsid w:val="00D176B7"/>
    <w:rsid w:val="00D17D6C"/>
    <w:rsid w:val="00D20845"/>
    <w:rsid w:val="00D20F02"/>
    <w:rsid w:val="00D21537"/>
    <w:rsid w:val="00D22C67"/>
    <w:rsid w:val="00D236B4"/>
    <w:rsid w:val="00D24A4C"/>
    <w:rsid w:val="00D2522A"/>
    <w:rsid w:val="00D315EB"/>
    <w:rsid w:val="00D33482"/>
    <w:rsid w:val="00D34301"/>
    <w:rsid w:val="00D350A8"/>
    <w:rsid w:val="00D357FF"/>
    <w:rsid w:val="00D36110"/>
    <w:rsid w:val="00D37DA6"/>
    <w:rsid w:val="00D37DFB"/>
    <w:rsid w:val="00D40D9B"/>
    <w:rsid w:val="00D41472"/>
    <w:rsid w:val="00D41D5B"/>
    <w:rsid w:val="00D432C7"/>
    <w:rsid w:val="00D43A2B"/>
    <w:rsid w:val="00D4492D"/>
    <w:rsid w:val="00D46A09"/>
    <w:rsid w:val="00D51667"/>
    <w:rsid w:val="00D51F8C"/>
    <w:rsid w:val="00D52A6D"/>
    <w:rsid w:val="00D52AB3"/>
    <w:rsid w:val="00D53F82"/>
    <w:rsid w:val="00D54498"/>
    <w:rsid w:val="00D54832"/>
    <w:rsid w:val="00D54DD9"/>
    <w:rsid w:val="00D54FF4"/>
    <w:rsid w:val="00D57466"/>
    <w:rsid w:val="00D5767A"/>
    <w:rsid w:val="00D61059"/>
    <w:rsid w:val="00D610D3"/>
    <w:rsid w:val="00D616B9"/>
    <w:rsid w:val="00D6223A"/>
    <w:rsid w:val="00D636F1"/>
    <w:rsid w:val="00D66844"/>
    <w:rsid w:val="00D679C0"/>
    <w:rsid w:val="00D7007C"/>
    <w:rsid w:val="00D7051B"/>
    <w:rsid w:val="00D7155A"/>
    <w:rsid w:val="00D71DB4"/>
    <w:rsid w:val="00D73202"/>
    <w:rsid w:val="00D74EBF"/>
    <w:rsid w:val="00D75652"/>
    <w:rsid w:val="00D75AFB"/>
    <w:rsid w:val="00D7653A"/>
    <w:rsid w:val="00D76695"/>
    <w:rsid w:val="00D76A44"/>
    <w:rsid w:val="00D76FDE"/>
    <w:rsid w:val="00D81D60"/>
    <w:rsid w:val="00D81E44"/>
    <w:rsid w:val="00D82501"/>
    <w:rsid w:val="00D829C7"/>
    <w:rsid w:val="00D834A5"/>
    <w:rsid w:val="00D83ACD"/>
    <w:rsid w:val="00D8798C"/>
    <w:rsid w:val="00D90674"/>
    <w:rsid w:val="00D93202"/>
    <w:rsid w:val="00D93753"/>
    <w:rsid w:val="00D93771"/>
    <w:rsid w:val="00D93C07"/>
    <w:rsid w:val="00D955A5"/>
    <w:rsid w:val="00D957AD"/>
    <w:rsid w:val="00D95995"/>
    <w:rsid w:val="00DA02A3"/>
    <w:rsid w:val="00DA114F"/>
    <w:rsid w:val="00DA1B11"/>
    <w:rsid w:val="00DA1B82"/>
    <w:rsid w:val="00DA3125"/>
    <w:rsid w:val="00DA4097"/>
    <w:rsid w:val="00DA43DD"/>
    <w:rsid w:val="00DA4453"/>
    <w:rsid w:val="00DA4C30"/>
    <w:rsid w:val="00DA520C"/>
    <w:rsid w:val="00DA5E4D"/>
    <w:rsid w:val="00DA62C9"/>
    <w:rsid w:val="00DA676C"/>
    <w:rsid w:val="00DA77A5"/>
    <w:rsid w:val="00DA7887"/>
    <w:rsid w:val="00DB0156"/>
    <w:rsid w:val="00DB3BCA"/>
    <w:rsid w:val="00DB4A9D"/>
    <w:rsid w:val="00DB51A7"/>
    <w:rsid w:val="00DC2F54"/>
    <w:rsid w:val="00DC40F3"/>
    <w:rsid w:val="00DC50DC"/>
    <w:rsid w:val="00DC5501"/>
    <w:rsid w:val="00DD1162"/>
    <w:rsid w:val="00DD1E72"/>
    <w:rsid w:val="00DD2F08"/>
    <w:rsid w:val="00DD3F28"/>
    <w:rsid w:val="00DD4537"/>
    <w:rsid w:val="00DD4E15"/>
    <w:rsid w:val="00DD578F"/>
    <w:rsid w:val="00DD6C71"/>
    <w:rsid w:val="00DD6F0F"/>
    <w:rsid w:val="00DE0AFF"/>
    <w:rsid w:val="00DE1EA5"/>
    <w:rsid w:val="00DE2D83"/>
    <w:rsid w:val="00DE41F3"/>
    <w:rsid w:val="00DE4906"/>
    <w:rsid w:val="00DE4FCB"/>
    <w:rsid w:val="00DE5DA6"/>
    <w:rsid w:val="00DE668C"/>
    <w:rsid w:val="00DE7156"/>
    <w:rsid w:val="00DE7720"/>
    <w:rsid w:val="00DF0458"/>
    <w:rsid w:val="00DF256D"/>
    <w:rsid w:val="00DF2E60"/>
    <w:rsid w:val="00DF3D23"/>
    <w:rsid w:val="00DF5968"/>
    <w:rsid w:val="00DF5D2B"/>
    <w:rsid w:val="00DF7B69"/>
    <w:rsid w:val="00E00CD3"/>
    <w:rsid w:val="00E01D94"/>
    <w:rsid w:val="00E03F9A"/>
    <w:rsid w:val="00E04611"/>
    <w:rsid w:val="00E050B1"/>
    <w:rsid w:val="00E05A07"/>
    <w:rsid w:val="00E05C3C"/>
    <w:rsid w:val="00E0707A"/>
    <w:rsid w:val="00E07CF0"/>
    <w:rsid w:val="00E10149"/>
    <w:rsid w:val="00E10917"/>
    <w:rsid w:val="00E11839"/>
    <w:rsid w:val="00E13380"/>
    <w:rsid w:val="00E13895"/>
    <w:rsid w:val="00E1468F"/>
    <w:rsid w:val="00E14BE3"/>
    <w:rsid w:val="00E15763"/>
    <w:rsid w:val="00E15BAC"/>
    <w:rsid w:val="00E16372"/>
    <w:rsid w:val="00E168F3"/>
    <w:rsid w:val="00E17CB0"/>
    <w:rsid w:val="00E20ED6"/>
    <w:rsid w:val="00E21358"/>
    <w:rsid w:val="00E2185F"/>
    <w:rsid w:val="00E21B01"/>
    <w:rsid w:val="00E22485"/>
    <w:rsid w:val="00E2249B"/>
    <w:rsid w:val="00E22A0D"/>
    <w:rsid w:val="00E22AA1"/>
    <w:rsid w:val="00E2385C"/>
    <w:rsid w:val="00E23881"/>
    <w:rsid w:val="00E260D3"/>
    <w:rsid w:val="00E2696F"/>
    <w:rsid w:val="00E26B12"/>
    <w:rsid w:val="00E2771E"/>
    <w:rsid w:val="00E31671"/>
    <w:rsid w:val="00E33F0E"/>
    <w:rsid w:val="00E34565"/>
    <w:rsid w:val="00E347DF"/>
    <w:rsid w:val="00E347E2"/>
    <w:rsid w:val="00E34940"/>
    <w:rsid w:val="00E34ACE"/>
    <w:rsid w:val="00E351AB"/>
    <w:rsid w:val="00E36A94"/>
    <w:rsid w:val="00E37569"/>
    <w:rsid w:val="00E40E86"/>
    <w:rsid w:val="00E40F2C"/>
    <w:rsid w:val="00E40FDE"/>
    <w:rsid w:val="00E41759"/>
    <w:rsid w:val="00E41E30"/>
    <w:rsid w:val="00E42E0C"/>
    <w:rsid w:val="00E43D70"/>
    <w:rsid w:val="00E440F3"/>
    <w:rsid w:val="00E46485"/>
    <w:rsid w:val="00E47B2C"/>
    <w:rsid w:val="00E47DAF"/>
    <w:rsid w:val="00E47E72"/>
    <w:rsid w:val="00E50489"/>
    <w:rsid w:val="00E50BFB"/>
    <w:rsid w:val="00E51560"/>
    <w:rsid w:val="00E521F5"/>
    <w:rsid w:val="00E5256B"/>
    <w:rsid w:val="00E529E9"/>
    <w:rsid w:val="00E52C5A"/>
    <w:rsid w:val="00E5457D"/>
    <w:rsid w:val="00E5479D"/>
    <w:rsid w:val="00E55424"/>
    <w:rsid w:val="00E55BB5"/>
    <w:rsid w:val="00E576AD"/>
    <w:rsid w:val="00E60913"/>
    <w:rsid w:val="00E62DDC"/>
    <w:rsid w:val="00E63255"/>
    <w:rsid w:val="00E6330F"/>
    <w:rsid w:val="00E64E72"/>
    <w:rsid w:val="00E64F41"/>
    <w:rsid w:val="00E65E79"/>
    <w:rsid w:val="00E66B42"/>
    <w:rsid w:val="00E67416"/>
    <w:rsid w:val="00E71676"/>
    <w:rsid w:val="00E718B6"/>
    <w:rsid w:val="00E7233C"/>
    <w:rsid w:val="00E72D7B"/>
    <w:rsid w:val="00E73581"/>
    <w:rsid w:val="00E74E45"/>
    <w:rsid w:val="00E74F38"/>
    <w:rsid w:val="00E75FF3"/>
    <w:rsid w:val="00E77280"/>
    <w:rsid w:val="00E77880"/>
    <w:rsid w:val="00E77B47"/>
    <w:rsid w:val="00E80C24"/>
    <w:rsid w:val="00E83B51"/>
    <w:rsid w:val="00E83BDF"/>
    <w:rsid w:val="00E84DD1"/>
    <w:rsid w:val="00E86FD7"/>
    <w:rsid w:val="00E90167"/>
    <w:rsid w:val="00E954E5"/>
    <w:rsid w:val="00E97F96"/>
    <w:rsid w:val="00EA3864"/>
    <w:rsid w:val="00EA4CC2"/>
    <w:rsid w:val="00EA589E"/>
    <w:rsid w:val="00EA5A28"/>
    <w:rsid w:val="00EA5A87"/>
    <w:rsid w:val="00EA68F9"/>
    <w:rsid w:val="00EA6D74"/>
    <w:rsid w:val="00EB01FE"/>
    <w:rsid w:val="00EB15B6"/>
    <w:rsid w:val="00EB19B5"/>
    <w:rsid w:val="00EB2ED0"/>
    <w:rsid w:val="00EB47FD"/>
    <w:rsid w:val="00EB4916"/>
    <w:rsid w:val="00EB53FD"/>
    <w:rsid w:val="00EB5A9B"/>
    <w:rsid w:val="00EB6093"/>
    <w:rsid w:val="00EB6949"/>
    <w:rsid w:val="00EB6BA5"/>
    <w:rsid w:val="00EC00C9"/>
    <w:rsid w:val="00EC0105"/>
    <w:rsid w:val="00EC051F"/>
    <w:rsid w:val="00EC145D"/>
    <w:rsid w:val="00EC335F"/>
    <w:rsid w:val="00EC34D8"/>
    <w:rsid w:val="00EC3617"/>
    <w:rsid w:val="00EC3738"/>
    <w:rsid w:val="00ED000E"/>
    <w:rsid w:val="00ED0263"/>
    <w:rsid w:val="00ED465C"/>
    <w:rsid w:val="00ED5A6E"/>
    <w:rsid w:val="00ED6EFF"/>
    <w:rsid w:val="00EE07D3"/>
    <w:rsid w:val="00EE231C"/>
    <w:rsid w:val="00EE3C0C"/>
    <w:rsid w:val="00EE52F5"/>
    <w:rsid w:val="00EE6FD1"/>
    <w:rsid w:val="00EF16EE"/>
    <w:rsid w:val="00EF2779"/>
    <w:rsid w:val="00EF3825"/>
    <w:rsid w:val="00EF3B49"/>
    <w:rsid w:val="00EF4426"/>
    <w:rsid w:val="00EF67D0"/>
    <w:rsid w:val="00EF6CF1"/>
    <w:rsid w:val="00EF6D93"/>
    <w:rsid w:val="00EF7243"/>
    <w:rsid w:val="00EF7CFC"/>
    <w:rsid w:val="00F006E4"/>
    <w:rsid w:val="00F04382"/>
    <w:rsid w:val="00F05DF3"/>
    <w:rsid w:val="00F06124"/>
    <w:rsid w:val="00F067A2"/>
    <w:rsid w:val="00F06D48"/>
    <w:rsid w:val="00F070A4"/>
    <w:rsid w:val="00F071A8"/>
    <w:rsid w:val="00F07D6F"/>
    <w:rsid w:val="00F14141"/>
    <w:rsid w:val="00F14F99"/>
    <w:rsid w:val="00F15025"/>
    <w:rsid w:val="00F1649C"/>
    <w:rsid w:val="00F2241F"/>
    <w:rsid w:val="00F23D5E"/>
    <w:rsid w:val="00F247EE"/>
    <w:rsid w:val="00F24837"/>
    <w:rsid w:val="00F2575F"/>
    <w:rsid w:val="00F25907"/>
    <w:rsid w:val="00F2681E"/>
    <w:rsid w:val="00F2692D"/>
    <w:rsid w:val="00F279A5"/>
    <w:rsid w:val="00F27FB2"/>
    <w:rsid w:val="00F30022"/>
    <w:rsid w:val="00F320EB"/>
    <w:rsid w:val="00F3322E"/>
    <w:rsid w:val="00F33DE9"/>
    <w:rsid w:val="00F34028"/>
    <w:rsid w:val="00F347A2"/>
    <w:rsid w:val="00F35510"/>
    <w:rsid w:val="00F3619A"/>
    <w:rsid w:val="00F36AAB"/>
    <w:rsid w:val="00F4094C"/>
    <w:rsid w:val="00F434A7"/>
    <w:rsid w:val="00F44343"/>
    <w:rsid w:val="00F45347"/>
    <w:rsid w:val="00F46046"/>
    <w:rsid w:val="00F460D7"/>
    <w:rsid w:val="00F46ACD"/>
    <w:rsid w:val="00F46CB6"/>
    <w:rsid w:val="00F47591"/>
    <w:rsid w:val="00F47AA3"/>
    <w:rsid w:val="00F52E16"/>
    <w:rsid w:val="00F533B8"/>
    <w:rsid w:val="00F539E6"/>
    <w:rsid w:val="00F55495"/>
    <w:rsid w:val="00F55E70"/>
    <w:rsid w:val="00F55E73"/>
    <w:rsid w:val="00F571A3"/>
    <w:rsid w:val="00F60092"/>
    <w:rsid w:val="00F60D96"/>
    <w:rsid w:val="00F6247A"/>
    <w:rsid w:val="00F6335A"/>
    <w:rsid w:val="00F63638"/>
    <w:rsid w:val="00F644D9"/>
    <w:rsid w:val="00F6630E"/>
    <w:rsid w:val="00F66CD5"/>
    <w:rsid w:val="00F671C1"/>
    <w:rsid w:val="00F67ACF"/>
    <w:rsid w:val="00F70D2B"/>
    <w:rsid w:val="00F72AFA"/>
    <w:rsid w:val="00F72CE1"/>
    <w:rsid w:val="00F72D70"/>
    <w:rsid w:val="00F730C7"/>
    <w:rsid w:val="00F7365E"/>
    <w:rsid w:val="00F73840"/>
    <w:rsid w:val="00F73DA9"/>
    <w:rsid w:val="00F76C1D"/>
    <w:rsid w:val="00F77E06"/>
    <w:rsid w:val="00F8071E"/>
    <w:rsid w:val="00F80BCD"/>
    <w:rsid w:val="00F80E11"/>
    <w:rsid w:val="00F80E5D"/>
    <w:rsid w:val="00F81D1C"/>
    <w:rsid w:val="00F81EA8"/>
    <w:rsid w:val="00F82F78"/>
    <w:rsid w:val="00F83DBA"/>
    <w:rsid w:val="00F83F07"/>
    <w:rsid w:val="00F851CE"/>
    <w:rsid w:val="00F853D1"/>
    <w:rsid w:val="00F858F7"/>
    <w:rsid w:val="00F85C05"/>
    <w:rsid w:val="00F872E1"/>
    <w:rsid w:val="00F8737B"/>
    <w:rsid w:val="00F91D57"/>
    <w:rsid w:val="00F91FCC"/>
    <w:rsid w:val="00F92D3D"/>
    <w:rsid w:val="00F93237"/>
    <w:rsid w:val="00F932D1"/>
    <w:rsid w:val="00F9360E"/>
    <w:rsid w:val="00F9641A"/>
    <w:rsid w:val="00F97A78"/>
    <w:rsid w:val="00FA0BE1"/>
    <w:rsid w:val="00FA24E7"/>
    <w:rsid w:val="00FA2A27"/>
    <w:rsid w:val="00FA2B0F"/>
    <w:rsid w:val="00FA316F"/>
    <w:rsid w:val="00FA3C10"/>
    <w:rsid w:val="00FA473C"/>
    <w:rsid w:val="00FA4ABA"/>
    <w:rsid w:val="00FA5214"/>
    <w:rsid w:val="00FA52ED"/>
    <w:rsid w:val="00FA6ED1"/>
    <w:rsid w:val="00FB2317"/>
    <w:rsid w:val="00FB294F"/>
    <w:rsid w:val="00FB2A7B"/>
    <w:rsid w:val="00FB2FCB"/>
    <w:rsid w:val="00FB3CBB"/>
    <w:rsid w:val="00FB47D6"/>
    <w:rsid w:val="00FB5040"/>
    <w:rsid w:val="00FB511C"/>
    <w:rsid w:val="00FB6A6D"/>
    <w:rsid w:val="00FB6BC1"/>
    <w:rsid w:val="00FB757A"/>
    <w:rsid w:val="00FC1074"/>
    <w:rsid w:val="00FC16BB"/>
    <w:rsid w:val="00FC1884"/>
    <w:rsid w:val="00FC2785"/>
    <w:rsid w:val="00FC50E9"/>
    <w:rsid w:val="00FC5888"/>
    <w:rsid w:val="00FC7028"/>
    <w:rsid w:val="00FC75C0"/>
    <w:rsid w:val="00FD03EA"/>
    <w:rsid w:val="00FD182E"/>
    <w:rsid w:val="00FD2100"/>
    <w:rsid w:val="00FD2B40"/>
    <w:rsid w:val="00FD446D"/>
    <w:rsid w:val="00FD4AF6"/>
    <w:rsid w:val="00FD5244"/>
    <w:rsid w:val="00FD64BC"/>
    <w:rsid w:val="00FE020D"/>
    <w:rsid w:val="00FE0459"/>
    <w:rsid w:val="00FE0EEC"/>
    <w:rsid w:val="00FE1C95"/>
    <w:rsid w:val="00FE1F76"/>
    <w:rsid w:val="00FE332F"/>
    <w:rsid w:val="00FE4E66"/>
    <w:rsid w:val="00FE557E"/>
    <w:rsid w:val="00FE58FD"/>
    <w:rsid w:val="00FE6188"/>
    <w:rsid w:val="00FE6C96"/>
    <w:rsid w:val="00FF027A"/>
    <w:rsid w:val="00FF1494"/>
    <w:rsid w:val="00FF2C5D"/>
    <w:rsid w:val="00FF30A8"/>
    <w:rsid w:val="00FF3436"/>
    <w:rsid w:val="00FF3DCF"/>
    <w:rsid w:val="00FF5AA3"/>
    <w:rsid w:val="00FF5FC0"/>
    <w:rsid w:val="00FF73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02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68"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9E26B4"/>
    <w:pPr>
      <w:widowControl w:val="0"/>
      <w:jc w:val="both"/>
    </w:pPr>
    <w:rPr>
      <w:rFonts w:ascii="Arial" w:hAnsi="Arial" w:cs="Arial"/>
      <w:snapToGrid w:val="0"/>
      <w:sz w:val="22"/>
      <w:lang w:eastAsia="en-US"/>
    </w:rPr>
  </w:style>
  <w:style w:type="paragraph" w:styleId="Heading1">
    <w:name w:val="heading 1"/>
    <w:aliases w:val="H1,heading 1,Header 1,Heading 12,Titre 1 Car Car,Titre 1 Car,Outline1,p1"/>
    <w:basedOn w:val="PBACHeading1"/>
    <w:next w:val="Normal"/>
    <w:link w:val="Heading1Char"/>
    <w:qFormat/>
    <w:rsid w:val="006A72B9"/>
  </w:style>
  <w:style w:type="paragraph" w:styleId="Heading2">
    <w:name w:val="heading 2"/>
    <w:aliases w:val="H2,Heading h2,h2,Heading 2x,p2 Char"/>
    <w:basedOn w:val="Normal"/>
    <w:next w:val="Normal"/>
    <w:link w:val="Heading2Char"/>
    <w:qFormat/>
    <w:rsid w:val="006A72B9"/>
    <w:pPr>
      <w:outlineLvl w:val="1"/>
    </w:pPr>
    <w:rPr>
      <w:b/>
      <w:bCs/>
      <w:i/>
      <w:szCs w:val="22"/>
    </w:rPr>
  </w:style>
  <w:style w:type="paragraph" w:styleId="Heading3">
    <w:name w:val="heading 3"/>
    <w:aliases w:val="H3,Heading h3,h3,Don 3,Heading 3x,p3 Char"/>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
    <w:link w:val="Heading2"/>
    <w:rsid w:val="006A72B9"/>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
    <w:basedOn w:val="Normal"/>
    <w:next w:val="Normal"/>
    <w:link w:val="CaptionChar"/>
    <w:uiPriority w:val="68"/>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link w:val="Caption"/>
    <w:uiPriority w:val="68"/>
    <w:rsid w:val="00124A51"/>
    <w:rPr>
      <w:b/>
      <w:bCs/>
      <w:snapToGrid w:val="0"/>
      <w:color w:val="4F81BD" w:themeColor="accent1"/>
      <w:sz w:val="18"/>
      <w:szCs w:val="18"/>
      <w:lang w:eastAsia="en-US"/>
    </w:rPr>
  </w:style>
  <w:style w:type="paragraph" w:styleId="Title">
    <w:name w:val="Title"/>
    <w:next w:val="Normal"/>
    <w:link w:val="TitleChar"/>
    <w:qFormat/>
    <w:rsid w:val="006A72B9"/>
    <w:pPr>
      <w:ind w:left="720" w:hanging="720"/>
      <w:outlineLvl w:val="0"/>
    </w:pPr>
    <w:rPr>
      <w:rFonts w:ascii="Arial" w:hAnsi="Arial" w:cs="Arial"/>
      <w:b/>
      <w:snapToGrid w:val="0"/>
      <w:sz w:val="28"/>
      <w:szCs w:val="28"/>
      <w:lang w:eastAsia="en-US"/>
    </w:rPr>
  </w:style>
  <w:style w:type="character" w:customStyle="1" w:styleId="TitleChar">
    <w:name w:val="Title Char"/>
    <w:basedOn w:val="DefaultParagraphFont"/>
    <w:link w:val="Title"/>
    <w:rsid w:val="006A72B9"/>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B37A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11B87"/>
    <w:pPr>
      <w:numPr>
        <w:numId w:val="1"/>
      </w:numPr>
      <w:outlineLvl w:val="0"/>
    </w:pPr>
    <w:rPr>
      <w:rFonts w:ascii="Arial" w:hAnsi="Arial" w:cs="Arial"/>
      <w:b/>
      <w:snapToGrid w:val="0"/>
      <w:sz w:val="22"/>
      <w:szCs w:val="22"/>
      <w:lang w:eastAsia="en-US"/>
    </w:rPr>
  </w:style>
  <w:style w:type="paragraph" w:customStyle="1" w:styleId="TableText1">
    <w:name w:val="Table Text"/>
    <w:basedOn w:val="Normal"/>
    <w:rsid w:val="002E01EB"/>
    <w:pPr>
      <w:widowControl/>
      <w:spacing w:before="60" w:after="60"/>
    </w:pPr>
    <w:rPr>
      <w:rFonts w:cs="Times New Roman"/>
      <w:snapToGrid/>
      <w:sz w:val="18"/>
      <w:lang w:eastAsia="en-AU"/>
    </w:rPr>
  </w:style>
  <w:style w:type="character" w:customStyle="1" w:styleId="ListParagraphChar">
    <w:name w:val="List Paragraph Char"/>
    <w:aliases w:val="BulletPoints Char"/>
    <w:link w:val="ListParagraph"/>
    <w:uiPriority w:val="72"/>
    <w:rsid w:val="00A57E5C"/>
    <w:rPr>
      <w:rFonts w:ascii="Arial" w:hAnsi="Arial" w:cs="Arial"/>
      <w:snapToGrid w:val="0"/>
      <w:sz w:val="22"/>
      <w:lang w:eastAsia="en-US"/>
    </w:rPr>
  </w:style>
  <w:style w:type="paragraph" w:styleId="FootnoteText">
    <w:name w:val="footnote text"/>
    <w:basedOn w:val="Normal"/>
    <w:link w:val="FootnoteTextChar"/>
    <w:semiHidden/>
    <w:unhideWhenUsed/>
    <w:rsid w:val="009A7FD9"/>
    <w:rPr>
      <w:sz w:val="20"/>
    </w:rPr>
  </w:style>
  <w:style w:type="character" w:customStyle="1" w:styleId="FootnoteTextChar">
    <w:name w:val="Footnote Text Char"/>
    <w:basedOn w:val="DefaultParagraphFont"/>
    <w:link w:val="FootnoteText"/>
    <w:semiHidden/>
    <w:rsid w:val="009A7FD9"/>
    <w:rPr>
      <w:rFonts w:ascii="Arial" w:hAnsi="Arial" w:cs="Arial"/>
      <w:snapToGrid w:val="0"/>
      <w:lang w:eastAsia="en-US"/>
    </w:rPr>
  </w:style>
  <w:style w:type="character" w:styleId="FootnoteReference">
    <w:name w:val="footnote reference"/>
    <w:basedOn w:val="DefaultParagraphFont"/>
    <w:unhideWhenUsed/>
    <w:rsid w:val="009A7FD9"/>
    <w:rPr>
      <w:vertAlign w:val="superscript"/>
    </w:rPr>
  </w:style>
  <w:style w:type="paragraph" w:customStyle="1" w:styleId="TableTextBold">
    <w:name w:val="TableTextBold"/>
    <w:basedOn w:val="TableText0"/>
    <w:next w:val="TableText0"/>
    <w:qFormat/>
    <w:rsid w:val="00154F65"/>
    <w:pPr>
      <w:jc w:val="center"/>
    </w:pPr>
    <w:rPr>
      <w:rFonts w:ascii="Arial" w:hAnsi="Arial"/>
      <w:b/>
      <w:sz w:val="18"/>
    </w:rPr>
  </w:style>
  <w:style w:type="paragraph" w:customStyle="1" w:styleId="Textundertable">
    <w:name w:val="Text under table"/>
    <w:basedOn w:val="Normal"/>
    <w:qFormat/>
    <w:rsid w:val="00154F65"/>
    <w:pPr>
      <w:widowControl/>
    </w:pPr>
    <w:rPr>
      <w:rFonts w:eastAsiaTheme="minorEastAsia"/>
      <w:snapToGrid/>
      <w:sz w:val="16"/>
      <w:szCs w:val="22"/>
    </w:rPr>
  </w:style>
  <w:style w:type="table" w:customStyle="1" w:styleId="TableGridbeth1">
    <w:name w:val="Table Gridbeth1"/>
    <w:basedOn w:val="TableNormal"/>
    <w:next w:val="TableGrid"/>
    <w:uiPriority w:val="59"/>
    <w:rsid w:val="00E1389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rsid w:val="00DA114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
    <w:uiPriority w:val="4"/>
    <w:qFormat/>
    <w:rsid w:val="00B201A4"/>
    <w:pPr>
      <w:tabs>
        <w:tab w:val="left" w:pos="416"/>
        <w:tab w:val="left" w:pos="582"/>
      </w:tabs>
      <w:spacing w:before="20" w:after="20"/>
      <w:ind w:left="170"/>
    </w:pPr>
    <w:rPr>
      <w:sz w:val="18"/>
      <w:szCs w:val="18"/>
      <w:lang w:eastAsia="en-GB"/>
    </w:rPr>
  </w:style>
  <w:style w:type="paragraph" w:customStyle="1" w:styleId="COMH2">
    <w:name w:val="COMH2"/>
    <w:basedOn w:val="Heading2"/>
    <w:link w:val="COMH2Char"/>
    <w:qFormat/>
    <w:rsid w:val="0057178F"/>
    <w:pPr>
      <w:keepNext/>
      <w:keepLines/>
      <w:widowControl/>
      <w:spacing w:after="240"/>
    </w:pPr>
    <w:rPr>
      <w:bCs w:val="0"/>
      <w:snapToGrid/>
    </w:rPr>
  </w:style>
  <w:style w:type="character" w:customStyle="1" w:styleId="COMH2Char">
    <w:name w:val="COMH2 Char"/>
    <w:link w:val="COMH2"/>
    <w:rsid w:val="0057178F"/>
    <w:rPr>
      <w:rFonts w:ascii="Arial" w:hAnsi="Arial" w:cs="Arial"/>
      <w:b/>
      <w:bCs/>
      <w:sz w:val="22"/>
      <w:szCs w:val="22"/>
      <w:lang w:eastAsia="en-US"/>
    </w:rPr>
  </w:style>
  <w:style w:type="character" w:customStyle="1" w:styleId="TableTextChar0">
    <w:name w:val="TableText Char"/>
    <w:link w:val="TableText0"/>
    <w:rsid w:val="00C9658C"/>
    <w:rPr>
      <w:rFonts w:ascii="Arial Narrow" w:hAnsi="Arial Narrow" w:cs="Arial Narrow"/>
      <w:lang w:eastAsia="en-US"/>
    </w:rPr>
  </w:style>
  <w:style w:type="character" w:customStyle="1" w:styleId="Heading1Char">
    <w:name w:val="Heading 1 Char"/>
    <w:aliases w:val="H1 Char,heading 1 Char,Header 1 Char,Heading 12 Char,Titre 1 Car Car Char,Titre 1 Car Char,Outline1 Char,p1 Char"/>
    <w:basedOn w:val="DefaultParagraphFont"/>
    <w:link w:val="Heading1"/>
    <w:rsid w:val="006A72B9"/>
    <w:rPr>
      <w:rFonts w:ascii="Arial" w:hAnsi="Arial" w:cs="Arial"/>
      <w:b/>
      <w:snapToGrid w:val="0"/>
      <w:sz w:val="22"/>
      <w:szCs w:val="22"/>
      <w:lang w:eastAsia="en-US"/>
    </w:rPr>
  </w:style>
  <w:style w:type="character" w:customStyle="1" w:styleId="Heading3Char">
    <w:name w:val="Heading 3 Char"/>
    <w:aliases w:val="H3 Char,Heading h3 Char,h3 Char,Don 3 Char,Heading 3x Char,p3 Char Char"/>
    <w:basedOn w:val="DefaultParagraphFont"/>
    <w:link w:val="Heading3"/>
    <w:rsid w:val="00B87929"/>
    <w:rPr>
      <w:rFonts w:ascii="Arial" w:hAnsi="Arial" w:cs="Arial"/>
      <w:snapToGrid w:val="0"/>
      <w:sz w:val="22"/>
      <w:u w:val="single"/>
      <w:lang w:eastAsia="en-US"/>
    </w:rPr>
  </w:style>
  <w:style w:type="character" w:customStyle="1" w:styleId="Heading4Char">
    <w:name w:val="Heading 4 Char"/>
    <w:basedOn w:val="DefaultParagraphFont"/>
    <w:link w:val="Heading4"/>
    <w:rsid w:val="00B8792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8792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87929"/>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C75C0"/>
    <w:pPr>
      <w:widowControl/>
      <w:spacing w:after="160" w:line="240" w:lineRule="exact"/>
      <w:jc w:val="left"/>
    </w:pPr>
    <w:rPr>
      <w:rFonts w:ascii="Verdana" w:eastAsia="MS Mincho" w:hAnsi="Verdana" w:cs="Verdana"/>
      <w:snapToGrid/>
      <w:sz w:val="20"/>
      <w:lang w:val="en-US"/>
    </w:rPr>
  </w:style>
  <w:style w:type="numbering" w:customStyle="1" w:styleId="ImportedStyle1">
    <w:name w:val="Imported Style 1"/>
    <w:rsid w:val="00295612"/>
    <w:pPr>
      <w:numPr>
        <w:numId w:val="4"/>
      </w:numPr>
    </w:pPr>
  </w:style>
  <w:style w:type="paragraph" w:customStyle="1" w:styleId="StyleTableHeaderLeft127cm">
    <w:name w:val="Style Table Header + Left:  1.27 cm"/>
    <w:basedOn w:val="TableHeader"/>
    <w:rsid w:val="00D52A6D"/>
    <w:pPr>
      <w:keepNext/>
      <w:ind w:left="720"/>
    </w:pPr>
    <w:rPr>
      <w:rFonts w:cs="Times New Roman"/>
      <w:bCs/>
    </w:rPr>
  </w:style>
  <w:style w:type="paragraph" w:customStyle="1" w:styleId="StyleTableHeaderFirstline127cm">
    <w:name w:val="Style Table Header + First line:  1.27 cm"/>
    <w:basedOn w:val="TableHeader"/>
    <w:rsid w:val="00D52A6D"/>
    <w:pPr>
      <w:keepNext/>
      <w:ind w:firstLine="720"/>
    </w:pPr>
    <w:rPr>
      <w:rFonts w:cs="Times New Roman"/>
      <w:bCs/>
    </w:rPr>
  </w:style>
  <w:style w:type="character" w:styleId="IntenseReference">
    <w:name w:val="Intense Reference"/>
    <w:basedOn w:val="DefaultParagraphFont"/>
    <w:uiPriority w:val="32"/>
    <w:qFormat/>
    <w:rsid w:val="00ED000E"/>
    <w:rPr>
      <w:b/>
      <w:bCs/>
      <w:smallCaps/>
      <w:color w:val="C0504D" w:themeColor="accent2"/>
      <w:spacing w:val="5"/>
      <w:u w:val="single"/>
    </w:rPr>
  </w:style>
  <w:style w:type="paragraph" w:customStyle="1" w:styleId="Default">
    <w:name w:val="Default"/>
    <w:rsid w:val="000058C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68"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9E26B4"/>
    <w:pPr>
      <w:widowControl w:val="0"/>
      <w:jc w:val="both"/>
    </w:pPr>
    <w:rPr>
      <w:rFonts w:ascii="Arial" w:hAnsi="Arial" w:cs="Arial"/>
      <w:snapToGrid w:val="0"/>
      <w:sz w:val="22"/>
      <w:lang w:eastAsia="en-US"/>
    </w:rPr>
  </w:style>
  <w:style w:type="paragraph" w:styleId="Heading1">
    <w:name w:val="heading 1"/>
    <w:aliases w:val="H1,heading 1,Header 1,Heading 12,Titre 1 Car Car,Titre 1 Car,Outline1,p1"/>
    <w:basedOn w:val="PBACHeading1"/>
    <w:next w:val="Normal"/>
    <w:link w:val="Heading1Char"/>
    <w:qFormat/>
    <w:rsid w:val="006A72B9"/>
  </w:style>
  <w:style w:type="paragraph" w:styleId="Heading2">
    <w:name w:val="heading 2"/>
    <w:aliases w:val="H2,Heading h2,h2,Heading 2x,p2 Char"/>
    <w:basedOn w:val="Normal"/>
    <w:next w:val="Normal"/>
    <w:link w:val="Heading2Char"/>
    <w:qFormat/>
    <w:rsid w:val="006A72B9"/>
    <w:pPr>
      <w:outlineLvl w:val="1"/>
    </w:pPr>
    <w:rPr>
      <w:b/>
      <w:bCs/>
      <w:i/>
      <w:szCs w:val="22"/>
    </w:rPr>
  </w:style>
  <w:style w:type="paragraph" w:styleId="Heading3">
    <w:name w:val="heading 3"/>
    <w:aliases w:val="H3,Heading h3,h3,Don 3,Heading 3x,p3 Char"/>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
    <w:link w:val="Heading2"/>
    <w:rsid w:val="006A72B9"/>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
    <w:basedOn w:val="Normal"/>
    <w:next w:val="Normal"/>
    <w:link w:val="CaptionChar"/>
    <w:uiPriority w:val="68"/>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link w:val="Caption"/>
    <w:uiPriority w:val="68"/>
    <w:rsid w:val="00124A51"/>
    <w:rPr>
      <w:b/>
      <w:bCs/>
      <w:snapToGrid w:val="0"/>
      <w:color w:val="4F81BD" w:themeColor="accent1"/>
      <w:sz w:val="18"/>
      <w:szCs w:val="18"/>
      <w:lang w:eastAsia="en-US"/>
    </w:rPr>
  </w:style>
  <w:style w:type="paragraph" w:styleId="Title">
    <w:name w:val="Title"/>
    <w:next w:val="Normal"/>
    <w:link w:val="TitleChar"/>
    <w:qFormat/>
    <w:rsid w:val="006A72B9"/>
    <w:pPr>
      <w:ind w:left="720" w:hanging="720"/>
      <w:outlineLvl w:val="0"/>
    </w:pPr>
    <w:rPr>
      <w:rFonts w:ascii="Arial" w:hAnsi="Arial" w:cs="Arial"/>
      <w:b/>
      <w:snapToGrid w:val="0"/>
      <w:sz w:val="28"/>
      <w:szCs w:val="28"/>
      <w:lang w:eastAsia="en-US"/>
    </w:rPr>
  </w:style>
  <w:style w:type="character" w:customStyle="1" w:styleId="TitleChar">
    <w:name w:val="Title Char"/>
    <w:basedOn w:val="DefaultParagraphFont"/>
    <w:link w:val="Title"/>
    <w:rsid w:val="006A72B9"/>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B37A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11B87"/>
    <w:pPr>
      <w:numPr>
        <w:numId w:val="1"/>
      </w:numPr>
      <w:outlineLvl w:val="0"/>
    </w:pPr>
    <w:rPr>
      <w:rFonts w:ascii="Arial" w:hAnsi="Arial" w:cs="Arial"/>
      <w:b/>
      <w:snapToGrid w:val="0"/>
      <w:sz w:val="22"/>
      <w:szCs w:val="22"/>
      <w:lang w:eastAsia="en-US"/>
    </w:rPr>
  </w:style>
  <w:style w:type="paragraph" w:customStyle="1" w:styleId="TableText1">
    <w:name w:val="Table Text"/>
    <w:basedOn w:val="Normal"/>
    <w:rsid w:val="002E01EB"/>
    <w:pPr>
      <w:widowControl/>
      <w:spacing w:before="60" w:after="60"/>
    </w:pPr>
    <w:rPr>
      <w:rFonts w:cs="Times New Roman"/>
      <w:snapToGrid/>
      <w:sz w:val="18"/>
      <w:lang w:eastAsia="en-AU"/>
    </w:rPr>
  </w:style>
  <w:style w:type="character" w:customStyle="1" w:styleId="ListParagraphChar">
    <w:name w:val="List Paragraph Char"/>
    <w:aliases w:val="BulletPoints Char"/>
    <w:link w:val="ListParagraph"/>
    <w:uiPriority w:val="72"/>
    <w:rsid w:val="00A57E5C"/>
    <w:rPr>
      <w:rFonts w:ascii="Arial" w:hAnsi="Arial" w:cs="Arial"/>
      <w:snapToGrid w:val="0"/>
      <w:sz w:val="22"/>
      <w:lang w:eastAsia="en-US"/>
    </w:rPr>
  </w:style>
  <w:style w:type="paragraph" w:styleId="FootnoteText">
    <w:name w:val="footnote text"/>
    <w:basedOn w:val="Normal"/>
    <w:link w:val="FootnoteTextChar"/>
    <w:semiHidden/>
    <w:unhideWhenUsed/>
    <w:rsid w:val="009A7FD9"/>
    <w:rPr>
      <w:sz w:val="20"/>
    </w:rPr>
  </w:style>
  <w:style w:type="character" w:customStyle="1" w:styleId="FootnoteTextChar">
    <w:name w:val="Footnote Text Char"/>
    <w:basedOn w:val="DefaultParagraphFont"/>
    <w:link w:val="FootnoteText"/>
    <w:semiHidden/>
    <w:rsid w:val="009A7FD9"/>
    <w:rPr>
      <w:rFonts w:ascii="Arial" w:hAnsi="Arial" w:cs="Arial"/>
      <w:snapToGrid w:val="0"/>
      <w:lang w:eastAsia="en-US"/>
    </w:rPr>
  </w:style>
  <w:style w:type="character" w:styleId="FootnoteReference">
    <w:name w:val="footnote reference"/>
    <w:basedOn w:val="DefaultParagraphFont"/>
    <w:unhideWhenUsed/>
    <w:rsid w:val="009A7FD9"/>
    <w:rPr>
      <w:vertAlign w:val="superscript"/>
    </w:rPr>
  </w:style>
  <w:style w:type="paragraph" w:customStyle="1" w:styleId="TableTextBold">
    <w:name w:val="TableTextBold"/>
    <w:basedOn w:val="TableText0"/>
    <w:next w:val="TableText0"/>
    <w:qFormat/>
    <w:rsid w:val="00154F65"/>
    <w:pPr>
      <w:jc w:val="center"/>
    </w:pPr>
    <w:rPr>
      <w:rFonts w:ascii="Arial" w:hAnsi="Arial"/>
      <w:b/>
      <w:sz w:val="18"/>
    </w:rPr>
  </w:style>
  <w:style w:type="paragraph" w:customStyle="1" w:styleId="Textundertable">
    <w:name w:val="Text under table"/>
    <w:basedOn w:val="Normal"/>
    <w:qFormat/>
    <w:rsid w:val="00154F65"/>
    <w:pPr>
      <w:widowControl/>
    </w:pPr>
    <w:rPr>
      <w:rFonts w:eastAsiaTheme="minorEastAsia"/>
      <w:snapToGrid/>
      <w:sz w:val="16"/>
      <w:szCs w:val="22"/>
    </w:rPr>
  </w:style>
  <w:style w:type="table" w:customStyle="1" w:styleId="TableGridbeth1">
    <w:name w:val="Table Gridbeth1"/>
    <w:basedOn w:val="TableNormal"/>
    <w:next w:val="TableGrid"/>
    <w:uiPriority w:val="59"/>
    <w:rsid w:val="00E1389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rsid w:val="00DA114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
    <w:uiPriority w:val="4"/>
    <w:qFormat/>
    <w:rsid w:val="00B201A4"/>
    <w:pPr>
      <w:tabs>
        <w:tab w:val="left" w:pos="416"/>
        <w:tab w:val="left" w:pos="582"/>
      </w:tabs>
      <w:spacing w:before="20" w:after="20"/>
      <w:ind w:left="170"/>
    </w:pPr>
    <w:rPr>
      <w:sz w:val="18"/>
      <w:szCs w:val="18"/>
      <w:lang w:eastAsia="en-GB"/>
    </w:rPr>
  </w:style>
  <w:style w:type="paragraph" w:customStyle="1" w:styleId="COMH2">
    <w:name w:val="COMH2"/>
    <w:basedOn w:val="Heading2"/>
    <w:link w:val="COMH2Char"/>
    <w:qFormat/>
    <w:rsid w:val="0057178F"/>
    <w:pPr>
      <w:keepNext/>
      <w:keepLines/>
      <w:widowControl/>
      <w:spacing w:after="240"/>
    </w:pPr>
    <w:rPr>
      <w:bCs w:val="0"/>
      <w:snapToGrid/>
    </w:rPr>
  </w:style>
  <w:style w:type="character" w:customStyle="1" w:styleId="COMH2Char">
    <w:name w:val="COMH2 Char"/>
    <w:link w:val="COMH2"/>
    <w:rsid w:val="0057178F"/>
    <w:rPr>
      <w:rFonts w:ascii="Arial" w:hAnsi="Arial" w:cs="Arial"/>
      <w:b/>
      <w:bCs/>
      <w:sz w:val="22"/>
      <w:szCs w:val="22"/>
      <w:lang w:eastAsia="en-US"/>
    </w:rPr>
  </w:style>
  <w:style w:type="character" w:customStyle="1" w:styleId="TableTextChar0">
    <w:name w:val="TableText Char"/>
    <w:link w:val="TableText0"/>
    <w:rsid w:val="00C9658C"/>
    <w:rPr>
      <w:rFonts w:ascii="Arial Narrow" w:hAnsi="Arial Narrow" w:cs="Arial Narrow"/>
      <w:lang w:eastAsia="en-US"/>
    </w:rPr>
  </w:style>
  <w:style w:type="character" w:customStyle="1" w:styleId="Heading1Char">
    <w:name w:val="Heading 1 Char"/>
    <w:aliases w:val="H1 Char,heading 1 Char,Header 1 Char,Heading 12 Char,Titre 1 Car Car Char,Titre 1 Car Char,Outline1 Char,p1 Char"/>
    <w:basedOn w:val="DefaultParagraphFont"/>
    <w:link w:val="Heading1"/>
    <w:rsid w:val="006A72B9"/>
    <w:rPr>
      <w:rFonts w:ascii="Arial" w:hAnsi="Arial" w:cs="Arial"/>
      <w:b/>
      <w:snapToGrid w:val="0"/>
      <w:sz w:val="22"/>
      <w:szCs w:val="22"/>
      <w:lang w:eastAsia="en-US"/>
    </w:rPr>
  </w:style>
  <w:style w:type="character" w:customStyle="1" w:styleId="Heading3Char">
    <w:name w:val="Heading 3 Char"/>
    <w:aliases w:val="H3 Char,Heading h3 Char,h3 Char,Don 3 Char,Heading 3x Char,p3 Char Char"/>
    <w:basedOn w:val="DefaultParagraphFont"/>
    <w:link w:val="Heading3"/>
    <w:rsid w:val="00B87929"/>
    <w:rPr>
      <w:rFonts w:ascii="Arial" w:hAnsi="Arial" w:cs="Arial"/>
      <w:snapToGrid w:val="0"/>
      <w:sz w:val="22"/>
      <w:u w:val="single"/>
      <w:lang w:eastAsia="en-US"/>
    </w:rPr>
  </w:style>
  <w:style w:type="character" w:customStyle="1" w:styleId="Heading4Char">
    <w:name w:val="Heading 4 Char"/>
    <w:basedOn w:val="DefaultParagraphFont"/>
    <w:link w:val="Heading4"/>
    <w:rsid w:val="00B8792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8792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87929"/>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C75C0"/>
    <w:pPr>
      <w:widowControl/>
      <w:spacing w:after="160" w:line="240" w:lineRule="exact"/>
      <w:jc w:val="left"/>
    </w:pPr>
    <w:rPr>
      <w:rFonts w:ascii="Verdana" w:eastAsia="MS Mincho" w:hAnsi="Verdana" w:cs="Verdana"/>
      <w:snapToGrid/>
      <w:sz w:val="20"/>
      <w:lang w:val="en-US"/>
    </w:rPr>
  </w:style>
  <w:style w:type="numbering" w:customStyle="1" w:styleId="ImportedStyle1">
    <w:name w:val="Imported Style 1"/>
    <w:rsid w:val="00295612"/>
    <w:pPr>
      <w:numPr>
        <w:numId w:val="4"/>
      </w:numPr>
    </w:pPr>
  </w:style>
  <w:style w:type="paragraph" w:customStyle="1" w:styleId="StyleTableHeaderLeft127cm">
    <w:name w:val="Style Table Header + Left:  1.27 cm"/>
    <w:basedOn w:val="TableHeader"/>
    <w:rsid w:val="00D52A6D"/>
    <w:pPr>
      <w:keepNext/>
      <w:ind w:left="720"/>
    </w:pPr>
    <w:rPr>
      <w:rFonts w:cs="Times New Roman"/>
      <w:bCs/>
    </w:rPr>
  </w:style>
  <w:style w:type="paragraph" w:customStyle="1" w:styleId="StyleTableHeaderFirstline127cm">
    <w:name w:val="Style Table Header + First line:  1.27 cm"/>
    <w:basedOn w:val="TableHeader"/>
    <w:rsid w:val="00D52A6D"/>
    <w:pPr>
      <w:keepNext/>
      <w:ind w:firstLine="720"/>
    </w:pPr>
    <w:rPr>
      <w:rFonts w:cs="Times New Roman"/>
      <w:bCs/>
    </w:rPr>
  </w:style>
  <w:style w:type="character" w:styleId="IntenseReference">
    <w:name w:val="Intense Reference"/>
    <w:basedOn w:val="DefaultParagraphFont"/>
    <w:uiPriority w:val="32"/>
    <w:qFormat/>
    <w:rsid w:val="00ED000E"/>
    <w:rPr>
      <w:b/>
      <w:bCs/>
      <w:smallCaps/>
      <w:color w:val="C0504D" w:themeColor="accent2"/>
      <w:spacing w:val="5"/>
      <w:u w:val="single"/>
    </w:rPr>
  </w:style>
  <w:style w:type="paragraph" w:customStyle="1" w:styleId="Default">
    <w:name w:val="Default"/>
    <w:rsid w:val="000058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2286">
      <w:bodyDiv w:val="1"/>
      <w:marLeft w:val="0"/>
      <w:marRight w:val="0"/>
      <w:marTop w:val="0"/>
      <w:marBottom w:val="0"/>
      <w:divBdr>
        <w:top w:val="none" w:sz="0" w:space="0" w:color="auto"/>
        <w:left w:val="none" w:sz="0" w:space="0" w:color="auto"/>
        <w:bottom w:val="none" w:sz="0" w:space="0" w:color="auto"/>
        <w:right w:val="none" w:sz="0" w:space="0" w:color="auto"/>
      </w:divBdr>
    </w:div>
    <w:div w:id="845680355">
      <w:bodyDiv w:val="1"/>
      <w:marLeft w:val="0"/>
      <w:marRight w:val="0"/>
      <w:marTop w:val="0"/>
      <w:marBottom w:val="0"/>
      <w:divBdr>
        <w:top w:val="none" w:sz="0" w:space="0" w:color="auto"/>
        <w:left w:val="none" w:sz="0" w:space="0" w:color="auto"/>
        <w:bottom w:val="none" w:sz="0" w:space="0" w:color="auto"/>
        <w:right w:val="none" w:sz="0" w:space="0" w:color="auto"/>
      </w:divBdr>
    </w:div>
    <w:div w:id="1187255561">
      <w:bodyDiv w:val="1"/>
      <w:marLeft w:val="0"/>
      <w:marRight w:val="0"/>
      <w:marTop w:val="0"/>
      <w:marBottom w:val="0"/>
      <w:divBdr>
        <w:top w:val="none" w:sz="0" w:space="0" w:color="auto"/>
        <w:left w:val="none" w:sz="0" w:space="0" w:color="auto"/>
        <w:bottom w:val="none" w:sz="0" w:space="0" w:color="auto"/>
        <w:right w:val="none" w:sz="0" w:space="0" w:color="auto"/>
      </w:divBdr>
    </w:div>
    <w:div w:id="1195729520">
      <w:bodyDiv w:val="1"/>
      <w:marLeft w:val="0"/>
      <w:marRight w:val="0"/>
      <w:marTop w:val="0"/>
      <w:marBottom w:val="0"/>
      <w:divBdr>
        <w:top w:val="none" w:sz="0" w:space="0" w:color="auto"/>
        <w:left w:val="none" w:sz="0" w:space="0" w:color="auto"/>
        <w:bottom w:val="none" w:sz="0" w:space="0" w:color="auto"/>
        <w:right w:val="none" w:sz="0" w:space="0" w:color="auto"/>
      </w:divBdr>
    </w:div>
    <w:div w:id="1380745131">
      <w:bodyDiv w:val="1"/>
      <w:marLeft w:val="0"/>
      <w:marRight w:val="0"/>
      <w:marTop w:val="0"/>
      <w:marBottom w:val="0"/>
      <w:divBdr>
        <w:top w:val="none" w:sz="0" w:space="0" w:color="auto"/>
        <w:left w:val="none" w:sz="0" w:space="0" w:color="auto"/>
        <w:bottom w:val="none" w:sz="0" w:space="0" w:color="auto"/>
        <w:right w:val="none" w:sz="0" w:space="0" w:color="auto"/>
      </w:divBdr>
    </w:div>
    <w:div w:id="1478185906">
      <w:bodyDiv w:val="1"/>
      <w:marLeft w:val="0"/>
      <w:marRight w:val="0"/>
      <w:marTop w:val="0"/>
      <w:marBottom w:val="0"/>
      <w:divBdr>
        <w:top w:val="none" w:sz="0" w:space="0" w:color="auto"/>
        <w:left w:val="none" w:sz="0" w:space="0" w:color="auto"/>
        <w:bottom w:val="none" w:sz="0" w:space="0" w:color="auto"/>
        <w:right w:val="none" w:sz="0" w:space="0" w:color="auto"/>
      </w:divBdr>
    </w:div>
    <w:div w:id="1535923116">
      <w:bodyDiv w:val="1"/>
      <w:marLeft w:val="0"/>
      <w:marRight w:val="0"/>
      <w:marTop w:val="0"/>
      <w:marBottom w:val="0"/>
      <w:divBdr>
        <w:top w:val="none" w:sz="0" w:space="0" w:color="auto"/>
        <w:left w:val="none" w:sz="0" w:space="0" w:color="auto"/>
        <w:bottom w:val="none" w:sz="0" w:space="0" w:color="auto"/>
        <w:right w:val="none" w:sz="0" w:space="0" w:color="auto"/>
      </w:divBdr>
    </w:div>
    <w:div w:id="1544904372">
      <w:bodyDiv w:val="1"/>
      <w:marLeft w:val="0"/>
      <w:marRight w:val="0"/>
      <w:marTop w:val="0"/>
      <w:marBottom w:val="0"/>
      <w:divBdr>
        <w:top w:val="none" w:sz="0" w:space="0" w:color="auto"/>
        <w:left w:val="none" w:sz="0" w:space="0" w:color="auto"/>
        <w:bottom w:val="none" w:sz="0" w:space="0" w:color="auto"/>
        <w:right w:val="none" w:sz="0" w:space="0" w:color="auto"/>
      </w:divBdr>
    </w:div>
    <w:div w:id="1594970563">
      <w:bodyDiv w:val="1"/>
      <w:marLeft w:val="0"/>
      <w:marRight w:val="0"/>
      <w:marTop w:val="0"/>
      <w:marBottom w:val="0"/>
      <w:divBdr>
        <w:top w:val="none" w:sz="0" w:space="0" w:color="auto"/>
        <w:left w:val="none" w:sz="0" w:space="0" w:color="auto"/>
        <w:bottom w:val="none" w:sz="0" w:space="0" w:color="auto"/>
        <w:right w:val="none" w:sz="0" w:space="0" w:color="auto"/>
      </w:divBdr>
    </w:div>
    <w:div w:id="1703632757">
      <w:bodyDiv w:val="1"/>
      <w:marLeft w:val="0"/>
      <w:marRight w:val="0"/>
      <w:marTop w:val="0"/>
      <w:marBottom w:val="0"/>
      <w:divBdr>
        <w:top w:val="none" w:sz="0" w:space="0" w:color="auto"/>
        <w:left w:val="none" w:sz="0" w:space="0" w:color="auto"/>
        <w:bottom w:val="none" w:sz="0" w:space="0" w:color="auto"/>
        <w:right w:val="none" w:sz="0" w:space="0" w:color="auto"/>
      </w:divBdr>
    </w:div>
    <w:div w:id="18295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412C-6CDB-4B5D-AF16-EB6C11B8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8098</Words>
  <Characters>45761</Characters>
  <Application>Microsoft Office Word</Application>
  <DocSecurity>0</DocSecurity>
  <Lines>2080</Lines>
  <Paragraphs>1584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2016-10-12T22:36:00Z</dcterms:created>
  <dcterms:modified xsi:type="dcterms:W3CDTF">2016-10-12T22:48:00Z</dcterms:modified>
</cp:coreProperties>
</file>